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EF2DC" w14:textId="77777777" w:rsidR="004A4980" w:rsidRPr="00BE7E83" w:rsidRDefault="004A4980" w:rsidP="00BE7E83">
      <w:pPr>
        <w:adjustRightInd w:val="0"/>
        <w:snapToGrid w:val="0"/>
        <w:spacing w:line="360" w:lineRule="auto"/>
        <w:rPr>
          <w:rFonts w:ascii="Book Antiqua" w:hAnsi="Book Antiqua"/>
          <w:b/>
          <w:bCs/>
          <w:sz w:val="24"/>
          <w:szCs w:val="24"/>
        </w:rPr>
      </w:pPr>
      <w:r w:rsidRPr="00BE7E83">
        <w:rPr>
          <w:rFonts w:ascii="Book Antiqua" w:hAnsi="Book Antiqua"/>
          <w:b/>
          <w:bCs/>
          <w:sz w:val="24"/>
          <w:szCs w:val="24"/>
        </w:rPr>
        <w:t xml:space="preserve">Name of Journal: </w:t>
      </w:r>
      <w:r w:rsidRPr="00BE7E83">
        <w:rPr>
          <w:rFonts w:ascii="Book Antiqua" w:hAnsi="Book Antiqua"/>
          <w:i/>
          <w:iCs/>
          <w:sz w:val="24"/>
          <w:szCs w:val="24"/>
        </w:rPr>
        <w:t>World Journal of Clinical Cases</w:t>
      </w:r>
    </w:p>
    <w:p w14:paraId="1707B578" w14:textId="77777777" w:rsidR="004A4980" w:rsidRPr="00BE7E83" w:rsidRDefault="004A4980" w:rsidP="00BE7E83">
      <w:pPr>
        <w:adjustRightInd w:val="0"/>
        <w:snapToGrid w:val="0"/>
        <w:spacing w:line="360" w:lineRule="auto"/>
        <w:rPr>
          <w:rFonts w:ascii="Book Antiqua" w:hAnsi="Book Antiqua"/>
          <w:b/>
          <w:bCs/>
          <w:sz w:val="24"/>
          <w:szCs w:val="24"/>
        </w:rPr>
      </w:pPr>
      <w:r w:rsidRPr="00BE7E83">
        <w:rPr>
          <w:rFonts w:ascii="Book Antiqua" w:eastAsia="Times New Roman" w:hAnsi="Book Antiqua"/>
          <w:b/>
          <w:bCs/>
          <w:color w:val="222222"/>
          <w:sz w:val="24"/>
          <w:szCs w:val="24"/>
          <w:lang w:val="hu-HU"/>
        </w:rPr>
        <w:t>Manuscript NO</w:t>
      </w:r>
      <w:r w:rsidRPr="00BE7E83">
        <w:rPr>
          <w:rFonts w:ascii="Book Antiqua" w:hAnsi="Book Antiqua" w:cs="Arial"/>
          <w:b/>
          <w:color w:val="000000"/>
          <w:sz w:val="24"/>
          <w:szCs w:val="24"/>
          <w:lang w:val="en"/>
        </w:rPr>
        <w:t xml:space="preserve">: </w:t>
      </w:r>
      <w:r w:rsidRPr="00BE7E83">
        <w:rPr>
          <w:rFonts w:ascii="Book Antiqua" w:hAnsi="Book Antiqua" w:cs="Arial"/>
          <w:bCs/>
          <w:color w:val="000000"/>
          <w:sz w:val="24"/>
          <w:szCs w:val="24"/>
          <w:lang w:val="en"/>
        </w:rPr>
        <w:t>56441</w:t>
      </w:r>
    </w:p>
    <w:p w14:paraId="1DC98461" w14:textId="77777777" w:rsidR="004A4980" w:rsidRPr="00BE7E83" w:rsidRDefault="004A4980" w:rsidP="00BE7E83">
      <w:pPr>
        <w:adjustRightInd w:val="0"/>
        <w:snapToGrid w:val="0"/>
        <w:spacing w:line="360" w:lineRule="auto"/>
        <w:rPr>
          <w:rFonts w:ascii="Book Antiqua" w:hAnsi="Book Antiqua"/>
          <w:bCs/>
          <w:sz w:val="24"/>
          <w:szCs w:val="24"/>
        </w:rPr>
      </w:pPr>
      <w:r w:rsidRPr="00BE7E83">
        <w:rPr>
          <w:rFonts w:ascii="Book Antiqua" w:hAnsi="Book Antiqua"/>
          <w:b/>
          <w:bCs/>
          <w:sz w:val="24"/>
          <w:szCs w:val="24"/>
        </w:rPr>
        <w:t xml:space="preserve">Manuscript Type: </w:t>
      </w:r>
      <w:r w:rsidRPr="00BE7E83">
        <w:rPr>
          <w:rFonts w:ascii="Book Antiqua" w:hAnsi="Book Antiqua"/>
          <w:sz w:val="24"/>
          <w:szCs w:val="24"/>
        </w:rPr>
        <w:t>ORIGINAL ARTICLE</w:t>
      </w:r>
    </w:p>
    <w:p w14:paraId="56E8312A" w14:textId="77777777" w:rsidR="004A4980" w:rsidRPr="00BE7E83" w:rsidRDefault="004A4980" w:rsidP="00BE7E83">
      <w:pPr>
        <w:adjustRightInd w:val="0"/>
        <w:snapToGrid w:val="0"/>
        <w:spacing w:line="360" w:lineRule="auto"/>
        <w:rPr>
          <w:rFonts w:ascii="Book Antiqua" w:hAnsi="Book Antiqua"/>
          <w:b/>
          <w:i/>
          <w:iCs/>
          <w:sz w:val="24"/>
          <w:szCs w:val="24"/>
        </w:rPr>
      </w:pPr>
    </w:p>
    <w:p w14:paraId="11A33FBC" w14:textId="77777777" w:rsidR="0073616B" w:rsidRDefault="0073616B" w:rsidP="00BE7E83">
      <w:pPr>
        <w:pStyle w:val="a8"/>
        <w:snapToGrid w:val="0"/>
        <w:spacing w:line="360" w:lineRule="auto"/>
        <w:rPr>
          <w:rFonts w:ascii="Book Antiqua" w:hAnsi="Book Antiqua"/>
          <w:b/>
          <w:i/>
          <w:iCs/>
          <w:sz w:val="24"/>
          <w:szCs w:val="24"/>
        </w:rPr>
      </w:pPr>
      <w:bookmarkStart w:id="0" w:name="OLE_LINK5"/>
      <w:bookmarkStart w:id="1" w:name="OLE_LINK6"/>
      <w:r w:rsidRPr="0073616B">
        <w:rPr>
          <w:rFonts w:ascii="Book Antiqua" w:hAnsi="Book Antiqua"/>
          <w:b/>
          <w:i/>
          <w:iCs/>
          <w:sz w:val="24"/>
          <w:szCs w:val="24"/>
        </w:rPr>
        <w:t>Clinical and Translational Research</w:t>
      </w:r>
    </w:p>
    <w:p w14:paraId="7F4962E6" w14:textId="4FB94545" w:rsidR="00867EB3" w:rsidRPr="00BE7E83" w:rsidRDefault="00867EB3" w:rsidP="00BE7E83">
      <w:pPr>
        <w:pStyle w:val="a8"/>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t xml:space="preserve">Application of </w:t>
      </w:r>
      <w:r w:rsidR="004A4980" w:rsidRPr="00BE7E83">
        <w:rPr>
          <w:rFonts w:ascii="Book Antiqua" w:hAnsi="Book Antiqua" w:cs="Times New Roman"/>
          <w:b/>
          <w:color w:val="000000" w:themeColor="text1"/>
          <w:sz w:val="24"/>
          <w:szCs w:val="24"/>
        </w:rPr>
        <w:t>m</w:t>
      </w:r>
      <w:r w:rsidRPr="00BE7E83">
        <w:rPr>
          <w:rFonts w:ascii="Book Antiqua" w:hAnsi="Book Antiqua" w:cs="Times New Roman"/>
          <w:b/>
          <w:color w:val="000000" w:themeColor="text1"/>
          <w:sz w:val="24"/>
          <w:szCs w:val="24"/>
        </w:rPr>
        <w:t xml:space="preserve">olybdenum </w:t>
      </w:r>
      <w:r w:rsidR="004A4980" w:rsidRPr="00BE7E83">
        <w:rPr>
          <w:rFonts w:ascii="Book Antiqua" w:hAnsi="Book Antiqua" w:cs="Times New Roman"/>
          <w:b/>
          <w:color w:val="000000" w:themeColor="text1"/>
          <w:sz w:val="24"/>
          <w:szCs w:val="24"/>
        </w:rPr>
        <w:t>t</w:t>
      </w:r>
      <w:r w:rsidRPr="00BE7E83">
        <w:rPr>
          <w:rFonts w:ascii="Book Antiqua" w:hAnsi="Book Antiqua" w:cs="Times New Roman"/>
          <w:b/>
          <w:color w:val="000000" w:themeColor="text1"/>
          <w:sz w:val="24"/>
          <w:szCs w:val="24"/>
        </w:rPr>
        <w:t>arget X-</w:t>
      </w:r>
      <w:r w:rsidR="00B57982" w:rsidRPr="00BE7E83">
        <w:rPr>
          <w:rFonts w:ascii="Book Antiqua" w:hAnsi="Book Antiqua" w:cs="Times New Roman"/>
          <w:b/>
          <w:color w:val="000000" w:themeColor="text1"/>
          <w:sz w:val="24"/>
          <w:szCs w:val="24"/>
        </w:rPr>
        <w:t xml:space="preserve">ray </w:t>
      </w:r>
      <w:r w:rsidR="004A4980" w:rsidRPr="00BE7E83">
        <w:rPr>
          <w:rFonts w:ascii="Book Antiqua" w:hAnsi="Book Antiqua" w:cs="Times New Roman"/>
          <w:b/>
          <w:color w:val="000000" w:themeColor="text1"/>
          <w:sz w:val="24"/>
          <w:szCs w:val="24"/>
        </w:rPr>
        <w:t>p</w:t>
      </w:r>
      <w:r w:rsidRPr="00BE7E83">
        <w:rPr>
          <w:rFonts w:ascii="Book Antiqua" w:hAnsi="Book Antiqua" w:cs="Times New Roman"/>
          <w:b/>
          <w:color w:val="000000" w:themeColor="text1"/>
          <w:sz w:val="24"/>
          <w:szCs w:val="24"/>
        </w:rPr>
        <w:t xml:space="preserve">hotography in </w:t>
      </w:r>
      <w:r w:rsidR="004A4980" w:rsidRPr="00BE7E83">
        <w:rPr>
          <w:rFonts w:ascii="Book Antiqua" w:hAnsi="Book Antiqua" w:cs="Times New Roman"/>
          <w:b/>
          <w:color w:val="000000" w:themeColor="text1"/>
          <w:sz w:val="24"/>
          <w:szCs w:val="24"/>
        </w:rPr>
        <w:t>i</w:t>
      </w:r>
      <w:r w:rsidRPr="00BE7E83">
        <w:rPr>
          <w:rFonts w:ascii="Book Antiqua" w:hAnsi="Book Antiqua" w:cs="Times New Roman"/>
          <w:b/>
          <w:color w:val="000000" w:themeColor="text1"/>
          <w:sz w:val="24"/>
          <w:szCs w:val="24"/>
        </w:rPr>
        <w:t xml:space="preserve">maging </w:t>
      </w:r>
      <w:r w:rsidR="004A4980" w:rsidRPr="00BE7E83">
        <w:rPr>
          <w:rFonts w:ascii="Book Antiqua" w:hAnsi="Book Antiqua" w:cs="Times New Roman"/>
          <w:b/>
          <w:color w:val="000000" w:themeColor="text1"/>
          <w:sz w:val="24"/>
          <w:szCs w:val="24"/>
        </w:rPr>
        <w:t>a</w:t>
      </w:r>
      <w:r w:rsidRPr="00BE7E83">
        <w:rPr>
          <w:rFonts w:ascii="Book Antiqua" w:hAnsi="Book Antiqua" w:cs="Times New Roman"/>
          <w:b/>
          <w:color w:val="000000" w:themeColor="text1"/>
          <w:sz w:val="24"/>
          <w:szCs w:val="24"/>
        </w:rPr>
        <w:t xml:space="preserve">nalysis of </w:t>
      </w:r>
      <w:r w:rsidR="004A4980" w:rsidRPr="00BE7E83">
        <w:rPr>
          <w:rFonts w:ascii="Book Antiqua" w:hAnsi="Book Antiqua" w:cs="Times New Roman"/>
          <w:b/>
          <w:color w:val="000000" w:themeColor="text1"/>
          <w:sz w:val="24"/>
          <w:szCs w:val="24"/>
        </w:rPr>
        <w:t>c</w:t>
      </w:r>
      <w:r w:rsidRPr="00BE7E83">
        <w:rPr>
          <w:rFonts w:ascii="Book Antiqua" w:hAnsi="Book Antiqua" w:cs="Times New Roman"/>
          <w:b/>
          <w:color w:val="000000" w:themeColor="text1"/>
          <w:sz w:val="24"/>
          <w:szCs w:val="24"/>
        </w:rPr>
        <w:t xml:space="preserve">audal </w:t>
      </w:r>
      <w:r w:rsidR="004A4980" w:rsidRPr="00BE7E83">
        <w:rPr>
          <w:rFonts w:ascii="Book Antiqua" w:hAnsi="Book Antiqua" w:cs="Times New Roman"/>
          <w:b/>
          <w:color w:val="000000" w:themeColor="text1"/>
          <w:sz w:val="24"/>
          <w:szCs w:val="24"/>
        </w:rPr>
        <w:t>i</w:t>
      </w:r>
      <w:r w:rsidRPr="00BE7E83">
        <w:rPr>
          <w:rFonts w:ascii="Book Antiqua" w:hAnsi="Book Antiqua" w:cs="Times New Roman"/>
          <w:b/>
          <w:color w:val="000000" w:themeColor="text1"/>
          <w:sz w:val="24"/>
          <w:szCs w:val="24"/>
        </w:rPr>
        <w:t xml:space="preserve">ntervertebral </w:t>
      </w:r>
      <w:r w:rsidR="004A4980" w:rsidRPr="00BE7E83">
        <w:rPr>
          <w:rFonts w:ascii="Book Antiqua" w:hAnsi="Book Antiqua" w:cs="Times New Roman"/>
          <w:b/>
          <w:color w:val="000000" w:themeColor="text1"/>
          <w:sz w:val="24"/>
          <w:szCs w:val="24"/>
        </w:rPr>
        <w:t>d</w:t>
      </w:r>
      <w:r w:rsidRPr="00BE7E83">
        <w:rPr>
          <w:rFonts w:ascii="Book Antiqua" w:hAnsi="Book Antiqua" w:cs="Times New Roman"/>
          <w:b/>
          <w:color w:val="000000" w:themeColor="text1"/>
          <w:sz w:val="24"/>
          <w:szCs w:val="24"/>
        </w:rPr>
        <w:t xml:space="preserve">isc </w:t>
      </w:r>
      <w:r w:rsidR="004A4980" w:rsidRPr="00BE7E83">
        <w:rPr>
          <w:rFonts w:ascii="Book Antiqua" w:hAnsi="Book Antiqua" w:cs="Times New Roman"/>
          <w:b/>
          <w:color w:val="000000" w:themeColor="text1"/>
          <w:sz w:val="24"/>
          <w:szCs w:val="24"/>
        </w:rPr>
        <w:t>d</w:t>
      </w:r>
      <w:r w:rsidRPr="00BE7E83">
        <w:rPr>
          <w:rFonts w:ascii="Book Antiqua" w:hAnsi="Book Antiqua" w:cs="Times New Roman"/>
          <w:b/>
          <w:color w:val="000000" w:themeColor="text1"/>
          <w:sz w:val="24"/>
          <w:szCs w:val="24"/>
        </w:rPr>
        <w:t xml:space="preserve">egeneration in </w:t>
      </w:r>
      <w:r w:rsidR="003343A3" w:rsidRPr="00BE7E83">
        <w:rPr>
          <w:rFonts w:ascii="Book Antiqua" w:hAnsi="Book Antiqua" w:cs="Times New Roman"/>
          <w:b/>
          <w:color w:val="000000" w:themeColor="text1"/>
          <w:sz w:val="24"/>
          <w:szCs w:val="24"/>
        </w:rPr>
        <w:t>r</w:t>
      </w:r>
      <w:r w:rsidRPr="00BE7E83">
        <w:rPr>
          <w:rFonts w:ascii="Book Antiqua" w:hAnsi="Book Antiqua" w:cs="Times New Roman"/>
          <w:b/>
          <w:color w:val="000000" w:themeColor="text1"/>
          <w:sz w:val="24"/>
          <w:szCs w:val="24"/>
        </w:rPr>
        <w:t>ats</w:t>
      </w:r>
    </w:p>
    <w:bookmarkEnd w:id="0"/>
    <w:bookmarkEnd w:id="1"/>
    <w:p w14:paraId="3D640864" w14:textId="77777777" w:rsidR="001B06A2" w:rsidRPr="00BE7E83" w:rsidRDefault="001B06A2" w:rsidP="00BE7E83">
      <w:pPr>
        <w:widowControl/>
        <w:adjustRightInd w:val="0"/>
        <w:snapToGrid w:val="0"/>
        <w:spacing w:line="360" w:lineRule="auto"/>
        <w:rPr>
          <w:rFonts w:ascii="Book Antiqua" w:eastAsia="宋体" w:hAnsi="Book Antiqua" w:cs="Times New Roman"/>
          <w:b/>
          <w:bCs/>
          <w:color w:val="000000" w:themeColor="text1"/>
          <w:kern w:val="0"/>
          <w:sz w:val="24"/>
          <w:szCs w:val="24"/>
        </w:rPr>
      </w:pPr>
    </w:p>
    <w:p w14:paraId="41A2C177" w14:textId="77777777" w:rsidR="001B06A2" w:rsidRPr="00BE7E83" w:rsidRDefault="00B40A34"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 xml:space="preserve">Su Q </w:t>
      </w:r>
      <w:r w:rsidRPr="00BE7E83">
        <w:rPr>
          <w:rFonts w:ascii="Book Antiqua" w:eastAsia="宋体" w:hAnsi="Book Antiqua" w:cs="Times New Roman"/>
          <w:i/>
          <w:iCs/>
          <w:color w:val="000000" w:themeColor="text1"/>
          <w:kern w:val="0"/>
          <w:sz w:val="24"/>
          <w:szCs w:val="24"/>
        </w:rPr>
        <w:t>et al</w:t>
      </w:r>
      <w:r w:rsidRPr="00BE7E83">
        <w:rPr>
          <w:rFonts w:ascii="Book Antiqua" w:eastAsia="宋体" w:hAnsi="Book Antiqua" w:cs="Times New Roman"/>
          <w:color w:val="000000" w:themeColor="text1"/>
          <w:kern w:val="0"/>
          <w:sz w:val="24"/>
          <w:szCs w:val="24"/>
        </w:rPr>
        <w:t xml:space="preserve">. </w:t>
      </w:r>
      <w:r w:rsidR="001B06A2" w:rsidRPr="00BE7E83">
        <w:rPr>
          <w:rFonts w:ascii="Book Antiqua" w:eastAsia="宋体" w:hAnsi="Book Antiqua" w:cs="Times New Roman"/>
          <w:color w:val="000000" w:themeColor="text1"/>
          <w:kern w:val="0"/>
          <w:sz w:val="24"/>
          <w:szCs w:val="24"/>
        </w:rPr>
        <w:t xml:space="preserve">Molybdenum </w:t>
      </w:r>
      <w:r w:rsidR="00961022" w:rsidRPr="00BE7E83">
        <w:rPr>
          <w:rFonts w:ascii="Book Antiqua" w:eastAsia="宋体" w:hAnsi="Book Antiqua" w:cs="Times New Roman"/>
          <w:color w:val="000000" w:themeColor="text1"/>
          <w:kern w:val="0"/>
          <w:sz w:val="24"/>
          <w:szCs w:val="24"/>
        </w:rPr>
        <w:t>target application in rats</w:t>
      </w:r>
    </w:p>
    <w:p w14:paraId="1BE4C39B" w14:textId="77777777" w:rsidR="00961022" w:rsidRPr="00BE7E83" w:rsidRDefault="00961022" w:rsidP="00BE7E83">
      <w:pPr>
        <w:widowControl/>
        <w:adjustRightInd w:val="0"/>
        <w:snapToGrid w:val="0"/>
        <w:spacing w:line="360" w:lineRule="auto"/>
        <w:rPr>
          <w:rFonts w:ascii="Book Antiqua" w:eastAsia="宋体" w:hAnsi="Book Antiqua" w:cs="Times New Roman"/>
          <w:color w:val="000000" w:themeColor="text1"/>
          <w:kern w:val="0"/>
          <w:sz w:val="24"/>
          <w:szCs w:val="24"/>
        </w:rPr>
      </w:pPr>
    </w:p>
    <w:p w14:paraId="3230CED3" w14:textId="0D18D77C" w:rsidR="001B06A2" w:rsidRPr="00BE7E83" w:rsidRDefault="001B06A2"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Qi</w:t>
      </w:r>
      <w:r w:rsidR="00B57982" w:rsidRPr="00BE7E83">
        <w:rPr>
          <w:rFonts w:ascii="Book Antiqua" w:eastAsia="宋体" w:hAnsi="Book Antiqua" w:cs="Times New Roman"/>
          <w:color w:val="000000" w:themeColor="text1"/>
          <w:kern w:val="0"/>
          <w:sz w:val="24"/>
          <w:szCs w:val="24"/>
        </w:rPr>
        <w:t xml:space="preserve">-Hang </w:t>
      </w:r>
      <w:r w:rsidRPr="00BE7E83">
        <w:rPr>
          <w:rFonts w:ascii="Book Antiqua" w:eastAsia="宋体" w:hAnsi="Book Antiqua" w:cs="Times New Roman"/>
          <w:color w:val="000000" w:themeColor="text1"/>
          <w:kern w:val="0"/>
          <w:sz w:val="24"/>
          <w:szCs w:val="24"/>
        </w:rPr>
        <w:t>Su, Yan Zhang, Bin Shen, Yong</w:t>
      </w:r>
      <w:r w:rsidR="00B57982" w:rsidRPr="00BE7E83">
        <w:rPr>
          <w:rFonts w:ascii="Book Antiqua" w:eastAsia="宋体" w:hAnsi="Book Antiqua" w:cs="Times New Roman"/>
          <w:color w:val="000000" w:themeColor="text1"/>
          <w:kern w:val="0"/>
          <w:sz w:val="24"/>
          <w:szCs w:val="24"/>
        </w:rPr>
        <w:t xml:space="preserve">-Chao </w:t>
      </w:r>
      <w:r w:rsidRPr="00BE7E83">
        <w:rPr>
          <w:rFonts w:ascii="Book Antiqua" w:eastAsia="宋体" w:hAnsi="Book Antiqua" w:cs="Times New Roman"/>
          <w:color w:val="000000" w:themeColor="text1"/>
          <w:kern w:val="0"/>
          <w:sz w:val="24"/>
          <w:szCs w:val="24"/>
        </w:rPr>
        <w:t>Li, Jun Tan</w:t>
      </w:r>
    </w:p>
    <w:p w14:paraId="157B535D" w14:textId="77777777" w:rsidR="00961022" w:rsidRPr="00BE7E83" w:rsidRDefault="00961022" w:rsidP="00BE7E83">
      <w:pPr>
        <w:widowControl/>
        <w:adjustRightInd w:val="0"/>
        <w:snapToGrid w:val="0"/>
        <w:spacing w:line="360" w:lineRule="auto"/>
        <w:rPr>
          <w:rFonts w:ascii="Book Antiqua" w:eastAsia="宋体" w:hAnsi="Book Antiqua" w:cs="Times New Roman"/>
          <w:b/>
          <w:bCs/>
          <w:color w:val="000000" w:themeColor="text1"/>
          <w:kern w:val="0"/>
          <w:sz w:val="24"/>
          <w:szCs w:val="24"/>
        </w:rPr>
      </w:pPr>
    </w:p>
    <w:p w14:paraId="3739E10A" w14:textId="38334BE2" w:rsidR="001B06A2" w:rsidRPr="00BE7E83" w:rsidRDefault="001B06A2"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b/>
          <w:bCs/>
          <w:color w:val="000000" w:themeColor="text1"/>
          <w:kern w:val="0"/>
          <w:sz w:val="24"/>
          <w:szCs w:val="24"/>
        </w:rPr>
        <w:t>Qi</w:t>
      </w:r>
      <w:r w:rsidR="00B57982" w:rsidRPr="00BE7E83">
        <w:rPr>
          <w:rFonts w:ascii="Book Antiqua" w:eastAsia="宋体" w:hAnsi="Book Antiqua" w:cs="Times New Roman"/>
          <w:b/>
          <w:bCs/>
          <w:color w:val="000000" w:themeColor="text1"/>
          <w:kern w:val="0"/>
          <w:sz w:val="24"/>
          <w:szCs w:val="24"/>
        </w:rPr>
        <w:t xml:space="preserve">-Hang </w:t>
      </w:r>
      <w:r w:rsidRPr="00BE7E83">
        <w:rPr>
          <w:rFonts w:ascii="Book Antiqua" w:eastAsia="宋体" w:hAnsi="Book Antiqua" w:cs="Times New Roman"/>
          <w:b/>
          <w:bCs/>
          <w:color w:val="000000" w:themeColor="text1"/>
          <w:kern w:val="0"/>
          <w:sz w:val="24"/>
          <w:szCs w:val="24"/>
        </w:rPr>
        <w:t>Su, Yan Zhang, Bin Shen, Yong</w:t>
      </w:r>
      <w:r w:rsidR="00B57982" w:rsidRPr="00BE7E83">
        <w:rPr>
          <w:rFonts w:ascii="Book Antiqua" w:eastAsia="宋体" w:hAnsi="Book Antiqua" w:cs="Times New Roman"/>
          <w:b/>
          <w:bCs/>
          <w:color w:val="000000" w:themeColor="text1"/>
          <w:kern w:val="0"/>
          <w:sz w:val="24"/>
          <w:szCs w:val="24"/>
        </w:rPr>
        <w:t xml:space="preserve">-Chao </w:t>
      </w:r>
      <w:r w:rsidRPr="00BE7E83">
        <w:rPr>
          <w:rFonts w:ascii="Book Antiqua" w:eastAsia="宋体" w:hAnsi="Book Antiqua" w:cs="Times New Roman"/>
          <w:b/>
          <w:bCs/>
          <w:color w:val="000000" w:themeColor="text1"/>
          <w:kern w:val="0"/>
          <w:sz w:val="24"/>
          <w:szCs w:val="24"/>
        </w:rPr>
        <w:t>Li, Jun Tan</w:t>
      </w:r>
      <w:r w:rsidR="00967297" w:rsidRPr="00BE7E83">
        <w:rPr>
          <w:rFonts w:ascii="Book Antiqua" w:eastAsia="宋体" w:hAnsi="Book Antiqua" w:cs="Times New Roman"/>
          <w:b/>
          <w:bCs/>
          <w:color w:val="000000" w:themeColor="text1"/>
          <w:kern w:val="0"/>
          <w:sz w:val="24"/>
          <w:szCs w:val="24"/>
        </w:rPr>
        <w:t>,</w:t>
      </w:r>
      <w:r w:rsidRPr="00BE7E83">
        <w:rPr>
          <w:rFonts w:ascii="Book Antiqua" w:eastAsia="宋体" w:hAnsi="Book Antiqua" w:cs="Times New Roman"/>
          <w:color w:val="000000" w:themeColor="text1"/>
          <w:kern w:val="0"/>
          <w:sz w:val="24"/>
          <w:szCs w:val="24"/>
        </w:rPr>
        <w:t xml:space="preserve"> Department of Orthopedics, Shanghai East Hospital, Tongji University School of Medicine, Shanghai 200120, China</w:t>
      </w:r>
    </w:p>
    <w:p w14:paraId="427B16B2" w14:textId="77777777" w:rsidR="00961022" w:rsidRPr="00BE7E83" w:rsidRDefault="00961022" w:rsidP="00BE7E83">
      <w:pPr>
        <w:widowControl/>
        <w:adjustRightInd w:val="0"/>
        <w:snapToGrid w:val="0"/>
        <w:spacing w:line="360" w:lineRule="auto"/>
        <w:rPr>
          <w:rFonts w:ascii="Book Antiqua" w:eastAsia="宋体" w:hAnsi="Book Antiqua" w:cs="Times New Roman"/>
          <w:b/>
          <w:bCs/>
          <w:color w:val="000000" w:themeColor="text1"/>
          <w:kern w:val="0"/>
          <w:sz w:val="24"/>
          <w:szCs w:val="24"/>
        </w:rPr>
      </w:pPr>
    </w:p>
    <w:p w14:paraId="0722913F" w14:textId="6D3B580A" w:rsidR="001B06A2" w:rsidRPr="00BE7E83" w:rsidRDefault="001B06A2"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b/>
          <w:bCs/>
          <w:color w:val="000000" w:themeColor="text1"/>
          <w:kern w:val="0"/>
          <w:sz w:val="24"/>
          <w:szCs w:val="24"/>
        </w:rPr>
        <w:t>Author contributions:</w:t>
      </w:r>
      <w:r w:rsidRPr="00BE7E83">
        <w:rPr>
          <w:rFonts w:ascii="Book Antiqua" w:eastAsia="宋体" w:hAnsi="Book Antiqua" w:cs="Times New Roman"/>
          <w:color w:val="000000" w:themeColor="text1"/>
          <w:kern w:val="0"/>
          <w:sz w:val="24"/>
          <w:szCs w:val="24"/>
        </w:rPr>
        <w:t xml:space="preserve"> </w:t>
      </w:r>
      <w:r w:rsidR="001E6C75" w:rsidRPr="00BE7E83">
        <w:rPr>
          <w:rFonts w:ascii="Book Antiqua" w:eastAsia="宋体" w:hAnsi="Book Antiqua" w:cs="Times New Roman"/>
          <w:color w:val="000000" w:themeColor="text1"/>
          <w:kern w:val="0"/>
          <w:sz w:val="24"/>
          <w:szCs w:val="24"/>
        </w:rPr>
        <w:t>Su</w:t>
      </w:r>
      <w:r w:rsidR="002E6B25" w:rsidRPr="00BE7E83">
        <w:rPr>
          <w:rFonts w:ascii="Book Antiqua" w:eastAsia="宋体" w:hAnsi="Book Antiqua" w:cs="Times New Roman"/>
          <w:color w:val="000000" w:themeColor="text1"/>
          <w:kern w:val="0"/>
          <w:sz w:val="24"/>
          <w:szCs w:val="24"/>
        </w:rPr>
        <w:t xml:space="preserve"> Q</w:t>
      </w:r>
      <w:r w:rsidR="00B57982" w:rsidRPr="00BE7E83">
        <w:rPr>
          <w:rFonts w:ascii="Book Antiqua" w:eastAsia="宋体" w:hAnsi="Book Antiqua" w:cs="Times New Roman"/>
          <w:color w:val="000000" w:themeColor="text1"/>
          <w:kern w:val="0"/>
          <w:sz w:val="24"/>
          <w:szCs w:val="24"/>
        </w:rPr>
        <w:t>H</w:t>
      </w:r>
      <w:r w:rsidR="002E6B25"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 xml:space="preserve">designed </w:t>
      </w:r>
      <w:r w:rsidR="00142331">
        <w:rPr>
          <w:rFonts w:ascii="Book Antiqua" w:eastAsia="宋体" w:hAnsi="Book Antiqua" w:cs="Times New Roman"/>
          <w:color w:val="000000" w:themeColor="text1"/>
          <w:kern w:val="0"/>
          <w:sz w:val="24"/>
          <w:szCs w:val="24"/>
        </w:rPr>
        <w:t xml:space="preserve">the </w:t>
      </w:r>
      <w:r w:rsidRPr="00BE7E83">
        <w:rPr>
          <w:rFonts w:ascii="Book Antiqua" w:eastAsia="宋体" w:hAnsi="Book Antiqua" w:cs="Times New Roman"/>
          <w:color w:val="000000" w:themeColor="text1"/>
          <w:kern w:val="0"/>
          <w:sz w:val="24"/>
          <w:szCs w:val="24"/>
        </w:rPr>
        <w:t>research</w:t>
      </w:r>
      <w:r w:rsidR="00B57982" w:rsidRPr="00BE7E83">
        <w:rPr>
          <w:rFonts w:ascii="Book Antiqua" w:eastAsia="宋体" w:hAnsi="Book Antiqua" w:cs="Times New Roman"/>
          <w:color w:val="000000" w:themeColor="text1"/>
          <w:kern w:val="0"/>
          <w:sz w:val="24"/>
          <w:szCs w:val="24"/>
        </w:rPr>
        <w:t xml:space="preserve"> and wrote the paper; </w:t>
      </w:r>
      <w:r w:rsidRPr="00BE7E83">
        <w:rPr>
          <w:rFonts w:ascii="Book Antiqua" w:eastAsia="宋体" w:hAnsi="Book Antiqua" w:cs="Times New Roman"/>
          <w:color w:val="000000" w:themeColor="text1"/>
          <w:kern w:val="0"/>
          <w:sz w:val="24"/>
          <w:szCs w:val="24"/>
        </w:rPr>
        <w:t>Su</w:t>
      </w:r>
      <w:r w:rsidR="002E6B25" w:rsidRPr="00BE7E83">
        <w:rPr>
          <w:rFonts w:ascii="Book Antiqua" w:eastAsia="宋体" w:hAnsi="Book Antiqua" w:cs="Times New Roman"/>
          <w:color w:val="000000" w:themeColor="text1"/>
          <w:kern w:val="0"/>
          <w:sz w:val="24"/>
          <w:szCs w:val="24"/>
        </w:rPr>
        <w:t xml:space="preserve"> Q</w:t>
      </w:r>
      <w:r w:rsidR="00B57982" w:rsidRPr="00BE7E83">
        <w:rPr>
          <w:rFonts w:ascii="Book Antiqua" w:eastAsia="宋体" w:hAnsi="Book Antiqua" w:cs="Times New Roman"/>
          <w:color w:val="000000" w:themeColor="text1"/>
          <w:kern w:val="0"/>
          <w:sz w:val="24"/>
          <w:szCs w:val="24"/>
        </w:rPr>
        <w:t>H</w:t>
      </w:r>
      <w:r w:rsidR="002E6B25" w:rsidRPr="00BE7E83">
        <w:rPr>
          <w:rFonts w:ascii="Book Antiqua" w:eastAsia="宋体" w:hAnsi="Book Antiqua" w:cs="Times New Roman"/>
          <w:color w:val="000000" w:themeColor="text1"/>
          <w:kern w:val="0"/>
          <w:sz w:val="24"/>
          <w:szCs w:val="24"/>
        </w:rPr>
        <w:t>,</w:t>
      </w:r>
      <w:r w:rsidRPr="00BE7E83">
        <w:rPr>
          <w:rFonts w:ascii="Book Antiqua" w:eastAsia="宋体" w:hAnsi="Book Antiqua" w:cs="Times New Roman"/>
          <w:color w:val="000000" w:themeColor="text1"/>
          <w:kern w:val="0"/>
          <w:sz w:val="24"/>
          <w:szCs w:val="24"/>
        </w:rPr>
        <w:t xml:space="preserve"> Zhang</w:t>
      </w:r>
      <w:r w:rsidR="002E6B25" w:rsidRPr="00BE7E83">
        <w:rPr>
          <w:rFonts w:ascii="Book Antiqua" w:eastAsia="宋体" w:hAnsi="Book Antiqua" w:cs="Times New Roman"/>
          <w:color w:val="000000" w:themeColor="text1"/>
          <w:kern w:val="0"/>
          <w:sz w:val="24"/>
          <w:szCs w:val="24"/>
        </w:rPr>
        <w:t xml:space="preserve"> Y</w:t>
      </w:r>
      <w:r w:rsidRPr="00BE7E83">
        <w:rPr>
          <w:rFonts w:ascii="Book Antiqua" w:eastAsia="宋体" w:hAnsi="Book Antiqua" w:cs="Times New Roman"/>
          <w:color w:val="000000" w:themeColor="text1"/>
          <w:kern w:val="0"/>
          <w:sz w:val="24"/>
          <w:szCs w:val="24"/>
        </w:rPr>
        <w:t xml:space="preserve">, Li </w:t>
      </w:r>
      <w:r w:rsidR="002E6B25" w:rsidRPr="00BE7E83">
        <w:rPr>
          <w:rFonts w:ascii="Book Antiqua" w:eastAsia="宋体" w:hAnsi="Book Antiqua" w:cs="Times New Roman"/>
          <w:color w:val="000000" w:themeColor="text1"/>
          <w:kern w:val="0"/>
          <w:sz w:val="24"/>
          <w:szCs w:val="24"/>
        </w:rPr>
        <w:t>Y</w:t>
      </w:r>
      <w:r w:rsidR="00B57982" w:rsidRPr="00BE7E83">
        <w:rPr>
          <w:rFonts w:ascii="Book Antiqua" w:eastAsia="宋体" w:hAnsi="Book Antiqua" w:cs="Times New Roman"/>
          <w:color w:val="000000" w:themeColor="text1"/>
          <w:kern w:val="0"/>
          <w:sz w:val="24"/>
          <w:szCs w:val="24"/>
        </w:rPr>
        <w:t>C</w:t>
      </w:r>
      <w:r w:rsidR="002E6B25"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 xml:space="preserve">and </w:t>
      </w:r>
      <w:r w:rsidR="001E6C75" w:rsidRPr="00BE7E83">
        <w:rPr>
          <w:rFonts w:ascii="Book Antiqua" w:eastAsia="宋体" w:hAnsi="Book Antiqua" w:cs="Times New Roman"/>
          <w:color w:val="000000" w:themeColor="text1"/>
          <w:kern w:val="0"/>
          <w:sz w:val="24"/>
          <w:szCs w:val="24"/>
        </w:rPr>
        <w:t>Shen</w:t>
      </w:r>
      <w:r w:rsidRPr="00BE7E83">
        <w:rPr>
          <w:rFonts w:ascii="Book Antiqua" w:eastAsia="宋体" w:hAnsi="Book Antiqua" w:cs="Times New Roman"/>
          <w:color w:val="000000" w:themeColor="text1"/>
          <w:kern w:val="0"/>
          <w:sz w:val="24"/>
          <w:szCs w:val="24"/>
        </w:rPr>
        <w:t xml:space="preserve"> </w:t>
      </w:r>
      <w:r w:rsidR="002E6B25" w:rsidRPr="00BE7E83">
        <w:rPr>
          <w:rFonts w:ascii="Book Antiqua" w:eastAsia="宋体" w:hAnsi="Book Antiqua" w:cs="Times New Roman"/>
          <w:color w:val="000000" w:themeColor="text1"/>
          <w:kern w:val="0"/>
          <w:sz w:val="24"/>
          <w:szCs w:val="24"/>
        </w:rPr>
        <w:t xml:space="preserve">B </w:t>
      </w:r>
      <w:r w:rsidRPr="00BE7E83">
        <w:rPr>
          <w:rFonts w:ascii="Book Antiqua" w:eastAsia="宋体" w:hAnsi="Book Antiqua" w:cs="Times New Roman"/>
          <w:color w:val="000000" w:themeColor="text1"/>
          <w:kern w:val="0"/>
          <w:sz w:val="24"/>
          <w:szCs w:val="24"/>
        </w:rPr>
        <w:t xml:space="preserve">performed </w:t>
      </w:r>
      <w:r w:rsidR="00142331">
        <w:rPr>
          <w:rFonts w:ascii="Book Antiqua" w:eastAsia="宋体" w:hAnsi="Book Antiqua" w:cs="Times New Roman"/>
          <w:color w:val="000000" w:themeColor="text1"/>
          <w:kern w:val="0"/>
          <w:sz w:val="24"/>
          <w:szCs w:val="24"/>
        </w:rPr>
        <w:t xml:space="preserve">the </w:t>
      </w:r>
      <w:r w:rsidRPr="00BE7E83">
        <w:rPr>
          <w:rFonts w:ascii="Book Antiqua" w:eastAsia="宋体" w:hAnsi="Book Antiqua" w:cs="Times New Roman"/>
          <w:color w:val="000000" w:themeColor="text1"/>
          <w:kern w:val="0"/>
          <w:sz w:val="24"/>
          <w:szCs w:val="24"/>
        </w:rPr>
        <w:t xml:space="preserve">research; </w:t>
      </w:r>
      <w:r w:rsidR="001E6C75" w:rsidRPr="00BE7E83">
        <w:rPr>
          <w:rFonts w:ascii="Book Antiqua" w:eastAsia="宋体" w:hAnsi="Book Antiqua" w:cs="Times New Roman"/>
          <w:color w:val="000000" w:themeColor="text1"/>
          <w:kern w:val="0"/>
          <w:sz w:val="24"/>
          <w:szCs w:val="24"/>
        </w:rPr>
        <w:t>Su</w:t>
      </w:r>
      <w:r w:rsidR="002E6B25" w:rsidRPr="00BE7E83">
        <w:rPr>
          <w:rFonts w:ascii="Book Antiqua" w:eastAsia="宋体" w:hAnsi="Book Antiqua" w:cs="Times New Roman"/>
          <w:color w:val="000000" w:themeColor="text1"/>
          <w:kern w:val="0"/>
          <w:sz w:val="24"/>
          <w:szCs w:val="24"/>
        </w:rPr>
        <w:t xml:space="preserve"> Q</w:t>
      </w:r>
      <w:r w:rsidR="00B57982" w:rsidRPr="00BE7E83">
        <w:rPr>
          <w:rFonts w:ascii="Book Antiqua" w:eastAsia="宋体" w:hAnsi="Book Antiqua" w:cs="Times New Roman"/>
          <w:color w:val="000000" w:themeColor="text1"/>
          <w:kern w:val="0"/>
          <w:sz w:val="24"/>
          <w:szCs w:val="24"/>
        </w:rPr>
        <w:t>H</w:t>
      </w:r>
      <w:r w:rsidR="001E6C75"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 xml:space="preserve">and </w:t>
      </w:r>
      <w:r w:rsidR="001E6C75" w:rsidRPr="00BE7E83">
        <w:rPr>
          <w:rFonts w:ascii="Book Antiqua" w:eastAsia="宋体" w:hAnsi="Book Antiqua" w:cs="Times New Roman"/>
          <w:color w:val="000000" w:themeColor="text1"/>
          <w:kern w:val="0"/>
          <w:sz w:val="24"/>
          <w:szCs w:val="24"/>
        </w:rPr>
        <w:t>Zhang</w:t>
      </w:r>
      <w:r w:rsidR="002E6B25" w:rsidRPr="00BE7E83">
        <w:rPr>
          <w:rFonts w:ascii="Book Antiqua" w:eastAsia="宋体" w:hAnsi="Book Antiqua" w:cs="Times New Roman"/>
          <w:color w:val="000000" w:themeColor="text1"/>
          <w:kern w:val="0"/>
          <w:sz w:val="24"/>
          <w:szCs w:val="24"/>
        </w:rPr>
        <w:t xml:space="preserve"> Y</w:t>
      </w:r>
      <w:r w:rsidRPr="00BE7E83">
        <w:rPr>
          <w:rFonts w:ascii="Book Antiqua" w:eastAsia="宋体" w:hAnsi="Book Antiqua" w:cs="Times New Roman"/>
          <w:color w:val="000000" w:themeColor="text1"/>
          <w:kern w:val="0"/>
          <w:sz w:val="24"/>
          <w:szCs w:val="24"/>
        </w:rPr>
        <w:t xml:space="preserve"> contributed new analytic tools; Su</w:t>
      </w:r>
      <w:r w:rsidR="002E6B25" w:rsidRPr="00BE7E83">
        <w:rPr>
          <w:rFonts w:ascii="Book Antiqua" w:eastAsia="宋体" w:hAnsi="Book Antiqua" w:cs="Times New Roman"/>
          <w:color w:val="000000" w:themeColor="text1"/>
          <w:kern w:val="0"/>
          <w:sz w:val="24"/>
          <w:szCs w:val="24"/>
        </w:rPr>
        <w:t xml:space="preserve"> Q</w:t>
      </w:r>
      <w:r w:rsidR="00B57982" w:rsidRPr="00BE7E83">
        <w:rPr>
          <w:rFonts w:ascii="Book Antiqua" w:eastAsia="宋体" w:hAnsi="Book Antiqua" w:cs="Times New Roman"/>
          <w:color w:val="000000" w:themeColor="text1"/>
          <w:kern w:val="0"/>
          <w:sz w:val="24"/>
          <w:szCs w:val="24"/>
        </w:rPr>
        <w:t>H</w:t>
      </w:r>
      <w:r w:rsidRPr="00BE7E83">
        <w:rPr>
          <w:rFonts w:ascii="Book Antiqua" w:eastAsia="宋体" w:hAnsi="Book Antiqua" w:cs="Times New Roman"/>
          <w:color w:val="000000" w:themeColor="text1"/>
          <w:kern w:val="0"/>
          <w:sz w:val="24"/>
          <w:szCs w:val="24"/>
        </w:rPr>
        <w:t xml:space="preserve"> and </w:t>
      </w:r>
      <w:r w:rsidR="001E6C75" w:rsidRPr="00BE7E83">
        <w:rPr>
          <w:rFonts w:ascii="Book Antiqua" w:eastAsia="宋体" w:hAnsi="Book Antiqua" w:cs="Times New Roman"/>
          <w:color w:val="000000" w:themeColor="text1"/>
          <w:kern w:val="0"/>
          <w:sz w:val="24"/>
          <w:szCs w:val="24"/>
        </w:rPr>
        <w:t>Tan</w:t>
      </w:r>
      <w:r w:rsidR="002E6B25" w:rsidRPr="00BE7E83">
        <w:rPr>
          <w:rFonts w:ascii="Book Antiqua" w:eastAsia="宋体" w:hAnsi="Book Antiqua" w:cs="Times New Roman"/>
          <w:color w:val="000000" w:themeColor="text1"/>
          <w:kern w:val="0"/>
          <w:sz w:val="24"/>
          <w:szCs w:val="24"/>
        </w:rPr>
        <w:t xml:space="preserve"> J</w:t>
      </w:r>
      <w:r w:rsidR="00B57982" w:rsidRPr="00BE7E83">
        <w:rPr>
          <w:rFonts w:ascii="Book Antiqua" w:eastAsia="宋体" w:hAnsi="Book Antiqua" w:cs="Times New Roman"/>
          <w:color w:val="000000" w:themeColor="text1"/>
          <w:kern w:val="0"/>
          <w:sz w:val="24"/>
          <w:szCs w:val="24"/>
        </w:rPr>
        <w:t xml:space="preserve"> analyzed </w:t>
      </w:r>
      <w:r w:rsidR="00142331">
        <w:rPr>
          <w:rFonts w:ascii="Book Antiqua" w:eastAsia="宋体" w:hAnsi="Book Antiqua" w:cs="Times New Roman"/>
          <w:color w:val="000000" w:themeColor="text1"/>
          <w:kern w:val="0"/>
          <w:sz w:val="24"/>
          <w:szCs w:val="24"/>
        </w:rPr>
        <w:t xml:space="preserve">the </w:t>
      </w:r>
      <w:r w:rsidR="00B57982" w:rsidRPr="00BE7E83">
        <w:rPr>
          <w:rFonts w:ascii="Book Antiqua" w:eastAsia="宋体" w:hAnsi="Book Antiqua" w:cs="Times New Roman"/>
          <w:color w:val="000000" w:themeColor="text1"/>
          <w:kern w:val="0"/>
          <w:sz w:val="24"/>
          <w:szCs w:val="24"/>
        </w:rPr>
        <w:t>data.</w:t>
      </w:r>
    </w:p>
    <w:p w14:paraId="542AC48C" w14:textId="77777777" w:rsidR="00961022" w:rsidRPr="00BE7E83" w:rsidRDefault="00961022" w:rsidP="00BE7E83">
      <w:pPr>
        <w:widowControl/>
        <w:adjustRightInd w:val="0"/>
        <w:snapToGrid w:val="0"/>
        <w:spacing w:line="360" w:lineRule="auto"/>
        <w:rPr>
          <w:rFonts w:ascii="Book Antiqua" w:eastAsia="宋体" w:hAnsi="Book Antiqua" w:cs="Times New Roman"/>
          <w:b/>
          <w:bCs/>
          <w:color w:val="000000" w:themeColor="text1"/>
          <w:kern w:val="0"/>
          <w:sz w:val="24"/>
          <w:szCs w:val="24"/>
        </w:rPr>
      </w:pPr>
    </w:p>
    <w:p w14:paraId="07C32493" w14:textId="38227F5A" w:rsidR="001B06A2" w:rsidRPr="00BE7E83" w:rsidRDefault="001B06A2"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b/>
          <w:bCs/>
          <w:color w:val="000000" w:themeColor="text1"/>
          <w:kern w:val="0"/>
          <w:sz w:val="24"/>
          <w:szCs w:val="24"/>
        </w:rPr>
        <w:t>Supported by</w:t>
      </w:r>
      <w:r w:rsidRPr="00BE7E83">
        <w:rPr>
          <w:rFonts w:ascii="Book Antiqua" w:eastAsia="宋体" w:hAnsi="Book Antiqua" w:cs="Times New Roman"/>
          <w:color w:val="000000" w:themeColor="text1"/>
          <w:kern w:val="0"/>
          <w:sz w:val="24"/>
          <w:szCs w:val="24"/>
        </w:rPr>
        <w:t xml:space="preserve"> </w:t>
      </w:r>
      <w:bookmarkStart w:id="2" w:name="OLE_LINK1"/>
      <w:bookmarkStart w:id="3" w:name="OLE_LINK2"/>
      <w:r w:rsidR="00B57982" w:rsidRPr="00BE7E83">
        <w:rPr>
          <w:rFonts w:ascii="Book Antiqua" w:eastAsia="宋体" w:hAnsi="Book Antiqua" w:cs="Times New Roman"/>
          <w:color w:val="000000" w:themeColor="text1"/>
          <w:kern w:val="0"/>
          <w:sz w:val="24"/>
          <w:szCs w:val="24"/>
        </w:rPr>
        <w:t>the National Key Research and Development Program of China</w:t>
      </w:r>
      <w:bookmarkEnd w:id="2"/>
      <w:bookmarkEnd w:id="3"/>
      <w:r w:rsidR="00322142" w:rsidRPr="00BE7E83">
        <w:rPr>
          <w:rFonts w:ascii="Book Antiqua" w:eastAsia="宋体" w:hAnsi="Book Antiqua" w:cs="Times New Roman"/>
          <w:color w:val="000000" w:themeColor="text1"/>
          <w:kern w:val="0"/>
          <w:sz w:val="24"/>
          <w:szCs w:val="24"/>
        </w:rPr>
        <w:t>, No. 2017YFA0105404</w:t>
      </w:r>
      <w:r w:rsidRPr="00BE7E83">
        <w:rPr>
          <w:rFonts w:ascii="Book Antiqua" w:eastAsia="宋体" w:hAnsi="Book Antiqua" w:cs="Times New Roman"/>
          <w:color w:val="000000" w:themeColor="text1"/>
          <w:kern w:val="0"/>
          <w:sz w:val="24"/>
          <w:szCs w:val="24"/>
        </w:rPr>
        <w:t>.</w:t>
      </w:r>
    </w:p>
    <w:p w14:paraId="645EDC97" w14:textId="77777777" w:rsidR="00961022" w:rsidRPr="00BE7E83" w:rsidRDefault="00961022" w:rsidP="00BE7E83">
      <w:pPr>
        <w:widowControl/>
        <w:adjustRightInd w:val="0"/>
        <w:snapToGrid w:val="0"/>
        <w:spacing w:line="360" w:lineRule="auto"/>
        <w:rPr>
          <w:rFonts w:ascii="Book Antiqua" w:eastAsia="宋体" w:hAnsi="Book Antiqua" w:cs="Times New Roman"/>
          <w:b/>
          <w:bCs/>
          <w:color w:val="000000" w:themeColor="text1"/>
          <w:kern w:val="0"/>
          <w:sz w:val="24"/>
          <w:szCs w:val="24"/>
        </w:rPr>
      </w:pPr>
    </w:p>
    <w:p w14:paraId="25D00019" w14:textId="664988B3" w:rsidR="006B4233" w:rsidRPr="00BE7E83" w:rsidRDefault="001B06A2" w:rsidP="00BE7E83">
      <w:pPr>
        <w:widowControl/>
        <w:adjustRightInd w:val="0"/>
        <w:snapToGrid w:val="0"/>
        <w:spacing w:line="360" w:lineRule="auto"/>
        <w:rPr>
          <w:rFonts w:ascii="Book Antiqua" w:eastAsia="宋体" w:hAnsi="Book Antiqua" w:cs="Times New Roman"/>
          <w:color w:val="000000" w:themeColor="text1"/>
          <w:kern w:val="0"/>
          <w:sz w:val="24"/>
          <w:szCs w:val="24"/>
          <w:u w:val="single"/>
        </w:rPr>
      </w:pPr>
      <w:r w:rsidRPr="00BE7E83">
        <w:rPr>
          <w:rFonts w:ascii="Book Antiqua" w:eastAsia="宋体" w:hAnsi="Book Antiqua" w:cs="Times New Roman"/>
          <w:b/>
          <w:bCs/>
          <w:color w:val="000000" w:themeColor="text1"/>
          <w:kern w:val="0"/>
          <w:sz w:val="24"/>
          <w:szCs w:val="24"/>
        </w:rPr>
        <w:t xml:space="preserve">Corresponding author: </w:t>
      </w:r>
      <w:bookmarkStart w:id="4" w:name="OLE_LINK75"/>
      <w:bookmarkStart w:id="5" w:name="OLE_LINK76"/>
      <w:bookmarkStart w:id="6" w:name="OLE_LINK269"/>
      <w:r w:rsidR="004E1718" w:rsidRPr="00BE7E83">
        <w:rPr>
          <w:rFonts w:ascii="Book Antiqua" w:eastAsia="宋体" w:hAnsi="Book Antiqua" w:cs="Times New Roman"/>
          <w:b/>
          <w:bCs/>
          <w:color w:val="000000" w:themeColor="text1"/>
          <w:kern w:val="0"/>
          <w:sz w:val="24"/>
          <w:szCs w:val="24"/>
        </w:rPr>
        <w:t>Qi</w:t>
      </w:r>
      <w:r w:rsidR="00B57982" w:rsidRPr="00BE7E83">
        <w:rPr>
          <w:rFonts w:ascii="Book Antiqua" w:eastAsia="宋体" w:hAnsi="Book Antiqua" w:cs="Times New Roman"/>
          <w:b/>
          <w:bCs/>
          <w:color w:val="000000" w:themeColor="text1"/>
          <w:kern w:val="0"/>
          <w:sz w:val="24"/>
          <w:szCs w:val="24"/>
        </w:rPr>
        <w:t xml:space="preserve">-Hang </w:t>
      </w:r>
      <w:r w:rsidR="004E1718" w:rsidRPr="00BE7E83">
        <w:rPr>
          <w:rFonts w:ascii="Book Antiqua" w:eastAsia="宋体" w:hAnsi="Book Antiqua" w:cs="Times New Roman"/>
          <w:b/>
          <w:bCs/>
          <w:color w:val="000000" w:themeColor="text1"/>
          <w:kern w:val="0"/>
          <w:sz w:val="24"/>
          <w:szCs w:val="24"/>
        </w:rPr>
        <w:t>Su, MD, Doctor,</w:t>
      </w:r>
      <w:r w:rsidR="004E1718" w:rsidRPr="00BE7E83">
        <w:rPr>
          <w:rFonts w:ascii="Book Antiqua" w:eastAsia="宋体" w:hAnsi="Book Antiqua" w:cs="Times New Roman"/>
          <w:color w:val="000000" w:themeColor="text1"/>
          <w:kern w:val="0"/>
          <w:sz w:val="24"/>
          <w:szCs w:val="24"/>
        </w:rPr>
        <w:t xml:space="preserve"> Department of Orthopedics, Shanghai East Hospital, Tongji University School of Medicine, No.150</w:t>
      </w:r>
      <w:r w:rsidR="00FA07BE">
        <w:rPr>
          <w:rFonts w:ascii="Book Antiqua" w:eastAsia="宋体" w:hAnsi="Book Antiqua" w:cs="Times New Roman"/>
          <w:color w:val="000000" w:themeColor="text1"/>
          <w:kern w:val="0"/>
          <w:sz w:val="24"/>
          <w:szCs w:val="24"/>
        </w:rPr>
        <w:t xml:space="preserve">, </w:t>
      </w:r>
      <w:r w:rsidR="004E1718" w:rsidRPr="00BE7E83">
        <w:rPr>
          <w:rFonts w:ascii="Book Antiqua" w:eastAsia="宋体" w:hAnsi="Book Antiqua" w:cs="Times New Roman"/>
          <w:color w:val="000000" w:themeColor="text1"/>
          <w:kern w:val="0"/>
          <w:sz w:val="24"/>
          <w:szCs w:val="24"/>
        </w:rPr>
        <w:t xml:space="preserve">Jimo Road, Shanghai 200120, China. </w:t>
      </w:r>
      <w:hyperlink r:id="rId8" w:history="1">
        <w:r w:rsidR="004E1718" w:rsidRPr="00BE7E83">
          <w:rPr>
            <w:rStyle w:val="a9"/>
            <w:rFonts w:ascii="Book Antiqua" w:eastAsia="宋体" w:hAnsi="Book Antiqua" w:cs="Times New Roman"/>
            <w:kern w:val="0"/>
            <w:sz w:val="24"/>
            <w:szCs w:val="24"/>
          </w:rPr>
          <w:t>15221378017@163.com</w:t>
        </w:r>
      </w:hyperlink>
    </w:p>
    <w:p w14:paraId="771668E5" w14:textId="77777777" w:rsidR="004E1718" w:rsidRPr="00BE7E83" w:rsidRDefault="004E1718" w:rsidP="00BE7E83">
      <w:pPr>
        <w:widowControl/>
        <w:adjustRightInd w:val="0"/>
        <w:snapToGrid w:val="0"/>
        <w:spacing w:line="360" w:lineRule="auto"/>
        <w:rPr>
          <w:rFonts w:ascii="Book Antiqua" w:eastAsia="宋体" w:hAnsi="Book Antiqua" w:cs="Times New Roman"/>
          <w:b/>
          <w:bCs/>
          <w:color w:val="000000" w:themeColor="text1"/>
          <w:kern w:val="0"/>
          <w:sz w:val="24"/>
          <w:szCs w:val="24"/>
        </w:rPr>
      </w:pPr>
    </w:p>
    <w:p w14:paraId="5891AFEA" w14:textId="3E823FA2" w:rsidR="002E6B25" w:rsidRPr="00BE7E83" w:rsidRDefault="002E6B25" w:rsidP="00BE7E83">
      <w:pPr>
        <w:adjustRightInd w:val="0"/>
        <w:snapToGrid w:val="0"/>
        <w:spacing w:line="360" w:lineRule="auto"/>
        <w:rPr>
          <w:rFonts w:ascii="Book Antiqua" w:hAnsi="Book Antiqua"/>
          <w:sz w:val="24"/>
          <w:szCs w:val="24"/>
        </w:rPr>
      </w:pPr>
      <w:r w:rsidRPr="00BE7E83">
        <w:rPr>
          <w:rFonts w:ascii="Book Antiqua" w:hAnsi="Book Antiqua"/>
          <w:b/>
          <w:sz w:val="24"/>
          <w:szCs w:val="24"/>
        </w:rPr>
        <w:t xml:space="preserve">Received: </w:t>
      </w:r>
      <w:r w:rsidRPr="00BE7E83">
        <w:rPr>
          <w:rFonts w:ascii="Book Antiqua" w:hAnsi="Book Antiqua"/>
          <w:sz w:val="24"/>
          <w:szCs w:val="24"/>
        </w:rPr>
        <w:t>April 30, 2020</w:t>
      </w:r>
    </w:p>
    <w:p w14:paraId="68168B2F" w14:textId="77777777" w:rsidR="002E6B25" w:rsidRPr="00BE7E83" w:rsidRDefault="002E6B25" w:rsidP="00BE7E83">
      <w:pPr>
        <w:adjustRightInd w:val="0"/>
        <w:snapToGrid w:val="0"/>
        <w:spacing w:line="360" w:lineRule="auto"/>
        <w:rPr>
          <w:rFonts w:ascii="Book Antiqua" w:hAnsi="Book Antiqua"/>
          <w:b/>
          <w:sz w:val="24"/>
          <w:szCs w:val="24"/>
        </w:rPr>
      </w:pPr>
      <w:r w:rsidRPr="00BE7E83">
        <w:rPr>
          <w:rFonts w:ascii="Book Antiqua" w:hAnsi="Book Antiqua"/>
          <w:b/>
          <w:sz w:val="24"/>
          <w:szCs w:val="24"/>
        </w:rPr>
        <w:t xml:space="preserve">Revised: </w:t>
      </w:r>
      <w:r w:rsidRPr="00BE7E83">
        <w:rPr>
          <w:rFonts w:ascii="Book Antiqua" w:hAnsi="Book Antiqua"/>
          <w:sz w:val="24"/>
          <w:szCs w:val="24"/>
        </w:rPr>
        <w:t>June 9, 2020</w:t>
      </w:r>
    </w:p>
    <w:p w14:paraId="43E6687C" w14:textId="7FF82A09" w:rsidR="002E6B25" w:rsidRPr="00BE7E83" w:rsidRDefault="002E6B25" w:rsidP="00BE7E83">
      <w:pPr>
        <w:adjustRightInd w:val="0"/>
        <w:snapToGrid w:val="0"/>
        <w:spacing w:line="360" w:lineRule="auto"/>
        <w:rPr>
          <w:rFonts w:ascii="Book Antiqua" w:hAnsi="Book Antiqua"/>
          <w:color w:val="000000"/>
          <w:sz w:val="24"/>
          <w:szCs w:val="24"/>
        </w:rPr>
      </w:pPr>
      <w:r w:rsidRPr="00BE7E83">
        <w:rPr>
          <w:rFonts w:ascii="Book Antiqua" w:hAnsi="Book Antiqua"/>
          <w:b/>
          <w:sz w:val="24"/>
          <w:szCs w:val="24"/>
        </w:rPr>
        <w:t>Accepted:</w:t>
      </w:r>
      <w:r w:rsidR="00C50B09" w:rsidRPr="00C50B09">
        <w:t xml:space="preserve"> </w:t>
      </w:r>
      <w:r w:rsidR="00C50B09" w:rsidRPr="00C50B09">
        <w:rPr>
          <w:rFonts w:ascii="Book Antiqua" w:hAnsi="Book Antiqua"/>
          <w:bCs/>
          <w:sz w:val="24"/>
          <w:szCs w:val="24"/>
        </w:rPr>
        <w:t>July 17, 2020</w:t>
      </w:r>
      <w:r w:rsidRPr="00C50B09">
        <w:rPr>
          <w:rFonts w:ascii="Book Antiqua" w:hAnsi="Book Antiqua"/>
          <w:bCs/>
          <w:sz w:val="24"/>
          <w:szCs w:val="24"/>
        </w:rPr>
        <w:t xml:space="preserve"> </w:t>
      </w:r>
    </w:p>
    <w:p w14:paraId="794331CA" w14:textId="26BEB7F3" w:rsidR="002E6B25" w:rsidRPr="00BE7E83" w:rsidRDefault="002E6B25" w:rsidP="00BE7E83">
      <w:pPr>
        <w:adjustRightInd w:val="0"/>
        <w:snapToGrid w:val="0"/>
        <w:spacing w:line="360" w:lineRule="auto"/>
        <w:rPr>
          <w:rFonts w:ascii="Book Antiqua" w:hAnsi="Book Antiqua"/>
          <w:b/>
          <w:sz w:val="24"/>
          <w:szCs w:val="24"/>
        </w:rPr>
      </w:pPr>
      <w:r w:rsidRPr="00BE7E83">
        <w:rPr>
          <w:rFonts w:ascii="Book Antiqua" w:hAnsi="Book Antiqua"/>
          <w:b/>
          <w:sz w:val="24"/>
          <w:szCs w:val="24"/>
        </w:rPr>
        <w:t>Published online</w:t>
      </w:r>
      <w:bookmarkEnd w:id="4"/>
      <w:bookmarkEnd w:id="5"/>
      <w:bookmarkEnd w:id="6"/>
      <w:r w:rsidRPr="00BE7E83">
        <w:rPr>
          <w:rFonts w:ascii="Book Antiqua" w:hAnsi="Book Antiqua"/>
          <w:b/>
          <w:sz w:val="24"/>
          <w:szCs w:val="24"/>
        </w:rPr>
        <w:t>:</w:t>
      </w:r>
      <w:r w:rsidR="00EF3D7F" w:rsidRPr="00EF3D7F">
        <w:rPr>
          <w:rFonts w:ascii="Book Antiqua" w:hAnsi="Book Antiqua"/>
          <w:color w:val="000000"/>
        </w:rPr>
        <w:t xml:space="preserve"> </w:t>
      </w:r>
      <w:r w:rsidR="00EF3D7F" w:rsidRPr="00DD3935">
        <w:rPr>
          <w:rFonts w:ascii="Book Antiqua" w:hAnsi="Book Antiqua"/>
          <w:color w:val="000000"/>
        </w:rPr>
        <w:t>August</w:t>
      </w:r>
      <w:r w:rsidR="00EF3D7F" w:rsidRPr="00DD3935">
        <w:rPr>
          <w:rFonts w:ascii="Book Antiqua" w:hAnsi="Book Antiqua" w:hint="eastAsia"/>
          <w:color w:val="000000"/>
        </w:rPr>
        <w:t xml:space="preserve"> 26, 2020</w:t>
      </w:r>
    </w:p>
    <w:p w14:paraId="21D9FCEF" w14:textId="3BBCBDFB" w:rsidR="00CE4E9B" w:rsidRPr="00BE7E83" w:rsidRDefault="004E1718" w:rsidP="00BE7E83">
      <w:pPr>
        <w:widowControl/>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br w:type="page"/>
      </w:r>
      <w:r w:rsidR="00CE4E9B" w:rsidRPr="00BE7E83">
        <w:rPr>
          <w:rFonts w:ascii="Book Antiqua" w:hAnsi="Book Antiqua" w:cs="Times New Roman"/>
          <w:b/>
          <w:color w:val="000000" w:themeColor="text1"/>
          <w:sz w:val="24"/>
          <w:szCs w:val="24"/>
        </w:rPr>
        <w:lastRenderedPageBreak/>
        <w:t>Abstract</w:t>
      </w:r>
    </w:p>
    <w:p w14:paraId="42C91BB0" w14:textId="77777777" w:rsidR="002E6B25" w:rsidRPr="00BE7E83" w:rsidRDefault="00E1714D" w:rsidP="00BE7E83">
      <w:pPr>
        <w:pStyle w:val="a8"/>
        <w:snapToGrid w:val="0"/>
        <w:spacing w:line="360" w:lineRule="auto"/>
        <w:rPr>
          <w:rFonts w:ascii="Book Antiqua" w:hAnsi="Book Antiqua" w:cs="Times New Roman"/>
          <w:bCs/>
          <w:color w:val="000000" w:themeColor="text1"/>
          <w:sz w:val="24"/>
          <w:szCs w:val="24"/>
        </w:rPr>
      </w:pPr>
      <w:r w:rsidRPr="00BE7E83">
        <w:rPr>
          <w:rFonts w:ascii="Book Antiqua" w:hAnsi="Book Antiqua" w:cs="Times New Roman"/>
          <w:bCs/>
          <w:color w:val="000000" w:themeColor="text1"/>
          <w:sz w:val="24"/>
          <w:szCs w:val="24"/>
        </w:rPr>
        <w:t>BACKGROUND</w:t>
      </w:r>
    </w:p>
    <w:p w14:paraId="383817FD" w14:textId="63E43690" w:rsidR="00CE4E9B" w:rsidRPr="00BE7E83" w:rsidRDefault="00322142" w:rsidP="00BE7E83">
      <w:pPr>
        <w:pStyle w:val="a8"/>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Conventional plain X-ray images of rats, the most common animals </w:t>
      </w:r>
      <w:r w:rsidR="000F0802" w:rsidRPr="00BE7E83">
        <w:rPr>
          <w:rFonts w:ascii="Book Antiqua" w:hAnsi="Book Antiqua" w:cs="Times New Roman"/>
          <w:color w:val="000000" w:themeColor="text1"/>
          <w:sz w:val="24"/>
          <w:szCs w:val="24"/>
        </w:rPr>
        <w:t xml:space="preserve">used </w:t>
      </w:r>
      <w:r w:rsidRPr="00BE7E83">
        <w:rPr>
          <w:rFonts w:ascii="Book Antiqua" w:hAnsi="Book Antiqua" w:cs="Times New Roman"/>
          <w:color w:val="000000" w:themeColor="text1"/>
          <w:sz w:val="24"/>
          <w:szCs w:val="24"/>
        </w:rPr>
        <w:t>as degeneration models, exhibit unclear vertebral structure and blurry intervertebral disc spaces due to their small size, slender vertebral bodies</w:t>
      </w:r>
      <w:r w:rsidR="00EA6F45" w:rsidRPr="00BE7E83">
        <w:rPr>
          <w:rFonts w:ascii="Book Antiqua" w:hAnsi="Book Antiqua" w:cs="Times New Roman"/>
          <w:color w:val="000000" w:themeColor="text1"/>
          <w:sz w:val="24"/>
          <w:szCs w:val="24"/>
        </w:rPr>
        <w:t>.</w:t>
      </w:r>
    </w:p>
    <w:p w14:paraId="5AFD11B6" w14:textId="77777777" w:rsidR="002E6B25" w:rsidRPr="00BE7E83" w:rsidRDefault="002E6B25" w:rsidP="00BE7E83">
      <w:pPr>
        <w:pStyle w:val="a8"/>
        <w:snapToGrid w:val="0"/>
        <w:spacing w:line="360" w:lineRule="auto"/>
        <w:rPr>
          <w:rFonts w:ascii="Book Antiqua" w:hAnsi="Book Antiqua" w:cs="Times New Roman"/>
          <w:color w:val="000000" w:themeColor="text1"/>
          <w:sz w:val="24"/>
          <w:szCs w:val="24"/>
        </w:rPr>
      </w:pPr>
    </w:p>
    <w:p w14:paraId="399D53ED" w14:textId="77777777" w:rsidR="002E6B25" w:rsidRPr="00BE7E83" w:rsidRDefault="00322142" w:rsidP="00BE7E83">
      <w:pPr>
        <w:pStyle w:val="a8"/>
        <w:snapToGrid w:val="0"/>
        <w:spacing w:line="360" w:lineRule="auto"/>
        <w:rPr>
          <w:rFonts w:ascii="Book Antiqua" w:hAnsi="Book Antiqua" w:cs="Times New Roman"/>
          <w:bCs/>
          <w:color w:val="000000" w:themeColor="text1"/>
          <w:sz w:val="24"/>
          <w:szCs w:val="24"/>
        </w:rPr>
      </w:pPr>
      <w:r w:rsidRPr="00BE7E83">
        <w:rPr>
          <w:rFonts w:ascii="Book Antiqua" w:hAnsi="Book Antiqua" w:cs="Times New Roman"/>
          <w:bCs/>
          <w:color w:val="000000" w:themeColor="text1"/>
          <w:sz w:val="24"/>
          <w:szCs w:val="24"/>
        </w:rPr>
        <w:t>AIM</w:t>
      </w:r>
    </w:p>
    <w:p w14:paraId="63A978A6" w14:textId="75FB87B7" w:rsidR="00322142" w:rsidRPr="00BE7E83" w:rsidRDefault="00322142" w:rsidP="00BE7E83">
      <w:pPr>
        <w:pStyle w:val="a8"/>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To apply molybdenum target </w:t>
      </w:r>
      <w:r w:rsidR="002377E9">
        <w:rPr>
          <w:rFonts w:ascii="Book Antiqua" w:hAnsi="Book Antiqua" w:cs="Times New Roman"/>
          <w:color w:val="000000" w:themeColor="text1"/>
          <w:sz w:val="24"/>
          <w:szCs w:val="24"/>
        </w:rPr>
        <w:t>X-ray photography</w:t>
      </w:r>
      <w:r w:rsidRPr="00BE7E83">
        <w:rPr>
          <w:rFonts w:ascii="Book Antiqua" w:hAnsi="Book Antiqua" w:cs="Times New Roman"/>
          <w:color w:val="000000" w:themeColor="text1"/>
          <w:sz w:val="24"/>
          <w:szCs w:val="24"/>
        </w:rPr>
        <w:t xml:space="preserve"> in the evaluation of caudal intervertebral disc (IVD) degeneration in rat models.</w:t>
      </w:r>
    </w:p>
    <w:p w14:paraId="77865211" w14:textId="77777777" w:rsidR="002E6B25" w:rsidRPr="00BE7E83" w:rsidRDefault="002E6B25" w:rsidP="00BE7E83">
      <w:pPr>
        <w:pStyle w:val="a8"/>
        <w:snapToGrid w:val="0"/>
        <w:spacing w:line="360" w:lineRule="auto"/>
        <w:rPr>
          <w:rFonts w:ascii="Book Antiqua" w:hAnsi="Book Antiqua" w:cs="Times New Roman"/>
          <w:color w:val="000000" w:themeColor="text1"/>
          <w:sz w:val="24"/>
          <w:szCs w:val="24"/>
        </w:rPr>
      </w:pPr>
    </w:p>
    <w:p w14:paraId="7707473D" w14:textId="77777777" w:rsidR="002E6B25" w:rsidRPr="00BE7E83" w:rsidRDefault="00E1714D" w:rsidP="00BE7E83">
      <w:pPr>
        <w:pStyle w:val="a8"/>
        <w:snapToGrid w:val="0"/>
        <w:spacing w:line="360" w:lineRule="auto"/>
        <w:rPr>
          <w:rFonts w:ascii="Book Antiqua" w:hAnsi="Book Antiqua" w:cs="Times New Roman"/>
          <w:bCs/>
          <w:color w:val="000000" w:themeColor="text1"/>
          <w:sz w:val="24"/>
          <w:szCs w:val="24"/>
        </w:rPr>
      </w:pPr>
      <w:r w:rsidRPr="00BE7E83">
        <w:rPr>
          <w:rFonts w:ascii="Book Antiqua" w:hAnsi="Book Antiqua" w:cs="Times New Roman"/>
          <w:bCs/>
          <w:color w:val="000000" w:themeColor="text1"/>
          <w:sz w:val="24"/>
          <w:szCs w:val="24"/>
        </w:rPr>
        <w:t>METHODS</w:t>
      </w:r>
    </w:p>
    <w:p w14:paraId="6D44F31B" w14:textId="63E8456A" w:rsidR="00CE4E9B" w:rsidRPr="00BE7E83" w:rsidRDefault="00CE4E9B" w:rsidP="00BE7E83">
      <w:pPr>
        <w:pStyle w:val="a8"/>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Two </w:t>
      </w:r>
      <w:r w:rsidR="002377E9">
        <w:rPr>
          <w:rFonts w:ascii="Book Antiqua" w:hAnsi="Book Antiqua" w:cs="Times New Roman"/>
          <w:color w:val="000000" w:themeColor="text1"/>
          <w:sz w:val="24"/>
          <w:szCs w:val="24"/>
        </w:rPr>
        <w:t>types</w:t>
      </w:r>
      <w:r w:rsidRPr="00BE7E83">
        <w:rPr>
          <w:rFonts w:ascii="Book Antiqua" w:hAnsi="Book Antiqua" w:cs="Times New Roman"/>
          <w:color w:val="000000" w:themeColor="text1"/>
          <w:sz w:val="24"/>
          <w:szCs w:val="24"/>
        </w:rPr>
        <w:t xml:space="preserve"> of rat caudal IVD degeneration models (needle-punctured model and endplate-destructed model) were established, and their effectiveness was verified using nuclear magnetic resonance imaging. Molybdenum target inspection and routine </w:t>
      </w:r>
      <w:r w:rsidR="002377E9" w:rsidRPr="00BE7E83">
        <w:rPr>
          <w:rFonts w:ascii="Book Antiqua" w:hAnsi="Book Antiqua" w:cs="Times New Roman"/>
          <w:color w:val="000000" w:themeColor="text1"/>
          <w:sz w:val="24"/>
          <w:szCs w:val="24"/>
        </w:rPr>
        <w:t xml:space="preserve">plain </w:t>
      </w:r>
      <w:r w:rsidRPr="00BE7E83">
        <w:rPr>
          <w:rFonts w:ascii="Book Antiqua" w:hAnsi="Book Antiqua" w:cs="Times New Roman"/>
          <w:color w:val="000000" w:themeColor="text1"/>
          <w:sz w:val="24"/>
          <w:szCs w:val="24"/>
        </w:rPr>
        <w:t>X-ray were then performed on the</w:t>
      </w:r>
      <w:r w:rsidR="00703038">
        <w:rPr>
          <w:rFonts w:ascii="Book Antiqua" w:hAnsi="Book Antiqua" w:cs="Times New Roman"/>
          <w:color w:val="000000" w:themeColor="text1"/>
          <w:sz w:val="24"/>
          <w:szCs w:val="24"/>
        </w:rPr>
        <w:t>se</w:t>
      </w:r>
      <w:r w:rsidRPr="00BE7E83">
        <w:rPr>
          <w:rFonts w:ascii="Book Antiqua" w:hAnsi="Book Antiqua" w:cs="Times New Roman"/>
          <w:color w:val="000000" w:themeColor="text1"/>
          <w:sz w:val="24"/>
          <w:szCs w:val="24"/>
        </w:rPr>
        <w:t xml:space="preserve"> models. Additionally, four observers were assigned to measure the intervertebral height of degenerated segments on molybdenum target plain X-ray images and routine plain X-ray images, respectively. The degeneration was evaluated and statistical analys</w:t>
      </w:r>
      <w:r w:rsidR="002377E9">
        <w:rPr>
          <w:rFonts w:ascii="Book Antiqua" w:hAnsi="Book Antiqua" w:cs="Times New Roman"/>
          <w:color w:val="000000" w:themeColor="text1"/>
          <w:sz w:val="24"/>
          <w:szCs w:val="24"/>
        </w:rPr>
        <w:t>is</w:t>
      </w:r>
      <w:r w:rsidRPr="00BE7E83">
        <w:rPr>
          <w:rFonts w:ascii="Book Antiqua" w:hAnsi="Book Antiqua" w:cs="Times New Roman"/>
          <w:color w:val="000000" w:themeColor="text1"/>
          <w:sz w:val="24"/>
          <w:szCs w:val="24"/>
        </w:rPr>
        <w:t xml:space="preserve"> was subsequently conducted. </w:t>
      </w:r>
    </w:p>
    <w:p w14:paraId="092F4E12" w14:textId="77777777" w:rsidR="002E6B25" w:rsidRPr="00BE7E83" w:rsidRDefault="002E6B25" w:rsidP="00BE7E83">
      <w:pPr>
        <w:pStyle w:val="a8"/>
        <w:snapToGrid w:val="0"/>
        <w:spacing w:line="360" w:lineRule="auto"/>
        <w:rPr>
          <w:rFonts w:ascii="Book Antiqua" w:hAnsi="Book Antiqua" w:cs="Times New Roman"/>
          <w:color w:val="000000" w:themeColor="text1"/>
          <w:sz w:val="24"/>
          <w:szCs w:val="24"/>
        </w:rPr>
      </w:pPr>
    </w:p>
    <w:p w14:paraId="76D2B45E" w14:textId="77777777" w:rsidR="002E6B25" w:rsidRPr="00BE7E83" w:rsidRDefault="00E1714D" w:rsidP="00BE7E83">
      <w:pPr>
        <w:pStyle w:val="a8"/>
        <w:snapToGrid w:val="0"/>
        <w:spacing w:line="360" w:lineRule="auto"/>
        <w:rPr>
          <w:rFonts w:ascii="Book Antiqua" w:hAnsi="Book Antiqua" w:cs="Times New Roman"/>
          <w:bCs/>
          <w:color w:val="000000" w:themeColor="text1"/>
          <w:sz w:val="24"/>
          <w:szCs w:val="24"/>
        </w:rPr>
      </w:pPr>
      <w:r w:rsidRPr="00BE7E83">
        <w:rPr>
          <w:rFonts w:ascii="Book Antiqua" w:hAnsi="Book Antiqua" w:cs="Times New Roman"/>
          <w:bCs/>
          <w:color w:val="000000" w:themeColor="text1"/>
          <w:sz w:val="24"/>
          <w:szCs w:val="24"/>
        </w:rPr>
        <w:t>RESULTS</w:t>
      </w:r>
    </w:p>
    <w:p w14:paraId="0C5E8452" w14:textId="77777777" w:rsidR="00CE4E9B" w:rsidRPr="00BE7E83" w:rsidRDefault="00CE4E9B" w:rsidP="00BE7E83">
      <w:pPr>
        <w:pStyle w:val="a8"/>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Nine rats in the needle-punctured model and 10 rats in the endplate-destructed model were effective. Compared with routine plain X-ray images, molybdenum target plain X-ray images showed higher clarity, stronger contrast, as well as clearer and more accurate structural development. The McNemar test confirmed that the difference was statistically significant (</w:t>
      </w:r>
      <w:r w:rsidRPr="00BE7E83">
        <w:rPr>
          <w:rFonts w:ascii="Book Antiqua" w:hAnsi="Book Antiqua" w:cs="Times New Roman"/>
          <w:i/>
          <w:color w:val="000000" w:themeColor="text1"/>
          <w:sz w:val="24"/>
          <w:szCs w:val="24"/>
        </w:rPr>
        <w:t>P</w:t>
      </w:r>
      <w:r w:rsidR="003B7C38" w:rsidRPr="00BE7E83">
        <w:rPr>
          <w:rFonts w:ascii="Book Antiqua" w:hAnsi="Book Antiqua" w:cs="Times New Roman"/>
          <w:i/>
          <w:color w:val="000000" w:themeColor="text1"/>
          <w:sz w:val="24"/>
          <w:szCs w:val="24"/>
        </w:rPr>
        <w:t xml:space="preserve"> </w:t>
      </w:r>
      <w:r w:rsidRPr="00BE7E83">
        <w:rPr>
          <w:rFonts w:ascii="Book Antiqua" w:hAnsi="Book Antiqua" w:cs="Times New Roman"/>
          <w:color w:val="000000" w:themeColor="text1"/>
          <w:sz w:val="24"/>
          <w:szCs w:val="24"/>
        </w:rPr>
        <w:t>=</w:t>
      </w:r>
      <w:r w:rsidR="003B7C38"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0.031). In the two models, the reliability of the intervertebral height measured by the four observers on routine p</w:t>
      </w:r>
      <w:r w:rsidR="00CF5890" w:rsidRPr="00BE7E83">
        <w:rPr>
          <w:rFonts w:ascii="Book Antiqua" w:hAnsi="Book Antiqua" w:cs="Times New Roman"/>
          <w:color w:val="000000" w:themeColor="text1"/>
          <w:sz w:val="24"/>
          <w:szCs w:val="24"/>
        </w:rPr>
        <w:t>lain X-ray images was poor</w:t>
      </w:r>
      <w:r w:rsidR="00CF5890" w:rsidRPr="00BE7E83">
        <w:rPr>
          <w:rFonts w:ascii="Book Antiqua" w:hAnsi="Book Antiqua" w:cs="Times New Roman"/>
          <w:color w:val="C00000"/>
          <w:sz w:val="24"/>
          <w:szCs w:val="24"/>
        </w:rPr>
        <w:t xml:space="preserve"> </w:t>
      </w:r>
      <w:r w:rsidR="00CF5890" w:rsidRPr="00BE7E83">
        <w:rPr>
          <w:rFonts w:ascii="Book Antiqua" w:hAnsi="Book Antiqua" w:cs="Times New Roman"/>
          <w:color w:val="000000" w:themeColor="text1"/>
          <w:sz w:val="24"/>
          <w:szCs w:val="24"/>
        </w:rPr>
        <w:t>(ICC</w:t>
      </w:r>
      <w:r w:rsidR="003B7C38" w:rsidRPr="00BE7E83">
        <w:rPr>
          <w:rFonts w:ascii="Book Antiqua" w:hAnsi="Book Antiqua" w:cs="Times New Roman"/>
          <w:color w:val="C00000"/>
          <w:sz w:val="24"/>
          <w:szCs w:val="24"/>
        </w:rPr>
        <w:t xml:space="preserve"> </w:t>
      </w:r>
      <w:r w:rsidR="00CF5890" w:rsidRPr="00BE7E83">
        <w:rPr>
          <w:rFonts w:ascii="Book Antiqua" w:hAnsi="Book Antiqua" w:cs="Times New Roman"/>
          <w:color w:val="000000" w:themeColor="text1"/>
          <w:sz w:val="24"/>
          <w:szCs w:val="24"/>
        </w:rPr>
        <w:t>&lt;</w:t>
      </w:r>
      <w:r w:rsidR="003B7C38"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 xml:space="preserve">0.4), while the data obtained from the molybdenum target plain X-ray images were more reliable. </w:t>
      </w:r>
    </w:p>
    <w:p w14:paraId="2106EF2B" w14:textId="77777777" w:rsidR="002E6B25" w:rsidRPr="00BE7E83" w:rsidRDefault="002E6B25" w:rsidP="00BE7E83">
      <w:pPr>
        <w:pStyle w:val="a8"/>
        <w:snapToGrid w:val="0"/>
        <w:spacing w:line="360" w:lineRule="auto"/>
        <w:rPr>
          <w:rFonts w:ascii="Book Antiqua" w:hAnsi="Book Antiqua" w:cs="Times New Roman"/>
          <w:b/>
          <w:color w:val="000000" w:themeColor="text1"/>
          <w:sz w:val="24"/>
          <w:szCs w:val="24"/>
        </w:rPr>
      </w:pPr>
    </w:p>
    <w:p w14:paraId="22121300" w14:textId="77777777" w:rsidR="002E6B25" w:rsidRPr="00BE7E83" w:rsidRDefault="00E1714D" w:rsidP="00BE7E83">
      <w:pPr>
        <w:pStyle w:val="a8"/>
        <w:snapToGrid w:val="0"/>
        <w:spacing w:line="360" w:lineRule="auto"/>
        <w:rPr>
          <w:rFonts w:ascii="Book Antiqua" w:hAnsi="Book Antiqua" w:cs="Times New Roman"/>
          <w:bCs/>
          <w:color w:val="000000" w:themeColor="text1"/>
          <w:sz w:val="24"/>
          <w:szCs w:val="24"/>
        </w:rPr>
      </w:pPr>
      <w:r w:rsidRPr="00BE7E83">
        <w:rPr>
          <w:rFonts w:ascii="Book Antiqua" w:hAnsi="Book Antiqua" w:cs="Times New Roman"/>
          <w:bCs/>
          <w:color w:val="000000" w:themeColor="text1"/>
          <w:sz w:val="24"/>
          <w:szCs w:val="24"/>
        </w:rPr>
        <w:t>CONCLUSION</w:t>
      </w:r>
    </w:p>
    <w:p w14:paraId="2A6F9A54" w14:textId="036C9CD2" w:rsidR="00CE4E9B" w:rsidRPr="00BE7E83" w:rsidRDefault="00CE4E9B" w:rsidP="00BE7E83">
      <w:pPr>
        <w:pStyle w:val="a8"/>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color w:val="000000" w:themeColor="text1"/>
          <w:sz w:val="24"/>
          <w:szCs w:val="24"/>
        </w:rPr>
        <w:t>Molybdenum target inspection can obtain clearer images and display fine calcification in the imaging evaluation of caudal IVD degeneration in rats, thus ensuring a more accurate evaluation of degeneration.</w:t>
      </w:r>
    </w:p>
    <w:p w14:paraId="16804C41" w14:textId="77777777" w:rsidR="003B7C38" w:rsidRPr="00BE7E83" w:rsidRDefault="003B7C38" w:rsidP="00BE7E83">
      <w:pPr>
        <w:pStyle w:val="a8"/>
        <w:snapToGrid w:val="0"/>
        <w:spacing w:line="360" w:lineRule="auto"/>
        <w:rPr>
          <w:rFonts w:ascii="Book Antiqua" w:hAnsi="Book Antiqua" w:cs="Times New Roman"/>
          <w:b/>
          <w:color w:val="000000" w:themeColor="text1"/>
          <w:sz w:val="24"/>
          <w:szCs w:val="24"/>
        </w:rPr>
      </w:pPr>
    </w:p>
    <w:p w14:paraId="52FA14E1" w14:textId="60BBCE3F" w:rsidR="00CE4E9B" w:rsidRPr="00BE7E83" w:rsidRDefault="00CE4E9B"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b/>
          <w:color w:val="000000" w:themeColor="text1"/>
          <w:sz w:val="24"/>
          <w:szCs w:val="24"/>
        </w:rPr>
        <w:t>Key</w:t>
      </w:r>
      <w:r w:rsidR="003B7C38" w:rsidRPr="00BE7E83">
        <w:rPr>
          <w:rFonts w:ascii="Book Antiqua" w:hAnsi="Book Antiqua" w:cs="Times New Roman"/>
          <w:b/>
          <w:color w:val="000000" w:themeColor="text1"/>
          <w:sz w:val="24"/>
          <w:szCs w:val="24"/>
        </w:rPr>
        <w:t xml:space="preserve"> </w:t>
      </w:r>
      <w:r w:rsidRPr="00BE7E83">
        <w:rPr>
          <w:rFonts w:ascii="Book Antiqua" w:hAnsi="Book Antiqua" w:cs="Times New Roman"/>
          <w:b/>
          <w:color w:val="000000" w:themeColor="text1"/>
          <w:sz w:val="24"/>
          <w:szCs w:val="24"/>
        </w:rPr>
        <w:t>words:</w:t>
      </w:r>
      <w:r w:rsidR="003B7C38" w:rsidRPr="00BE7E83">
        <w:rPr>
          <w:rFonts w:ascii="Book Antiqua" w:hAnsi="Book Antiqua" w:cs="Times New Roman"/>
          <w:b/>
          <w:color w:val="000000" w:themeColor="text1"/>
          <w:sz w:val="24"/>
          <w:szCs w:val="24"/>
        </w:rPr>
        <w:t xml:space="preserve"> </w:t>
      </w:r>
      <w:r w:rsidRPr="00BE7E83">
        <w:rPr>
          <w:rFonts w:ascii="Book Antiqua" w:hAnsi="Book Antiqua" w:cs="Times New Roman"/>
          <w:color w:val="000000" w:themeColor="text1"/>
          <w:sz w:val="24"/>
          <w:szCs w:val="24"/>
        </w:rPr>
        <w:t xml:space="preserve">Molybdenum target inspection; Routine </w:t>
      </w:r>
      <w:r w:rsidR="002377E9" w:rsidRPr="00BE7E83">
        <w:rPr>
          <w:rFonts w:ascii="Book Antiqua" w:hAnsi="Book Antiqua" w:cs="Times New Roman"/>
          <w:color w:val="000000" w:themeColor="text1"/>
          <w:sz w:val="24"/>
          <w:szCs w:val="24"/>
        </w:rPr>
        <w:t xml:space="preserve">plain </w:t>
      </w:r>
      <w:r w:rsidRPr="00BE7E83">
        <w:rPr>
          <w:rFonts w:ascii="Book Antiqua" w:hAnsi="Book Antiqua" w:cs="Times New Roman"/>
          <w:color w:val="000000" w:themeColor="text1"/>
          <w:sz w:val="24"/>
          <w:szCs w:val="24"/>
        </w:rPr>
        <w:t>X-ray; Intervertebral disc degeneration model; Animal experiment</w:t>
      </w:r>
      <w:r w:rsidR="00977CE7" w:rsidRPr="00BE7E83">
        <w:rPr>
          <w:rFonts w:ascii="Book Antiqua" w:hAnsi="Book Antiqua" w:cs="Times New Roman"/>
          <w:color w:val="000000" w:themeColor="text1"/>
          <w:sz w:val="24"/>
          <w:szCs w:val="24"/>
        </w:rPr>
        <w:t>; Imaging analysis; McNemar test</w:t>
      </w:r>
    </w:p>
    <w:p w14:paraId="32576724" w14:textId="5E1C9649" w:rsidR="00FF564E" w:rsidRPr="00BE7E83" w:rsidRDefault="00FF564E" w:rsidP="00BE7E83">
      <w:pPr>
        <w:snapToGrid w:val="0"/>
        <w:spacing w:line="360" w:lineRule="auto"/>
        <w:rPr>
          <w:rFonts w:ascii="Book Antiqua" w:hAnsi="Book Antiqua" w:cs="Times New Roman"/>
          <w:color w:val="000000" w:themeColor="text1"/>
          <w:sz w:val="24"/>
          <w:szCs w:val="24"/>
        </w:rPr>
      </w:pPr>
    </w:p>
    <w:p w14:paraId="31842CDB" w14:textId="0AA5659D" w:rsidR="00500050" w:rsidRDefault="00500050" w:rsidP="00BE7E83">
      <w:pPr>
        <w:pStyle w:val="a8"/>
        <w:snapToGrid w:val="0"/>
        <w:spacing w:line="360" w:lineRule="auto"/>
        <w:rPr>
          <w:rFonts w:ascii="Book Antiqua" w:hAnsi="Book Antiqua" w:hint="eastAsia"/>
        </w:rPr>
      </w:pPr>
      <w:bookmarkStart w:id="7" w:name="OLE_LINK7"/>
      <w:bookmarkStart w:id="8" w:name="OLE_LINK8"/>
      <w:r w:rsidRPr="00500050">
        <w:rPr>
          <w:rFonts w:ascii="Book Antiqua" w:eastAsia="宋体" w:hAnsi="Book Antiqua" w:cs="Times New Roman" w:hint="eastAsia"/>
          <w:b/>
          <w:color w:val="000000" w:themeColor="text1"/>
          <w:kern w:val="0"/>
          <w:sz w:val="24"/>
          <w:szCs w:val="24"/>
        </w:rPr>
        <w:t xml:space="preserve">Citation: </w:t>
      </w:r>
      <w:r w:rsidR="00FF564E" w:rsidRPr="00BE7E83">
        <w:rPr>
          <w:rFonts w:ascii="Book Antiqua" w:eastAsia="宋体" w:hAnsi="Book Antiqua" w:cs="Times New Roman"/>
          <w:color w:val="000000" w:themeColor="text1"/>
          <w:kern w:val="0"/>
          <w:sz w:val="24"/>
          <w:szCs w:val="24"/>
        </w:rPr>
        <w:t>Su Q</w:t>
      </w:r>
      <w:r w:rsidR="00EA6F45" w:rsidRPr="00BE7E83">
        <w:rPr>
          <w:rFonts w:ascii="Book Antiqua" w:eastAsia="宋体" w:hAnsi="Book Antiqua" w:cs="Times New Roman"/>
          <w:color w:val="000000" w:themeColor="text1"/>
          <w:kern w:val="0"/>
          <w:sz w:val="24"/>
          <w:szCs w:val="24"/>
        </w:rPr>
        <w:t>H</w:t>
      </w:r>
      <w:r w:rsidR="00FF564E" w:rsidRPr="00BE7E83">
        <w:rPr>
          <w:rFonts w:ascii="Book Antiqua" w:eastAsia="宋体" w:hAnsi="Book Antiqua" w:cs="Times New Roman"/>
          <w:color w:val="000000" w:themeColor="text1"/>
          <w:kern w:val="0"/>
          <w:sz w:val="24"/>
          <w:szCs w:val="24"/>
        </w:rPr>
        <w:t>, Zhang Y, Shen B, Li Y</w:t>
      </w:r>
      <w:r w:rsidR="00EA6F45" w:rsidRPr="00BE7E83">
        <w:rPr>
          <w:rFonts w:ascii="Book Antiqua" w:eastAsia="宋体" w:hAnsi="Book Antiqua" w:cs="Times New Roman"/>
          <w:color w:val="000000" w:themeColor="text1"/>
          <w:kern w:val="0"/>
          <w:sz w:val="24"/>
          <w:szCs w:val="24"/>
        </w:rPr>
        <w:t>C</w:t>
      </w:r>
      <w:r w:rsidR="00FF564E" w:rsidRPr="00BE7E83">
        <w:rPr>
          <w:rFonts w:ascii="Book Antiqua" w:eastAsia="宋体" w:hAnsi="Book Antiqua" w:cs="Times New Roman"/>
          <w:color w:val="000000" w:themeColor="text1"/>
          <w:kern w:val="0"/>
          <w:sz w:val="24"/>
          <w:szCs w:val="24"/>
        </w:rPr>
        <w:t xml:space="preserve">, Tan J. </w:t>
      </w:r>
      <w:r w:rsidR="003343A3" w:rsidRPr="00BE7E83">
        <w:rPr>
          <w:rFonts w:ascii="Book Antiqua" w:hAnsi="Book Antiqua" w:cs="Times New Roman"/>
          <w:bCs/>
          <w:color w:val="000000" w:themeColor="text1"/>
          <w:sz w:val="24"/>
          <w:szCs w:val="24"/>
        </w:rPr>
        <w:t>Application of molybdenum target X-</w:t>
      </w:r>
      <w:r w:rsidR="00EA6F45" w:rsidRPr="00BE7E83">
        <w:rPr>
          <w:rFonts w:ascii="Book Antiqua" w:hAnsi="Book Antiqua" w:cs="Times New Roman"/>
          <w:bCs/>
          <w:color w:val="000000" w:themeColor="text1"/>
          <w:sz w:val="24"/>
          <w:szCs w:val="24"/>
        </w:rPr>
        <w:t xml:space="preserve">ray </w:t>
      </w:r>
      <w:r w:rsidR="003343A3" w:rsidRPr="00BE7E83">
        <w:rPr>
          <w:rFonts w:ascii="Book Antiqua" w:hAnsi="Book Antiqua" w:cs="Times New Roman"/>
          <w:bCs/>
          <w:color w:val="000000" w:themeColor="text1"/>
          <w:sz w:val="24"/>
          <w:szCs w:val="24"/>
        </w:rPr>
        <w:t>photography in imaging analysis of caudal intervertebral disc degeneration in rats</w:t>
      </w:r>
      <w:r w:rsidR="00FF564E" w:rsidRPr="00BE7E83">
        <w:rPr>
          <w:rFonts w:ascii="Book Antiqua" w:hAnsi="Book Antiqua" w:cs="Times New Roman"/>
          <w:bCs/>
          <w:color w:val="000000" w:themeColor="text1"/>
          <w:sz w:val="24"/>
          <w:szCs w:val="24"/>
        </w:rPr>
        <w:t xml:space="preserve">. </w:t>
      </w:r>
      <w:r w:rsidR="00FF564E" w:rsidRPr="00BE7E83">
        <w:rPr>
          <w:rFonts w:ascii="Book Antiqua" w:hAnsi="Book Antiqua" w:cs="Times New Roman"/>
          <w:bCs/>
          <w:i/>
          <w:iCs/>
          <w:color w:val="000000" w:themeColor="text1"/>
          <w:sz w:val="24"/>
          <w:szCs w:val="24"/>
        </w:rPr>
        <w:t>World J Clin Cases</w:t>
      </w:r>
      <w:r w:rsidR="00FF564E" w:rsidRPr="00BE7E83">
        <w:rPr>
          <w:rFonts w:ascii="Book Antiqua" w:hAnsi="Book Antiqua" w:cs="Times New Roman"/>
          <w:bCs/>
          <w:color w:val="000000" w:themeColor="text1"/>
          <w:sz w:val="24"/>
          <w:szCs w:val="24"/>
        </w:rPr>
        <w:t xml:space="preserve"> </w:t>
      </w:r>
      <w:r w:rsidR="00B26A01" w:rsidRPr="005D493F">
        <w:rPr>
          <w:rFonts w:ascii="Book Antiqua" w:hAnsi="Book Antiqua"/>
        </w:rPr>
        <w:t>2020; 8(1</w:t>
      </w:r>
      <w:r w:rsidR="00B26A01">
        <w:rPr>
          <w:rFonts w:ascii="Book Antiqua" w:hAnsi="Book Antiqua" w:hint="eastAsia"/>
        </w:rPr>
        <w:t>6</w:t>
      </w:r>
      <w:r w:rsidR="00B26A01" w:rsidRPr="005D493F">
        <w:rPr>
          <w:rFonts w:ascii="Book Antiqua" w:hAnsi="Book Antiqua"/>
        </w:rPr>
        <w:t xml:space="preserve">): </w:t>
      </w:r>
      <w:r w:rsidR="00466353" w:rsidRPr="00466353">
        <w:rPr>
          <w:rFonts w:ascii="Book Antiqua" w:hAnsi="Book Antiqua"/>
        </w:rPr>
        <w:t>3431-3439</w:t>
      </w:r>
      <w:r w:rsidR="00B26A01" w:rsidRPr="005D493F">
        <w:rPr>
          <w:rFonts w:ascii="Book Antiqua" w:hAnsi="Book Antiqua"/>
        </w:rPr>
        <w:t xml:space="preserve">  </w:t>
      </w:r>
    </w:p>
    <w:p w14:paraId="0BB0F01B" w14:textId="77777777" w:rsidR="00500050" w:rsidRDefault="00B26A01" w:rsidP="00BE7E83">
      <w:pPr>
        <w:pStyle w:val="a8"/>
        <w:snapToGrid w:val="0"/>
        <w:spacing w:line="360" w:lineRule="auto"/>
        <w:rPr>
          <w:rFonts w:ascii="Book Antiqua" w:hAnsi="Book Antiqua" w:hint="eastAsia"/>
        </w:rPr>
      </w:pPr>
      <w:r w:rsidRPr="00500050">
        <w:rPr>
          <w:rFonts w:ascii="Book Antiqua" w:hAnsi="Book Antiqua"/>
          <w:b/>
        </w:rPr>
        <w:t>URL:</w:t>
      </w:r>
      <w:r w:rsidRPr="005D493F">
        <w:rPr>
          <w:rFonts w:ascii="Book Antiqua" w:hAnsi="Book Antiqua"/>
        </w:rPr>
        <w:t xml:space="preserve"> https://www.wjgnet.com/2307-8960/full/v8/i1</w:t>
      </w:r>
      <w:r>
        <w:rPr>
          <w:rFonts w:ascii="Book Antiqua" w:hAnsi="Book Antiqua" w:hint="eastAsia"/>
        </w:rPr>
        <w:t>6</w:t>
      </w:r>
      <w:r w:rsidRPr="005D493F">
        <w:rPr>
          <w:rFonts w:ascii="Book Antiqua" w:hAnsi="Book Antiqua"/>
        </w:rPr>
        <w:t>/</w:t>
      </w:r>
      <w:r w:rsidR="00466353">
        <w:rPr>
          <w:rFonts w:ascii="Book Antiqua" w:hAnsi="Book Antiqua" w:hint="eastAsia"/>
        </w:rPr>
        <w:t>3431</w:t>
      </w:r>
      <w:r w:rsidRPr="005D493F">
        <w:rPr>
          <w:rFonts w:ascii="Book Antiqua" w:hAnsi="Book Antiqua"/>
        </w:rPr>
        <w:t xml:space="preserve">.htm  </w:t>
      </w:r>
    </w:p>
    <w:p w14:paraId="1368FBB2" w14:textId="1DF803BE" w:rsidR="00FF564E" w:rsidRPr="00BE7E83" w:rsidRDefault="00B26A01" w:rsidP="00BE7E83">
      <w:pPr>
        <w:pStyle w:val="a8"/>
        <w:snapToGrid w:val="0"/>
        <w:spacing w:line="360" w:lineRule="auto"/>
        <w:rPr>
          <w:rFonts w:ascii="Book Antiqua" w:hAnsi="Book Antiqua" w:cs="Times New Roman"/>
          <w:b/>
          <w:color w:val="000000" w:themeColor="text1"/>
          <w:sz w:val="24"/>
          <w:szCs w:val="24"/>
        </w:rPr>
      </w:pPr>
      <w:bookmarkStart w:id="9" w:name="_GoBack"/>
      <w:r w:rsidRPr="00500050">
        <w:rPr>
          <w:rFonts w:ascii="Book Antiqua" w:hAnsi="Book Antiqua"/>
          <w:b/>
        </w:rPr>
        <w:t>DOI:</w:t>
      </w:r>
      <w:bookmarkEnd w:id="9"/>
      <w:r w:rsidRPr="005D493F">
        <w:rPr>
          <w:rFonts w:ascii="Book Antiqua" w:hAnsi="Book Antiqua"/>
        </w:rPr>
        <w:t xml:space="preserve"> https://dx.doi.org/10.12998/wjcc.v8.i1</w:t>
      </w:r>
      <w:r>
        <w:rPr>
          <w:rFonts w:ascii="Book Antiqua" w:hAnsi="Book Antiqua" w:hint="eastAsia"/>
        </w:rPr>
        <w:t>6</w:t>
      </w:r>
      <w:r w:rsidRPr="005D493F">
        <w:rPr>
          <w:rFonts w:ascii="Book Antiqua" w:hAnsi="Book Antiqua"/>
        </w:rPr>
        <w:t>.</w:t>
      </w:r>
      <w:r w:rsidR="00466353">
        <w:rPr>
          <w:rFonts w:ascii="Book Antiqua" w:hAnsi="Book Antiqua" w:hint="eastAsia"/>
        </w:rPr>
        <w:t>3431</w:t>
      </w:r>
    </w:p>
    <w:bookmarkEnd w:id="7"/>
    <w:bookmarkEnd w:id="8"/>
    <w:p w14:paraId="5EFFEF93" w14:textId="77777777" w:rsidR="003B7C38" w:rsidRPr="00BE7E83" w:rsidRDefault="003B7C38" w:rsidP="00BE7E83">
      <w:pPr>
        <w:snapToGrid w:val="0"/>
        <w:spacing w:line="360" w:lineRule="auto"/>
        <w:rPr>
          <w:rFonts w:ascii="Book Antiqua" w:hAnsi="Book Antiqua" w:cs="Times New Roman"/>
          <w:color w:val="000000" w:themeColor="text1"/>
          <w:sz w:val="24"/>
          <w:szCs w:val="24"/>
        </w:rPr>
      </w:pPr>
    </w:p>
    <w:p w14:paraId="1B96D390" w14:textId="2FF297C9" w:rsidR="00322142" w:rsidRPr="00BE7E83" w:rsidRDefault="00322142"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b/>
          <w:color w:val="000000" w:themeColor="text1"/>
          <w:sz w:val="24"/>
          <w:szCs w:val="24"/>
        </w:rPr>
        <w:t>Core tip:</w:t>
      </w:r>
      <w:r w:rsidR="007E412C" w:rsidRPr="00BE7E83">
        <w:rPr>
          <w:rFonts w:ascii="Book Antiqua" w:hAnsi="Book Antiqua" w:cs="Times New Roman"/>
          <w:color w:val="000000" w:themeColor="text1"/>
          <w:sz w:val="24"/>
          <w:szCs w:val="24"/>
        </w:rPr>
        <w:t xml:space="preserve"> </w:t>
      </w:r>
      <w:bookmarkStart w:id="10" w:name="OLE_LINK9"/>
      <w:bookmarkStart w:id="11" w:name="OLE_LINK10"/>
      <w:r w:rsidR="007E412C" w:rsidRPr="00BE7E83">
        <w:rPr>
          <w:rFonts w:ascii="Book Antiqua" w:hAnsi="Book Antiqua" w:cs="Times New Roman"/>
          <w:color w:val="000000" w:themeColor="text1"/>
          <w:sz w:val="24"/>
          <w:szCs w:val="24"/>
        </w:rPr>
        <w:t>Imaging evaluation is a</w:t>
      </w:r>
      <w:r w:rsidR="002377E9">
        <w:rPr>
          <w:rFonts w:ascii="Book Antiqua" w:hAnsi="Book Antiqua" w:cs="Times New Roman"/>
          <w:color w:val="000000" w:themeColor="text1"/>
          <w:sz w:val="24"/>
          <w:szCs w:val="24"/>
        </w:rPr>
        <w:t xml:space="preserve"> crucial</w:t>
      </w:r>
      <w:r w:rsidR="007E412C" w:rsidRPr="00BE7E83">
        <w:rPr>
          <w:rFonts w:ascii="Book Antiqua" w:hAnsi="Book Antiqua" w:cs="Times New Roman"/>
          <w:color w:val="000000" w:themeColor="text1"/>
          <w:sz w:val="24"/>
          <w:szCs w:val="24"/>
        </w:rPr>
        <w:t>, easy to use</w:t>
      </w:r>
      <w:r w:rsidR="002377E9">
        <w:rPr>
          <w:rFonts w:ascii="Book Antiqua" w:hAnsi="Book Antiqua" w:cs="Times New Roman"/>
          <w:color w:val="000000" w:themeColor="text1"/>
          <w:sz w:val="24"/>
          <w:szCs w:val="24"/>
        </w:rPr>
        <w:t>,</w:t>
      </w:r>
      <w:r w:rsidR="007E412C" w:rsidRPr="00BE7E83">
        <w:rPr>
          <w:rFonts w:ascii="Book Antiqua" w:hAnsi="Book Antiqua" w:cs="Times New Roman"/>
          <w:color w:val="000000" w:themeColor="text1"/>
          <w:sz w:val="24"/>
          <w:szCs w:val="24"/>
        </w:rPr>
        <w:t xml:space="preserve"> low-cost</w:t>
      </w:r>
      <w:r w:rsidR="002377E9">
        <w:rPr>
          <w:rFonts w:ascii="Book Antiqua" w:hAnsi="Book Antiqua" w:cs="Times New Roman"/>
          <w:color w:val="000000" w:themeColor="text1"/>
          <w:sz w:val="24"/>
          <w:szCs w:val="24"/>
        </w:rPr>
        <w:t xml:space="preserve"> and effective technique</w:t>
      </w:r>
      <w:r w:rsidR="007E412C" w:rsidRPr="00BE7E83">
        <w:rPr>
          <w:rFonts w:ascii="Book Antiqua" w:hAnsi="Book Antiqua" w:cs="Times New Roman"/>
          <w:color w:val="000000" w:themeColor="text1"/>
          <w:sz w:val="24"/>
          <w:szCs w:val="24"/>
        </w:rPr>
        <w:t>, especially for evaluati</w:t>
      </w:r>
      <w:r w:rsidR="002377E9">
        <w:rPr>
          <w:rFonts w:ascii="Book Antiqua" w:hAnsi="Book Antiqua" w:cs="Times New Roman"/>
          <w:color w:val="000000" w:themeColor="text1"/>
          <w:sz w:val="24"/>
          <w:szCs w:val="24"/>
        </w:rPr>
        <w:t>ng</w:t>
      </w:r>
      <w:r w:rsidR="007E412C" w:rsidRPr="00BE7E83">
        <w:rPr>
          <w:rFonts w:ascii="Book Antiqua" w:hAnsi="Book Antiqua" w:cs="Times New Roman"/>
          <w:color w:val="000000" w:themeColor="text1"/>
          <w:sz w:val="24"/>
          <w:szCs w:val="24"/>
        </w:rPr>
        <w:t xml:space="preserve"> intervertebral disc space height, </w:t>
      </w:r>
      <w:r w:rsidR="002377E9">
        <w:rPr>
          <w:rFonts w:ascii="Book Antiqua" w:hAnsi="Book Antiqua" w:cs="Times New Roman"/>
          <w:color w:val="000000" w:themeColor="text1"/>
          <w:sz w:val="24"/>
          <w:szCs w:val="24"/>
        </w:rPr>
        <w:t xml:space="preserve">and is </w:t>
      </w:r>
      <w:r w:rsidR="007E412C" w:rsidRPr="00BE7E83">
        <w:rPr>
          <w:rFonts w:ascii="Book Antiqua" w:hAnsi="Book Antiqua" w:cs="Times New Roman"/>
          <w:color w:val="000000" w:themeColor="text1"/>
          <w:sz w:val="24"/>
          <w:szCs w:val="24"/>
        </w:rPr>
        <w:t xml:space="preserve">the most commonly used quantitative indicator of intervertebral disc degeneration in animal models. However, </w:t>
      </w:r>
      <w:r w:rsidR="002377E9">
        <w:rPr>
          <w:rFonts w:ascii="Book Antiqua" w:hAnsi="Book Antiqua" w:cs="Times New Roman"/>
          <w:color w:val="000000" w:themeColor="text1"/>
          <w:sz w:val="24"/>
          <w:szCs w:val="24"/>
        </w:rPr>
        <w:t>in</w:t>
      </w:r>
      <w:r w:rsidR="007E412C" w:rsidRPr="00BE7E83">
        <w:rPr>
          <w:rFonts w:ascii="Book Antiqua" w:hAnsi="Book Antiqua" w:cs="Times New Roman"/>
          <w:color w:val="000000" w:themeColor="text1"/>
          <w:sz w:val="24"/>
          <w:szCs w:val="24"/>
        </w:rPr>
        <w:t xml:space="preserve"> rats with small vertebral bodies and narrow intervertebral disc spaces, conventional </w:t>
      </w:r>
      <w:r w:rsidR="002377E9">
        <w:rPr>
          <w:rFonts w:ascii="Book Antiqua" w:hAnsi="Book Antiqua" w:cs="Times New Roman"/>
          <w:color w:val="000000" w:themeColor="text1"/>
          <w:sz w:val="24"/>
          <w:szCs w:val="24"/>
        </w:rPr>
        <w:t xml:space="preserve">plain </w:t>
      </w:r>
      <w:r w:rsidR="007E412C" w:rsidRPr="00BE7E83">
        <w:rPr>
          <w:rFonts w:ascii="Book Antiqua" w:hAnsi="Book Antiqua" w:cs="Times New Roman"/>
          <w:color w:val="000000" w:themeColor="text1"/>
          <w:sz w:val="24"/>
          <w:szCs w:val="24"/>
        </w:rPr>
        <w:t xml:space="preserve">X-ray </w:t>
      </w:r>
      <w:r w:rsidR="002377E9">
        <w:rPr>
          <w:rFonts w:ascii="Book Antiqua" w:hAnsi="Book Antiqua" w:cs="Times New Roman"/>
          <w:color w:val="000000" w:themeColor="text1"/>
          <w:sz w:val="24"/>
          <w:szCs w:val="24"/>
        </w:rPr>
        <w:t xml:space="preserve">images </w:t>
      </w:r>
      <w:r w:rsidR="007E412C" w:rsidRPr="00BE7E83">
        <w:rPr>
          <w:rFonts w:ascii="Book Antiqua" w:hAnsi="Book Antiqua" w:cs="Times New Roman"/>
          <w:color w:val="000000" w:themeColor="text1"/>
          <w:sz w:val="24"/>
          <w:szCs w:val="24"/>
        </w:rPr>
        <w:t xml:space="preserve">have poor definition and low contrast, micro-calcifications are unclear, and the imaging effect on the boundary of the narrow intervertebral disc space is poor. This is the first study to apply molybdenum target </w:t>
      </w:r>
      <w:r w:rsidR="00585E9C">
        <w:rPr>
          <w:rFonts w:ascii="Book Antiqua" w:hAnsi="Book Antiqua" w:cs="Times New Roman"/>
          <w:color w:val="000000" w:themeColor="text1"/>
          <w:sz w:val="24"/>
          <w:szCs w:val="24"/>
        </w:rPr>
        <w:t xml:space="preserve">X-ray </w:t>
      </w:r>
      <w:r w:rsidR="007E412C" w:rsidRPr="00BE7E83">
        <w:rPr>
          <w:rFonts w:ascii="Book Antiqua" w:hAnsi="Book Antiqua" w:cs="Times New Roman"/>
          <w:color w:val="000000" w:themeColor="text1"/>
          <w:sz w:val="24"/>
          <w:szCs w:val="24"/>
        </w:rPr>
        <w:t>photography to the imaging evaluation of caudal intervertebral disc degeneration in rat models.</w:t>
      </w:r>
    </w:p>
    <w:bookmarkEnd w:id="10"/>
    <w:bookmarkEnd w:id="11"/>
    <w:p w14:paraId="043F0A24" w14:textId="77777777" w:rsidR="00CE4E9B" w:rsidRPr="00BE7E83" w:rsidRDefault="003B7C38" w:rsidP="00BE7E83">
      <w:pPr>
        <w:widowControl/>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br w:type="page"/>
      </w:r>
    </w:p>
    <w:p w14:paraId="0174BDDB" w14:textId="77777777" w:rsidR="00FF3D9A" w:rsidRPr="00BE7E83" w:rsidRDefault="007E412C" w:rsidP="00BE7E83">
      <w:pPr>
        <w:pStyle w:val="a8"/>
        <w:snapToGrid w:val="0"/>
        <w:spacing w:line="360" w:lineRule="auto"/>
        <w:rPr>
          <w:rFonts w:ascii="Book Antiqua" w:hAnsi="Book Antiqua" w:cs="Times New Roman"/>
          <w:b/>
          <w:color w:val="000000" w:themeColor="text1"/>
          <w:sz w:val="24"/>
          <w:szCs w:val="24"/>
          <w:u w:val="single"/>
        </w:rPr>
      </w:pPr>
      <w:r w:rsidRPr="00BE7E83">
        <w:rPr>
          <w:rFonts w:ascii="Book Antiqua" w:hAnsi="Book Antiqua" w:cs="Times New Roman"/>
          <w:b/>
          <w:color w:val="000000" w:themeColor="text1"/>
          <w:sz w:val="24"/>
          <w:szCs w:val="24"/>
          <w:u w:val="single"/>
        </w:rPr>
        <w:t>INTRODUCTION</w:t>
      </w:r>
    </w:p>
    <w:p w14:paraId="76A42590" w14:textId="77777777" w:rsidR="00B018DD" w:rsidRPr="00BE7E83" w:rsidRDefault="00B018DD" w:rsidP="00BE7E83">
      <w:pPr>
        <w:pStyle w:val="a8"/>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Intervertebral (IV) disc degeneration is a pathological basis for a series of spinal degenerative diseases</w:t>
      </w:r>
      <w:r w:rsidRPr="00BE7E83">
        <w:rPr>
          <w:rFonts w:ascii="Book Antiqua" w:hAnsi="Book Antiqua" w:cs="Times New Roman"/>
          <w:color w:val="000000" w:themeColor="text1"/>
          <w:sz w:val="24"/>
          <w:szCs w:val="24"/>
          <w:vertAlign w:val="superscript"/>
        </w:rPr>
        <w:t>[1]</w:t>
      </w:r>
      <w:r w:rsidRPr="00BE7E83">
        <w:rPr>
          <w:rFonts w:ascii="Book Antiqua" w:hAnsi="Book Antiqua" w:cs="Times New Roman"/>
          <w:color w:val="000000" w:themeColor="text1"/>
          <w:sz w:val="24"/>
          <w:szCs w:val="24"/>
        </w:rPr>
        <w:t>. However, its pathogenesis remains elusive, so it is vital to establish a feasible, highly repeatable, and effective animal model of intervertebral disc degeneration (IVD) to study the cause and pathogenesis of this disease</w:t>
      </w:r>
      <w:r w:rsidRPr="00BE7E83">
        <w:rPr>
          <w:rFonts w:ascii="Book Antiqua" w:hAnsi="Book Antiqua" w:cs="Times New Roman"/>
          <w:color w:val="000000" w:themeColor="text1"/>
          <w:sz w:val="24"/>
          <w:szCs w:val="24"/>
          <w:vertAlign w:val="superscript"/>
        </w:rPr>
        <w:t>[2]</w:t>
      </w:r>
      <w:r w:rsidRPr="00BE7E83">
        <w:rPr>
          <w:rFonts w:ascii="Book Antiqua" w:hAnsi="Book Antiqua" w:cs="Times New Roman"/>
          <w:color w:val="000000" w:themeColor="text1"/>
          <w:sz w:val="24"/>
          <w:szCs w:val="24"/>
        </w:rPr>
        <w:t xml:space="preserve">. At present, the most frequently used models include the rat model of needle-puncture injury-induced caudal </w:t>
      </w:r>
      <w:bookmarkStart w:id="12" w:name="OLE_LINK224"/>
      <w:bookmarkStart w:id="13" w:name="OLE_LINK225"/>
      <w:r w:rsidRPr="00BE7E83">
        <w:rPr>
          <w:rFonts w:ascii="Book Antiqua" w:hAnsi="Book Antiqua" w:cs="Times New Roman"/>
          <w:color w:val="000000" w:themeColor="text1"/>
          <w:sz w:val="24"/>
          <w:szCs w:val="24"/>
        </w:rPr>
        <w:t xml:space="preserve">IVD </w:t>
      </w:r>
      <w:bookmarkEnd w:id="12"/>
      <w:bookmarkEnd w:id="13"/>
      <w:r w:rsidRPr="00BE7E83">
        <w:rPr>
          <w:rFonts w:ascii="Book Antiqua" w:hAnsi="Book Antiqua" w:cs="Times New Roman"/>
          <w:color w:val="000000" w:themeColor="text1"/>
          <w:sz w:val="24"/>
          <w:szCs w:val="24"/>
        </w:rPr>
        <w:t>and IVD caused by destroying the cartilaginous endplates in rats</w:t>
      </w:r>
      <w:r w:rsidRPr="00BE7E83">
        <w:rPr>
          <w:rFonts w:ascii="Book Antiqua" w:hAnsi="Book Antiqua" w:cs="Times New Roman"/>
          <w:color w:val="000000" w:themeColor="text1"/>
          <w:sz w:val="24"/>
          <w:szCs w:val="24"/>
          <w:vertAlign w:val="superscript"/>
        </w:rPr>
        <w:t>[3-5]</w:t>
      </w:r>
      <w:r w:rsidRPr="00BE7E83">
        <w:rPr>
          <w:rFonts w:ascii="Book Antiqua" w:hAnsi="Book Antiqua" w:cs="Times New Roman"/>
          <w:color w:val="000000" w:themeColor="text1"/>
          <w:sz w:val="24"/>
          <w:szCs w:val="24"/>
        </w:rPr>
        <w:t>.</w:t>
      </w:r>
    </w:p>
    <w:p w14:paraId="12420F8F" w14:textId="77777777"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The established degeneration models can be evaluated by various methods including imaging, </w:t>
      </w:r>
      <w:bookmarkStart w:id="14" w:name="OLE_LINK226"/>
      <w:bookmarkStart w:id="15" w:name="OLE_LINK227"/>
      <w:r w:rsidRPr="00BE7E83">
        <w:rPr>
          <w:rFonts w:ascii="Book Antiqua" w:hAnsi="Book Antiqua" w:cs="Times New Roman"/>
          <w:color w:val="000000" w:themeColor="text1"/>
          <w:sz w:val="24"/>
          <w:szCs w:val="24"/>
        </w:rPr>
        <w:t>histomorphological and molecular biological analyses.</w:t>
      </w:r>
      <w:bookmarkEnd w:id="14"/>
      <w:bookmarkEnd w:id="15"/>
      <w:r w:rsidRPr="00BE7E83">
        <w:rPr>
          <w:rFonts w:ascii="Book Antiqua" w:hAnsi="Book Antiqua" w:cs="Times New Roman"/>
          <w:color w:val="000000" w:themeColor="text1"/>
          <w:sz w:val="24"/>
          <w:szCs w:val="24"/>
        </w:rPr>
        <w:t xml:space="preserve"> The </w:t>
      </w:r>
      <w:bookmarkStart w:id="16" w:name="OLE_LINK228"/>
      <w:bookmarkStart w:id="17" w:name="OLE_LINK229"/>
      <w:r w:rsidRPr="00BE7E83">
        <w:rPr>
          <w:rFonts w:ascii="Book Antiqua" w:hAnsi="Book Antiqua" w:cs="Times New Roman"/>
          <w:color w:val="000000" w:themeColor="text1"/>
          <w:sz w:val="24"/>
          <w:szCs w:val="24"/>
        </w:rPr>
        <w:t>easiest and most intuitive</w:t>
      </w:r>
      <w:bookmarkEnd w:id="16"/>
      <w:bookmarkEnd w:id="17"/>
      <w:r w:rsidRPr="00BE7E83">
        <w:rPr>
          <w:rFonts w:ascii="Book Antiqua" w:hAnsi="Book Antiqua" w:cs="Times New Roman"/>
          <w:color w:val="000000" w:themeColor="text1"/>
          <w:sz w:val="24"/>
          <w:szCs w:val="24"/>
        </w:rPr>
        <w:t xml:space="preserve"> is imaging evaluation, such as conventional plain X-rays, micro-computed tomography and magnetic resonance imaging (MRI)</w:t>
      </w:r>
      <w:r w:rsidRPr="00BE7E83">
        <w:rPr>
          <w:rFonts w:ascii="Book Antiqua" w:hAnsi="Book Antiqua" w:cs="Times New Roman"/>
          <w:color w:val="000000" w:themeColor="text1"/>
          <w:sz w:val="24"/>
          <w:szCs w:val="24"/>
          <w:vertAlign w:val="superscript"/>
        </w:rPr>
        <w:t>[6]</w:t>
      </w:r>
      <w:r w:rsidRPr="00BE7E83">
        <w:rPr>
          <w:rFonts w:ascii="Book Antiqua" w:hAnsi="Book Antiqua" w:cs="Times New Roman"/>
          <w:color w:val="000000" w:themeColor="text1"/>
          <w:sz w:val="24"/>
          <w:szCs w:val="24"/>
        </w:rPr>
        <w:t xml:space="preserve">. Because it is expensive and takes a long time, the application of </w:t>
      </w:r>
      <w:r w:rsidR="003B7C38" w:rsidRPr="00BE7E83">
        <w:rPr>
          <w:rFonts w:ascii="Book Antiqua" w:hAnsi="Book Antiqua" w:cs="Times New Roman"/>
          <w:color w:val="000000" w:themeColor="text1"/>
          <w:sz w:val="24"/>
          <w:szCs w:val="24"/>
        </w:rPr>
        <w:t>micro-computed tomography</w:t>
      </w:r>
      <w:r w:rsidRPr="00BE7E83">
        <w:rPr>
          <w:rFonts w:ascii="Book Antiqua" w:hAnsi="Book Antiqua" w:cs="Times New Roman"/>
          <w:color w:val="000000" w:themeColor="text1"/>
          <w:sz w:val="24"/>
          <w:szCs w:val="24"/>
        </w:rPr>
        <w:t xml:space="preserve"> for evaluation of disc degeneration is not very common. </w:t>
      </w:r>
      <w:bookmarkStart w:id="18" w:name="OLE_LINK230"/>
      <w:r w:rsidRPr="00BE7E83">
        <w:rPr>
          <w:rFonts w:ascii="Book Antiqua" w:hAnsi="Book Antiqua" w:cs="Times New Roman"/>
          <w:color w:val="000000" w:themeColor="text1"/>
          <w:sz w:val="24"/>
          <w:szCs w:val="24"/>
        </w:rPr>
        <w:t>Conventional plain X-ray examination</w:t>
      </w:r>
      <w:bookmarkEnd w:id="18"/>
      <w:r w:rsidRPr="00BE7E83">
        <w:rPr>
          <w:rFonts w:ascii="Book Antiqua" w:hAnsi="Book Antiqua" w:cs="Times New Roman"/>
          <w:color w:val="000000" w:themeColor="text1"/>
          <w:sz w:val="24"/>
          <w:szCs w:val="24"/>
        </w:rPr>
        <w:t xml:space="preserve"> and MRI tend to be the preferred options to evaluate animal degeneration models.</w:t>
      </w:r>
    </w:p>
    <w:p w14:paraId="0B5BA4EA" w14:textId="409F06D7"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bookmarkStart w:id="19" w:name="OLE_LINK233"/>
      <w:r w:rsidRPr="00BE7E83">
        <w:rPr>
          <w:rFonts w:ascii="Book Antiqua" w:hAnsi="Book Antiqua" w:cs="Times New Roman"/>
          <w:color w:val="000000" w:themeColor="text1"/>
          <w:sz w:val="24"/>
          <w:szCs w:val="24"/>
        </w:rPr>
        <w:t>Plain X-ray images</w:t>
      </w:r>
      <w:bookmarkEnd w:id="19"/>
      <w:r w:rsidRPr="00BE7E83">
        <w:rPr>
          <w:rFonts w:ascii="Book Antiqua" w:hAnsi="Book Antiqua" w:cs="Times New Roman"/>
          <w:color w:val="000000" w:themeColor="text1"/>
          <w:sz w:val="24"/>
          <w:szCs w:val="24"/>
        </w:rPr>
        <w:t xml:space="preserve"> of IVD show narrowing of </w:t>
      </w:r>
      <w:bookmarkStart w:id="20" w:name="OLE_LINK234"/>
      <w:bookmarkStart w:id="21" w:name="OLE_LINK235"/>
      <w:r w:rsidRPr="00BE7E83">
        <w:rPr>
          <w:rFonts w:ascii="Book Antiqua" w:hAnsi="Book Antiqua" w:cs="Times New Roman"/>
          <w:color w:val="000000" w:themeColor="text1"/>
          <w:sz w:val="24"/>
          <w:szCs w:val="24"/>
        </w:rPr>
        <w:t>the IV disc</w:t>
      </w:r>
      <w:bookmarkEnd w:id="20"/>
      <w:bookmarkEnd w:id="21"/>
      <w:r w:rsidRPr="00BE7E83">
        <w:rPr>
          <w:rFonts w:ascii="Book Antiqua" w:hAnsi="Book Antiqua" w:cs="Times New Roman"/>
          <w:color w:val="000000" w:themeColor="text1"/>
          <w:sz w:val="24"/>
          <w:szCs w:val="24"/>
        </w:rPr>
        <w:t xml:space="preserve"> space, vertebral wedge-shaped deformities, endplate calcification and marginal osteophyte growth, of which the most characteristic change is the narrowing of IV space height. However, conventional plain X-ray images of rats or mice, the most common animals </w:t>
      </w:r>
      <w:r w:rsidR="00585E9C" w:rsidRPr="00BE7E83">
        <w:rPr>
          <w:rFonts w:ascii="Book Antiqua" w:hAnsi="Book Antiqua" w:cs="Times New Roman"/>
          <w:color w:val="000000" w:themeColor="text1"/>
          <w:sz w:val="24"/>
          <w:szCs w:val="24"/>
        </w:rPr>
        <w:t xml:space="preserve">used </w:t>
      </w:r>
      <w:r w:rsidRPr="00BE7E83">
        <w:rPr>
          <w:rFonts w:ascii="Book Antiqua" w:hAnsi="Book Antiqua" w:cs="Times New Roman"/>
          <w:color w:val="000000" w:themeColor="text1"/>
          <w:sz w:val="24"/>
          <w:szCs w:val="24"/>
        </w:rPr>
        <w:t>as degeneration models, exhibit unclear vertebral structure and blurry IV disc spaces due to their small size, slender vertebral bodies and narrow IV disc spaces. As a result, the measurement of IV disc space height is not a precise indicator of disc degeneration</w:t>
      </w:r>
      <w:r w:rsidRPr="00BE7E83">
        <w:rPr>
          <w:rFonts w:ascii="Book Antiqua" w:hAnsi="Book Antiqua" w:cs="Times New Roman"/>
          <w:color w:val="000000" w:themeColor="text1"/>
          <w:sz w:val="24"/>
          <w:szCs w:val="24"/>
          <w:vertAlign w:val="superscript"/>
        </w:rPr>
        <w:t>[7]</w:t>
      </w:r>
      <w:r w:rsidRPr="00BE7E83">
        <w:rPr>
          <w:rFonts w:ascii="Book Antiqua" w:hAnsi="Book Antiqua" w:cs="Times New Roman"/>
          <w:color w:val="000000" w:themeColor="text1"/>
          <w:sz w:val="24"/>
          <w:szCs w:val="24"/>
        </w:rPr>
        <w:t>.</w:t>
      </w:r>
    </w:p>
    <w:p w14:paraId="55D24ED1" w14:textId="2FD62B6A"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The present study is the first to apply molybdenum target X-ray photography to the imaging evaluation of the rat model of caudal IVD. Molybdenum targets can produce soft rays with a long wavelength of 0.063-0.071 nm, </w:t>
      </w:r>
      <w:bookmarkStart w:id="22" w:name="OLE_LINK238"/>
      <w:bookmarkStart w:id="23" w:name="OLE_LINK239"/>
      <w:r w:rsidRPr="00BE7E83">
        <w:rPr>
          <w:rFonts w:ascii="Book Antiqua" w:hAnsi="Book Antiqua" w:cs="Times New Roman"/>
          <w:color w:val="000000" w:themeColor="text1"/>
          <w:sz w:val="24"/>
          <w:szCs w:val="24"/>
        </w:rPr>
        <w:t>low penetrability</w:t>
      </w:r>
      <w:bookmarkEnd w:id="22"/>
      <w:bookmarkEnd w:id="23"/>
      <w:r w:rsidRPr="00BE7E83">
        <w:rPr>
          <w:rFonts w:ascii="Book Antiqua" w:hAnsi="Book Antiqua" w:cs="Times New Roman"/>
          <w:color w:val="000000" w:themeColor="text1"/>
          <w:sz w:val="24"/>
          <w:szCs w:val="24"/>
        </w:rPr>
        <w:t>, high intensity, high contrast, and high sensitivity to micro-calcification, so they are often applied to clinical breast examinations</w:t>
      </w:r>
      <w:r w:rsidRPr="00BE7E83">
        <w:rPr>
          <w:rFonts w:ascii="Book Antiqua" w:hAnsi="Book Antiqua" w:cs="Times New Roman"/>
          <w:color w:val="000000" w:themeColor="text1"/>
          <w:sz w:val="24"/>
          <w:szCs w:val="24"/>
          <w:vertAlign w:val="superscript"/>
        </w:rPr>
        <w:t>[8-10]</w:t>
      </w:r>
      <w:r w:rsidRPr="00BE7E83">
        <w:rPr>
          <w:rFonts w:ascii="Book Antiqua" w:hAnsi="Book Antiqua" w:cs="Times New Roman"/>
          <w:color w:val="000000" w:themeColor="text1"/>
          <w:sz w:val="24"/>
          <w:szCs w:val="24"/>
        </w:rPr>
        <w:t>.</w:t>
      </w:r>
      <w:r w:rsidR="0042593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kern w:val="0"/>
          <w:sz w:val="24"/>
          <w:szCs w:val="24"/>
        </w:rPr>
        <w:t xml:space="preserve">In this study, </w:t>
      </w:r>
      <w:r w:rsidRPr="00BE7E83">
        <w:rPr>
          <w:rFonts w:ascii="Book Antiqua" w:hAnsi="Book Antiqua" w:cs="Times New Roman"/>
          <w:color w:val="000000" w:themeColor="text1"/>
          <w:sz w:val="24"/>
          <w:szCs w:val="24"/>
        </w:rPr>
        <w:t>rat models of caudal IVD induced by needle-puncture injury and endplate destruction were used to compare and analyze conventional X-ray examination and molyb</w:t>
      </w:r>
      <w:r w:rsidR="00EA6F45" w:rsidRPr="00BE7E83">
        <w:rPr>
          <w:rFonts w:ascii="Book Antiqua" w:hAnsi="Book Antiqua" w:cs="Times New Roman"/>
          <w:color w:val="000000" w:themeColor="text1"/>
          <w:sz w:val="24"/>
          <w:szCs w:val="24"/>
        </w:rPr>
        <w:t xml:space="preserve">denum target X-ray photography. </w:t>
      </w:r>
      <w:r w:rsidRPr="00BE7E83">
        <w:rPr>
          <w:rFonts w:ascii="Book Antiqua" w:hAnsi="Book Antiqua" w:cs="Times New Roman"/>
          <w:color w:val="000000" w:themeColor="text1"/>
          <w:sz w:val="24"/>
          <w:szCs w:val="24"/>
        </w:rPr>
        <w:t>It was hypothesized that molybdenum target X-ray photography would produce clearer images for a more precise evalu</w:t>
      </w:r>
      <w:r w:rsidR="00EA6F45" w:rsidRPr="00BE7E83">
        <w:rPr>
          <w:rFonts w:ascii="Book Antiqua" w:hAnsi="Book Antiqua" w:cs="Times New Roman"/>
          <w:color w:val="000000" w:themeColor="text1"/>
          <w:sz w:val="24"/>
          <w:szCs w:val="24"/>
        </w:rPr>
        <w:t>ation of caudal IVD in rats.</w:t>
      </w:r>
    </w:p>
    <w:p w14:paraId="00268F68" w14:textId="77777777" w:rsidR="00FF3D9A" w:rsidRPr="00BE7E83" w:rsidRDefault="00FF3D9A" w:rsidP="00BE7E83">
      <w:pPr>
        <w:widowControl/>
        <w:snapToGrid w:val="0"/>
        <w:spacing w:line="360" w:lineRule="auto"/>
        <w:rPr>
          <w:rFonts w:ascii="Book Antiqua" w:hAnsi="Book Antiqua" w:cs="Times New Roman"/>
          <w:b/>
          <w:color w:val="000000" w:themeColor="text1"/>
          <w:sz w:val="24"/>
          <w:szCs w:val="24"/>
        </w:rPr>
      </w:pPr>
    </w:p>
    <w:p w14:paraId="62583656" w14:textId="6C9C00AB" w:rsidR="00B018DD" w:rsidRPr="00BE7E83" w:rsidRDefault="00174798" w:rsidP="00BE7E83">
      <w:pPr>
        <w:widowControl/>
        <w:snapToGrid w:val="0"/>
        <w:spacing w:line="360" w:lineRule="auto"/>
        <w:rPr>
          <w:rFonts w:ascii="Book Antiqua" w:hAnsi="Book Antiqua" w:cs="Times New Roman"/>
          <w:color w:val="000000" w:themeColor="text1"/>
          <w:sz w:val="24"/>
          <w:szCs w:val="24"/>
          <w:u w:val="single"/>
        </w:rPr>
      </w:pPr>
      <w:r w:rsidRPr="00BE7E83">
        <w:rPr>
          <w:rFonts w:ascii="Book Antiqua" w:hAnsi="Book Antiqua" w:cs="Times New Roman"/>
          <w:b/>
          <w:color w:val="000000" w:themeColor="text1"/>
          <w:sz w:val="24"/>
          <w:szCs w:val="24"/>
          <w:u w:val="single"/>
        </w:rPr>
        <w:t>MATERIAL</w:t>
      </w:r>
      <w:r w:rsidR="0020011A" w:rsidRPr="0020011A">
        <w:rPr>
          <w:rFonts w:ascii="Book Antiqua" w:hAnsi="Book Antiqua" w:cs="Times New Roman"/>
          <w:b/>
          <w:caps/>
          <w:color w:val="000000" w:themeColor="text1"/>
          <w:sz w:val="24"/>
          <w:szCs w:val="24"/>
          <w:u w:val="single"/>
        </w:rPr>
        <w:t>s</w:t>
      </w:r>
      <w:r w:rsidRPr="0020011A">
        <w:rPr>
          <w:rFonts w:ascii="Book Antiqua" w:hAnsi="Book Antiqua" w:cs="Times New Roman"/>
          <w:b/>
          <w:caps/>
          <w:color w:val="000000" w:themeColor="text1"/>
          <w:sz w:val="24"/>
          <w:szCs w:val="24"/>
          <w:u w:val="single"/>
        </w:rPr>
        <w:t xml:space="preserve"> </w:t>
      </w:r>
      <w:r w:rsidRPr="00BE7E83">
        <w:rPr>
          <w:rFonts w:ascii="Book Antiqua" w:hAnsi="Book Antiqua" w:cs="Times New Roman"/>
          <w:b/>
          <w:color w:val="000000" w:themeColor="text1"/>
          <w:sz w:val="24"/>
          <w:szCs w:val="24"/>
          <w:u w:val="single"/>
        </w:rPr>
        <w:t>AND METHODS</w:t>
      </w:r>
    </w:p>
    <w:p w14:paraId="6D296BDD" w14:textId="464C5C05" w:rsidR="00B018DD" w:rsidRPr="00BE7E83" w:rsidRDefault="00585E9C" w:rsidP="00BE7E83">
      <w:pPr>
        <w:snapToGrid w:val="0"/>
        <w:spacing w:line="360" w:lineRule="auto"/>
        <w:rPr>
          <w:rFonts w:ascii="Book Antiqua" w:hAnsi="Book Antiqua" w:cs="Times New Roman"/>
          <w:b/>
          <w:i/>
          <w:color w:val="000000" w:themeColor="text1"/>
          <w:sz w:val="24"/>
          <w:szCs w:val="24"/>
        </w:rPr>
      </w:pPr>
      <w:r>
        <w:rPr>
          <w:rFonts w:ascii="Book Antiqua" w:hAnsi="Book Antiqua" w:cs="Times New Roman"/>
          <w:b/>
          <w:i/>
          <w:color w:val="000000" w:themeColor="text1"/>
          <w:sz w:val="24"/>
          <w:szCs w:val="24"/>
        </w:rPr>
        <w:t>Animals</w:t>
      </w:r>
    </w:p>
    <w:p w14:paraId="691BF7B7" w14:textId="2C19B3C5" w:rsidR="00B018DD" w:rsidRPr="00BE7E83" w:rsidRDefault="00B018DD"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A total of 21 10-12-week-old clean-grade male Sprague-Dawley rats (</w:t>
      </w:r>
      <w:r w:rsidR="00FD7ECB" w:rsidRPr="00BE7E83">
        <w:rPr>
          <w:rFonts w:ascii="Book Antiqua" w:hAnsi="Book Antiqua" w:cs="Times New Roman"/>
          <w:color w:val="000000" w:themeColor="text1"/>
          <w:sz w:val="24"/>
          <w:szCs w:val="24"/>
        </w:rPr>
        <w:t xml:space="preserve">Specific Pathogen Free, </w:t>
      </w:r>
      <w:r w:rsidRPr="00BE7E83">
        <w:rPr>
          <w:rFonts w:ascii="Book Antiqua" w:hAnsi="Book Antiqua" w:cs="Times New Roman"/>
          <w:color w:val="000000" w:themeColor="text1"/>
          <w:sz w:val="24"/>
          <w:szCs w:val="24"/>
        </w:rPr>
        <w:t>Shanghai SLAC Laboratory Animal Co., Ltd.</w:t>
      </w:r>
      <w:r w:rsidR="00D04197">
        <w:rPr>
          <w:rFonts w:ascii="Book Antiqua" w:hAnsi="Book Antiqua" w:cs="Times New Roman"/>
          <w:color w:val="000000" w:themeColor="text1"/>
          <w:sz w:val="24"/>
          <w:szCs w:val="24"/>
        </w:rPr>
        <w:t>, China</w:t>
      </w:r>
      <w:r w:rsidRPr="00BE7E83">
        <w:rPr>
          <w:rFonts w:ascii="Book Antiqua" w:hAnsi="Book Antiqua" w:cs="Times New Roman"/>
          <w:color w:val="000000" w:themeColor="text1"/>
          <w:sz w:val="24"/>
          <w:szCs w:val="24"/>
        </w:rPr>
        <w:t xml:space="preserve">) were selected to prepare the models of single-segment caudal IVD. The laboratory animals were examined to ensure they were healthy and free of diseases. With one rat as </w:t>
      </w:r>
      <w:r w:rsidR="00585E9C">
        <w:rPr>
          <w:rFonts w:ascii="Book Antiqua" w:hAnsi="Book Antiqua" w:cs="Times New Roman"/>
          <w:color w:val="000000" w:themeColor="text1"/>
          <w:sz w:val="24"/>
          <w:szCs w:val="24"/>
        </w:rPr>
        <w:t>the</w:t>
      </w:r>
      <w:r w:rsidRPr="00BE7E83">
        <w:rPr>
          <w:rFonts w:ascii="Book Antiqua" w:hAnsi="Book Antiqua" w:cs="Times New Roman"/>
          <w:color w:val="000000" w:themeColor="text1"/>
          <w:sz w:val="24"/>
          <w:szCs w:val="24"/>
        </w:rPr>
        <w:t xml:space="preserve"> blank control, the discs of 10 rats were punctured using needles while the remaining 10 rats were used as a model for IVD </w:t>
      </w:r>
      <w:r w:rsidR="00585E9C">
        <w:rPr>
          <w:rFonts w:ascii="Book Antiqua" w:hAnsi="Book Antiqua" w:cs="Times New Roman"/>
          <w:color w:val="000000" w:themeColor="text1"/>
          <w:sz w:val="24"/>
          <w:szCs w:val="24"/>
        </w:rPr>
        <w:t>following</w:t>
      </w:r>
      <w:r w:rsidRPr="00BE7E83">
        <w:rPr>
          <w:rFonts w:ascii="Book Antiqua" w:hAnsi="Book Antiqua" w:cs="Times New Roman"/>
          <w:color w:val="000000" w:themeColor="text1"/>
          <w:sz w:val="24"/>
          <w:szCs w:val="24"/>
        </w:rPr>
        <w:t xml:space="preserve"> destruction of the endplate.</w:t>
      </w:r>
      <w:r w:rsidR="007A50C4" w:rsidRPr="00BE7E83">
        <w:rPr>
          <w:rFonts w:ascii="Book Antiqua" w:hAnsi="Book Antiqua" w:cs="Times New Roman"/>
          <w:color w:val="000000" w:themeColor="text1"/>
          <w:sz w:val="24"/>
          <w:szCs w:val="24"/>
        </w:rPr>
        <w:t xml:space="preserve"> Shanghai East Hospital (East Hospital Affiliated to Tongji University) Medical Ethics Committee approved the study protocol, which met the relevant guidelines and regulations of </w:t>
      </w:r>
      <w:r w:rsidR="00585E9C">
        <w:rPr>
          <w:rFonts w:ascii="Book Antiqua" w:hAnsi="Book Antiqua" w:cs="Times New Roman"/>
          <w:color w:val="000000" w:themeColor="text1"/>
          <w:sz w:val="24"/>
          <w:szCs w:val="24"/>
        </w:rPr>
        <w:t xml:space="preserve">the </w:t>
      </w:r>
      <w:r w:rsidR="007A50C4" w:rsidRPr="00BE7E83">
        <w:rPr>
          <w:rFonts w:ascii="Book Antiqua" w:hAnsi="Book Antiqua" w:cs="Times New Roman"/>
          <w:color w:val="000000" w:themeColor="text1"/>
          <w:sz w:val="24"/>
          <w:szCs w:val="24"/>
        </w:rPr>
        <w:t>Shanghai Medical Ethics Committee in accordance with internationally accepted principles for the use of laboratory animals.</w:t>
      </w:r>
    </w:p>
    <w:p w14:paraId="7D9910C0" w14:textId="77777777" w:rsidR="00967297" w:rsidRPr="00BE7E83" w:rsidRDefault="00967297" w:rsidP="00BE7E83">
      <w:pPr>
        <w:snapToGrid w:val="0"/>
        <w:spacing w:line="360" w:lineRule="auto"/>
        <w:rPr>
          <w:rFonts w:ascii="Book Antiqua" w:hAnsi="Book Antiqua" w:cs="Times New Roman"/>
          <w:color w:val="000000" w:themeColor="text1"/>
          <w:sz w:val="24"/>
          <w:szCs w:val="24"/>
        </w:rPr>
      </w:pPr>
    </w:p>
    <w:p w14:paraId="70FB2030" w14:textId="05AAB296" w:rsidR="00B018DD" w:rsidRPr="00BE7E83" w:rsidRDefault="00B018DD"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b/>
          <w:i/>
          <w:color w:val="000000" w:themeColor="text1"/>
          <w:sz w:val="24"/>
          <w:szCs w:val="24"/>
        </w:rPr>
        <w:t>Model preparation</w:t>
      </w:r>
      <w:r w:rsidR="00EA6F45" w:rsidRPr="00BE7E83">
        <w:rPr>
          <w:rFonts w:ascii="Book Antiqua" w:hAnsi="Book Antiqua" w:cs="Times New Roman"/>
          <w:color w:val="000000" w:themeColor="text1"/>
          <w:sz w:val="24"/>
          <w:szCs w:val="24"/>
          <w:vertAlign w:val="superscript"/>
        </w:rPr>
        <w:t>[1,11,</w:t>
      </w:r>
      <w:r w:rsidRPr="00BE7E83">
        <w:rPr>
          <w:rFonts w:ascii="Book Antiqua" w:hAnsi="Book Antiqua" w:cs="Times New Roman"/>
          <w:color w:val="000000" w:themeColor="text1"/>
          <w:sz w:val="24"/>
          <w:szCs w:val="24"/>
          <w:vertAlign w:val="superscript"/>
        </w:rPr>
        <w:t>12]</w:t>
      </w:r>
    </w:p>
    <w:p w14:paraId="6D0EC32D" w14:textId="77777777" w:rsidR="00B018DD" w:rsidRPr="00BE7E83" w:rsidRDefault="00B018DD"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First, 4% chloral hydrate solution was prepared using deionized water, and then injected intraperitoneally into the rats at 10 mL/kg/rat for anesthesia. Subsequently, deep anesthesia (loss of consciousness, slow corneal response, muscle relaxation, and loss of pain reflex) was confirmed in the animals prior to the operations.</w:t>
      </w:r>
    </w:p>
    <w:p w14:paraId="6A628B5C" w14:textId="77777777"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To establish the needle puncture model, the ilium and sacrum of rats were palpated to identify the caudal vertebral segments near the hairless site at the trunk-tail junction. Generally, the caudal hair of rats ends at the 7</w:t>
      </w:r>
      <w:r w:rsidRPr="00BE7E83">
        <w:rPr>
          <w:rFonts w:ascii="Book Antiqua" w:hAnsi="Book Antiqua" w:cs="Times New Roman"/>
          <w:color w:val="000000" w:themeColor="text1"/>
          <w:sz w:val="24"/>
          <w:szCs w:val="24"/>
          <w:vertAlign w:val="superscript"/>
        </w:rPr>
        <w:t>th</w:t>
      </w:r>
      <w:r w:rsidRPr="00BE7E83">
        <w:rPr>
          <w:rFonts w:ascii="Book Antiqua" w:hAnsi="Book Antiqua" w:cs="Times New Roman"/>
          <w:color w:val="000000" w:themeColor="text1"/>
          <w:sz w:val="24"/>
          <w:szCs w:val="24"/>
        </w:rPr>
        <w:t xml:space="preserve"> vertebra, and the 8</w:t>
      </w:r>
      <w:r w:rsidRPr="00BE7E83">
        <w:rPr>
          <w:rFonts w:ascii="Book Antiqua" w:hAnsi="Book Antiqua" w:cs="Times New Roman"/>
          <w:color w:val="000000" w:themeColor="text1"/>
          <w:sz w:val="24"/>
          <w:szCs w:val="24"/>
          <w:vertAlign w:val="superscript"/>
        </w:rPr>
        <w:t>th</w:t>
      </w:r>
      <w:r w:rsidRPr="00BE7E83">
        <w:rPr>
          <w:rFonts w:ascii="Book Antiqua" w:hAnsi="Book Antiqua" w:cs="Times New Roman"/>
          <w:color w:val="000000" w:themeColor="text1"/>
          <w:sz w:val="24"/>
          <w:szCs w:val="24"/>
        </w:rPr>
        <w:t>/9</w:t>
      </w:r>
      <w:r w:rsidRPr="00BE7E83">
        <w:rPr>
          <w:rFonts w:ascii="Book Antiqua" w:hAnsi="Book Antiqua" w:cs="Times New Roman"/>
          <w:color w:val="000000" w:themeColor="text1"/>
          <w:sz w:val="24"/>
          <w:szCs w:val="24"/>
          <w:vertAlign w:val="superscript"/>
        </w:rPr>
        <w:t>th</w:t>
      </w:r>
      <w:r w:rsidRPr="00BE7E83">
        <w:rPr>
          <w:rFonts w:ascii="Book Antiqua" w:hAnsi="Book Antiqua" w:cs="Times New Roman"/>
          <w:color w:val="000000" w:themeColor="text1"/>
          <w:sz w:val="24"/>
          <w:szCs w:val="24"/>
        </w:rPr>
        <w:t xml:space="preserve"> or 9</w:t>
      </w:r>
      <w:r w:rsidRPr="00BE7E83">
        <w:rPr>
          <w:rFonts w:ascii="Book Antiqua" w:hAnsi="Book Antiqua" w:cs="Times New Roman"/>
          <w:color w:val="000000" w:themeColor="text1"/>
          <w:sz w:val="24"/>
          <w:szCs w:val="24"/>
          <w:vertAlign w:val="superscript"/>
        </w:rPr>
        <w:t>th</w:t>
      </w:r>
      <w:r w:rsidRPr="00BE7E83">
        <w:rPr>
          <w:rFonts w:ascii="Book Antiqua" w:hAnsi="Book Antiqua" w:cs="Times New Roman"/>
          <w:color w:val="000000" w:themeColor="text1"/>
          <w:sz w:val="24"/>
          <w:szCs w:val="24"/>
        </w:rPr>
        <w:t>/10</w:t>
      </w:r>
      <w:r w:rsidRPr="00BE7E83">
        <w:rPr>
          <w:rFonts w:ascii="Book Antiqua" w:hAnsi="Book Antiqua" w:cs="Times New Roman"/>
          <w:color w:val="000000" w:themeColor="text1"/>
          <w:sz w:val="24"/>
          <w:szCs w:val="24"/>
          <w:vertAlign w:val="superscript"/>
        </w:rPr>
        <w:t>th</w:t>
      </w:r>
      <w:r w:rsidRPr="00BE7E83">
        <w:rPr>
          <w:rFonts w:ascii="Book Antiqua" w:hAnsi="Book Antiqua" w:cs="Times New Roman"/>
          <w:color w:val="000000" w:themeColor="text1"/>
          <w:sz w:val="24"/>
          <w:szCs w:val="24"/>
        </w:rPr>
        <w:t xml:space="preserve"> caudal </w:t>
      </w:r>
      <w:bookmarkStart w:id="24" w:name="OLE_LINK242"/>
      <w:bookmarkStart w:id="25" w:name="OLE_LINK243"/>
      <w:r w:rsidRPr="00BE7E83">
        <w:rPr>
          <w:rFonts w:ascii="Book Antiqua" w:hAnsi="Book Antiqua" w:cs="Times New Roman"/>
          <w:color w:val="000000" w:themeColor="text1"/>
          <w:sz w:val="24"/>
          <w:szCs w:val="24"/>
        </w:rPr>
        <w:t>IV discs are punctured</w:t>
      </w:r>
      <w:bookmarkEnd w:id="24"/>
      <w:bookmarkEnd w:id="25"/>
      <w:r w:rsidRPr="00BE7E83">
        <w:rPr>
          <w:rFonts w:ascii="Book Antiqua" w:hAnsi="Book Antiqua" w:cs="Times New Roman"/>
          <w:color w:val="000000" w:themeColor="text1"/>
          <w:sz w:val="24"/>
          <w:szCs w:val="24"/>
        </w:rPr>
        <w:t>. Rats have four microscopically visible large subcutaneous vessels in the tail, located in the dorsal midline, the middle of both sides and in the ventral midline. The midpoint of the connection between each set of two vessels with the IV disc plane was punctured, with 4 puncture points for each segment, during which the vessels were avoided. An 18-G syringe needle was inserted slowly into the IV disc, and upon completion of the insertion, the needle was rotated 360</w:t>
      </w:r>
      <w:r w:rsidRPr="00BE7E83">
        <w:rPr>
          <w:rFonts w:ascii="Book Antiqua" w:hAnsi="Book Antiqua" w:cs="Times New Roman"/>
          <w:color w:val="000000" w:themeColor="text1"/>
          <w:sz w:val="24"/>
          <w:szCs w:val="24"/>
          <w:vertAlign w:val="superscript"/>
        </w:rPr>
        <w:sym w:font="Symbol" w:char="F0B0"/>
      </w:r>
      <w:r w:rsidRPr="00BE7E83">
        <w:rPr>
          <w:rFonts w:ascii="Book Antiqua" w:hAnsi="Book Antiqua" w:cs="Times New Roman"/>
          <w:color w:val="000000" w:themeColor="text1"/>
          <w:sz w:val="24"/>
          <w:szCs w:val="24"/>
        </w:rPr>
        <w:t>, stopped for 30 s and then slowly withdrawn, followed by disinfection. After completely regaining consciousness, the rats were fed normally in an animal room for 2-3 wk (Figure 1A).</w:t>
      </w:r>
    </w:p>
    <w:p w14:paraId="6189258E" w14:textId="71125E4F" w:rsidR="00B018DD" w:rsidRPr="00BE7E83" w:rsidRDefault="00585E9C" w:rsidP="00BE7E83">
      <w:pPr>
        <w:snapToGrid w:val="0"/>
        <w:spacing w:line="360" w:lineRule="auto"/>
        <w:ind w:firstLineChars="100" w:firstLine="240"/>
        <w:rPr>
          <w:rFonts w:ascii="Book Antiqua" w:hAnsi="Book Antiqua" w:cs="Times New Roman"/>
          <w:color w:val="000000" w:themeColor="text1"/>
          <w:sz w:val="24"/>
          <w:szCs w:val="24"/>
        </w:rPr>
      </w:pPr>
      <w:r>
        <w:rPr>
          <w:rFonts w:ascii="Book Antiqua" w:hAnsi="Book Antiqua" w:cs="Times New Roman"/>
          <w:color w:val="000000" w:themeColor="text1"/>
          <w:sz w:val="24"/>
          <w:szCs w:val="24"/>
        </w:rPr>
        <w:t>Similarly</w:t>
      </w:r>
      <w:r w:rsidR="00B018DD" w:rsidRPr="00BE7E83">
        <w:rPr>
          <w:rFonts w:ascii="Book Antiqua" w:hAnsi="Book Antiqua" w:cs="Times New Roman"/>
          <w:color w:val="000000" w:themeColor="text1"/>
          <w:sz w:val="24"/>
          <w:szCs w:val="24"/>
        </w:rPr>
        <w:t>, the superior endplate of the 9</w:t>
      </w:r>
      <w:r w:rsidR="00B018DD" w:rsidRPr="00BE7E83">
        <w:rPr>
          <w:rFonts w:ascii="Book Antiqua" w:hAnsi="Book Antiqua" w:cs="Times New Roman"/>
          <w:color w:val="000000" w:themeColor="text1"/>
          <w:sz w:val="24"/>
          <w:szCs w:val="24"/>
          <w:vertAlign w:val="superscript"/>
        </w:rPr>
        <w:t>th</w:t>
      </w:r>
      <w:r w:rsidR="00B018DD" w:rsidRPr="00BE7E83">
        <w:rPr>
          <w:rFonts w:ascii="Book Antiqua" w:hAnsi="Book Antiqua" w:cs="Times New Roman"/>
          <w:color w:val="000000" w:themeColor="text1"/>
          <w:sz w:val="24"/>
          <w:szCs w:val="24"/>
        </w:rPr>
        <w:t xml:space="preserve"> or 10</w:t>
      </w:r>
      <w:r w:rsidR="00B018DD" w:rsidRPr="00BE7E83">
        <w:rPr>
          <w:rFonts w:ascii="Book Antiqua" w:hAnsi="Book Antiqua" w:cs="Times New Roman"/>
          <w:color w:val="000000" w:themeColor="text1"/>
          <w:sz w:val="24"/>
          <w:szCs w:val="24"/>
          <w:vertAlign w:val="superscript"/>
        </w:rPr>
        <w:t>th</w:t>
      </w:r>
      <w:r w:rsidR="00B018DD" w:rsidRPr="00BE7E83">
        <w:rPr>
          <w:rFonts w:ascii="Book Antiqua" w:hAnsi="Book Antiqua" w:cs="Times New Roman"/>
          <w:color w:val="000000" w:themeColor="text1"/>
          <w:sz w:val="24"/>
          <w:szCs w:val="24"/>
        </w:rPr>
        <w:t xml:space="preserve"> caudal vertebra was selected to establish the model of endplate injury-induced IVD. First, a 0.5 cm-long longitudinal incision was made in the skin adjacent to the IV disc on the superior part of the vertebra, avoiding the vessels. The subcutaneous fascia and ligaments were separated to expose the superior portion of the vertebra. Subsequently, a drill with a bit diameter of 1.5 mm was used to drill into the vertebra near the superior endplate at a 45</w:t>
      </w:r>
      <w:r w:rsidR="00B018DD" w:rsidRPr="00BE7E83">
        <w:rPr>
          <w:rFonts w:ascii="Book Antiqua" w:hAnsi="Book Antiqua" w:cs="Times New Roman"/>
          <w:color w:val="000000" w:themeColor="text1"/>
          <w:sz w:val="24"/>
          <w:szCs w:val="24"/>
          <w:vertAlign w:val="superscript"/>
        </w:rPr>
        <w:sym w:font="Symbol" w:char="F0B0"/>
      </w:r>
      <w:r w:rsidR="00B018DD" w:rsidRPr="00BE7E83">
        <w:rPr>
          <w:rFonts w:ascii="Book Antiqua" w:hAnsi="Book Antiqua" w:cs="Times New Roman"/>
          <w:color w:val="000000" w:themeColor="text1"/>
          <w:sz w:val="24"/>
          <w:szCs w:val="24"/>
        </w:rPr>
        <w:t xml:space="preserve"> angle to destroy the endplate and its blood supply. The skin incision was then sutured and disinfected. Upon completely reviving, the rats were fed normally in the animal room for 2-3 wk (Figure 1B).</w:t>
      </w:r>
    </w:p>
    <w:p w14:paraId="6572B052" w14:textId="77777777" w:rsidR="00DA2F8F" w:rsidRPr="00BE7E83" w:rsidRDefault="00DA2F8F" w:rsidP="00BE7E83">
      <w:pPr>
        <w:snapToGrid w:val="0"/>
        <w:spacing w:line="360" w:lineRule="auto"/>
        <w:ind w:firstLineChars="100" w:firstLine="240"/>
        <w:rPr>
          <w:rFonts w:ascii="Book Antiqua" w:hAnsi="Book Antiqua" w:cs="Times New Roman"/>
          <w:color w:val="000000" w:themeColor="text1"/>
          <w:sz w:val="24"/>
          <w:szCs w:val="24"/>
        </w:rPr>
      </w:pPr>
    </w:p>
    <w:p w14:paraId="7BE31DAA" w14:textId="0091DA5F" w:rsidR="00B018DD" w:rsidRPr="00BE7E83" w:rsidRDefault="00B018DD" w:rsidP="00BE7E83">
      <w:pPr>
        <w:snapToGrid w:val="0"/>
        <w:spacing w:line="360" w:lineRule="auto"/>
        <w:rPr>
          <w:rFonts w:ascii="Book Antiqua" w:hAnsi="Book Antiqua" w:cs="Times New Roman"/>
          <w:b/>
          <w:i/>
          <w:color w:val="000000" w:themeColor="text1"/>
          <w:sz w:val="24"/>
          <w:szCs w:val="24"/>
        </w:rPr>
      </w:pPr>
      <w:bookmarkStart w:id="26" w:name="OLE_LINK174"/>
      <w:bookmarkStart w:id="27" w:name="OLE_LINK175"/>
      <w:r w:rsidRPr="00BE7E83">
        <w:rPr>
          <w:rFonts w:ascii="Book Antiqua" w:hAnsi="Book Antiqua" w:cs="Times New Roman"/>
          <w:b/>
          <w:i/>
          <w:color w:val="000000" w:themeColor="text1"/>
          <w:sz w:val="24"/>
          <w:szCs w:val="24"/>
        </w:rPr>
        <w:t>Imaging evaluation</w:t>
      </w:r>
      <w:bookmarkEnd w:id="26"/>
      <w:bookmarkEnd w:id="27"/>
    </w:p>
    <w:p w14:paraId="52F607D4" w14:textId="11D07647" w:rsidR="00B018DD" w:rsidRPr="00BE7E83" w:rsidRDefault="00B018DD"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After 2-3 wk, all rats received tail MRI using a magnetic resonance imager (UMR770, United-Imaging, Shanghai, China) and Pfirrmann classification</w:t>
      </w:r>
      <w:r w:rsidRPr="00BE7E83">
        <w:rPr>
          <w:rFonts w:ascii="Book Antiqua" w:hAnsi="Book Antiqua" w:cs="Times New Roman"/>
          <w:color w:val="000000" w:themeColor="text1"/>
          <w:sz w:val="24"/>
          <w:szCs w:val="24"/>
          <w:vertAlign w:val="superscript"/>
        </w:rPr>
        <w:t>[13]</w:t>
      </w:r>
      <w:r w:rsidRPr="00BE7E83">
        <w:rPr>
          <w:rFonts w:ascii="Book Antiqua" w:hAnsi="Book Antiqua" w:cs="Times New Roman"/>
          <w:color w:val="000000" w:themeColor="text1"/>
          <w:sz w:val="24"/>
          <w:szCs w:val="24"/>
        </w:rPr>
        <w:t>.</w:t>
      </w:r>
      <w:r w:rsidR="00C13664"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 xml:space="preserve">Rats with grade III-IV degeneration, indicating a significant decrease in the height of the IV disc space, underwent conventional X-ray examination using an X-ray machine (uDR588i, United-Imaging, Shanghai, China) and molybdenum target X-ray photography using </w:t>
      </w:r>
      <w:r w:rsidR="00D04197">
        <w:rPr>
          <w:rFonts w:ascii="Book Antiqua" w:hAnsi="Book Antiqua" w:cs="Times New Roman"/>
          <w:color w:val="000000" w:themeColor="text1"/>
          <w:sz w:val="24"/>
          <w:szCs w:val="24"/>
        </w:rPr>
        <w:t xml:space="preserve">the </w:t>
      </w:r>
      <w:r w:rsidRPr="00BE7E83">
        <w:rPr>
          <w:rFonts w:ascii="Book Antiqua" w:hAnsi="Book Antiqua" w:cs="Times New Roman"/>
          <w:color w:val="000000" w:themeColor="text1"/>
          <w:sz w:val="24"/>
          <w:szCs w:val="24"/>
        </w:rPr>
        <w:t>Mammomat Inspiration (Siemens, German</w:t>
      </w:r>
      <w:r w:rsidR="00D04197">
        <w:rPr>
          <w:rFonts w:ascii="Book Antiqua" w:hAnsi="Book Antiqua" w:cs="Times New Roman"/>
          <w:color w:val="000000" w:themeColor="text1"/>
          <w:sz w:val="24"/>
          <w:szCs w:val="24"/>
        </w:rPr>
        <w:t>y</w:t>
      </w:r>
      <w:r w:rsidRPr="00BE7E83">
        <w:rPr>
          <w:rFonts w:ascii="Book Antiqua" w:hAnsi="Book Antiqua" w:cs="Times New Roman"/>
          <w:color w:val="000000" w:themeColor="text1"/>
          <w:sz w:val="24"/>
          <w:szCs w:val="24"/>
        </w:rPr>
        <w:t>) (Figure 1C).</w:t>
      </w:r>
    </w:p>
    <w:p w14:paraId="439740A2" w14:textId="77777777"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The height of the space between degenerative vertebral segments in the conventional plain X-ray images and molybdenum target plain X-ray images was measured by four clinicians. Specifically, the height of both sides and midpoint of the IV disc space was measured and averaged together (Figure 2)</w:t>
      </w:r>
      <w:r w:rsidRPr="00BE7E83">
        <w:rPr>
          <w:rFonts w:ascii="Book Antiqua" w:hAnsi="Book Antiqua" w:cs="Times New Roman"/>
          <w:color w:val="000000" w:themeColor="text1"/>
          <w:sz w:val="24"/>
          <w:szCs w:val="24"/>
          <w:vertAlign w:val="superscript"/>
        </w:rPr>
        <w:t>[14]</w:t>
      </w:r>
      <w:r w:rsidRPr="00BE7E83">
        <w:rPr>
          <w:rFonts w:ascii="Book Antiqua" w:hAnsi="Book Antiqua" w:cs="Times New Roman"/>
          <w:color w:val="000000" w:themeColor="text1"/>
          <w:sz w:val="24"/>
          <w:szCs w:val="24"/>
        </w:rPr>
        <w:t>.</w:t>
      </w:r>
    </w:p>
    <w:p w14:paraId="1C9760EB" w14:textId="77777777" w:rsidR="00DA2F8F" w:rsidRPr="00BE7E83" w:rsidRDefault="00DA2F8F" w:rsidP="00BE7E83">
      <w:pPr>
        <w:snapToGrid w:val="0"/>
        <w:spacing w:line="360" w:lineRule="auto"/>
        <w:ind w:firstLineChars="100" w:firstLine="240"/>
        <w:rPr>
          <w:rFonts w:ascii="Book Antiqua" w:hAnsi="Book Antiqua" w:cs="Times New Roman"/>
          <w:color w:val="000000" w:themeColor="text1"/>
          <w:sz w:val="24"/>
          <w:szCs w:val="24"/>
        </w:rPr>
      </w:pPr>
    </w:p>
    <w:p w14:paraId="766DD795" w14:textId="379E7319" w:rsidR="00B018DD" w:rsidRPr="00BE7E83" w:rsidRDefault="00EA6F45" w:rsidP="00BE7E83">
      <w:pPr>
        <w:widowControl/>
        <w:snapToGrid w:val="0"/>
        <w:spacing w:line="360" w:lineRule="auto"/>
        <w:rPr>
          <w:rFonts w:ascii="Book Antiqua" w:hAnsi="Book Antiqua" w:cs="Times New Roman"/>
          <w:b/>
          <w:i/>
          <w:color w:val="000000" w:themeColor="text1"/>
          <w:sz w:val="24"/>
          <w:szCs w:val="24"/>
        </w:rPr>
      </w:pPr>
      <w:r w:rsidRPr="00BE7E83">
        <w:rPr>
          <w:rFonts w:ascii="Book Antiqua" w:hAnsi="Book Antiqua" w:cs="Times New Roman"/>
          <w:b/>
          <w:i/>
          <w:color w:val="000000" w:themeColor="text1"/>
          <w:sz w:val="24"/>
          <w:szCs w:val="24"/>
        </w:rPr>
        <w:t>Statistical analysis</w:t>
      </w:r>
    </w:p>
    <w:p w14:paraId="6EF46284" w14:textId="05563FB0" w:rsidR="00B018DD" w:rsidRPr="00BE7E83" w:rsidRDefault="00B018DD"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All statistic</w:t>
      </w:r>
      <w:r w:rsidR="00D04197">
        <w:rPr>
          <w:rFonts w:ascii="Book Antiqua" w:hAnsi="Book Antiqua" w:cs="Times New Roman"/>
          <w:color w:val="000000" w:themeColor="text1"/>
          <w:sz w:val="24"/>
          <w:szCs w:val="24"/>
        </w:rPr>
        <w:t>al analyse</w:t>
      </w:r>
      <w:r w:rsidRPr="00BE7E83">
        <w:rPr>
          <w:rFonts w:ascii="Book Antiqua" w:hAnsi="Book Antiqua" w:cs="Times New Roman"/>
          <w:color w:val="000000" w:themeColor="text1"/>
          <w:sz w:val="24"/>
          <w:szCs w:val="24"/>
        </w:rPr>
        <w:t>s were generated using SPSS 20 (Chicago, U</w:t>
      </w:r>
      <w:r w:rsidR="00EA6F45" w:rsidRPr="00BE7E83">
        <w:rPr>
          <w:rFonts w:ascii="Book Antiqua" w:hAnsi="Book Antiqua" w:cs="Times New Roman"/>
          <w:color w:val="000000" w:themeColor="text1"/>
          <w:sz w:val="24"/>
          <w:szCs w:val="24"/>
        </w:rPr>
        <w:t>nited States</w:t>
      </w:r>
      <w:r w:rsidRPr="00BE7E83">
        <w:rPr>
          <w:rFonts w:ascii="Book Antiqua" w:hAnsi="Book Antiqua" w:cs="Times New Roman"/>
          <w:color w:val="000000" w:themeColor="text1"/>
          <w:sz w:val="24"/>
          <w:szCs w:val="24"/>
        </w:rPr>
        <w:t xml:space="preserve">). The height of the IV disc space and </w:t>
      </w:r>
      <w:bookmarkStart w:id="28" w:name="OLE_LINK247"/>
      <w:bookmarkStart w:id="29" w:name="OLE_LINK248"/>
      <w:r w:rsidRPr="00BE7E83">
        <w:rPr>
          <w:rFonts w:ascii="Book Antiqua" w:hAnsi="Book Antiqua" w:cs="Times New Roman"/>
          <w:color w:val="000000" w:themeColor="text1"/>
          <w:sz w:val="24"/>
          <w:szCs w:val="24"/>
        </w:rPr>
        <w:t xml:space="preserve">data dispersion </w:t>
      </w:r>
      <w:bookmarkEnd w:id="28"/>
      <w:bookmarkEnd w:id="29"/>
      <w:r w:rsidRPr="00BE7E83">
        <w:rPr>
          <w:rFonts w:ascii="Book Antiqua" w:hAnsi="Book Antiqua" w:cs="Times New Roman"/>
          <w:color w:val="000000" w:themeColor="text1"/>
          <w:sz w:val="24"/>
          <w:szCs w:val="24"/>
        </w:rPr>
        <w:t>are presented as means and standard deviations. The inter</w:t>
      </w:r>
      <w:r w:rsidRPr="00BE7E83">
        <w:rPr>
          <w:rFonts w:ascii="Book Antiqua" w:eastAsia="宋体" w:hAnsi="Book Antiqua" w:cs="Times New Roman"/>
          <w:color w:val="000000" w:themeColor="text1"/>
          <w:sz w:val="24"/>
          <w:szCs w:val="24"/>
        </w:rPr>
        <w:t>-</w:t>
      </w:r>
      <w:r w:rsidRPr="00BE7E83">
        <w:rPr>
          <w:rFonts w:ascii="Book Antiqua" w:hAnsi="Book Antiqua" w:cs="Times New Roman"/>
          <w:color w:val="000000" w:themeColor="text1"/>
          <w:sz w:val="24"/>
          <w:szCs w:val="24"/>
        </w:rPr>
        <w:t>rater reliability and test</w:t>
      </w:r>
      <w:r w:rsidRPr="00BE7E83">
        <w:rPr>
          <w:rFonts w:ascii="Book Antiqua" w:eastAsia="宋体"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retest reliability of measurements by the four clinicians were determined and evaluated using intraclass correlation coefficients (ICC). The difference in the clarity of degeneration between molybdenum target X-ray photography and conventional X-ray examination was analyzed using </w:t>
      </w:r>
      <w:bookmarkStart w:id="30" w:name="OLE_LINK249"/>
      <w:bookmarkStart w:id="31" w:name="OLE_LINK250"/>
      <w:r w:rsidRPr="00BE7E83">
        <w:rPr>
          <w:rFonts w:ascii="Book Antiqua" w:hAnsi="Book Antiqua" w:cs="Times New Roman"/>
          <w:color w:val="000000" w:themeColor="text1"/>
          <w:sz w:val="24"/>
          <w:szCs w:val="24"/>
        </w:rPr>
        <w:t>McNemar's test at a significance level of 0.05</w:t>
      </w:r>
      <w:bookmarkEnd w:id="30"/>
      <w:bookmarkEnd w:id="31"/>
      <w:r w:rsidRPr="00BE7E83">
        <w:rPr>
          <w:rFonts w:ascii="Book Antiqua" w:hAnsi="Book Antiqua" w:cs="Times New Roman"/>
          <w:color w:val="000000" w:themeColor="text1"/>
          <w:sz w:val="24"/>
          <w:szCs w:val="24"/>
        </w:rPr>
        <w:t>.</w:t>
      </w:r>
    </w:p>
    <w:p w14:paraId="307457AB" w14:textId="77777777" w:rsidR="00B018DD" w:rsidRPr="00BE7E83" w:rsidRDefault="00B018DD" w:rsidP="00BE7E83">
      <w:pPr>
        <w:widowControl/>
        <w:snapToGrid w:val="0"/>
        <w:spacing w:line="360" w:lineRule="auto"/>
        <w:rPr>
          <w:rFonts w:ascii="Book Antiqua" w:hAnsi="Book Antiqua" w:cs="Times New Roman"/>
          <w:b/>
          <w:bCs/>
          <w:color w:val="000000" w:themeColor="text1"/>
          <w:sz w:val="24"/>
          <w:szCs w:val="24"/>
        </w:rPr>
      </w:pPr>
    </w:p>
    <w:p w14:paraId="7A53FC61" w14:textId="77777777" w:rsidR="00B018DD" w:rsidRPr="00BE7E83" w:rsidRDefault="00FA0E56" w:rsidP="00BE7E83">
      <w:pPr>
        <w:widowControl/>
        <w:snapToGrid w:val="0"/>
        <w:spacing w:line="360" w:lineRule="auto"/>
        <w:rPr>
          <w:rFonts w:ascii="Book Antiqua" w:hAnsi="Book Antiqua" w:cs="Times New Roman"/>
          <w:color w:val="000000" w:themeColor="text1"/>
          <w:sz w:val="24"/>
          <w:szCs w:val="24"/>
          <w:u w:val="single"/>
        </w:rPr>
      </w:pPr>
      <w:r w:rsidRPr="00BE7E83">
        <w:rPr>
          <w:rFonts w:ascii="Book Antiqua" w:hAnsi="Book Antiqua" w:cs="Times New Roman"/>
          <w:b/>
          <w:bCs/>
          <w:color w:val="000000" w:themeColor="text1"/>
          <w:sz w:val="24"/>
          <w:szCs w:val="24"/>
          <w:u w:val="single"/>
        </w:rPr>
        <w:t>RESULTS</w:t>
      </w:r>
    </w:p>
    <w:p w14:paraId="03061D76" w14:textId="4F166579" w:rsidR="00B018DD" w:rsidRPr="00BE7E83" w:rsidRDefault="00B018DD"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The present study </w:t>
      </w:r>
      <w:r w:rsidR="00D04197">
        <w:rPr>
          <w:rFonts w:ascii="Book Antiqua" w:hAnsi="Book Antiqua" w:cs="Times New Roman"/>
          <w:color w:val="000000" w:themeColor="text1"/>
          <w:sz w:val="24"/>
          <w:szCs w:val="24"/>
        </w:rPr>
        <w:t>included</w:t>
      </w:r>
      <w:r w:rsidRPr="00BE7E83">
        <w:rPr>
          <w:rFonts w:ascii="Book Antiqua" w:hAnsi="Book Antiqua" w:cs="Times New Roman"/>
          <w:color w:val="000000" w:themeColor="text1"/>
          <w:sz w:val="24"/>
          <w:szCs w:val="24"/>
        </w:rPr>
        <w:t xml:space="preserve"> 21 rats, of which 20 were used in the final analysis; one rat died without an obvious cause. </w:t>
      </w:r>
      <w:r w:rsidR="00D04197">
        <w:rPr>
          <w:rFonts w:ascii="Book Antiqua" w:hAnsi="Book Antiqua" w:cs="Times New Roman"/>
          <w:color w:val="000000" w:themeColor="text1"/>
          <w:sz w:val="24"/>
          <w:szCs w:val="24"/>
        </w:rPr>
        <w:t>Of</w:t>
      </w:r>
      <w:r w:rsidRPr="00BE7E83">
        <w:rPr>
          <w:rFonts w:ascii="Book Antiqua" w:hAnsi="Book Antiqua" w:cs="Times New Roman"/>
          <w:color w:val="000000" w:themeColor="text1"/>
          <w:sz w:val="24"/>
          <w:szCs w:val="24"/>
        </w:rPr>
        <w:t xml:space="preserve"> the</w:t>
      </w:r>
      <w:r w:rsidR="00D04197">
        <w:rPr>
          <w:rFonts w:ascii="Book Antiqua" w:hAnsi="Book Antiqua" w:cs="Times New Roman"/>
          <w:color w:val="000000" w:themeColor="text1"/>
          <w:sz w:val="24"/>
          <w:szCs w:val="24"/>
        </w:rPr>
        <w:t>se</w:t>
      </w:r>
      <w:r w:rsidRPr="00BE7E83">
        <w:rPr>
          <w:rFonts w:ascii="Book Antiqua" w:hAnsi="Book Antiqua" w:cs="Times New Roman"/>
          <w:color w:val="000000" w:themeColor="text1"/>
          <w:sz w:val="24"/>
          <w:szCs w:val="24"/>
        </w:rPr>
        <w:t xml:space="preserve"> 20 rats, nine were used to establish the needle puncture model, and 10 were used to establish the endplate destruction model. One rat was used as </w:t>
      </w:r>
      <w:r w:rsidR="00D04197">
        <w:rPr>
          <w:rFonts w:ascii="Book Antiqua" w:hAnsi="Book Antiqua" w:cs="Times New Roman"/>
          <w:color w:val="000000" w:themeColor="text1"/>
          <w:sz w:val="24"/>
          <w:szCs w:val="24"/>
        </w:rPr>
        <w:t>the</w:t>
      </w:r>
      <w:r w:rsidRPr="00BE7E83">
        <w:rPr>
          <w:rFonts w:ascii="Book Antiqua" w:hAnsi="Book Antiqua" w:cs="Times New Roman"/>
          <w:color w:val="000000" w:themeColor="text1"/>
          <w:sz w:val="24"/>
          <w:szCs w:val="24"/>
        </w:rPr>
        <w:t xml:space="preserve"> blank control.</w:t>
      </w:r>
    </w:p>
    <w:p w14:paraId="1CA4F409" w14:textId="5E5C2675"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MRI, conventional plain X-ray image and molybdenum target plain X-ray image of the normal tail of the blank control rat are </w:t>
      </w:r>
      <w:r w:rsidR="00D04197">
        <w:rPr>
          <w:rFonts w:ascii="Book Antiqua" w:hAnsi="Book Antiqua" w:cs="Times New Roman"/>
          <w:color w:val="000000" w:themeColor="text1"/>
          <w:sz w:val="24"/>
          <w:szCs w:val="24"/>
        </w:rPr>
        <w:t>shown</w:t>
      </w:r>
      <w:r w:rsidRPr="00BE7E83">
        <w:rPr>
          <w:rFonts w:ascii="Book Antiqua" w:hAnsi="Book Antiqua" w:cs="Times New Roman"/>
          <w:color w:val="000000" w:themeColor="text1"/>
          <w:sz w:val="24"/>
          <w:szCs w:val="24"/>
        </w:rPr>
        <w:t xml:space="preserve"> in Figure 3. It can be </w:t>
      </w:r>
      <w:r w:rsidR="00D04197">
        <w:rPr>
          <w:rFonts w:ascii="Book Antiqua" w:hAnsi="Book Antiqua" w:cs="Times New Roman"/>
          <w:color w:val="000000" w:themeColor="text1"/>
          <w:sz w:val="24"/>
          <w:szCs w:val="24"/>
        </w:rPr>
        <w:t>seen</w:t>
      </w:r>
      <w:r w:rsidRPr="00BE7E83">
        <w:rPr>
          <w:rFonts w:ascii="Book Antiqua" w:hAnsi="Book Antiqua" w:cs="Times New Roman"/>
          <w:color w:val="000000" w:themeColor="text1"/>
          <w:sz w:val="24"/>
          <w:szCs w:val="24"/>
        </w:rPr>
        <w:t xml:space="preserve"> from these images that compared with the conventional plain X-ray image, the molybdenum target plain X-ray image had higher definition, greater contrast and more clearly and precisely displayed anatomical structures, especially the IV disc space.</w:t>
      </w:r>
    </w:p>
    <w:p w14:paraId="7F32D1A3" w14:textId="6288A891"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Figure 4 displays MRI, conventional plain X-ray images and molybdenum target plain X-ray images of the two IVD models.</w:t>
      </w:r>
      <w:r w:rsidRPr="00BE7E83" w:rsidDel="001244B9">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 xml:space="preserve">Based on MRI, the two degeneration models </w:t>
      </w:r>
      <w:r w:rsidR="00D04197">
        <w:rPr>
          <w:rFonts w:ascii="Book Antiqua" w:hAnsi="Book Antiqua" w:cs="Times New Roman"/>
          <w:color w:val="000000" w:themeColor="text1"/>
          <w:sz w:val="24"/>
          <w:szCs w:val="24"/>
        </w:rPr>
        <w:t>demonstrated</w:t>
      </w:r>
      <w:r w:rsidRPr="00BE7E83">
        <w:rPr>
          <w:rFonts w:ascii="Book Antiqua" w:hAnsi="Book Antiqua" w:cs="Times New Roman"/>
          <w:color w:val="000000" w:themeColor="text1"/>
          <w:sz w:val="24"/>
          <w:szCs w:val="24"/>
        </w:rPr>
        <w:t xml:space="preserve"> very high stability, feasibility and repeatability. Pfirrmann grade</w:t>
      </w:r>
      <w:r w:rsidRPr="00BE7E83">
        <w:rPr>
          <w:rFonts w:ascii="Book Antiqua" w:hAnsi="Book Antiqua" w:cs="Times New Roman"/>
          <w:color w:val="000000" w:themeColor="text1"/>
          <w:sz w:val="24"/>
          <w:szCs w:val="24"/>
          <w:vertAlign w:val="superscript"/>
        </w:rPr>
        <w:t>[13]</w:t>
      </w:r>
      <w:r w:rsidRPr="00BE7E83">
        <w:rPr>
          <w:rFonts w:ascii="Book Antiqua" w:hAnsi="Book Antiqua" w:cs="Times New Roman"/>
          <w:color w:val="000000" w:themeColor="text1"/>
          <w:sz w:val="24"/>
          <w:szCs w:val="24"/>
        </w:rPr>
        <w:t xml:space="preserve"> III-V degeneration was achieved after a</w:t>
      </w:r>
      <w:r w:rsidR="00D04197">
        <w:rPr>
          <w:rFonts w:ascii="Book Antiqua" w:hAnsi="Book Antiqua" w:cs="Times New Roman"/>
          <w:color w:val="000000" w:themeColor="text1"/>
          <w:sz w:val="24"/>
          <w:szCs w:val="24"/>
        </w:rPr>
        <w:t>pproximately</w:t>
      </w:r>
      <w:r w:rsidRPr="00BE7E83">
        <w:rPr>
          <w:rFonts w:ascii="Book Antiqua" w:hAnsi="Book Antiqua" w:cs="Times New Roman"/>
          <w:color w:val="000000" w:themeColor="text1"/>
          <w:sz w:val="24"/>
          <w:szCs w:val="24"/>
        </w:rPr>
        <w:t xml:space="preserve"> two weeks. </w:t>
      </w:r>
      <w:r w:rsidR="00D04197">
        <w:rPr>
          <w:rFonts w:ascii="Book Antiqua" w:hAnsi="Book Antiqua" w:cs="Times New Roman"/>
          <w:color w:val="000000" w:themeColor="text1"/>
          <w:sz w:val="24"/>
          <w:szCs w:val="24"/>
        </w:rPr>
        <w:t>In addition</w:t>
      </w:r>
      <w:r w:rsidRPr="00BE7E83">
        <w:rPr>
          <w:rFonts w:ascii="Book Antiqua" w:hAnsi="Book Antiqua" w:cs="Times New Roman"/>
          <w:color w:val="000000" w:themeColor="text1"/>
          <w:sz w:val="24"/>
          <w:szCs w:val="24"/>
        </w:rPr>
        <w:t>, the molybdenum target plain X-ray images clearly showed narrowing of the IV spaces between degenerative vertebral segments, fine endplate calcification and even the drill holes in the endplate destruction-induced degeneration model. The conventional plain X-ray images were blurr</w:t>
      </w:r>
      <w:r w:rsidR="00D04197">
        <w:rPr>
          <w:rFonts w:ascii="Book Antiqua" w:hAnsi="Book Antiqua" w:cs="Times New Roman"/>
          <w:color w:val="000000" w:themeColor="text1"/>
          <w:sz w:val="24"/>
          <w:szCs w:val="24"/>
        </w:rPr>
        <w:t>ed</w:t>
      </w:r>
      <w:r w:rsidRPr="00BE7E83">
        <w:rPr>
          <w:rFonts w:ascii="Book Antiqua" w:hAnsi="Book Antiqua" w:cs="Times New Roman"/>
          <w:color w:val="000000" w:themeColor="text1"/>
          <w:sz w:val="24"/>
          <w:szCs w:val="24"/>
        </w:rPr>
        <w:t>, with less clear micro-calcification. In particular, it was difficult to pinpoint the boundary of the IV disc space, thereby affecting the measurement of disc space height. As shown in Figures 4C and</w:t>
      </w:r>
      <w:r w:rsidR="00DA2F8F" w:rsidRPr="00BE7E83">
        <w:rPr>
          <w:rFonts w:ascii="Book Antiqua" w:hAnsi="Book Antiqua" w:cs="Times New Roman"/>
          <w:color w:val="000000" w:themeColor="text1"/>
          <w:sz w:val="24"/>
          <w:szCs w:val="24"/>
        </w:rPr>
        <w:t xml:space="preserve"> Figures</w:t>
      </w:r>
      <w:r w:rsidRPr="00BE7E83">
        <w:rPr>
          <w:rFonts w:ascii="Book Antiqua" w:hAnsi="Book Antiqua" w:cs="Times New Roman"/>
          <w:color w:val="000000" w:themeColor="text1"/>
          <w:sz w:val="24"/>
          <w:szCs w:val="24"/>
        </w:rPr>
        <w:t xml:space="preserve"> 4D, the conventional plain X-ray examination produced images that less clearly showed degeneration, so that the measurement of intervertebral disc space height was more difficult and uncertain. Based on the results of McNemar's test for such uncertainty, there was a statistically significant difference in the definition of IVD between molybdenum target plain X-ray images and conventional plain X-ray images (</w:t>
      </w:r>
      <w:r w:rsidR="00CF5890" w:rsidRPr="00BE7E83">
        <w:rPr>
          <w:rFonts w:ascii="Book Antiqua" w:hAnsi="Book Antiqua" w:cs="Times New Roman"/>
          <w:i/>
          <w:color w:val="000000" w:themeColor="text1"/>
          <w:sz w:val="24"/>
          <w:szCs w:val="24"/>
        </w:rPr>
        <w:t>P</w:t>
      </w:r>
      <w:r w:rsidR="00DA2F8F" w:rsidRPr="00BE7E83">
        <w:rPr>
          <w:rFonts w:ascii="Book Antiqua" w:hAnsi="Book Antiqua" w:cs="Times New Roman"/>
          <w:i/>
          <w:color w:val="000000" w:themeColor="text1"/>
          <w:sz w:val="24"/>
          <w:szCs w:val="24"/>
        </w:rPr>
        <w:t xml:space="preserve"> </w:t>
      </w:r>
      <w:r w:rsidRPr="00BE7E83">
        <w:rPr>
          <w:rFonts w:ascii="Book Antiqua" w:hAnsi="Book Antiqua" w:cs="Times New Roman"/>
          <w:color w:val="000000" w:themeColor="text1"/>
          <w:sz w:val="24"/>
          <w:szCs w:val="24"/>
        </w:rPr>
        <w:t>=</w:t>
      </w:r>
      <w:r w:rsidR="00DA2F8F"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0.031) (</w:t>
      </w:r>
      <w:r w:rsidR="00715946" w:rsidRPr="00BE7E83">
        <w:rPr>
          <w:rFonts w:ascii="Book Antiqua" w:hAnsi="Book Antiqua" w:cs="Times New Roman"/>
          <w:color w:val="000000" w:themeColor="text1"/>
          <w:sz w:val="24"/>
          <w:szCs w:val="24"/>
        </w:rPr>
        <w:t>Table</w:t>
      </w:r>
      <w:r w:rsidRPr="00BE7E83">
        <w:rPr>
          <w:rFonts w:ascii="Book Antiqua" w:hAnsi="Book Antiqua" w:cs="Times New Roman"/>
          <w:color w:val="000000" w:themeColor="text1"/>
          <w:sz w:val="24"/>
          <w:szCs w:val="24"/>
        </w:rPr>
        <w:t xml:space="preserve"> 1).</w:t>
      </w:r>
    </w:p>
    <w:p w14:paraId="5BA15F49" w14:textId="47155CD0"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The height of the IV disc space in different</w:t>
      </w:r>
      <w:bookmarkStart w:id="32" w:name="OLE_LINK251"/>
      <w:bookmarkStart w:id="33" w:name="OLE_LINK252"/>
      <w:r w:rsidRPr="00BE7E83">
        <w:rPr>
          <w:rFonts w:ascii="Book Antiqua" w:hAnsi="Book Antiqua" w:cs="Times New Roman"/>
          <w:color w:val="000000" w:themeColor="text1"/>
          <w:sz w:val="24"/>
          <w:szCs w:val="24"/>
        </w:rPr>
        <w:t xml:space="preserve"> plain X-ray images</w:t>
      </w:r>
      <w:bookmarkEnd w:id="32"/>
      <w:bookmarkEnd w:id="33"/>
      <w:r w:rsidRPr="00BE7E83">
        <w:rPr>
          <w:rFonts w:ascii="Book Antiqua" w:hAnsi="Book Antiqua" w:cs="Times New Roman"/>
          <w:color w:val="000000" w:themeColor="text1"/>
          <w:sz w:val="24"/>
          <w:szCs w:val="24"/>
        </w:rPr>
        <w:t xml:space="preserve"> of degenerative vertebral segments in the 19 rats was measured by four observers (Table 2). According to the ICC value</w:t>
      </w:r>
      <w:r w:rsidRPr="00BE7E83">
        <w:rPr>
          <w:rFonts w:ascii="Book Antiqua" w:hAnsi="Book Antiqua" w:cs="Times New Roman"/>
          <w:color w:val="000000" w:themeColor="text1"/>
          <w:sz w:val="24"/>
          <w:szCs w:val="24"/>
          <w:vertAlign w:val="superscript"/>
        </w:rPr>
        <w:t>[15]</w:t>
      </w:r>
      <w:r w:rsidRPr="00BE7E83">
        <w:rPr>
          <w:rFonts w:ascii="Book Antiqua" w:hAnsi="Book Antiqua" w:cs="Times New Roman"/>
          <w:color w:val="000000" w:themeColor="text1"/>
          <w:sz w:val="24"/>
          <w:szCs w:val="24"/>
        </w:rPr>
        <w:t>, the measured height of the IV disc space in the conventional plain X-ray images of the tw</w:t>
      </w:r>
      <w:r w:rsidR="00CF5890" w:rsidRPr="00BE7E83">
        <w:rPr>
          <w:rFonts w:ascii="Book Antiqua" w:hAnsi="Book Antiqua" w:cs="Times New Roman"/>
          <w:color w:val="000000" w:themeColor="text1"/>
          <w:sz w:val="24"/>
          <w:szCs w:val="24"/>
        </w:rPr>
        <w:t>o models was less reliable (ICC</w:t>
      </w:r>
      <w:r w:rsidR="00DA2F8F"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&lt;</w:t>
      </w:r>
      <w:r w:rsidR="00DA2F8F"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0.4)</w:t>
      </w:r>
      <w:r w:rsidR="00EA6F45"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than the measured height of the IV disc space in the molybdenum target plain X-ray images</w:t>
      </w:r>
      <w:r w:rsidR="00CF5890" w:rsidRPr="00BE7E83">
        <w:rPr>
          <w:rFonts w:ascii="Book Antiqua" w:hAnsi="Book Antiqua" w:cs="Times New Roman"/>
          <w:color w:val="000000" w:themeColor="text1"/>
          <w:sz w:val="24"/>
          <w:szCs w:val="24"/>
        </w:rPr>
        <w:t xml:space="preserve"> </w:t>
      </w:r>
      <w:r w:rsidR="00074866">
        <w:rPr>
          <w:rFonts w:ascii="Book Antiqua" w:hAnsi="Book Antiqua" w:cs="Times New Roman"/>
          <w:color w:val="000000" w:themeColor="text1"/>
          <w:sz w:val="24"/>
          <w:szCs w:val="24"/>
        </w:rPr>
        <w:t xml:space="preserve">and </w:t>
      </w:r>
      <w:r w:rsidR="00CF5890" w:rsidRPr="00BE7E83">
        <w:rPr>
          <w:rFonts w:ascii="Book Antiqua" w:hAnsi="Book Antiqua" w:cs="Times New Roman"/>
          <w:color w:val="000000" w:themeColor="text1"/>
          <w:sz w:val="24"/>
          <w:szCs w:val="24"/>
        </w:rPr>
        <w:t>was preferable and higher (ICC</w:t>
      </w:r>
      <w:r w:rsidR="00DA2F8F"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&gt;</w:t>
      </w:r>
      <w:r w:rsidR="00DA2F8F"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0.75). The measurements of the four observers on the conventional plain X-ray images had slightly larger standard deviations and a higher degree of dispersion, so it can be inferred that the boundary of the space between the degenerative vertebral segments in the conventional plain X-ray images was ill-defined for the four observers, greatly affecting the reliability of results.</w:t>
      </w:r>
    </w:p>
    <w:p w14:paraId="58D16423" w14:textId="77777777" w:rsidR="00B018DD" w:rsidRPr="00BE7E83" w:rsidRDefault="00B018DD" w:rsidP="00BE7E83">
      <w:pPr>
        <w:widowControl/>
        <w:snapToGrid w:val="0"/>
        <w:spacing w:line="360" w:lineRule="auto"/>
        <w:rPr>
          <w:rFonts w:ascii="Book Antiqua" w:hAnsi="Book Antiqua" w:cs="Times New Roman"/>
          <w:color w:val="000000" w:themeColor="text1"/>
          <w:sz w:val="24"/>
          <w:szCs w:val="24"/>
        </w:rPr>
      </w:pPr>
    </w:p>
    <w:p w14:paraId="73FB6CC7" w14:textId="77777777" w:rsidR="00B018DD" w:rsidRPr="00BE7E83" w:rsidRDefault="00FA0E56" w:rsidP="00BE7E83">
      <w:pPr>
        <w:widowControl/>
        <w:snapToGrid w:val="0"/>
        <w:spacing w:line="360" w:lineRule="auto"/>
        <w:rPr>
          <w:rFonts w:ascii="Book Antiqua" w:hAnsi="Book Antiqua" w:cs="Times New Roman"/>
          <w:color w:val="000000" w:themeColor="text1"/>
          <w:sz w:val="24"/>
          <w:szCs w:val="24"/>
          <w:u w:val="single"/>
        </w:rPr>
      </w:pPr>
      <w:r w:rsidRPr="00BE7E83">
        <w:rPr>
          <w:rFonts w:ascii="Book Antiqua" w:hAnsi="Book Antiqua" w:cs="Times New Roman"/>
          <w:b/>
          <w:color w:val="000000" w:themeColor="text1"/>
          <w:sz w:val="24"/>
          <w:szCs w:val="24"/>
          <w:u w:val="single"/>
        </w:rPr>
        <w:t>DISCUSSION</w:t>
      </w:r>
    </w:p>
    <w:p w14:paraId="0F88F4E0" w14:textId="60B949AB" w:rsidR="00B018DD" w:rsidRPr="00BE7E83" w:rsidRDefault="00B018DD"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A reliable evaluation method should be developed to establish a feasible, highly repeatable, effective animal model of IVD. Imaging evaluation is </w:t>
      </w:r>
      <w:r w:rsidR="00074866">
        <w:rPr>
          <w:rFonts w:ascii="Book Antiqua" w:hAnsi="Book Antiqua" w:cs="Times New Roman"/>
          <w:color w:val="000000" w:themeColor="text1"/>
          <w:sz w:val="24"/>
          <w:szCs w:val="24"/>
        </w:rPr>
        <w:t>a crucial</w:t>
      </w:r>
      <w:r w:rsidRPr="00BE7E83">
        <w:rPr>
          <w:rFonts w:ascii="Book Antiqua" w:hAnsi="Book Antiqua" w:cs="Times New Roman"/>
          <w:color w:val="000000" w:themeColor="text1"/>
          <w:sz w:val="24"/>
          <w:szCs w:val="24"/>
        </w:rPr>
        <w:t>, easy to use</w:t>
      </w:r>
      <w:r w:rsidR="00074866">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low-cost</w:t>
      </w:r>
      <w:r w:rsidR="00074866">
        <w:rPr>
          <w:rFonts w:ascii="Book Antiqua" w:hAnsi="Book Antiqua" w:cs="Times New Roman"/>
          <w:color w:val="000000" w:themeColor="text1"/>
          <w:sz w:val="24"/>
          <w:szCs w:val="24"/>
        </w:rPr>
        <w:t xml:space="preserve"> an</w:t>
      </w:r>
      <w:r w:rsidR="00703038">
        <w:rPr>
          <w:rFonts w:ascii="Book Antiqua" w:hAnsi="Book Antiqua" w:cs="Times New Roman"/>
          <w:color w:val="000000" w:themeColor="text1"/>
          <w:sz w:val="24"/>
          <w:szCs w:val="24"/>
        </w:rPr>
        <w:t>d</w:t>
      </w:r>
      <w:r w:rsidR="00074866">
        <w:rPr>
          <w:rFonts w:ascii="Book Antiqua" w:hAnsi="Book Antiqua" w:cs="Times New Roman"/>
          <w:color w:val="000000" w:themeColor="text1"/>
          <w:sz w:val="24"/>
          <w:szCs w:val="24"/>
        </w:rPr>
        <w:t xml:space="preserve"> effective technique</w:t>
      </w:r>
      <w:r w:rsidRPr="00BE7E83">
        <w:rPr>
          <w:rFonts w:ascii="Book Antiqua" w:hAnsi="Book Antiqua" w:cs="Times New Roman"/>
          <w:color w:val="000000" w:themeColor="text1"/>
          <w:sz w:val="24"/>
          <w:szCs w:val="24"/>
        </w:rPr>
        <w:t xml:space="preserve">, especially for the evaluation of IV disc space height, </w:t>
      </w:r>
      <w:r w:rsidR="00E65CEA">
        <w:rPr>
          <w:rFonts w:ascii="Book Antiqua" w:hAnsi="Book Antiqua" w:cs="Times New Roman"/>
          <w:color w:val="000000" w:themeColor="text1"/>
          <w:sz w:val="24"/>
          <w:szCs w:val="24"/>
        </w:rPr>
        <w:t xml:space="preserve">and is </w:t>
      </w:r>
      <w:r w:rsidRPr="00BE7E83">
        <w:rPr>
          <w:rFonts w:ascii="Book Antiqua" w:hAnsi="Book Antiqua" w:cs="Times New Roman"/>
          <w:color w:val="000000" w:themeColor="text1"/>
          <w:sz w:val="24"/>
          <w:szCs w:val="24"/>
        </w:rPr>
        <w:t>the most commonly used quantitative indicator of IVD in animal models</w:t>
      </w:r>
      <w:r w:rsidRPr="00BE7E83">
        <w:rPr>
          <w:rFonts w:ascii="Book Antiqua" w:hAnsi="Book Antiqua" w:cs="Times New Roman"/>
          <w:color w:val="000000" w:themeColor="text1"/>
          <w:sz w:val="24"/>
          <w:szCs w:val="24"/>
          <w:vertAlign w:val="superscript"/>
        </w:rPr>
        <w:t>[16]</w:t>
      </w:r>
      <w:r w:rsidRPr="00BE7E83">
        <w:rPr>
          <w:rFonts w:ascii="Book Antiqua" w:hAnsi="Book Antiqua" w:cs="Times New Roman"/>
          <w:color w:val="000000" w:themeColor="text1"/>
          <w:sz w:val="24"/>
          <w:szCs w:val="24"/>
        </w:rPr>
        <w:t xml:space="preserve">. Therefore, the precision of plain X-ray images for the definition of degenerative vertebral segments is particularly important. However, for rats with small vertebral bodies and narrow intervertebral disc spaces, conventional plain X-ray images have poor definition and low contrast, micro-calcifications are unclear, and the imaging effect on the boundary of the narrow IV disc space is poor, making it difficult to define the boundaries. This is the first study to apply molybdenum target X-ray photography to the imaging evaluation of caudal IVD in the rat models. </w:t>
      </w:r>
    </w:p>
    <w:p w14:paraId="1426DC1E" w14:textId="180528DE"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As molybdenum target X-ray photography has high contrast, high resolution and favorable repeatability and produces clear images of micro-calcification</w:t>
      </w:r>
      <w:r w:rsidR="00074866">
        <w:rPr>
          <w:rFonts w:ascii="Book Antiqua" w:hAnsi="Book Antiqua" w:cs="Times New Roman"/>
          <w:color w:val="000000" w:themeColor="text1"/>
          <w:sz w:val="24"/>
          <w:szCs w:val="24"/>
        </w:rPr>
        <w:t>s</w:t>
      </w:r>
      <w:r w:rsidRPr="00BE7E83">
        <w:rPr>
          <w:rFonts w:ascii="Book Antiqua" w:hAnsi="Book Antiqua" w:cs="Times New Roman"/>
          <w:color w:val="000000" w:themeColor="text1"/>
          <w:sz w:val="24"/>
          <w:szCs w:val="24"/>
        </w:rPr>
        <w:t>, it is often used for breast examination, especially the screening of breast cancer</w:t>
      </w:r>
      <w:r w:rsidRPr="00BE7E83">
        <w:rPr>
          <w:rFonts w:ascii="Book Antiqua" w:hAnsi="Book Antiqua" w:cs="Times New Roman"/>
          <w:color w:val="000000" w:themeColor="text1"/>
          <w:sz w:val="24"/>
          <w:szCs w:val="24"/>
          <w:vertAlign w:val="superscript"/>
        </w:rPr>
        <w:t>[17]</w:t>
      </w:r>
      <w:r w:rsidRPr="00BE7E83">
        <w:rPr>
          <w:rFonts w:ascii="Book Antiqua" w:hAnsi="Book Antiqua" w:cs="Times New Roman"/>
          <w:color w:val="000000" w:themeColor="text1"/>
          <w:sz w:val="24"/>
          <w:szCs w:val="24"/>
        </w:rPr>
        <w:t xml:space="preserve">. A conventional X-ray machine, with the tube anode surface made of tungsten, produces short waves, hard X-rays with strong penetrability. A molybdenum target X-ray photography device has a molybdenum anode surface and it produces </w:t>
      </w:r>
      <w:r w:rsidRPr="00BE7E83">
        <w:rPr>
          <w:rFonts w:ascii="Book Antiqua" w:hAnsi="Book Antiqua" w:cs="Times New Roman"/>
          <w:color w:val="000000" w:themeColor="text1"/>
          <w:kern w:val="0"/>
          <w:sz w:val="24"/>
          <w:szCs w:val="24"/>
        </w:rPr>
        <w:t>soft X-rays</w:t>
      </w:r>
      <w:r w:rsidRPr="00BE7E83">
        <w:rPr>
          <w:rFonts w:ascii="Book Antiqua" w:hAnsi="Book Antiqua" w:cs="Times New Roman"/>
          <w:color w:val="000000" w:themeColor="text1"/>
          <w:sz w:val="24"/>
          <w:szCs w:val="24"/>
        </w:rPr>
        <w:t xml:space="preserve"> characterized by constant wavelength, strong intensity, </w:t>
      </w:r>
      <w:bookmarkStart w:id="34" w:name="OLE_LINK255"/>
      <w:bookmarkStart w:id="35" w:name="OLE_LINK256"/>
      <w:r w:rsidRPr="00BE7E83">
        <w:rPr>
          <w:rFonts w:ascii="Book Antiqua" w:hAnsi="Book Antiqua" w:cs="Times New Roman"/>
          <w:color w:val="000000" w:themeColor="text1"/>
          <w:sz w:val="24"/>
          <w:szCs w:val="24"/>
        </w:rPr>
        <w:t xml:space="preserve">strong monochromaticity </w:t>
      </w:r>
      <w:bookmarkEnd w:id="34"/>
      <w:bookmarkEnd w:id="35"/>
      <w:r w:rsidRPr="00BE7E83">
        <w:rPr>
          <w:rFonts w:ascii="Book Antiqua" w:hAnsi="Book Antiqua" w:cs="Times New Roman"/>
          <w:color w:val="000000" w:themeColor="text1"/>
          <w:sz w:val="24"/>
          <w:szCs w:val="24"/>
        </w:rPr>
        <w:t>and high contrast and high resolution to distinguish subtle density differences, such as micro-calcifications</w:t>
      </w:r>
      <w:r w:rsidRPr="00BE7E83">
        <w:rPr>
          <w:rFonts w:ascii="Book Antiqua" w:hAnsi="Book Antiqua" w:cs="Times New Roman"/>
          <w:color w:val="000000" w:themeColor="text1"/>
          <w:sz w:val="24"/>
          <w:szCs w:val="24"/>
          <w:vertAlign w:val="superscript"/>
        </w:rPr>
        <w:t>[18]</w:t>
      </w:r>
      <w:r w:rsidR="00EA6F45" w:rsidRPr="00BE7E83">
        <w:rPr>
          <w:rFonts w:ascii="Book Antiqua" w:hAnsi="Book Antiqua" w:cs="Times New Roman"/>
          <w:color w:val="000000" w:themeColor="text1"/>
          <w:sz w:val="24"/>
          <w:szCs w:val="24"/>
        </w:rPr>
        <w:t>.</w:t>
      </w:r>
    </w:p>
    <w:p w14:paraId="31D71ADB" w14:textId="0AD18531"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The needle-puncture injury-induced degeneration model and endplate destruction-induced degeneration model, the two most common rat models of caudal IVD, were used to verify the reliability, precision and universality of the molybdenum target X-ray photography in the present study. It was confirmed </w:t>
      </w:r>
      <w:r w:rsidR="00074866">
        <w:rPr>
          <w:rFonts w:ascii="Book Antiqua" w:hAnsi="Book Antiqua" w:cs="Times New Roman"/>
          <w:color w:val="000000" w:themeColor="text1"/>
          <w:sz w:val="24"/>
          <w:szCs w:val="24"/>
        </w:rPr>
        <w:t>by</w:t>
      </w:r>
      <w:r w:rsidRPr="00BE7E83">
        <w:rPr>
          <w:rFonts w:ascii="Book Antiqua" w:hAnsi="Book Antiqua" w:cs="Times New Roman"/>
          <w:color w:val="000000" w:themeColor="text1"/>
          <w:sz w:val="24"/>
          <w:szCs w:val="24"/>
        </w:rPr>
        <w:t xml:space="preserve"> MRI that Pfirrmann grade</w:t>
      </w:r>
      <w:r w:rsidRPr="00BE7E83">
        <w:rPr>
          <w:rFonts w:ascii="Book Antiqua" w:hAnsi="Book Antiqua" w:cs="Times New Roman"/>
          <w:color w:val="000000" w:themeColor="text1"/>
          <w:sz w:val="24"/>
          <w:szCs w:val="24"/>
          <w:vertAlign w:val="superscript"/>
        </w:rPr>
        <w:t>[13]</w:t>
      </w:r>
      <w:r w:rsidRPr="00BE7E83">
        <w:rPr>
          <w:rFonts w:ascii="Book Antiqua" w:hAnsi="Book Antiqua" w:cs="Times New Roman"/>
          <w:color w:val="000000" w:themeColor="text1"/>
          <w:sz w:val="24"/>
          <w:szCs w:val="24"/>
        </w:rPr>
        <w:t xml:space="preserve"> III-IV degeneration was produced after a</w:t>
      </w:r>
      <w:r w:rsidR="00074866">
        <w:rPr>
          <w:rFonts w:ascii="Book Antiqua" w:hAnsi="Book Antiqua" w:cs="Times New Roman"/>
          <w:color w:val="000000" w:themeColor="text1"/>
          <w:sz w:val="24"/>
          <w:szCs w:val="24"/>
        </w:rPr>
        <w:t>pproximately</w:t>
      </w:r>
      <w:r w:rsidRPr="00BE7E83">
        <w:rPr>
          <w:rFonts w:ascii="Book Antiqua" w:hAnsi="Book Antiqua" w:cs="Times New Roman"/>
          <w:color w:val="000000" w:themeColor="text1"/>
          <w:sz w:val="24"/>
          <w:szCs w:val="24"/>
        </w:rPr>
        <w:t xml:space="preserve"> two weeks. The models were highly repeatable and reliable, laying </w:t>
      </w:r>
      <w:r w:rsidR="00074866">
        <w:rPr>
          <w:rFonts w:ascii="Book Antiqua" w:hAnsi="Book Antiqua" w:cs="Times New Roman"/>
          <w:color w:val="000000" w:themeColor="text1"/>
          <w:sz w:val="24"/>
          <w:szCs w:val="24"/>
        </w:rPr>
        <w:t>the</w:t>
      </w:r>
      <w:r w:rsidRPr="00BE7E83">
        <w:rPr>
          <w:rFonts w:ascii="Book Antiqua" w:hAnsi="Book Antiqua" w:cs="Times New Roman"/>
          <w:color w:val="000000" w:themeColor="text1"/>
          <w:sz w:val="24"/>
          <w:szCs w:val="24"/>
        </w:rPr>
        <w:t xml:space="preserve"> foundation for subsequent research. In the needle puncture injury-induced degeneration model, molybdenum target X-ray photography provided very clear images for the measurement of IV disc space height and more accurately displayed the decrease in the height of the disc space </w:t>
      </w:r>
      <w:r w:rsidR="00074866">
        <w:rPr>
          <w:rFonts w:ascii="Book Antiqua" w:hAnsi="Book Antiqua" w:cs="Times New Roman"/>
          <w:color w:val="000000" w:themeColor="text1"/>
          <w:sz w:val="24"/>
          <w:szCs w:val="24"/>
        </w:rPr>
        <w:t>compared with the</w:t>
      </w:r>
      <w:r w:rsidRPr="00BE7E83">
        <w:rPr>
          <w:rFonts w:ascii="Book Antiqua" w:hAnsi="Book Antiqua" w:cs="Times New Roman"/>
          <w:color w:val="000000" w:themeColor="text1"/>
          <w:sz w:val="24"/>
          <w:szCs w:val="24"/>
        </w:rPr>
        <w:t xml:space="preserve"> conventional X-ray examination. Molybdenum target X-ray photography also provided more advantages in the endplate destruction-induced degeneration model, producing clear images of minor fractures and micro-calcifications, with higher contrast, making it possible to precisely and comprehensively evaluate the degeneration (Figure 4).</w:t>
      </w:r>
    </w:p>
    <w:p w14:paraId="242E00A1" w14:textId="7C3B1612"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The measurement of IV disc space height is performed manually, so the measurement data vary </w:t>
      </w:r>
      <w:r w:rsidR="00074866">
        <w:rPr>
          <w:rFonts w:ascii="Book Antiqua" w:hAnsi="Book Antiqua" w:cs="Times New Roman"/>
          <w:color w:val="000000" w:themeColor="text1"/>
          <w:sz w:val="24"/>
          <w:szCs w:val="24"/>
        </w:rPr>
        <w:t>due to</w:t>
      </w:r>
      <w:r w:rsidRPr="00BE7E83">
        <w:rPr>
          <w:rFonts w:ascii="Book Antiqua" w:hAnsi="Book Antiqua" w:cs="Times New Roman"/>
          <w:color w:val="000000" w:themeColor="text1"/>
          <w:sz w:val="24"/>
          <w:szCs w:val="24"/>
        </w:rPr>
        <w:t xml:space="preserve"> differences among observers, reducing the reliability of the results. The standard deviation</w:t>
      </w:r>
      <w:r w:rsidR="00074866">
        <w:rPr>
          <w:rFonts w:ascii="Book Antiqua" w:hAnsi="Book Antiqua" w:cs="Times New Roman"/>
          <w:color w:val="000000" w:themeColor="text1"/>
          <w:sz w:val="24"/>
          <w:szCs w:val="24"/>
        </w:rPr>
        <w:t>s</w:t>
      </w:r>
      <w:r w:rsidRPr="00BE7E83">
        <w:rPr>
          <w:rFonts w:ascii="Book Antiqua" w:hAnsi="Book Antiqua" w:cs="Times New Roman"/>
          <w:color w:val="000000" w:themeColor="text1"/>
          <w:sz w:val="24"/>
          <w:szCs w:val="24"/>
        </w:rPr>
        <w:t xml:space="preserve"> of measurements with conventional X-ray imaging were larger with higher dispersion. The ICC results also showed that the measurement data of the four observers were greatly different and less reliable than the molybdenum target X-ray images (Table 2). Therefore, it can be concluded that the data from the molybdenum target X-ray photography are more reliable and precise, and reduce the </w:t>
      </w:r>
      <w:bookmarkStart w:id="36" w:name="OLE_LINK259"/>
      <w:bookmarkStart w:id="37" w:name="OLE_LINK260"/>
      <w:r w:rsidRPr="00BE7E83">
        <w:rPr>
          <w:rFonts w:ascii="Book Antiqua" w:hAnsi="Book Antiqua" w:cs="Times New Roman"/>
          <w:color w:val="000000" w:themeColor="text1"/>
          <w:sz w:val="24"/>
          <w:szCs w:val="24"/>
        </w:rPr>
        <w:t>uncertainty</w:t>
      </w:r>
      <w:bookmarkEnd w:id="36"/>
      <w:bookmarkEnd w:id="37"/>
      <w:r w:rsidRPr="00BE7E83">
        <w:rPr>
          <w:rFonts w:ascii="Book Antiqua" w:hAnsi="Book Antiqua" w:cs="Times New Roman"/>
          <w:color w:val="000000" w:themeColor="text1"/>
          <w:sz w:val="24"/>
          <w:szCs w:val="24"/>
        </w:rPr>
        <w:t xml:space="preserve"> of observers in defining and measuring the IV disc space.</w:t>
      </w:r>
      <w:r w:rsidR="00BA712B" w:rsidRPr="00BE7E83">
        <w:rPr>
          <w:rFonts w:ascii="Book Antiqua" w:hAnsi="Book Antiqua" w:cs="Times New Roman"/>
          <w:color w:val="000000" w:themeColor="text1"/>
          <w:sz w:val="24"/>
          <w:szCs w:val="24"/>
        </w:rPr>
        <w:t xml:space="preserve"> </w:t>
      </w:r>
      <w:r w:rsidR="00151EA6">
        <w:rPr>
          <w:rFonts w:ascii="Book Antiqua" w:hAnsi="Book Antiqua" w:cs="Times New Roman"/>
          <w:color w:val="000000" w:themeColor="text1"/>
          <w:sz w:val="24"/>
          <w:szCs w:val="24"/>
        </w:rPr>
        <w:t>However,</w:t>
      </w:r>
      <w:r w:rsidR="00BA712B" w:rsidRPr="00BE7E83">
        <w:rPr>
          <w:rFonts w:ascii="Book Antiqua" w:hAnsi="Book Antiqua" w:cs="Times New Roman"/>
          <w:color w:val="000000" w:themeColor="text1"/>
          <w:sz w:val="24"/>
          <w:szCs w:val="24"/>
        </w:rPr>
        <w:t xml:space="preserve"> molybdenum target X-ray photography is </w:t>
      </w:r>
      <w:r w:rsidR="00B22A7C" w:rsidRPr="00BE7E83">
        <w:rPr>
          <w:rFonts w:ascii="Book Antiqua" w:hAnsi="Book Antiqua" w:cs="Times New Roman"/>
          <w:color w:val="000000" w:themeColor="text1"/>
          <w:sz w:val="24"/>
          <w:szCs w:val="24"/>
        </w:rPr>
        <w:t xml:space="preserve">not suitable </w:t>
      </w:r>
      <w:r w:rsidR="00151EA6">
        <w:rPr>
          <w:rFonts w:ascii="Book Antiqua" w:hAnsi="Book Antiqua" w:cs="Times New Roman"/>
          <w:color w:val="000000" w:themeColor="text1"/>
          <w:sz w:val="24"/>
          <w:szCs w:val="24"/>
        </w:rPr>
        <w:t>for</w:t>
      </w:r>
      <w:r w:rsidR="00B22A7C" w:rsidRPr="00BE7E83">
        <w:rPr>
          <w:rFonts w:ascii="Book Antiqua" w:hAnsi="Book Antiqua" w:cs="Times New Roman"/>
          <w:color w:val="000000" w:themeColor="text1"/>
          <w:sz w:val="24"/>
          <w:szCs w:val="24"/>
        </w:rPr>
        <w:t xml:space="preserve"> examin</w:t>
      </w:r>
      <w:r w:rsidR="00151EA6">
        <w:rPr>
          <w:rFonts w:ascii="Book Antiqua" w:hAnsi="Book Antiqua" w:cs="Times New Roman"/>
          <w:color w:val="000000" w:themeColor="text1"/>
          <w:sz w:val="24"/>
          <w:szCs w:val="24"/>
        </w:rPr>
        <w:t>ing</w:t>
      </w:r>
      <w:r w:rsidR="00B22A7C" w:rsidRPr="00BE7E83">
        <w:rPr>
          <w:rFonts w:ascii="Book Antiqua" w:hAnsi="Book Antiqua" w:cs="Times New Roman"/>
          <w:color w:val="000000" w:themeColor="text1"/>
          <w:sz w:val="24"/>
          <w:szCs w:val="24"/>
        </w:rPr>
        <w:t xml:space="preserve"> mass samples simultaneously </w:t>
      </w:r>
      <w:r w:rsidR="00151EA6">
        <w:rPr>
          <w:rFonts w:ascii="Book Antiqua" w:hAnsi="Book Antiqua" w:cs="Times New Roman"/>
          <w:color w:val="000000" w:themeColor="text1"/>
          <w:sz w:val="24"/>
          <w:szCs w:val="24"/>
        </w:rPr>
        <w:t>due to the</w:t>
      </w:r>
      <w:r w:rsidR="00B22A7C" w:rsidRPr="00BE7E83">
        <w:rPr>
          <w:rFonts w:ascii="Book Antiqua" w:hAnsi="Book Antiqua" w:cs="Times New Roman"/>
          <w:color w:val="000000" w:themeColor="text1"/>
          <w:sz w:val="24"/>
          <w:szCs w:val="24"/>
        </w:rPr>
        <w:t xml:space="preserve"> structure of the machine.</w:t>
      </w:r>
    </w:p>
    <w:p w14:paraId="13DAD564" w14:textId="556A3789"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As rats are small and have long, thin </w:t>
      </w:r>
      <w:bookmarkStart w:id="38" w:name="OLE_LINK261"/>
      <w:bookmarkStart w:id="39" w:name="OLE_LINK262"/>
      <w:r w:rsidRPr="00BE7E83">
        <w:rPr>
          <w:rFonts w:ascii="Book Antiqua" w:hAnsi="Book Antiqua" w:cs="Times New Roman"/>
          <w:color w:val="000000" w:themeColor="text1"/>
          <w:sz w:val="24"/>
          <w:szCs w:val="24"/>
        </w:rPr>
        <w:t>vertebrae</w:t>
      </w:r>
      <w:bookmarkEnd w:id="38"/>
      <w:bookmarkEnd w:id="39"/>
      <w:r w:rsidRPr="00BE7E83">
        <w:rPr>
          <w:rFonts w:ascii="Book Antiqua" w:hAnsi="Book Antiqua" w:cs="Times New Roman"/>
          <w:color w:val="000000" w:themeColor="text1"/>
          <w:sz w:val="24"/>
          <w:szCs w:val="24"/>
        </w:rPr>
        <w:t xml:space="preserve"> and narrow IV disc spaces, precise and clear imaging data are particularly important to achieve accuracy and precision of measurement. Molybdenum target X-ray photography provides better definition, contrast and precision than plain X-ray images. As shown in Figure 4, molybdenum target X-ray photography excelled in </w:t>
      </w:r>
      <w:r w:rsidR="00151EA6">
        <w:rPr>
          <w:rFonts w:ascii="Book Antiqua" w:hAnsi="Book Antiqua" w:cs="Times New Roman"/>
          <w:color w:val="000000" w:themeColor="text1"/>
          <w:sz w:val="24"/>
          <w:szCs w:val="24"/>
        </w:rPr>
        <w:t xml:space="preserve">the </w:t>
      </w:r>
      <w:r w:rsidRPr="00BE7E83">
        <w:rPr>
          <w:rFonts w:ascii="Book Antiqua" w:hAnsi="Book Antiqua" w:cs="Times New Roman"/>
          <w:color w:val="000000" w:themeColor="text1"/>
          <w:sz w:val="24"/>
          <w:szCs w:val="24"/>
        </w:rPr>
        <w:t xml:space="preserve">evaluation of micro-calcifications and minor fractures. Molybdenum target X-ray photography can be applied </w:t>
      </w:r>
      <w:r w:rsidR="00151EA6">
        <w:rPr>
          <w:rFonts w:ascii="Book Antiqua" w:hAnsi="Book Antiqua" w:cs="Times New Roman"/>
          <w:color w:val="000000" w:themeColor="text1"/>
          <w:sz w:val="24"/>
          <w:szCs w:val="24"/>
        </w:rPr>
        <w:t>in</w:t>
      </w:r>
      <w:r w:rsidRPr="00BE7E83">
        <w:rPr>
          <w:rFonts w:ascii="Book Antiqua" w:hAnsi="Book Antiqua" w:cs="Times New Roman"/>
          <w:color w:val="000000" w:themeColor="text1"/>
          <w:sz w:val="24"/>
          <w:szCs w:val="24"/>
        </w:rPr>
        <w:t xml:space="preserve"> the evaluation of small bones and joints (Figure 5), such as phalanges and interphalangeal joints, metacarpal bones, and metacarpophalangeal joints. Molybdenum target X-ray photography may be superior to conventional X-ray examination in the evaluation of arthritis or minor fractures in small joints.</w:t>
      </w:r>
    </w:p>
    <w:p w14:paraId="4D3919F2" w14:textId="6E575918"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This study had some shortcomings. First, the sample size was small, and more samples are needed for further verification. Only two models of IVD were used</w:t>
      </w:r>
      <w:r w:rsidR="00151EA6">
        <w:rPr>
          <w:rFonts w:ascii="Book Antiqua" w:hAnsi="Book Antiqua" w:cs="Times New Roman"/>
          <w:color w:val="000000" w:themeColor="text1"/>
          <w:sz w:val="24"/>
          <w:szCs w:val="24"/>
        </w:rPr>
        <w:t>; thus,</w:t>
      </w:r>
      <w:r w:rsidRPr="00BE7E83">
        <w:rPr>
          <w:rFonts w:ascii="Book Antiqua" w:hAnsi="Book Antiqua" w:cs="Times New Roman"/>
          <w:color w:val="000000" w:themeColor="text1"/>
          <w:sz w:val="24"/>
          <w:szCs w:val="24"/>
        </w:rPr>
        <w:t xml:space="preserve"> additional models are needed to further </w:t>
      </w:r>
      <w:r w:rsidR="00151EA6" w:rsidRPr="00BE7E83">
        <w:rPr>
          <w:rFonts w:ascii="Book Antiqua" w:hAnsi="Book Antiqua" w:cs="Times New Roman"/>
          <w:color w:val="000000" w:themeColor="text1"/>
          <w:sz w:val="24"/>
          <w:szCs w:val="24"/>
        </w:rPr>
        <w:t xml:space="preserve">investigate </w:t>
      </w:r>
      <w:r w:rsidRPr="00BE7E83">
        <w:rPr>
          <w:rFonts w:ascii="Book Antiqua" w:hAnsi="Book Antiqua" w:cs="Times New Roman"/>
          <w:color w:val="000000" w:themeColor="text1"/>
          <w:sz w:val="24"/>
          <w:szCs w:val="24"/>
        </w:rPr>
        <w:t xml:space="preserve">the utility and limits of molybdenum target X-ray photography. The samples, model types and number of observers will be increased in a subsequent </w:t>
      </w:r>
      <w:bookmarkStart w:id="40" w:name="OLE_LINK263"/>
      <w:bookmarkStart w:id="41" w:name="OLE_LINK264"/>
      <w:r w:rsidRPr="00BE7E83">
        <w:rPr>
          <w:rFonts w:ascii="Book Antiqua" w:hAnsi="Book Antiqua" w:cs="Times New Roman"/>
          <w:color w:val="000000" w:themeColor="text1"/>
          <w:sz w:val="24"/>
          <w:szCs w:val="24"/>
        </w:rPr>
        <w:t>multi-center randomized controlled study</w:t>
      </w:r>
      <w:bookmarkEnd w:id="40"/>
      <w:bookmarkEnd w:id="41"/>
      <w:r w:rsidRPr="00BE7E83">
        <w:rPr>
          <w:rFonts w:ascii="Book Antiqua" w:hAnsi="Book Antiqua" w:cs="Times New Roman"/>
          <w:color w:val="000000" w:themeColor="text1"/>
          <w:sz w:val="24"/>
          <w:szCs w:val="24"/>
        </w:rPr>
        <w:t>.</w:t>
      </w:r>
    </w:p>
    <w:p w14:paraId="0193B85D" w14:textId="77777777" w:rsidR="00232250" w:rsidRPr="00BE7E83" w:rsidRDefault="00FF3D9A"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M</w:t>
      </w:r>
      <w:r w:rsidR="00B018DD" w:rsidRPr="00BE7E83">
        <w:rPr>
          <w:rFonts w:ascii="Book Antiqua" w:hAnsi="Book Antiqua" w:cs="Times New Roman"/>
          <w:color w:val="000000" w:themeColor="text1"/>
          <w:sz w:val="24"/>
          <w:szCs w:val="24"/>
        </w:rPr>
        <w:t>olybdenum target X-ray photography has more advantages and can provide clearer X-ray images and more comprehensive and</w:t>
      </w:r>
      <w:bookmarkStart w:id="42" w:name="OLE_LINK265"/>
      <w:bookmarkStart w:id="43" w:name="OLE_LINK266"/>
      <w:r w:rsidR="00B018DD" w:rsidRPr="00BE7E83">
        <w:rPr>
          <w:rFonts w:ascii="Book Antiqua" w:hAnsi="Book Antiqua" w:cs="Times New Roman"/>
          <w:color w:val="000000" w:themeColor="text1"/>
          <w:sz w:val="24"/>
          <w:szCs w:val="24"/>
        </w:rPr>
        <w:t xml:space="preserve"> precise </w:t>
      </w:r>
      <w:bookmarkEnd w:id="42"/>
      <w:bookmarkEnd w:id="43"/>
      <w:r w:rsidR="00B018DD" w:rsidRPr="00BE7E83">
        <w:rPr>
          <w:rFonts w:ascii="Book Antiqua" w:hAnsi="Book Antiqua" w:cs="Times New Roman"/>
          <w:color w:val="000000" w:themeColor="text1"/>
          <w:sz w:val="24"/>
          <w:szCs w:val="24"/>
        </w:rPr>
        <w:t>data than conventional X-ray examination. We suggest that it may be very useful when used for clinical imaging evaluation of small bones and joints.</w:t>
      </w:r>
    </w:p>
    <w:p w14:paraId="1B148BE6" w14:textId="77777777" w:rsidR="00FA0E56" w:rsidRPr="00BE7E83" w:rsidRDefault="00FA0E56" w:rsidP="00BE7E83">
      <w:pPr>
        <w:snapToGrid w:val="0"/>
        <w:spacing w:line="360" w:lineRule="auto"/>
        <w:rPr>
          <w:rFonts w:ascii="Book Antiqua" w:eastAsia="宋体" w:hAnsi="Book Antiqua"/>
          <w:b/>
          <w:bCs/>
          <w:color w:val="000000" w:themeColor="text1"/>
          <w:sz w:val="24"/>
          <w:szCs w:val="24"/>
        </w:rPr>
      </w:pPr>
    </w:p>
    <w:p w14:paraId="7E47AE4D" w14:textId="77777777" w:rsidR="00FA0E56" w:rsidRPr="00BE7E83" w:rsidRDefault="00FA0E56" w:rsidP="00BE7E83">
      <w:pPr>
        <w:snapToGrid w:val="0"/>
        <w:spacing w:line="360" w:lineRule="auto"/>
        <w:rPr>
          <w:rFonts w:ascii="Book Antiqua" w:eastAsia="宋体" w:hAnsi="Book Antiqua"/>
          <w:b/>
          <w:bCs/>
          <w:color w:val="000000" w:themeColor="text1"/>
          <w:sz w:val="24"/>
          <w:szCs w:val="24"/>
          <w:u w:val="single"/>
        </w:rPr>
      </w:pPr>
      <w:r w:rsidRPr="00BE7E83">
        <w:rPr>
          <w:rFonts w:ascii="Book Antiqua" w:eastAsia="宋体" w:hAnsi="Book Antiqua"/>
          <w:b/>
          <w:bCs/>
          <w:color w:val="000000" w:themeColor="text1"/>
          <w:sz w:val="24"/>
          <w:szCs w:val="24"/>
          <w:u w:val="single"/>
        </w:rPr>
        <w:t>ARTICLE HIGHLIGHTS</w:t>
      </w:r>
    </w:p>
    <w:p w14:paraId="1EF6AAB6" w14:textId="77777777" w:rsidR="00FA0E56" w:rsidRPr="00BE7E83" w:rsidRDefault="00FA0E56" w:rsidP="00BE7E83">
      <w:pPr>
        <w:snapToGrid w:val="0"/>
        <w:spacing w:line="360" w:lineRule="auto"/>
        <w:rPr>
          <w:rFonts w:ascii="Book Antiqua" w:eastAsia="宋体" w:hAnsi="Book Antiqua"/>
          <w:b/>
          <w:bCs/>
          <w:i/>
          <w:iCs/>
          <w:color w:val="000000" w:themeColor="text1"/>
          <w:sz w:val="24"/>
          <w:szCs w:val="24"/>
        </w:rPr>
      </w:pPr>
      <w:r w:rsidRPr="00BE7E83">
        <w:rPr>
          <w:rFonts w:ascii="Book Antiqua" w:eastAsia="宋体" w:hAnsi="Book Antiqua"/>
          <w:b/>
          <w:bCs/>
          <w:i/>
          <w:iCs/>
          <w:color w:val="000000" w:themeColor="text1"/>
          <w:sz w:val="24"/>
          <w:szCs w:val="24"/>
        </w:rPr>
        <w:t>Research background</w:t>
      </w:r>
    </w:p>
    <w:p w14:paraId="77FFC52E" w14:textId="3F0429B1" w:rsidR="00FA0E56" w:rsidRPr="00BE7E83" w:rsidRDefault="00293C65" w:rsidP="00BE7E83">
      <w:pPr>
        <w:snapToGrid w:val="0"/>
        <w:spacing w:line="360" w:lineRule="auto"/>
        <w:rPr>
          <w:rFonts w:ascii="Book Antiqua" w:eastAsia="宋体" w:hAnsi="Book Antiqua"/>
          <w:color w:val="000000" w:themeColor="text1"/>
          <w:sz w:val="24"/>
          <w:szCs w:val="24"/>
        </w:rPr>
      </w:pPr>
      <w:r w:rsidRPr="00BE7E83">
        <w:rPr>
          <w:rFonts w:ascii="Book Antiqua" w:eastAsia="宋体" w:hAnsi="Book Antiqua"/>
          <w:color w:val="000000" w:themeColor="text1"/>
          <w:sz w:val="24"/>
          <w:szCs w:val="24"/>
        </w:rPr>
        <w:t xml:space="preserve">Plain X-ray images of intervertebral disc degeneration show narrowing of the IV disc space, vertebral wedge-shaped deformities, endplate calcification and marginal osteophyte growth, of which the most characteristic </w:t>
      </w:r>
      <w:r w:rsidR="00151EA6">
        <w:rPr>
          <w:rFonts w:ascii="Book Antiqua" w:eastAsia="宋体" w:hAnsi="Book Antiqua"/>
          <w:color w:val="000000" w:themeColor="text1"/>
          <w:sz w:val="24"/>
          <w:szCs w:val="24"/>
        </w:rPr>
        <w:t xml:space="preserve">of these </w:t>
      </w:r>
      <w:r w:rsidRPr="00BE7E83">
        <w:rPr>
          <w:rFonts w:ascii="Book Antiqua" w:eastAsia="宋体" w:hAnsi="Book Antiqua"/>
          <w:color w:val="000000" w:themeColor="text1"/>
          <w:sz w:val="24"/>
          <w:szCs w:val="24"/>
        </w:rPr>
        <w:t>change</w:t>
      </w:r>
      <w:r w:rsidR="00151EA6">
        <w:rPr>
          <w:rFonts w:ascii="Book Antiqua" w:eastAsia="宋体" w:hAnsi="Book Antiqua"/>
          <w:color w:val="000000" w:themeColor="text1"/>
          <w:sz w:val="24"/>
          <w:szCs w:val="24"/>
        </w:rPr>
        <w:t>s</w:t>
      </w:r>
      <w:r w:rsidRPr="00BE7E83">
        <w:rPr>
          <w:rFonts w:ascii="Book Antiqua" w:eastAsia="宋体" w:hAnsi="Book Antiqua"/>
          <w:color w:val="000000" w:themeColor="text1"/>
          <w:sz w:val="24"/>
          <w:szCs w:val="24"/>
        </w:rPr>
        <w:t xml:space="preserve"> is the narrowing of intervertebral space height</w:t>
      </w:r>
      <w:r w:rsidR="00FA0E56" w:rsidRPr="00BE7E83">
        <w:rPr>
          <w:rFonts w:ascii="Book Antiqua" w:eastAsia="宋体" w:hAnsi="Book Antiqua"/>
          <w:color w:val="000000" w:themeColor="text1"/>
          <w:sz w:val="24"/>
          <w:szCs w:val="24"/>
        </w:rPr>
        <w:t>.</w:t>
      </w:r>
    </w:p>
    <w:p w14:paraId="2A3C7757" w14:textId="77777777" w:rsidR="009E5916" w:rsidRPr="00BE7E83" w:rsidRDefault="009E5916" w:rsidP="00BE7E83">
      <w:pPr>
        <w:snapToGrid w:val="0"/>
        <w:spacing w:line="360" w:lineRule="auto"/>
        <w:rPr>
          <w:rFonts w:ascii="Book Antiqua" w:eastAsia="宋体" w:hAnsi="Book Antiqua"/>
          <w:color w:val="000000" w:themeColor="text1"/>
          <w:sz w:val="24"/>
          <w:szCs w:val="24"/>
        </w:rPr>
      </w:pPr>
    </w:p>
    <w:p w14:paraId="6CBB015F" w14:textId="5ADA2D2E" w:rsidR="00FA0E56" w:rsidRPr="00BE7E83" w:rsidRDefault="00EA6F45" w:rsidP="00BE7E83">
      <w:pPr>
        <w:snapToGrid w:val="0"/>
        <w:spacing w:line="360" w:lineRule="auto"/>
        <w:rPr>
          <w:rFonts w:ascii="Book Antiqua" w:eastAsia="宋体" w:hAnsi="Book Antiqua"/>
          <w:b/>
          <w:bCs/>
          <w:i/>
          <w:iCs/>
          <w:color w:val="000000" w:themeColor="text1"/>
          <w:sz w:val="24"/>
          <w:szCs w:val="24"/>
        </w:rPr>
      </w:pPr>
      <w:r w:rsidRPr="00BE7E83">
        <w:rPr>
          <w:rFonts w:ascii="Book Antiqua" w:eastAsia="宋体" w:hAnsi="Book Antiqua"/>
          <w:b/>
          <w:bCs/>
          <w:i/>
          <w:iCs/>
          <w:color w:val="000000" w:themeColor="text1"/>
          <w:sz w:val="24"/>
          <w:szCs w:val="24"/>
        </w:rPr>
        <w:t>Research motivation</w:t>
      </w:r>
    </w:p>
    <w:p w14:paraId="5D307F43" w14:textId="2801E8D4" w:rsidR="009E5916" w:rsidRPr="00BE7E83" w:rsidRDefault="00FA0E56" w:rsidP="00BE7E83">
      <w:pPr>
        <w:snapToGrid w:val="0"/>
        <w:spacing w:line="360" w:lineRule="auto"/>
        <w:rPr>
          <w:rFonts w:ascii="Book Antiqua" w:eastAsia="宋体" w:hAnsi="Book Antiqua"/>
          <w:color w:val="000000" w:themeColor="text1"/>
          <w:sz w:val="24"/>
          <w:szCs w:val="24"/>
        </w:rPr>
      </w:pPr>
      <w:r w:rsidRPr="00BE7E83">
        <w:rPr>
          <w:rFonts w:ascii="Book Antiqua" w:eastAsia="宋体" w:hAnsi="Book Antiqua"/>
          <w:color w:val="000000" w:themeColor="text1"/>
          <w:sz w:val="24"/>
          <w:szCs w:val="24"/>
        </w:rPr>
        <w:t xml:space="preserve">However, </w:t>
      </w:r>
      <w:r w:rsidR="00151EA6">
        <w:rPr>
          <w:rFonts w:ascii="Book Antiqua" w:eastAsia="宋体" w:hAnsi="Book Antiqua"/>
          <w:color w:val="000000" w:themeColor="text1"/>
          <w:sz w:val="24"/>
          <w:szCs w:val="24"/>
        </w:rPr>
        <w:t>in</w:t>
      </w:r>
      <w:r w:rsidRPr="00BE7E83">
        <w:rPr>
          <w:rFonts w:ascii="Book Antiqua" w:eastAsia="宋体" w:hAnsi="Book Antiqua"/>
          <w:color w:val="000000" w:themeColor="text1"/>
          <w:sz w:val="24"/>
          <w:szCs w:val="24"/>
        </w:rPr>
        <w:t xml:space="preserve"> rats with small vertebral bodies and narrow intervertebral disc spaces, conventional plain X-ray images have poor definition and low contrast, micro-calcifications are unclear, and the imaging effect on the boundary of the narrow intervertebral disc space is poor</w:t>
      </w:r>
      <w:r w:rsidR="009E5916" w:rsidRPr="00BE7E83">
        <w:rPr>
          <w:rFonts w:ascii="Book Antiqua" w:eastAsia="宋体" w:hAnsi="Book Antiqua"/>
          <w:color w:val="000000" w:themeColor="text1"/>
          <w:sz w:val="24"/>
          <w:szCs w:val="24"/>
        </w:rPr>
        <w:t>.</w:t>
      </w:r>
    </w:p>
    <w:p w14:paraId="288F20F5" w14:textId="77777777" w:rsidR="00FA0E56" w:rsidRPr="00BE7E83" w:rsidRDefault="00FA0E56" w:rsidP="00BE7E83">
      <w:pPr>
        <w:snapToGrid w:val="0"/>
        <w:spacing w:line="360" w:lineRule="auto"/>
        <w:rPr>
          <w:rFonts w:ascii="Book Antiqua" w:eastAsia="宋体" w:hAnsi="Book Antiqua"/>
          <w:color w:val="000000" w:themeColor="text1"/>
          <w:sz w:val="24"/>
          <w:szCs w:val="24"/>
        </w:rPr>
      </w:pPr>
    </w:p>
    <w:p w14:paraId="15F014E6" w14:textId="77777777" w:rsidR="00FA0E56" w:rsidRPr="00BE7E83" w:rsidRDefault="00FA0E56" w:rsidP="00BE7E83">
      <w:pPr>
        <w:snapToGrid w:val="0"/>
        <w:spacing w:line="360" w:lineRule="auto"/>
        <w:rPr>
          <w:rFonts w:ascii="Book Antiqua" w:eastAsia="宋体" w:hAnsi="Book Antiqua"/>
          <w:b/>
          <w:bCs/>
          <w:i/>
          <w:iCs/>
          <w:color w:val="000000" w:themeColor="text1"/>
          <w:sz w:val="24"/>
          <w:szCs w:val="24"/>
        </w:rPr>
      </w:pPr>
      <w:r w:rsidRPr="00BE7E83">
        <w:rPr>
          <w:rFonts w:ascii="Book Antiqua" w:eastAsia="宋体" w:hAnsi="Book Antiqua"/>
          <w:b/>
          <w:bCs/>
          <w:i/>
          <w:iCs/>
          <w:color w:val="000000" w:themeColor="text1"/>
          <w:sz w:val="24"/>
          <w:szCs w:val="24"/>
        </w:rPr>
        <w:t>Research objectives</w:t>
      </w:r>
    </w:p>
    <w:p w14:paraId="365E7061" w14:textId="6C4DD146" w:rsidR="00FA0E56" w:rsidRPr="00BE7E83" w:rsidRDefault="00293C65" w:rsidP="00BE7E83">
      <w:pPr>
        <w:snapToGrid w:val="0"/>
        <w:spacing w:line="360" w:lineRule="auto"/>
        <w:rPr>
          <w:rFonts w:ascii="Book Antiqua" w:eastAsia="宋体" w:hAnsi="Book Antiqua"/>
          <w:color w:val="000000" w:themeColor="text1"/>
          <w:sz w:val="24"/>
          <w:szCs w:val="24"/>
        </w:rPr>
      </w:pPr>
      <w:r w:rsidRPr="00BE7E83">
        <w:rPr>
          <w:rFonts w:ascii="Book Antiqua" w:eastAsia="宋体" w:hAnsi="Book Antiqua"/>
          <w:color w:val="000000" w:themeColor="text1"/>
          <w:sz w:val="24"/>
          <w:szCs w:val="24"/>
        </w:rPr>
        <w:t>The present study is the first to apply molybdenum target inspection in the imaging evaluation of caudal intervertebral disc degeneration in rat models, and compare its effectiveness with routine X-ray examination</w:t>
      </w:r>
      <w:r w:rsidR="00FA0E56" w:rsidRPr="00BE7E83">
        <w:rPr>
          <w:rFonts w:ascii="Book Antiqua" w:eastAsia="宋体" w:hAnsi="Book Antiqua"/>
          <w:color w:val="000000" w:themeColor="text1"/>
          <w:sz w:val="24"/>
          <w:szCs w:val="24"/>
        </w:rPr>
        <w:t>.</w:t>
      </w:r>
    </w:p>
    <w:p w14:paraId="600A1540" w14:textId="77777777" w:rsidR="009E5916" w:rsidRPr="00BE7E83" w:rsidRDefault="009E5916" w:rsidP="00BE7E83">
      <w:pPr>
        <w:snapToGrid w:val="0"/>
        <w:spacing w:line="360" w:lineRule="auto"/>
        <w:rPr>
          <w:rFonts w:ascii="Book Antiqua" w:eastAsia="宋体" w:hAnsi="Book Antiqua"/>
          <w:color w:val="000000" w:themeColor="text1"/>
          <w:sz w:val="24"/>
          <w:szCs w:val="24"/>
        </w:rPr>
      </w:pPr>
    </w:p>
    <w:p w14:paraId="7DDE142F" w14:textId="77777777" w:rsidR="00FA0E56" w:rsidRPr="00BE7E83" w:rsidRDefault="00FA0E56" w:rsidP="00BE7E83">
      <w:pPr>
        <w:snapToGrid w:val="0"/>
        <w:spacing w:line="360" w:lineRule="auto"/>
        <w:rPr>
          <w:rFonts w:ascii="Book Antiqua" w:eastAsia="宋体" w:hAnsi="Book Antiqua"/>
          <w:b/>
          <w:bCs/>
          <w:i/>
          <w:iCs/>
          <w:color w:val="000000" w:themeColor="text1"/>
          <w:sz w:val="24"/>
          <w:szCs w:val="24"/>
        </w:rPr>
      </w:pPr>
      <w:r w:rsidRPr="00BE7E83">
        <w:rPr>
          <w:rFonts w:ascii="Book Antiqua" w:eastAsia="宋体" w:hAnsi="Book Antiqua"/>
          <w:b/>
          <w:bCs/>
          <w:i/>
          <w:iCs/>
          <w:color w:val="000000" w:themeColor="text1"/>
          <w:sz w:val="24"/>
          <w:szCs w:val="24"/>
        </w:rPr>
        <w:t>Research methods</w:t>
      </w:r>
    </w:p>
    <w:p w14:paraId="4BB94A68" w14:textId="24BA5B3A" w:rsidR="00FA0E56" w:rsidRPr="00BE7E83" w:rsidRDefault="00293C65" w:rsidP="00BE7E83">
      <w:pPr>
        <w:snapToGrid w:val="0"/>
        <w:spacing w:line="360" w:lineRule="auto"/>
        <w:rPr>
          <w:rFonts w:ascii="Book Antiqua" w:eastAsia="宋体" w:hAnsi="Book Antiqua"/>
          <w:color w:val="000000" w:themeColor="text1"/>
          <w:sz w:val="24"/>
          <w:szCs w:val="24"/>
        </w:rPr>
      </w:pPr>
      <w:r w:rsidRPr="00BE7E83">
        <w:rPr>
          <w:rFonts w:ascii="Book Antiqua" w:eastAsia="宋体" w:hAnsi="Book Antiqua"/>
          <w:color w:val="000000" w:themeColor="text1"/>
          <w:sz w:val="24"/>
          <w:szCs w:val="24"/>
        </w:rPr>
        <w:t xml:space="preserve">Two </w:t>
      </w:r>
      <w:r w:rsidR="00151EA6">
        <w:rPr>
          <w:rFonts w:ascii="Book Antiqua" w:eastAsia="宋体" w:hAnsi="Book Antiqua"/>
          <w:color w:val="000000" w:themeColor="text1"/>
          <w:sz w:val="24"/>
          <w:szCs w:val="24"/>
        </w:rPr>
        <w:t>types</w:t>
      </w:r>
      <w:r w:rsidRPr="00BE7E83">
        <w:rPr>
          <w:rFonts w:ascii="Book Antiqua" w:eastAsia="宋体" w:hAnsi="Book Antiqua"/>
          <w:color w:val="000000" w:themeColor="text1"/>
          <w:sz w:val="24"/>
          <w:szCs w:val="24"/>
        </w:rPr>
        <w:t xml:space="preserve"> of rat caudal intervertebral disc degeneration models (needle-punctured model and endplate-destructed model) were established, and their effectiveness was verified using nuclear magnetic resonance imaging. Molybdenum target inspection and routine </w:t>
      </w:r>
      <w:r w:rsidR="00151EA6" w:rsidRPr="00BE7E83">
        <w:rPr>
          <w:rFonts w:ascii="Book Antiqua" w:eastAsia="宋体" w:hAnsi="Book Antiqua"/>
          <w:color w:val="000000" w:themeColor="text1"/>
          <w:sz w:val="24"/>
          <w:szCs w:val="24"/>
        </w:rPr>
        <w:t xml:space="preserve">plain </w:t>
      </w:r>
      <w:r w:rsidRPr="00BE7E83">
        <w:rPr>
          <w:rFonts w:ascii="Book Antiqua" w:eastAsia="宋体" w:hAnsi="Book Antiqua"/>
          <w:color w:val="000000" w:themeColor="text1"/>
          <w:sz w:val="24"/>
          <w:szCs w:val="24"/>
        </w:rPr>
        <w:t>X-ray were then performed on the effective models. Additionally, four observers were assigned to measure the intervertebral height of degenerated segments on molybdenum target plain X-ray images and routine plain X-ray images, respectively. The degeneration was evaluated and statistical analys</w:t>
      </w:r>
      <w:r w:rsidR="00151EA6">
        <w:rPr>
          <w:rFonts w:ascii="Book Antiqua" w:eastAsia="宋体" w:hAnsi="Book Antiqua"/>
          <w:color w:val="000000" w:themeColor="text1"/>
          <w:sz w:val="24"/>
          <w:szCs w:val="24"/>
        </w:rPr>
        <w:t>is</w:t>
      </w:r>
      <w:r w:rsidRPr="00BE7E83">
        <w:rPr>
          <w:rFonts w:ascii="Book Antiqua" w:eastAsia="宋体" w:hAnsi="Book Antiqua"/>
          <w:color w:val="000000" w:themeColor="text1"/>
          <w:sz w:val="24"/>
          <w:szCs w:val="24"/>
        </w:rPr>
        <w:t xml:space="preserve"> was subsequently conducted</w:t>
      </w:r>
      <w:r w:rsidR="00FA0E56" w:rsidRPr="00BE7E83">
        <w:rPr>
          <w:rFonts w:ascii="Book Antiqua" w:eastAsia="宋体" w:hAnsi="Book Antiqua"/>
          <w:color w:val="000000" w:themeColor="text1"/>
          <w:sz w:val="24"/>
          <w:szCs w:val="24"/>
        </w:rPr>
        <w:t>.</w:t>
      </w:r>
    </w:p>
    <w:p w14:paraId="1E685106" w14:textId="77777777" w:rsidR="009E5916" w:rsidRPr="00BE7E83" w:rsidRDefault="009E5916" w:rsidP="00BE7E83">
      <w:pPr>
        <w:snapToGrid w:val="0"/>
        <w:spacing w:line="360" w:lineRule="auto"/>
        <w:rPr>
          <w:rFonts w:ascii="Book Antiqua" w:eastAsia="宋体" w:hAnsi="Book Antiqua"/>
          <w:color w:val="000000" w:themeColor="text1"/>
          <w:sz w:val="24"/>
          <w:szCs w:val="24"/>
        </w:rPr>
      </w:pPr>
    </w:p>
    <w:p w14:paraId="22F91378" w14:textId="77777777" w:rsidR="00FA0E56" w:rsidRPr="00BE7E83" w:rsidRDefault="00FA0E56" w:rsidP="00BE7E83">
      <w:pPr>
        <w:snapToGrid w:val="0"/>
        <w:spacing w:line="360" w:lineRule="auto"/>
        <w:rPr>
          <w:rFonts w:ascii="Book Antiqua" w:eastAsia="宋体" w:hAnsi="Book Antiqua"/>
          <w:b/>
          <w:bCs/>
          <w:i/>
          <w:iCs/>
          <w:color w:val="000000" w:themeColor="text1"/>
          <w:sz w:val="24"/>
          <w:szCs w:val="24"/>
        </w:rPr>
      </w:pPr>
      <w:r w:rsidRPr="00BE7E83">
        <w:rPr>
          <w:rFonts w:ascii="Book Antiqua" w:eastAsia="宋体" w:hAnsi="Book Antiqua"/>
          <w:b/>
          <w:bCs/>
          <w:i/>
          <w:iCs/>
          <w:color w:val="000000" w:themeColor="text1"/>
          <w:sz w:val="24"/>
          <w:szCs w:val="24"/>
        </w:rPr>
        <w:t>Research results</w:t>
      </w:r>
    </w:p>
    <w:p w14:paraId="486CB697" w14:textId="1C4A7C64" w:rsidR="00FA0E56" w:rsidRPr="00BE7E83" w:rsidRDefault="00293C65" w:rsidP="00BE7E83">
      <w:pPr>
        <w:snapToGrid w:val="0"/>
        <w:spacing w:line="360" w:lineRule="auto"/>
        <w:rPr>
          <w:rFonts w:ascii="Book Antiqua" w:eastAsia="宋体" w:hAnsi="Book Antiqua"/>
          <w:color w:val="000000" w:themeColor="text1"/>
          <w:sz w:val="24"/>
          <w:szCs w:val="24"/>
        </w:rPr>
      </w:pPr>
      <w:r w:rsidRPr="00BE7E83">
        <w:rPr>
          <w:rFonts w:ascii="Book Antiqua" w:eastAsia="宋体" w:hAnsi="Book Antiqua"/>
          <w:color w:val="000000" w:themeColor="text1"/>
          <w:sz w:val="24"/>
          <w:szCs w:val="24"/>
        </w:rPr>
        <w:t xml:space="preserve">Nine rats </w:t>
      </w:r>
      <w:r w:rsidR="00151EA6">
        <w:rPr>
          <w:rFonts w:ascii="Book Antiqua" w:eastAsia="宋体" w:hAnsi="Book Antiqua"/>
          <w:color w:val="000000" w:themeColor="text1"/>
          <w:sz w:val="24"/>
          <w:szCs w:val="24"/>
        </w:rPr>
        <w:t xml:space="preserve">were included </w:t>
      </w:r>
      <w:r w:rsidRPr="00BE7E83">
        <w:rPr>
          <w:rFonts w:ascii="Book Antiqua" w:eastAsia="宋体" w:hAnsi="Book Antiqua"/>
          <w:color w:val="000000" w:themeColor="text1"/>
          <w:sz w:val="24"/>
          <w:szCs w:val="24"/>
        </w:rPr>
        <w:t>in the</w:t>
      </w:r>
      <w:r w:rsidR="00DF0B19" w:rsidRPr="00BE7E83">
        <w:rPr>
          <w:rFonts w:ascii="Book Antiqua" w:eastAsia="宋体" w:hAnsi="Book Antiqua"/>
          <w:color w:val="000000" w:themeColor="text1"/>
          <w:sz w:val="24"/>
          <w:szCs w:val="24"/>
        </w:rPr>
        <w:t xml:space="preserve"> </w:t>
      </w:r>
      <w:r w:rsidRPr="00BE7E83">
        <w:rPr>
          <w:rFonts w:ascii="Book Antiqua" w:eastAsia="宋体" w:hAnsi="Book Antiqua"/>
          <w:color w:val="000000" w:themeColor="text1"/>
          <w:sz w:val="24"/>
          <w:szCs w:val="24"/>
        </w:rPr>
        <w:t>needle-punctured model and 10 rats in the endplate-destructed model. Compared with routine plain X-ray images, molybdenum target plain X-ray images showed higher clarity, stronger contrast, as well as clearer and more accurate structural development. The McNemar test confirmed that the difference was statistically significant (</w:t>
      </w:r>
      <w:r w:rsidRPr="00BE7E83">
        <w:rPr>
          <w:rFonts w:ascii="Book Antiqua" w:eastAsia="宋体" w:hAnsi="Book Antiqua"/>
          <w:i/>
          <w:color w:val="000000" w:themeColor="text1"/>
          <w:sz w:val="24"/>
          <w:szCs w:val="24"/>
        </w:rPr>
        <w:t>P</w:t>
      </w:r>
      <w:r w:rsidR="00DF0B19" w:rsidRPr="00BE7E83">
        <w:rPr>
          <w:rFonts w:ascii="Book Antiqua" w:eastAsia="宋体" w:hAnsi="Book Antiqua"/>
          <w:i/>
          <w:color w:val="000000" w:themeColor="text1"/>
          <w:sz w:val="24"/>
          <w:szCs w:val="24"/>
        </w:rPr>
        <w:t xml:space="preserve"> </w:t>
      </w:r>
      <w:r w:rsidRPr="00BE7E83">
        <w:rPr>
          <w:rFonts w:ascii="Book Antiqua" w:eastAsia="宋体" w:hAnsi="Book Antiqua"/>
          <w:color w:val="000000" w:themeColor="text1"/>
          <w:sz w:val="24"/>
          <w:szCs w:val="24"/>
        </w:rPr>
        <w:t>=</w:t>
      </w:r>
      <w:r w:rsidR="00DF0B19" w:rsidRPr="00BE7E83">
        <w:rPr>
          <w:rFonts w:ascii="Book Antiqua" w:eastAsia="宋体" w:hAnsi="Book Antiqua"/>
          <w:color w:val="000000" w:themeColor="text1"/>
          <w:sz w:val="24"/>
          <w:szCs w:val="24"/>
        </w:rPr>
        <w:t xml:space="preserve"> </w:t>
      </w:r>
      <w:r w:rsidRPr="00BE7E83">
        <w:rPr>
          <w:rFonts w:ascii="Book Antiqua" w:eastAsia="宋体" w:hAnsi="Book Antiqua"/>
          <w:color w:val="000000" w:themeColor="text1"/>
          <w:sz w:val="24"/>
          <w:szCs w:val="24"/>
        </w:rPr>
        <w:t>0.031). In the two models, the reliability of the intervertebral height measured by the four observers on routine p</w:t>
      </w:r>
      <w:r w:rsidR="00CF5890" w:rsidRPr="00BE7E83">
        <w:rPr>
          <w:rFonts w:ascii="Book Antiqua" w:eastAsia="宋体" w:hAnsi="Book Antiqua"/>
          <w:color w:val="000000" w:themeColor="text1"/>
          <w:sz w:val="24"/>
          <w:szCs w:val="24"/>
        </w:rPr>
        <w:t>lain X-ray images was poor (ICC</w:t>
      </w:r>
      <w:r w:rsidR="00DF0B19" w:rsidRPr="00BE7E83">
        <w:rPr>
          <w:rFonts w:ascii="Book Antiqua" w:eastAsia="宋体" w:hAnsi="Book Antiqua"/>
          <w:color w:val="000000" w:themeColor="text1"/>
          <w:sz w:val="24"/>
          <w:szCs w:val="24"/>
        </w:rPr>
        <w:t xml:space="preserve"> </w:t>
      </w:r>
      <w:r w:rsidRPr="00BE7E83">
        <w:rPr>
          <w:rFonts w:ascii="Book Antiqua" w:eastAsia="宋体" w:hAnsi="Book Antiqua"/>
          <w:color w:val="000000" w:themeColor="text1"/>
          <w:sz w:val="24"/>
          <w:szCs w:val="24"/>
        </w:rPr>
        <w:t>&lt;</w:t>
      </w:r>
      <w:r w:rsidR="00DF0B19" w:rsidRPr="00BE7E83">
        <w:rPr>
          <w:rFonts w:ascii="Book Antiqua" w:eastAsia="宋体" w:hAnsi="Book Antiqua"/>
          <w:color w:val="000000" w:themeColor="text1"/>
          <w:sz w:val="24"/>
          <w:szCs w:val="24"/>
        </w:rPr>
        <w:t xml:space="preserve"> </w:t>
      </w:r>
      <w:r w:rsidRPr="00BE7E83">
        <w:rPr>
          <w:rFonts w:ascii="Book Antiqua" w:eastAsia="宋体" w:hAnsi="Book Antiqua"/>
          <w:color w:val="000000" w:themeColor="text1"/>
          <w:sz w:val="24"/>
          <w:szCs w:val="24"/>
        </w:rPr>
        <w:t>0.4), while the data obtained from the molybdenum target plain X-ray images were more reliable</w:t>
      </w:r>
      <w:r w:rsidR="00FA0E56" w:rsidRPr="00BE7E83">
        <w:rPr>
          <w:rFonts w:ascii="Book Antiqua" w:eastAsia="宋体" w:hAnsi="Book Antiqua"/>
          <w:color w:val="000000" w:themeColor="text1"/>
          <w:sz w:val="24"/>
          <w:szCs w:val="24"/>
        </w:rPr>
        <w:t>.</w:t>
      </w:r>
    </w:p>
    <w:p w14:paraId="0DA58A16" w14:textId="77777777" w:rsidR="00DF0B19" w:rsidRPr="00BE7E83" w:rsidRDefault="00DF0B19" w:rsidP="00BE7E83">
      <w:pPr>
        <w:snapToGrid w:val="0"/>
        <w:spacing w:line="360" w:lineRule="auto"/>
        <w:rPr>
          <w:rFonts w:ascii="Book Antiqua" w:eastAsia="宋体" w:hAnsi="Book Antiqua"/>
          <w:color w:val="000000" w:themeColor="text1"/>
          <w:sz w:val="24"/>
          <w:szCs w:val="24"/>
        </w:rPr>
      </w:pPr>
    </w:p>
    <w:p w14:paraId="22AF2F8E" w14:textId="77777777" w:rsidR="00FA0E56" w:rsidRPr="00BE7E83" w:rsidRDefault="00FA0E56" w:rsidP="00BE7E83">
      <w:pPr>
        <w:snapToGrid w:val="0"/>
        <w:spacing w:line="360" w:lineRule="auto"/>
        <w:rPr>
          <w:rFonts w:ascii="Book Antiqua" w:eastAsia="宋体" w:hAnsi="Book Antiqua"/>
          <w:b/>
          <w:bCs/>
          <w:i/>
          <w:iCs/>
          <w:color w:val="000000" w:themeColor="text1"/>
          <w:sz w:val="24"/>
          <w:szCs w:val="24"/>
        </w:rPr>
      </w:pPr>
      <w:r w:rsidRPr="00BE7E83">
        <w:rPr>
          <w:rFonts w:ascii="Book Antiqua" w:eastAsia="宋体" w:hAnsi="Book Antiqua"/>
          <w:b/>
          <w:bCs/>
          <w:i/>
          <w:iCs/>
          <w:color w:val="000000" w:themeColor="text1"/>
          <w:sz w:val="24"/>
          <w:szCs w:val="24"/>
        </w:rPr>
        <w:t>Research conclusions</w:t>
      </w:r>
    </w:p>
    <w:p w14:paraId="35C031F4" w14:textId="77777777" w:rsidR="00FA0E56" w:rsidRPr="00BE7E83" w:rsidRDefault="00BD73CC" w:rsidP="00BE7E83">
      <w:pPr>
        <w:snapToGrid w:val="0"/>
        <w:spacing w:line="360" w:lineRule="auto"/>
        <w:rPr>
          <w:rFonts w:ascii="Book Antiqua" w:eastAsia="宋体" w:hAnsi="Book Antiqua"/>
          <w:color w:val="000000" w:themeColor="text1"/>
          <w:sz w:val="24"/>
          <w:szCs w:val="24"/>
        </w:rPr>
      </w:pPr>
      <w:r w:rsidRPr="00BE7E83">
        <w:rPr>
          <w:rFonts w:ascii="Book Antiqua" w:eastAsia="宋体" w:hAnsi="Book Antiqua"/>
          <w:color w:val="000000" w:themeColor="text1"/>
          <w:sz w:val="24"/>
          <w:szCs w:val="24"/>
        </w:rPr>
        <w:t>Molybdenum target X-ray photography has more advantages and can provide clearer X-ray images and more comprehensive and precise data than conventional X-ray examination.</w:t>
      </w:r>
    </w:p>
    <w:p w14:paraId="29492F8A" w14:textId="77777777" w:rsidR="00DF0B19" w:rsidRPr="00BE7E83" w:rsidRDefault="00DF0B19" w:rsidP="00BE7E83">
      <w:pPr>
        <w:snapToGrid w:val="0"/>
        <w:spacing w:line="360" w:lineRule="auto"/>
        <w:rPr>
          <w:rFonts w:ascii="Book Antiqua" w:eastAsia="宋体" w:hAnsi="Book Antiqua"/>
          <w:color w:val="000000" w:themeColor="text1"/>
          <w:sz w:val="24"/>
          <w:szCs w:val="24"/>
        </w:rPr>
      </w:pPr>
    </w:p>
    <w:p w14:paraId="77B18910" w14:textId="77777777" w:rsidR="00FA0E56" w:rsidRPr="00BE7E83" w:rsidRDefault="00FA0E56" w:rsidP="00BE7E83">
      <w:pPr>
        <w:snapToGrid w:val="0"/>
        <w:spacing w:line="360" w:lineRule="auto"/>
        <w:rPr>
          <w:rFonts w:ascii="Book Antiqua" w:eastAsia="宋体" w:hAnsi="Book Antiqua"/>
          <w:b/>
          <w:bCs/>
          <w:i/>
          <w:iCs/>
          <w:color w:val="000000" w:themeColor="text1"/>
          <w:sz w:val="24"/>
          <w:szCs w:val="24"/>
        </w:rPr>
      </w:pPr>
      <w:r w:rsidRPr="00BE7E83">
        <w:rPr>
          <w:rFonts w:ascii="Book Antiqua" w:eastAsia="宋体" w:hAnsi="Book Antiqua"/>
          <w:b/>
          <w:bCs/>
          <w:i/>
          <w:iCs/>
          <w:color w:val="000000" w:themeColor="text1"/>
          <w:sz w:val="24"/>
          <w:szCs w:val="24"/>
        </w:rPr>
        <w:t>Research perspectives</w:t>
      </w:r>
    </w:p>
    <w:p w14:paraId="78BB3395" w14:textId="498070E5" w:rsidR="00FA0E56" w:rsidRPr="00BE7E83" w:rsidRDefault="00BD73CC" w:rsidP="00BE7E83">
      <w:pPr>
        <w:snapToGrid w:val="0"/>
        <w:spacing w:line="360" w:lineRule="auto"/>
        <w:rPr>
          <w:rFonts w:ascii="Book Antiqua" w:eastAsia="微软雅黑" w:hAnsi="Book Antiqua"/>
          <w:color w:val="000000" w:themeColor="text1"/>
          <w:sz w:val="24"/>
          <w:szCs w:val="24"/>
        </w:rPr>
      </w:pPr>
      <w:r w:rsidRPr="00BE7E83">
        <w:rPr>
          <w:rFonts w:ascii="Book Antiqua" w:eastAsia="宋体" w:hAnsi="Book Antiqua"/>
          <w:color w:val="000000" w:themeColor="text1"/>
          <w:sz w:val="24"/>
          <w:szCs w:val="24"/>
        </w:rPr>
        <w:t xml:space="preserve">We suggest that </w:t>
      </w:r>
      <w:r w:rsidR="00151EA6">
        <w:rPr>
          <w:rFonts w:ascii="Book Antiqua" w:eastAsia="宋体" w:hAnsi="Book Antiqua"/>
          <w:color w:val="000000" w:themeColor="text1"/>
          <w:sz w:val="24"/>
          <w:szCs w:val="24"/>
        </w:rPr>
        <w:t>m</w:t>
      </w:r>
      <w:r w:rsidR="00151EA6" w:rsidRPr="00BE7E83">
        <w:rPr>
          <w:rFonts w:ascii="Book Antiqua" w:eastAsia="宋体" w:hAnsi="Book Antiqua"/>
          <w:color w:val="000000" w:themeColor="text1"/>
          <w:sz w:val="24"/>
          <w:szCs w:val="24"/>
        </w:rPr>
        <w:t xml:space="preserve">olybdenum target X-ray photography </w:t>
      </w:r>
      <w:r w:rsidRPr="00BE7E83">
        <w:rPr>
          <w:rFonts w:ascii="Book Antiqua" w:eastAsia="宋体" w:hAnsi="Book Antiqua"/>
          <w:color w:val="000000" w:themeColor="text1"/>
          <w:sz w:val="24"/>
          <w:szCs w:val="24"/>
        </w:rPr>
        <w:t xml:space="preserve">may be very useful when used for </w:t>
      </w:r>
      <w:r w:rsidR="00A83FC3" w:rsidRPr="00BE7E83">
        <w:rPr>
          <w:rFonts w:ascii="Book Antiqua" w:eastAsia="宋体" w:hAnsi="Book Antiqua"/>
          <w:color w:val="000000" w:themeColor="text1"/>
          <w:sz w:val="24"/>
          <w:szCs w:val="24"/>
        </w:rPr>
        <w:t>ba</w:t>
      </w:r>
      <w:r w:rsidR="00151EA6">
        <w:rPr>
          <w:rFonts w:ascii="Book Antiqua" w:eastAsia="宋体" w:hAnsi="Book Antiqua"/>
          <w:color w:val="000000" w:themeColor="text1"/>
          <w:sz w:val="24"/>
          <w:szCs w:val="24"/>
        </w:rPr>
        <w:t>s</w:t>
      </w:r>
      <w:r w:rsidR="00A83FC3" w:rsidRPr="00BE7E83">
        <w:rPr>
          <w:rFonts w:ascii="Book Antiqua" w:eastAsia="宋体" w:hAnsi="Book Antiqua"/>
          <w:color w:val="000000" w:themeColor="text1"/>
          <w:sz w:val="24"/>
          <w:szCs w:val="24"/>
        </w:rPr>
        <w:t xml:space="preserve">ic medicine and </w:t>
      </w:r>
      <w:r w:rsidRPr="00BE7E83">
        <w:rPr>
          <w:rFonts w:ascii="Book Antiqua" w:eastAsia="宋体" w:hAnsi="Book Antiqua"/>
          <w:color w:val="000000" w:themeColor="text1"/>
          <w:sz w:val="24"/>
          <w:szCs w:val="24"/>
        </w:rPr>
        <w:t>clinical imaging evaluation of small bones and joints</w:t>
      </w:r>
      <w:r w:rsidR="00FA0E56" w:rsidRPr="00BE7E83">
        <w:rPr>
          <w:rFonts w:ascii="Book Antiqua" w:eastAsia="宋体" w:hAnsi="Book Antiqua"/>
          <w:color w:val="000000" w:themeColor="text1"/>
          <w:sz w:val="24"/>
          <w:szCs w:val="24"/>
        </w:rPr>
        <w:t>.</w:t>
      </w:r>
    </w:p>
    <w:p w14:paraId="55FDC721" w14:textId="77777777" w:rsidR="00EA6F45" w:rsidRPr="00BE7E83" w:rsidRDefault="00EA6F45" w:rsidP="00BE7E83">
      <w:pPr>
        <w:widowControl/>
        <w:snapToGrid w:val="0"/>
        <w:spacing w:line="360" w:lineRule="auto"/>
        <w:rPr>
          <w:rFonts w:ascii="Book Antiqua" w:hAnsi="Book Antiqua" w:cs="Times New Roman"/>
          <w:color w:val="000000" w:themeColor="text1"/>
          <w:sz w:val="24"/>
          <w:szCs w:val="24"/>
        </w:rPr>
      </w:pPr>
    </w:p>
    <w:p w14:paraId="3F6E3BA1" w14:textId="5F04CB72" w:rsidR="00DF0B19" w:rsidRPr="00BE7E83" w:rsidRDefault="00DF0B19"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b/>
          <w:sz w:val="24"/>
          <w:szCs w:val="24"/>
        </w:rPr>
        <w:t>REFERENCES</w:t>
      </w:r>
    </w:p>
    <w:p w14:paraId="02F26CDA"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 </w:t>
      </w:r>
      <w:r w:rsidRPr="00BE7E83">
        <w:rPr>
          <w:rFonts w:ascii="Book Antiqua" w:hAnsi="Book Antiqua"/>
          <w:b/>
          <w:sz w:val="24"/>
          <w:szCs w:val="24"/>
        </w:rPr>
        <w:t>Zhang Y</w:t>
      </w:r>
      <w:r w:rsidRPr="00BE7E83">
        <w:rPr>
          <w:rFonts w:ascii="Book Antiqua" w:hAnsi="Book Antiqua"/>
          <w:sz w:val="24"/>
          <w:szCs w:val="24"/>
        </w:rPr>
        <w:t xml:space="preserve">, He F, Chen Z, Su Q, Yan M, Zhang Q, Tan J, Qian L, Han Y. Melatonin modulates IL-1β-induced extracellular matrix remodeling in human nucleus pulposus cells and attenuates rat intervertebral disc degeneration and inflammation. </w:t>
      </w:r>
      <w:r w:rsidRPr="00BE7E83">
        <w:rPr>
          <w:rFonts w:ascii="Book Antiqua" w:hAnsi="Book Antiqua"/>
          <w:i/>
          <w:sz w:val="24"/>
          <w:szCs w:val="24"/>
        </w:rPr>
        <w:t>Aging (Albany NY)</w:t>
      </w:r>
      <w:r w:rsidRPr="00BE7E83">
        <w:rPr>
          <w:rFonts w:ascii="Book Antiqua" w:hAnsi="Book Antiqua"/>
          <w:sz w:val="24"/>
          <w:szCs w:val="24"/>
        </w:rPr>
        <w:t xml:space="preserve"> 2019; </w:t>
      </w:r>
      <w:r w:rsidRPr="00BE7E83">
        <w:rPr>
          <w:rFonts w:ascii="Book Antiqua" w:hAnsi="Book Antiqua"/>
          <w:b/>
          <w:sz w:val="24"/>
          <w:szCs w:val="24"/>
        </w:rPr>
        <w:t>11</w:t>
      </w:r>
      <w:r w:rsidRPr="00BE7E83">
        <w:rPr>
          <w:rFonts w:ascii="Book Antiqua" w:hAnsi="Book Antiqua"/>
          <w:sz w:val="24"/>
          <w:szCs w:val="24"/>
        </w:rPr>
        <w:t>: 10499-10512 [PMID: 31772145 DOI: 10.18632/aging.102472]</w:t>
      </w:r>
    </w:p>
    <w:p w14:paraId="2946A71C"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2 </w:t>
      </w:r>
      <w:r w:rsidRPr="00BE7E83">
        <w:rPr>
          <w:rFonts w:ascii="Book Antiqua" w:hAnsi="Book Antiqua"/>
          <w:b/>
          <w:sz w:val="24"/>
          <w:szCs w:val="24"/>
        </w:rPr>
        <w:t>Masuda K</w:t>
      </w:r>
      <w:r w:rsidRPr="00BE7E83">
        <w:rPr>
          <w:rFonts w:ascii="Book Antiqua" w:hAnsi="Book Antiqua"/>
          <w:sz w:val="24"/>
          <w:szCs w:val="24"/>
        </w:rPr>
        <w:t xml:space="preserve">. Biological repair of the degenerated intervertebral disc by the injection of growth factors. </w:t>
      </w:r>
      <w:r w:rsidRPr="00BE7E83">
        <w:rPr>
          <w:rFonts w:ascii="Book Antiqua" w:hAnsi="Book Antiqua"/>
          <w:i/>
          <w:sz w:val="24"/>
          <w:szCs w:val="24"/>
        </w:rPr>
        <w:t>Eur Spine J</w:t>
      </w:r>
      <w:r w:rsidRPr="00BE7E83">
        <w:rPr>
          <w:rFonts w:ascii="Book Antiqua" w:hAnsi="Book Antiqua"/>
          <w:sz w:val="24"/>
          <w:szCs w:val="24"/>
        </w:rPr>
        <w:t xml:space="preserve"> 2008; </w:t>
      </w:r>
      <w:r w:rsidRPr="00BE7E83">
        <w:rPr>
          <w:rFonts w:ascii="Book Antiqua" w:hAnsi="Book Antiqua"/>
          <w:b/>
          <w:sz w:val="24"/>
          <w:szCs w:val="24"/>
        </w:rPr>
        <w:t>17 Suppl 4</w:t>
      </w:r>
      <w:r w:rsidRPr="00BE7E83">
        <w:rPr>
          <w:rFonts w:ascii="Book Antiqua" w:hAnsi="Book Antiqua"/>
          <w:sz w:val="24"/>
          <w:szCs w:val="24"/>
        </w:rPr>
        <w:t>: 441-451 [PMID: 19005698 DOI: 10.1007/s00586-008-0749-z]</w:t>
      </w:r>
    </w:p>
    <w:p w14:paraId="1685B4B1"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3 </w:t>
      </w:r>
      <w:r w:rsidRPr="00BE7E83">
        <w:rPr>
          <w:rFonts w:ascii="Book Antiqua" w:hAnsi="Book Antiqua"/>
          <w:b/>
          <w:sz w:val="24"/>
          <w:szCs w:val="24"/>
        </w:rPr>
        <w:t>Bedore J</w:t>
      </w:r>
      <w:r w:rsidRPr="00BE7E83">
        <w:rPr>
          <w:rFonts w:ascii="Book Antiqua" w:hAnsi="Book Antiqua"/>
          <w:sz w:val="24"/>
          <w:szCs w:val="24"/>
        </w:rPr>
        <w:t xml:space="preserve">, Sha W, McCann MR, Liu S, Leask A, Séguin CA. Impaired intervertebral disc development and premature disc degeneration in mice with notochord-specific deletion of CCN2. </w:t>
      </w:r>
      <w:r w:rsidRPr="00BE7E83">
        <w:rPr>
          <w:rFonts w:ascii="Book Antiqua" w:hAnsi="Book Antiqua"/>
          <w:i/>
          <w:sz w:val="24"/>
          <w:szCs w:val="24"/>
        </w:rPr>
        <w:t>Arthritis Rheum</w:t>
      </w:r>
      <w:r w:rsidRPr="00BE7E83">
        <w:rPr>
          <w:rFonts w:ascii="Book Antiqua" w:hAnsi="Book Antiqua"/>
          <w:sz w:val="24"/>
          <w:szCs w:val="24"/>
        </w:rPr>
        <w:t xml:space="preserve"> 2013; </w:t>
      </w:r>
      <w:r w:rsidRPr="00BE7E83">
        <w:rPr>
          <w:rFonts w:ascii="Book Antiqua" w:hAnsi="Book Antiqua"/>
          <w:b/>
          <w:sz w:val="24"/>
          <w:szCs w:val="24"/>
        </w:rPr>
        <w:t>65</w:t>
      </w:r>
      <w:r w:rsidRPr="00BE7E83">
        <w:rPr>
          <w:rFonts w:ascii="Book Antiqua" w:hAnsi="Book Antiqua"/>
          <w:sz w:val="24"/>
          <w:szCs w:val="24"/>
        </w:rPr>
        <w:t>: 2634-2644 [PMID: 23839921 DOI: 10.1002/art.38075]</w:t>
      </w:r>
    </w:p>
    <w:p w14:paraId="2271BAC7"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4 </w:t>
      </w:r>
      <w:r w:rsidRPr="00BE7E83">
        <w:rPr>
          <w:rFonts w:ascii="Book Antiqua" w:hAnsi="Book Antiqua"/>
          <w:b/>
          <w:sz w:val="24"/>
          <w:szCs w:val="24"/>
        </w:rPr>
        <w:t>Cunha C</w:t>
      </w:r>
      <w:r w:rsidRPr="00BE7E83">
        <w:rPr>
          <w:rFonts w:ascii="Book Antiqua" w:hAnsi="Book Antiqua"/>
          <w:sz w:val="24"/>
          <w:szCs w:val="24"/>
        </w:rPr>
        <w:t xml:space="preserve">, Lamas S, Gonçalves RM, Barbosa MA. Joint analysis of IVD herniation and degeneration by rat caudal needle puncture model. </w:t>
      </w:r>
      <w:r w:rsidRPr="00BE7E83">
        <w:rPr>
          <w:rFonts w:ascii="Book Antiqua" w:hAnsi="Book Antiqua"/>
          <w:i/>
          <w:sz w:val="24"/>
          <w:szCs w:val="24"/>
        </w:rPr>
        <w:t>J Orthop Res</w:t>
      </w:r>
      <w:r w:rsidRPr="00BE7E83">
        <w:rPr>
          <w:rFonts w:ascii="Book Antiqua" w:hAnsi="Book Antiqua"/>
          <w:sz w:val="24"/>
          <w:szCs w:val="24"/>
        </w:rPr>
        <w:t xml:space="preserve"> 2017; </w:t>
      </w:r>
      <w:r w:rsidRPr="00BE7E83">
        <w:rPr>
          <w:rFonts w:ascii="Book Antiqua" w:hAnsi="Book Antiqua"/>
          <w:b/>
          <w:sz w:val="24"/>
          <w:szCs w:val="24"/>
        </w:rPr>
        <w:t>35</w:t>
      </w:r>
      <w:r w:rsidRPr="00BE7E83">
        <w:rPr>
          <w:rFonts w:ascii="Book Antiqua" w:hAnsi="Book Antiqua"/>
          <w:sz w:val="24"/>
          <w:szCs w:val="24"/>
        </w:rPr>
        <w:t>: 258-268 [PMID: 26610284 DOI: 10.1002/jor.23114]</w:t>
      </w:r>
    </w:p>
    <w:p w14:paraId="00171AEC"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5 </w:t>
      </w:r>
      <w:r w:rsidRPr="00BE7E83">
        <w:rPr>
          <w:rFonts w:ascii="Book Antiqua" w:hAnsi="Book Antiqua"/>
          <w:b/>
          <w:sz w:val="24"/>
          <w:szCs w:val="24"/>
        </w:rPr>
        <w:t>Yuan W</w:t>
      </w:r>
      <w:r w:rsidRPr="00BE7E83">
        <w:rPr>
          <w:rFonts w:ascii="Book Antiqua" w:hAnsi="Book Antiqua"/>
          <w:sz w:val="24"/>
          <w:szCs w:val="24"/>
        </w:rPr>
        <w:t xml:space="preserve">, Che W, Jiang YQ, Yuan FL, Wang HR, Zheng GL, Li XL, Dong J. Establishment of intervertebral disc degeneration model induced by ischemic sub-endplate in rat tail. </w:t>
      </w:r>
      <w:r w:rsidRPr="00BE7E83">
        <w:rPr>
          <w:rFonts w:ascii="Book Antiqua" w:hAnsi="Book Antiqua"/>
          <w:i/>
          <w:sz w:val="24"/>
          <w:szCs w:val="24"/>
        </w:rPr>
        <w:t>Spine J</w:t>
      </w:r>
      <w:r w:rsidRPr="00BE7E83">
        <w:rPr>
          <w:rFonts w:ascii="Book Antiqua" w:hAnsi="Book Antiqua"/>
          <w:sz w:val="24"/>
          <w:szCs w:val="24"/>
        </w:rPr>
        <w:t xml:space="preserve"> 2015; </w:t>
      </w:r>
      <w:r w:rsidRPr="00BE7E83">
        <w:rPr>
          <w:rFonts w:ascii="Book Antiqua" w:hAnsi="Book Antiqua"/>
          <w:b/>
          <w:sz w:val="24"/>
          <w:szCs w:val="24"/>
        </w:rPr>
        <w:t>15</w:t>
      </w:r>
      <w:r w:rsidRPr="00BE7E83">
        <w:rPr>
          <w:rFonts w:ascii="Book Antiqua" w:hAnsi="Book Antiqua"/>
          <w:sz w:val="24"/>
          <w:szCs w:val="24"/>
        </w:rPr>
        <w:t>: 1050-1059 [PMID: 25637466 DOI: 10.1016/j.spinee.2015.01.026]</w:t>
      </w:r>
    </w:p>
    <w:p w14:paraId="11706CCF"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6 </w:t>
      </w:r>
      <w:r w:rsidRPr="00BE7E83">
        <w:rPr>
          <w:rFonts w:ascii="Book Antiqua" w:hAnsi="Book Antiqua"/>
          <w:b/>
          <w:sz w:val="24"/>
          <w:szCs w:val="24"/>
        </w:rPr>
        <w:t>Alini M</w:t>
      </w:r>
      <w:r w:rsidRPr="00BE7E83">
        <w:rPr>
          <w:rFonts w:ascii="Book Antiqua" w:hAnsi="Book Antiqua"/>
          <w:sz w:val="24"/>
          <w:szCs w:val="24"/>
        </w:rPr>
        <w:t xml:space="preserve">, Eisenstein SM, Ito K, Little C, Kettler AA, Masuda K, Melrose J, Ralphs J, Stokes I, Wilke HJ. Are animal models useful for studying human disc disorders/degeneration? </w:t>
      </w:r>
      <w:r w:rsidRPr="00BE7E83">
        <w:rPr>
          <w:rFonts w:ascii="Book Antiqua" w:hAnsi="Book Antiqua"/>
          <w:i/>
          <w:sz w:val="24"/>
          <w:szCs w:val="24"/>
        </w:rPr>
        <w:t>Eur Spine J</w:t>
      </w:r>
      <w:r w:rsidRPr="00BE7E83">
        <w:rPr>
          <w:rFonts w:ascii="Book Antiqua" w:hAnsi="Book Antiqua"/>
          <w:sz w:val="24"/>
          <w:szCs w:val="24"/>
        </w:rPr>
        <w:t xml:space="preserve"> 2008; </w:t>
      </w:r>
      <w:r w:rsidRPr="00BE7E83">
        <w:rPr>
          <w:rFonts w:ascii="Book Antiqua" w:hAnsi="Book Antiqua"/>
          <w:b/>
          <w:sz w:val="24"/>
          <w:szCs w:val="24"/>
        </w:rPr>
        <w:t>17</w:t>
      </w:r>
      <w:r w:rsidRPr="00BE7E83">
        <w:rPr>
          <w:rFonts w:ascii="Book Antiqua" w:hAnsi="Book Antiqua"/>
          <w:sz w:val="24"/>
          <w:szCs w:val="24"/>
        </w:rPr>
        <w:t>: 2-19 [PMID: 17632738 DOI: 10.1007/s00586-007-0414-y]</w:t>
      </w:r>
    </w:p>
    <w:p w14:paraId="210B06F6"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7 </w:t>
      </w:r>
      <w:r w:rsidRPr="00BE7E83">
        <w:rPr>
          <w:rFonts w:ascii="Book Antiqua" w:hAnsi="Book Antiqua"/>
          <w:b/>
          <w:sz w:val="24"/>
          <w:szCs w:val="24"/>
        </w:rPr>
        <w:t>Maerz T</w:t>
      </w:r>
      <w:r w:rsidRPr="00BE7E83">
        <w:rPr>
          <w:rFonts w:ascii="Book Antiqua" w:hAnsi="Book Antiqua"/>
          <w:sz w:val="24"/>
          <w:szCs w:val="24"/>
        </w:rPr>
        <w:t xml:space="preserve">, Newton M, Marek AA, Planalp M, Baker K. Dynamic adaptation of vertebral endplate and trabecular bone following annular injury in a rat model of degenerative disc disease. </w:t>
      </w:r>
      <w:r w:rsidRPr="00BE7E83">
        <w:rPr>
          <w:rFonts w:ascii="Book Antiqua" w:hAnsi="Book Antiqua"/>
          <w:i/>
          <w:sz w:val="24"/>
          <w:szCs w:val="24"/>
        </w:rPr>
        <w:t>Spine J</w:t>
      </w:r>
      <w:r w:rsidRPr="00BE7E83">
        <w:rPr>
          <w:rFonts w:ascii="Book Antiqua" w:hAnsi="Book Antiqua"/>
          <w:sz w:val="24"/>
          <w:szCs w:val="24"/>
        </w:rPr>
        <w:t xml:space="preserve"> 2018; </w:t>
      </w:r>
      <w:r w:rsidRPr="00BE7E83">
        <w:rPr>
          <w:rFonts w:ascii="Book Antiqua" w:hAnsi="Book Antiqua"/>
          <w:b/>
          <w:sz w:val="24"/>
          <w:szCs w:val="24"/>
        </w:rPr>
        <w:t>18</w:t>
      </w:r>
      <w:r w:rsidRPr="00BE7E83">
        <w:rPr>
          <w:rFonts w:ascii="Book Antiqua" w:hAnsi="Book Antiqua"/>
          <w:sz w:val="24"/>
          <w:szCs w:val="24"/>
        </w:rPr>
        <w:t>: 2091-2101 [PMID: 29886163 DOI: 10.1016/j.spinee.2018.05.045]</w:t>
      </w:r>
    </w:p>
    <w:p w14:paraId="3F16D09F"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8 </w:t>
      </w:r>
      <w:r w:rsidRPr="00BE7E83">
        <w:rPr>
          <w:rFonts w:ascii="Book Antiqua" w:hAnsi="Book Antiqua"/>
          <w:b/>
          <w:sz w:val="24"/>
          <w:szCs w:val="24"/>
        </w:rPr>
        <w:t>Zhang H</w:t>
      </w:r>
      <w:r w:rsidRPr="00BE7E83">
        <w:rPr>
          <w:rFonts w:ascii="Book Antiqua" w:hAnsi="Book Antiqua"/>
          <w:sz w:val="24"/>
          <w:szCs w:val="24"/>
        </w:rPr>
        <w:t xml:space="preserve">, Tan H, Gao J, Wei Y, Yu Z, Zhou Y. The use of sequential X-ray, CT and MRI in the preoperative evaluation of breast-conserving surgery. </w:t>
      </w:r>
      <w:r w:rsidRPr="00BE7E83">
        <w:rPr>
          <w:rFonts w:ascii="Book Antiqua" w:hAnsi="Book Antiqua"/>
          <w:i/>
          <w:sz w:val="24"/>
          <w:szCs w:val="24"/>
        </w:rPr>
        <w:t>Exp Ther Med</w:t>
      </w:r>
      <w:r w:rsidRPr="00BE7E83">
        <w:rPr>
          <w:rFonts w:ascii="Book Antiqua" w:hAnsi="Book Antiqua"/>
          <w:sz w:val="24"/>
          <w:szCs w:val="24"/>
        </w:rPr>
        <w:t xml:space="preserve"> 2016; </w:t>
      </w:r>
      <w:r w:rsidRPr="00BE7E83">
        <w:rPr>
          <w:rFonts w:ascii="Book Antiqua" w:hAnsi="Book Antiqua"/>
          <w:b/>
          <w:sz w:val="24"/>
          <w:szCs w:val="24"/>
        </w:rPr>
        <w:t>12</w:t>
      </w:r>
      <w:r w:rsidRPr="00BE7E83">
        <w:rPr>
          <w:rFonts w:ascii="Book Antiqua" w:hAnsi="Book Antiqua"/>
          <w:sz w:val="24"/>
          <w:szCs w:val="24"/>
        </w:rPr>
        <w:t>: 1275-1278 [PMID: 27588049 DOI: 10.3892/etm.2016.3449]</w:t>
      </w:r>
    </w:p>
    <w:p w14:paraId="694E2F70"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9 </w:t>
      </w:r>
      <w:r w:rsidRPr="00BE7E83">
        <w:rPr>
          <w:rFonts w:ascii="Book Antiqua" w:hAnsi="Book Antiqua"/>
          <w:b/>
          <w:sz w:val="24"/>
          <w:szCs w:val="24"/>
        </w:rPr>
        <w:t>Liu Z</w:t>
      </w:r>
      <w:r w:rsidRPr="00BE7E83">
        <w:rPr>
          <w:rFonts w:ascii="Book Antiqua" w:hAnsi="Book Antiqua"/>
          <w:sz w:val="24"/>
          <w:szCs w:val="24"/>
        </w:rPr>
        <w:t xml:space="preserve">, Li R, Liang K, Chen J, Chen X, Li X, Li R, Zhang X, Yi L, Long W. Value of digital mammography in predicting lymphovascular invasion of breast cancer. </w:t>
      </w:r>
      <w:r w:rsidRPr="00BE7E83">
        <w:rPr>
          <w:rFonts w:ascii="Book Antiqua" w:hAnsi="Book Antiqua"/>
          <w:i/>
          <w:sz w:val="24"/>
          <w:szCs w:val="24"/>
        </w:rPr>
        <w:t>BMC Cancer</w:t>
      </w:r>
      <w:r w:rsidRPr="00BE7E83">
        <w:rPr>
          <w:rFonts w:ascii="Book Antiqua" w:hAnsi="Book Antiqua"/>
          <w:sz w:val="24"/>
          <w:szCs w:val="24"/>
        </w:rPr>
        <w:t xml:space="preserve"> 2020; </w:t>
      </w:r>
      <w:r w:rsidRPr="00BE7E83">
        <w:rPr>
          <w:rFonts w:ascii="Book Antiqua" w:hAnsi="Book Antiqua"/>
          <w:b/>
          <w:sz w:val="24"/>
          <w:szCs w:val="24"/>
        </w:rPr>
        <w:t>20</w:t>
      </w:r>
      <w:r w:rsidRPr="00BE7E83">
        <w:rPr>
          <w:rFonts w:ascii="Book Antiqua" w:hAnsi="Book Antiqua"/>
          <w:sz w:val="24"/>
          <w:szCs w:val="24"/>
        </w:rPr>
        <w:t>: 274 [PMID: 32245448 DOI: 10.1186/s12885-020-6712-z]</w:t>
      </w:r>
    </w:p>
    <w:p w14:paraId="777EC70F"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10 </w:t>
      </w:r>
      <w:r w:rsidRPr="00BE7E83">
        <w:rPr>
          <w:rFonts w:ascii="Book Antiqua" w:hAnsi="Book Antiqua"/>
          <w:b/>
          <w:sz w:val="24"/>
          <w:szCs w:val="24"/>
        </w:rPr>
        <w:t>Sorin V</w:t>
      </w:r>
      <w:r w:rsidRPr="00BE7E83">
        <w:rPr>
          <w:rFonts w:ascii="Book Antiqua" w:hAnsi="Book Antiqua"/>
          <w:sz w:val="24"/>
          <w:szCs w:val="24"/>
        </w:rPr>
        <w:t xml:space="preserve">, Faermann R, Yagil Y, Shalmon A, Gotlieb M, Halshtok-Neiman O, Ben-David MA, Sklair-Levy M. Contrast-enhanced spectral mammography (CESM) in women presenting with palpable breast findings. </w:t>
      </w:r>
      <w:r w:rsidRPr="00BE7E83">
        <w:rPr>
          <w:rFonts w:ascii="Book Antiqua" w:hAnsi="Book Antiqua"/>
          <w:i/>
          <w:sz w:val="24"/>
          <w:szCs w:val="24"/>
        </w:rPr>
        <w:t>Clin Imaging</w:t>
      </w:r>
      <w:r w:rsidRPr="00BE7E83">
        <w:rPr>
          <w:rFonts w:ascii="Book Antiqua" w:hAnsi="Book Antiqua"/>
          <w:sz w:val="24"/>
          <w:szCs w:val="24"/>
        </w:rPr>
        <w:t xml:space="preserve"> 2020; </w:t>
      </w:r>
      <w:r w:rsidRPr="00BE7E83">
        <w:rPr>
          <w:rFonts w:ascii="Book Antiqua" w:hAnsi="Book Antiqua"/>
          <w:b/>
          <w:sz w:val="24"/>
          <w:szCs w:val="24"/>
        </w:rPr>
        <w:t>61</w:t>
      </w:r>
      <w:r w:rsidRPr="00BE7E83">
        <w:rPr>
          <w:rFonts w:ascii="Book Antiqua" w:hAnsi="Book Antiqua"/>
          <w:sz w:val="24"/>
          <w:szCs w:val="24"/>
        </w:rPr>
        <w:t>: 99-105 [PMID: 32014818 DOI: 10.1016/j.clinimag.2020.01.019]</w:t>
      </w:r>
    </w:p>
    <w:p w14:paraId="55A76F74"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11 </w:t>
      </w:r>
      <w:r w:rsidRPr="00BE7E83">
        <w:rPr>
          <w:rFonts w:ascii="Book Antiqua" w:hAnsi="Book Antiqua"/>
          <w:b/>
          <w:sz w:val="24"/>
          <w:szCs w:val="24"/>
        </w:rPr>
        <w:t>Pennicooke B</w:t>
      </w:r>
      <w:r w:rsidRPr="00BE7E83">
        <w:rPr>
          <w:rFonts w:ascii="Book Antiqua" w:hAnsi="Book Antiqua"/>
          <w:sz w:val="24"/>
          <w:szCs w:val="24"/>
        </w:rPr>
        <w:t xml:space="preserve">, Hussain I, Berlin C, Sloan SR, Borde B, Moriguchi Y, Lang G, Navarro-Ramirez R, Cheetham J, Bonassar LJ, Härtl R. Annulus Fibrosus Repair Using High-Density Collagen Gel: An In Vivo Ovine Model. </w:t>
      </w:r>
      <w:r w:rsidRPr="00BE7E83">
        <w:rPr>
          <w:rFonts w:ascii="Book Antiqua" w:hAnsi="Book Antiqua"/>
          <w:i/>
          <w:sz w:val="24"/>
          <w:szCs w:val="24"/>
        </w:rPr>
        <w:t>Spine (Phila Pa 1976)</w:t>
      </w:r>
      <w:r w:rsidRPr="00BE7E83">
        <w:rPr>
          <w:rFonts w:ascii="Book Antiqua" w:hAnsi="Book Antiqua"/>
          <w:sz w:val="24"/>
          <w:szCs w:val="24"/>
        </w:rPr>
        <w:t xml:space="preserve"> 2018; </w:t>
      </w:r>
      <w:r w:rsidRPr="00BE7E83">
        <w:rPr>
          <w:rFonts w:ascii="Book Antiqua" w:hAnsi="Book Antiqua"/>
          <w:b/>
          <w:sz w:val="24"/>
          <w:szCs w:val="24"/>
        </w:rPr>
        <w:t>43</w:t>
      </w:r>
      <w:r w:rsidRPr="00BE7E83">
        <w:rPr>
          <w:rFonts w:ascii="Book Antiqua" w:hAnsi="Book Antiqua"/>
          <w:sz w:val="24"/>
          <w:szCs w:val="24"/>
        </w:rPr>
        <w:t>: E208-E215 [PMID: 28719551 DOI: 10.1097/BRS.0000000000002334]</w:t>
      </w:r>
    </w:p>
    <w:p w14:paraId="136B894A"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12 </w:t>
      </w:r>
      <w:r w:rsidRPr="00BE7E83">
        <w:rPr>
          <w:rFonts w:ascii="Book Antiqua" w:hAnsi="Book Antiqua"/>
          <w:b/>
          <w:sz w:val="24"/>
          <w:szCs w:val="24"/>
        </w:rPr>
        <w:t>Martin JT</w:t>
      </w:r>
      <w:r w:rsidRPr="00BE7E83">
        <w:rPr>
          <w:rFonts w:ascii="Book Antiqua" w:hAnsi="Book Antiqua"/>
          <w:sz w:val="24"/>
          <w:szCs w:val="24"/>
        </w:rPr>
        <w:t xml:space="preserve">, Gorth DJ, Beattie EE, Harfe BD, Smith LJ, Elliott DM. Needle puncture injury causes acute and long-term mechanical deficiency in a mouse model of intervertebral disc degeneration. </w:t>
      </w:r>
      <w:r w:rsidRPr="00BE7E83">
        <w:rPr>
          <w:rFonts w:ascii="Book Antiqua" w:hAnsi="Book Antiqua"/>
          <w:i/>
          <w:sz w:val="24"/>
          <w:szCs w:val="24"/>
        </w:rPr>
        <w:t>J Orthop Res</w:t>
      </w:r>
      <w:r w:rsidRPr="00BE7E83">
        <w:rPr>
          <w:rFonts w:ascii="Book Antiqua" w:hAnsi="Book Antiqua"/>
          <w:sz w:val="24"/>
          <w:szCs w:val="24"/>
        </w:rPr>
        <w:t xml:space="preserve"> 2013; </w:t>
      </w:r>
      <w:r w:rsidRPr="00BE7E83">
        <w:rPr>
          <w:rFonts w:ascii="Book Antiqua" w:hAnsi="Book Antiqua"/>
          <w:b/>
          <w:sz w:val="24"/>
          <w:szCs w:val="24"/>
        </w:rPr>
        <w:t>31</w:t>
      </w:r>
      <w:r w:rsidRPr="00BE7E83">
        <w:rPr>
          <w:rFonts w:ascii="Book Antiqua" w:hAnsi="Book Antiqua"/>
          <w:sz w:val="24"/>
          <w:szCs w:val="24"/>
        </w:rPr>
        <w:t>: 1276-1282 [PMID: 23553925 DOI: 10.1002/jor.22355]</w:t>
      </w:r>
    </w:p>
    <w:p w14:paraId="1F7E8EB0"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13 </w:t>
      </w:r>
      <w:r w:rsidRPr="00BE7E83">
        <w:rPr>
          <w:rFonts w:ascii="Book Antiqua" w:hAnsi="Book Antiqua"/>
          <w:b/>
          <w:sz w:val="24"/>
          <w:szCs w:val="24"/>
        </w:rPr>
        <w:t>Pfirrmann CW</w:t>
      </w:r>
      <w:r w:rsidRPr="00BE7E83">
        <w:rPr>
          <w:rFonts w:ascii="Book Antiqua" w:hAnsi="Book Antiqua"/>
          <w:sz w:val="24"/>
          <w:szCs w:val="24"/>
        </w:rPr>
        <w:t xml:space="preserve">, Metzdorf A, Zanetti M, Hodler J, Boos N. Magnetic resonance classification of lumbar intervertebral disc degeneration. </w:t>
      </w:r>
      <w:r w:rsidRPr="00BE7E83">
        <w:rPr>
          <w:rFonts w:ascii="Book Antiqua" w:hAnsi="Book Antiqua"/>
          <w:i/>
          <w:sz w:val="24"/>
          <w:szCs w:val="24"/>
        </w:rPr>
        <w:t>Spine (Phila Pa 1976)</w:t>
      </w:r>
      <w:r w:rsidRPr="00BE7E83">
        <w:rPr>
          <w:rFonts w:ascii="Book Antiqua" w:hAnsi="Book Antiqua"/>
          <w:sz w:val="24"/>
          <w:szCs w:val="24"/>
        </w:rPr>
        <w:t xml:space="preserve"> 2001; </w:t>
      </w:r>
      <w:r w:rsidRPr="00BE7E83">
        <w:rPr>
          <w:rFonts w:ascii="Book Antiqua" w:hAnsi="Book Antiqua"/>
          <w:b/>
          <w:sz w:val="24"/>
          <w:szCs w:val="24"/>
        </w:rPr>
        <w:t>26</w:t>
      </w:r>
      <w:r w:rsidRPr="00BE7E83">
        <w:rPr>
          <w:rFonts w:ascii="Book Antiqua" w:hAnsi="Book Antiqua"/>
          <w:sz w:val="24"/>
          <w:szCs w:val="24"/>
        </w:rPr>
        <w:t>: 1873-1878 [PMID: 11568697 DOI: 10.1097/00007632-200109010-00011]</w:t>
      </w:r>
    </w:p>
    <w:p w14:paraId="5534AF42" w14:textId="76E4F7B4"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14 </w:t>
      </w:r>
      <w:r w:rsidRPr="00BE7E83">
        <w:rPr>
          <w:rFonts w:ascii="Book Antiqua" w:hAnsi="Book Antiqua"/>
          <w:b/>
          <w:sz w:val="24"/>
          <w:szCs w:val="24"/>
        </w:rPr>
        <w:t>Su Qi-hang,</w:t>
      </w:r>
      <w:r w:rsidR="00117C0A" w:rsidRPr="00BE7E83">
        <w:rPr>
          <w:rFonts w:ascii="Book Antiqua" w:hAnsi="Book Antiqua"/>
          <w:sz w:val="24"/>
          <w:szCs w:val="24"/>
        </w:rPr>
        <w:t xml:space="preserve"> </w:t>
      </w:r>
      <w:r w:rsidRPr="00BE7E83">
        <w:rPr>
          <w:rFonts w:ascii="Book Antiqua" w:hAnsi="Book Antiqua"/>
          <w:sz w:val="24"/>
          <w:szCs w:val="24"/>
        </w:rPr>
        <w:t>Chen Tao, Zhang Yan, Zhang Jinbiao, Tan Jun, Guo Song. Cervical intervertebral height and whole curvature changes after single level anterior cervical discetomy fusion: a radiological study[J]. Journal of Tongji University (Medical Science) 2020;41(1):100-106 [DOI: 10.16118/j.1008-0392.2020.01.018]</w:t>
      </w:r>
    </w:p>
    <w:p w14:paraId="61344F17"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15 </w:t>
      </w:r>
      <w:r w:rsidRPr="00BE7E83">
        <w:rPr>
          <w:rFonts w:ascii="Book Antiqua" w:hAnsi="Book Antiqua"/>
          <w:b/>
          <w:sz w:val="24"/>
          <w:szCs w:val="24"/>
        </w:rPr>
        <w:t>Commenges D</w:t>
      </w:r>
      <w:r w:rsidRPr="00BE7E83">
        <w:rPr>
          <w:rFonts w:ascii="Book Antiqua" w:hAnsi="Book Antiqua"/>
          <w:sz w:val="24"/>
          <w:szCs w:val="24"/>
        </w:rPr>
        <w:t xml:space="preserve">, Jacqmin H. The intraclass correlation coefficient: distribution-free definition and test. </w:t>
      </w:r>
      <w:r w:rsidRPr="00BE7E83">
        <w:rPr>
          <w:rFonts w:ascii="Book Antiqua" w:hAnsi="Book Antiqua"/>
          <w:i/>
          <w:sz w:val="24"/>
          <w:szCs w:val="24"/>
        </w:rPr>
        <w:t>Biometrics</w:t>
      </w:r>
      <w:r w:rsidRPr="00BE7E83">
        <w:rPr>
          <w:rFonts w:ascii="Book Antiqua" w:hAnsi="Book Antiqua"/>
          <w:sz w:val="24"/>
          <w:szCs w:val="24"/>
        </w:rPr>
        <w:t xml:space="preserve"> 1994; </w:t>
      </w:r>
      <w:r w:rsidRPr="00BE7E83">
        <w:rPr>
          <w:rFonts w:ascii="Book Antiqua" w:hAnsi="Book Antiqua"/>
          <w:b/>
          <w:sz w:val="24"/>
          <w:szCs w:val="24"/>
        </w:rPr>
        <w:t>50</w:t>
      </w:r>
      <w:r w:rsidRPr="00BE7E83">
        <w:rPr>
          <w:rFonts w:ascii="Book Antiqua" w:hAnsi="Book Antiqua"/>
          <w:sz w:val="24"/>
          <w:szCs w:val="24"/>
        </w:rPr>
        <w:t>: 517-526 [PMID: 8068852 DOI: 10.2307/2533395]</w:t>
      </w:r>
    </w:p>
    <w:p w14:paraId="2ECB1693"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16 </w:t>
      </w:r>
      <w:r w:rsidRPr="00BE7E83">
        <w:rPr>
          <w:rFonts w:ascii="Book Antiqua" w:hAnsi="Book Antiqua"/>
          <w:b/>
          <w:sz w:val="24"/>
          <w:szCs w:val="24"/>
        </w:rPr>
        <w:t>Michalek AJ</w:t>
      </w:r>
      <w:r w:rsidRPr="00BE7E83">
        <w:rPr>
          <w:rFonts w:ascii="Book Antiqua" w:hAnsi="Book Antiqua"/>
          <w:sz w:val="24"/>
          <w:szCs w:val="24"/>
        </w:rPr>
        <w:t xml:space="preserve">, Funabashi KL, Iatridis JC. Needle puncture injury of the rat intervertebral disc affects torsional and compressive biomechanics differently. </w:t>
      </w:r>
      <w:r w:rsidRPr="00BE7E83">
        <w:rPr>
          <w:rFonts w:ascii="Book Antiqua" w:hAnsi="Book Antiqua"/>
          <w:i/>
          <w:sz w:val="24"/>
          <w:szCs w:val="24"/>
        </w:rPr>
        <w:t>Eur Spine J</w:t>
      </w:r>
      <w:r w:rsidRPr="00BE7E83">
        <w:rPr>
          <w:rFonts w:ascii="Book Antiqua" w:hAnsi="Book Antiqua"/>
          <w:sz w:val="24"/>
          <w:szCs w:val="24"/>
        </w:rPr>
        <w:t xml:space="preserve"> 2010; </w:t>
      </w:r>
      <w:r w:rsidRPr="00BE7E83">
        <w:rPr>
          <w:rFonts w:ascii="Book Antiqua" w:hAnsi="Book Antiqua"/>
          <w:b/>
          <w:sz w:val="24"/>
          <w:szCs w:val="24"/>
        </w:rPr>
        <w:t>19</w:t>
      </w:r>
      <w:r w:rsidRPr="00BE7E83">
        <w:rPr>
          <w:rFonts w:ascii="Book Antiqua" w:hAnsi="Book Antiqua"/>
          <w:sz w:val="24"/>
          <w:szCs w:val="24"/>
        </w:rPr>
        <w:t>: 2110-2116 [PMID: 20544231 DOI: 10.1007/s00586-010-1473-z]</w:t>
      </w:r>
    </w:p>
    <w:p w14:paraId="402DCA7D"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17 </w:t>
      </w:r>
      <w:r w:rsidRPr="00BE7E83">
        <w:rPr>
          <w:rFonts w:ascii="Book Antiqua" w:hAnsi="Book Antiqua"/>
          <w:b/>
          <w:sz w:val="24"/>
          <w:szCs w:val="24"/>
        </w:rPr>
        <w:t>Schattner E</w:t>
      </w:r>
      <w:r w:rsidRPr="00BE7E83">
        <w:rPr>
          <w:rFonts w:ascii="Book Antiqua" w:hAnsi="Book Antiqua"/>
          <w:sz w:val="24"/>
          <w:szCs w:val="24"/>
        </w:rPr>
        <w:t xml:space="preserve">. Correcting a decade of negative news about mammography. </w:t>
      </w:r>
      <w:r w:rsidRPr="00BE7E83">
        <w:rPr>
          <w:rFonts w:ascii="Book Antiqua" w:hAnsi="Book Antiqua"/>
          <w:i/>
          <w:sz w:val="24"/>
          <w:szCs w:val="24"/>
        </w:rPr>
        <w:t>Clin Imaging</w:t>
      </w:r>
      <w:r w:rsidRPr="00BE7E83">
        <w:rPr>
          <w:rFonts w:ascii="Book Antiqua" w:hAnsi="Book Antiqua"/>
          <w:sz w:val="24"/>
          <w:szCs w:val="24"/>
        </w:rPr>
        <w:t xml:space="preserve"> 2020; </w:t>
      </w:r>
      <w:r w:rsidRPr="00BE7E83">
        <w:rPr>
          <w:rFonts w:ascii="Book Antiqua" w:hAnsi="Book Antiqua"/>
          <w:b/>
          <w:sz w:val="24"/>
          <w:szCs w:val="24"/>
        </w:rPr>
        <w:t>60</w:t>
      </w:r>
      <w:r w:rsidRPr="00BE7E83">
        <w:rPr>
          <w:rFonts w:ascii="Book Antiqua" w:hAnsi="Book Antiqua"/>
          <w:sz w:val="24"/>
          <w:szCs w:val="24"/>
        </w:rPr>
        <w:t>: 265-270 [PMID: 30982701 DOI: 10.1016/j.clinimag.2019.03.011]</w:t>
      </w:r>
    </w:p>
    <w:p w14:paraId="37BDE305" w14:textId="77777777" w:rsidR="00A83FC3" w:rsidRPr="00BE7E83" w:rsidRDefault="00DF0B19"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sz w:val="24"/>
          <w:szCs w:val="24"/>
        </w:rPr>
        <w:t xml:space="preserve">18 </w:t>
      </w:r>
      <w:r w:rsidRPr="00BE7E83">
        <w:rPr>
          <w:rFonts w:ascii="Book Antiqua" w:hAnsi="Book Antiqua"/>
          <w:b/>
          <w:sz w:val="24"/>
          <w:szCs w:val="24"/>
        </w:rPr>
        <w:t>Thibault F</w:t>
      </w:r>
      <w:r w:rsidRPr="00BE7E83">
        <w:rPr>
          <w:rFonts w:ascii="Book Antiqua" w:hAnsi="Book Antiqua"/>
          <w:sz w:val="24"/>
          <w:szCs w:val="24"/>
        </w:rPr>
        <w:t xml:space="preserve">, Dromain C, Breucq C, Balleyguier CS, Malhaire C, Steyaert L, Tardivon A, Baldan E, Drevon H. Digital breast tomosynthesis versus mammography and breast ultrasound: a multireader performance study. </w:t>
      </w:r>
      <w:r w:rsidRPr="00BE7E83">
        <w:rPr>
          <w:rFonts w:ascii="Book Antiqua" w:hAnsi="Book Antiqua"/>
          <w:i/>
          <w:sz w:val="24"/>
          <w:szCs w:val="24"/>
        </w:rPr>
        <w:t>Eur Radiol</w:t>
      </w:r>
      <w:r w:rsidRPr="00BE7E83">
        <w:rPr>
          <w:rFonts w:ascii="Book Antiqua" w:hAnsi="Book Antiqua"/>
          <w:sz w:val="24"/>
          <w:szCs w:val="24"/>
        </w:rPr>
        <w:t xml:space="preserve"> 2013; </w:t>
      </w:r>
      <w:r w:rsidRPr="00BE7E83">
        <w:rPr>
          <w:rFonts w:ascii="Book Antiqua" w:hAnsi="Book Antiqua"/>
          <w:b/>
          <w:sz w:val="24"/>
          <w:szCs w:val="24"/>
        </w:rPr>
        <w:t>23</w:t>
      </w:r>
      <w:r w:rsidRPr="00BE7E83">
        <w:rPr>
          <w:rFonts w:ascii="Book Antiqua" w:hAnsi="Book Antiqua"/>
          <w:sz w:val="24"/>
          <w:szCs w:val="24"/>
        </w:rPr>
        <w:t>: 2441-2449 [PMID: 23673573 DOI: 10.1007/s00330-013-2863-5]</w:t>
      </w:r>
    </w:p>
    <w:p w14:paraId="0ABB06D8" w14:textId="77777777" w:rsidR="00DF0B19" w:rsidRPr="00BE7E83" w:rsidRDefault="00DF0B19" w:rsidP="00BE7E83">
      <w:pPr>
        <w:widowControl/>
        <w:snapToGrid w:val="0"/>
        <w:spacing w:line="360" w:lineRule="auto"/>
        <w:rPr>
          <w:rFonts w:ascii="Book Antiqua" w:hAnsi="Book Antiqua"/>
          <w:b/>
          <w:sz w:val="24"/>
          <w:szCs w:val="24"/>
        </w:rPr>
      </w:pPr>
      <w:r w:rsidRPr="00BE7E83">
        <w:rPr>
          <w:rFonts w:ascii="Book Antiqua" w:hAnsi="Book Antiqua"/>
          <w:b/>
          <w:sz w:val="24"/>
          <w:szCs w:val="24"/>
        </w:rPr>
        <w:br w:type="page"/>
      </w:r>
    </w:p>
    <w:p w14:paraId="44023FA5" w14:textId="77777777" w:rsidR="00D903A1" w:rsidRPr="00BE7E83" w:rsidRDefault="00DF0B19" w:rsidP="00BE7E83">
      <w:pPr>
        <w:adjustRightInd w:val="0"/>
        <w:snapToGrid w:val="0"/>
        <w:spacing w:line="360" w:lineRule="auto"/>
        <w:rPr>
          <w:rFonts w:ascii="Book Antiqua" w:hAnsi="Book Antiqua"/>
          <w:b/>
          <w:sz w:val="24"/>
          <w:szCs w:val="24"/>
        </w:rPr>
      </w:pPr>
      <w:r w:rsidRPr="00BE7E83">
        <w:rPr>
          <w:rFonts w:ascii="Book Antiqua" w:hAnsi="Book Antiqua"/>
          <w:b/>
          <w:sz w:val="24"/>
          <w:szCs w:val="24"/>
        </w:rPr>
        <w:t>Footnotes</w:t>
      </w:r>
    </w:p>
    <w:p w14:paraId="5E0616E3" w14:textId="6594429D" w:rsidR="00EA6F45" w:rsidRPr="00BE7E83" w:rsidRDefault="00EB380D"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hAnsi="Book Antiqua"/>
          <w:b/>
          <w:color w:val="000000"/>
          <w:sz w:val="24"/>
          <w:szCs w:val="24"/>
          <w:lang w:val="hu-HU"/>
        </w:rPr>
        <w:t>Institutional review board statement:</w:t>
      </w:r>
      <w:r w:rsidR="00D903A1" w:rsidRPr="00BE7E83">
        <w:rPr>
          <w:rFonts w:ascii="Book Antiqua" w:eastAsia="宋体" w:hAnsi="Book Antiqua" w:cs="Times New Roman"/>
          <w:color w:val="000000" w:themeColor="text1"/>
          <w:kern w:val="0"/>
          <w:sz w:val="24"/>
          <w:szCs w:val="24"/>
        </w:rPr>
        <w:t xml:space="preserve"> </w:t>
      </w:r>
      <w:r w:rsidR="00EA6F45" w:rsidRPr="00BE7E83">
        <w:rPr>
          <w:rFonts w:ascii="Book Antiqua" w:hAnsi="Book Antiqua" w:cstheme="minorHAnsi"/>
          <w:sz w:val="24"/>
          <w:szCs w:val="24"/>
        </w:rPr>
        <w:t xml:space="preserve">The study was reviewed and approved by the Institutional Review Board at </w:t>
      </w:r>
      <w:r w:rsidR="00EA6F45" w:rsidRPr="00BE7E83">
        <w:rPr>
          <w:rFonts w:ascii="Book Antiqua" w:eastAsia="宋体" w:hAnsi="Book Antiqua" w:cs="Times New Roman"/>
          <w:color w:val="000000" w:themeColor="text1"/>
          <w:kern w:val="0"/>
          <w:sz w:val="24"/>
          <w:szCs w:val="24"/>
        </w:rPr>
        <w:t>Shanghai East Hospital (East Hospital Affiliated to Tongji University) Medical Ethics Committee.</w:t>
      </w:r>
    </w:p>
    <w:p w14:paraId="2F0F205B" w14:textId="77777777" w:rsidR="00EA6F45" w:rsidRPr="00BE7E83" w:rsidRDefault="00EA6F45" w:rsidP="00BE7E83">
      <w:pPr>
        <w:widowControl/>
        <w:adjustRightInd w:val="0"/>
        <w:snapToGrid w:val="0"/>
        <w:spacing w:line="360" w:lineRule="auto"/>
        <w:rPr>
          <w:rFonts w:ascii="Book Antiqua" w:eastAsia="宋体" w:hAnsi="Book Antiqua" w:cs="Times New Roman"/>
          <w:color w:val="000000" w:themeColor="text1"/>
          <w:kern w:val="0"/>
          <w:sz w:val="24"/>
          <w:szCs w:val="24"/>
        </w:rPr>
      </w:pPr>
    </w:p>
    <w:p w14:paraId="2550791B" w14:textId="4BB94C47" w:rsidR="00D903A1" w:rsidRPr="00BE7E83" w:rsidRDefault="00EA6F45"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hAnsi="Book Antiqua"/>
          <w:b/>
          <w:color w:val="000000"/>
          <w:sz w:val="24"/>
          <w:szCs w:val="24"/>
          <w:lang w:val="hu-HU"/>
        </w:rPr>
        <w:t>Institutional animal care and use committee statement:</w:t>
      </w:r>
      <w:r w:rsidRPr="00BE7E83">
        <w:rPr>
          <w:rFonts w:ascii="Book Antiqua" w:eastAsia="宋体" w:hAnsi="Book Antiqua" w:cs="Times New Roman"/>
          <w:color w:val="000000" w:themeColor="text1"/>
          <w:kern w:val="0"/>
          <w:sz w:val="24"/>
          <w:szCs w:val="24"/>
        </w:rPr>
        <w:t xml:space="preserve"> </w:t>
      </w:r>
      <w:bookmarkStart w:id="44" w:name="OLE_LINK3"/>
      <w:bookmarkStart w:id="45" w:name="OLE_LINK4"/>
      <w:r w:rsidR="00D903A1" w:rsidRPr="00BE7E83">
        <w:rPr>
          <w:rFonts w:ascii="Book Antiqua" w:eastAsia="宋体" w:hAnsi="Book Antiqua" w:cs="Times New Roman"/>
          <w:color w:val="000000" w:themeColor="text1"/>
          <w:kern w:val="0"/>
          <w:sz w:val="24"/>
          <w:szCs w:val="24"/>
        </w:rPr>
        <w:t>Shanghai East Hospital (East Hospital Affiliated to Tongji University) Medical Ethics Committee</w:t>
      </w:r>
      <w:bookmarkEnd w:id="44"/>
      <w:bookmarkEnd w:id="45"/>
      <w:r w:rsidR="00D903A1" w:rsidRPr="00BE7E83">
        <w:rPr>
          <w:rFonts w:ascii="Book Antiqua" w:eastAsia="宋体" w:hAnsi="Book Antiqua" w:cs="Times New Roman"/>
          <w:color w:val="000000" w:themeColor="text1"/>
          <w:kern w:val="0"/>
          <w:sz w:val="24"/>
          <w:szCs w:val="24"/>
        </w:rPr>
        <w:t xml:space="preserve"> approved the study protocol, which met the relevant guidelines and regulations of Shanghai Medical Ethics Committee in accordance with internationally accepted principles for the use of laboratory animals.</w:t>
      </w:r>
    </w:p>
    <w:p w14:paraId="1B42C452" w14:textId="77777777" w:rsidR="00EB380D" w:rsidRPr="00BE7E83" w:rsidRDefault="00EB380D" w:rsidP="00BE7E83">
      <w:pPr>
        <w:widowControl/>
        <w:adjustRightInd w:val="0"/>
        <w:snapToGrid w:val="0"/>
        <w:spacing w:line="360" w:lineRule="auto"/>
        <w:rPr>
          <w:rFonts w:ascii="Book Antiqua" w:eastAsia="宋体" w:hAnsi="Book Antiqua" w:cs="Times New Roman"/>
          <w:color w:val="000000" w:themeColor="text1"/>
          <w:kern w:val="0"/>
          <w:sz w:val="24"/>
          <w:szCs w:val="24"/>
        </w:rPr>
      </w:pPr>
    </w:p>
    <w:p w14:paraId="6B724A83" w14:textId="4CE48908" w:rsidR="00D903A1" w:rsidRPr="00BE7E83" w:rsidRDefault="00EB380D"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hAnsi="Book Antiqua"/>
          <w:b/>
          <w:sz w:val="24"/>
          <w:szCs w:val="24"/>
          <w:lang w:val="hu-HU"/>
        </w:rPr>
        <w:t>Conflict-of-interest statement:</w:t>
      </w:r>
      <w:r w:rsidR="00D903A1" w:rsidRPr="00BE7E83">
        <w:rPr>
          <w:rFonts w:ascii="Book Antiqua" w:eastAsia="宋体" w:hAnsi="Book Antiqua" w:cs="Times New Roman"/>
          <w:color w:val="000000" w:themeColor="text1"/>
          <w:kern w:val="0"/>
          <w:sz w:val="24"/>
          <w:szCs w:val="24"/>
        </w:rPr>
        <w:t xml:space="preserve"> The authors declare that they have no financial or other conflicts of interest in relation to this research and its publication.</w:t>
      </w:r>
    </w:p>
    <w:p w14:paraId="7669D68A" w14:textId="77777777" w:rsidR="00967297" w:rsidRPr="00BE7E83" w:rsidRDefault="00967297" w:rsidP="00BE7E83">
      <w:pPr>
        <w:widowControl/>
        <w:adjustRightInd w:val="0"/>
        <w:snapToGrid w:val="0"/>
        <w:spacing w:line="360" w:lineRule="auto"/>
        <w:rPr>
          <w:rFonts w:ascii="Book Antiqua" w:eastAsia="宋体" w:hAnsi="Book Antiqua" w:cs="Times New Roman"/>
          <w:color w:val="000000" w:themeColor="text1"/>
          <w:kern w:val="0"/>
          <w:sz w:val="24"/>
          <w:szCs w:val="24"/>
        </w:rPr>
      </w:pPr>
    </w:p>
    <w:p w14:paraId="0F6797F4" w14:textId="77777777" w:rsidR="00967297" w:rsidRPr="00BE7E83" w:rsidRDefault="00967297" w:rsidP="00BE7E83">
      <w:pPr>
        <w:adjustRightInd w:val="0"/>
        <w:snapToGrid w:val="0"/>
        <w:spacing w:line="360" w:lineRule="auto"/>
        <w:rPr>
          <w:rFonts w:ascii="Book Antiqua" w:hAnsi="Book Antiqua" w:cstheme="minorHAnsi"/>
          <w:sz w:val="24"/>
          <w:szCs w:val="24"/>
        </w:rPr>
      </w:pPr>
      <w:r w:rsidRPr="00BE7E83">
        <w:rPr>
          <w:rFonts w:ascii="Book Antiqua" w:hAnsi="Book Antiqua" w:cstheme="minorHAnsi"/>
          <w:b/>
          <w:sz w:val="24"/>
          <w:szCs w:val="24"/>
        </w:rPr>
        <w:t>Data sharing statement</w:t>
      </w:r>
      <w:r w:rsidRPr="00BE7E83">
        <w:rPr>
          <w:rFonts w:ascii="Book Antiqua" w:hAnsi="Book Antiqua" w:cstheme="minorHAnsi"/>
          <w:sz w:val="24"/>
          <w:szCs w:val="24"/>
        </w:rPr>
        <w:t>: No additional data are available.</w:t>
      </w:r>
    </w:p>
    <w:p w14:paraId="1AA183CB" w14:textId="38DFB7FE" w:rsidR="00EB380D" w:rsidRPr="00BE7E83" w:rsidRDefault="00EB380D" w:rsidP="00BE7E83">
      <w:pPr>
        <w:widowControl/>
        <w:adjustRightInd w:val="0"/>
        <w:snapToGrid w:val="0"/>
        <w:spacing w:line="360" w:lineRule="auto"/>
        <w:rPr>
          <w:rFonts w:ascii="Book Antiqua" w:eastAsia="宋体" w:hAnsi="Book Antiqua" w:cs="Times New Roman"/>
          <w:color w:val="000000" w:themeColor="text1"/>
          <w:kern w:val="0"/>
          <w:sz w:val="24"/>
          <w:szCs w:val="24"/>
        </w:rPr>
      </w:pPr>
    </w:p>
    <w:p w14:paraId="79A2590C" w14:textId="35434C65" w:rsidR="00967297" w:rsidRPr="00BE7E83" w:rsidRDefault="00967297"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hAnsi="Book Antiqua" w:cstheme="minorHAnsi"/>
          <w:b/>
          <w:sz w:val="24"/>
          <w:szCs w:val="24"/>
          <w:lang w:val="hu-HU"/>
        </w:rPr>
        <w:t xml:space="preserve">ARRIVE guidelines statement: </w:t>
      </w:r>
      <w:r w:rsidRPr="00BE7E83">
        <w:rPr>
          <w:rFonts w:ascii="Book Antiqua" w:hAnsi="Book Antiqua" w:cstheme="minorHAnsi"/>
          <w:sz w:val="24"/>
          <w:szCs w:val="24"/>
        </w:rPr>
        <w:t>The authors have read the ARRIVE guidelines, and the manuscript was prepared and revised according to the ARRIVE guidelines.</w:t>
      </w:r>
    </w:p>
    <w:p w14:paraId="6256C152" w14:textId="77777777" w:rsidR="00967297" w:rsidRPr="00BE7E83" w:rsidRDefault="00967297" w:rsidP="00BE7E83">
      <w:pPr>
        <w:widowControl/>
        <w:adjustRightInd w:val="0"/>
        <w:snapToGrid w:val="0"/>
        <w:spacing w:line="360" w:lineRule="auto"/>
        <w:rPr>
          <w:rFonts w:ascii="Book Antiqua" w:eastAsia="宋体" w:hAnsi="Book Antiqua" w:cs="Times New Roman"/>
          <w:color w:val="000000" w:themeColor="text1"/>
          <w:kern w:val="0"/>
          <w:sz w:val="24"/>
          <w:szCs w:val="24"/>
        </w:rPr>
      </w:pPr>
    </w:p>
    <w:p w14:paraId="4149D47E" w14:textId="77777777" w:rsidR="00EB380D" w:rsidRPr="00BE7E83" w:rsidRDefault="00EB380D" w:rsidP="00BE7E83">
      <w:pPr>
        <w:adjustRightInd w:val="0"/>
        <w:snapToGrid w:val="0"/>
        <w:spacing w:line="360" w:lineRule="auto"/>
        <w:rPr>
          <w:rFonts w:ascii="Book Antiqua" w:hAnsi="Book Antiqua"/>
          <w:color w:val="000000"/>
          <w:sz w:val="24"/>
          <w:szCs w:val="24"/>
          <w:lang w:val="hu-HU"/>
        </w:rPr>
      </w:pPr>
      <w:r w:rsidRPr="00BE7E83">
        <w:rPr>
          <w:rFonts w:ascii="Book Antiqua" w:hAnsi="Book Antiqua"/>
          <w:b/>
          <w:color w:val="000000"/>
          <w:sz w:val="24"/>
          <w:szCs w:val="24"/>
        </w:rPr>
        <w:t>Open-Access:</w:t>
      </w:r>
      <w:r w:rsidRPr="00BE7E83">
        <w:rPr>
          <w:rFonts w:ascii="Book Antiqua" w:hAnsi="Book Antiqua"/>
          <w:color w:val="000000"/>
          <w:sz w:val="24"/>
          <w:szCs w:val="24"/>
        </w:rPr>
        <w:t xml:space="preserve"> This article is an open-access </w:t>
      </w:r>
      <w:r w:rsidRPr="00BE7E83">
        <w:rPr>
          <w:rFonts w:ascii="Book Antiqua" w:hAnsi="Book Antiqua"/>
          <w:sz w:val="24"/>
          <w:szCs w:val="24"/>
        </w:rPr>
        <w:t xml:space="preserve">article that was selected </w:t>
      </w:r>
      <w:r w:rsidRPr="00BE7E83">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69C622" w14:textId="77777777" w:rsidR="00EB380D" w:rsidRPr="00BE7E83" w:rsidRDefault="00EB380D" w:rsidP="00BE7E83">
      <w:pPr>
        <w:adjustRightInd w:val="0"/>
        <w:snapToGrid w:val="0"/>
        <w:spacing w:line="360" w:lineRule="auto"/>
        <w:rPr>
          <w:rFonts w:ascii="Book Antiqua" w:hAnsi="Book Antiqua"/>
          <w:color w:val="000000"/>
          <w:sz w:val="24"/>
          <w:szCs w:val="24"/>
          <w:lang w:val="hu-HU"/>
        </w:rPr>
      </w:pPr>
    </w:p>
    <w:p w14:paraId="1CE2D075" w14:textId="6F3AB855" w:rsidR="00EB380D" w:rsidRPr="00BE7E83" w:rsidRDefault="00EB380D" w:rsidP="00BE7E83">
      <w:pPr>
        <w:widowControl/>
        <w:adjustRightInd w:val="0"/>
        <w:snapToGrid w:val="0"/>
        <w:spacing w:line="360" w:lineRule="auto"/>
        <w:rPr>
          <w:rFonts w:ascii="Book Antiqua" w:hAnsi="Book Antiqua"/>
          <w:bCs/>
          <w:color w:val="000000"/>
          <w:sz w:val="24"/>
          <w:szCs w:val="24"/>
          <w:lang w:eastAsia="pl-PL"/>
        </w:rPr>
      </w:pPr>
      <w:r w:rsidRPr="00BE7E83">
        <w:rPr>
          <w:rFonts w:ascii="Book Antiqua" w:hAnsi="Book Antiqua"/>
          <w:b/>
          <w:bCs/>
          <w:color w:val="000000"/>
          <w:sz w:val="24"/>
          <w:szCs w:val="24"/>
          <w:lang w:eastAsia="pl-PL"/>
        </w:rPr>
        <w:t>Manuscript source:</w:t>
      </w:r>
      <w:r w:rsidRPr="00BE7E83">
        <w:rPr>
          <w:rFonts w:ascii="Book Antiqua" w:hAnsi="Book Antiqua"/>
          <w:b/>
          <w:bCs/>
          <w:color w:val="000000"/>
          <w:sz w:val="24"/>
          <w:szCs w:val="24"/>
        </w:rPr>
        <w:t xml:space="preserve"> </w:t>
      </w:r>
      <w:r w:rsidRPr="00BE7E83">
        <w:rPr>
          <w:rFonts w:ascii="Book Antiqua" w:hAnsi="Book Antiqua"/>
          <w:bCs/>
          <w:color w:val="000000"/>
          <w:sz w:val="24"/>
          <w:szCs w:val="24"/>
          <w:lang w:eastAsia="pl-PL"/>
        </w:rPr>
        <w:t xml:space="preserve">Unsolicited </w:t>
      </w:r>
      <w:r w:rsidR="00EA6F45" w:rsidRPr="00BE7E83">
        <w:rPr>
          <w:rFonts w:ascii="Book Antiqua" w:hAnsi="Book Antiqua"/>
          <w:bCs/>
          <w:color w:val="000000"/>
          <w:sz w:val="24"/>
          <w:szCs w:val="24"/>
          <w:lang w:eastAsia="pl-PL"/>
        </w:rPr>
        <w:t>manuscript</w:t>
      </w:r>
    </w:p>
    <w:p w14:paraId="4463E4A2" w14:textId="77777777" w:rsidR="00EB380D" w:rsidRPr="00BE7E83" w:rsidRDefault="00EB380D" w:rsidP="00BE7E83">
      <w:pPr>
        <w:widowControl/>
        <w:adjustRightInd w:val="0"/>
        <w:snapToGrid w:val="0"/>
        <w:spacing w:line="360" w:lineRule="auto"/>
        <w:rPr>
          <w:rFonts w:ascii="Book Antiqua" w:hAnsi="Book Antiqua"/>
          <w:bCs/>
          <w:color w:val="000000"/>
          <w:sz w:val="24"/>
          <w:szCs w:val="24"/>
          <w:lang w:eastAsia="pl-PL"/>
        </w:rPr>
      </w:pPr>
    </w:p>
    <w:p w14:paraId="4746E34F" w14:textId="77777777" w:rsidR="00EB380D" w:rsidRPr="00BE7E83" w:rsidRDefault="00EB380D" w:rsidP="00BE7E83">
      <w:pPr>
        <w:adjustRightInd w:val="0"/>
        <w:snapToGrid w:val="0"/>
        <w:spacing w:line="360" w:lineRule="auto"/>
        <w:rPr>
          <w:rFonts w:ascii="Book Antiqua" w:hAnsi="Book Antiqua"/>
          <w:b/>
          <w:sz w:val="24"/>
          <w:szCs w:val="24"/>
        </w:rPr>
      </w:pPr>
      <w:r w:rsidRPr="00BE7E83">
        <w:rPr>
          <w:rFonts w:ascii="Book Antiqua" w:hAnsi="Book Antiqua"/>
          <w:b/>
          <w:sz w:val="24"/>
          <w:szCs w:val="24"/>
        </w:rPr>
        <w:t xml:space="preserve">Peer-review started: </w:t>
      </w:r>
      <w:r w:rsidRPr="00BE7E83">
        <w:rPr>
          <w:rFonts w:ascii="Book Antiqua" w:hAnsi="Book Antiqua"/>
          <w:sz w:val="24"/>
          <w:szCs w:val="24"/>
        </w:rPr>
        <w:t>April 30, 2020</w:t>
      </w:r>
    </w:p>
    <w:p w14:paraId="058B19FB" w14:textId="2EC91F5D" w:rsidR="00EB380D" w:rsidRPr="00BE7E83" w:rsidRDefault="00EB380D" w:rsidP="00BE7E83">
      <w:pPr>
        <w:adjustRightInd w:val="0"/>
        <w:snapToGrid w:val="0"/>
        <w:spacing w:line="360" w:lineRule="auto"/>
        <w:rPr>
          <w:rFonts w:ascii="Book Antiqua" w:hAnsi="Book Antiqua"/>
          <w:b/>
          <w:sz w:val="24"/>
          <w:szCs w:val="24"/>
        </w:rPr>
      </w:pPr>
      <w:r w:rsidRPr="00BE7E83">
        <w:rPr>
          <w:rFonts w:ascii="Book Antiqua" w:hAnsi="Book Antiqua"/>
          <w:b/>
          <w:sz w:val="24"/>
          <w:szCs w:val="24"/>
        </w:rPr>
        <w:t xml:space="preserve">First decision: </w:t>
      </w:r>
      <w:r w:rsidRPr="00BE7E83">
        <w:rPr>
          <w:rFonts w:ascii="Book Antiqua" w:hAnsi="Book Antiqua"/>
          <w:sz w:val="24"/>
          <w:szCs w:val="24"/>
        </w:rPr>
        <w:t>June 4, 20</w:t>
      </w:r>
      <w:r w:rsidR="00DF3049" w:rsidRPr="00BE7E83">
        <w:rPr>
          <w:rFonts w:ascii="Book Antiqua" w:hAnsi="Book Antiqua"/>
          <w:sz w:val="24"/>
          <w:szCs w:val="24"/>
        </w:rPr>
        <w:t>20</w:t>
      </w:r>
    </w:p>
    <w:p w14:paraId="44706236" w14:textId="5E7163DE" w:rsidR="00EB380D" w:rsidRPr="00BE7E83" w:rsidRDefault="00EB380D" w:rsidP="00BE7E83">
      <w:pPr>
        <w:adjustRightInd w:val="0"/>
        <w:snapToGrid w:val="0"/>
        <w:spacing w:line="360" w:lineRule="auto"/>
        <w:rPr>
          <w:rFonts w:ascii="Book Antiqua" w:hAnsi="Book Antiqua"/>
          <w:b/>
          <w:sz w:val="24"/>
          <w:szCs w:val="24"/>
        </w:rPr>
      </w:pPr>
      <w:r w:rsidRPr="00BE7E83">
        <w:rPr>
          <w:rFonts w:ascii="Book Antiqua" w:hAnsi="Book Antiqua"/>
          <w:b/>
          <w:sz w:val="24"/>
          <w:szCs w:val="24"/>
        </w:rPr>
        <w:t>Article in press:</w:t>
      </w:r>
      <w:r w:rsidR="00EF3D7F" w:rsidRPr="00EF3D7F">
        <w:rPr>
          <w:rFonts w:ascii="Book Antiqua" w:hAnsi="Book Antiqua"/>
          <w:bCs/>
          <w:sz w:val="24"/>
          <w:szCs w:val="24"/>
        </w:rPr>
        <w:t xml:space="preserve"> </w:t>
      </w:r>
      <w:r w:rsidR="00EF3D7F" w:rsidRPr="00C50B09">
        <w:rPr>
          <w:rFonts w:ascii="Book Antiqua" w:hAnsi="Book Antiqua"/>
          <w:bCs/>
          <w:sz w:val="24"/>
          <w:szCs w:val="24"/>
        </w:rPr>
        <w:t>July 17, 2020</w:t>
      </w:r>
    </w:p>
    <w:p w14:paraId="26749C04" w14:textId="77777777" w:rsidR="00EB380D" w:rsidRPr="00BE7E83" w:rsidRDefault="00EB380D" w:rsidP="00BE7E83">
      <w:pPr>
        <w:adjustRightInd w:val="0"/>
        <w:snapToGrid w:val="0"/>
        <w:spacing w:line="360" w:lineRule="auto"/>
        <w:rPr>
          <w:rFonts w:ascii="Book Antiqua" w:hAnsi="Book Antiqua" w:cstheme="minorHAnsi"/>
          <w:b/>
          <w:sz w:val="24"/>
          <w:szCs w:val="24"/>
          <w:lang w:val="hu-HU"/>
        </w:rPr>
      </w:pPr>
    </w:p>
    <w:p w14:paraId="62921C98" w14:textId="1B3FE709" w:rsidR="00EB380D" w:rsidRPr="00BE7E83" w:rsidRDefault="00EB380D" w:rsidP="00BE7E83">
      <w:pPr>
        <w:adjustRightInd w:val="0"/>
        <w:snapToGrid w:val="0"/>
        <w:spacing w:line="360" w:lineRule="auto"/>
        <w:rPr>
          <w:rFonts w:ascii="Book Antiqua" w:eastAsia="微软雅黑" w:hAnsi="Book Antiqua" w:cs="宋体"/>
          <w:sz w:val="24"/>
          <w:szCs w:val="24"/>
        </w:rPr>
      </w:pPr>
      <w:r w:rsidRPr="00BE7E83">
        <w:rPr>
          <w:rFonts w:ascii="Book Antiqua" w:hAnsi="Book Antiqua" w:cs="宋体"/>
          <w:b/>
          <w:sz w:val="24"/>
          <w:szCs w:val="24"/>
        </w:rPr>
        <w:t xml:space="preserve">Specialty type: </w:t>
      </w:r>
      <w:r w:rsidR="00EA6F45" w:rsidRPr="00BE7E83">
        <w:rPr>
          <w:rFonts w:ascii="Book Antiqua" w:eastAsia="微软雅黑" w:hAnsi="Book Antiqua" w:cs="宋体"/>
          <w:sz w:val="24"/>
          <w:szCs w:val="24"/>
        </w:rPr>
        <w:t>Medicine, research and experimental</w:t>
      </w:r>
    </w:p>
    <w:p w14:paraId="1A5FD694" w14:textId="417D3026" w:rsidR="00EB380D" w:rsidRPr="00BE7E83" w:rsidRDefault="00EB380D" w:rsidP="00BE7E83">
      <w:pPr>
        <w:adjustRightInd w:val="0"/>
        <w:snapToGrid w:val="0"/>
        <w:spacing w:line="360" w:lineRule="auto"/>
        <w:rPr>
          <w:rFonts w:ascii="Book Antiqua" w:hAnsi="Book Antiqua" w:cs="宋体"/>
          <w:sz w:val="24"/>
          <w:szCs w:val="24"/>
        </w:rPr>
      </w:pPr>
      <w:r w:rsidRPr="00BE7E83">
        <w:rPr>
          <w:rFonts w:ascii="Book Antiqua" w:hAnsi="Book Antiqua" w:cs="宋体"/>
          <w:b/>
          <w:sz w:val="24"/>
          <w:szCs w:val="24"/>
        </w:rPr>
        <w:t xml:space="preserve">Country/Territory of origin: </w:t>
      </w:r>
      <w:r w:rsidR="00DF3049" w:rsidRPr="00BE7E83">
        <w:rPr>
          <w:rFonts w:ascii="Book Antiqua" w:hAnsi="Book Antiqua" w:cs="宋体"/>
          <w:sz w:val="24"/>
          <w:szCs w:val="24"/>
        </w:rPr>
        <w:t>China</w:t>
      </w:r>
    </w:p>
    <w:p w14:paraId="69B799B2" w14:textId="77777777" w:rsidR="00EB380D" w:rsidRPr="00BE7E83" w:rsidRDefault="00EB380D" w:rsidP="00BE7E83">
      <w:pPr>
        <w:adjustRightInd w:val="0"/>
        <w:snapToGrid w:val="0"/>
        <w:spacing w:line="360" w:lineRule="auto"/>
        <w:rPr>
          <w:rFonts w:ascii="Book Antiqua" w:hAnsi="Book Antiqua" w:cs="宋体"/>
          <w:b/>
          <w:sz w:val="24"/>
          <w:szCs w:val="24"/>
        </w:rPr>
      </w:pPr>
      <w:r w:rsidRPr="00BE7E83">
        <w:rPr>
          <w:rFonts w:ascii="Book Antiqua" w:hAnsi="Book Antiqua" w:cs="宋体"/>
          <w:b/>
          <w:sz w:val="24"/>
          <w:szCs w:val="24"/>
        </w:rPr>
        <w:t>Peer-review report’s scientific quality classification</w:t>
      </w:r>
    </w:p>
    <w:p w14:paraId="439028C4" w14:textId="77777777" w:rsidR="00EB380D" w:rsidRPr="00BE7E83" w:rsidRDefault="00EB380D" w:rsidP="00BE7E83">
      <w:pPr>
        <w:adjustRightInd w:val="0"/>
        <w:snapToGrid w:val="0"/>
        <w:spacing w:line="360" w:lineRule="auto"/>
        <w:rPr>
          <w:rFonts w:ascii="Book Antiqua" w:hAnsi="Book Antiqua" w:cs="宋体"/>
          <w:sz w:val="24"/>
          <w:szCs w:val="24"/>
        </w:rPr>
      </w:pPr>
      <w:r w:rsidRPr="00BE7E83">
        <w:rPr>
          <w:rFonts w:ascii="Book Antiqua" w:hAnsi="Book Antiqua" w:cs="宋体"/>
          <w:sz w:val="24"/>
          <w:szCs w:val="24"/>
        </w:rPr>
        <w:t>Grade A (Excellent): A</w:t>
      </w:r>
    </w:p>
    <w:p w14:paraId="0C78BEA6" w14:textId="77777777" w:rsidR="00EB380D" w:rsidRPr="00BE7E83" w:rsidRDefault="00EB380D" w:rsidP="00BE7E83">
      <w:pPr>
        <w:adjustRightInd w:val="0"/>
        <w:snapToGrid w:val="0"/>
        <w:spacing w:line="360" w:lineRule="auto"/>
        <w:rPr>
          <w:rFonts w:ascii="Book Antiqua" w:hAnsi="Book Antiqua" w:cs="宋体"/>
          <w:sz w:val="24"/>
          <w:szCs w:val="24"/>
        </w:rPr>
      </w:pPr>
      <w:r w:rsidRPr="00BE7E83">
        <w:rPr>
          <w:rFonts w:ascii="Book Antiqua" w:hAnsi="Book Antiqua" w:cs="宋体"/>
          <w:sz w:val="24"/>
          <w:szCs w:val="24"/>
        </w:rPr>
        <w:t>Grade B (Very good): 0</w:t>
      </w:r>
    </w:p>
    <w:p w14:paraId="0F3698CF" w14:textId="77777777" w:rsidR="00EB380D" w:rsidRPr="00BE7E83" w:rsidRDefault="00EB380D" w:rsidP="00BE7E83">
      <w:pPr>
        <w:adjustRightInd w:val="0"/>
        <w:snapToGrid w:val="0"/>
        <w:spacing w:line="360" w:lineRule="auto"/>
        <w:rPr>
          <w:rFonts w:ascii="Book Antiqua" w:hAnsi="Book Antiqua" w:cs="宋体"/>
          <w:sz w:val="24"/>
          <w:szCs w:val="24"/>
        </w:rPr>
      </w:pPr>
      <w:r w:rsidRPr="00BE7E83">
        <w:rPr>
          <w:rFonts w:ascii="Book Antiqua" w:hAnsi="Book Antiqua" w:cs="宋体"/>
          <w:sz w:val="24"/>
          <w:szCs w:val="24"/>
        </w:rPr>
        <w:t>Grade C (Good): 0</w:t>
      </w:r>
    </w:p>
    <w:p w14:paraId="3C910103" w14:textId="77777777" w:rsidR="00EB380D" w:rsidRPr="00BE7E83" w:rsidRDefault="00EB380D" w:rsidP="00BE7E83">
      <w:pPr>
        <w:adjustRightInd w:val="0"/>
        <w:snapToGrid w:val="0"/>
        <w:spacing w:line="360" w:lineRule="auto"/>
        <w:rPr>
          <w:rFonts w:ascii="Book Antiqua" w:hAnsi="Book Antiqua" w:cs="宋体"/>
          <w:sz w:val="24"/>
          <w:szCs w:val="24"/>
        </w:rPr>
      </w:pPr>
      <w:r w:rsidRPr="00BE7E83">
        <w:rPr>
          <w:rFonts w:ascii="Book Antiqua" w:hAnsi="Book Antiqua" w:cs="宋体"/>
          <w:sz w:val="24"/>
          <w:szCs w:val="24"/>
        </w:rPr>
        <w:t>Grade D (Fair): 0</w:t>
      </w:r>
    </w:p>
    <w:p w14:paraId="21E09254" w14:textId="77777777" w:rsidR="00EB380D" w:rsidRPr="00BE7E83" w:rsidRDefault="00EB380D" w:rsidP="00BE7E83">
      <w:pPr>
        <w:tabs>
          <w:tab w:val="right" w:pos="8312"/>
        </w:tabs>
        <w:adjustRightInd w:val="0"/>
        <w:snapToGrid w:val="0"/>
        <w:spacing w:line="360" w:lineRule="auto"/>
        <w:rPr>
          <w:rFonts w:ascii="Book Antiqua" w:eastAsia="等线" w:hAnsi="Book Antiqua"/>
          <w:sz w:val="24"/>
          <w:szCs w:val="24"/>
          <w:lang w:val="hu-HU"/>
        </w:rPr>
      </w:pPr>
      <w:r w:rsidRPr="00BE7E83">
        <w:rPr>
          <w:rFonts w:ascii="Book Antiqua" w:hAnsi="Book Antiqua" w:cs="宋体"/>
          <w:sz w:val="24"/>
          <w:szCs w:val="24"/>
        </w:rPr>
        <w:t>Grade E (Poor): 0</w:t>
      </w:r>
      <w:r w:rsidRPr="00BE7E83">
        <w:rPr>
          <w:rFonts w:ascii="Book Antiqua" w:hAnsi="Book Antiqua" w:cs="宋体"/>
          <w:sz w:val="24"/>
          <w:szCs w:val="24"/>
        </w:rPr>
        <w:tab/>
      </w:r>
    </w:p>
    <w:p w14:paraId="3F5A69DF" w14:textId="77777777" w:rsidR="00EB380D" w:rsidRPr="00BE7E83" w:rsidRDefault="00EB380D" w:rsidP="00BE7E83">
      <w:pPr>
        <w:adjustRightInd w:val="0"/>
        <w:snapToGrid w:val="0"/>
        <w:spacing w:line="360" w:lineRule="auto"/>
        <w:rPr>
          <w:rFonts w:ascii="Book Antiqua" w:eastAsia="等线" w:hAnsi="Book Antiqua"/>
          <w:sz w:val="24"/>
          <w:szCs w:val="24"/>
        </w:rPr>
      </w:pPr>
    </w:p>
    <w:p w14:paraId="0A9C6330" w14:textId="0007CB6B" w:rsidR="00EB380D" w:rsidRPr="00BE7E83" w:rsidRDefault="00EB380D" w:rsidP="00BE7E83">
      <w:pPr>
        <w:adjustRightInd w:val="0"/>
        <w:snapToGrid w:val="0"/>
        <w:spacing w:line="360" w:lineRule="auto"/>
        <w:rPr>
          <w:rFonts w:ascii="Book Antiqua" w:hAnsi="Book Antiqua"/>
          <w:b/>
          <w:bCs/>
          <w:color w:val="000000"/>
          <w:sz w:val="24"/>
          <w:szCs w:val="24"/>
        </w:rPr>
      </w:pPr>
      <w:bookmarkStart w:id="46" w:name="OLE_LINK139"/>
      <w:bookmarkStart w:id="47" w:name="OLE_LINK140"/>
      <w:r w:rsidRPr="00BE7E83">
        <w:rPr>
          <w:rFonts w:ascii="Book Antiqua" w:hAnsi="Book Antiqua"/>
          <w:b/>
          <w:bCs/>
          <w:color w:val="000000"/>
          <w:sz w:val="24"/>
          <w:szCs w:val="24"/>
        </w:rPr>
        <w:t>P-Reviewer:</w:t>
      </w:r>
      <w:r w:rsidRPr="00BE7E83">
        <w:rPr>
          <w:rFonts w:ascii="Book Antiqua" w:hAnsi="Book Antiqua"/>
          <w:bCs/>
          <w:color w:val="000000"/>
          <w:sz w:val="24"/>
          <w:szCs w:val="24"/>
        </w:rPr>
        <w:t xml:space="preserve"> Tokuhashi Y </w:t>
      </w:r>
      <w:r w:rsidRPr="00BE7E83">
        <w:rPr>
          <w:rFonts w:ascii="Book Antiqua" w:hAnsi="Book Antiqua"/>
          <w:b/>
          <w:bCs/>
          <w:color w:val="000000"/>
          <w:sz w:val="24"/>
          <w:szCs w:val="24"/>
        </w:rPr>
        <w:t>S-Editor:</w:t>
      </w:r>
      <w:r w:rsidRPr="00BE7E83">
        <w:rPr>
          <w:rFonts w:ascii="Book Antiqua" w:hAnsi="Book Antiqua"/>
          <w:color w:val="000000"/>
          <w:sz w:val="24"/>
          <w:szCs w:val="24"/>
        </w:rPr>
        <w:t xml:space="preserve"> Zhang L </w:t>
      </w:r>
      <w:r w:rsidRPr="00BE7E83">
        <w:rPr>
          <w:rFonts w:ascii="Book Antiqua" w:hAnsi="Book Antiqua"/>
          <w:b/>
          <w:bCs/>
          <w:color w:val="000000"/>
          <w:sz w:val="24"/>
          <w:szCs w:val="24"/>
        </w:rPr>
        <w:t>L-Editor:</w:t>
      </w:r>
      <w:r w:rsidRPr="00BE7E83">
        <w:rPr>
          <w:rFonts w:ascii="Book Antiqua" w:hAnsi="Book Antiqua"/>
          <w:color w:val="000000"/>
          <w:sz w:val="24"/>
          <w:szCs w:val="24"/>
        </w:rPr>
        <w:t xml:space="preserve"> </w:t>
      </w:r>
      <w:r w:rsidR="00151EA6">
        <w:rPr>
          <w:rFonts w:ascii="Book Antiqua" w:hAnsi="Book Antiqua"/>
          <w:color w:val="000000"/>
          <w:sz w:val="24"/>
          <w:szCs w:val="24"/>
        </w:rPr>
        <w:t xml:space="preserve">Webster JR </w:t>
      </w:r>
      <w:r w:rsidRPr="00BE7E83">
        <w:rPr>
          <w:rFonts w:ascii="Book Antiqua" w:hAnsi="Book Antiqua"/>
          <w:b/>
          <w:bCs/>
          <w:color w:val="000000"/>
          <w:sz w:val="24"/>
          <w:szCs w:val="24"/>
        </w:rPr>
        <w:t>E-Editor:</w:t>
      </w:r>
      <w:r w:rsidR="00011E36">
        <w:rPr>
          <w:rFonts w:ascii="Book Antiqua" w:hAnsi="Book Antiqua" w:hint="eastAsia"/>
          <w:b/>
          <w:bCs/>
          <w:color w:val="000000"/>
          <w:sz w:val="24"/>
          <w:szCs w:val="24"/>
        </w:rPr>
        <w:t xml:space="preserve"> </w:t>
      </w:r>
      <w:r w:rsidR="00011E36" w:rsidRPr="00011E36">
        <w:rPr>
          <w:rFonts w:ascii="Book Antiqua" w:hAnsi="Book Antiqua" w:hint="eastAsia"/>
          <w:bCs/>
          <w:color w:val="000000"/>
          <w:sz w:val="24"/>
          <w:szCs w:val="24"/>
        </w:rPr>
        <w:t>Liu JH</w:t>
      </w:r>
    </w:p>
    <w:bookmarkEnd w:id="46"/>
    <w:bookmarkEnd w:id="47"/>
    <w:p w14:paraId="2C95CD61" w14:textId="77777777" w:rsidR="00EB380D" w:rsidRPr="00BE7E83" w:rsidRDefault="00EB380D" w:rsidP="00BE7E83">
      <w:pPr>
        <w:widowControl/>
        <w:adjustRightInd w:val="0"/>
        <w:snapToGrid w:val="0"/>
        <w:spacing w:line="360" w:lineRule="auto"/>
        <w:rPr>
          <w:rFonts w:ascii="Book Antiqua" w:eastAsia="宋体" w:hAnsi="Book Antiqua" w:cs="Times New Roman"/>
          <w:color w:val="000000" w:themeColor="text1"/>
          <w:kern w:val="0"/>
          <w:sz w:val="24"/>
          <w:szCs w:val="24"/>
        </w:rPr>
      </w:pPr>
    </w:p>
    <w:p w14:paraId="09F4CAC6" w14:textId="77777777" w:rsidR="00A83FC3" w:rsidRPr="00BE7E83" w:rsidRDefault="00A83FC3" w:rsidP="00BE7E83">
      <w:pPr>
        <w:widowControl/>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br w:type="page"/>
      </w:r>
    </w:p>
    <w:p w14:paraId="3D889DEB" w14:textId="19058704" w:rsidR="008D32D4" w:rsidRPr="00BE7E83" w:rsidRDefault="008D32D4" w:rsidP="00BE7E83">
      <w:pPr>
        <w:adjustRightInd w:val="0"/>
        <w:snapToGrid w:val="0"/>
        <w:spacing w:line="360" w:lineRule="auto"/>
        <w:rPr>
          <w:rFonts w:ascii="Book Antiqua" w:hAnsi="Book Antiqua"/>
          <w:b/>
          <w:sz w:val="24"/>
          <w:szCs w:val="24"/>
        </w:rPr>
      </w:pPr>
      <w:r w:rsidRPr="00BE7E83">
        <w:rPr>
          <w:rFonts w:ascii="Book Antiqua" w:hAnsi="Book Antiqua"/>
          <w:b/>
          <w:sz w:val="24"/>
          <w:szCs w:val="24"/>
        </w:rPr>
        <w:t>Figure Legends</w:t>
      </w:r>
    </w:p>
    <w:p w14:paraId="02F28FD6" w14:textId="77777777" w:rsidR="005B697F" w:rsidRPr="00BE7E83" w:rsidRDefault="005B697F"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noProof/>
          <w:color w:val="000000" w:themeColor="text1"/>
          <w:sz w:val="24"/>
          <w:szCs w:val="24"/>
        </w:rPr>
        <w:drawing>
          <wp:inline distT="0" distB="0" distL="0" distR="0" wp14:anchorId="063ED2B5" wp14:editId="33262BEB">
            <wp:extent cx="5274310" cy="1706245"/>
            <wp:effectExtent l="19050" t="0" r="2540" b="0"/>
            <wp:docPr id="1" name="图片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stretch>
                      <a:fillRect/>
                    </a:stretch>
                  </pic:blipFill>
                  <pic:spPr>
                    <a:xfrm>
                      <a:off x="0" y="0"/>
                      <a:ext cx="5274310" cy="1706245"/>
                    </a:xfrm>
                    <a:prstGeom prst="rect">
                      <a:avLst/>
                    </a:prstGeom>
                  </pic:spPr>
                </pic:pic>
              </a:graphicData>
            </a:graphic>
          </wp:inline>
        </w:drawing>
      </w:r>
    </w:p>
    <w:p w14:paraId="3BFC1B23" w14:textId="2AC19A05" w:rsidR="00005501" w:rsidRPr="00BE7E83" w:rsidRDefault="00B94C78"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t>Figure 1</w:t>
      </w:r>
      <w:r w:rsidR="008D32D4" w:rsidRPr="00BE7E83">
        <w:rPr>
          <w:rFonts w:ascii="Book Antiqua" w:hAnsi="Book Antiqua" w:cs="Times New Roman"/>
          <w:b/>
          <w:color w:val="000000" w:themeColor="text1"/>
          <w:sz w:val="24"/>
          <w:szCs w:val="24"/>
        </w:rPr>
        <w:t xml:space="preserve"> </w:t>
      </w:r>
      <w:r w:rsidRPr="00BE7E83">
        <w:rPr>
          <w:rFonts w:ascii="Book Antiqua" w:hAnsi="Book Antiqua" w:cs="Times New Roman"/>
          <w:b/>
          <w:bCs/>
          <w:color w:val="000000" w:themeColor="text1"/>
          <w:sz w:val="24"/>
          <w:szCs w:val="24"/>
        </w:rPr>
        <w:t>Schematic diagram of the approach to establish rat caudal intervertebral disc degeneration</w:t>
      </w:r>
      <w:r w:rsidR="008D32D4" w:rsidRPr="00BE7E83">
        <w:rPr>
          <w:rFonts w:ascii="Book Antiqua" w:hAnsi="Book Antiqua" w:cs="Times New Roman"/>
          <w:b/>
          <w:bCs/>
          <w:color w:val="000000" w:themeColor="text1"/>
          <w:sz w:val="24"/>
          <w:szCs w:val="24"/>
        </w:rPr>
        <w:t>.</w:t>
      </w:r>
      <w:r w:rsidRPr="00BE7E83">
        <w:rPr>
          <w:rFonts w:ascii="Book Antiqua" w:hAnsi="Book Antiqua" w:cs="Times New Roman"/>
          <w:color w:val="000000" w:themeColor="text1"/>
          <w:sz w:val="24"/>
          <w:szCs w:val="24"/>
        </w:rPr>
        <w:t xml:space="preserve"> A</w:t>
      </w:r>
      <w:r w:rsidR="008D32D4"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Needle puncture of the intervertebral disc</w:t>
      </w:r>
      <w:r w:rsidR="00967297"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B</w:t>
      </w:r>
      <w:r w:rsidR="008D32D4"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Endplate destruction</w:t>
      </w:r>
      <w:r w:rsidR="00967297"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w:t>
      </w:r>
      <w:r w:rsidR="00005501" w:rsidRPr="00BE7E83">
        <w:rPr>
          <w:rFonts w:ascii="Book Antiqua" w:hAnsi="Book Antiqua" w:cs="Times New Roman"/>
          <w:color w:val="000000" w:themeColor="text1"/>
          <w:sz w:val="24"/>
          <w:szCs w:val="24"/>
        </w:rPr>
        <w:t xml:space="preserve">and </w:t>
      </w:r>
      <w:r w:rsidRPr="00BE7E83">
        <w:rPr>
          <w:rFonts w:ascii="Book Antiqua" w:hAnsi="Book Antiqua" w:cs="Times New Roman"/>
          <w:color w:val="000000" w:themeColor="text1"/>
          <w:sz w:val="24"/>
          <w:szCs w:val="24"/>
        </w:rPr>
        <w:t>C</w:t>
      </w:r>
      <w:r w:rsidR="008D32D4"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Molybdenum target X-ray photography in rats.</w:t>
      </w:r>
    </w:p>
    <w:p w14:paraId="5BDD3279" w14:textId="47A7A76E" w:rsidR="005B697F" w:rsidRPr="00BE7E83" w:rsidRDefault="00005501" w:rsidP="00BE7E83">
      <w:pPr>
        <w:widowControl/>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br w:type="page"/>
      </w:r>
    </w:p>
    <w:p w14:paraId="51A9DAD1" w14:textId="77777777" w:rsidR="005B697F" w:rsidRPr="00BE7E83" w:rsidRDefault="00CF5890"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noProof/>
          <w:color w:val="000000" w:themeColor="text1"/>
          <w:sz w:val="24"/>
          <w:szCs w:val="24"/>
        </w:rPr>
        <w:drawing>
          <wp:inline distT="0" distB="0" distL="0" distR="0" wp14:anchorId="5A6FA441" wp14:editId="07FD2FEA">
            <wp:extent cx="5486400" cy="2561590"/>
            <wp:effectExtent l="19050" t="0" r="0" b="0"/>
            <wp:docPr id="6" name="图片 1" descr="图 21"/>
            <wp:cNvGraphicFramePr/>
            <a:graphic xmlns:a="http://schemas.openxmlformats.org/drawingml/2006/main">
              <a:graphicData uri="http://schemas.openxmlformats.org/drawingml/2006/picture">
                <pic:pic xmlns:pic="http://schemas.openxmlformats.org/drawingml/2006/picture">
                  <pic:nvPicPr>
                    <pic:cNvPr id="3" name="图片 2" descr="图 21"/>
                    <pic:cNvPicPr>
                      <a:picLocks noChangeAspect="1"/>
                    </pic:cNvPicPr>
                  </pic:nvPicPr>
                  <pic:blipFill>
                    <a:blip r:embed="rId10" cstate="print"/>
                    <a:stretch>
                      <a:fillRect/>
                    </a:stretch>
                  </pic:blipFill>
                  <pic:spPr>
                    <a:xfrm>
                      <a:off x="0" y="0"/>
                      <a:ext cx="5486400" cy="2561590"/>
                    </a:xfrm>
                    <a:prstGeom prst="rect">
                      <a:avLst/>
                    </a:prstGeom>
                  </pic:spPr>
                </pic:pic>
              </a:graphicData>
            </a:graphic>
          </wp:inline>
        </w:drawing>
      </w:r>
    </w:p>
    <w:p w14:paraId="7CC26EFA" w14:textId="49B0A491" w:rsidR="00005501" w:rsidRPr="00BE7E83" w:rsidRDefault="00B94C78"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t>Figure 2</w:t>
      </w:r>
      <w:r w:rsidR="008D32D4" w:rsidRPr="00BE7E83">
        <w:rPr>
          <w:rFonts w:ascii="Book Antiqua" w:hAnsi="Book Antiqua" w:cs="Times New Roman"/>
          <w:b/>
          <w:color w:val="000000" w:themeColor="text1"/>
          <w:sz w:val="24"/>
          <w:szCs w:val="24"/>
        </w:rPr>
        <w:t xml:space="preserve"> </w:t>
      </w:r>
      <w:r w:rsidRPr="00BE7E83">
        <w:rPr>
          <w:rFonts w:ascii="Book Antiqua" w:hAnsi="Book Antiqua" w:cs="Times New Roman"/>
          <w:b/>
          <w:bCs/>
          <w:color w:val="000000" w:themeColor="text1"/>
          <w:sz w:val="24"/>
          <w:szCs w:val="24"/>
        </w:rPr>
        <w:t>Measurement of mean intervertebral disc space height.</w:t>
      </w:r>
    </w:p>
    <w:p w14:paraId="05AFF0AC" w14:textId="37C0D4E5" w:rsidR="005B697F" w:rsidRPr="00BE7E83" w:rsidRDefault="00005501" w:rsidP="00BE7E83">
      <w:pPr>
        <w:widowControl/>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br w:type="page"/>
      </w:r>
    </w:p>
    <w:p w14:paraId="4A2856C5" w14:textId="77777777" w:rsidR="005B697F" w:rsidRPr="00BE7E83" w:rsidRDefault="005B697F"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noProof/>
          <w:color w:val="000000" w:themeColor="text1"/>
          <w:sz w:val="24"/>
          <w:szCs w:val="24"/>
        </w:rPr>
        <w:drawing>
          <wp:inline distT="0" distB="0" distL="0" distR="0" wp14:anchorId="1723DB28" wp14:editId="559B5B61">
            <wp:extent cx="3024378" cy="2699766"/>
            <wp:effectExtent l="19050" t="0" r="4572" b="0"/>
            <wp:docPr id="3" name="图片 2"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1" cstate="print"/>
                    <a:stretch>
                      <a:fillRect/>
                    </a:stretch>
                  </pic:blipFill>
                  <pic:spPr>
                    <a:xfrm>
                      <a:off x="0" y="0"/>
                      <a:ext cx="3024378" cy="2699766"/>
                    </a:xfrm>
                    <a:prstGeom prst="rect">
                      <a:avLst/>
                    </a:prstGeom>
                  </pic:spPr>
                </pic:pic>
              </a:graphicData>
            </a:graphic>
          </wp:inline>
        </w:drawing>
      </w:r>
    </w:p>
    <w:p w14:paraId="6DDE7ACC" w14:textId="603E83A3" w:rsidR="00005501" w:rsidRPr="00BE7E83" w:rsidRDefault="00B94C78"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b/>
          <w:color w:val="000000" w:themeColor="text1"/>
          <w:sz w:val="24"/>
          <w:szCs w:val="24"/>
        </w:rPr>
        <w:t>Figure 3</w:t>
      </w:r>
      <w:r w:rsidR="008D32D4" w:rsidRPr="00BE7E83">
        <w:rPr>
          <w:rFonts w:ascii="Book Antiqua" w:hAnsi="Book Antiqua" w:cs="Times New Roman"/>
          <w:b/>
          <w:color w:val="000000" w:themeColor="text1"/>
          <w:sz w:val="24"/>
          <w:szCs w:val="24"/>
        </w:rPr>
        <w:t xml:space="preserve"> </w:t>
      </w:r>
      <w:r w:rsidRPr="00BE7E83">
        <w:rPr>
          <w:rFonts w:ascii="Book Antiqua" w:hAnsi="Book Antiqua" w:cs="Times New Roman"/>
          <w:b/>
          <w:bCs/>
          <w:color w:val="000000" w:themeColor="text1"/>
          <w:sz w:val="24"/>
          <w:szCs w:val="24"/>
        </w:rPr>
        <w:t>Imaging of the normal rat tail</w:t>
      </w:r>
      <w:r w:rsidR="008D32D4" w:rsidRPr="00BE7E83">
        <w:rPr>
          <w:rFonts w:ascii="Book Antiqua" w:hAnsi="Book Antiqua" w:cs="Times New Roman"/>
          <w:b/>
          <w:bCs/>
          <w:color w:val="000000" w:themeColor="text1"/>
          <w:sz w:val="24"/>
          <w:szCs w:val="24"/>
        </w:rPr>
        <w:t xml:space="preserve">. </w:t>
      </w:r>
      <w:r w:rsidRPr="00BE7E83">
        <w:rPr>
          <w:rFonts w:ascii="Book Antiqua" w:hAnsi="Book Antiqua" w:cs="Times New Roman"/>
          <w:color w:val="000000" w:themeColor="text1"/>
          <w:sz w:val="24"/>
          <w:szCs w:val="24"/>
        </w:rPr>
        <w:t>A</w:t>
      </w:r>
      <w:r w:rsidR="008D32D4" w:rsidRPr="00BE7E83">
        <w:rPr>
          <w:rFonts w:ascii="Book Antiqua" w:hAnsi="Book Antiqua" w:cs="Times New Roman"/>
          <w:color w:val="000000" w:themeColor="text1"/>
          <w:sz w:val="24"/>
          <w:szCs w:val="24"/>
        </w:rPr>
        <w:t xml:space="preserve">: </w:t>
      </w:r>
      <w:r w:rsidR="00E64F15" w:rsidRPr="00BE7E83">
        <w:rPr>
          <w:rFonts w:ascii="Book Antiqua" w:hAnsi="Book Antiqua" w:cs="Times New Roman"/>
          <w:color w:val="000000" w:themeColor="text1"/>
          <w:sz w:val="24"/>
          <w:szCs w:val="24"/>
        </w:rPr>
        <w:t>Magnetic resonance imaging</w:t>
      </w:r>
      <w:r w:rsidR="00967297"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B</w:t>
      </w:r>
      <w:r w:rsidR="008D32D4"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Conventional plain X-ray image</w:t>
      </w:r>
      <w:r w:rsidR="00967297" w:rsidRPr="00BE7E83">
        <w:rPr>
          <w:rFonts w:ascii="Book Antiqua" w:hAnsi="Book Antiqua" w:cs="Times New Roman"/>
          <w:color w:val="000000" w:themeColor="text1"/>
          <w:sz w:val="24"/>
          <w:szCs w:val="24"/>
        </w:rPr>
        <w:t>;</w:t>
      </w:r>
      <w:r w:rsidR="000D76B6" w:rsidRPr="00BE7E83">
        <w:rPr>
          <w:rFonts w:ascii="Book Antiqua" w:hAnsi="Book Antiqua" w:cs="Times New Roman"/>
          <w:color w:val="000000" w:themeColor="text1"/>
          <w:sz w:val="24"/>
          <w:szCs w:val="24"/>
        </w:rPr>
        <w:t xml:space="preserve"> </w:t>
      </w:r>
      <w:r w:rsidR="00005501" w:rsidRPr="00BE7E83">
        <w:rPr>
          <w:rFonts w:ascii="Book Antiqua" w:hAnsi="Book Antiqua" w:cs="Times New Roman"/>
          <w:color w:val="000000" w:themeColor="text1"/>
          <w:sz w:val="24"/>
          <w:szCs w:val="24"/>
        </w:rPr>
        <w:t xml:space="preserve">and </w:t>
      </w:r>
      <w:r w:rsidRPr="00BE7E83">
        <w:rPr>
          <w:rFonts w:ascii="Book Antiqua" w:hAnsi="Book Antiqua" w:cs="Times New Roman"/>
          <w:color w:val="000000" w:themeColor="text1"/>
          <w:sz w:val="24"/>
          <w:szCs w:val="24"/>
        </w:rPr>
        <w:t>C</w:t>
      </w:r>
      <w:r w:rsidR="008D32D4"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Molyb</w:t>
      </w:r>
      <w:r w:rsidR="00005501" w:rsidRPr="00BE7E83">
        <w:rPr>
          <w:rFonts w:ascii="Book Antiqua" w:hAnsi="Book Antiqua" w:cs="Times New Roman"/>
          <w:color w:val="000000" w:themeColor="text1"/>
          <w:sz w:val="24"/>
          <w:szCs w:val="24"/>
        </w:rPr>
        <w:t>denum target plain X-ray image.</w:t>
      </w:r>
    </w:p>
    <w:p w14:paraId="0B19D448" w14:textId="67B98AB6" w:rsidR="005B697F" w:rsidRPr="00BE7E83" w:rsidRDefault="00005501"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br w:type="page"/>
      </w:r>
    </w:p>
    <w:p w14:paraId="78F17E7B" w14:textId="77777777" w:rsidR="005B697F" w:rsidRPr="00BE7E83" w:rsidRDefault="00712246"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noProof/>
          <w:color w:val="000000" w:themeColor="text1"/>
          <w:sz w:val="24"/>
          <w:szCs w:val="24"/>
        </w:rPr>
        <w:drawing>
          <wp:inline distT="0" distB="0" distL="0" distR="0" wp14:anchorId="440D8DE0" wp14:editId="5708AAF5">
            <wp:extent cx="5274310" cy="3465830"/>
            <wp:effectExtent l="19050" t="0" r="2540" b="0"/>
            <wp:docPr id="7" name="图片 6" descr="图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 4.tif"/>
                    <pic:cNvPicPr/>
                  </pic:nvPicPr>
                  <pic:blipFill>
                    <a:blip r:embed="rId12" cstate="print"/>
                    <a:stretch>
                      <a:fillRect/>
                    </a:stretch>
                  </pic:blipFill>
                  <pic:spPr>
                    <a:xfrm>
                      <a:off x="0" y="0"/>
                      <a:ext cx="5274310" cy="3465830"/>
                    </a:xfrm>
                    <a:prstGeom prst="rect">
                      <a:avLst/>
                    </a:prstGeom>
                  </pic:spPr>
                </pic:pic>
              </a:graphicData>
            </a:graphic>
          </wp:inline>
        </w:drawing>
      </w:r>
    </w:p>
    <w:p w14:paraId="62788FA9" w14:textId="55C574A0" w:rsidR="00005501" w:rsidRPr="00BE7E83" w:rsidRDefault="00B94C78"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b/>
          <w:color w:val="000000" w:themeColor="text1"/>
          <w:sz w:val="24"/>
          <w:szCs w:val="24"/>
        </w:rPr>
        <w:t>Figure 4</w:t>
      </w:r>
      <w:r w:rsidR="008D32D4" w:rsidRPr="00BE7E83">
        <w:rPr>
          <w:rFonts w:ascii="Book Antiqua" w:hAnsi="Book Antiqua" w:cs="Times New Roman"/>
          <w:b/>
          <w:color w:val="000000" w:themeColor="text1"/>
          <w:sz w:val="24"/>
          <w:szCs w:val="24"/>
        </w:rPr>
        <w:t xml:space="preserve"> </w:t>
      </w:r>
      <w:r w:rsidRPr="00BE7E83">
        <w:rPr>
          <w:rFonts w:ascii="Book Antiqua" w:hAnsi="Book Antiqua" w:cs="Times New Roman"/>
          <w:b/>
          <w:bCs/>
          <w:color w:val="000000" w:themeColor="text1"/>
          <w:sz w:val="24"/>
          <w:szCs w:val="24"/>
        </w:rPr>
        <w:t xml:space="preserve">Imaging of the two models. </w:t>
      </w:r>
      <w:r w:rsidR="00E64F15" w:rsidRPr="00BE7E83">
        <w:rPr>
          <w:rFonts w:ascii="Book Antiqua" w:hAnsi="Book Antiqua" w:cs="Times New Roman"/>
          <w:b/>
          <w:bCs/>
          <w:color w:val="000000" w:themeColor="text1"/>
          <w:sz w:val="24"/>
          <w:szCs w:val="24"/>
        </w:rPr>
        <w:t>Magnetic resonance imaging</w:t>
      </w:r>
      <w:r w:rsidRPr="00BE7E83">
        <w:rPr>
          <w:rFonts w:ascii="Book Antiqua" w:hAnsi="Book Antiqua" w:cs="Times New Roman"/>
          <w:b/>
          <w:bCs/>
          <w:color w:val="000000" w:themeColor="text1"/>
          <w:sz w:val="24"/>
          <w:szCs w:val="24"/>
        </w:rPr>
        <w:t>, molybdenum target plain X-ray images and conventional plain X-ray images</w:t>
      </w:r>
      <w:r w:rsidR="008D32D4"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A</w:t>
      </w:r>
      <w:r w:rsidR="008D32D4" w:rsidRPr="00BE7E83">
        <w:rPr>
          <w:rFonts w:ascii="Book Antiqua" w:hAnsi="Book Antiqua" w:cs="Times New Roman"/>
          <w:color w:val="000000" w:themeColor="text1"/>
          <w:sz w:val="24"/>
          <w:szCs w:val="24"/>
        </w:rPr>
        <w:t xml:space="preserve">: </w:t>
      </w:r>
      <w:r w:rsidR="00005501" w:rsidRPr="00BE7E83">
        <w:rPr>
          <w:rFonts w:ascii="Book Antiqua" w:hAnsi="Book Antiqua" w:cs="Times New Roman"/>
          <w:color w:val="000000" w:themeColor="text1"/>
          <w:sz w:val="24"/>
          <w:szCs w:val="24"/>
        </w:rPr>
        <w:t xml:space="preserve">The </w:t>
      </w:r>
      <w:r w:rsidRPr="00BE7E83">
        <w:rPr>
          <w:rFonts w:ascii="Book Antiqua" w:hAnsi="Book Antiqua" w:cs="Times New Roman"/>
          <w:color w:val="000000" w:themeColor="text1"/>
          <w:sz w:val="24"/>
          <w:szCs w:val="24"/>
        </w:rPr>
        <w:t>needle-puncture injury-induced degeneration model</w:t>
      </w:r>
      <w:r w:rsidR="00967297" w:rsidRPr="00BE7E83">
        <w:rPr>
          <w:rFonts w:ascii="Book Antiqua" w:hAnsi="Book Antiqua" w:cs="Times New Roman"/>
          <w:color w:val="000000" w:themeColor="text1"/>
          <w:sz w:val="24"/>
          <w:szCs w:val="24"/>
        </w:rPr>
        <w:t>;</w:t>
      </w:r>
      <w:r w:rsidR="008D32D4"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B</w:t>
      </w:r>
      <w:r w:rsidR="008D32D4"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w:t>
      </w:r>
      <w:r w:rsidR="00005501" w:rsidRPr="00BE7E83">
        <w:rPr>
          <w:rFonts w:ascii="Book Antiqua" w:hAnsi="Book Antiqua" w:cs="Times New Roman"/>
          <w:color w:val="000000" w:themeColor="text1"/>
          <w:sz w:val="24"/>
          <w:szCs w:val="24"/>
        </w:rPr>
        <w:t xml:space="preserve">The </w:t>
      </w:r>
      <w:r w:rsidRPr="00BE7E83">
        <w:rPr>
          <w:rFonts w:ascii="Book Antiqua" w:hAnsi="Book Antiqua" w:cs="Times New Roman"/>
          <w:color w:val="000000" w:themeColor="text1"/>
          <w:sz w:val="24"/>
          <w:szCs w:val="24"/>
        </w:rPr>
        <w:t>endplate destruction-induced degeneration model</w:t>
      </w:r>
      <w:r w:rsidR="00967297"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C</w:t>
      </w:r>
      <w:r w:rsidR="000D76B6"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Statistics defining images of the needle-puncture injury-in</w:t>
      </w:r>
      <w:r w:rsidR="00CF5890" w:rsidRPr="00BE7E83">
        <w:rPr>
          <w:rFonts w:ascii="Book Antiqua" w:hAnsi="Book Antiqua" w:cs="Times New Roman"/>
          <w:color w:val="000000" w:themeColor="text1"/>
          <w:sz w:val="24"/>
          <w:szCs w:val="24"/>
        </w:rPr>
        <w:t>duced degeneration model (</w:t>
      </w:r>
      <w:r w:rsidR="00CF5890" w:rsidRPr="00BE7E83">
        <w:rPr>
          <w:rFonts w:ascii="Book Antiqua" w:hAnsi="Book Antiqua" w:cs="Times New Roman"/>
          <w:i/>
          <w:color w:val="000000" w:themeColor="text1"/>
          <w:sz w:val="24"/>
          <w:szCs w:val="24"/>
        </w:rPr>
        <w:t>n</w:t>
      </w:r>
      <w:r w:rsidR="000D76B6" w:rsidRPr="00BE7E83">
        <w:rPr>
          <w:rFonts w:ascii="Book Antiqua" w:hAnsi="Book Antiqua" w:cs="Times New Roman"/>
          <w:i/>
          <w:color w:val="000000" w:themeColor="text1"/>
          <w:sz w:val="24"/>
          <w:szCs w:val="24"/>
        </w:rPr>
        <w:t xml:space="preserve"> </w:t>
      </w:r>
      <w:r w:rsidR="00CF5890" w:rsidRPr="00BE7E83">
        <w:rPr>
          <w:rFonts w:ascii="Book Antiqua" w:hAnsi="Book Antiqua" w:cs="Times New Roman"/>
          <w:color w:val="000000" w:themeColor="text1"/>
          <w:sz w:val="24"/>
          <w:szCs w:val="24"/>
        </w:rPr>
        <w:t>=</w:t>
      </w:r>
      <w:r w:rsidR="000D76B6" w:rsidRPr="00BE7E83">
        <w:rPr>
          <w:rFonts w:ascii="Book Antiqua" w:hAnsi="Book Antiqua" w:cs="Times New Roman"/>
          <w:color w:val="000000" w:themeColor="text1"/>
          <w:sz w:val="24"/>
          <w:szCs w:val="24"/>
        </w:rPr>
        <w:t xml:space="preserve"> </w:t>
      </w:r>
      <w:r w:rsidR="00CF5890" w:rsidRPr="00BE7E83">
        <w:rPr>
          <w:rFonts w:ascii="Book Antiqua" w:hAnsi="Book Antiqua" w:cs="Times New Roman"/>
          <w:color w:val="000000" w:themeColor="text1"/>
          <w:sz w:val="24"/>
          <w:szCs w:val="24"/>
        </w:rPr>
        <w:t xml:space="preserve">9, </w:t>
      </w:r>
      <w:r w:rsidR="00CF5890" w:rsidRPr="00BE7E83">
        <w:rPr>
          <w:rFonts w:ascii="Book Antiqua" w:hAnsi="Book Antiqua" w:cs="Times New Roman"/>
          <w:color w:val="000000" w:themeColor="text1"/>
          <w:sz w:val="24"/>
          <w:szCs w:val="24"/>
          <w:vertAlign w:val="superscript"/>
        </w:rPr>
        <w:t>a</w:t>
      </w:r>
      <w:r w:rsidRPr="00BE7E83">
        <w:rPr>
          <w:rFonts w:ascii="Book Antiqua" w:hAnsi="Book Antiqua" w:cs="Times New Roman"/>
          <w:color w:val="000000" w:themeColor="text1"/>
          <w:sz w:val="24"/>
          <w:szCs w:val="24"/>
        </w:rPr>
        <w:t>Table 1: McNemar's test)</w:t>
      </w:r>
      <w:r w:rsidR="00967297"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w:t>
      </w:r>
      <w:r w:rsidR="00005501" w:rsidRPr="00BE7E83">
        <w:rPr>
          <w:rFonts w:ascii="Book Antiqua" w:hAnsi="Book Antiqua" w:cs="Times New Roman"/>
          <w:color w:val="000000" w:themeColor="text1"/>
          <w:sz w:val="24"/>
          <w:szCs w:val="24"/>
        </w:rPr>
        <w:t xml:space="preserve">and </w:t>
      </w:r>
      <w:r w:rsidRPr="00BE7E83">
        <w:rPr>
          <w:rFonts w:ascii="Book Antiqua" w:hAnsi="Book Antiqua" w:cs="Times New Roman"/>
          <w:color w:val="000000" w:themeColor="text1"/>
          <w:sz w:val="24"/>
          <w:szCs w:val="24"/>
        </w:rPr>
        <w:t>D</w:t>
      </w:r>
      <w:r w:rsidR="000D76B6"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Statistics defining images of the endplate destruction-ind</w:t>
      </w:r>
      <w:r w:rsidR="00CF5890" w:rsidRPr="00BE7E83">
        <w:rPr>
          <w:rFonts w:ascii="Book Antiqua" w:hAnsi="Book Antiqua" w:cs="Times New Roman"/>
          <w:color w:val="000000" w:themeColor="text1"/>
          <w:sz w:val="24"/>
          <w:szCs w:val="24"/>
        </w:rPr>
        <w:t>uced degeneration model (</w:t>
      </w:r>
      <w:r w:rsidR="00CF5890" w:rsidRPr="00BE7E83">
        <w:rPr>
          <w:rFonts w:ascii="Book Antiqua" w:hAnsi="Book Antiqua" w:cs="Times New Roman"/>
          <w:i/>
          <w:color w:val="000000" w:themeColor="text1"/>
          <w:sz w:val="24"/>
          <w:szCs w:val="24"/>
        </w:rPr>
        <w:t>n</w:t>
      </w:r>
      <w:r w:rsidR="00005501" w:rsidRPr="00BE7E83">
        <w:rPr>
          <w:rFonts w:ascii="Book Antiqua" w:hAnsi="Book Antiqua" w:cs="Times New Roman"/>
          <w:i/>
          <w:color w:val="000000" w:themeColor="text1"/>
          <w:sz w:val="24"/>
          <w:szCs w:val="24"/>
        </w:rPr>
        <w:t xml:space="preserve"> </w:t>
      </w:r>
      <w:r w:rsidR="00CF5890" w:rsidRPr="00BE7E83">
        <w:rPr>
          <w:rFonts w:ascii="Book Antiqua" w:hAnsi="Book Antiqua" w:cs="Times New Roman"/>
          <w:color w:val="000000" w:themeColor="text1"/>
          <w:sz w:val="24"/>
          <w:szCs w:val="24"/>
        </w:rPr>
        <w:t>=</w:t>
      </w:r>
      <w:r w:rsidR="00005501" w:rsidRPr="00BE7E83">
        <w:rPr>
          <w:rFonts w:ascii="Book Antiqua" w:hAnsi="Book Antiqua" w:cs="Times New Roman"/>
          <w:color w:val="000000" w:themeColor="text1"/>
          <w:sz w:val="24"/>
          <w:szCs w:val="24"/>
        </w:rPr>
        <w:t xml:space="preserve"> </w:t>
      </w:r>
      <w:r w:rsidR="00CF5890" w:rsidRPr="00BE7E83">
        <w:rPr>
          <w:rFonts w:ascii="Book Antiqua" w:hAnsi="Book Antiqua" w:cs="Times New Roman"/>
          <w:color w:val="000000" w:themeColor="text1"/>
          <w:sz w:val="24"/>
          <w:szCs w:val="24"/>
        </w:rPr>
        <w:t xml:space="preserve">10, </w:t>
      </w:r>
      <w:r w:rsidR="00CF5890" w:rsidRPr="00BE7E83">
        <w:rPr>
          <w:rFonts w:ascii="Book Antiqua" w:hAnsi="Book Antiqua" w:cs="Times New Roman"/>
          <w:color w:val="000000" w:themeColor="text1"/>
          <w:sz w:val="24"/>
          <w:szCs w:val="24"/>
          <w:vertAlign w:val="superscript"/>
        </w:rPr>
        <w:t>a</w:t>
      </w:r>
      <w:r w:rsidRPr="00BE7E83">
        <w:rPr>
          <w:rFonts w:ascii="Book Antiqua" w:hAnsi="Book Antiqua" w:cs="Times New Roman"/>
          <w:color w:val="000000" w:themeColor="text1"/>
          <w:sz w:val="24"/>
          <w:szCs w:val="24"/>
        </w:rPr>
        <w:t>Table 1: McNemar's test).</w:t>
      </w:r>
    </w:p>
    <w:p w14:paraId="1FE6011D" w14:textId="193A5449" w:rsidR="00B94C78" w:rsidRPr="00BE7E83" w:rsidRDefault="00005501"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br w:type="page"/>
      </w:r>
    </w:p>
    <w:p w14:paraId="2783FC76" w14:textId="77777777" w:rsidR="005B697F" w:rsidRPr="00BE7E83" w:rsidRDefault="005B697F"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noProof/>
          <w:color w:val="000000" w:themeColor="text1"/>
          <w:sz w:val="24"/>
          <w:szCs w:val="24"/>
        </w:rPr>
        <w:drawing>
          <wp:inline distT="0" distB="0" distL="0" distR="0" wp14:anchorId="02935804" wp14:editId="69A45137">
            <wp:extent cx="5274310" cy="2482850"/>
            <wp:effectExtent l="19050" t="0" r="2540" b="0"/>
            <wp:docPr id="5" name="图片 4"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3" cstate="print"/>
                    <a:stretch>
                      <a:fillRect/>
                    </a:stretch>
                  </pic:blipFill>
                  <pic:spPr>
                    <a:xfrm>
                      <a:off x="0" y="0"/>
                      <a:ext cx="5274310" cy="2482850"/>
                    </a:xfrm>
                    <a:prstGeom prst="rect">
                      <a:avLst/>
                    </a:prstGeom>
                  </pic:spPr>
                </pic:pic>
              </a:graphicData>
            </a:graphic>
          </wp:inline>
        </w:drawing>
      </w:r>
    </w:p>
    <w:p w14:paraId="747ECA93" w14:textId="1E71C684" w:rsidR="005B697F" w:rsidRPr="00BE7E83" w:rsidRDefault="00B94C78"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t>Figure 5</w:t>
      </w:r>
      <w:r w:rsidR="000D76B6" w:rsidRPr="00BE7E83">
        <w:rPr>
          <w:rFonts w:ascii="Book Antiqua" w:hAnsi="Book Antiqua" w:cs="Times New Roman"/>
          <w:b/>
          <w:color w:val="000000" w:themeColor="text1"/>
          <w:sz w:val="24"/>
          <w:szCs w:val="24"/>
        </w:rPr>
        <w:t xml:space="preserve"> </w:t>
      </w:r>
      <w:r w:rsidRPr="00BE7E83">
        <w:rPr>
          <w:rFonts w:ascii="Book Antiqua" w:hAnsi="Book Antiqua" w:cs="Times New Roman"/>
          <w:b/>
          <w:bCs/>
          <w:color w:val="000000" w:themeColor="text1"/>
          <w:sz w:val="24"/>
          <w:szCs w:val="24"/>
        </w:rPr>
        <w:t>Schematic diagram of molybdenum target X-ray photograph of small joints and bones in the palms and the bones and joints in the whole body of the rats.</w:t>
      </w:r>
    </w:p>
    <w:p w14:paraId="3F2E6EED" w14:textId="77777777" w:rsidR="005B697F" w:rsidRPr="00BE7E83" w:rsidRDefault="005B697F"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br w:type="page"/>
      </w:r>
    </w:p>
    <w:p w14:paraId="736247F2" w14:textId="1A1449FB" w:rsidR="005B697F" w:rsidRPr="00BE7E83" w:rsidRDefault="00005501" w:rsidP="00BE7E83">
      <w:pPr>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 xml:space="preserve">Table 1 </w:t>
      </w:r>
      <w:r w:rsidR="00961022" w:rsidRPr="00BE7E83">
        <w:rPr>
          <w:rFonts w:ascii="Book Antiqua" w:eastAsia="宋体" w:hAnsi="Book Antiqua" w:cs="Times New Roman"/>
          <w:b/>
          <w:bCs/>
          <w:color w:val="000000" w:themeColor="text1"/>
          <w:kern w:val="0"/>
          <w:sz w:val="24"/>
          <w:szCs w:val="24"/>
        </w:rPr>
        <w:t>McNemar's test results of degeneration visualized using molybdenum target X-ray photography and conventional X-ray examination (</w:t>
      </w:r>
      <w:r w:rsidR="00961022" w:rsidRPr="00BE7E83">
        <w:rPr>
          <w:rFonts w:ascii="Book Antiqua" w:eastAsia="宋体" w:hAnsi="Book Antiqua" w:cs="Times New Roman"/>
          <w:b/>
          <w:bCs/>
          <w:i/>
          <w:color w:val="000000" w:themeColor="text1"/>
          <w:kern w:val="0"/>
          <w:sz w:val="24"/>
          <w:szCs w:val="24"/>
        </w:rPr>
        <w:t>n</w:t>
      </w:r>
      <w:r w:rsidR="000D76B6" w:rsidRPr="00BE7E83">
        <w:rPr>
          <w:rFonts w:ascii="Book Antiqua" w:eastAsia="宋体" w:hAnsi="Book Antiqua" w:cs="Times New Roman"/>
          <w:b/>
          <w:bCs/>
          <w:i/>
          <w:color w:val="000000" w:themeColor="text1"/>
          <w:kern w:val="0"/>
          <w:sz w:val="24"/>
          <w:szCs w:val="24"/>
        </w:rPr>
        <w:t xml:space="preserve"> </w:t>
      </w:r>
      <w:r w:rsidR="00961022" w:rsidRPr="00BE7E83">
        <w:rPr>
          <w:rFonts w:ascii="Book Antiqua" w:eastAsia="宋体" w:hAnsi="Book Antiqua" w:cs="Times New Roman"/>
          <w:b/>
          <w:bCs/>
          <w:color w:val="000000" w:themeColor="text1"/>
          <w:kern w:val="0"/>
          <w:sz w:val="24"/>
          <w:szCs w:val="24"/>
        </w:rPr>
        <w:t>=</w:t>
      </w:r>
      <w:r w:rsidR="000D76B6" w:rsidRPr="00BE7E83">
        <w:rPr>
          <w:rFonts w:ascii="Book Antiqua" w:eastAsia="宋体" w:hAnsi="Book Antiqua" w:cs="Times New Roman"/>
          <w:b/>
          <w:bCs/>
          <w:color w:val="000000" w:themeColor="text1"/>
          <w:kern w:val="0"/>
          <w:sz w:val="24"/>
          <w:szCs w:val="24"/>
        </w:rPr>
        <w:t xml:space="preserve"> </w:t>
      </w:r>
      <w:r w:rsidR="00961022" w:rsidRPr="00BE7E83">
        <w:rPr>
          <w:rFonts w:ascii="Book Antiqua" w:eastAsia="宋体" w:hAnsi="Book Antiqua" w:cs="Times New Roman"/>
          <w:b/>
          <w:bCs/>
          <w:color w:val="000000" w:themeColor="text1"/>
          <w:kern w:val="0"/>
          <w:sz w:val="24"/>
          <w:szCs w:val="24"/>
        </w:rPr>
        <w:t>19)</w:t>
      </w:r>
    </w:p>
    <w:tbl>
      <w:tblPr>
        <w:tblW w:w="8814" w:type="dxa"/>
        <w:jc w:val="center"/>
        <w:tblBorders>
          <w:top w:val="single" w:sz="4" w:space="0" w:color="auto"/>
          <w:bottom w:val="single" w:sz="4" w:space="0" w:color="auto"/>
        </w:tblBorders>
        <w:tblLook w:val="04A0" w:firstRow="1" w:lastRow="0" w:firstColumn="1" w:lastColumn="0" w:noHBand="0" w:noVBand="1"/>
      </w:tblPr>
      <w:tblGrid>
        <w:gridCol w:w="2037"/>
        <w:gridCol w:w="1478"/>
        <w:gridCol w:w="1536"/>
        <w:gridCol w:w="2784"/>
        <w:gridCol w:w="979"/>
      </w:tblGrid>
      <w:tr w:rsidR="004A4980" w:rsidRPr="00BE7E83" w14:paraId="28D6B992" w14:textId="77777777" w:rsidTr="008E506F">
        <w:trPr>
          <w:trHeight w:val="250"/>
          <w:jc w:val="center"/>
        </w:trPr>
        <w:tc>
          <w:tcPr>
            <w:tcW w:w="2037" w:type="dxa"/>
            <w:tcBorders>
              <w:top w:val="single" w:sz="4" w:space="0" w:color="auto"/>
              <w:bottom w:val="single" w:sz="4" w:space="0" w:color="auto"/>
            </w:tcBorders>
            <w:shd w:val="clear" w:color="auto" w:fill="auto"/>
            <w:noWrap/>
            <w:vAlign w:val="center"/>
            <w:hideMark/>
          </w:tcPr>
          <w:p w14:paraId="1C6F048E" w14:textId="77777777" w:rsidR="00961022" w:rsidRPr="00BE7E83" w:rsidRDefault="00961022" w:rsidP="00BE7E83">
            <w:pPr>
              <w:widowControl/>
              <w:snapToGrid w:val="0"/>
              <w:spacing w:line="360" w:lineRule="auto"/>
              <w:rPr>
                <w:rFonts w:ascii="Book Antiqua" w:eastAsia="宋体" w:hAnsi="Book Antiqua" w:cs="Times New Roman"/>
                <w:b/>
                <w:color w:val="000000" w:themeColor="text1"/>
                <w:kern w:val="0"/>
                <w:sz w:val="24"/>
                <w:szCs w:val="24"/>
              </w:rPr>
            </w:pPr>
          </w:p>
        </w:tc>
        <w:tc>
          <w:tcPr>
            <w:tcW w:w="1478" w:type="dxa"/>
            <w:tcBorders>
              <w:top w:val="single" w:sz="4" w:space="0" w:color="auto"/>
              <w:bottom w:val="single" w:sz="4" w:space="0" w:color="auto"/>
            </w:tcBorders>
            <w:shd w:val="clear" w:color="auto" w:fill="auto"/>
            <w:noWrap/>
            <w:vAlign w:val="center"/>
            <w:hideMark/>
          </w:tcPr>
          <w:p w14:paraId="6A0E75F4" w14:textId="77777777" w:rsidR="00961022" w:rsidRPr="00BE7E83" w:rsidRDefault="00961022" w:rsidP="00BE7E83">
            <w:pPr>
              <w:widowControl/>
              <w:snapToGrid w:val="0"/>
              <w:spacing w:line="360" w:lineRule="auto"/>
              <w:rPr>
                <w:rFonts w:ascii="Book Antiqua" w:eastAsia="宋体" w:hAnsi="Book Antiqua" w:cs="Times New Roman"/>
                <w:b/>
                <w:color w:val="000000" w:themeColor="text1"/>
                <w:kern w:val="0"/>
                <w:sz w:val="24"/>
                <w:szCs w:val="24"/>
              </w:rPr>
            </w:pPr>
          </w:p>
        </w:tc>
        <w:tc>
          <w:tcPr>
            <w:tcW w:w="4320" w:type="dxa"/>
            <w:gridSpan w:val="2"/>
            <w:tcBorders>
              <w:top w:val="single" w:sz="4" w:space="0" w:color="auto"/>
              <w:bottom w:val="single" w:sz="4" w:space="0" w:color="auto"/>
            </w:tcBorders>
            <w:shd w:val="clear" w:color="auto" w:fill="auto"/>
            <w:vAlign w:val="center"/>
            <w:hideMark/>
          </w:tcPr>
          <w:p w14:paraId="47CFFE96" w14:textId="77777777" w:rsidR="00961022" w:rsidRPr="00BE7E83" w:rsidRDefault="00961022" w:rsidP="00BE7E83">
            <w:pPr>
              <w:widowControl/>
              <w:snapToGrid w:val="0"/>
              <w:spacing w:line="360" w:lineRule="auto"/>
              <w:rPr>
                <w:rFonts w:ascii="Book Antiqua" w:eastAsia="宋体" w:hAnsi="Book Antiqua" w:cs="Times New Roman"/>
                <w:b/>
                <w:color w:val="000000" w:themeColor="text1"/>
                <w:kern w:val="0"/>
                <w:sz w:val="24"/>
                <w:szCs w:val="24"/>
              </w:rPr>
            </w:pPr>
            <w:r w:rsidRPr="00BE7E83">
              <w:rPr>
                <w:rFonts w:ascii="Book Antiqua" w:eastAsia="宋体" w:hAnsi="Book Antiqua" w:cs="Times New Roman"/>
                <w:b/>
                <w:color w:val="000000" w:themeColor="text1"/>
                <w:kern w:val="0"/>
                <w:sz w:val="24"/>
                <w:szCs w:val="24"/>
              </w:rPr>
              <w:t>Molybdenum target inspection (No.)</w:t>
            </w:r>
          </w:p>
        </w:tc>
        <w:tc>
          <w:tcPr>
            <w:tcW w:w="979" w:type="dxa"/>
            <w:tcBorders>
              <w:top w:val="single" w:sz="4" w:space="0" w:color="auto"/>
              <w:bottom w:val="single" w:sz="4" w:space="0" w:color="auto"/>
            </w:tcBorders>
            <w:shd w:val="clear" w:color="auto" w:fill="auto"/>
            <w:noWrap/>
            <w:vAlign w:val="center"/>
            <w:hideMark/>
          </w:tcPr>
          <w:p w14:paraId="11669E61" w14:textId="766465B2" w:rsidR="00961022" w:rsidRPr="00BE7E83" w:rsidRDefault="00961022" w:rsidP="00BE7E83">
            <w:pPr>
              <w:widowControl/>
              <w:snapToGrid w:val="0"/>
              <w:spacing w:line="360" w:lineRule="auto"/>
              <w:rPr>
                <w:rFonts w:ascii="Book Antiqua" w:eastAsia="宋体" w:hAnsi="Book Antiqua" w:cs="Times New Roman"/>
                <w:i/>
                <w:iCs/>
                <w:color w:val="000000" w:themeColor="text1"/>
                <w:kern w:val="0"/>
                <w:sz w:val="24"/>
                <w:szCs w:val="24"/>
              </w:rPr>
            </w:pPr>
          </w:p>
        </w:tc>
      </w:tr>
      <w:tr w:rsidR="000D76B6" w:rsidRPr="00BE7E83" w14:paraId="0DC98B3B" w14:textId="77777777" w:rsidTr="009E326D">
        <w:trPr>
          <w:trHeight w:val="315"/>
          <w:jc w:val="center"/>
        </w:trPr>
        <w:tc>
          <w:tcPr>
            <w:tcW w:w="2037" w:type="dxa"/>
            <w:tcBorders>
              <w:top w:val="single" w:sz="4" w:space="0" w:color="auto"/>
            </w:tcBorders>
            <w:shd w:val="clear" w:color="auto" w:fill="auto"/>
            <w:noWrap/>
            <w:vAlign w:val="center"/>
            <w:hideMark/>
          </w:tcPr>
          <w:p w14:paraId="5099D0B5"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p>
        </w:tc>
        <w:tc>
          <w:tcPr>
            <w:tcW w:w="1478" w:type="dxa"/>
            <w:tcBorders>
              <w:top w:val="single" w:sz="4" w:space="0" w:color="auto"/>
            </w:tcBorders>
            <w:shd w:val="clear" w:color="auto" w:fill="auto"/>
            <w:noWrap/>
            <w:vAlign w:val="center"/>
            <w:hideMark/>
          </w:tcPr>
          <w:p w14:paraId="37E89236"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p>
        </w:tc>
        <w:tc>
          <w:tcPr>
            <w:tcW w:w="1536" w:type="dxa"/>
            <w:tcBorders>
              <w:top w:val="single" w:sz="4" w:space="0" w:color="auto"/>
            </w:tcBorders>
            <w:shd w:val="clear" w:color="auto" w:fill="auto"/>
            <w:noWrap/>
            <w:vAlign w:val="center"/>
            <w:hideMark/>
          </w:tcPr>
          <w:p w14:paraId="703DEF04"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Obvious</w:t>
            </w:r>
          </w:p>
        </w:tc>
        <w:tc>
          <w:tcPr>
            <w:tcW w:w="2784" w:type="dxa"/>
            <w:tcBorders>
              <w:top w:val="single" w:sz="4" w:space="0" w:color="auto"/>
            </w:tcBorders>
            <w:shd w:val="clear" w:color="auto" w:fill="auto"/>
            <w:noWrap/>
            <w:vAlign w:val="center"/>
            <w:hideMark/>
          </w:tcPr>
          <w:p w14:paraId="13075EA6"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Unobvious</w:t>
            </w:r>
          </w:p>
        </w:tc>
        <w:tc>
          <w:tcPr>
            <w:tcW w:w="979" w:type="dxa"/>
            <w:tcBorders>
              <w:top w:val="single" w:sz="4" w:space="0" w:color="auto"/>
            </w:tcBorders>
            <w:shd w:val="clear" w:color="auto" w:fill="auto"/>
            <w:vAlign w:val="center"/>
            <w:hideMark/>
          </w:tcPr>
          <w:p w14:paraId="1CC6B2E4" w14:textId="049E6729" w:rsidR="00961022" w:rsidRPr="00BE7E83" w:rsidRDefault="009E326D" w:rsidP="00BE7E83">
            <w:pPr>
              <w:widowControl/>
              <w:snapToGrid w:val="0"/>
              <w:spacing w:line="360" w:lineRule="auto"/>
              <w:rPr>
                <w:rFonts w:ascii="Book Antiqua" w:eastAsia="宋体" w:hAnsi="Book Antiqua" w:cs="Times New Roman"/>
                <w:i/>
                <w:iCs/>
                <w:color w:val="000000" w:themeColor="text1"/>
                <w:kern w:val="0"/>
                <w:sz w:val="24"/>
                <w:szCs w:val="24"/>
              </w:rPr>
            </w:pPr>
            <w:r w:rsidRPr="00BE7E83">
              <w:rPr>
                <w:rFonts w:ascii="Book Antiqua" w:eastAsia="宋体" w:hAnsi="Book Antiqua" w:cs="Times New Roman"/>
                <w:i/>
                <w:iCs/>
                <w:color w:val="000000" w:themeColor="text1"/>
                <w:kern w:val="0"/>
                <w:sz w:val="24"/>
                <w:szCs w:val="24"/>
                <w:vertAlign w:val="superscript"/>
              </w:rPr>
              <w:t>a</w:t>
            </w:r>
            <w:r w:rsidRPr="00BE7E83">
              <w:rPr>
                <w:rFonts w:ascii="Book Antiqua" w:eastAsia="宋体" w:hAnsi="Book Antiqua" w:cs="Times New Roman"/>
                <w:i/>
                <w:iCs/>
                <w:color w:val="000000" w:themeColor="text1"/>
                <w:kern w:val="0"/>
                <w:sz w:val="24"/>
                <w:szCs w:val="24"/>
              </w:rPr>
              <w:t>P</w:t>
            </w:r>
          </w:p>
        </w:tc>
      </w:tr>
      <w:tr w:rsidR="000D76B6" w:rsidRPr="00BE7E83" w14:paraId="6A3667ED" w14:textId="77777777" w:rsidTr="009E326D">
        <w:trPr>
          <w:trHeight w:val="315"/>
          <w:jc w:val="center"/>
        </w:trPr>
        <w:tc>
          <w:tcPr>
            <w:tcW w:w="2037" w:type="dxa"/>
            <w:vMerge w:val="restart"/>
            <w:shd w:val="clear" w:color="auto" w:fill="auto"/>
            <w:vAlign w:val="center"/>
            <w:hideMark/>
          </w:tcPr>
          <w:p w14:paraId="07EF04F8" w14:textId="5F77D556" w:rsidR="00961022" w:rsidRPr="00BE7E83" w:rsidRDefault="00703038" w:rsidP="00703038">
            <w:pPr>
              <w:widowControl/>
              <w:snapToGrid w:val="0"/>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w:t>
            </w:r>
            <w:r w:rsidRPr="00BE7E83">
              <w:rPr>
                <w:rFonts w:ascii="Book Antiqua" w:eastAsia="宋体" w:hAnsi="Book Antiqua" w:cs="Times New Roman"/>
                <w:color w:val="000000" w:themeColor="text1"/>
                <w:kern w:val="0"/>
                <w:sz w:val="24"/>
                <w:szCs w:val="24"/>
              </w:rPr>
              <w:t xml:space="preserve">lain </w:t>
            </w:r>
            <w:r w:rsidR="00961022" w:rsidRPr="00BE7E83">
              <w:rPr>
                <w:rFonts w:ascii="Book Antiqua" w:eastAsia="宋体" w:hAnsi="Book Antiqua" w:cs="Times New Roman"/>
                <w:color w:val="000000" w:themeColor="text1"/>
                <w:kern w:val="0"/>
                <w:sz w:val="24"/>
                <w:szCs w:val="24"/>
              </w:rPr>
              <w:t>X-ray (No.)</w:t>
            </w:r>
          </w:p>
        </w:tc>
        <w:tc>
          <w:tcPr>
            <w:tcW w:w="1478" w:type="dxa"/>
            <w:shd w:val="clear" w:color="auto" w:fill="auto"/>
            <w:noWrap/>
            <w:vAlign w:val="center"/>
            <w:hideMark/>
          </w:tcPr>
          <w:p w14:paraId="779E49D9"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Obvious</w:t>
            </w:r>
          </w:p>
        </w:tc>
        <w:tc>
          <w:tcPr>
            <w:tcW w:w="1536" w:type="dxa"/>
            <w:shd w:val="clear" w:color="auto" w:fill="auto"/>
            <w:noWrap/>
            <w:vAlign w:val="center"/>
            <w:hideMark/>
          </w:tcPr>
          <w:p w14:paraId="0E840D09"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12</w:t>
            </w:r>
          </w:p>
        </w:tc>
        <w:tc>
          <w:tcPr>
            <w:tcW w:w="2784" w:type="dxa"/>
            <w:shd w:val="clear" w:color="auto" w:fill="auto"/>
            <w:noWrap/>
            <w:vAlign w:val="center"/>
            <w:hideMark/>
          </w:tcPr>
          <w:p w14:paraId="7AF4C7D7"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0</w:t>
            </w:r>
          </w:p>
        </w:tc>
        <w:tc>
          <w:tcPr>
            <w:tcW w:w="979" w:type="dxa"/>
            <w:vMerge w:val="restart"/>
            <w:shd w:val="clear" w:color="auto" w:fill="auto"/>
            <w:vAlign w:val="center"/>
            <w:hideMark/>
          </w:tcPr>
          <w:p w14:paraId="1BA37E71"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0.031</w:t>
            </w:r>
          </w:p>
        </w:tc>
      </w:tr>
      <w:tr w:rsidR="000D76B6" w:rsidRPr="00BE7E83" w14:paraId="498DEC32" w14:textId="77777777" w:rsidTr="009E326D">
        <w:trPr>
          <w:trHeight w:val="330"/>
          <w:jc w:val="center"/>
        </w:trPr>
        <w:tc>
          <w:tcPr>
            <w:tcW w:w="2037" w:type="dxa"/>
            <w:vMerge/>
            <w:shd w:val="clear" w:color="auto" w:fill="auto"/>
            <w:vAlign w:val="center"/>
            <w:hideMark/>
          </w:tcPr>
          <w:p w14:paraId="443DD5C0"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p>
        </w:tc>
        <w:tc>
          <w:tcPr>
            <w:tcW w:w="1478" w:type="dxa"/>
            <w:shd w:val="clear" w:color="auto" w:fill="auto"/>
            <w:noWrap/>
            <w:vAlign w:val="center"/>
            <w:hideMark/>
          </w:tcPr>
          <w:p w14:paraId="133DFABF"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Unobvious</w:t>
            </w:r>
          </w:p>
        </w:tc>
        <w:tc>
          <w:tcPr>
            <w:tcW w:w="1536" w:type="dxa"/>
            <w:shd w:val="clear" w:color="auto" w:fill="auto"/>
            <w:noWrap/>
            <w:vAlign w:val="center"/>
            <w:hideMark/>
          </w:tcPr>
          <w:p w14:paraId="4BC93C9D"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6</w:t>
            </w:r>
          </w:p>
        </w:tc>
        <w:tc>
          <w:tcPr>
            <w:tcW w:w="2784" w:type="dxa"/>
            <w:shd w:val="clear" w:color="auto" w:fill="auto"/>
            <w:noWrap/>
            <w:vAlign w:val="center"/>
            <w:hideMark/>
          </w:tcPr>
          <w:p w14:paraId="02273AF7"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w:t>
            </w:r>
          </w:p>
        </w:tc>
        <w:tc>
          <w:tcPr>
            <w:tcW w:w="979" w:type="dxa"/>
            <w:vMerge/>
            <w:shd w:val="clear" w:color="auto" w:fill="auto"/>
            <w:vAlign w:val="center"/>
            <w:hideMark/>
          </w:tcPr>
          <w:p w14:paraId="360DC6BC"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p>
        </w:tc>
      </w:tr>
    </w:tbl>
    <w:p w14:paraId="64AB1919" w14:textId="1FF7895D" w:rsidR="00961022" w:rsidRPr="00BE7E83" w:rsidRDefault="00961022" w:rsidP="00BE7E83">
      <w:pPr>
        <w:snapToGrid w:val="0"/>
        <w:spacing w:line="360" w:lineRule="auto"/>
        <w:rPr>
          <w:rFonts w:ascii="Book Antiqua" w:hAnsi="Book Antiqua" w:cs="Times New Roman"/>
          <w:color w:val="000000" w:themeColor="text1"/>
          <w:sz w:val="24"/>
          <w:szCs w:val="24"/>
        </w:rPr>
      </w:pPr>
      <w:r w:rsidRPr="00BE7E83">
        <w:rPr>
          <w:rFonts w:ascii="Book Antiqua" w:eastAsia="宋体" w:hAnsi="Book Antiqua" w:cs="Times New Roman"/>
          <w:i/>
          <w:iCs/>
          <w:color w:val="000000" w:themeColor="text1"/>
          <w:kern w:val="0"/>
          <w:sz w:val="24"/>
          <w:szCs w:val="24"/>
          <w:vertAlign w:val="superscript"/>
        </w:rPr>
        <w:t>a</w:t>
      </w:r>
      <w:r w:rsidRPr="00BE7E83">
        <w:rPr>
          <w:rFonts w:ascii="Book Antiqua" w:eastAsia="宋体" w:hAnsi="Book Antiqua" w:cs="Times New Roman"/>
          <w:i/>
          <w:iCs/>
          <w:color w:val="000000" w:themeColor="text1"/>
          <w:kern w:val="0"/>
          <w:sz w:val="24"/>
          <w:szCs w:val="24"/>
        </w:rPr>
        <w:t>P</w:t>
      </w:r>
      <w:r w:rsidRPr="00BE7E83">
        <w:rPr>
          <w:rFonts w:ascii="Book Antiqua" w:eastAsia="宋体" w:hAnsi="Book Antiqua" w:cs="Times New Roman"/>
          <w:color w:val="000000" w:themeColor="text1"/>
          <w:kern w:val="0"/>
          <w:sz w:val="24"/>
          <w:szCs w:val="24"/>
        </w:rPr>
        <w:t xml:space="preserve">: McNemar's test, </w:t>
      </w:r>
      <w:r w:rsidRPr="00BE7E83">
        <w:rPr>
          <w:rFonts w:ascii="Book Antiqua" w:eastAsia="宋体" w:hAnsi="Book Antiqua" w:cs="Times New Roman"/>
          <w:i/>
          <w:iCs/>
          <w:color w:val="000000" w:themeColor="text1"/>
          <w:kern w:val="0"/>
          <w:sz w:val="24"/>
          <w:szCs w:val="24"/>
        </w:rPr>
        <w:t>P</w:t>
      </w:r>
      <w:r w:rsidR="000D76B6" w:rsidRPr="00BE7E83">
        <w:rPr>
          <w:rFonts w:ascii="Book Antiqua" w:eastAsia="宋体" w:hAnsi="Book Antiqua" w:cs="Times New Roman"/>
          <w:i/>
          <w:iCs/>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&lt;</w:t>
      </w:r>
      <w:r w:rsidR="000D76B6"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0.05</w:t>
      </w:r>
    </w:p>
    <w:p w14:paraId="12EEB33E" w14:textId="77777777" w:rsidR="005B697F" w:rsidRPr="00BE7E83" w:rsidRDefault="005B697F"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br w:type="page"/>
      </w:r>
    </w:p>
    <w:p w14:paraId="6A5F1F39" w14:textId="76F4F97A" w:rsidR="006C48C5" w:rsidRPr="00BE7E83" w:rsidRDefault="00005501" w:rsidP="00BE7E83">
      <w:pPr>
        <w:snapToGrid w:val="0"/>
        <w:spacing w:line="360" w:lineRule="auto"/>
        <w:rPr>
          <w:rFonts w:ascii="Book Antiqua" w:hAnsi="Book Antiqua" w:cs="Times New Roman"/>
          <w:color w:val="000000" w:themeColor="text1"/>
          <w:sz w:val="24"/>
          <w:szCs w:val="24"/>
        </w:rPr>
      </w:pPr>
      <w:r w:rsidRPr="00BE7E83">
        <w:rPr>
          <w:rFonts w:ascii="Book Antiqua" w:eastAsia="宋体" w:hAnsi="Book Antiqua" w:cs="Times New Roman"/>
          <w:b/>
          <w:bCs/>
          <w:color w:val="000000" w:themeColor="text1"/>
          <w:kern w:val="0"/>
          <w:sz w:val="24"/>
          <w:szCs w:val="24"/>
        </w:rPr>
        <w:t>Table 2</w:t>
      </w:r>
      <w:r w:rsidR="00961022" w:rsidRPr="00BE7E83">
        <w:rPr>
          <w:rFonts w:ascii="Book Antiqua" w:eastAsia="宋体" w:hAnsi="Book Antiqua" w:cs="Times New Roman"/>
          <w:b/>
          <w:bCs/>
          <w:color w:val="000000" w:themeColor="text1"/>
          <w:kern w:val="0"/>
          <w:sz w:val="24"/>
          <w:szCs w:val="24"/>
        </w:rPr>
        <w:t xml:space="preserve"> Measured height of space between degenerative vertebral segments in different plain X-ray images</w:t>
      </w:r>
    </w:p>
    <w:tbl>
      <w:tblPr>
        <w:tblW w:w="10183" w:type="dxa"/>
        <w:tblInd w:w="-939" w:type="dxa"/>
        <w:tblBorders>
          <w:top w:val="single" w:sz="4" w:space="0" w:color="auto"/>
          <w:bottom w:val="single" w:sz="4" w:space="0" w:color="auto"/>
        </w:tblBorders>
        <w:tblLook w:val="04A0" w:firstRow="1" w:lastRow="0" w:firstColumn="1" w:lastColumn="0" w:noHBand="0" w:noVBand="1"/>
      </w:tblPr>
      <w:tblGrid>
        <w:gridCol w:w="2062"/>
        <w:gridCol w:w="1668"/>
        <w:gridCol w:w="1505"/>
        <w:gridCol w:w="1359"/>
        <w:gridCol w:w="1418"/>
        <w:gridCol w:w="1417"/>
        <w:gridCol w:w="754"/>
      </w:tblGrid>
      <w:tr w:rsidR="004A4980" w:rsidRPr="00BE7E83" w14:paraId="0543491A" w14:textId="77777777" w:rsidTr="009E326D">
        <w:trPr>
          <w:trHeight w:val="750"/>
        </w:trPr>
        <w:tc>
          <w:tcPr>
            <w:tcW w:w="2062" w:type="dxa"/>
            <w:tcBorders>
              <w:top w:val="single" w:sz="4" w:space="0" w:color="auto"/>
              <w:bottom w:val="single" w:sz="4" w:space="0" w:color="auto"/>
            </w:tcBorders>
            <w:shd w:val="clear" w:color="auto" w:fill="auto"/>
            <w:noWrap/>
            <w:vAlign w:val="center"/>
            <w:hideMark/>
          </w:tcPr>
          <w:p w14:paraId="5E3DB568" w14:textId="77777777" w:rsidR="00961022" w:rsidRPr="00BE7E83" w:rsidRDefault="00961022" w:rsidP="00BE7E83">
            <w:pPr>
              <w:widowControl/>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 xml:space="preserve">　</w:t>
            </w:r>
          </w:p>
        </w:tc>
        <w:tc>
          <w:tcPr>
            <w:tcW w:w="1668" w:type="dxa"/>
            <w:tcBorders>
              <w:top w:val="single" w:sz="4" w:space="0" w:color="auto"/>
              <w:bottom w:val="single" w:sz="4" w:space="0" w:color="auto"/>
            </w:tcBorders>
            <w:shd w:val="clear" w:color="auto" w:fill="auto"/>
            <w:vAlign w:val="center"/>
            <w:hideMark/>
          </w:tcPr>
          <w:p w14:paraId="00653F9C" w14:textId="1836B3C3" w:rsidR="00961022" w:rsidRPr="00BE7E83" w:rsidRDefault="00005501" w:rsidP="00401E4B">
            <w:pPr>
              <w:widowControl/>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 xml:space="preserve">mean </w:t>
            </w:r>
            <w:r w:rsidR="00961022" w:rsidRPr="00BE7E83">
              <w:rPr>
                <w:rFonts w:ascii="Book Antiqua" w:eastAsia="宋体" w:hAnsi="Book Antiqua" w:cs="Times New Roman"/>
                <w:b/>
                <w:bCs/>
                <w:color w:val="000000" w:themeColor="text1"/>
                <w:kern w:val="0"/>
                <w:sz w:val="24"/>
                <w:szCs w:val="24"/>
              </w:rPr>
              <w:t>±</w:t>
            </w:r>
            <w:r w:rsidRPr="00BE7E83">
              <w:rPr>
                <w:rFonts w:ascii="Book Antiqua" w:eastAsia="宋体" w:hAnsi="Book Antiqua" w:cs="Times New Roman"/>
                <w:b/>
                <w:bCs/>
                <w:color w:val="000000" w:themeColor="text1"/>
                <w:kern w:val="0"/>
                <w:sz w:val="24"/>
                <w:szCs w:val="24"/>
              </w:rPr>
              <w:t xml:space="preserve"> </w:t>
            </w:r>
            <w:r w:rsidR="00961022" w:rsidRPr="00BE7E83">
              <w:rPr>
                <w:rFonts w:ascii="Book Antiqua" w:eastAsia="宋体" w:hAnsi="Book Antiqua" w:cs="Times New Roman"/>
                <w:b/>
                <w:bCs/>
                <w:color w:val="000000" w:themeColor="text1"/>
                <w:kern w:val="0"/>
                <w:sz w:val="24"/>
                <w:szCs w:val="24"/>
              </w:rPr>
              <w:t>SD</w:t>
            </w:r>
            <w:r w:rsidR="00401E4B">
              <w:rPr>
                <w:rFonts w:ascii="Book Antiqua" w:eastAsia="宋体" w:hAnsi="Book Antiqua" w:cs="Times New Roman"/>
                <w:b/>
                <w:bCs/>
                <w:color w:val="000000" w:themeColor="text1"/>
                <w:kern w:val="0"/>
                <w:sz w:val="24"/>
                <w:szCs w:val="24"/>
                <w:vertAlign w:val="superscript"/>
              </w:rPr>
              <w:t>1</w:t>
            </w:r>
            <w:r w:rsidRPr="00BE7E83">
              <w:rPr>
                <w:rFonts w:ascii="Book Antiqua" w:eastAsia="宋体" w:hAnsi="Book Antiqua" w:cs="Times New Roman"/>
                <w:b/>
                <w:bCs/>
                <w:color w:val="000000" w:themeColor="text1"/>
                <w:kern w:val="0"/>
                <w:sz w:val="24"/>
                <w:szCs w:val="24"/>
              </w:rPr>
              <w:t xml:space="preserve"> (</w:t>
            </w:r>
            <w:r w:rsidR="00961022" w:rsidRPr="00BE7E83">
              <w:rPr>
                <w:rFonts w:ascii="Book Antiqua" w:eastAsia="宋体" w:hAnsi="Book Antiqua" w:cs="Times New Roman"/>
                <w:b/>
                <w:bCs/>
                <w:color w:val="000000" w:themeColor="text1"/>
                <w:kern w:val="0"/>
                <w:sz w:val="24"/>
                <w:szCs w:val="24"/>
              </w:rPr>
              <w:t>mm</w:t>
            </w:r>
            <w:r w:rsidRPr="00BE7E83">
              <w:rPr>
                <w:rFonts w:ascii="Book Antiqua" w:eastAsia="宋体" w:hAnsi="Book Antiqua" w:cs="Times New Roman"/>
                <w:b/>
                <w:bCs/>
                <w:color w:val="000000" w:themeColor="text1"/>
                <w:kern w:val="0"/>
                <w:sz w:val="24"/>
                <w:szCs w:val="24"/>
              </w:rPr>
              <w:t>)</w:t>
            </w:r>
          </w:p>
        </w:tc>
        <w:tc>
          <w:tcPr>
            <w:tcW w:w="1505" w:type="dxa"/>
            <w:tcBorders>
              <w:top w:val="single" w:sz="4" w:space="0" w:color="auto"/>
              <w:bottom w:val="single" w:sz="4" w:space="0" w:color="auto"/>
            </w:tcBorders>
            <w:shd w:val="clear" w:color="auto" w:fill="auto"/>
            <w:noWrap/>
            <w:vAlign w:val="center"/>
            <w:hideMark/>
          </w:tcPr>
          <w:p w14:paraId="4745FB91" w14:textId="1DCE2226" w:rsidR="00961022" w:rsidRPr="00BE7E83" w:rsidRDefault="00005501" w:rsidP="00BE7E83">
            <w:pPr>
              <w:widowControl/>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 xml:space="preserve">Observer </w:t>
            </w:r>
            <w:r w:rsidR="00961022" w:rsidRPr="00BE7E83">
              <w:rPr>
                <w:rFonts w:ascii="Book Antiqua" w:eastAsia="宋体" w:hAnsi="Book Antiqua" w:cs="Times New Roman"/>
                <w:b/>
                <w:bCs/>
                <w:color w:val="000000" w:themeColor="text1"/>
                <w:kern w:val="0"/>
                <w:sz w:val="24"/>
                <w:szCs w:val="24"/>
              </w:rPr>
              <w:t>1</w:t>
            </w:r>
          </w:p>
        </w:tc>
        <w:tc>
          <w:tcPr>
            <w:tcW w:w="1359" w:type="dxa"/>
            <w:tcBorders>
              <w:top w:val="single" w:sz="4" w:space="0" w:color="auto"/>
              <w:bottom w:val="single" w:sz="4" w:space="0" w:color="auto"/>
            </w:tcBorders>
            <w:shd w:val="clear" w:color="auto" w:fill="auto"/>
            <w:noWrap/>
            <w:vAlign w:val="center"/>
            <w:hideMark/>
          </w:tcPr>
          <w:p w14:paraId="62D0D6D9" w14:textId="78BE3C0A" w:rsidR="00961022" w:rsidRPr="00BE7E83" w:rsidRDefault="00005501" w:rsidP="00BE7E83">
            <w:pPr>
              <w:widowControl/>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 xml:space="preserve">Observer </w:t>
            </w:r>
            <w:r w:rsidR="00961022" w:rsidRPr="00BE7E83">
              <w:rPr>
                <w:rFonts w:ascii="Book Antiqua" w:eastAsia="宋体" w:hAnsi="Book Antiqua" w:cs="Times New Roman"/>
                <w:b/>
                <w:bCs/>
                <w:color w:val="000000" w:themeColor="text1"/>
                <w:kern w:val="0"/>
                <w:sz w:val="24"/>
                <w:szCs w:val="24"/>
              </w:rPr>
              <w:t>2</w:t>
            </w:r>
          </w:p>
        </w:tc>
        <w:tc>
          <w:tcPr>
            <w:tcW w:w="1418" w:type="dxa"/>
            <w:tcBorders>
              <w:top w:val="single" w:sz="4" w:space="0" w:color="auto"/>
              <w:bottom w:val="single" w:sz="4" w:space="0" w:color="auto"/>
            </w:tcBorders>
            <w:shd w:val="clear" w:color="auto" w:fill="auto"/>
            <w:noWrap/>
            <w:vAlign w:val="center"/>
            <w:hideMark/>
          </w:tcPr>
          <w:p w14:paraId="00CF1DA6" w14:textId="5BFE92D2" w:rsidR="00961022" w:rsidRPr="00BE7E83" w:rsidRDefault="00005501" w:rsidP="00BE7E83">
            <w:pPr>
              <w:widowControl/>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 xml:space="preserve">Observer </w:t>
            </w:r>
            <w:r w:rsidR="00961022" w:rsidRPr="00BE7E83">
              <w:rPr>
                <w:rFonts w:ascii="Book Antiqua" w:eastAsia="宋体" w:hAnsi="Book Antiqua" w:cs="Times New Roman"/>
                <w:b/>
                <w:bCs/>
                <w:color w:val="000000" w:themeColor="text1"/>
                <w:kern w:val="0"/>
                <w:sz w:val="24"/>
                <w:szCs w:val="24"/>
              </w:rPr>
              <w:t>3</w:t>
            </w:r>
          </w:p>
        </w:tc>
        <w:tc>
          <w:tcPr>
            <w:tcW w:w="1417" w:type="dxa"/>
            <w:tcBorders>
              <w:top w:val="single" w:sz="4" w:space="0" w:color="auto"/>
              <w:bottom w:val="single" w:sz="4" w:space="0" w:color="auto"/>
            </w:tcBorders>
            <w:shd w:val="clear" w:color="auto" w:fill="auto"/>
            <w:noWrap/>
            <w:vAlign w:val="center"/>
            <w:hideMark/>
          </w:tcPr>
          <w:p w14:paraId="24B1227A" w14:textId="2BF62DA6" w:rsidR="00961022" w:rsidRPr="00BE7E83" w:rsidRDefault="00005501" w:rsidP="00BE7E83">
            <w:pPr>
              <w:widowControl/>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 xml:space="preserve">Observer </w:t>
            </w:r>
            <w:r w:rsidR="00961022" w:rsidRPr="00BE7E83">
              <w:rPr>
                <w:rFonts w:ascii="Book Antiqua" w:eastAsia="宋体" w:hAnsi="Book Antiqua" w:cs="Times New Roman"/>
                <w:b/>
                <w:bCs/>
                <w:color w:val="000000" w:themeColor="text1"/>
                <w:kern w:val="0"/>
                <w:sz w:val="24"/>
                <w:szCs w:val="24"/>
              </w:rPr>
              <w:t>4</w:t>
            </w:r>
          </w:p>
        </w:tc>
        <w:tc>
          <w:tcPr>
            <w:tcW w:w="754" w:type="dxa"/>
            <w:tcBorders>
              <w:top w:val="single" w:sz="4" w:space="0" w:color="auto"/>
              <w:bottom w:val="single" w:sz="4" w:space="0" w:color="auto"/>
            </w:tcBorders>
            <w:shd w:val="clear" w:color="auto" w:fill="auto"/>
            <w:noWrap/>
            <w:vAlign w:val="center"/>
            <w:hideMark/>
          </w:tcPr>
          <w:p w14:paraId="3A846C80" w14:textId="089266AC" w:rsidR="00961022" w:rsidRPr="00BE7E83" w:rsidRDefault="00961022" w:rsidP="00BE7E83">
            <w:pPr>
              <w:widowControl/>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ICC</w:t>
            </w:r>
          </w:p>
        </w:tc>
      </w:tr>
      <w:tr w:rsidR="004A4980" w:rsidRPr="00BE7E83" w14:paraId="7D21EC08" w14:textId="77777777" w:rsidTr="009E326D">
        <w:trPr>
          <w:trHeight w:val="315"/>
        </w:trPr>
        <w:tc>
          <w:tcPr>
            <w:tcW w:w="2062" w:type="dxa"/>
            <w:vMerge w:val="restart"/>
            <w:tcBorders>
              <w:top w:val="single" w:sz="4" w:space="0" w:color="auto"/>
            </w:tcBorders>
            <w:shd w:val="clear" w:color="auto" w:fill="auto"/>
            <w:vAlign w:val="center"/>
            <w:hideMark/>
          </w:tcPr>
          <w:p w14:paraId="0158171B" w14:textId="20CF91E4" w:rsidR="00961022" w:rsidRPr="00BE7E83" w:rsidRDefault="00005501"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 xml:space="preserve">Needle </w:t>
            </w:r>
            <w:r w:rsidR="00961022" w:rsidRPr="00BE7E83">
              <w:rPr>
                <w:rFonts w:ascii="Book Antiqua" w:eastAsia="宋体" w:hAnsi="Book Antiqua" w:cs="Times New Roman"/>
                <w:color w:val="000000" w:themeColor="text1"/>
                <w:kern w:val="0"/>
                <w:sz w:val="24"/>
                <w:szCs w:val="24"/>
              </w:rPr>
              <w:t>puncture model (</w:t>
            </w:r>
            <w:r w:rsidR="00961022" w:rsidRPr="00BE7E83">
              <w:rPr>
                <w:rFonts w:ascii="Book Antiqua" w:eastAsia="宋体" w:hAnsi="Book Antiqua" w:cs="Times New Roman"/>
                <w:i/>
                <w:color w:val="000000" w:themeColor="text1"/>
                <w:kern w:val="0"/>
                <w:sz w:val="24"/>
                <w:szCs w:val="24"/>
              </w:rPr>
              <w:t>n</w:t>
            </w:r>
            <w:r w:rsidRPr="00BE7E83">
              <w:rPr>
                <w:rFonts w:ascii="Book Antiqua" w:eastAsia="宋体" w:hAnsi="Book Antiqua" w:cs="Times New Roman"/>
                <w:i/>
                <w:color w:val="000000" w:themeColor="text1"/>
                <w:kern w:val="0"/>
                <w:sz w:val="24"/>
                <w:szCs w:val="24"/>
              </w:rPr>
              <w:t xml:space="preserve"> </w:t>
            </w:r>
            <w:r w:rsidR="00961022" w:rsidRPr="00BE7E83">
              <w:rPr>
                <w:rFonts w:ascii="Book Antiqua" w:eastAsia="宋体" w:hAnsi="Book Antiqua" w:cs="Times New Roman"/>
                <w:color w:val="000000" w:themeColor="text1"/>
                <w:kern w:val="0"/>
                <w:sz w:val="24"/>
                <w:szCs w:val="24"/>
              </w:rPr>
              <w:t>=</w:t>
            </w:r>
            <w:r w:rsidRPr="00BE7E83">
              <w:rPr>
                <w:rFonts w:ascii="Book Antiqua" w:eastAsia="宋体" w:hAnsi="Book Antiqua" w:cs="Times New Roman"/>
                <w:color w:val="000000" w:themeColor="text1"/>
                <w:kern w:val="0"/>
                <w:sz w:val="24"/>
                <w:szCs w:val="24"/>
              </w:rPr>
              <w:t xml:space="preserve"> </w:t>
            </w:r>
            <w:r w:rsidR="00961022" w:rsidRPr="00BE7E83">
              <w:rPr>
                <w:rFonts w:ascii="Book Antiqua" w:eastAsia="宋体" w:hAnsi="Book Antiqua" w:cs="Times New Roman"/>
                <w:color w:val="000000" w:themeColor="text1"/>
                <w:kern w:val="0"/>
                <w:sz w:val="24"/>
                <w:szCs w:val="24"/>
              </w:rPr>
              <w:t>9)</w:t>
            </w:r>
          </w:p>
        </w:tc>
        <w:tc>
          <w:tcPr>
            <w:tcW w:w="1668" w:type="dxa"/>
            <w:tcBorders>
              <w:top w:val="single" w:sz="4" w:space="0" w:color="auto"/>
            </w:tcBorders>
            <w:shd w:val="clear" w:color="auto" w:fill="auto"/>
            <w:vAlign w:val="center"/>
            <w:hideMark/>
          </w:tcPr>
          <w:p w14:paraId="2B7B242D"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X-ray</w:t>
            </w:r>
          </w:p>
        </w:tc>
        <w:tc>
          <w:tcPr>
            <w:tcW w:w="1505" w:type="dxa"/>
            <w:tcBorders>
              <w:top w:val="single" w:sz="4" w:space="0" w:color="auto"/>
            </w:tcBorders>
            <w:shd w:val="clear" w:color="auto" w:fill="auto"/>
            <w:noWrap/>
            <w:vAlign w:val="center"/>
            <w:hideMark/>
          </w:tcPr>
          <w:p w14:paraId="2E27A31F" w14:textId="322DD190"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2.0</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0.7</w:t>
            </w:r>
          </w:p>
        </w:tc>
        <w:tc>
          <w:tcPr>
            <w:tcW w:w="1359" w:type="dxa"/>
            <w:tcBorders>
              <w:top w:val="single" w:sz="4" w:space="0" w:color="auto"/>
            </w:tcBorders>
            <w:shd w:val="clear" w:color="auto" w:fill="auto"/>
            <w:noWrap/>
            <w:vAlign w:val="center"/>
            <w:hideMark/>
          </w:tcPr>
          <w:p w14:paraId="41A9BA42" w14:textId="7676B20B"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1.8</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0.5</w:t>
            </w:r>
          </w:p>
        </w:tc>
        <w:tc>
          <w:tcPr>
            <w:tcW w:w="1418" w:type="dxa"/>
            <w:tcBorders>
              <w:top w:val="single" w:sz="4" w:space="0" w:color="auto"/>
            </w:tcBorders>
            <w:shd w:val="clear" w:color="auto" w:fill="auto"/>
            <w:noWrap/>
            <w:vAlign w:val="center"/>
            <w:hideMark/>
          </w:tcPr>
          <w:p w14:paraId="275B5DF1" w14:textId="3E6F484C"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2.3</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0.2</w:t>
            </w:r>
          </w:p>
        </w:tc>
        <w:tc>
          <w:tcPr>
            <w:tcW w:w="1417" w:type="dxa"/>
            <w:tcBorders>
              <w:top w:val="single" w:sz="4" w:space="0" w:color="auto"/>
            </w:tcBorders>
            <w:shd w:val="clear" w:color="auto" w:fill="auto"/>
            <w:noWrap/>
            <w:vAlign w:val="center"/>
            <w:hideMark/>
          </w:tcPr>
          <w:p w14:paraId="772FAE2E" w14:textId="73142C5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1.6</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0.4</w:t>
            </w:r>
          </w:p>
        </w:tc>
        <w:tc>
          <w:tcPr>
            <w:tcW w:w="754" w:type="dxa"/>
            <w:tcBorders>
              <w:top w:val="single" w:sz="4" w:space="0" w:color="auto"/>
            </w:tcBorders>
            <w:shd w:val="clear" w:color="auto" w:fill="auto"/>
            <w:noWrap/>
            <w:vAlign w:val="center"/>
            <w:hideMark/>
          </w:tcPr>
          <w:p w14:paraId="7B3A0D6C"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0.41</w:t>
            </w:r>
          </w:p>
        </w:tc>
      </w:tr>
      <w:tr w:rsidR="004A4980" w:rsidRPr="00BE7E83" w14:paraId="72FBF63B" w14:textId="77777777" w:rsidTr="00BC3FE9">
        <w:trPr>
          <w:trHeight w:val="540"/>
        </w:trPr>
        <w:tc>
          <w:tcPr>
            <w:tcW w:w="2062" w:type="dxa"/>
            <w:vMerge/>
            <w:vAlign w:val="center"/>
            <w:hideMark/>
          </w:tcPr>
          <w:p w14:paraId="1968DC3B"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p>
        </w:tc>
        <w:tc>
          <w:tcPr>
            <w:tcW w:w="1668" w:type="dxa"/>
            <w:shd w:val="clear" w:color="auto" w:fill="auto"/>
            <w:vAlign w:val="center"/>
            <w:hideMark/>
          </w:tcPr>
          <w:p w14:paraId="66D57782"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Molybdenum</w:t>
            </w:r>
          </w:p>
        </w:tc>
        <w:tc>
          <w:tcPr>
            <w:tcW w:w="1505" w:type="dxa"/>
            <w:shd w:val="clear" w:color="auto" w:fill="auto"/>
            <w:noWrap/>
            <w:vAlign w:val="center"/>
            <w:hideMark/>
          </w:tcPr>
          <w:p w14:paraId="26569949" w14:textId="3A2644BD"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1.7</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0.2</w:t>
            </w:r>
          </w:p>
        </w:tc>
        <w:tc>
          <w:tcPr>
            <w:tcW w:w="1359" w:type="dxa"/>
            <w:shd w:val="clear" w:color="auto" w:fill="auto"/>
            <w:noWrap/>
            <w:vAlign w:val="center"/>
            <w:hideMark/>
          </w:tcPr>
          <w:p w14:paraId="63433DF0" w14:textId="0DB7F0F0"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1.9</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0.2</w:t>
            </w:r>
          </w:p>
        </w:tc>
        <w:tc>
          <w:tcPr>
            <w:tcW w:w="1418" w:type="dxa"/>
            <w:shd w:val="clear" w:color="auto" w:fill="auto"/>
            <w:noWrap/>
            <w:vAlign w:val="center"/>
            <w:hideMark/>
          </w:tcPr>
          <w:p w14:paraId="25AC17C6" w14:textId="2D9A294C"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1.9</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0.3</w:t>
            </w:r>
          </w:p>
        </w:tc>
        <w:tc>
          <w:tcPr>
            <w:tcW w:w="1417" w:type="dxa"/>
            <w:shd w:val="clear" w:color="auto" w:fill="auto"/>
            <w:noWrap/>
            <w:vAlign w:val="center"/>
            <w:hideMark/>
          </w:tcPr>
          <w:p w14:paraId="5618DCDF" w14:textId="63FEEB4E"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1.8</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0.1</w:t>
            </w:r>
          </w:p>
        </w:tc>
        <w:tc>
          <w:tcPr>
            <w:tcW w:w="754" w:type="dxa"/>
            <w:shd w:val="clear" w:color="auto" w:fill="auto"/>
            <w:vAlign w:val="center"/>
            <w:hideMark/>
          </w:tcPr>
          <w:p w14:paraId="12DE3DF7"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0.81</w:t>
            </w:r>
          </w:p>
        </w:tc>
      </w:tr>
      <w:tr w:rsidR="004A4980" w:rsidRPr="00BE7E83" w14:paraId="1F08B686" w14:textId="77777777" w:rsidTr="00BC3FE9">
        <w:trPr>
          <w:trHeight w:val="315"/>
        </w:trPr>
        <w:tc>
          <w:tcPr>
            <w:tcW w:w="2062" w:type="dxa"/>
            <w:vMerge w:val="restart"/>
            <w:shd w:val="clear" w:color="auto" w:fill="auto"/>
            <w:vAlign w:val="center"/>
            <w:hideMark/>
          </w:tcPr>
          <w:p w14:paraId="47223CE7" w14:textId="13401D69" w:rsidR="00961022" w:rsidRPr="00BE7E83" w:rsidRDefault="00005501" w:rsidP="00703038">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Endplate</w:t>
            </w:r>
            <w:r w:rsidR="00961022" w:rsidRPr="00BE7E83">
              <w:rPr>
                <w:rFonts w:ascii="Book Antiqua" w:eastAsia="宋体" w:hAnsi="Book Antiqua" w:cs="Times New Roman"/>
                <w:color w:val="000000" w:themeColor="text1"/>
                <w:kern w:val="0"/>
                <w:sz w:val="24"/>
                <w:szCs w:val="24"/>
              </w:rPr>
              <w:t>-injured model (</w:t>
            </w:r>
            <w:r w:rsidR="00961022" w:rsidRPr="00BE7E83">
              <w:rPr>
                <w:rFonts w:ascii="Book Antiqua" w:eastAsia="宋体" w:hAnsi="Book Antiqua" w:cs="Times New Roman"/>
                <w:i/>
                <w:color w:val="000000" w:themeColor="text1"/>
                <w:kern w:val="0"/>
                <w:sz w:val="24"/>
                <w:szCs w:val="24"/>
              </w:rPr>
              <w:t>n</w:t>
            </w:r>
            <w:r w:rsidRPr="00BE7E83">
              <w:rPr>
                <w:rFonts w:ascii="Book Antiqua" w:eastAsia="宋体" w:hAnsi="Book Antiqua" w:cs="Times New Roman"/>
                <w:i/>
                <w:color w:val="000000" w:themeColor="text1"/>
                <w:kern w:val="0"/>
                <w:sz w:val="24"/>
                <w:szCs w:val="24"/>
              </w:rPr>
              <w:t xml:space="preserve"> </w:t>
            </w:r>
            <w:r w:rsidR="00961022" w:rsidRPr="00BE7E83">
              <w:rPr>
                <w:rFonts w:ascii="Book Antiqua" w:eastAsia="宋体" w:hAnsi="Book Antiqua" w:cs="Times New Roman"/>
                <w:color w:val="000000" w:themeColor="text1"/>
                <w:kern w:val="0"/>
                <w:sz w:val="24"/>
                <w:szCs w:val="24"/>
              </w:rPr>
              <w:t>=</w:t>
            </w:r>
            <w:r w:rsidRPr="00BE7E83">
              <w:rPr>
                <w:rFonts w:ascii="Book Antiqua" w:eastAsia="宋体" w:hAnsi="Book Antiqua" w:cs="Times New Roman"/>
                <w:color w:val="000000" w:themeColor="text1"/>
                <w:kern w:val="0"/>
                <w:sz w:val="24"/>
                <w:szCs w:val="24"/>
              </w:rPr>
              <w:t xml:space="preserve"> </w:t>
            </w:r>
            <w:r w:rsidR="00961022" w:rsidRPr="00BE7E83">
              <w:rPr>
                <w:rFonts w:ascii="Book Antiqua" w:eastAsia="宋体" w:hAnsi="Book Antiqua" w:cs="Times New Roman"/>
                <w:color w:val="000000" w:themeColor="text1"/>
                <w:kern w:val="0"/>
                <w:sz w:val="24"/>
                <w:szCs w:val="24"/>
              </w:rPr>
              <w:t>10)</w:t>
            </w:r>
          </w:p>
        </w:tc>
        <w:tc>
          <w:tcPr>
            <w:tcW w:w="1668" w:type="dxa"/>
            <w:shd w:val="clear" w:color="auto" w:fill="auto"/>
            <w:vAlign w:val="center"/>
            <w:hideMark/>
          </w:tcPr>
          <w:p w14:paraId="07875359"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X-ray</w:t>
            </w:r>
          </w:p>
        </w:tc>
        <w:tc>
          <w:tcPr>
            <w:tcW w:w="1505" w:type="dxa"/>
            <w:shd w:val="clear" w:color="auto" w:fill="auto"/>
            <w:noWrap/>
            <w:vAlign w:val="center"/>
            <w:hideMark/>
          </w:tcPr>
          <w:p w14:paraId="6D95203F" w14:textId="391EA8B5"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1.7</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0.3</w:t>
            </w:r>
          </w:p>
        </w:tc>
        <w:tc>
          <w:tcPr>
            <w:tcW w:w="1359" w:type="dxa"/>
            <w:shd w:val="clear" w:color="auto" w:fill="auto"/>
            <w:noWrap/>
            <w:vAlign w:val="center"/>
            <w:hideMark/>
          </w:tcPr>
          <w:p w14:paraId="0D030375" w14:textId="561EA3C4"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2.2</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0.5</w:t>
            </w:r>
          </w:p>
        </w:tc>
        <w:tc>
          <w:tcPr>
            <w:tcW w:w="1418" w:type="dxa"/>
            <w:shd w:val="clear" w:color="auto" w:fill="auto"/>
            <w:noWrap/>
            <w:vAlign w:val="center"/>
            <w:hideMark/>
          </w:tcPr>
          <w:p w14:paraId="47A848A4" w14:textId="1112CA53"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2.6</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0.3</w:t>
            </w:r>
          </w:p>
        </w:tc>
        <w:tc>
          <w:tcPr>
            <w:tcW w:w="1417" w:type="dxa"/>
            <w:shd w:val="clear" w:color="auto" w:fill="auto"/>
            <w:noWrap/>
            <w:vAlign w:val="center"/>
            <w:hideMark/>
          </w:tcPr>
          <w:p w14:paraId="1DF78AB4" w14:textId="28A85543"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1.8</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0.1</w:t>
            </w:r>
          </w:p>
        </w:tc>
        <w:tc>
          <w:tcPr>
            <w:tcW w:w="754" w:type="dxa"/>
            <w:shd w:val="clear" w:color="auto" w:fill="auto"/>
            <w:noWrap/>
            <w:vAlign w:val="center"/>
            <w:hideMark/>
          </w:tcPr>
          <w:p w14:paraId="3C90EE09"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0.35</w:t>
            </w:r>
          </w:p>
        </w:tc>
      </w:tr>
      <w:tr w:rsidR="004A4980" w:rsidRPr="00BE7E83" w14:paraId="7F7E4436" w14:textId="77777777" w:rsidTr="00BC3FE9">
        <w:trPr>
          <w:trHeight w:val="585"/>
        </w:trPr>
        <w:tc>
          <w:tcPr>
            <w:tcW w:w="2062" w:type="dxa"/>
            <w:vMerge/>
            <w:vAlign w:val="center"/>
            <w:hideMark/>
          </w:tcPr>
          <w:p w14:paraId="2C4EF1B2"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p>
        </w:tc>
        <w:tc>
          <w:tcPr>
            <w:tcW w:w="1668" w:type="dxa"/>
            <w:shd w:val="clear" w:color="auto" w:fill="auto"/>
            <w:vAlign w:val="center"/>
            <w:hideMark/>
          </w:tcPr>
          <w:p w14:paraId="6B9B0A49"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Molybdenum</w:t>
            </w:r>
          </w:p>
        </w:tc>
        <w:tc>
          <w:tcPr>
            <w:tcW w:w="1505" w:type="dxa"/>
            <w:shd w:val="clear" w:color="auto" w:fill="auto"/>
            <w:noWrap/>
            <w:vAlign w:val="center"/>
            <w:hideMark/>
          </w:tcPr>
          <w:p w14:paraId="35E67D71" w14:textId="3B2BF0B8"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2.1</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0.1</w:t>
            </w:r>
          </w:p>
        </w:tc>
        <w:tc>
          <w:tcPr>
            <w:tcW w:w="1359" w:type="dxa"/>
            <w:shd w:val="clear" w:color="auto" w:fill="auto"/>
            <w:noWrap/>
            <w:vAlign w:val="center"/>
            <w:hideMark/>
          </w:tcPr>
          <w:p w14:paraId="666739AE" w14:textId="18B2F6FD"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1.9</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0.3</w:t>
            </w:r>
          </w:p>
        </w:tc>
        <w:tc>
          <w:tcPr>
            <w:tcW w:w="1418" w:type="dxa"/>
            <w:shd w:val="clear" w:color="auto" w:fill="auto"/>
            <w:noWrap/>
            <w:vAlign w:val="center"/>
            <w:hideMark/>
          </w:tcPr>
          <w:p w14:paraId="211CBC0D" w14:textId="0EB14DD9"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2.1</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0.1</w:t>
            </w:r>
          </w:p>
        </w:tc>
        <w:tc>
          <w:tcPr>
            <w:tcW w:w="1417" w:type="dxa"/>
            <w:shd w:val="clear" w:color="auto" w:fill="auto"/>
            <w:noWrap/>
            <w:vAlign w:val="center"/>
            <w:hideMark/>
          </w:tcPr>
          <w:p w14:paraId="66671184" w14:textId="76536571"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2.0</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0.2</w:t>
            </w:r>
          </w:p>
        </w:tc>
        <w:tc>
          <w:tcPr>
            <w:tcW w:w="754" w:type="dxa"/>
            <w:shd w:val="clear" w:color="auto" w:fill="auto"/>
            <w:noWrap/>
            <w:vAlign w:val="center"/>
            <w:hideMark/>
          </w:tcPr>
          <w:p w14:paraId="1B17EA25"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0.92</w:t>
            </w:r>
          </w:p>
        </w:tc>
      </w:tr>
    </w:tbl>
    <w:p w14:paraId="2A0BC35B" w14:textId="2791345C" w:rsidR="00232250" w:rsidRPr="00BE7E83" w:rsidRDefault="00401E4B" w:rsidP="00BE7E83">
      <w:pPr>
        <w:widowControl/>
        <w:snapToGrid w:val="0"/>
        <w:spacing w:line="360" w:lineRule="auto"/>
        <w:rPr>
          <w:rFonts w:ascii="Book Antiqua" w:hAnsi="Book Antiqua" w:cs="Times New Roman"/>
          <w:color w:val="000000" w:themeColor="text1"/>
          <w:sz w:val="24"/>
          <w:szCs w:val="24"/>
        </w:rPr>
      </w:pPr>
      <w:r>
        <w:rPr>
          <w:rFonts w:ascii="Book Antiqua" w:eastAsia="宋体" w:hAnsi="Book Antiqua" w:cs="Times New Roman"/>
          <w:color w:val="000000" w:themeColor="text1"/>
          <w:kern w:val="0"/>
          <w:sz w:val="24"/>
          <w:szCs w:val="24"/>
          <w:vertAlign w:val="superscript"/>
        </w:rPr>
        <w:t>1</w:t>
      </w:r>
      <w:r w:rsidR="00005501" w:rsidRPr="00BE7E83">
        <w:rPr>
          <w:rFonts w:ascii="Book Antiqua" w:eastAsia="宋体" w:hAnsi="Book Antiqua" w:cs="Times New Roman"/>
          <w:color w:val="000000" w:themeColor="text1"/>
          <w:kern w:val="0"/>
          <w:sz w:val="24"/>
          <w:szCs w:val="24"/>
        </w:rPr>
        <w:t xml:space="preserve">mean </w:t>
      </w:r>
      <w:r w:rsidR="00961022" w:rsidRPr="00BE7E83">
        <w:rPr>
          <w:rFonts w:ascii="Book Antiqua" w:eastAsia="宋体" w:hAnsi="Book Antiqua" w:cs="Times New Roman"/>
          <w:color w:val="000000" w:themeColor="text1"/>
          <w:kern w:val="0"/>
          <w:sz w:val="24"/>
          <w:szCs w:val="24"/>
        </w:rPr>
        <w:t>±</w:t>
      </w:r>
      <w:r w:rsidR="007E4564" w:rsidRPr="00BE7E83">
        <w:rPr>
          <w:rFonts w:ascii="Book Antiqua" w:eastAsia="宋体" w:hAnsi="Book Antiqua" w:cs="Times New Roman"/>
          <w:color w:val="000000" w:themeColor="text1"/>
          <w:kern w:val="0"/>
          <w:sz w:val="24"/>
          <w:szCs w:val="24"/>
        </w:rPr>
        <w:t xml:space="preserve"> </w:t>
      </w:r>
      <w:r w:rsidR="00961022" w:rsidRPr="00BE7E83">
        <w:rPr>
          <w:rFonts w:ascii="Book Antiqua" w:eastAsia="宋体" w:hAnsi="Book Antiqua" w:cs="Times New Roman"/>
          <w:color w:val="000000" w:themeColor="text1"/>
          <w:kern w:val="0"/>
          <w:sz w:val="24"/>
          <w:szCs w:val="24"/>
        </w:rPr>
        <w:t xml:space="preserve">SD: </w:t>
      </w:r>
      <w:r w:rsidR="00005501" w:rsidRPr="00BE7E83">
        <w:rPr>
          <w:rFonts w:ascii="Book Antiqua" w:eastAsia="宋体" w:hAnsi="Book Antiqua" w:cs="Times New Roman"/>
          <w:color w:val="000000" w:themeColor="text1"/>
          <w:kern w:val="0"/>
          <w:sz w:val="24"/>
          <w:szCs w:val="24"/>
        </w:rPr>
        <w:t xml:space="preserve">mean </w:t>
      </w:r>
      <w:r w:rsidR="00961022" w:rsidRPr="00BE7E83">
        <w:rPr>
          <w:rFonts w:ascii="Book Antiqua" w:eastAsia="宋体" w:hAnsi="Book Antiqua" w:cs="Times New Roman"/>
          <w:color w:val="000000" w:themeColor="text1"/>
          <w:kern w:val="0"/>
          <w:sz w:val="24"/>
          <w:szCs w:val="24"/>
        </w:rPr>
        <w:t>height (Figure 2) ± standard deviation. ICC: Intraclass correlation coefficient.</w:t>
      </w:r>
    </w:p>
    <w:sectPr w:rsidR="00232250" w:rsidRPr="00BE7E83" w:rsidSect="000D76B6">
      <w:headerReference w:type="default"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2AE90D" w14:textId="77777777" w:rsidR="00E8251D" w:rsidRDefault="00E8251D" w:rsidP="00B018DD">
      <w:r>
        <w:separator/>
      </w:r>
    </w:p>
  </w:endnote>
  <w:endnote w:type="continuationSeparator" w:id="0">
    <w:p w14:paraId="072A8DE3" w14:textId="77777777" w:rsidR="00E8251D" w:rsidRDefault="00E8251D" w:rsidP="00B01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690966"/>
      <w:docPartObj>
        <w:docPartGallery w:val="Page Numbers (Bottom of Page)"/>
        <w:docPartUnique/>
      </w:docPartObj>
    </w:sdtPr>
    <w:sdtEndPr/>
    <w:sdtContent>
      <w:sdt>
        <w:sdtPr>
          <w:id w:val="-1705238520"/>
          <w:docPartObj>
            <w:docPartGallery w:val="Page Numbers (Top of Page)"/>
            <w:docPartUnique/>
          </w:docPartObj>
        </w:sdtPr>
        <w:sdtEndPr/>
        <w:sdtContent>
          <w:p w14:paraId="7C3E57BA" w14:textId="05CF352B" w:rsidR="00737710" w:rsidRDefault="00737710" w:rsidP="00737710">
            <w:pPr>
              <w:pStyle w:val="a4"/>
              <w:jc w:val="right"/>
            </w:pPr>
            <w:r w:rsidRPr="00737710">
              <w:rPr>
                <w:sz w:val="24"/>
                <w:szCs w:val="24"/>
                <w:lang w:val="zh-CN"/>
              </w:rPr>
              <w:t xml:space="preserve"> </w:t>
            </w:r>
            <w:r w:rsidRPr="00737710">
              <w:rPr>
                <w:bCs/>
                <w:sz w:val="24"/>
                <w:szCs w:val="24"/>
              </w:rPr>
              <w:fldChar w:fldCharType="begin"/>
            </w:r>
            <w:r w:rsidRPr="00737710">
              <w:rPr>
                <w:bCs/>
                <w:sz w:val="24"/>
                <w:szCs w:val="24"/>
              </w:rPr>
              <w:instrText>PAGE</w:instrText>
            </w:r>
            <w:r w:rsidRPr="00737710">
              <w:rPr>
                <w:bCs/>
                <w:sz w:val="24"/>
                <w:szCs w:val="24"/>
              </w:rPr>
              <w:fldChar w:fldCharType="separate"/>
            </w:r>
            <w:r w:rsidR="00E8251D">
              <w:rPr>
                <w:bCs/>
                <w:noProof/>
                <w:sz w:val="24"/>
                <w:szCs w:val="24"/>
              </w:rPr>
              <w:t>1</w:t>
            </w:r>
            <w:r w:rsidRPr="00737710">
              <w:rPr>
                <w:bCs/>
                <w:sz w:val="24"/>
                <w:szCs w:val="24"/>
              </w:rPr>
              <w:fldChar w:fldCharType="end"/>
            </w:r>
            <w:r w:rsidRPr="00737710">
              <w:rPr>
                <w:sz w:val="24"/>
                <w:szCs w:val="24"/>
                <w:lang w:val="zh-CN"/>
              </w:rPr>
              <w:t xml:space="preserve"> / </w:t>
            </w:r>
            <w:r w:rsidRPr="00737710">
              <w:rPr>
                <w:bCs/>
                <w:sz w:val="24"/>
                <w:szCs w:val="24"/>
              </w:rPr>
              <w:fldChar w:fldCharType="begin"/>
            </w:r>
            <w:r w:rsidRPr="00737710">
              <w:rPr>
                <w:bCs/>
                <w:sz w:val="24"/>
                <w:szCs w:val="24"/>
              </w:rPr>
              <w:instrText>NUMPAGES</w:instrText>
            </w:r>
            <w:r w:rsidRPr="00737710">
              <w:rPr>
                <w:bCs/>
                <w:sz w:val="24"/>
                <w:szCs w:val="24"/>
              </w:rPr>
              <w:fldChar w:fldCharType="separate"/>
            </w:r>
            <w:r w:rsidR="00E8251D">
              <w:rPr>
                <w:bCs/>
                <w:noProof/>
                <w:sz w:val="24"/>
                <w:szCs w:val="24"/>
              </w:rPr>
              <w:t>1</w:t>
            </w:r>
            <w:r w:rsidRPr="00737710">
              <w:rPr>
                <w:bCs/>
                <w:sz w:val="24"/>
                <w:szCs w:val="24"/>
              </w:rPr>
              <w:fldChar w:fldCharType="end"/>
            </w:r>
          </w:p>
        </w:sdtContent>
      </w:sdt>
    </w:sdtContent>
  </w:sdt>
  <w:p w14:paraId="37CBF6F2" w14:textId="77777777" w:rsidR="00A11FEA" w:rsidRDefault="00A11FE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C5F15" w14:textId="77777777" w:rsidR="00E8251D" w:rsidRDefault="00E8251D" w:rsidP="00B018DD">
      <w:r>
        <w:separator/>
      </w:r>
    </w:p>
  </w:footnote>
  <w:footnote w:type="continuationSeparator" w:id="0">
    <w:p w14:paraId="5BC0C3CA" w14:textId="77777777" w:rsidR="00E8251D" w:rsidRDefault="00E8251D" w:rsidP="00B01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4E5E2" w14:textId="77777777" w:rsidR="00453BF1" w:rsidRDefault="00453BF1" w:rsidP="00737710">
    <w:pPr>
      <w:pStyle w:val="a3"/>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8DD"/>
    <w:rsid w:val="00005501"/>
    <w:rsid w:val="00011E36"/>
    <w:rsid w:val="00017C3F"/>
    <w:rsid w:val="00074866"/>
    <w:rsid w:val="000814E1"/>
    <w:rsid w:val="000B0010"/>
    <w:rsid w:val="000D76B6"/>
    <w:rsid w:val="000F0802"/>
    <w:rsid w:val="00102BC1"/>
    <w:rsid w:val="00117C0A"/>
    <w:rsid w:val="00142331"/>
    <w:rsid w:val="00151EA6"/>
    <w:rsid w:val="00155DAD"/>
    <w:rsid w:val="00173B7B"/>
    <w:rsid w:val="00174798"/>
    <w:rsid w:val="001A0E36"/>
    <w:rsid w:val="001B06A2"/>
    <w:rsid w:val="001E6C75"/>
    <w:rsid w:val="0020011A"/>
    <w:rsid w:val="0022330A"/>
    <w:rsid w:val="00232250"/>
    <w:rsid w:val="002377E9"/>
    <w:rsid w:val="00262A00"/>
    <w:rsid w:val="00265723"/>
    <w:rsid w:val="00267C4C"/>
    <w:rsid w:val="002929EF"/>
    <w:rsid w:val="00293C65"/>
    <w:rsid w:val="002D52E2"/>
    <w:rsid w:val="002E6B25"/>
    <w:rsid w:val="00322142"/>
    <w:rsid w:val="00324552"/>
    <w:rsid w:val="00324767"/>
    <w:rsid w:val="00330B7A"/>
    <w:rsid w:val="003343A3"/>
    <w:rsid w:val="003630FD"/>
    <w:rsid w:val="003B7C38"/>
    <w:rsid w:val="003E2E09"/>
    <w:rsid w:val="003E685F"/>
    <w:rsid w:val="003F6A48"/>
    <w:rsid w:val="00401D61"/>
    <w:rsid w:val="00401E4B"/>
    <w:rsid w:val="00416AEB"/>
    <w:rsid w:val="00425933"/>
    <w:rsid w:val="00453BF1"/>
    <w:rsid w:val="0046234B"/>
    <w:rsid w:val="00462EB4"/>
    <w:rsid w:val="00463A39"/>
    <w:rsid w:val="00466353"/>
    <w:rsid w:val="004A4980"/>
    <w:rsid w:val="004D3072"/>
    <w:rsid w:val="004E1718"/>
    <w:rsid w:val="00500050"/>
    <w:rsid w:val="0050359F"/>
    <w:rsid w:val="00585E9C"/>
    <w:rsid w:val="005B697F"/>
    <w:rsid w:val="005C53FA"/>
    <w:rsid w:val="005F028F"/>
    <w:rsid w:val="006847EE"/>
    <w:rsid w:val="006A035D"/>
    <w:rsid w:val="006B4233"/>
    <w:rsid w:val="006C48C5"/>
    <w:rsid w:val="00703038"/>
    <w:rsid w:val="00712246"/>
    <w:rsid w:val="00715946"/>
    <w:rsid w:val="0073616B"/>
    <w:rsid w:val="00737710"/>
    <w:rsid w:val="007A34F2"/>
    <w:rsid w:val="007A50C4"/>
    <w:rsid w:val="007B1286"/>
    <w:rsid w:val="007C206C"/>
    <w:rsid w:val="007C2EBA"/>
    <w:rsid w:val="007C43CD"/>
    <w:rsid w:val="007E00FB"/>
    <w:rsid w:val="007E412C"/>
    <w:rsid w:val="007E4564"/>
    <w:rsid w:val="00867EB3"/>
    <w:rsid w:val="00887E4D"/>
    <w:rsid w:val="00893F7D"/>
    <w:rsid w:val="008A370A"/>
    <w:rsid w:val="008C46A6"/>
    <w:rsid w:val="008D32D4"/>
    <w:rsid w:val="008E506F"/>
    <w:rsid w:val="009132D4"/>
    <w:rsid w:val="00961022"/>
    <w:rsid w:val="00967297"/>
    <w:rsid w:val="00977CE7"/>
    <w:rsid w:val="009E326D"/>
    <w:rsid w:val="009E5916"/>
    <w:rsid w:val="00A0196D"/>
    <w:rsid w:val="00A11FEA"/>
    <w:rsid w:val="00A16502"/>
    <w:rsid w:val="00A25E2B"/>
    <w:rsid w:val="00A324BD"/>
    <w:rsid w:val="00A56414"/>
    <w:rsid w:val="00A83FC3"/>
    <w:rsid w:val="00AA3B90"/>
    <w:rsid w:val="00AB1C2D"/>
    <w:rsid w:val="00AC484E"/>
    <w:rsid w:val="00AE7B07"/>
    <w:rsid w:val="00B018DD"/>
    <w:rsid w:val="00B22A7C"/>
    <w:rsid w:val="00B26A01"/>
    <w:rsid w:val="00B40A34"/>
    <w:rsid w:val="00B57982"/>
    <w:rsid w:val="00B94C78"/>
    <w:rsid w:val="00B969FB"/>
    <w:rsid w:val="00BA712B"/>
    <w:rsid w:val="00BB3B6B"/>
    <w:rsid w:val="00BC3FE9"/>
    <w:rsid w:val="00BD73CC"/>
    <w:rsid w:val="00BE7E83"/>
    <w:rsid w:val="00C13664"/>
    <w:rsid w:val="00C156D7"/>
    <w:rsid w:val="00C50B09"/>
    <w:rsid w:val="00C90F01"/>
    <w:rsid w:val="00CD1E2F"/>
    <w:rsid w:val="00CE1802"/>
    <w:rsid w:val="00CE4E9B"/>
    <w:rsid w:val="00CF0C41"/>
    <w:rsid w:val="00CF17B9"/>
    <w:rsid w:val="00CF1A91"/>
    <w:rsid w:val="00CF5890"/>
    <w:rsid w:val="00D04197"/>
    <w:rsid w:val="00D27285"/>
    <w:rsid w:val="00D903A1"/>
    <w:rsid w:val="00DA2F8F"/>
    <w:rsid w:val="00DA3B82"/>
    <w:rsid w:val="00DE4444"/>
    <w:rsid w:val="00DF0B19"/>
    <w:rsid w:val="00DF3049"/>
    <w:rsid w:val="00E10CE9"/>
    <w:rsid w:val="00E1714D"/>
    <w:rsid w:val="00E605B8"/>
    <w:rsid w:val="00E64F15"/>
    <w:rsid w:val="00E65CEA"/>
    <w:rsid w:val="00E8251D"/>
    <w:rsid w:val="00EA6F45"/>
    <w:rsid w:val="00EB380D"/>
    <w:rsid w:val="00EE0768"/>
    <w:rsid w:val="00EF3D7F"/>
    <w:rsid w:val="00F042AD"/>
    <w:rsid w:val="00F100DC"/>
    <w:rsid w:val="00F723B4"/>
    <w:rsid w:val="00FA07BE"/>
    <w:rsid w:val="00FA0E56"/>
    <w:rsid w:val="00FA5C04"/>
    <w:rsid w:val="00FC78BC"/>
    <w:rsid w:val="00FD7ECB"/>
    <w:rsid w:val="00FF3D9A"/>
    <w:rsid w:val="00FF5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A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8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018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018DD"/>
    <w:rPr>
      <w:sz w:val="18"/>
      <w:szCs w:val="18"/>
    </w:rPr>
  </w:style>
  <w:style w:type="paragraph" w:styleId="a4">
    <w:name w:val="footer"/>
    <w:basedOn w:val="a"/>
    <w:link w:val="Char0"/>
    <w:uiPriority w:val="99"/>
    <w:unhideWhenUsed/>
    <w:rsid w:val="00B018DD"/>
    <w:pPr>
      <w:tabs>
        <w:tab w:val="center" w:pos="4153"/>
        <w:tab w:val="right" w:pos="8306"/>
      </w:tabs>
      <w:snapToGrid w:val="0"/>
      <w:jc w:val="left"/>
    </w:pPr>
    <w:rPr>
      <w:sz w:val="18"/>
      <w:szCs w:val="18"/>
    </w:rPr>
  </w:style>
  <w:style w:type="character" w:customStyle="1" w:styleId="Char0">
    <w:name w:val="页脚 Char"/>
    <w:basedOn w:val="a0"/>
    <w:link w:val="a4"/>
    <w:uiPriority w:val="99"/>
    <w:rsid w:val="00B018DD"/>
    <w:rPr>
      <w:sz w:val="18"/>
      <w:szCs w:val="18"/>
    </w:rPr>
  </w:style>
  <w:style w:type="character" w:styleId="a5">
    <w:name w:val="annotation reference"/>
    <w:basedOn w:val="a0"/>
    <w:uiPriority w:val="99"/>
    <w:semiHidden/>
    <w:unhideWhenUsed/>
    <w:rsid w:val="00B018DD"/>
    <w:rPr>
      <w:sz w:val="21"/>
      <w:szCs w:val="21"/>
    </w:rPr>
  </w:style>
  <w:style w:type="paragraph" w:styleId="a6">
    <w:name w:val="annotation text"/>
    <w:basedOn w:val="a"/>
    <w:link w:val="Char1"/>
    <w:uiPriority w:val="99"/>
    <w:unhideWhenUsed/>
    <w:rsid w:val="00B018DD"/>
    <w:pPr>
      <w:jc w:val="left"/>
    </w:pPr>
  </w:style>
  <w:style w:type="character" w:customStyle="1" w:styleId="Char1">
    <w:name w:val="批注文字 Char"/>
    <w:basedOn w:val="a0"/>
    <w:link w:val="a6"/>
    <w:uiPriority w:val="99"/>
    <w:rsid w:val="00B018DD"/>
  </w:style>
  <w:style w:type="paragraph" w:styleId="a7">
    <w:name w:val="Balloon Text"/>
    <w:basedOn w:val="a"/>
    <w:link w:val="Char2"/>
    <w:uiPriority w:val="99"/>
    <w:semiHidden/>
    <w:unhideWhenUsed/>
    <w:rsid w:val="00B018DD"/>
    <w:rPr>
      <w:sz w:val="18"/>
      <w:szCs w:val="18"/>
    </w:rPr>
  </w:style>
  <w:style w:type="character" w:customStyle="1" w:styleId="Char2">
    <w:name w:val="批注框文本 Char"/>
    <w:basedOn w:val="a0"/>
    <w:link w:val="a7"/>
    <w:uiPriority w:val="99"/>
    <w:semiHidden/>
    <w:rsid w:val="00B018DD"/>
    <w:rPr>
      <w:sz w:val="18"/>
      <w:szCs w:val="18"/>
    </w:rPr>
  </w:style>
  <w:style w:type="paragraph" w:styleId="a8">
    <w:name w:val="No Spacing"/>
    <w:uiPriority w:val="1"/>
    <w:qFormat/>
    <w:rsid w:val="00B018DD"/>
    <w:pPr>
      <w:widowControl w:val="0"/>
      <w:jc w:val="both"/>
    </w:pPr>
  </w:style>
  <w:style w:type="character" w:styleId="a9">
    <w:name w:val="Hyperlink"/>
    <w:basedOn w:val="a0"/>
    <w:uiPriority w:val="99"/>
    <w:unhideWhenUsed/>
    <w:rsid w:val="007E00FB"/>
    <w:rPr>
      <w:color w:val="0000FF" w:themeColor="hyperlink"/>
      <w:u w:val="single"/>
    </w:rPr>
  </w:style>
  <w:style w:type="character" w:customStyle="1" w:styleId="1">
    <w:name w:val="未处理的提及1"/>
    <w:basedOn w:val="a0"/>
    <w:uiPriority w:val="99"/>
    <w:semiHidden/>
    <w:unhideWhenUsed/>
    <w:rsid w:val="002E6B2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8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018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018DD"/>
    <w:rPr>
      <w:sz w:val="18"/>
      <w:szCs w:val="18"/>
    </w:rPr>
  </w:style>
  <w:style w:type="paragraph" w:styleId="a4">
    <w:name w:val="footer"/>
    <w:basedOn w:val="a"/>
    <w:link w:val="Char0"/>
    <w:uiPriority w:val="99"/>
    <w:unhideWhenUsed/>
    <w:rsid w:val="00B018DD"/>
    <w:pPr>
      <w:tabs>
        <w:tab w:val="center" w:pos="4153"/>
        <w:tab w:val="right" w:pos="8306"/>
      </w:tabs>
      <w:snapToGrid w:val="0"/>
      <w:jc w:val="left"/>
    </w:pPr>
    <w:rPr>
      <w:sz w:val="18"/>
      <w:szCs w:val="18"/>
    </w:rPr>
  </w:style>
  <w:style w:type="character" w:customStyle="1" w:styleId="Char0">
    <w:name w:val="页脚 Char"/>
    <w:basedOn w:val="a0"/>
    <w:link w:val="a4"/>
    <w:uiPriority w:val="99"/>
    <w:rsid w:val="00B018DD"/>
    <w:rPr>
      <w:sz w:val="18"/>
      <w:szCs w:val="18"/>
    </w:rPr>
  </w:style>
  <w:style w:type="character" w:styleId="a5">
    <w:name w:val="annotation reference"/>
    <w:basedOn w:val="a0"/>
    <w:uiPriority w:val="99"/>
    <w:semiHidden/>
    <w:unhideWhenUsed/>
    <w:rsid w:val="00B018DD"/>
    <w:rPr>
      <w:sz w:val="21"/>
      <w:szCs w:val="21"/>
    </w:rPr>
  </w:style>
  <w:style w:type="paragraph" w:styleId="a6">
    <w:name w:val="annotation text"/>
    <w:basedOn w:val="a"/>
    <w:link w:val="Char1"/>
    <w:uiPriority w:val="99"/>
    <w:unhideWhenUsed/>
    <w:rsid w:val="00B018DD"/>
    <w:pPr>
      <w:jc w:val="left"/>
    </w:pPr>
  </w:style>
  <w:style w:type="character" w:customStyle="1" w:styleId="Char1">
    <w:name w:val="批注文字 Char"/>
    <w:basedOn w:val="a0"/>
    <w:link w:val="a6"/>
    <w:uiPriority w:val="99"/>
    <w:rsid w:val="00B018DD"/>
  </w:style>
  <w:style w:type="paragraph" w:styleId="a7">
    <w:name w:val="Balloon Text"/>
    <w:basedOn w:val="a"/>
    <w:link w:val="Char2"/>
    <w:uiPriority w:val="99"/>
    <w:semiHidden/>
    <w:unhideWhenUsed/>
    <w:rsid w:val="00B018DD"/>
    <w:rPr>
      <w:sz w:val="18"/>
      <w:szCs w:val="18"/>
    </w:rPr>
  </w:style>
  <w:style w:type="character" w:customStyle="1" w:styleId="Char2">
    <w:name w:val="批注框文本 Char"/>
    <w:basedOn w:val="a0"/>
    <w:link w:val="a7"/>
    <w:uiPriority w:val="99"/>
    <w:semiHidden/>
    <w:rsid w:val="00B018DD"/>
    <w:rPr>
      <w:sz w:val="18"/>
      <w:szCs w:val="18"/>
    </w:rPr>
  </w:style>
  <w:style w:type="paragraph" w:styleId="a8">
    <w:name w:val="No Spacing"/>
    <w:uiPriority w:val="1"/>
    <w:qFormat/>
    <w:rsid w:val="00B018DD"/>
    <w:pPr>
      <w:widowControl w:val="0"/>
      <w:jc w:val="both"/>
    </w:pPr>
  </w:style>
  <w:style w:type="character" w:styleId="a9">
    <w:name w:val="Hyperlink"/>
    <w:basedOn w:val="a0"/>
    <w:uiPriority w:val="99"/>
    <w:unhideWhenUsed/>
    <w:rsid w:val="007E00FB"/>
    <w:rPr>
      <w:color w:val="0000FF" w:themeColor="hyperlink"/>
      <w:u w:val="single"/>
    </w:rPr>
  </w:style>
  <w:style w:type="character" w:customStyle="1" w:styleId="1">
    <w:name w:val="未处理的提及1"/>
    <w:basedOn w:val="a0"/>
    <w:uiPriority w:val="99"/>
    <w:semiHidden/>
    <w:unhideWhenUsed/>
    <w:rsid w:val="002E6B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2593">
      <w:bodyDiv w:val="1"/>
      <w:marLeft w:val="0"/>
      <w:marRight w:val="0"/>
      <w:marTop w:val="0"/>
      <w:marBottom w:val="0"/>
      <w:divBdr>
        <w:top w:val="none" w:sz="0" w:space="0" w:color="auto"/>
        <w:left w:val="none" w:sz="0" w:space="0" w:color="auto"/>
        <w:bottom w:val="none" w:sz="0" w:space="0" w:color="auto"/>
        <w:right w:val="none" w:sz="0" w:space="0" w:color="auto"/>
      </w:divBdr>
    </w:div>
    <w:div w:id="121847481">
      <w:bodyDiv w:val="1"/>
      <w:marLeft w:val="0"/>
      <w:marRight w:val="0"/>
      <w:marTop w:val="0"/>
      <w:marBottom w:val="0"/>
      <w:divBdr>
        <w:top w:val="none" w:sz="0" w:space="0" w:color="auto"/>
        <w:left w:val="none" w:sz="0" w:space="0" w:color="auto"/>
        <w:bottom w:val="none" w:sz="0" w:space="0" w:color="auto"/>
        <w:right w:val="none" w:sz="0" w:space="0" w:color="auto"/>
      </w:divBdr>
    </w:div>
    <w:div w:id="181169029">
      <w:bodyDiv w:val="1"/>
      <w:marLeft w:val="0"/>
      <w:marRight w:val="0"/>
      <w:marTop w:val="0"/>
      <w:marBottom w:val="0"/>
      <w:divBdr>
        <w:top w:val="none" w:sz="0" w:space="0" w:color="auto"/>
        <w:left w:val="none" w:sz="0" w:space="0" w:color="auto"/>
        <w:bottom w:val="none" w:sz="0" w:space="0" w:color="auto"/>
        <w:right w:val="none" w:sz="0" w:space="0" w:color="auto"/>
      </w:divBdr>
    </w:div>
    <w:div w:id="201985158">
      <w:bodyDiv w:val="1"/>
      <w:marLeft w:val="0"/>
      <w:marRight w:val="0"/>
      <w:marTop w:val="0"/>
      <w:marBottom w:val="0"/>
      <w:divBdr>
        <w:top w:val="none" w:sz="0" w:space="0" w:color="auto"/>
        <w:left w:val="none" w:sz="0" w:space="0" w:color="auto"/>
        <w:bottom w:val="none" w:sz="0" w:space="0" w:color="auto"/>
        <w:right w:val="none" w:sz="0" w:space="0" w:color="auto"/>
      </w:divBdr>
    </w:div>
    <w:div w:id="251472614">
      <w:bodyDiv w:val="1"/>
      <w:marLeft w:val="0"/>
      <w:marRight w:val="0"/>
      <w:marTop w:val="0"/>
      <w:marBottom w:val="0"/>
      <w:divBdr>
        <w:top w:val="none" w:sz="0" w:space="0" w:color="auto"/>
        <w:left w:val="none" w:sz="0" w:space="0" w:color="auto"/>
        <w:bottom w:val="none" w:sz="0" w:space="0" w:color="auto"/>
        <w:right w:val="none" w:sz="0" w:space="0" w:color="auto"/>
      </w:divBdr>
    </w:div>
    <w:div w:id="264073389">
      <w:bodyDiv w:val="1"/>
      <w:marLeft w:val="0"/>
      <w:marRight w:val="0"/>
      <w:marTop w:val="0"/>
      <w:marBottom w:val="0"/>
      <w:divBdr>
        <w:top w:val="none" w:sz="0" w:space="0" w:color="auto"/>
        <w:left w:val="none" w:sz="0" w:space="0" w:color="auto"/>
        <w:bottom w:val="none" w:sz="0" w:space="0" w:color="auto"/>
        <w:right w:val="none" w:sz="0" w:space="0" w:color="auto"/>
      </w:divBdr>
    </w:div>
    <w:div w:id="271405841">
      <w:bodyDiv w:val="1"/>
      <w:marLeft w:val="0"/>
      <w:marRight w:val="0"/>
      <w:marTop w:val="0"/>
      <w:marBottom w:val="0"/>
      <w:divBdr>
        <w:top w:val="none" w:sz="0" w:space="0" w:color="auto"/>
        <w:left w:val="none" w:sz="0" w:space="0" w:color="auto"/>
        <w:bottom w:val="none" w:sz="0" w:space="0" w:color="auto"/>
        <w:right w:val="none" w:sz="0" w:space="0" w:color="auto"/>
      </w:divBdr>
    </w:div>
    <w:div w:id="321740008">
      <w:bodyDiv w:val="1"/>
      <w:marLeft w:val="0"/>
      <w:marRight w:val="0"/>
      <w:marTop w:val="0"/>
      <w:marBottom w:val="0"/>
      <w:divBdr>
        <w:top w:val="none" w:sz="0" w:space="0" w:color="auto"/>
        <w:left w:val="none" w:sz="0" w:space="0" w:color="auto"/>
        <w:bottom w:val="none" w:sz="0" w:space="0" w:color="auto"/>
        <w:right w:val="none" w:sz="0" w:space="0" w:color="auto"/>
      </w:divBdr>
    </w:div>
    <w:div w:id="355236818">
      <w:bodyDiv w:val="1"/>
      <w:marLeft w:val="0"/>
      <w:marRight w:val="0"/>
      <w:marTop w:val="0"/>
      <w:marBottom w:val="0"/>
      <w:divBdr>
        <w:top w:val="none" w:sz="0" w:space="0" w:color="auto"/>
        <w:left w:val="none" w:sz="0" w:space="0" w:color="auto"/>
        <w:bottom w:val="none" w:sz="0" w:space="0" w:color="auto"/>
        <w:right w:val="none" w:sz="0" w:space="0" w:color="auto"/>
      </w:divBdr>
    </w:div>
    <w:div w:id="403383055">
      <w:bodyDiv w:val="1"/>
      <w:marLeft w:val="0"/>
      <w:marRight w:val="0"/>
      <w:marTop w:val="0"/>
      <w:marBottom w:val="0"/>
      <w:divBdr>
        <w:top w:val="none" w:sz="0" w:space="0" w:color="auto"/>
        <w:left w:val="none" w:sz="0" w:space="0" w:color="auto"/>
        <w:bottom w:val="none" w:sz="0" w:space="0" w:color="auto"/>
        <w:right w:val="none" w:sz="0" w:space="0" w:color="auto"/>
      </w:divBdr>
    </w:div>
    <w:div w:id="472797289">
      <w:bodyDiv w:val="1"/>
      <w:marLeft w:val="0"/>
      <w:marRight w:val="0"/>
      <w:marTop w:val="0"/>
      <w:marBottom w:val="0"/>
      <w:divBdr>
        <w:top w:val="none" w:sz="0" w:space="0" w:color="auto"/>
        <w:left w:val="none" w:sz="0" w:space="0" w:color="auto"/>
        <w:bottom w:val="none" w:sz="0" w:space="0" w:color="auto"/>
        <w:right w:val="none" w:sz="0" w:space="0" w:color="auto"/>
      </w:divBdr>
    </w:div>
    <w:div w:id="514538914">
      <w:bodyDiv w:val="1"/>
      <w:marLeft w:val="0"/>
      <w:marRight w:val="0"/>
      <w:marTop w:val="0"/>
      <w:marBottom w:val="0"/>
      <w:divBdr>
        <w:top w:val="none" w:sz="0" w:space="0" w:color="auto"/>
        <w:left w:val="none" w:sz="0" w:space="0" w:color="auto"/>
        <w:bottom w:val="none" w:sz="0" w:space="0" w:color="auto"/>
        <w:right w:val="none" w:sz="0" w:space="0" w:color="auto"/>
      </w:divBdr>
    </w:div>
    <w:div w:id="578949020">
      <w:bodyDiv w:val="1"/>
      <w:marLeft w:val="0"/>
      <w:marRight w:val="0"/>
      <w:marTop w:val="0"/>
      <w:marBottom w:val="0"/>
      <w:divBdr>
        <w:top w:val="none" w:sz="0" w:space="0" w:color="auto"/>
        <w:left w:val="none" w:sz="0" w:space="0" w:color="auto"/>
        <w:bottom w:val="none" w:sz="0" w:space="0" w:color="auto"/>
        <w:right w:val="none" w:sz="0" w:space="0" w:color="auto"/>
      </w:divBdr>
    </w:div>
    <w:div w:id="694885951">
      <w:bodyDiv w:val="1"/>
      <w:marLeft w:val="0"/>
      <w:marRight w:val="0"/>
      <w:marTop w:val="0"/>
      <w:marBottom w:val="0"/>
      <w:divBdr>
        <w:top w:val="none" w:sz="0" w:space="0" w:color="auto"/>
        <w:left w:val="none" w:sz="0" w:space="0" w:color="auto"/>
        <w:bottom w:val="none" w:sz="0" w:space="0" w:color="auto"/>
        <w:right w:val="none" w:sz="0" w:space="0" w:color="auto"/>
      </w:divBdr>
    </w:div>
    <w:div w:id="695040765">
      <w:bodyDiv w:val="1"/>
      <w:marLeft w:val="0"/>
      <w:marRight w:val="0"/>
      <w:marTop w:val="0"/>
      <w:marBottom w:val="0"/>
      <w:divBdr>
        <w:top w:val="none" w:sz="0" w:space="0" w:color="auto"/>
        <w:left w:val="none" w:sz="0" w:space="0" w:color="auto"/>
        <w:bottom w:val="none" w:sz="0" w:space="0" w:color="auto"/>
        <w:right w:val="none" w:sz="0" w:space="0" w:color="auto"/>
      </w:divBdr>
    </w:div>
    <w:div w:id="737435566">
      <w:bodyDiv w:val="1"/>
      <w:marLeft w:val="0"/>
      <w:marRight w:val="0"/>
      <w:marTop w:val="0"/>
      <w:marBottom w:val="0"/>
      <w:divBdr>
        <w:top w:val="none" w:sz="0" w:space="0" w:color="auto"/>
        <w:left w:val="none" w:sz="0" w:space="0" w:color="auto"/>
        <w:bottom w:val="none" w:sz="0" w:space="0" w:color="auto"/>
        <w:right w:val="none" w:sz="0" w:space="0" w:color="auto"/>
      </w:divBdr>
    </w:div>
    <w:div w:id="741172657">
      <w:bodyDiv w:val="1"/>
      <w:marLeft w:val="0"/>
      <w:marRight w:val="0"/>
      <w:marTop w:val="0"/>
      <w:marBottom w:val="0"/>
      <w:divBdr>
        <w:top w:val="none" w:sz="0" w:space="0" w:color="auto"/>
        <w:left w:val="none" w:sz="0" w:space="0" w:color="auto"/>
        <w:bottom w:val="none" w:sz="0" w:space="0" w:color="auto"/>
        <w:right w:val="none" w:sz="0" w:space="0" w:color="auto"/>
      </w:divBdr>
    </w:div>
    <w:div w:id="754328962">
      <w:bodyDiv w:val="1"/>
      <w:marLeft w:val="0"/>
      <w:marRight w:val="0"/>
      <w:marTop w:val="0"/>
      <w:marBottom w:val="0"/>
      <w:divBdr>
        <w:top w:val="none" w:sz="0" w:space="0" w:color="auto"/>
        <w:left w:val="none" w:sz="0" w:space="0" w:color="auto"/>
        <w:bottom w:val="none" w:sz="0" w:space="0" w:color="auto"/>
        <w:right w:val="none" w:sz="0" w:space="0" w:color="auto"/>
      </w:divBdr>
    </w:div>
    <w:div w:id="796218974">
      <w:bodyDiv w:val="1"/>
      <w:marLeft w:val="0"/>
      <w:marRight w:val="0"/>
      <w:marTop w:val="0"/>
      <w:marBottom w:val="0"/>
      <w:divBdr>
        <w:top w:val="none" w:sz="0" w:space="0" w:color="auto"/>
        <w:left w:val="none" w:sz="0" w:space="0" w:color="auto"/>
        <w:bottom w:val="none" w:sz="0" w:space="0" w:color="auto"/>
        <w:right w:val="none" w:sz="0" w:space="0" w:color="auto"/>
      </w:divBdr>
    </w:div>
    <w:div w:id="823014255">
      <w:bodyDiv w:val="1"/>
      <w:marLeft w:val="0"/>
      <w:marRight w:val="0"/>
      <w:marTop w:val="0"/>
      <w:marBottom w:val="0"/>
      <w:divBdr>
        <w:top w:val="none" w:sz="0" w:space="0" w:color="auto"/>
        <w:left w:val="none" w:sz="0" w:space="0" w:color="auto"/>
        <w:bottom w:val="none" w:sz="0" w:space="0" w:color="auto"/>
        <w:right w:val="none" w:sz="0" w:space="0" w:color="auto"/>
      </w:divBdr>
    </w:div>
    <w:div w:id="860977725">
      <w:bodyDiv w:val="1"/>
      <w:marLeft w:val="0"/>
      <w:marRight w:val="0"/>
      <w:marTop w:val="0"/>
      <w:marBottom w:val="0"/>
      <w:divBdr>
        <w:top w:val="none" w:sz="0" w:space="0" w:color="auto"/>
        <w:left w:val="none" w:sz="0" w:space="0" w:color="auto"/>
        <w:bottom w:val="none" w:sz="0" w:space="0" w:color="auto"/>
        <w:right w:val="none" w:sz="0" w:space="0" w:color="auto"/>
      </w:divBdr>
    </w:div>
    <w:div w:id="863322258">
      <w:bodyDiv w:val="1"/>
      <w:marLeft w:val="0"/>
      <w:marRight w:val="0"/>
      <w:marTop w:val="0"/>
      <w:marBottom w:val="0"/>
      <w:divBdr>
        <w:top w:val="none" w:sz="0" w:space="0" w:color="auto"/>
        <w:left w:val="none" w:sz="0" w:space="0" w:color="auto"/>
        <w:bottom w:val="none" w:sz="0" w:space="0" w:color="auto"/>
        <w:right w:val="none" w:sz="0" w:space="0" w:color="auto"/>
      </w:divBdr>
    </w:div>
    <w:div w:id="868226925">
      <w:bodyDiv w:val="1"/>
      <w:marLeft w:val="0"/>
      <w:marRight w:val="0"/>
      <w:marTop w:val="0"/>
      <w:marBottom w:val="0"/>
      <w:divBdr>
        <w:top w:val="none" w:sz="0" w:space="0" w:color="auto"/>
        <w:left w:val="none" w:sz="0" w:space="0" w:color="auto"/>
        <w:bottom w:val="none" w:sz="0" w:space="0" w:color="auto"/>
        <w:right w:val="none" w:sz="0" w:space="0" w:color="auto"/>
      </w:divBdr>
    </w:div>
    <w:div w:id="919287217">
      <w:bodyDiv w:val="1"/>
      <w:marLeft w:val="0"/>
      <w:marRight w:val="0"/>
      <w:marTop w:val="0"/>
      <w:marBottom w:val="0"/>
      <w:divBdr>
        <w:top w:val="none" w:sz="0" w:space="0" w:color="auto"/>
        <w:left w:val="none" w:sz="0" w:space="0" w:color="auto"/>
        <w:bottom w:val="none" w:sz="0" w:space="0" w:color="auto"/>
        <w:right w:val="none" w:sz="0" w:space="0" w:color="auto"/>
      </w:divBdr>
    </w:div>
    <w:div w:id="949825070">
      <w:bodyDiv w:val="1"/>
      <w:marLeft w:val="0"/>
      <w:marRight w:val="0"/>
      <w:marTop w:val="0"/>
      <w:marBottom w:val="0"/>
      <w:divBdr>
        <w:top w:val="none" w:sz="0" w:space="0" w:color="auto"/>
        <w:left w:val="none" w:sz="0" w:space="0" w:color="auto"/>
        <w:bottom w:val="none" w:sz="0" w:space="0" w:color="auto"/>
        <w:right w:val="none" w:sz="0" w:space="0" w:color="auto"/>
      </w:divBdr>
    </w:div>
    <w:div w:id="990594759">
      <w:bodyDiv w:val="1"/>
      <w:marLeft w:val="0"/>
      <w:marRight w:val="0"/>
      <w:marTop w:val="0"/>
      <w:marBottom w:val="0"/>
      <w:divBdr>
        <w:top w:val="none" w:sz="0" w:space="0" w:color="auto"/>
        <w:left w:val="none" w:sz="0" w:space="0" w:color="auto"/>
        <w:bottom w:val="none" w:sz="0" w:space="0" w:color="auto"/>
        <w:right w:val="none" w:sz="0" w:space="0" w:color="auto"/>
      </w:divBdr>
    </w:div>
    <w:div w:id="1048531242">
      <w:bodyDiv w:val="1"/>
      <w:marLeft w:val="0"/>
      <w:marRight w:val="0"/>
      <w:marTop w:val="0"/>
      <w:marBottom w:val="0"/>
      <w:divBdr>
        <w:top w:val="none" w:sz="0" w:space="0" w:color="auto"/>
        <w:left w:val="none" w:sz="0" w:space="0" w:color="auto"/>
        <w:bottom w:val="none" w:sz="0" w:space="0" w:color="auto"/>
        <w:right w:val="none" w:sz="0" w:space="0" w:color="auto"/>
      </w:divBdr>
    </w:div>
    <w:div w:id="1099058856">
      <w:bodyDiv w:val="1"/>
      <w:marLeft w:val="0"/>
      <w:marRight w:val="0"/>
      <w:marTop w:val="0"/>
      <w:marBottom w:val="0"/>
      <w:divBdr>
        <w:top w:val="none" w:sz="0" w:space="0" w:color="auto"/>
        <w:left w:val="none" w:sz="0" w:space="0" w:color="auto"/>
        <w:bottom w:val="none" w:sz="0" w:space="0" w:color="auto"/>
        <w:right w:val="none" w:sz="0" w:space="0" w:color="auto"/>
      </w:divBdr>
    </w:div>
    <w:div w:id="1198275742">
      <w:bodyDiv w:val="1"/>
      <w:marLeft w:val="0"/>
      <w:marRight w:val="0"/>
      <w:marTop w:val="0"/>
      <w:marBottom w:val="0"/>
      <w:divBdr>
        <w:top w:val="none" w:sz="0" w:space="0" w:color="auto"/>
        <w:left w:val="none" w:sz="0" w:space="0" w:color="auto"/>
        <w:bottom w:val="none" w:sz="0" w:space="0" w:color="auto"/>
        <w:right w:val="none" w:sz="0" w:space="0" w:color="auto"/>
      </w:divBdr>
    </w:div>
    <w:div w:id="1218198551">
      <w:bodyDiv w:val="1"/>
      <w:marLeft w:val="0"/>
      <w:marRight w:val="0"/>
      <w:marTop w:val="0"/>
      <w:marBottom w:val="0"/>
      <w:divBdr>
        <w:top w:val="none" w:sz="0" w:space="0" w:color="auto"/>
        <w:left w:val="none" w:sz="0" w:space="0" w:color="auto"/>
        <w:bottom w:val="none" w:sz="0" w:space="0" w:color="auto"/>
        <w:right w:val="none" w:sz="0" w:space="0" w:color="auto"/>
      </w:divBdr>
    </w:div>
    <w:div w:id="1247420931">
      <w:bodyDiv w:val="1"/>
      <w:marLeft w:val="0"/>
      <w:marRight w:val="0"/>
      <w:marTop w:val="0"/>
      <w:marBottom w:val="0"/>
      <w:divBdr>
        <w:top w:val="none" w:sz="0" w:space="0" w:color="auto"/>
        <w:left w:val="none" w:sz="0" w:space="0" w:color="auto"/>
        <w:bottom w:val="none" w:sz="0" w:space="0" w:color="auto"/>
        <w:right w:val="none" w:sz="0" w:space="0" w:color="auto"/>
      </w:divBdr>
    </w:div>
    <w:div w:id="1513952934">
      <w:bodyDiv w:val="1"/>
      <w:marLeft w:val="0"/>
      <w:marRight w:val="0"/>
      <w:marTop w:val="0"/>
      <w:marBottom w:val="0"/>
      <w:divBdr>
        <w:top w:val="none" w:sz="0" w:space="0" w:color="auto"/>
        <w:left w:val="none" w:sz="0" w:space="0" w:color="auto"/>
        <w:bottom w:val="none" w:sz="0" w:space="0" w:color="auto"/>
        <w:right w:val="none" w:sz="0" w:space="0" w:color="auto"/>
      </w:divBdr>
    </w:div>
    <w:div w:id="1527910032">
      <w:bodyDiv w:val="1"/>
      <w:marLeft w:val="0"/>
      <w:marRight w:val="0"/>
      <w:marTop w:val="0"/>
      <w:marBottom w:val="0"/>
      <w:divBdr>
        <w:top w:val="none" w:sz="0" w:space="0" w:color="auto"/>
        <w:left w:val="none" w:sz="0" w:space="0" w:color="auto"/>
        <w:bottom w:val="none" w:sz="0" w:space="0" w:color="auto"/>
        <w:right w:val="none" w:sz="0" w:space="0" w:color="auto"/>
      </w:divBdr>
    </w:div>
    <w:div w:id="1617055396">
      <w:bodyDiv w:val="1"/>
      <w:marLeft w:val="0"/>
      <w:marRight w:val="0"/>
      <w:marTop w:val="0"/>
      <w:marBottom w:val="0"/>
      <w:divBdr>
        <w:top w:val="none" w:sz="0" w:space="0" w:color="auto"/>
        <w:left w:val="none" w:sz="0" w:space="0" w:color="auto"/>
        <w:bottom w:val="none" w:sz="0" w:space="0" w:color="auto"/>
        <w:right w:val="none" w:sz="0" w:space="0" w:color="auto"/>
      </w:divBdr>
    </w:div>
    <w:div w:id="1622028844">
      <w:bodyDiv w:val="1"/>
      <w:marLeft w:val="0"/>
      <w:marRight w:val="0"/>
      <w:marTop w:val="0"/>
      <w:marBottom w:val="0"/>
      <w:divBdr>
        <w:top w:val="none" w:sz="0" w:space="0" w:color="auto"/>
        <w:left w:val="none" w:sz="0" w:space="0" w:color="auto"/>
        <w:bottom w:val="none" w:sz="0" w:space="0" w:color="auto"/>
        <w:right w:val="none" w:sz="0" w:space="0" w:color="auto"/>
      </w:divBdr>
    </w:div>
    <w:div w:id="1748380460">
      <w:bodyDiv w:val="1"/>
      <w:marLeft w:val="0"/>
      <w:marRight w:val="0"/>
      <w:marTop w:val="0"/>
      <w:marBottom w:val="0"/>
      <w:divBdr>
        <w:top w:val="none" w:sz="0" w:space="0" w:color="auto"/>
        <w:left w:val="none" w:sz="0" w:space="0" w:color="auto"/>
        <w:bottom w:val="none" w:sz="0" w:space="0" w:color="auto"/>
        <w:right w:val="none" w:sz="0" w:space="0" w:color="auto"/>
      </w:divBdr>
    </w:div>
    <w:div w:id="1833598015">
      <w:bodyDiv w:val="1"/>
      <w:marLeft w:val="0"/>
      <w:marRight w:val="0"/>
      <w:marTop w:val="0"/>
      <w:marBottom w:val="0"/>
      <w:divBdr>
        <w:top w:val="none" w:sz="0" w:space="0" w:color="auto"/>
        <w:left w:val="none" w:sz="0" w:space="0" w:color="auto"/>
        <w:bottom w:val="none" w:sz="0" w:space="0" w:color="auto"/>
        <w:right w:val="none" w:sz="0" w:space="0" w:color="auto"/>
      </w:divBdr>
    </w:div>
    <w:div w:id="1838687169">
      <w:bodyDiv w:val="1"/>
      <w:marLeft w:val="0"/>
      <w:marRight w:val="0"/>
      <w:marTop w:val="0"/>
      <w:marBottom w:val="0"/>
      <w:divBdr>
        <w:top w:val="none" w:sz="0" w:space="0" w:color="auto"/>
        <w:left w:val="none" w:sz="0" w:space="0" w:color="auto"/>
        <w:bottom w:val="none" w:sz="0" w:space="0" w:color="auto"/>
        <w:right w:val="none" w:sz="0" w:space="0" w:color="auto"/>
      </w:divBdr>
    </w:div>
    <w:div w:id="1980839624">
      <w:bodyDiv w:val="1"/>
      <w:marLeft w:val="0"/>
      <w:marRight w:val="0"/>
      <w:marTop w:val="0"/>
      <w:marBottom w:val="0"/>
      <w:divBdr>
        <w:top w:val="none" w:sz="0" w:space="0" w:color="auto"/>
        <w:left w:val="none" w:sz="0" w:space="0" w:color="auto"/>
        <w:bottom w:val="none" w:sz="0" w:space="0" w:color="auto"/>
        <w:right w:val="none" w:sz="0" w:space="0" w:color="auto"/>
      </w:divBdr>
    </w:div>
    <w:div w:id="207207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5221378017@163.com" TargetMode="External"/><Relationship Id="rId13" Type="http://schemas.openxmlformats.org/officeDocument/2006/relationships/image" Target="media/image5.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53172-0C7C-4F03-87F3-F4C841645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4373</Words>
  <Characters>24930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8</cp:revision>
  <dcterms:created xsi:type="dcterms:W3CDTF">2020-07-24T12:28:00Z</dcterms:created>
  <dcterms:modified xsi:type="dcterms:W3CDTF">2020-08-21T10:15:00Z</dcterms:modified>
</cp:coreProperties>
</file>