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F9836" w14:textId="77777777" w:rsidR="00F05A97" w:rsidRPr="001256B1" w:rsidRDefault="00476F5A" w:rsidP="00F55750">
      <w:pPr>
        <w:snapToGrid w:val="0"/>
        <w:spacing w:line="360" w:lineRule="auto"/>
        <w:jc w:val="both"/>
        <w:rPr>
          <w:rFonts w:ascii="Book Antiqua" w:hAnsi="Book Antiqua"/>
          <w:i/>
          <w:iCs/>
          <w:color w:val="000000" w:themeColor="text1"/>
          <w:lang w:val="en-US"/>
        </w:rPr>
      </w:pPr>
      <w:r w:rsidRPr="001256B1">
        <w:rPr>
          <w:rFonts w:ascii="Book Antiqua" w:hAnsi="Book Antiqua"/>
          <w:b/>
          <w:bCs/>
          <w:color w:val="000000" w:themeColor="text1"/>
          <w:lang w:val="en-US"/>
        </w:rPr>
        <w:t>Name of Journal:</w:t>
      </w:r>
      <w:r w:rsidR="001E313F" w:rsidRPr="001256B1">
        <w:rPr>
          <w:rFonts w:ascii="Book Antiqua" w:hAnsi="Book Antiqua"/>
          <w:b/>
          <w:bCs/>
          <w:color w:val="000000" w:themeColor="text1"/>
          <w:lang w:val="en-US"/>
        </w:rPr>
        <w:t xml:space="preserve"> </w:t>
      </w:r>
      <w:r w:rsidR="001E313F" w:rsidRPr="001256B1">
        <w:rPr>
          <w:rFonts w:ascii="Book Antiqua" w:hAnsi="Book Antiqua"/>
          <w:i/>
          <w:iCs/>
          <w:color w:val="000000" w:themeColor="text1"/>
          <w:lang w:val="en-US"/>
        </w:rPr>
        <w:t>World Journal of Gastroenterology</w:t>
      </w:r>
    </w:p>
    <w:p w14:paraId="28CF2291" w14:textId="77777777" w:rsidR="00476F5A" w:rsidRPr="001256B1" w:rsidRDefault="00476F5A" w:rsidP="00F55750">
      <w:pPr>
        <w:snapToGrid w:val="0"/>
        <w:spacing w:line="360" w:lineRule="auto"/>
        <w:jc w:val="both"/>
        <w:rPr>
          <w:rFonts w:ascii="Book Antiqua" w:hAnsi="Book Antiqua"/>
          <w:b/>
          <w:bCs/>
          <w:color w:val="000000" w:themeColor="text1"/>
          <w:lang w:val="en-US"/>
        </w:rPr>
      </w:pPr>
      <w:r w:rsidRPr="001256B1">
        <w:rPr>
          <w:rFonts w:ascii="Book Antiqua" w:hAnsi="Book Antiqua"/>
          <w:b/>
          <w:bCs/>
          <w:color w:val="000000" w:themeColor="text1"/>
          <w:lang w:val="en-US"/>
        </w:rPr>
        <w:t>Manuscript NO:</w:t>
      </w:r>
      <w:r w:rsidR="008717D7" w:rsidRPr="001256B1">
        <w:rPr>
          <w:rFonts w:ascii="Book Antiqua" w:eastAsia="Times New Roman" w:hAnsi="Book Antiqua" w:cs="Times New Roman"/>
          <w:color w:val="000000"/>
          <w:shd w:val="clear" w:color="auto" w:fill="FFFFFF"/>
          <w:lang w:val="en-US" w:eastAsia="pl-PL"/>
        </w:rPr>
        <w:t xml:space="preserve"> </w:t>
      </w:r>
      <w:bookmarkStart w:id="0" w:name="OLE_LINK1"/>
      <w:bookmarkStart w:id="1" w:name="OLE_LINK2"/>
      <w:r w:rsidR="008717D7" w:rsidRPr="001256B1">
        <w:rPr>
          <w:rFonts w:ascii="Book Antiqua" w:hAnsi="Book Antiqua"/>
          <w:color w:val="000000" w:themeColor="text1"/>
          <w:lang w:val="en-US"/>
        </w:rPr>
        <w:t>56453</w:t>
      </w:r>
      <w:bookmarkEnd w:id="0"/>
      <w:bookmarkEnd w:id="1"/>
    </w:p>
    <w:p w14:paraId="2D6DCB13" w14:textId="36B92FC7" w:rsidR="00476F5A" w:rsidRPr="001256B1" w:rsidRDefault="00476F5A" w:rsidP="00F55750">
      <w:pPr>
        <w:snapToGrid w:val="0"/>
        <w:spacing w:line="360" w:lineRule="auto"/>
        <w:jc w:val="both"/>
        <w:rPr>
          <w:rFonts w:ascii="Book Antiqua" w:hAnsi="Book Antiqua"/>
          <w:b/>
          <w:bCs/>
          <w:color w:val="000000" w:themeColor="text1"/>
          <w:lang w:val="en-US"/>
        </w:rPr>
      </w:pPr>
      <w:r w:rsidRPr="001256B1">
        <w:rPr>
          <w:rFonts w:ascii="Book Antiqua" w:hAnsi="Book Antiqua"/>
          <w:b/>
          <w:bCs/>
          <w:color w:val="000000" w:themeColor="text1"/>
          <w:lang w:val="en-US"/>
        </w:rPr>
        <w:t>Manuscript Type:</w:t>
      </w:r>
      <w:r w:rsidR="00395C3A" w:rsidRPr="001256B1">
        <w:rPr>
          <w:rFonts w:ascii="Book Antiqua" w:hAnsi="Book Antiqua"/>
          <w:b/>
          <w:bCs/>
          <w:color w:val="000000" w:themeColor="text1"/>
          <w:lang w:val="en-US"/>
        </w:rPr>
        <w:t xml:space="preserve"> </w:t>
      </w:r>
      <w:r w:rsidR="0007457F" w:rsidRPr="001256B1">
        <w:rPr>
          <w:rFonts w:ascii="Book Antiqua" w:hAnsi="Book Antiqua"/>
          <w:color w:val="000000" w:themeColor="text1"/>
          <w:lang w:val="en-US"/>
        </w:rPr>
        <w:t>ORIGINAL ARTICLE</w:t>
      </w:r>
    </w:p>
    <w:p w14:paraId="68146CCB" w14:textId="32C86F24" w:rsidR="00476F5A" w:rsidRPr="001256B1" w:rsidRDefault="00476F5A" w:rsidP="00F55750">
      <w:pPr>
        <w:snapToGrid w:val="0"/>
        <w:spacing w:line="360" w:lineRule="auto"/>
        <w:jc w:val="both"/>
        <w:rPr>
          <w:rFonts w:ascii="Book Antiqua" w:hAnsi="Book Antiqua"/>
          <w:b/>
          <w:bCs/>
          <w:color w:val="000000" w:themeColor="text1"/>
          <w:lang w:val="en-US"/>
        </w:rPr>
      </w:pPr>
    </w:p>
    <w:p w14:paraId="4E5C91B1" w14:textId="6BA6DCE5" w:rsidR="0007457F" w:rsidRPr="001256B1" w:rsidRDefault="0007457F" w:rsidP="00F55750">
      <w:pPr>
        <w:snapToGrid w:val="0"/>
        <w:spacing w:line="360" w:lineRule="auto"/>
        <w:jc w:val="both"/>
        <w:rPr>
          <w:rFonts w:ascii="Book Antiqua" w:hAnsi="Book Antiqua"/>
          <w:b/>
          <w:bCs/>
          <w:i/>
          <w:iCs/>
          <w:color w:val="000000" w:themeColor="text1"/>
          <w:lang w:val="en-US"/>
        </w:rPr>
      </w:pPr>
      <w:r w:rsidRPr="001256B1">
        <w:rPr>
          <w:rFonts w:ascii="Book Antiqua" w:hAnsi="Book Antiqua"/>
          <w:b/>
          <w:bCs/>
          <w:i/>
          <w:iCs/>
          <w:color w:val="000000" w:themeColor="text1"/>
          <w:lang w:val="en-US"/>
        </w:rPr>
        <w:t>Retrospective Study</w:t>
      </w:r>
    </w:p>
    <w:p w14:paraId="729EA03A" w14:textId="3BC17CA3" w:rsidR="00476F5A" w:rsidRPr="001256B1" w:rsidRDefault="0007457F" w:rsidP="00F55750">
      <w:pPr>
        <w:snapToGrid w:val="0"/>
        <w:spacing w:line="360" w:lineRule="auto"/>
        <w:jc w:val="both"/>
        <w:rPr>
          <w:rFonts w:ascii="Book Antiqua" w:hAnsi="Book Antiqua"/>
          <w:b/>
          <w:bCs/>
          <w:color w:val="000000" w:themeColor="text1"/>
          <w:lang w:val="en-US"/>
        </w:rPr>
      </w:pPr>
      <w:bookmarkStart w:id="2" w:name="OLE_LINK4"/>
      <w:bookmarkStart w:id="3" w:name="OLE_LINK5"/>
      <w:r w:rsidRPr="001256B1">
        <w:rPr>
          <w:rFonts w:ascii="Book Antiqua" w:hAnsi="Book Antiqua"/>
          <w:b/>
          <w:bCs/>
          <w:color w:val="000000" w:themeColor="text1"/>
          <w:lang w:val="en-US"/>
        </w:rPr>
        <w:t>Insulin receptor substrate 1 may play divergent roles in human colorectal cancer development and progression</w:t>
      </w:r>
    </w:p>
    <w:bookmarkEnd w:id="2"/>
    <w:bookmarkEnd w:id="3"/>
    <w:p w14:paraId="4A75D445" w14:textId="77777777" w:rsidR="00476F5A" w:rsidRPr="001256B1" w:rsidRDefault="00476F5A" w:rsidP="00F55750">
      <w:pPr>
        <w:snapToGrid w:val="0"/>
        <w:spacing w:line="360" w:lineRule="auto"/>
        <w:jc w:val="both"/>
        <w:rPr>
          <w:rFonts w:ascii="Book Antiqua" w:hAnsi="Book Antiqua"/>
          <w:b/>
          <w:bCs/>
          <w:color w:val="000000" w:themeColor="text1"/>
          <w:lang w:val="en-US"/>
        </w:rPr>
      </w:pPr>
    </w:p>
    <w:p w14:paraId="255D3701" w14:textId="79F2A12E" w:rsidR="00476F5A" w:rsidRPr="001256B1" w:rsidRDefault="00476F5A" w:rsidP="00F55750">
      <w:pPr>
        <w:snapToGrid w:val="0"/>
        <w:spacing w:line="360" w:lineRule="auto"/>
        <w:jc w:val="both"/>
        <w:rPr>
          <w:rFonts w:ascii="Book Antiqua" w:hAnsi="Book Antiqua"/>
          <w:b/>
          <w:bCs/>
          <w:i/>
          <w:iCs/>
          <w:color w:val="000000" w:themeColor="text1"/>
          <w:lang w:val="en-US"/>
        </w:rPr>
      </w:pPr>
      <w:bookmarkStart w:id="4" w:name="OLE_LINK3"/>
      <w:proofErr w:type="spellStart"/>
      <w:r w:rsidRPr="001256B1">
        <w:rPr>
          <w:rFonts w:ascii="Book Antiqua" w:hAnsi="Book Antiqua"/>
          <w:color w:val="000000" w:themeColor="text1"/>
          <w:lang w:val="en-US"/>
        </w:rPr>
        <w:t>Lomperta</w:t>
      </w:r>
      <w:proofErr w:type="spellEnd"/>
      <w:r w:rsidRPr="001256B1">
        <w:rPr>
          <w:rFonts w:ascii="Book Antiqua" w:hAnsi="Book Antiqua"/>
          <w:color w:val="000000" w:themeColor="text1"/>
          <w:lang w:val="en-US"/>
        </w:rPr>
        <w:t xml:space="preserve"> K</w:t>
      </w:r>
      <w:bookmarkEnd w:id="4"/>
      <w:r w:rsidRPr="001256B1">
        <w:rPr>
          <w:rFonts w:ascii="Book Antiqua" w:hAnsi="Book Antiqua"/>
          <w:color w:val="000000" w:themeColor="text1"/>
          <w:lang w:val="en-US"/>
        </w:rPr>
        <w:t xml:space="preserve"> </w:t>
      </w:r>
      <w:r w:rsidRPr="001256B1">
        <w:rPr>
          <w:rFonts w:ascii="Book Antiqua" w:hAnsi="Book Antiqua"/>
          <w:i/>
          <w:iCs/>
          <w:color w:val="000000" w:themeColor="text1"/>
          <w:lang w:val="en-US"/>
        </w:rPr>
        <w:t>et al</w:t>
      </w:r>
      <w:r w:rsidRPr="001256B1">
        <w:rPr>
          <w:rFonts w:ascii="Book Antiqua" w:hAnsi="Book Antiqua"/>
          <w:color w:val="000000" w:themeColor="text1"/>
          <w:lang w:val="en-US"/>
        </w:rPr>
        <w:t xml:space="preserve">. </w:t>
      </w:r>
      <w:bookmarkStart w:id="5" w:name="OLE_LINK6"/>
      <w:bookmarkStart w:id="6" w:name="OLE_LINK7"/>
      <w:bookmarkStart w:id="7" w:name="OLE_LINK14"/>
      <w:bookmarkStart w:id="8" w:name="OLE_LINK15"/>
      <w:r w:rsidR="006D0F7C" w:rsidRPr="001256B1">
        <w:rPr>
          <w:rFonts w:ascii="Book Antiqua" w:hAnsi="Book Antiqua"/>
          <w:lang w:val="en-US"/>
        </w:rPr>
        <w:t>IRS-1</w:t>
      </w:r>
      <w:r w:rsidR="00057C55" w:rsidRPr="001256B1">
        <w:rPr>
          <w:rFonts w:ascii="Book Antiqua" w:hAnsi="Book Antiqua"/>
          <w:color w:val="000000" w:themeColor="text1"/>
          <w:lang w:val="en-US"/>
        </w:rPr>
        <w:t xml:space="preserve">: </w:t>
      </w:r>
      <w:r w:rsidR="00797D34" w:rsidRPr="001256B1">
        <w:rPr>
          <w:rFonts w:ascii="Book Antiqua" w:hAnsi="Book Antiqua"/>
          <w:color w:val="000000" w:themeColor="text1"/>
          <w:lang w:val="en-US"/>
        </w:rPr>
        <w:t xml:space="preserve">Divergent </w:t>
      </w:r>
      <w:r w:rsidR="00057C55" w:rsidRPr="001256B1">
        <w:rPr>
          <w:rFonts w:ascii="Book Antiqua" w:hAnsi="Book Antiqua"/>
          <w:color w:val="000000" w:themeColor="text1"/>
          <w:lang w:val="en-US"/>
        </w:rPr>
        <w:t xml:space="preserve">roles in </w:t>
      </w:r>
      <w:bookmarkEnd w:id="5"/>
      <w:bookmarkEnd w:id="6"/>
      <w:r w:rsidR="00CE1E7E">
        <w:rPr>
          <w:rFonts w:ascii="Book Antiqua" w:hAnsi="Book Antiqua"/>
          <w:color w:val="000000" w:themeColor="text1"/>
          <w:lang w:val="en-US"/>
        </w:rPr>
        <w:t>CRC</w:t>
      </w:r>
      <w:bookmarkEnd w:id="7"/>
      <w:bookmarkEnd w:id="8"/>
    </w:p>
    <w:p w14:paraId="0413F656" w14:textId="77777777" w:rsidR="00057C55" w:rsidRPr="001256B1" w:rsidRDefault="00057C55" w:rsidP="00F55750">
      <w:pPr>
        <w:snapToGrid w:val="0"/>
        <w:spacing w:line="360" w:lineRule="auto"/>
        <w:jc w:val="both"/>
        <w:rPr>
          <w:rFonts w:ascii="Book Antiqua" w:hAnsi="Book Antiqua"/>
          <w:color w:val="000000" w:themeColor="text1"/>
          <w:lang w:val="en-US"/>
        </w:rPr>
      </w:pPr>
    </w:p>
    <w:p w14:paraId="0CDDF3F9" w14:textId="77777777" w:rsidR="00476F5A" w:rsidRPr="001256B1" w:rsidRDefault="0075647E" w:rsidP="00F55750">
      <w:pPr>
        <w:snapToGrid w:val="0"/>
        <w:spacing w:line="360" w:lineRule="auto"/>
        <w:jc w:val="both"/>
        <w:rPr>
          <w:rFonts w:ascii="Book Antiqua" w:hAnsi="Book Antiqua"/>
          <w:color w:val="000000" w:themeColor="text1"/>
        </w:rPr>
      </w:pPr>
      <w:r w:rsidRPr="001256B1">
        <w:rPr>
          <w:rFonts w:ascii="Book Antiqua" w:hAnsi="Book Antiqua"/>
          <w:color w:val="000000" w:themeColor="text1"/>
        </w:rPr>
        <w:t>Karolina Lomperta, Katarzyna Jakubowska, Ma</w:t>
      </w:r>
      <w:r w:rsidR="00E374EF" w:rsidRPr="001256B1">
        <w:rPr>
          <w:rFonts w:ascii="Book Antiqua" w:hAnsi="Book Antiqua"/>
          <w:color w:val="000000" w:themeColor="text1"/>
        </w:rPr>
        <w:t>l</w:t>
      </w:r>
      <w:r w:rsidRPr="001256B1">
        <w:rPr>
          <w:rFonts w:ascii="Book Antiqua" w:hAnsi="Book Antiqua"/>
          <w:color w:val="000000" w:themeColor="text1"/>
        </w:rPr>
        <w:t>gorzata Grudzi</w:t>
      </w:r>
      <w:r w:rsidR="00E374EF" w:rsidRPr="001256B1">
        <w:rPr>
          <w:rFonts w:ascii="Book Antiqua" w:hAnsi="Book Antiqua"/>
          <w:color w:val="000000" w:themeColor="text1"/>
        </w:rPr>
        <w:t>n</w:t>
      </w:r>
      <w:r w:rsidRPr="001256B1">
        <w:rPr>
          <w:rFonts w:ascii="Book Antiqua" w:hAnsi="Book Antiqua"/>
          <w:color w:val="000000" w:themeColor="text1"/>
        </w:rPr>
        <w:t>ska, Luiza Ka</w:t>
      </w:r>
      <w:r w:rsidR="00E374EF" w:rsidRPr="001256B1">
        <w:rPr>
          <w:rFonts w:ascii="Book Antiqua" w:hAnsi="Book Antiqua"/>
          <w:color w:val="000000" w:themeColor="text1"/>
        </w:rPr>
        <w:t>n</w:t>
      </w:r>
      <w:r w:rsidRPr="001256B1">
        <w:rPr>
          <w:rFonts w:ascii="Book Antiqua" w:hAnsi="Book Antiqua"/>
          <w:color w:val="000000" w:themeColor="text1"/>
        </w:rPr>
        <w:t>czuga-Koda, Andrzej Wincewicz, Eva Surmacz, Stanis</w:t>
      </w:r>
      <w:r w:rsidR="00E374EF" w:rsidRPr="001256B1">
        <w:rPr>
          <w:rFonts w:ascii="Book Antiqua" w:hAnsi="Book Antiqua"/>
          <w:color w:val="000000" w:themeColor="text1"/>
        </w:rPr>
        <w:t>l</w:t>
      </w:r>
      <w:r w:rsidRPr="001256B1">
        <w:rPr>
          <w:rFonts w:ascii="Book Antiqua" w:hAnsi="Book Antiqua"/>
          <w:color w:val="000000" w:themeColor="text1"/>
        </w:rPr>
        <w:t>aw Sulkowski, Mariusz Koda</w:t>
      </w:r>
    </w:p>
    <w:p w14:paraId="39E549CF" w14:textId="77777777" w:rsidR="0075647E" w:rsidRPr="001256B1" w:rsidRDefault="0075647E" w:rsidP="00F55750">
      <w:pPr>
        <w:snapToGrid w:val="0"/>
        <w:spacing w:line="360" w:lineRule="auto"/>
        <w:jc w:val="both"/>
        <w:rPr>
          <w:rFonts w:ascii="Book Antiqua" w:hAnsi="Book Antiqua"/>
          <w:color w:val="000000" w:themeColor="text1"/>
        </w:rPr>
      </w:pPr>
    </w:p>
    <w:p w14:paraId="01194A2B" w14:textId="3FEC74AA" w:rsidR="00CE1E7E" w:rsidRPr="00CE1E7E" w:rsidRDefault="00476F5A" w:rsidP="00F55750">
      <w:pPr>
        <w:snapToGrid w:val="0"/>
        <w:spacing w:line="360" w:lineRule="auto"/>
        <w:jc w:val="both"/>
        <w:rPr>
          <w:rFonts w:ascii="Book Antiqua" w:hAnsi="Book Antiqua"/>
          <w:lang w:val="en-GB"/>
        </w:rPr>
      </w:pPr>
      <w:r w:rsidRPr="001256B1">
        <w:rPr>
          <w:rFonts w:ascii="Book Antiqua" w:hAnsi="Book Antiqua"/>
          <w:b/>
          <w:color w:val="000000" w:themeColor="text1"/>
          <w:lang w:val="en-US"/>
        </w:rPr>
        <w:t xml:space="preserve">Karolina </w:t>
      </w:r>
      <w:proofErr w:type="spellStart"/>
      <w:r w:rsidRPr="001256B1">
        <w:rPr>
          <w:rFonts w:ascii="Book Antiqua" w:hAnsi="Book Antiqua"/>
          <w:b/>
          <w:color w:val="000000" w:themeColor="text1"/>
          <w:lang w:val="en-US"/>
        </w:rPr>
        <w:t>Lomperta</w:t>
      </w:r>
      <w:proofErr w:type="spellEnd"/>
      <w:r w:rsidR="001F2CF9" w:rsidRPr="001256B1">
        <w:rPr>
          <w:rFonts w:ascii="Book Antiqua" w:hAnsi="Book Antiqua"/>
          <w:b/>
          <w:color w:val="000000" w:themeColor="text1"/>
          <w:lang w:val="en-US"/>
        </w:rPr>
        <w:t xml:space="preserve">, </w:t>
      </w:r>
      <w:r w:rsidR="001206AC" w:rsidRPr="001256B1">
        <w:rPr>
          <w:rFonts w:ascii="Book Antiqua" w:hAnsi="Book Antiqua"/>
          <w:b/>
          <w:color w:val="000000" w:themeColor="text1"/>
          <w:lang w:val="en-US"/>
        </w:rPr>
        <w:t xml:space="preserve">Malgorzata </w:t>
      </w:r>
      <w:proofErr w:type="spellStart"/>
      <w:r w:rsidR="001206AC" w:rsidRPr="001256B1">
        <w:rPr>
          <w:rFonts w:ascii="Book Antiqua" w:hAnsi="Book Antiqua"/>
          <w:b/>
          <w:color w:val="000000" w:themeColor="text1"/>
          <w:lang w:val="en-US"/>
        </w:rPr>
        <w:t>Grudzinska</w:t>
      </w:r>
      <w:proofErr w:type="spellEnd"/>
      <w:r w:rsidR="001206AC">
        <w:rPr>
          <w:rFonts w:ascii="Book Antiqua" w:hAnsi="Book Antiqua"/>
          <w:b/>
          <w:color w:val="000000" w:themeColor="text1"/>
          <w:lang w:val="en-US"/>
        </w:rPr>
        <w:t xml:space="preserve">, </w:t>
      </w:r>
      <w:r w:rsidR="002A77A4" w:rsidRPr="001256B1">
        <w:rPr>
          <w:rFonts w:ascii="Book Antiqua" w:hAnsi="Book Antiqua"/>
          <w:b/>
          <w:color w:val="000000" w:themeColor="text1"/>
          <w:lang w:val="en-US"/>
        </w:rPr>
        <w:t xml:space="preserve">Stanislaw </w:t>
      </w:r>
      <w:proofErr w:type="spellStart"/>
      <w:r w:rsidR="002A77A4" w:rsidRPr="001256B1">
        <w:rPr>
          <w:rFonts w:ascii="Book Antiqua" w:hAnsi="Book Antiqua"/>
          <w:b/>
          <w:color w:val="000000" w:themeColor="text1"/>
          <w:lang w:val="en-US"/>
        </w:rPr>
        <w:t>Sulkowski</w:t>
      </w:r>
      <w:proofErr w:type="spellEnd"/>
      <w:r w:rsidR="002A77A4" w:rsidRPr="001256B1">
        <w:rPr>
          <w:rFonts w:ascii="Book Antiqua" w:hAnsi="Book Antiqua"/>
          <w:b/>
          <w:color w:val="000000" w:themeColor="text1"/>
          <w:lang w:val="en-US"/>
        </w:rPr>
        <w:t>,</w:t>
      </w:r>
      <w:r w:rsidR="001206AC">
        <w:rPr>
          <w:rFonts w:ascii="Book Antiqua" w:hAnsi="Book Antiqua"/>
          <w:b/>
          <w:color w:val="000000" w:themeColor="text1"/>
          <w:lang w:val="en-US"/>
        </w:rPr>
        <w:t xml:space="preserve"> </w:t>
      </w:r>
      <w:r w:rsidR="001206AC" w:rsidRPr="001256B1">
        <w:rPr>
          <w:rFonts w:ascii="Book Antiqua" w:hAnsi="Book Antiqua"/>
          <w:b/>
          <w:color w:val="000000" w:themeColor="text1"/>
          <w:lang w:val="en-US"/>
        </w:rPr>
        <w:t xml:space="preserve">Mariusz </w:t>
      </w:r>
      <w:proofErr w:type="spellStart"/>
      <w:r w:rsidR="001206AC" w:rsidRPr="001256B1">
        <w:rPr>
          <w:rFonts w:ascii="Book Antiqua" w:hAnsi="Book Antiqua"/>
          <w:b/>
          <w:color w:val="000000" w:themeColor="text1"/>
          <w:lang w:val="en-US"/>
        </w:rPr>
        <w:t>Koda</w:t>
      </w:r>
      <w:proofErr w:type="spellEnd"/>
      <w:r w:rsidR="001206AC" w:rsidRPr="001256B1">
        <w:rPr>
          <w:rFonts w:ascii="Book Antiqua" w:hAnsi="Book Antiqua"/>
          <w:b/>
          <w:color w:val="000000" w:themeColor="text1"/>
          <w:lang w:val="en-US"/>
        </w:rPr>
        <w:t>,</w:t>
      </w:r>
      <w:r w:rsidR="0085325C">
        <w:rPr>
          <w:rFonts w:ascii="Book Antiqua" w:hAnsi="Book Antiqua"/>
          <w:b/>
          <w:color w:val="000000" w:themeColor="text1"/>
          <w:lang w:val="en-US"/>
        </w:rPr>
        <w:t xml:space="preserve"> </w:t>
      </w:r>
      <w:r w:rsidR="00827CA1" w:rsidRPr="001256B1">
        <w:rPr>
          <w:rFonts w:ascii="Book Antiqua" w:hAnsi="Book Antiqua"/>
          <w:color w:val="000000" w:themeColor="text1"/>
          <w:lang w:val="en-US"/>
        </w:rPr>
        <w:t xml:space="preserve">Department of General </w:t>
      </w:r>
      <w:proofErr w:type="spellStart"/>
      <w:r w:rsidR="00827CA1" w:rsidRPr="001256B1">
        <w:rPr>
          <w:rFonts w:ascii="Book Antiqua" w:hAnsi="Book Antiqua"/>
          <w:color w:val="000000" w:themeColor="text1"/>
          <w:lang w:val="en-US"/>
        </w:rPr>
        <w:t>Pathomorphology</w:t>
      </w:r>
      <w:proofErr w:type="spellEnd"/>
      <w:r w:rsidR="00197CE0" w:rsidRPr="001256B1">
        <w:rPr>
          <w:rFonts w:ascii="Book Antiqua" w:hAnsi="Book Antiqua"/>
          <w:color w:val="000000" w:themeColor="text1"/>
          <w:lang w:val="en-US"/>
        </w:rPr>
        <w:t xml:space="preserve">, </w:t>
      </w:r>
      <w:r w:rsidR="00827CA1" w:rsidRPr="001256B1">
        <w:rPr>
          <w:rFonts w:ascii="Book Antiqua" w:hAnsi="Book Antiqua"/>
          <w:color w:val="000000" w:themeColor="text1"/>
          <w:lang w:val="en-US"/>
        </w:rPr>
        <w:t xml:space="preserve">Medical University of Bialystok, </w:t>
      </w:r>
      <w:r w:rsidR="0095452A" w:rsidRPr="001256B1">
        <w:rPr>
          <w:rFonts w:ascii="Book Antiqua" w:hAnsi="Book Antiqua"/>
          <w:lang w:val="en-GB"/>
        </w:rPr>
        <w:t>Bialystok 15269, Poland</w:t>
      </w:r>
    </w:p>
    <w:p w14:paraId="610A0273" w14:textId="77777777" w:rsidR="00CE1E7E" w:rsidRDefault="00CE1E7E" w:rsidP="00F55750">
      <w:pPr>
        <w:snapToGrid w:val="0"/>
        <w:spacing w:line="360" w:lineRule="auto"/>
        <w:jc w:val="both"/>
        <w:rPr>
          <w:rFonts w:ascii="Book Antiqua" w:hAnsi="Book Antiqua"/>
          <w:b/>
          <w:color w:val="000000" w:themeColor="text1"/>
          <w:lang w:val="en-US"/>
        </w:rPr>
      </w:pPr>
    </w:p>
    <w:p w14:paraId="423F0E97" w14:textId="752EC274" w:rsidR="00CE1E7E" w:rsidRPr="00CE1E7E" w:rsidRDefault="00DF2E98" w:rsidP="00F55750">
      <w:pPr>
        <w:snapToGrid w:val="0"/>
        <w:spacing w:line="360" w:lineRule="auto"/>
        <w:jc w:val="both"/>
        <w:rPr>
          <w:rFonts w:ascii="Book Antiqua" w:hAnsi="Book Antiqua"/>
          <w:color w:val="000000" w:themeColor="text1"/>
          <w:lang w:val="en-US"/>
        </w:rPr>
      </w:pPr>
      <w:r w:rsidRPr="001256B1">
        <w:rPr>
          <w:rFonts w:ascii="Book Antiqua" w:hAnsi="Book Antiqua"/>
          <w:b/>
          <w:color w:val="000000" w:themeColor="text1"/>
          <w:lang w:val="en-US"/>
        </w:rPr>
        <w:t xml:space="preserve">Katarzyna </w:t>
      </w:r>
      <w:proofErr w:type="spellStart"/>
      <w:r w:rsidRPr="001256B1">
        <w:rPr>
          <w:rFonts w:ascii="Book Antiqua" w:hAnsi="Book Antiqua"/>
          <w:b/>
          <w:color w:val="000000" w:themeColor="text1"/>
          <w:lang w:val="en-US"/>
        </w:rPr>
        <w:t>Jakubowska</w:t>
      </w:r>
      <w:proofErr w:type="spellEnd"/>
      <w:r w:rsidRPr="001256B1">
        <w:rPr>
          <w:rFonts w:ascii="Book Antiqua" w:hAnsi="Book Antiqua"/>
          <w:b/>
          <w:color w:val="000000" w:themeColor="text1"/>
          <w:lang w:val="en-US"/>
        </w:rPr>
        <w:t xml:space="preserve">, </w:t>
      </w:r>
      <w:r w:rsidR="00476F5A" w:rsidRPr="001256B1">
        <w:rPr>
          <w:rFonts w:ascii="Book Antiqua" w:hAnsi="Book Antiqua"/>
          <w:b/>
          <w:color w:val="000000" w:themeColor="text1"/>
          <w:lang w:val="en-US"/>
        </w:rPr>
        <w:t xml:space="preserve">Luiza </w:t>
      </w:r>
      <w:proofErr w:type="spellStart"/>
      <w:r w:rsidR="00476F5A" w:rsidRPr="001256B1">
        <w:rPr>
          <w:rFonts w:ascii="Book Antiqua" w:hAnsi="Book Antiqua"/>
          <w:b/>
          <w:color w:val="000000" w:themeColor="text1"/>
          <w:lang w:val="en-US"/>
        </w:rPr>
        <w:t>Ka</w:t>
      </w:r>
      <w:r w:rsidR="00E374EF" w:rsidRPr="001256B1">
        <w:rPr>
          <w:rFonts w:ascii="Book Antiqua" w:hAnsi="Book Antiqua"/>
          <w:b/>
          <w:color w:val="000000" w:themeColor="text1"/>
          <w:lang w:val="en-US"/>
        </w:rPr>
        <w:t>n</w:t>
      </w:r>
      <w:r w:rsidR="00476F5A" w:rsidRPr="001256B1">
        <w:rPr>
          <w:rFonts w:ascii="Book Antiqua" w:hAnsi="Book Antiqua"/>
          <w:b/>
          <w:color w:val="000000" w:themeColor="text1"/>
          <w:lang w:val="en-US"/>
        </w:rPr>
        <w:t>czuga-Koda</w:t>
      </w:r>
      <w:proofErr w:type="spellEnd"/>
      <w:r w:rsidR="00476F5A" w:rsidRPr="001256B1">
        <w:rPr>
          <w:rFonts w:ascii="Book Antiqua" w:hAnsi="Book Antiqua"/>
          <w:b/>
          <w:color w:val="000000" w:themeColor="text1"/>
          <w:lang w:val="en-US"/>
        </w:rPr>
        <w:t xml:space="preserve">, </w:t>
      </w:r>
      <w:r w:rsidR="00476F5A" w:rsidRPr="001256B1">
        <w:rPr>
          <w:rFonts w:ascii="Book Antiqua" w:hAnsi="Book Antiqua"/>
          <w:color w:val="000000" w:themeColor="text1"/>
          <w:lang w:val="en-US"/>
        </w:rPr>
        <w:t xml:space="preserve">Department of </w:t>
      </w:r>
      <w:proofErr w:type="spellStart"/>
      <w:r w:rsidR="00476F5A" w:rsidRPr="001256B1">
        <w:rPr>
          <w:rFonts w:ascii="Book Antiqua" w:hAnsi="Book Antiqua"/>
          <w:color w:val="000000" w:themeColor="text1"/>
          <w:lang w:val="en-US"/>
        </w:rPr>
        <w:t>Pathomorphology</w:t>
      </w:r>
      <w:proofErr w:type="spellEnd"/>
      <w:r w:rsidR="00476F5A" w:rsidRPr="001256B1">
        <w:rPr>
          <w:rFonts w:ascii="Book Antiqua" w:hAnsi="Book Antiqua"/>
          <w:color w:val="000000" w:themeColor="text1"/>
          <w:lang w:val="en-US"/>
        </w:rPr>
        <w:t>, Comprehensive Cancer Centre, Bialystok</w:t>
      </w:r>
      <w:r w:rsidR="009C7C20" w:rsidRPr="001256B1">
        <w:rPr>
          <w:rFonts w:ascii="Book Antiqua" w:hAnsi="Book Antiqua"/>
          <w:color w:val="000000" w:themeColor="text1"/>
          <w:lang w:val="en-US"/>
        </w:rPr>
        <w:t xml:space="preserve"> </w:t>
      </w:r>
      <w:r w:rsidR="00CE1E7E">
        <w:rPr>
          <w:rFonts w:ascii="Book Antiqua" w:hAnsi="Book Antiqua"/>
          <w:lang w:val="en-GB"/>
        </w:rPr>
        <w:t>15</w:t>
      </w:r>
      <w:r w:rsidRPr="001256B1">
        <w:rPr>
          <w:rFonts w:ascii="Book Antiqua" w:hAnsi="Book Antiqua"/>
          <w:lang w:val="en-GB"/>
        </w:rPr>
        <w:t>027</w:t>
      </w:r>
      <w:r w:rsidRPr="001256B1">
        <w:rPr>
          <w:rFonts w:ascii="Book Antiqua" w:hAnsi="Book Antiqua"/>
          <w:color w:val="000000" w:themeColor="text1"/>
          <w:lang w:val="en-GB"/>
        </w:rPr>
        <w:t xml:space="preserve">, </w:t>
      </w:r>
      <w:r w:rsidR="00476F5A" w:rsidRPr="001256B1">
        <w:rPr>
          <w:rFonts w:ascii="Book Antiqua" w:hAnsi="Book Antiqua"/>
          <w:color w:val="000000" w:themeColor="text1"/>
          <w:lang w:val="en-US"/>
        </w:rPr>
        <w:t>Poland</w:t>
      </w:r>
    </w:p>
    <w:p w14:paraId="580CEEA3" w14:textId="77777777" w:rsidR="00CE1E7E" w:rsidRDefault="00CE1E7E" w:rsidP="00F55750">
      <w:pPr>
        <w:snapToGrid w:val="0"/>
        <w:spacing w:line="360" w:lineRule="auto"/>
        <w:jc w:val="both"/>
        <w:rPr>
          <w:rFonts w:ascii="Book Antiqua" w:hAnsi="Book Antiqua"/>
          <w:b/>
          <w:bCs/>
          <w:color w:val="000000" w:themeColor="text1"/>
          <w:lang w:val="en-US"/>
        </w:rPr>
      </w:pPr>
    </w:p>
    <w:p w14:paraId="081F8ED4" w14:textId="30160794" w:rsidR="00CE1E7E" w:rsidRPr="00CE1E7E" w:rsidRDefault="00476F5A" w:rsidP="00F55750">
      <w:pPr>
        <w:snapToGrid w:val="0"/>
        <w:spacing w:line="360" w:lineRule="auto"/>
        <w:jc w:val="both"/>
        <w:rPr>
          <w:rFonts w:ascii="Book Antiqua" w:hAnsi="Book Antiqua"/>
          <w:color w:val="000000" w:themeColor="text1"/>
          <w:lang w:val="en-US"/>
        </w:rPr>
      </w:pPr>
      <w:r w:rsidRPr="001256B1">
        <w:rPr>
          <w:rFonts w:ascii="Book Antiqua" w:hAnsi="Book Antiqua"/>
          <w:b/>
          <w:bCs/>
          <w:color w:val="000000" w:themeColor="text1"/>
          <w:lang w:val="en-US"/>
        </w:rPr>
        <w:t xml:space="preserve">Eva </w:t>
      </w:r>
      <w:proofErr w:type="spellStart"/>
      <w:r w:rsidRPr="001256B1">
        <w:rPr>
          <w:rFonts w:ascii="Book Antiqua" w:hAnsi="Book Antiqua"/>
          <w:b/>
          <w:bCs/>
          <w:color w:val="000000" w:themeColor="text1"/>
          <w:lang w:val="en-US"/>
        </w:rPr>
        <w:t>Surmacz</w:t>
      </w:r>
      <w:proofErr w:type="spellEnd"/>
      <w:r w:rsidR="00D1626B">
        <w:rPr>
          <w:rFonts w:ascii="Book Antiqua" w:hAnsi="Book Antiqua"/>
          <w:b/>
          <w:bCs/>
          <w:color w:val="000000" w:themeColor="text1"/>
          <w:lang w:val="en-US"/>
        </w:rPr>
        <w:t>,</w:t>
      </w:r>
      <w:r w:rsidRPr="001256B1">
        <w:rPr>
          <w:rFonts w:ascii="Book Antiqua" w:hAnsi="Book Antiqua"/>
          <w:b/>
          <w:bCs/>
          <w:color w:val="000000" w:themeColor="text1"/>
          <w:lang w:val="en-US"/>
        </w:rPr>
        <w:t xml:space="preserve"> </w:t>
      </w:r>
      <w:proofErr w:type="spellStart"/>
      <w:r w:rsidR="00D1626B" w:rsidRPr="00D1626B">
        <w:rPr>
          <w:rFonts w:ascii="Book Antiqua" w:hAnsi="Book Antiqua"/>
          <w:color w:val="000000" w:themeColor="text1"/>
          <w:lang w:val="en-US"/>
        </w:rPr>
        <w:t>Allysta</w:t>
      </w:r>
      <w:proofErr w:type="spellEnd"/>
      <w:r w:rsidR="00D1626B" w:rsidRPr="00D1626B">
        <w:rPr>
          <w:rFonts w:ascii="Book Antiqua" w:hAnsi="Book Antiqua"/>
          <w:color w:val="000000" w:themeColor="text1"/>
          <w:lang w:val="en-US"/>
        </w:rPr>
        <w:t xml:space="preserve"> Pharmaceuticals</w:t>
      </w:r>
      <w:r w:rsidR="00761F26" w:rsidRPr="001256B1">
        <w:rPr>
          <w:rFonts w:ascii="Book Antiqua" w:hAnsi="Book Antiqua"/>
          <w:color w:val="000000" w:themeColor="text1"/>
          <w:lang w:val="en-US"/>
        </w:rPr>
        <w:t xml:space="preserve"> </w:t>
      </w:r>
      <w:bookmarkStart w:id="9" w:name="OLE_LINK16"/>
      <w:bookmarkStart w:id="10" w:name="OLE_LINK17"/>
      <w:r w:rsidR="00950D77" w:rsidRPr="001256B1">
        <w:rPr>
          <w:rFonts w:ascii="Book Antiqua" w:hAnsi="Book Antiqua"/>
          <w:color w:val="000000" w:themeColor="text1"/>
          <w:lang w:val="en-US"/>
        </w:rPr>
        <w:t>Incorporated</w:t>
      </w:r>
      <w:bookmarkEnd w:id="9"/>
      <w:bookmarkEnd w:id="10"/>
      <w:r w:rsidR="0085325C">
        <w:rPr>
          <w:rFonts w:ascii="Book Antiqua" w:hAnsi="Book Antiqua"/>
          <w:color w:val="000000" w:themeColor="text1"/>
          <w:lang w:val="en-US"/>
        </w:rPr>
        <w:t xml:space="preserve">, </w:t>
      </w:r>
      <w:r w:rsidR="00761F26" w:rsidRPr="001256B1">
        <w:rPr>
          <w:rFonts w:ascii="Book Antiqua" w:hAnsi="Book Antiqua"/>
          <w:color w:val="000000" w:themeColor="text1"/>
          <w:lang w:val="en-US"/>
        </w:rPr>
        <w:t>Belmont,</w:t>
      </w:r>
      <w:r w:rsidR="0085325C">
        <w:rPr>
          <w:rFonts w:ascii="Book Antiqua" w:hAnsi="Book Antiqua"/>
          <w:color w:val="000000" w:themeColor="text1"/>
          <w:lang w:val="en-US"/>
        </w:rPr>
        <w:t xml:space="preserve"> </w:t>
      </w:r>
      <w:r w:rsidR="00761F26" w:rsidRPr="001256B1">
        <w:rPr>
          <w:rFonts w:ascii="Book Antiqua" w:hAnsi="Book Antiqua"/>
          <w:color w:val="000000" w:themeColor="text1"/>
          <w:lang w:val="en-US"/>
        </w:rPr>
        <w:t>CA</w:t>
      </w:r>
      <w:r w:rsidR="006E6664">
        <w:t xml:space="preserve"> </w:t>
      </w:r>
      <w:r w:rsidR="00BB20B6" w:rsidRPr="00BB20B6">
        <w:rPr>
          <w:rFonts w:ascii="Book Antiqua" w:hAnsi="Book Antiqua"/>
          <w:color w:val="000000" w:themeColor="text1"/>
          <w:lang w:val="en-US"/>
        </w:rPr>
        <w:t>94002</w:t>
      </w:r>
      <w:r w:rsidR="00761F26" w:rsidRPr="001256B1">
        <w:rPr>
          <w:rFonts w:ascii="Book Antiqua" w:hAnsi="Book Antiqua"/>
          <w:color w:val="000000" w:themeColor="text1"/>
          <w:lang w:val="en-US"/>
        </w:rPr>
        <w:t xml:space="preserve">, </w:t>
      </w:r>
      <w:r w:rsidR="008C0F80" w:rsidRPr="008C0F80">
        <w:rPr>
          <w:rFonts w:ascii="Book Antiqua" w:hAnsi="Book Antiqua"/>
          <w:color w:val="000000" w:themeColor="text1"/>
          <w:lang w:val="en-US"/>
        </w:rPr>
        <w:t>United States</w:t>
      </w:r>
    </w:p>
    <w:p w14:paraId="032BBC89" w14:textId="77777777" w:rsidR="00CE1E7E" w:rsidRDefault="00CE1E7E" w:rsidP="00F55750">
      <w:pPr>
        <w:snapToGrid w:val="0"/>
        <w:spacing w:line="360" w:lineRule="auto"/>
        <w:jc w:val="both"/>
        <w:rPr>
          <w:rFonts w:ascii="Book Antiqua" w:hAnsi="Book Antiqua"/>
          <w:b/>
          <w:bCs/>
          <w:color w:val="000000" w:themeColor="text1"/>
          <w:lang w:val="en-US"/>
        </w:rPr>
      </w:pPr>
    </w:p>
    <w:p w14:paraId="391DECAC" w14:textId="3CD96B21" w:rsidR="00476F5A" w:rsidRPr="001256B1" w:rsidRDefault="00476F5A" w:rsidP="00F55750">
      <w:pPr>
        <w:snapToGrid w:val="0"/>
        <w:spacing w:line="360" w:lineRule="auto"/>
        <w:jc w:val="both"/>
        <w:rPr>
          <w:rFonts w:ascii="Book Antiqua" w:eastAsia="Times New Roman" w:hAnsi="Book Antiqua" w:cs="Segoe UI"/>
          <w:color w:val="000000" w:themeColor="text1"/>
          <w:shd w:val="clear" w:color="auto" w:fill="FFFFFF"/>
          <w:lang w:val="en-US" w:eastAsia="pl-PL"/>
        </w:rPr>
      </w:pPr>
      <w:r w:rsidRPr="001256B1">
        <w:rPr>
          <w:rFonts w:ascii="Book Antiqua" w:hAnsi="Book Antiqua"/>
          <w:b/>
          <w:bCs/>
          <w:color w:val="000000" w:themeColor="text1"/>
          <w:lang w:val="en-US"/>
        </w:rPr>
        <w:t xml:space="preserve">Andrzej </w:t>
      </w:r>
      <w:proofErr w:type="spellStart"/>
      <w:r w:rsidRPr="001256B1">
        <w:rPr>
          <w:rFonts w:ascii="Book Antiqua" w:hAnsi="Book Antiqua"/>
          <w:b/>
          <w:bCs/>
          <w:color w:val="000000" w:themeColor="text1"/>
          <w:lang w:val="en-US"/>
        </w:rPr>
        <w:t>Wincewicz</w:t>
      </w:r>
      <w:proofErr w:type="spellEnd"/>
      <w:r w:rsidR="00887167" w:rsidRPr="001256B1">
        <w:rPr>
          <w:rFonts w:ascii="Book Antiqua" w:hAnsi="Book Antiqua"/>
          <w:b/>
          <w:bCs/>
          <w:color w:val="000000" w:themeColor="text1"/>
          <w:lang w:val="en-US" w:eastAsia="zh-CN"/>
        </w:rPr>
        <w:t>,</w:t>
      </w:r>
      <w:r w:rsidR="00833CF3">
        <w:rPr>
          <w:rFonts w:ascii="Book Antiqua" w:hAnsi="Book Antiqua"/>
          <w:b/>
          <w:bCs/>
          <w:color w:val="000000" w:themeColor="text1"/>
          <w:lang w:val="en-US"/>
        </w:rPr>
        <w:t xml:space="preserve"> </w:t>
      </w:r>
      <w:r w:rsidR="00833CF3" w:rsidRPr="001256B1">
        <w:rPr>
          <w:rFonts w:ascii="Book Antiqua" w:eastAsia="Times New Roman" w:hAnsi="Book Antiqua" w:cs="Segoe UI"/>
          <w:color w:val="000000" w:themeColor="text1"/>
          <w:shd w:val="clear" w:color="auto" w:fill="FFFFFF"/>
          <w:lang w:val="en-US" w:eastAsia="pl-PL"/>
        </w:rPr>
        <w:t>Department of Pathology</w:t>
      </w:r>
      <w:r w:rsidR="00833CF3">
        <w:rPr>
          <w:rFonts w:ascii="Book Antiqua" w:eastAsia="Times New Roman" w:hAnsi="Book Antiqua" w:cs="Segoe UI"/>
          <w:color w:val="000000" w:themeColor="text1"/>
          <w:shd w:val="clear" w:color="auto" w:fill="FFFFFF"/>
          <w:lang w:val="en-US" w:eastAsia="pl-PL"/>
        </w:rPr>
        <w:t xml:space="preserve">, </w:t>
      </w:r>
      <w:r w:rsidR="00A55BA0" w:rsidRPr="00833CF3">
        <w:rPr>
          <w:rFonts w:ascii="Book Antiqua" w:eastAsia="Times New Roman" w:hAnsi="Book Antiqua" w:cs="Segoe UI"/>
          <w:color w:val="000000" w:themeColor="text1"/>
          <w:shd w:val="clear" w:color="auto" w:fill="FFFFFF"/>
          <w:lang w:val="en-US" w:eastAsia="pl-PL"/>
        </w:rPr>
        <w:t xml:space="preserve">Nonpublic </w:t>
      </w:r>
      <w:r w:rsidR="00833CF3" w:rsidRPr="00833CF3">
        <w:rPr>
          <w:rFonts w:ascii="Book Antiqua" w:eastAsia="Times New Roman" w:hAnsi="Book Antiqua" w:cs="Segoe UI"/>
          <w:color w:val="000000" w:themeColor="text1"/>
          <w:shd w:val="clear" w:color="auto" w:fill="FFFFFF"/>
          <w:lang w:val="en-US" w:eastAsia="pl-PL"/>
        </w:rPr>
        <w:t>Health Care Unit</w:t>
      </w:r>
      <w:r w:rsidR="00FE7201" w:rsidRPr="001256B1">
        <w:rPr>
          <w:rFonts w:ascii="Book Antiqua" w:eastAsia="Times New Roman" w:hAnsi="Book Antiqua" w:cs="Segoe UI"/>
          <w:color w:val="000000" w:themeColor="text1"/>
          <w:shd w:val="clear" w:color="auto" w:fill="FFFFFF"/>
          <w:lang w:val="en-US" w:eastAsia="pl-PL"/>
        </w:rPr>
        <w:t>,</w:t>
      </w:r>
      <w:r w:rsidR="00833CF3">
        <w:rPr>
          <w:rFonts w:ascii="Book Antiqua" w:eastAsia="Times New Roman" w:hAnsi="Book Antiqua" w:cs="Segoe UI"/>
          <w:color w:val="000000" w:themeColor="text1"/>
          <w:shd w:val="clear" w:color="auto" w:fill="FFFFFF"/>
          <w:lang w:val="en-US" w:eastAsia="pl-PL"/>
        </w:rPr>
        <w:t xml:space="preserve"> </w:t>
      </w:r>
      <w:r w:rsidRPr="001256B1">
        <w:rPr>
          <w:rFonts w:ascii="Book Antiqua" w:eastAsia="Times New Roman" w:hAnsi="Book Antiqua" w:cs="Segoe UI"/>
          <w:color w:val="000000" w:themeColor="text1"/>
          <w:shd w:val="clear" w:color="auto" w:fill="FFFFFF"/>
          <w:lang w:val="en-US" w:eastAsia="pl-PL"/>
        </w:rPr>
        <w:t>Kielce</w:t>
      </w:r>
      <w:r w:rsidR="00833CF3">
        <w:rPr>
          <w:rFonts w:ascii="Book Antiqua" w:eastAsia="Times New Roman" w:hAnsi="Book Antiqua" w:cs="Segoe UI"/>
          <w:color w:val="000000" w:themeColor="text1"/>
          <w:shd w:val="clear" w:color="auto" w:fill="FFFFFF"/>
          <w:lang w:val="en-US" w:eastAsia="pl-PL"/>
        </w:rPr>
        <w:t xml:space="preserve"> </w:t>
      </w:r>
      <w:r w:rsidR="00CE1E7E">
        <w:rPr>
          <w:rFonts w:ascii="Book Antiqua" w:eastAsia="Times New Roman" w:hAnsi="Book Antiqua" w:cs="Segoe UI"/>
          <w:color w:val="000000" w:themeColor="text1"/>
          <w:shd w:val="clear" w:color="auto" w:fill="FFFFFF"/>
          <w:lang w:val="en-US" w:eastAsia="pl-PL"/>
        </w:rPr>
        <w:t>25</w:t>
      </w:r>
      <w:r w:rsidR="00833CF3" w:rsidRPr="00833CF3">
        <w:rPr>
          <w:rFonts w:ascii="Book Antiqua" w:eastAsia="Times New Roman" w:hAnsi="Book Antiqua" w:cs="Segoe UI"/>
          <w:color w:val="000000" w:themeColor="text1"/>
          <w:shd w:val="clear" w:color="auto" w:fill="FFFFFF"/>
          <w:lang w:val="en-US" w:eastAsia="pl-PL"/>
        </w:rPr>
        <w:t>734</w:t>
      </w:r>
      <w:r w:rsidRPr="001256B1">
        <w:rPr>
          <w:rFonts w:ascii="Book Antiqua" w:eastAsia="Times New Roman" w:hAnsi="Book Antiqua" w:cs="Segoe UI"/>
          <w:color w:val="000000" w:themeColor="text1"/>
          <w:shd w:val="clear" w:color="auto" w:fill="FFFFFF"/>
          <w:lang w:val="en-US" w:eastAsia="pl-PL"/>
        </w:rPr>
        <w:t>, Poland</w:t>
      </w:r>
    </w:p>
    <w:p w14:paraId="3D6C463D" w14:textId="77777777" w:rsidR="005D324F" w:rsidRPr="001256B1" w:rsidRDefault="005D324F" w:rsidP="00F55750">
      <w:pPr>
        <w:snapToGrid w:val="0"/>
        <w:spacing w:line="360" w:lineRule="auto"/>
        <w:jc w:val="both"/>
        <w:rPr>
          <w:rFonts w:ascii="Book Antiqua" w:hAnsi="Book Antiqua" w:cs="Times New Roman"/>
        </w:rPr>
      </w:pPr>
    </w:p>
    <w:p w14:paraId="7091511A" w14:textId="1631DD62" w:rsidR="00A43655" w:rsidRDefault="000A47D6" w:rsidP="00F55750">
      <w:pPr>
        <w:snapToGrid w:val="0"/>
        <w:spacing w:line="360" w:lineRule="auto"/>
        <w:jc w:val="both"/>
        <w:rPr>
          <w:rFonts w:ascii="Book Antiqua" w:hAnsi="Book Antiqua" w:cs="Segoe UI"/>
          <w:color w:val="000000" w:themeColor="text1"/>
          <w:shd w:val="clear" w:color="auto" w:fill="FFFFFF"/>
          <w:lang w:val="en-US"/>
        </w:rPr>
      </w:pPr>
      <w:r w:rsidRPr="001256B1">
        <w:rPr>
          <w:rFonts w:ascii="Book Antiqua" w:hAnsi="Book Antiqua"/>
          <w:b/>
        </w:rPr>
        <w:t>Author contributions:</w:t>
      </w:r>
      <w:r w:rsidR="00325838" w:rsidRPr="001256B1">
        <w:rPr>
          <w:rFonts w:ascii="Book Antiqua" w:eastAsia="Times New Roman" w:hAnsi="Book Antiqua" w:cs="Segoe UI"/>
          <w:b/>
          <w:bCs/>
          <w:color w:val="000000" w:themeColor="text1"/>
          <w:shd w:val="clear" w:color="auto" w:fill="FFFFFF"/>
          <w:lang w:val="en-US" w:eastAsia="pl-PL"/>
        </w:rPr>
        <w:t xml:space="preserve"> </w:t>
      </w:r>
      <w:proofErr w:type="spellStart"/>
      <w:r w:rsidR="00325838" w:rsidRPr="001256B1">
        <w:rPr>
          <w:rFonts w:ascii="Book Antiqua" w:eastAsia="Times New Roman" w:hAnsi="Book Antiqua" w:cs="Segoe UI"/>
          <w:color w:val="000000" w:themeColor="text1"/>
          <w:shd w:val="clear" w:color="auto" w:fill="FFFFFF"/>
          <w:lang w:val="en-US" w:eastAsia="pl-PL"/>
        </w:rPr>
        <w:t>Lomperta</w:t>
      </w:r>
      <w:proofErr w:type="spellEnd"/>
      <w:r w:rsidR="00325838" w:rsidRPr="001256B1">
        <w:rPr>
          <w:rFonts w:ascii="Book Antiqua" w:eastAsia="Times New Roman" w:hAnsi="Book Antiqua" w:cs="Segoe UI"/>
          <w:color w:val="000000" w:themeColor="text1"/>
          <w:shd w:val="clear" w:color="auto" w:fill="FFFFFF"/>
          <w:lang w:val="en-US" w:eastAsia="pl-PL"/>
        </w:rPr>
        <w:t xml:space="preserve"> K </w:t>
      </w:r>
      <w:r w:rsidR="009C2E99" w:rsidRPr="001256B1">
        <w:rPr>
          <w:rFonts w:ascii="Book Antiqua" w:eastAsia="Times New Roman" w:hAnsi="Book Antiqua" w:cs="Segoe UI"/>
          <w:color w:val="000000" w:themeColor="text1"/>
          <w:shd w:val="clear" w:color="auto" w:fill="FFFFFF"/>
          <w:lang w:val="en-US" w:eastAsia="pl-PL"/>
        </w:rPr>
        <w:t>contributed to data analysis, literature review and writing the manuscript</w:t>
      </w:r>
      <w:r w:rsidR="00325838" w:rsidRPr="001256B1">
        <w:rPr>
          <w:rFonts w:ascii="Book Antiqua" w:hAnsi="Book Antiqua" w:cs="Segoe UI"/>
          <w:color w:val="000000" w:themeColor="text1"/>
          <w:shd w:val="clear" w:color="auto" w:fill="FFFFFF"/>
          <w:lang w:val="en-US"/>
        </w:rPr>
        <w:t xml:space="preserve">; </w:t>
      </w:r>
      <w:proofErr w:type="spellStart"/>
      <w:r w:rsidR="00325838" w:rsidRPr="001256B1">
        <w:rPr>
          <w:rFonts w:ascii="Book Antiqua" w:hAnsi="Book Antiqua" w:cs="Segoe UI"/>
          <w:color w:val="000000" w:themeColor="text1"/>
          <w:shd w:val="clear" w:color="auto" w:fill="FFFFFF"/>
          <w:lang w:val="en-US"/>
        </w:rPr>
        <w:t>Ka</w:t>
      </w:r>
      <w:r w:rsidR="00E374EF" w:rsidRPr="001256B1">
        <w:rPr>
          <w:rFonts w:ascii="Book Antiqua" w:hAnsi="Book Antiqua" w:cs="Segoe UI"/>
          <w:color w:val="000000" w:themeColor="text1"/>
          <w:shd w:val="clear" w:color="auto" w:fill="FFFFFF"/>
          <w:lang w:val="en-US"/>
        </w:rPr>
        <w:t>n</w:t>
      </w:r>
      <w:r w:rsidR="00325838" w:rsidRPr="001256B1">
        <w:rPr>
          <w:rFonts w:ascii="Book Antiqua" w:hAnsi="Book Antiqua" w:cs="Segoe UI"/>
          <w:color w:val="000000" w:themeColor="text1"/>
          <w:shd w:val="clear" w:color="auto" w:fill="FFFFFF"/>
          <w:lang w:val="en-US"/>
        </w:rPr>
        <w:t>czuga-Koda</w:t>
      </w:r>
      <w:proofErr w:type="spellEnd"/>
      <w:r w:rsidR="00325838" w:rsidRPr="001256B1">
        <w:rPr>
          <w:rFonts w:ascii="Book Antiqua" w:hAnsi="Book Antiqua" w:cs="Segoe UI"/>
          <w:color w:val="000000" w:themeColor="text1"/>
          <w:shd w:val="clear" w:color="auto" w:fill="FFFFFF"/>
          <w:lang w:val="en-US"/>
        </w:rPr>
        <w:t xml:space="preserve"> L, </w:t>
      </w:r>
      <w:proofErr w:type="spellStart"/>
      <w:r w:rsidR="00325838" w:rsidRPr="001256B1">
        <w:rPr>
          <w:rFonts w:ascii="Book Antiqua" w:hAnsi="Book Antiqua" w:cs="Segoe UI"/>
          <w:color w:val="000000" w:themeColor="text1"/>
          <w:shd w:val="clear" w:color="auto" w:fill="FFFFFF"/>
          <w:lang w:val="en-US"/>
        </w:rPr>
        <w:t>Koda</w:t>
      </w:r>
      <w:proofErr w:type="spellEnd"/>
      <w:r w:rsidR="00325838" w:rsidRPr="001256B1">
        <w:rPr>
          <w:rFonts w:ascii="Book Antiqua" w:hAnsi="Book Antiqua" w:cs="Segoe UI"/>
          <w:color w:val="000000" w:themeColor="text1"/>
          <w:shd w:val="clear" w:color="auto" w:fill="FFFFFF"/>
          <w:lang w:val="en-US"/>
        </w:rPr>
        <w:t xml:space="preserve"> M and </w:t>
      </w:r>
      <w:proofErr w:type="spellStart"/>
      <w:r w:rsidR="00325838" w:rsidRPr="001256B1">
        <w:rPr>
          <w:rFonts w:ascii="Book Antiqua" w:hAnsi="Book Antiqua" w:cs="Segoe UI"/>
          <w:color w:val="000000" w:themeColor="text1"/>
          <w:shd w:val="clear" w:color="auto" w:fill="FFFFFF"/>
          <w:lang w:val="en-US"/>
        </w:rPr>
        <w:t>Wincewicz</w:t>
      </w:r>
      <w:proofErr w:type="spellEnd"/>
      <w:r w:rsidR="00325838" w:rsidRPr="001256B1">
        <w:rPr>
          <w:rFonts w:ascii="Book Antiqua" w:hAnsi="Book Antiqua" w:cs="Segoe UI"/>
          <w:color w:val="000000" w:themeColor="text1"/>
          <w:shd w:val="clear" w:color="auto" w:fill="FFFFFF"/>
          <w:lang w:val="en-US"/>
        </w:rPr>
        <w:t xml:space="preserve"> A contributed to </w:t>
      </w:r>
      <w:r w:rsidR="009C2E99" w:rsidRPr="001256B1">
        <w:rPr>
          <w:rFonts w:ascii="Book Antiqua" w:hAnsi="Book Antiqua" w:cs="Segoe UI"/>
          <w:color w:val="000000" w:themeColor="text1"/>
          <w:shd w:val="clear" w:color="auto" w:fill="FFFFFF"/>
          <w:lang w:val="en-US"/>
        </w:rPr>
        <w:t>data acquisition</w:t>
      </w:r>
      <w:r w:rsidR="008F5A7C" w:rsidRPr="001256B1">
        <w:rPr>
          <w:rFonts w:ascii="Book Antiqua" w:hAnsi="Book Antiqua" w:cs="Segoe UI"/>
          <w:color w:val="000000" w:themeColor="text1"/>
          <w:shd w:val="clear" w:color="auto" w:fill="FFFFFF"/>
          <w:lang w:val="en-US"/>
        </w:rPr>
        <w:t>, data analysis</w:t>
      </w:r>
      <w:r w:rsidR="00BA2905" w:rsidRPr="001256B1">
        <w:rPr>
          <w:rFonts w:ascii="Book Antiqua" w:hAnsi="Book Antiqua" w:cs="Segoe UI"/>
          <w:color w:val="000000" w:themeColor="text1"/>
          <w:shd w:val="clear" w:color="auto" w:fill="FFFFFF"/>
          <w:lang w:val="en-US"/>
        </w:rPr>
        <w:t xml:space="preserve"> and design of the manuscript</w:t>
      </w:r>
      <w:r w:rsidR="00325838" w:rsidRPr="001256B1">
        <w:rPr>
          <w:rFonts w:ascii="Book Antiqua" w:hAnsi="Book Antiqua" w:cs="Segoe UI"/>
          <w:color w:val="000000" w:themeColor="text1"/>
          <w:shd w:val="clear" w:color="auto" w:fill="FFFFFF"/>
          <w:lang w:val="en-US"/>
        </w:rPr>
        <w:t>;</w:t>
      </w:r>
      <w:r w:rsidR="00BA2905" w:rsidRPr="001256B1">
        <w:rPr>
          <w:rFonts w:ascii="Book Antiqua" w:hAnsi="Book Antiqua" w:cs="Segoe UI"/>
          <w:color w:val="000000" w:themeColor="text1"/>
          <w:shd w:val="clear" w:color="auto" w:fill="FFFFFF"/>
          <w:lang w:val="en-US"/>
        </w:rPr>
        <w:t xml:space="preserve"> </w:t>
      </w:r>
      <w:proofErr w:type="spellStart"/>
      <w:r w:rsidR="00BA2905" w:rsidRPr="001256B1">
        <w:rPr>
          <w:rFonts w:ascii="Book Antiqua" w:hAnsi="Book Antiqua" w:cs="Segoe UI"/>
          <w:color w:val="000000" w:themeColor="text1"/>
          <w:shd w:val="clear" w:color="auto" w:fill="FFFFFF"/>
          <w:lang w:val="en-US"/>
        </w:rPr>
        <w:t>Jakubowska</w:t>
      </w:r>
      <w:proofErr w:type="spellEnd"/>
      <w:r w:rsidR="00BA2905" w:rsidRPr="001256B1">
        <w:rPr>
          <w:rFonts w:ascii="Book Antiqua" w:hAnsi="Book Antiqua" w:cs="Segoe UI"/>
          <w:color w:val="000000" w:themeColor="text1"/>
          <w:shd w:val="clear" w:color="auto" w:fill="FFFFFF"/>
          <w:lang w:val="en-US"/>
        </w:rPr>
        <w:t xml:space="preserve"> K and </w:t>
      </w:r>
      <w:proofErr w:type="spellStart"/>
      <w:r w:rsidR="00BA2905" w:rsidRPr="001256B1">
        <w:rPr>
          <w:rFonts w:ascii="Book Antiqua" w:hAnsi="Book Antiqua" w:cs="Segoe UI"/>
          <w:color w:val="000000" w:themeColor="text1"/>
          <w:shd w:val="clear" w:color="auto" w:fill="FFFFFF"/>
          <w:lang w:val="en-US"/>
        </w:rPr>
        <w:t>Grudzi</w:t>
      </w:r>
      <w:r w:rsidR="00E374EF" w:rsidRPr="001256B1">
        <w:rPr>
          <w:rFonts w:ascii="Book Antiqua" w:hAnsi="Book Antiqua" w:cs="Segoe UI"/>
          <w:color w:val="000000" w:themeColor="text1"/>
          <w:shd w:val="clear" w:color="auto" w:fill="FFFFFF"/>
          <w:lang w:val="en-US"/>
        </w:rPr>
        <w:t>n</w:t>
      </w:r>
      <w:r w:rsidR="00BA2905" w:rsidRPr="001256B1">
        <w:rPr>
          <w:rFonts w:ascii="Book Antiqua" w:hAnsi="Book Antiqua" w:cs="Segoe UI"/>
          <w:color w:val="000000" w:themeColor="text1"/>
          <w:shd w:val="clear" w:color="auto" w:fill="FFFFFF"/>
          <w:lang w:val="en-US"/>
        </w:rPr>
        <w:t>ska</w:t>
      </w:r>
      <w:proofErr w:type="spellEnd"/>
      <w:r w:rsidR="00BA2905" w:rsidRPr="001256B1">
        <w:rPr>
          <w:rFonts w:ascii="Book Antiqua" w:hAnsi="Book Antiqua" w:cs="Segoe UI"/>
          <w:color w:val="000000" w:themeColor="text1"/>
          <w:shd w:val="clear" w:color="auto" w:fill="FFFFFF"/>
          <w:lang w:val="en-US"/>
        </w:rPr>
        <w:t xml:space="preserve"> M contributed to literature review and </w:t>
      </w:r>
      <w:r w:rsidR="00BA2905" w:rsidRPr="001256B1">
        <w:rPr>
          <w:rFonts w:ascii="Book Antiqua" w:hAnsi="Book Antiqua" w:cs="Segoe UI"/>
          <w:color w:val="000000" w:themeColor="text1"/>
          <w:shd w:val="clear" w:color="auto" w:fill="FFFFFF"/>
          <w:lang w:val="en-US"/>
        </w:rPr>
        <w:lastRenderedPageBreak/>
        <w:t>manuscript drafting;</w:t>
      </w:r>
      <w:r w:rsidR="00325838" w:rsidRPr="001256B1">
        <w:rPr>
          <w:rFonts w:ascii="Book Antiqua" w:hAnsi="Book Antiqua" w:cs="Segoe UI"/>
          <w:color w:val="000000" w:themeColor="text1"/>
          <w:shd w:val="clear" w:color="auto" w:fill="FFFFFF"/>
          <w:lang w:val="en-US"/>
        </w:rPr>
        <w:t xml:space="preserve"> </w:t>
      </w:r>
      <w:proofErr w:type="spellStart"/>
      <w:r w:rsidR="00325838" w:rsidRPr="001256B1">
        <w:rPr>
          <w:rFonts w:ascii="Book Antiqua" w:hAnsi="Book Antiqua" w:cs="Segoe UI"/>
          <w:color w:val="000000" w:themeColor="text1"/>
          <w:shd w:val="clear" w:color="auto" w:fill="FFFFFF"/>
          <w:lang w:val="en-US"/>
        </w:rPr>
        <w:t>Surmacz</w:t>
      </w:r>
      <w:proofErr w:type="spellEnd"/>
      <w:r w:rsidR="00325838" w:rsidRPr="001256B1">
        <w:rPr>
          <w:rFonts w:ascii="Book Antiqua" w:hAnsi="Book Antiqua" w:cs="Segoe UI"/>
          <w:color w:val="000000" w:themeColor="text1"/>
          <w:shd w:val="clear" w:color="auto" w:fill="FFFFFF"/>
          <w:lang w:val="en-US"/>
        </w:rPr>
        <w:t xml:space="preserve"> E</w:t>
      </w:r>
      <w:r w:rsidR="00BA2905" w:rsidRPr="001256B1">
        <w:rPr>
          <w:rFonts w:ascii="Book Antiqua" w:hAnsi="Book Antiqua" w:cs="Segoe UI"/>
          <w:color w:val="000000" w:themeColor="text1"/>
          <w:shd w:val="clear" w:color="auto" w:fill="FFFFFF"/>
          <w:lang w:val="en-US"/>
        </w:rPr>
        <w:t xml:space="preserve"> </w:t>
      </w:r>
      <w:r w:rsidR="00325838" w:rsidRPr="001256B1">
        <w:rPr>
          <w:rFonts w:ascii="Book Antiqua" w:hAnsi="Book Antiqua" w:cs="Segoe UI"/>
          <w:color w:val="000000" w:themeColor="text1"/>
          <w:shd w:val="clear" w:color="auto" w:fill="FFFFFF"/>
          <w:lang w:val="en-US"/>
        </w:rPr>
        <w:t xml:space="preserve">contributed to editing the manuscript; </w:t>
      </w:r>
      <w:proofErr w:type="spellStart"/>
      <w:r w:rsidR="00BA2905" w:rsidRPr="001256B1">
        <w:rPr>
          <w:rFonts w:ascii="Book Antiqua" w:hAnsi="Book Antiqua" w:cs="Segoe UI"/>
          <w:color w:val="000000" w:themeColor="text1"/>
          <w:shd w:val="clear" w:color="auto" w:fill="FFFFFF"/>
          <w:lang w:val="en-US"/>
        </w:rPr>
        <w:t>Surmacz</w:t>
      </w:r>
      <w:proofErr w:type="spellEnd"/>
      <w:r w:rsidR="00BA2905" w:rsidRPr="001256B1">
        <w:rPr>
          <w:rFonts w:ascii="Book Antiqua" w:hAnsi="Book Antiqua" w:cs="Segoe UI"/>
          <w:color w:val="000000" w:themeColor="text1"/>
          <w:shd w:val="clear" w:color="auto" w:fill="FFFFFF"/>
          <w:lang w:val="en-US"/>
        </w:rPr>
        <w:t xml:space="preserve"> E, </w:t>
      </w:r>
      <w:proofErr w:type="spellStart"/>
      <w:r w:rsidR="00BA2905" w:rsidRPr="001256B1">
        <w:rPr>
          <w:rFonts w:ascii="Book Antiqua" w:hAnsi="Book Antiqua" w:cs="Segoe UI"/>
          <w:color w:val="000000" w:themeColor="text1"/>
          <w:shd w:val="clear" w:color="auto" w:fill="FFFFFF"/>
          <w:lang w:val="en-US"/>
        </w:rPr>
        <w:t>Sulkowski</w:t>
      </w:r>
      <w:proofErr w:type="spellEnd"/>
      <w:r w:rsidR="00BA2905" w:rsidRPr="001256B1">
        <w:rPr>
          <w:rFonts w:ascii="Book Antiqua" w:hAnsi="Book Antiqua" w:cs="Segoe UI"/>
          <w:color w:val="000000" w:themeColor="text1"/>
          <w:shd w:val="clear" w:color="auto" w:fill="FFFFFF"/>
          <w:lang w:val="en-US"/>
        </w:rPr>
        <w:t xml:space="preserve"> S and </w:t>
      </w:r>
      <w:proofErr w:type="spellStart"/>
      <w:r w:rsidR="00BA2905" w:rsidRPr="001256B1">
        <w:rPr>
          <w:rFonts w:ascii="Book Antiqua" w:hAnsi="Book Antiqua" w:cs="Segoe UI"/>
          <w:color w:val="000000" w:themeColor="text1"/>
          <w:shd w:val="clear" w:color="auto" w:fill="FFFFFF"/>
          <w:lang w:val="en-US"/>
        </w:rPr>
        <w:t>Koda</w:t>
      </w:r>
      <w:proofErr w:type="spellEnd"/>
      <w:r w:rsidR="00BA2905" w:rsidRPr="001256B1">
        <w:rPr>
          <w:rFonts w:ascii="Book Antiqua" w:hAnsi="Book Antiqua" w:cs="Segoe UI"/>
          <w:color w:val="000000" w:themeColor="text1"/>
          <w:shd w:val="clear" w:color="auto" w:fill="FFFFFF"/>
          <w:lang w:val="en-US"/>
        </w:rPr>
        <w:t xml:space="preserve"> M performed the revision and approval of the final version</w:t>
      </w:r>
      <w:r w:rsidR="00325838" w:rsidRPr="001256B1">
        <w:rPr>
          <w:rFonts w:ascii="Book Antiqua" w:hAnsi="Book Antiqua" w:cs="Segoe UI"/>
          <w:color w:val="000000" w:themeColor="text1"/>
          <w:shd w:val="clear" w:color="auto" w:fill="FFFFFF"/>
          <w:lang w:val="en-US"/>
        </w:rPr>
        <w:t xml:space="preserve">; </w:t>
      </w:r>
      <w:proofErr w:type="spellStart"/>
      <w:r w:rsidR="00325838" w:rsidRPr="001256B1">
        <w:rPr>
          <w:rFonts w:ascii="Book Antiqua" w:hAnsi="Book Antiqua" w:cs="Segoe UI"/>
          <w:color w:val="000000" w:themeColor="text1"/>
          <w:shd w:val="clear" w:color="auto" w:fill="FFFFFF"/>
          <w:lang w:val="en-US"/>
        </w:rPr>
        <w:t>Koda</w:t>
      </w:r>
      <w:proofErr w:type="spellEnd"/>
      <w:r w:rsidR="00325838" w:rsidRPr="001256B1">
        <w:rPr>
          <w:rFonts w:ascii="Book Antiqua" w:hAnsi="Book Antiqua" w:cs="Segoe UI"/>
          <w:color w:val="000000" w:themeColor="text1"/>
          <w:shd w:val="clear" w:color="auto" w:fill="FFFFFF"/>
          <w:lang w:val="en-US"/>
        </w:rPr>
        <w:t xml:space="preserve"> M supervised the project;</w:t>
      </w:r>
      <w:r w:rsidR="009C2E99" w:rsidRPr="001256B1">
        <w:rPr>
          <w:rFonts w:ascii="Book Antiqua" w:hAnsi="Book Antiqua" w:cs="Segoe UI"/>
          <w:color w:val="000000" w:themeColor="text1"/>
          <w:shd w:val="clear" w:color="auto" w:fill="FFFFFF"/>
          <w:lang w:val="en-US"/>
        </w:rPr>
        <w:t xml:space="preserve"> </w:t>
      </w:r>
      <w:r w:rsidR="007A76F0" w:rsidRPr="001256B1">
        <w:rPr>
          <w:rFonts w:ascii="Book Antiqua" w:hAnsi="Book Antiqua" w:cs="Segoe UI"/>
          <w:color w:val="000000" w:themeColor="text1"/>
          <w:shd w:val="clear" w:color="auto" w:fill="FFFFFF"/>
          <w:lang w:val="en-US"/>
        </w:rPr>
        <w:t>a</w:t>
      </w:r>
      <w:r w:rsidR="009C2E99" w:rsidRPr="001256B1">
        <w:rPr>
          <w:rFonts w:ascii="Book Antiqua" w:hAnsi="Book Antiqua" w:cs="Segoe UI"/>
          <w:color w:val="000000" w:themeColor="text1"/>
          <w:shd w:val="clear" w:color="auto" w:fill="FFFFFF"/>
          <w:lang w:val="en-US"/>
        </w:rPr>
        <w:t>ll authors provided critical feedback and helped shape the research, analysis and manuscript.</w:t>
      </w:r>
    </w:p>
    <w:p w14:paraId="7BEFABA6" w14:textId="77777777" w:rsidR="00CE1E7E" w:rsidRPr="001256B1" w:rsidRDefault="00CE1E7E" w:rsidP="00F55750">
      <w:pPr>
        <w:snapToGrid w:val="0"/>
        <w:spacing w:line="360" w:lineRule="auto"/>
        <w:jc w:val="both"/>
        <w:rPr>
          <w:rFonts w:ascii="Book Antiqua" w:hAnsi="Book Antiqua" w:cs="Segoe UI"/>
          <w:color w:val="000000" w:themeColor="text1"/>
          <w:shd w:val="clear" w:color="auto" w:fill="FFFFFF"/>
          <w:lang w:val="en-US"/>
        </w:rPr>
      </w:pPr>
    </w:p>
    <w:p w14:paraId="77CE1D7A" w14:textId="3498F744" w:rsidR="009E6D9E" w:rsidRPr="001256B1" w:rsidRDefault="00182867" w:rsidP="00F55750">
      <w:pPr>
        <w:snapToGrid w:val="0"/>
        <w:spacing w:line="360" w:lineRule="auto"/>
        <w:jc w:val="both"/>
        <w:rPr>
          <w:rFonts w:ascii="Book Antiqua" w:hAnsi="Book Antiqua"/>
          <w:color w:val="0563C1" w:themeColor="hyperlink"/>
          <w:u w:val="single"/>
        </w:rPr>
      </w:pPr>
      <w:r w:rsidRPr="001256B1">
        <w:rPr>
          <w:rFonts w:ascii="Book Antiqua" w:hAnsi="Book Antiqua"/>
          <w:b/>
        </w:rPr>
        <w:t>Corresponding author:</w:t>
      </w:r>
      <w:bookmarkStart w:id="11" w:name="OLE_LINK9"/>
      <w:bookmarkStart w:id="12" w:name="OLE_LINK10"/>
      <w:r w:rsidRPr="001256B1">
        <w:rPr>
          <w:rFonts w:ascii="Book Antiqua" w:hAnsi="Book Antiqua"/>
          <w:b/>
        </w:rPr>
        <w:t xml:space="preserve"> </w:t>
      </w:r>
      <w:bookmarkStart w:id="13" w:name="OLE_LINK18"/>
      <w:bookmarkStart w:id="14" w:name="OLE_LINK19"/>
      <w:bookmarkStart w:id="15" w:name="OLE_LINK34"/>
      <w:bookmarkStart w:id="16" w:name="OLE_LINK35"/>
      <w:r w:rsidR="00A43655" w:rsidRPr="001256B1">
        <w:rPr>
          <w:rFonts w:ascii="Book Antiqua" w:hAnsi="Book Antiqua"/>
          <w:b/>
          <w:color w:val="000000" w:themeColor="text1"/>
          <w:lang w:val="en-US"/>
        </w:rPr>
        <w:t>Karolina</w:t>
      </w:r>
      <w:bookmarkEnd w:id="13"/>
      <w:bookmarkEnd w:id="14"/>
      <w:r w:rsidR="00A43655" w:rsidRPr="001256B1">
        <w:rPr>
          <w:rFonts w:ascii="Book Antiqua" w:hAnsi="Book Antiqua"/>
          <w:b/>
          <w:color w:val="000000" w:themeColor="text1"/>
          <w:lang w:val="en-US"/>
        </w:rPr>
        <w:t xml:space="preserve"> </w:t>
      </w:r>
      <w:proofErr w:type="spellStart"/>
      <w:r w:rsidR="00A43655" w:rsidRPr="001256B1">
        <w:rPr>
          <w:rFonts w:ascii="Book Antiqua" w:hAnsi="Book Antiqua"/>
          <w:b/>
          <w:color w:val="000000" w:themeColor="text1"/>
          <w:lang w:val="en-US"/>
        </w:rPr>
        <w:t>Lomperta</w:t>
      </w:r>
      <w:bookmarkEnd w:id="11"/>
      <w:bookmarkEnd w:id="12"/>
      <w:proofErr w:type="spellEnd"/>
      <w:r w:rsidR="00E374EF" w:rsidRPr="001256B1">
        <w:rPr>
          <w:rFonts w:ascii="Book Antiqua" w:hAnsi="Book Antiqua"/>
          <w:bCs/>
          <w:color w:val="000000" w:themeColor="text1"/>
          <w:lang w:val="en-US"/>
        </w:rPr>
        <w:t>,</w:t>
      </w:r>
      <w:r w:rsidR="006D138E" w:rsidRPr="001256B1">
        <w:rPr>
          <w:rFonts w:ascii="Book Antiqua" w:hAnsi="Book Antiqua"/>
          <w:bCs/>
          <w:color w:val="000000" w:themeColor="text1"/>
          <w:lang w:val="en-US"/>
        </w:rPr>
        <w:t xml:space="preserve"> </w:t>
      </w:r>
      <w:r w:rsidR="006D138E" w:rsidRPr="001256B1">
        <w:rPr>
          <w:rFonts w:ascii="Book Antiqua" w:hAnsi="Book Antiqua"/>
          <w:b/>
          <w:color w:val="000000" w:themeColor="text1"/>
          <w:lang w:val="en-US"/>
        </w:rPr>
        <w:t xml:space="preserve">MD, Doctor, </w:t>
      </w:r>
      <w:bookmarkStart w:id="17" w:name="OLE_LINK20"/>
      <w:bookmarkStart w:id="18" w:name="OLE_LINK21"/>
      <w:r w:rsidR="006D138E" w:rsidRPr="001256B1">
        <w:rPr>
          <w:rFonts w:ascii="Book Antiqua" w:hAnsi="Book Antiqua"/>
          <w:lang w:val="en-GB"/>
        </w:rPr>
        <w:t xml:space="preserve">Department of General </w:t>
      </w:r>
      <w:proofErr w:type="spellStart"/>
      <w:r w:rsidR="006D138E" w:rsidRPr="001256B1">
        <w:rPr>
          <w:rFonts w:ascii="Book Antiqua" w:hAnsi="Book Antiqua"/>
          <w:lang w:val="en-GB"/>
        </w:rPr>
        <w:t>Pathomorphology</w:t>
      </w:r>
      <w:bookmarkEnd w:id="17"/>
      <w:bookmarkEnd w:id="18"/>
      <w:proofErr w:type="spellEnd"/>
      <w:r w:rsidR="00A43655" w:rsidRPr="001256B1">
        <w:rPr>
          <w:rFonts w:ascii="Book Antiqua" w:hAnsi="Book Antiqua"/>
          <w:lang w:val="en-GB"/>
        </w:rPr>
        <w:t xml:space="preserve">, </w:t>
      </w:r>
      <w:r w:rsidR="006D138E" w:rsidRPr="001256B1">
        <w:rPr>
          <w:rFonts w:ascii="Book Antiqua" w:hAnsi="Book Antiqua"/>
          <w:lang w:val="en-GB"/>
        </w:rPr>
        <w:t>Medical University of Bialystok</w:t>
      </w:r>
      <w:r w:rsidR="00A43655" w:rsidRPr="001256B1">
        <w:rPr>
          <w:rFonts w:ascii="Book Antiqua" w:hAnsi="Book Antiqua"/>
          <w:lang w:val="en-GB"/>
        </w:rPr>
        <w:t xml:space="preserve">, </w:t>
      </w:r>
      <w:r w:rsidR="00725CE3" w:rsidRPr="001256B1">
        <w:rPr>
          <w:rFonts w:ascii="Book Antiqua" w:hAnsi="Book Antiqua"/>
          <w:lang w:val="en-GB"/>
        </w:rPr>
        <w:t xml:space="preserve">13 </w:t>
      </w:r>
      <w:proofErr w:type="spellStart"/>
      <w:r w:rsidR="00725CE3" w:rsidRPr="001256B1">
        <w:rPr>
          <w:rFonts w:ascii="Book Antiqua" w:hAnsi="Book Antiqua"/>
          <w:lang w:val="en-GB"/>
        </w:rPr>
        <w:t>Waszyngtona</w:t>
      </w:r>
      <w:proofErr w:type="spellEnd"/>
      <w:r w:rsidR="00725CE3" w:rsidRPr="001256B1">
        <w:rPr>
          <w:rFonts w:ascii="Book Antiqua" w:hAnsi="Book Antiqua"/>
          <w:lang w:val="en-GB"/>
        </w:rPr>
        <w:t xml:space="preserve"> Street</w:t>
      </w:r>
      <w:r w:rsidR="00A43655" w:rsidRPr="001256B1">
        <w:rPr>
          <w:rFonts w:ascii="Book Antiqua" w:hAnsi="Book Antiqua"/>
          <w:lang w:val="en-GB"/>
        </w:rPr>
        <w:t>,</w:t>
      </w:r>
      <w:r w:rsidR="00725CE3" w:rsidRPr="001256B1">
        <w:rPr>
          <w:rFonts w:ascii="Book Antiqua" w:hAnsi="Book Antiqua"/>
          <w:lang w:val="en-GB"/>
        </w:rPr>
        <w:t xml:space="preserve"> </w:t>
      </w:r>
      <w:bookmarkStart w:id="19" w:name="OLE_LINK22"/>
      <w:bookmarkStart w:id="20" w:name="OLE_LINK23"/>
      <w:r w:rsidR="00A43655" w:rsidRPr="001256B1">
        <w:rPr>
          <w:rFonts w:ascii="Book Antiqua" w:hAnsi="Book Antiqua"/>
          <w:lang w:val="en-GB"/>
        </w:rPr>
        <w:t>Bialystok</w:t>
      </w:r>
      <w:bookmarkEnd w:id="19"/>
      <w:bookmarkEnd w:id="20"/>
      <w:r w:rsidR="00725CE3" w:rsidRPr="001256B1">
        <w:rPr>
          <w:rFonts w:ascii="Book Antiqua" w:hAnsi="Book Antiqua"/>
          <w:lang w:val="en-GB"/>
        </w:rPr>
        <w:t xml:space="preserve"> 15269</w:t>
      </w:r>
      <w:r w:rsidR="00A43655" w:rsidRPr="001256B1">
        <w:rPr>
          <w:rFonts w:ascii="Book Antiqua" w:hAnsi="Book Antiqua"/>
          <w:lang w:val="en-GB"/>
        </w:rPr>
        <w:t xml:space="preserve">, </w:t>
      </w:r>
      <w:bookmarkStart w:id="21" w:name="OLE_LINK24"/>
      <w:bookmarkStart w:id="22" w:name="OLE_LINK25"/>
      <w:bookmarkStart w:id="23" w:name="OLE_LINK28"/>
      <w:r w:rsidR="00A43655" w:rsidRPr="001256B1">
        <w:rPr>
          <w:rFonts w:ascii="Book Antiqua" w:hAnsi="Book Antiqua"/>
          <w:lang w:val="en-GB"/>
        </w:rPr>
        <w:t>Pol</w:t>
      </w:r>
      <w:r w:rsidR="00FE7201" w:rsidRPr="001256B1">
        <w:rPr>
          <w:rFonts w:ascii="Book Antiqua" w:hAnsi="Book Antiqua"/>
          <w:lang w:val="en-GB"/>
        </w:rPr>
        <w:t>and</w:t>
      </w:r>
      <w:bookmarkEnd w:id="21"/>
      <w:bookmarkEnd w:id="22"/>
      <w:bookmarkEnd w:id="23"/>
      <w:r w:rsidR="00FE7201" w:rsidRPr="001256B1">
        <w:rPr>
          <w:rFonts w:ascii="Book Antiqua" w:hAnsi="Book Antiqua"/>
          <w:lang w:val="en-GB"/>
        </w:rPr>
        <w:t>.</w:t>
      </w:r>
      <w:r w:rsidR="006D138E" w:rsidRPr="001256B1">
        <w:rPr>
          <w:rFonts w:ascii="Book Antiqua" w:hAnsi="Book Antiqua"/>
          <w:lang w:val="en-GB"/>
        </w:rPr>
        <w:t xml:space="preserve"> </w:t>
      </w:r>
      <w:bookmarkStart w:id="24" w:name="OLE_LINK26"/>
      <w:bookmarkStart w:id="25" w:name="OLE_LINK27"/>
      <w:r w:rsidR="00B547F8" w:rsidRPr="001256B1">
        <w:fldChar w:fldCharType="begin"/>
      </w:r>
      <w:r w:rsidR="00B547F8" w:rsidRPr="001256B1">
        <w:rPr>
          <w:rFonts w:ascii="Book Antiqua" w:hAnsi="Book Antiqua"/>
        </w:rPr>
        <w:instrText xml:space="preserve"> HYPERLINK "mailto:karlomperta@gmail.com" </w:instrText>
      </w:r>
      <w:r w:rsidR="00B547F8" w:rsidRPr="001256B1">
        <w:fldChar w:fldCharType="separate"/>
      </w:r>
      <w:r w:rsidR="006D138E" w:rsidRPr="001256B1">
        <w:rPr>
          <w:rStyle w:val="a9"/>
          <w:rFonts w:ascii="Book Antiqua" w:hAnsi="Book Antiqua"/>
        </w:rPr>
        <w:t>karlomperta@gmail.com</w:t>
      </w:r>
      <w:r w:rsidR="00B547F8" w:rsidRPr="001256B1">
        <w:rPr>
          <w:rStyle w:val="a9"/>
          <w:rFonts w:ascii="Book Antiqua" w:hAnsi="Book Antiqua"/>
        </w:rPr>
        <w:fldChar w:fldCharType="end"/>
      </w:r>
      <w:bookmarkEnd w:id="15"/>
      <w:bookmarkEnd w:id="16"/>
      <w:bookmarkEnd w:id="24"/>
      <w:bookmarkEnd w:id="25"/>
    </w:p>
    <w:p w14:paraId="0897853C" w14:textId="77777777" w:rsidR="00A43655" w:rsidRPr="001256B1" w:rsidRDefault="00A43655" w:rsidP="00F55750">
      <w:pPr>
        <w:snapToGrid w:val="0"/>
        <w:spacing w:line="360" w:lineRule="auto"/>
        <w:jc w:val="both"/>
        <w:rPr>
          <w:rFonts w:ascii="Book Antiqua" w:eastAsia="Times New Roman" w:hAnsi="Book Antiqua" w:cs="Times New Roman"/>
          <w:b/>
          <w:bCs/>
          <w:color w:val="000000" w:themeColor="text1"/>
          <w:lang w:eastAsia="pl-PL"/>
        </w:rPr>
      </w:pPr>
    </w:p>
    <w:p w14:paraId="37DF0C17" w14:textId="120D0084" w:rsidR="00A43655" w:rsidRPr="001256B1" w:rsidRDefault="00A43655" w:rsidP="00F55750">
      <w:pPr>
        <w:snapToGrid w:val="0"/>
        <w:spacing w:line="360" w:lineRule="auto"/>
        <w:jc w:val="both"/>
        <w:rPr>
          <w:rFonts w:ascii="Book Antiqua" w:eastAsia="Times New Roman" w:hAnsi="Book Antiqua" w:cs="Times New Roman"/>
          <w:b/>
          <w:bCs/>
          <w:color w:val="000000" w:themeColor="text1"/>
          <w:lang w:val="en-US" w:eastAsia="pl-PL"/>
        </w:rPr>
      </w:pPr>
      <w:r w:rsidRPr="001256B1">
        <w:rPr>
          <w:rFonts w:ascii="Book Antiqua" w:eastAsia="Times New Roman" w:hAnsi="Book Antiqua" w:cs="Times New Roman"/>
          <w:b/>
          <w:bCs/>
          <w:color w:val="000000" w:themeColor="text1"/>
          <w:lang w:val="en-US" w:eastAsia="pl-PL"/>
        </w:rPr>
        <w:t>Received:</w:t>
      </w:r>
      <w:r w:rsidR="00FE5F5E" w:rsidRPr="001256B1">
        <w:rPr>
          <w:rFonts w:ascii="Book Antiqua" w:eastAsia="Times New Roman" w:hAnsi="Book Antiqua" w:cs="Times New Roman"/>
          <w:b/>
          <w:bCs/>
          <w:color w:val="000000" w:themeColor="text1"/>
          <w:lang w:val="en-US" w:eastAsia="pl-PL"/>
        </w:rPr>
        <w:t xml:space="preserve"> </w:t>
      </w:r>
      <w:r w:rsidR="00FE5F5E" w:rsidRPr="001256B1">
        <w:rPr>
          <w:rFonts w:ascii="Book Antiqua" w:eastAsia="Times New Roman" w:hAnsi="Book Antiqua" w:cs="Times New Roman"/>
          <w:color w:val="000000" w:themeColor="text1"/>
          <w:lang w:val="en-US" w:eastAsia="pl-PL"/>
        </w:rPr>
        <w:t>April 30,</w:t>
      </w:r>
      <w:r w:rsidR="00D50754">
        <w:rPr>
          <w:rFonts w:ascii="Book Antiqua" w:eastAsia="Times New Roman" w:hAnsi="Book Antiqua" w:cs="Times New Roman"/>
          <w:color w:val="000000" w:themeColor="text1"/>
          <w:lang w:val="en-US" w:eastAsia="pl-PL"/>
        </w:rPr>
        <w:t xml:space="preserve"> </w:t>
      </w:r>
      <w:r w:rsidR="00FE5F5E" w:rsidRPr="001256B1">
        <w:rPr>
          <w:rFonts w:ascii="Book Antiqua" w:eastAsia="Times New Roman" w:hAnsi="Book Antiqua" w:cs="Times New Roman"/>
          <w:color w:val="000000" w:themeColor="text1"/>
          <w:lang w:val="en-US" w:eastAsia="pl-PL"/>
        </w:rPr>
        <w:t>2020</w:t>
      </w:r>
    </w:p>
    <w:p w14:paraId="02DF982A" w14:textId="15729149" w:rsidR="00A43655" w:rsidRPr="001256B1" w:rsidRDefault="00A43655" w:rsidP="00F55750">
      <w:pPr>
        <w:snapToGrid w:val="0"/>
        <w:spacing w:line="360" w:lineRule="auto"/>
        <w:jc w:val="both"/>
        <w:rPr>
          <w:rFonts w:ascii="Book Antiqua" w:eastAsia="Times New Roman" w:hAnsi="Book Antiqua" w:cs="Times New Roman"/>
          <w:b/>
          <w:bCs/>
          <w:color w:val="000000" w:themeColor="text1"/>
          <w:lang w:val="en-US" w:eastAsia="pl-PL"/>
        </w:rPr>
      </w:pPr>
      <w:r w:rsidRPr="001256B1">
        <w:rPr>
          <w:rFonts w:ascii="Book Antiqua" w:eastAsia="Times New Roman" w:hAnsi="Book Antiqua" w:cs="Times New Roman"/>
          <w:b/>
          <w:bCs/>
          <w:color w:val="000000" w:themeColor="text1"/>
          <w:lang w:val="en-US" w:eastAsia="pl-PL"/>
        </w:rPr>
        <w:t>Revised:</w:t>
      </w:r>
      <w:r w:rsidR="00FE5F5E" w:rsidRPr="001256B1">
        <w:rPr>
          <w:rFonts w:ascii="Book Antiqua" w:eastAsia="Times New Roman" w:hAnsi="Book Antiqua" w:cs="Times New Roman"/>
          <w:b/>
          <w:bCs/>
          <w:color w:val="000000" w:themeColor="text1"/>
          <w:lang w:val="en-US" w:eastAsia="pl-PL"/>
        </w:rPr>
        <w:t xml:space="preserve"> </w:t>
      </w:r>
      <w:r w:rsidR="00FE5F5E" w:rsidRPr="001256B1">
        <w:rPr>
          <w:rFonts w:ascii="Book Antiqua" w:eastAsia="Times New Roman" w:hAnsi="Book Antiqua" w:cs="Times New Roman"/>
          <w:color w:val="000000" w:themeColor="text1"/>
          <w:lang w:val="en-US" w:eastAsia="pl-PL"/>
        </w:rPr>
        <w:t>May 26,</w:t>
      </w:r>
      <w:r w:rsidR="00D50754">
        <w:rPr>
          <w:rFonts w:ascii="Book Antiqua" w:eastAsia="Times New Roman" w:hAnsi="Book Antiqua" w:cs="Times New Roman"/>
          <w:color w:val="000000" w:themeColor="text1"/>
          <w:lang w:val="en-US" w:eastAsia="pl-PL"/>
        </w:rPr>
        <w:t xml:space="preserve"> </w:t>
      </w:r>
      <w:r w:rsidR="00FE5F5E" w:rsidRPr="001256B1">
        <w:rPr>
          <w:rFonts w:ascii="Book Antiqua" w:eastAsia="Times New Roman" w:hAnsi="Book Antiqua" w:cs="Times New Roman"/>
          <w:color w:val="000000" w:themeColor="text1"/>
          <w:lang w:val="en-US" w:eastAsia="pl-PL"/>
        </w:rPr>
        <w:t>2020</w:t>
      </w:r>
    </w:p>
    <w:p w14:paraId="56DD3383" w14:textId="3D13134B" w:rsidR="00A43655" w:rsidRPr="001256B1" w:rsidRDefault="00A43655" w:rsidP="00F55750">
      <w:pPr>
        <w:snapToGrid w:val="0"/>
        <w:spacing w:line="360" w:lineRule="auto"/>
        <w:jc w:val="both"/>
        <w:rPr>
          <w:rFonts w:ascii="Book Antiqua" w:eastAsia="Times New Roman" w:hAnsi="Book Antiqua" w:cs="Times New Roman"/>
          <w:b/>
          <w:bCs/>
          <w:color w:val="000000" w:themeColor="text1"/>
          <w:lang w:val="en-US" w:eastAsia="pl-PL"/>
        </w:rPr>
      </w:pPr>
      <w:r w:rsidRPr="001256B1">
        <w:rPr>
          <w:rFonts w:ascii="Book Antiqua" w:eastAsia="Times New Roman" w:hAnsi="Book Antiqua" w:cs="Times New Roman"/>
          <w:b/>
          <w:bCs/>
          <w:color w:val="000000" w:themeColor="text1"/>
          <w:lang w:val="en-US" w:eastAsia="pl-PL"/>
        </w:rPr>
        <w:t>Accepted:</w:t>
      </w:r>
      <w:r w:rsidR="00417E91" w:rsidRPr="00417E91">
        <w:t xml:space="preserve"> </w:t>
      </w:r>
      <w:r w:rsidR="00417E91" w:rsidRPr="00417E91">
        <w:rPr>
          <w:rFonts w:ascii="Book Antiqua" w:eastAsia="Times New Roman" w:hAnsi="Book Antiqua" w:cs="Times New Roman"/>
          <w:color w:val="000000" w:themeColor="text1"/>
          <w:lang w:val="en-US" w:eastAsia="pl-PL"/>
        </w:rPr>
        <w:t>July 17, 2020</w:t>
      </w:r>
    </w:p>
    <w:p w14:paraId="7F0E0187" w14:textId="77777777" w:rsidR="00FE7201" w:rsidRPr="001256B1" w:rsidRDefault="00A43655" w:rsidP="00F55750">
      <w:pPr>
        <w:snapToGrid w:val="0"/>
        <w:spacing w:line="360" w:lineRule="auto"/>
        <w:jc w:val="both"/>
        <w:rPr>
          <w:rFonts w:ascii="Book Antiqua" w:eastAsia="Times New Roman" w:hAnsi="Book Antiqua" w:cs="Times New Roman"/>
          <w:b/>
          <w:bCs/>
          <w:color w:val="000000" w:themeColor="text1"/>
          <w:lang w:val="en-US" w:eastAsia="pl-PL"/>
        </w:rPr>
      </w:pPr>
      <w:r w:rsidRPr="001256B1">
        <w:rPr>
          <w:rFonts w:ascii="Book Antiqua" w:eastAsia="Times New Roman" w:hAnsi="Book Antiqua" w:cs="Times New Roman"/>
          <w:b/>
          <w:bCs/>
          <w:color w:val="000000" w:themeColor="text1"/>
          <w:lang w:val="en-US" w:eastAsia="pl-PL"/>
        </w:rPr>
        <w:t>Published online:</w:t>
      </w:r>
    </w:p>
    <w:p w14:paraId="575DA030" w14:textId="77777777" w:rsidR="00A43655" w:rsidRPr="001256B1" w:rsidRDefault="00FE7201" w:rsidP="00F55750">
      <w:pPr>
        <w:snapToGrid w:val="0"/>
        <w:spacing w:line="360" w:lineRule="auto"/>
        <w:jc w:val="both"/>
        <w:rPr>
          <w:rFonts w:ascii="Book Antiqua" w:eastAsia="Times New Roman" w:hAnsi="Book Antiqua" w:cs="Times New Roman"/>
          <w:b/>
          <w:bCs/>
          <w:color w:val="000000" w:themeColor="text1"/>
          <w:lang w:val="en-US" w:eastAsia="pl-PL"/>
        </w:rPr>
      </w:pPr>
      <w:r w:rsidRPr="001256B1">
        <w:rPr>
          <w:rFonts w:ascii="Book Antiqua" w:eastAsia="Times New Roman" w:hAnsi="Book Antiqua" w:cs="Times New Roman"/>
          <w:b/>
          <w:bCs/>
          <w:color w:val="000000" w:themeColor="text1"/>
          <w:lang w:val="en-US" w:eastAsia="pl-PL"/>
        </w:rPr>
        <w:br w:type="page"/>
      </w:r>
    </w:p>
    <w:p w14:paraId="0D6843CB" w14:textId="77777777" w:rsidR="0011655C" w:rsidRPr="001256B1" w:rsidRDefault="0011655C" w:rsidP="00F55750">
      <w:pPr>
        <w:adjustRightInd w:val="0"/>
        <w:snapToGrid w:val="0"/>
        <w:spacing w:line="360" w:lineRule="auto"/>
        <w:jc w:val="both"/>
        <w:rPr>
          <w:rFonts w:ascii="Book Antiqua" w:hAnsi="Book Antiqua"/>
          <w:b/>
          <w:lang w:eastAsia="zh-CN"/>
        </w:rPr>
      </w:pPr>
      <w:r w:rsidRPr="001256B1">
        <w:rPr>
          <w:rFonts w:ascii="Book Antiqua" w:hAnsi="Book Antiqua"/>
          <w:b/>
        </w:rPr>
        <w:lastRenderedPageBreak/>
        <w:t>Abstract</w:t>
      </w:r>
    </w:p>
    <w:p w14:paraId="73FD70F9" w14:textId="77777777" w:rsidR="0011655C" w:rsidRPr="001256B1" w:rsidRDefault="0011655C" w:rsidP="00F55750">
      <w:pPr>
        <w:adjustRightInd w:val="0"/>
        <w:snapToGrid w:val="0"/>
        <w:spacing w:line="360" w:lineRule="auto"/>
        <w:jc w:val="both"/>
        <w:rPr>
          <w:rFonts w:ascii="Book Antiqua" w:hAnsi="Book Antiqua"/>
          <w:lang w:eastAsia="zh-CN"/>
        </w:rPr>
      </w:pPr>
      <w:r w:rsidRPr="001256B1">
        <w:rPr>
          <w:rFonts w:ascii="Book Antiqua" w:hAnsi="Book Antiqua"/>
        </w:rPr>
        <w:t>BACKGROUND</w:t>
      </w:r>
    </w:p>
    <w:p w14:paraId="02E351A0" w14:textId="542826F2" w:rsidR="00284F14" w:rsidRPr="001256B1" w:rsidRDefault="00A43655" w:rsidP="00F55750">
      <w:pPr>
        <w:pStyle w:val="a8"/>
        <w:snapToGrid w:val="0"/>
        <w:spacing w:before="0" w:beforeAutospacing="0" w:after="0" w:afterAutospacing="0" w:line="360" w:lineRule="auto"/>
        <w:jc w:val="both"/>
        <w:rPr>
          <w:rFonts w:ascii="Book Antiqua" w:hAnsi="Book Antiqua"/>
          <w:lang w:val="en-US"/>
        </w:rPr>
      </w:pPr>
      <w:r w:rsidRPr="001256B1">
        <w:rPr>
          <w:rFonts w:ascii="Book Antiqua" w:hAnsi="Book Antiqua"/>
          <w:lang w:val="en-US"/>
        </w:rPr>
        <w:t>Despite effective prevention and screening methods, the incidence and mortality rates associated with colorectal cancer (CRC) are still high. Insulin receptor substrate 1 (IRS-1), a signaling molecule involved in cell proliferation, survival and metabolic responses has been implicated in carcinogenic processes in various cellular and animal models. However, the role of IRS-1 in CRC biology and its value as a clinical CRC biomarker has not been well defined.</w:t>
      </w:r>
    </w:p>
    <w:p w14:paraId="5C928A88" w14:textId="77777777" w:rsidR="00163278" w:rsidRPr="001256B1" w:rsidRDefault="00163278" w:rsidP="00F55750">
      <w:pPr>
        <w:pStyle w:val="a8"/>
        <w:snapToGrid w:val="0"/>
        <w:spacing w:before="0" w:beforeAutospacing="0" w:after="0" w:afterAutospacing="0" w:line="360" w:lineRule="auto"/>
        <w:jc w:val="both"/>
        <w:rPr>
          <w:rFonts w:ascii="Book Antiqua" w:hAnsi="Book Antiqua"/>
          <w:lang w:val="en-US"/>
        </w:rPr>
      </w:pPr>
    </w:p>
    <w:p w14:paraId="1AA4ACBC" w14:textId="77777777" w:rsidR="00163278" w:rsidRPr="001256B1" w:rsidRDefault="00163278" w:rsidP="00F55750">
      <w:pPr>
        <w:pStyle w:val="a8"/>
        <w:snapToGrid w:val="0"/>
        <w:spacing w:before="0" w:beforeAutospacing="0" w:after="0" w:afterAutospacing="0" w:line="360" w:lineRule="auto"/>
        <w:jc w:val="both"/>
        <w:rPr>
          <w:rFonts w:ascii="Book Antiqua" w:hAnsi="Book Antiqua"/>
          <w:b/>
          <w:bCs/>
          <w:lang w:val="en-US"/>
        </w:rPr>
      </w:pPr>
      <w:r w:rsidRPr="001256B1">
        <w:rPr>
          <w:rFonts w:ascii="Book Antiqua" w:hAnsi="Book Antiqua"/>
          <w:lang w:val="en-US"/>
        </w:rPr>
        <w:t>AIM</w:t>
      </w:r>
    </w:p>
    <w:p w14:paraId="65BF0C36" w14:textId="346EACC4" w:rsidR="00284F14" w:rsidRPr="001256B1" w:rsidRDefault="00CA29FD" w:rsidP="00F55750">
      <w:pPr>
        <w:pStyle w:val="a8"/>
        <w:snapToGrid w:val="0"/>
        <w:spacing w:before="0" w:beforeAutospacing="0" w:after="0" w:afterAutospacing="0" w:line="360" w:lineRule="auto"/>
        <w:jc w:val="both"/>
        <w:rPr>
          <w:rFonts w:ascii="Book Antiqua" w:hAnsi="Book Antiqua"/>
          <w:color w:val="000000" w:themeColor="text1"/>
          <w:shd w:val="clear" w:color="auto" w:fill="FFFFFF"/>
          <w:lang w:val="en-US"/>
        </w:rPr>
      </w:pPr>
      <w:r w:rsidRPr="001256B1">
        <w:rPr>
          <w:rFonts w:ascii="Book Antiqua" w:hAnsi="Book Antiqua"/>
          <w:bCs/>
          <w:lang w:val="en-US"/>
        </w:rPr>
        <w:t xml:space="preserve">To </w:t>
      </w:r>
      <w:r w:rsidR="00A43655" w:rsidRPr="001256B1">
        <w:rPr>
          <w:rFonts w:ascii="Book Antiqua" w:hAnsi="Book Antiqua"/>
          <w:bCs/>
          <w:lang w:val="en-US"/>
        </w:rPr>
        <w:t xml:space="preserve">evaluate if and how IRS-1 expression </w:t>
      </w:r>
      <w:r w:rsidR="00A43655" w:rsidRPr="001256B1">
        <w:rPr>
          <w:rFonts w:ascii="Book Antiqua" w:hAnsi="Book Antiqua"/>
          <w:lang w:val="en-US"/>
        </w:rPr>
        <w:t xml:space="preserve">and its associations with the apoptotic and proliferation tumor markers, </w:t>
      </w:r>
      <w:proofErr w:type="spellStart"/>
      <w:r w:rsidR="00A43655" w:rsidRPr="001256B1">
        <w:rPr>
          <w:rFonts w:ascii="Book Antiqua" w:hAnsi="Book Antiqua"/>
          <w:lang w:val="en-US"/>
        </w:rPr>
        <w:t>Bax</w:t>
      </w:r>
      <w:proofErr w:type="spellEnd"/>
      <w:r w:rsidR="00A43655" w:rsidRPr="001256B1">
        <w:rPr>
          <w:rFonts w:ascii="Book Antiqua" w:hAnsi="Book Antiqua"/>
          <w:lang w:val="en-US"/>
        </w:rPr>
        <w:t xml:space="preserve">, </w:t>
      </w:r>
      <w:proofErr w:type="spellStart"/>
      <w:r w:rsidR="00A43655" w:rsidRPr="001256B1">
        <w:rPr>
          <w:rFonts w:ascii="Book Antiqua" w:hAnsi="Book Antiqua"/>
          <w:lang w:val="en-US"/>
        </w:rPr>
        <w:t>Bcl-xL</w:t>
      </w:r>
      <w:proofErr w:type="spellEnd"/>
      <w:r w:rsidR="00A43655" w:rsidRPr="001256B1">
        <w:rPr>
          <w:rFonts w:ascii="Book Antiqua" w:hAnsi="Book Antiqua"/>
          <w:lang w:val="en-US"/>
        </w:rPr>
        <w:t xml:space="preserve"> </w:t>
      </w:r>
      <w:r w:rsidR="00A43655" w:rsidRPr="001256B1">
        <w:rPr>
          <w:rFonts w:ascii="Book Antiqua" w:hAnsi="Book Antiqua"/>
          <w:color w:val="000000" w:themeColor="text1"/>
          <w:shd w:val="clear" w:color="auto" w:fill="FFFFFF"/>
          <w:lang w:val="en-US"/>
        </w:rPr>
        <w:t xml:space="preserve">and Ki-67 are related to clinicopathological features in human CRC. </w:t>
      </w:r>
    </w:p>
    <w:p w14:paraId="3B67B9B6" w14:textId="77777777" w:rsidR="00163278" w:rsidRPr="001256B1" w:rsidRDefault="00163278" w:rsidP="00F55750">
      <w:pPr>
        <w:pStyle w:val="a8"/>
        <w:snapToGrid w:val="0"/>
        <w:spacing w:before="0" w:beforeAutospacing="0" w:after="0" w:afterAutospacing="0" w:line="360" w:lineRule="auto"/>
        <w:jc w:val="both"/>
        <w:rPr>
          <w:rFonts w:ascii="Book Antiqua" w:hAnsi="Book Antiqua"/>
          <w:color w:val="000000" w:themeColor="text1"/>
          <w:shd w:val="clear" w:color="auto" w:fill="FFFFFF"/>
          <w:lang w:val="en-US"/>
        </w:rPr>
      </w:pPr>
    </w:p>
    <w:p w14:paraId="76A0A743" w14:textId="77777777" w:rsidR="00D92485" w:rsidRPr="001256B1" w:rsidRDefault="00D92485" w:rsidP="00F55750">
      <w:pPr>
        <w:adjustRightInd w:val="0"/>
        <w:snapToGrid w:val="0"/>
        <w:spacing w:line="360" w:lineRule="auto"/>
        <w:jc w:val="both"/>
        <w:rPr>
          <w:rFonts w:ascii="Book Antiqua" w:hAnsi="Book Antiqua"/>
          <w:color w:val="0000FF"/>
          <w:lang w:val="en" w:eastAsia="zh-CN"/>
        </w:rPr>
      </w:pPr>
      <w:r w:rsidRPr="001256B1">
        <w:rPr>
          <w:rFonts w:ascii="Book Antiqua" w:hAnsi="Book Antiqua"/>
          <w:color w:val="000000"/>
        </w:rPr>
        <w:t>METHODS</w:t>
      </w:r>
    </w:p>
    <w:p w14:paraId="6D447073" w14:textId="623585AB" w:rsidR="00284F14" w:rsidRPr="001256B1" w:rsidRDefault="00A43655" w:rsidP="00F55750">
      <w:pPr>
        <w:pStyle w:val="a8"/>
        <w:snapToGrid w:val="0"/>
        <w:spacing w:before="0" w:beforeAutospacing="0" w:after="0" w:afterAutospacing="0" w:line="360" w:lineRule="auto"/>
        <w:jc w:val="both"/>
        <w:rPr>
          <w:rFonts w:ascii="Book Antiqua" w:hAnsi="Book Antiqua"/>
          <w:color w:val="000000" w:themeColor="text1"/>
          <w:shd w:val="clear" w:color="auto" w:fill="FFFFFF"/>
          <w:lang w:val="en-US"/>
        </w:rPr>
      </w:pPr>
      <w:r w:rsidRPr="001256B1">
        <w:rPr>
          <w:rFonts w:ascii="Book Antiqua" w:hAnsi="Book Antiqua"/>
          <w:bCs/>
          <w:color w:val="000000" w:themeColor="text1"/>
          <w:shd w:val="clear" w:color="auto" w:fill="FFFFFF"/>
          <w:lang w:val="en-US"/>
        </w:rPr>
        <w:t xml:space="preserve">The </w:t>
      </w:r>
      <w:r w:rsidRPr="001256B1">
        <w:rPr>
          <w:rFonts w:ascii="Book Antiqua" w:hAnsi="Book Antiqua"/>
          <w:lang w:val="en-US"/>
        </w:rPr>
        <w:t xml:space="preserve">expression of IRS-1, </w:t>
      </w:r>
      <w:proofErr w:type="spellStart"/>
      <w:r w:rsidRPr="001256B1">
        <w:rPr>
          <w:rFonts w:ascii="Book Antiqua" w:hAnsi="Book Antiqua"/>
          <w:lang w:val="en-US"/>
        </w:rPr>
        <w:t>Bax</w:t>
      </w:r>
      <w:proofErr w:type="spellEnd"/>
      <w:r w:rsidRPr="001256B1">
        <w:rPr>
          <w:rFonts w:ascii="Book Antiqua" w:hAnsi="Book Antiqua"/>
          <w:lang w:val="en-US"/>
        </w:rPr>
        <w:t xml:space="preserve">, </w:t>
      </w:r>
      <w:proofErr w:type="spellStart"/>
      <w:r w:rsidRPr="001256B1">
        <w:rPr>
          <w:rFonts w:ascii="Book Antiqua" w:hAnsi="Book Antiqua"/>
          <w:lang w:val="en-US"/>
        </w:rPr>
        <w:t>Bcl-xL</w:t>
      </w:r>
      <w:proofErr w:type="spellEnd"/>
      <w:r w:rsidRPr="001256B1">
        <w:rPr>
          <w:rFonts w:ascii="Book Antiqua" w:hAnsi="Book Antiqua"/>
          <w:lang w:val="en-US"/>
        </w:rPr>
        <w:t xml:space="preserve"> </w:t>
      </w:r>
      <w:r w:rsidRPr="001256B1">
        <w:rPr>
          <w:rFonts w:ascii="Book Antiqua" w:hAnsi="Book Antiqua"/>
          <w:color w:val="000000" w:themeColor="text1"/>
          <w:shd w:val="clear" w:color="auto" w:fill="FFFFFF"/>
          <w:lang w:val="en-US"/>
        </w:rPr>
        <w:t xml:space="preserve">and Ki-67 proteins </w:t>
      </w:r>
      <w:r w:rsidRPr="001256B1">
        <w:rPr>
          <w:rFonts w:ascii="Book Antiqua" w:hAnsi="Book Antiqua"/>
          <w:lang w:val="en-US"/>
        </w:rPr>
        <w:t xml:space="preserve">was assessed in tissue samples obtained from </w:t>
      </w:r>
      <w:r w:rsidRPr="001256B1">
        <w:rPr>
          <w:rFonts w:ascii="Book Antiqua" w:hAnsi="Book Antiqua"/>
          <w:color w:val="000000" w:themeColor="text1"/>
          <w:shd w:val="clear" w:color="auto" w:fill="FFFFFF"/>
          <w:lang w:val="en-US"/>
        </w:rPr>
        <w:t xml:space="preserve">127 patients with primary CRC using immunohistochemical methods. The assays were performed using specific antibodies against IRS-1,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xml:space="preserve">, Ki-67. The associations between the expression of IRS-1,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xml:space="preserve">, Ki-67 were analyzed in relation to clinicopathological parameters, </w:t>
      </w:r>
      <w:r w:rsidRPr="001256B1">
        <w:rPr>
          <w:rFonts w:ascii="Book Antiqua" w:hAnsi="Book Antiqua"/>
          <w:i/>
          <w:iCs/>
          <w:color w:val="000000" w:themeColor="text1"/>
          <w:shd w:val="clear" w:color="auto" w:fill="FFFFFF"/>
          <w:lang w:val="en-US"/>
        </w:rPr>
        <w:t>i.e.</w:t>
      </w:r>
      <w:r w:rsidRPr="001256B1">
        <w:rPr>
          <w:rFonts w:ascii="Book Antiqua" w:hAnsi="Book Antiqua"/>
          <w:color w:val="000000" w:themeColor="text1"/>
          <w:shd w:val="clear" w:color="auto" w:fill="FFFFFF"/>
          <w:lang w:val="en-US"/>
        </w:rPr>
        <w:t xml:space="preserve">, patient age, sex, primary localization of tumor, histopathological type, grading, staging and lymph node spread. Correlations between variables were examined by Spearman rank correlation test and Fisher exact test with a level of significance at </w:t>
      </w:r>
      <w:r w:rsidR="003B7C8E" w:rsidRPr="001256B1">
        <w:rPr>
          <w:rFonts w:ascii="Book Antiqua" w:hAnsi="Book Antiqua"/>
          <w:i/>
          <w:iCs/>
          <w:color w:val="000000" w:themeColor="text1"/>
          <w:shd w:val="clear" w:color="auto" w:fill="FFFFFF"/>
          <w:lang w:val="en-US"/>
        </w:rPr>
        <w:t>P</w:t>
      </w:r>
      <w:r w:rsidR="00D00BD2" w:rsidRPr="001256B1">
        <w:rPr>
          <w:rFonts w:ascii="Book Antiqua" w:hAnsi="Book Antiqua"/>
          <w:i/>
          <w:iCs/>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&lt;</w:t>
      </w:r>
      <w:r w:rsidR="00217FB9">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 xml:space="preserve">0.05. </w:t>
      </w:r>
    </w:p>
    <w:p w14:paraId="202887E3" w14:textId="77777777" w:rsidR="00163278" w:rsidRPr="001256B1" w:rsidRDefault="00163278" w:rsidP="00F55750">
      <w:pPr>
        <w:pStyle w:val="a8"/>
        <w:snapToGrid w:val="0"/>
        <w:spacing w:before="0" w:beforeAutospacing="0" w:after="0" w:afterAutospacing="0" w:line="360" w:lineRule="auto"/>
        <w:jc w:val="both"/>
        <w:rPr>
          <w:rFonts w:ascii="Book Antiqua" w:hAnsi="Book Antiqua"/>
          <w:color w:val="000000" w:themeColor="text1"/>
          <w:shd w:val="clear" w:color="auto" w:fill="FFFFFF"/>
          <w:lang w:val="en-US"/>
        </w:rPr>
      </w:pPr>
    </w:p>
    <w:p w14:paraId="6CBB7EED" w14:textId="77777777" w:rsidR="00D92485" w:rsidRPr="001256B1" w:rsidRDefault="00D92485" w:rsidP="00F55750">
      <w:pPr>
        <w:adjustRightInd w:val="0"/>
        <w:snapToGrid w:val="0"/>
        <w:spacing w:line="360" w:lineRule="auto"/>
        <w:jc w:val="both"/>
        <w:rPr>
          <w:rFonts w:ascii="Book Antiqua" w:hAnsi="Book Antiqua"/>
          <w:color w:val="0000FF"/>
          <w:lang w:val="en" w:eastAsia="zh-CN"/>
        </w:rPr>
      </w:pPr>
      <w:r w:rsidRPr="001256B1">
        <w:rPr>
          <w:rFonts w:ascii="Book Antiqua" w:hAnsi="Book Antiqua"/>
          <w:color w:val="000000"/>
        </w:rPr>
        <w:t>RESULTS</w:t>
      </w:r>
    </w:p>
    <w:p w14:paraId="759ACDC8" w14:textId="15E22FD5" w:rsidR="00284F14" w:rsidRPr="001256B1" w:rsidRDefault="00A43655" w:rsidP="00F55750">
      <w:pPr>
        <w:pStyle w:val="a8"/>
        <w:snapToGrid w:val="0"/>
        <w:spacing w:before="0" w:beforeAutospacing="0" w:after="0" w:afterAutospacing="0" w:line="360" w:lineRule="auto"/>
        <w:jc w:val="both"/>
        <w:rPr>
          <w:rFonts w:ascii="Book Antiqua" w:hAnsi="Book Antiqua"/>
          <w:bCs/>
          <w:color w:val="000000" w:themeColor="text1"/>
          <w:lang w:val="en-US"/>
        </w:rPr>
      </w:pPr>
      <w:r w:rsidRPr="001256B1">
        <w:rPr>
          <w:rFonts w:ascii="Book Antiqua" w:hAnsi="Book Antiqua"/>
          <w:bCs/>
          <w:color w:val="000000" w:themeColor="text1"/>
          <w:lang w:val="en-US"/>
        </w:rPr>
        <w:t>Immunohistochemical analysis of</w:t>
      </w:r>
      <w:r w:rsidR="00D9248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127</w:t>
      </w:r>
      <w:r w:rsidR="00CC5028">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CRC tissue samples revealed weak cytoplasmatic staining for IRS-1 in 66 CRC sections and strong cytoplasmatic staining in 61 cases. IRS-1 expression at any level in primary CRC was associated with tumor grade (69% in moderately differentiated tumors, G2 </w:t>
      </w:r>
      <w:r w:rsidRPr="001256B1">
        <w:rPr>
          <w:rFonts w:ascii="Book Antiqua" w:hAnsi="Book Antiqua"/>
          <w:bCs/>
          <w:i/>
          <w:iCs/>
          <w:color w:val="000000" w:themeColor="text1"/>
          <w:lang w:val="en-US"/>
        </w:rPr>
        <w:t>vs</w:t>
      </w:r>
      <w:r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lastRenderedPageBreak/>
        <w:t>31% in poorly differentiated tumors, G3) and with histological type (81</w:t>
      </w:r>
      <w:r w:rsidR="001F52A0" w:rsidRPr="001256B1">
        <w:rPr>
          <w:rFonts w:ascii="Book Antiqua" w:hAnsi="Book Antiqua"/>
          <w:bCs/>
          <w:color w:val="000000" w:themeColor="text1"/>
          <w:lang w:val="en-US"/>
        </w:rPr>
        <w:t>.</w:t>
      </w:r>
      <w:r w:rsidRPr="001256B1">
        <w:rPr>
          <w:rFonts w:ascii="Book Antiqua" w:hAnsi="Book Antiqua"/>
          <w:bCs/>
          <w:color w:val="000000" w:themeColor="text1"/>
          <w:lang w:val="en-US"/>
        </w:rPr>
        <w:t xml:space="preserve">9% in adenocarcinoma </w:t>
      </w:r>
      <w:r w:rsidRPr="001256B1">
        <w:rPr>
          <w:rFonts w:ascii="Book Antiqua" w:hAnsi="Book Antiqua"/>
          <w:bCs/>
          <w:i/>
          <w:iCs/>
          <w:color w:val="000000" w:themeColor="text1"/>
          <w:lang w:val="en-US"/>
        </w:rPr>
        <w:t>vs</w:t>
      </w:r>
      <w:r w:rsidRPr="001256B1">
        <w:rPr>
          <w:rFonts w:ascii="Book Antiqua" w:hAnsi="Book Antiqua"/>
          <w:bCs/>
          <w:color w:val="000000" w:themeColor="text1"/>
          <w:lang w:val="en-US"/>
        </w:rPr>
        <w:t xml:space="preserve"> 18</w:t>
      </w:r>
      <w:r w:rsidR="001F52A0" w:rsidRPr="001256B1">
        <w:rPr>
          <w:rFonts w:ascii="Book Antiqua" w:hAnsi="Book Antiqua"/>
          <w:bCs/>
          <w:color w:val="000000" w:themeColor="text1"/>
          <w:lang w:val="en-US"/>
        </w:rPr>
        <w:t>.</w:t>
      </w:r>
      <w:r w:rsidRPr="001256B1">
        <w:rPr>
          <w:rFonts w:ascii="Book Antiqua" w:hAnsi="Book Antiqua"/>
          <w:bCs/>
          <w:color w:val="000000" w:themeColor="text1"/>
          <w:lang w:val="en-US"/>
        </w:rPr>
        <w:t xml:space="preserve">1% in adenocarcinoma with mucosal component cases). Strong IRS-1 positivity was observed more frequently in adenocarcinoma cases (95.1%) and in moderately differentiated tumors (85.2%). We also found statistically significant correlations </w:t>
      </w:r>
      <w:r w:rsidR="005D324F" w:rsidRPr="001256B1">
        <w:rPr>
          <w:rFonts w:ascii="Book Antiqua" w:hAnsi="Book Antiqua"/>
          <w:bCs/>
          <w:color w:val="000000" w:themeColor="text1"/>
          <w:lang w:val="en-US"/>
        </w:rPr>
        <w:t xml:space="preserve">between expression of IRS-1 and both </w:t>
      </w:r>
      <w:proofErr w:type="spellStart"/>
      <w:r w:rsidR="005D324F" w:rsidRPr="001256B1">
        <w:rPr>
          <w:rFonts w:ascii="Book Antiqua" w:hAnsi="Book Antiqua"/>
          <w:bCs/>
          <w:color w:val="000000" w:themeColor="text1"/>
          <w:lang w:val="en-US"/>
        </w:rPr>
        <w:t>Bax</w:t>
      </w:r>
      <w:proofErr w:type="spellEnd"/>
      <w:r w:rsidR="005D324F" w:rsidRPr="001256B1">
        <w:rPr>
          <w:rFonts w:ascii="Book Antiqua" w:hAnsi="Book Antiqua"/>
          <w:bCs/>
          <w:color w:val="000000" w:themeColor="text1"/>
          <w:lang w:val="en-US"/>
        </w:rPr>
        <w:t xml:space="preserve"> and </w:t>
      </w:r>
      <w:proofErr w:type="spellStart"/>
      <w:r w:rsidR="005D324F" w:rsidRPr="001256B1">
        <w:rPr>
          <w:rFonts w:ascii="Book Antiqua" w:hAnsi="Book Antiqua"/>
          <w:bCs/>
          <w:color w:val="000000" w:themeColor="text1"/>
          <w:lang w:val="en-US"/>
        </w:rPr>
        <w:t>Bcl-xL</w:t>
      </w:r>
      <w:proofErr w:type="spellEnd"/>
      <w:r w:rsidR="005D324F"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in all CRC cases examined. </w:t>
      </w:r>
      <w:r w:rsidR="00BC73DB" w:rsidRPr="001256B1">
        <w:rPr>
          <w:rFonts w:ascii="Book Antiqua" w:hAnsi="Book Antiqua"/>
          <w:bCs/>
          <w:color w:val="000000" w:themeColor="text1"/>
          <w:lang w:val="en-US"/>
        </w:rPr>
        <w:t>The</w:t>
      </w:r>
      <w:r w:rsidRPr="001256B1">
        <w:rPr>
          <w:rFonts w:ascii="Book Antiqua" w:hAnsi="Book Antiqua"/>
          <w:bCs/>
          <w:color w:val="000000" w:themeColor="text1"/>
          <w:lang w:val="en-US"/>
        </w:rPr>
        <w:t xml:space="preserve"> relationships between studied proteins </w:t>
      </w:r>
      <w:r w:rsidR="00BC73DB" w:rsidRPr="001256B1">
        <w:rPr>
          <w:rFonts w:ascii="Book Antiqua" w:hAnsi="Book Antiqua"/>
          <w:bCs/>
          <w:color w:val="000000" w:themeColor="text1"/>
          <w:lang w:val="en-US"/>
        </w:rPr>
        <w:t>were related to</w:t>
      </w:r>
      <w:r w:rsidRPr="001256B1">
        <w:rPr>
          <w:rFonts w:ascii="Book Antiqua" w:hAnsi="Book Antiqua"/>
          <w:bCs/>
          <w:color w:val="000000" w:themeColor="text1"/>
          <w:lang w:val="en-US"/>
        </w:rPr>
        <w:t xml:space="preserve"> clinicopathological parameters</w:t>
      </w:r>
      <w:r w:rsidR="00BC73DB" w:rsidRPr="001256B1">
        <w:rPr>
          <w:rFonts w:ascii="Book Antiqua" w:hAnsi="Book Antiqua"/>
          <w:bCs/>
          <w:color w:val="000000" w:themeColor="text1"/>
          <w:lang w:val="en-US"/>
        </w:rPr>
        <w:t xml:space="preserve"> of CRC</w:t>
      </w:r>
      <w:r w:rsidRPr="001256B1">
        <w:rPr>
          <w:rFonts w:ascii="Book Antiqua" w:hAnsi="Book Antiqua"/>
          <w:bCs/>
          <w:color w:val="000000" w:themeColor="text1"/>
          <w:lang w:val="en-US"/>
        </w:rPr>
        <w:t xml:space="preserve">. </w:t>
      </w:r>
      <w:r w:rsidR="00C2577F" w:rsidRPr="001256B1">
        <w:rPr>
          <w:rFonts w:ascii="Book Antiqua" w:hAnsi="Book Antiqua"/>
          <w:bCs/>
          <w:color w:val="000000" w:themeColor="text1"/>
          <w:lang w:val="en-US"/>
        </w:rPr>
        <w:t>N</w:t>
      </w:r>
      <w:r w:rsidRPr="001256B1">
        <w:rPr>
          <w:rFonts w:ascii="Book Antiqua" w:hAnsi="Book Antiqua"/>
          <w:bCs/>
          <w:color w:val="000000" w:themeColor="text1"/>
          <w:lang w:val="en-US"/>
        </w:rPr>
        <w:t xml:space="preserve">o significant correlation between </w:t>
      </w:r>
      <w:r w:rsidR="00BC73DB" w:rsidRPr="001256B1">
        <w:rPr>
          <w:rFonts w:ascii="Book Antiqua" w:hAnsi="Book Antiqua"/>
          <w:bCs/>
          <w:color w:val="000000" w:themeColor="text1"/>
          <w:lang w:val="en-US"/>
        </w:rPr>
        <w:t xml:space="preserve">the </w:t>
      </w:r>
      <w:r w:rsidRPr="001256B1">
        <w:rPr>
          <w:rFonts w:ascii="Book Antiqua" w:hAnsi="Book Antiqua"/>
          <w:bCs/>
          <w:color w:val="000000" w:themeColor="text1"/>
          <w:lang w:val="en-US"/>
        </w:rPr>
        <w:t>expression of IRS-1 and proliferation marker Ki-67, excluding early stage tumors, where the correlation was positive and on a high level (</w:t>
      </w:r>
      <w:r w:rsidR="003B7C8E" w:rsidRPr="001256B1">
        <w:rPr>
          <w:rFonts w:ascii="Book Antiqua" w:hAnsi="Book Antiqua"/>
          <w:bCs/>
          <w:i/>
          <w:iCs/>
          <w:color w:val="000000" w:themeColor="text1"/>
          <w:lang w:val="en-US"/>
        </w:rPr>
        <w:t>P</w:t>
      </w:r>
      <w:r w:rsidR="00CC5028">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CC5028">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0.043, </w:t>
      </w:r>
      <w:r w:rsidRPr="008E5B0C">
        <w:rPr>
          <w:rFonts w:ascii="Book Antiqua" w:hAnsi="Book Antiqua"/>
          <w:bCs/>
          <w:i/>
          <w:iCs/>
          <w:color w:val="000000" w:themeColor="text1"/>
          <w:lang w:val="en-US"/>
        </w:rPr>
        <w:t>r</w:t>
      </w:r>
      <w:r w:rsidR="00CC5028">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CC5028">
        <w:rPr>
          <w:rFonts w:ascii="Book Antiqua" w:hAnsi="Book Antiqua"/>
          <w:bCs/>
          <w:color w:val="000000" w:themeColor="text1"/>
          <w:lang w:val="en-US"/>
        </w:rPr>
        <w:t xml:space="preserve"> </w:t>
      </w:r>
      <w:r w:rsidRPr="001256B1">
        <w:rPr>
          <w:rFonts w:ascii="Book Antiqua" w:hAnsi="Book Antiqua"/>
          <w:bCs/>
          <w:color w:val="000000" w:themeColor="text1"/>
          <w:lang w:val="en-US"/>
        </w:rPr>
        <w:t>0.723).</w:t>
      </w:r>
    </w:p>
    <w:p w14:paraId="5F5EF39D" w14:textId="77777777" w:rsidR="00163278" w:rsidRPr="001256B1" w:rsidRDefault="00163278" w:rsidP="00F55750">
      <w:pPr>
        <w:pStyle w:val="a8"/>
        <w:snapToGrid w:val="0"/>
        <w:spacing w:before="0" w:beforeAutospacing="0" w:after="0" w:afterAutospacing="0" w:line="360" w:lineRule="auto"/>
        <w:jc w:val="both"/>
        <w:rPr>
          <w:rFonts w:ascii="Book Antiqua" w:hAnsi="Book Antiqua"/>
          <w:bCs/>
          <w:color w:val="000000" w:themeColor="text1"/>
          <w:lang w:val="en-US"/>
        </w:rPr>
      </w:pPr>
    </w:p>
    <w:p w14:paraId="0B990673" w14:textId="2B79FB72" w:rsidR="00DB3D87" w:rsidRPr="001256B1" w:rsidRDefault="00DB3D87" w:rsidP="00F55750">
      <w:pPr>
        <w:adjustRightInd w:val="0"/>
        <w:snapToGrid w:val="0"/>
        <w:spacing w:line="360" w:lineRule="auto"/>
        <w:jc w:val="both"/>
        <w:rPr>
          <w:rFonts w:ascii="Book Antiqua" w:hAnsi="Book Antiqua"/>
          <w:lang w:val="en" w:eastAsia="zh-CN"/>
        </w:rPr>
      </w:pPr>
      <w:r w:rsidRPr="001256B1">
        <w:rPr>
          <w:rFonts w:ascii="Book Antiqua" w:hAnsi="Book Antiqua"/>
          <w:color w:val="000000"/>
        </w:rPr>
        <w:t>CONCLUSION</w:t>
      </w:r>
    </w:p>
    <w:p w14:paraId="4ED561F9" w14:textId="333E73D8" w:rsidR="00A43655" w:rsidRPr="001256B1" w:rsidRDefault="00A43655" w:rsidP="00F55750">
      <w:pPr>
        <w:pStyle w:val="a8"/>
        <w:snapToGrid w:val="0"/>
        <w:spacing w:before="0" w:beforeAutospacing="0" w:after="0" w:afterAutospacing="0" w:line="360" w:lineRule="auto"/>
        <w:jc w:val="both"/>
        <w:rPr>
          <w:rFonts w:ascii="Book Antiqua" w:hAnsi="Book Antiqua"/>
          <w:lang w:val="en-US"/>
        </w:rPr>
      </w:pPr>
      <w:r w:rsidRPr="001256B1">
        <w:rPr>
          <w:rFonts w:ascii="Book Antiqua" w:hAnsi="Book Antiqua"/>
          <w:lang w:val="en-US"/>
        </w:rPr>
        <w:t>This study suggests that IRS-1 is co-expressed with both pro- and antiapoptotic markers and all these proteins are more prevalent in more differentiated CRC than in poorly differentiated CRC.</w:t>
      </w:r>
    </w:p>
    <w:p w14:paraId="07E36FAB" w14:textId="77777777" w:rsidR="00163278" w:rsidRPr="001256B1" w:rsidRDefault="00163278" w:rsidP="00F55750">
      <w:pPr>
        <w:pStyle w:val="a8"/>
        <w:snapToGrid w:val="0"/>
        <w:spacing w:before="0" w:beforeAutospacing="0" w:after="0" w:afterAutospacing="0" w:line="360" w:lineRule="auto"/>
        <w:jc w:val="both"/>
        <w:rPr>
          <w:rFonts w:ascii="Book Antiqua" w:hAnsi="Book Antiqua"/>
          <w:b/>
          <w:color w:val="000000" w:themeColor="text1"/>
          <w:lang w:val="en-US"/>
        </w:rPr>
      </w:pPr>
    </w:p>
    <w:p w14:paraId="6B1C7215" w14:textId="315B4394" w:rsidR="00FE7201" w:rsidRPr="001256B1" w:rsidRDefault="00DB3D87" w:rsidP="00F55750">
      <w:pPr>
        <w:pStyle w:val="a8"/>
        <w:snapToGrid w:val="0"/>
        <w:spacing w:before="0" w:beforeAutospacing="0" w:after="0" w:afterAutospacing="0" w:line="360" w:lineRule="auto"/>
        <w:jc w:val="both"/>
        <w:rPr>
          <w:rFonts w:ascii="Book Antiqua" w:hAnsi="Book Antiqua"/>
          <w:bCs/>
          <w:color w:val="000000" w:themeColor="text1"/>
          <w:lang w:val="en-US"/>
        </w:rPr>
      </w:pPr>
      <w:r w:rsidRPr="001256B1">
        <w:rPr>
          <w:rFonts w:ascii="Book Antiqua" w:hAnsi="Book Antiqua"/>
          <w:b/>
        </w:rPr>
        <w:t>Key words:</w:t>
      </w:r>
      <w:r w:rsidR="008E5B0C">
        <w:rPr>
          <w:rFonts w:ascii="Book Antiqua" w:hAnsi="Book Antiqua"/>
          <w:b/>
          <w:color w:val="000000" w:themeColor="text1"/>
          <w:lang w:val="en-US"/>
        </w:rPr>
        <w:t xml:space="preserve"> </w:t>
      </w:r>
      <w:r w:rsidR="00FE7201" w:rsidRPr="001256B1">
        <w:rPr>
          <w:rFonts w:ascii="Book Antiqua" w:hAnsi="Book Antiqua"/>
          <w:bCs/>
          <w:color w:val="000000" w:themeColor="text1"/>
          <w:lang w:val="en-US"/>
        </w:rPr>
        <w:t xml:space="preserve">Colorectal </w:t>
      </w:r>
      <w:r w:rsidR="00163278" w:rsidRPr="001256B1">
        <w:rPr>
          <w:rFonts w:ascii="Book Antiqua" w:hAnsi="Book Antiqua"/>
          <w:bCs/>
          <w:color w:val="000000" w:themeColor="text1"/>
          <w:lang w:val="en-US"/>
        </w:rPr>
        <w:t>c</w:t>
      </w:r>
      <w:r w:rsidR="00FE7201" w:rsidRPr="001256B1">
        <w:rPr>
          <w:rFonts w:ascii="Book Antiqua" w:hAnsi="Book Antiqua"/>
          <w:bCs/>
          <w:color w:val="000000" w:themeColor="text1"/>
          <w:lang w:val="en-US"/>
        </w:rPr>
        <w:t xml:space="preserve">ancer; Insulin </w:t>
      </w:r>
      <w:r w:rsidR="00163278" w:rsidRPr="001256B1">
        <w:rPr>
          <w:rFonts w:ascii="Book Antiqua" w:hAnsi="Book Antiqua"/>
          <w:bCs/>
          <w:color w:val="000000" w:themeColor="text1"/>
          <w:lang w:val="en-US"/>
        </w:rPr>
        <w:t>r</w:t>
      </w:r>
      <w:r w:rsidR="00FE7201" w:rsidRPr="001256B1">
        <w:rPr>
          <w:rFonts w:ascii="Book Antiqua" w:hAnsi="Book Antiqua"/>
          <w:bCs/>
          <w:color w:val="000000" w:themeColor="text1"/>
          <w:lang w:val="en-US"/>
        </w:rPr>
        <w:t xml:space="preserve">eceptor </w:t>
      </w:r>
      <w:r w:rsidR="00163278" w:rsidRPr="001256B1">
        <w:rPr>
          <w:rFonts w:ascii="Book Antiqua" w:hAnsi="Book Antiqua"/>
          <w:bCs/>
          <w:color w:val="000000" w:themeColor="text1"/>
          <w:lang w:val="en-US"/>
        </w:rPr>
        <w:t>s</w:t>
      </w:r>
      <w:r w:rsidR="00FE7201" w:rsidRPr="001256B1">
        <w:rPr>
          <w:rFonts w:ascii="Book Antiqua" w:hAnsi="Book Antiqua"/>
          <w:bCs/>
          <w:color w:val="000000" w:themeColor="text1"/>
          <w:lang w:val="en-US"/>
        </w:rPr>
        <w:t xml:space="preserve">ubstrate-1; </w:t>
      </w:r>
      <w:proofErr w:type="spellStart"/>
      <w:r w:rsidR="00FE7201" w:rsidRPr="001256B1">
        <w:rPr>
          <w:rFonts w:ascii="Book Antiqua" w:hAnsi="Book Antiqua"/>
          <w:bCs/>
          <w:color w:val="000000" w:themeColor="text1"/>
          <w:lang w:val="en-US"/>
        </w:rPr>
        <w:t>Bax</w:t>
      </w:r>
      <w:proofErr w:type="spellEnd"/>
      <w:r w:rsidR="00FE7201" w:rsidRPr="001256B1">
        <w:rPr>
          <w:rFonts w:ascii="Book Antiqua" w:hAnsi="Book Antiqua"/>
          <w:bCs/>
          <w:color w:val="000000" w:themeColor="text1"/>
          <w:lang w:val="en-US"/>
        </w:rPr>
        <w:t xml:space="preserve"> </w:t>
      </w:r>
      <w:r w:rsidR="00163278" w:rsidRPr="001256B1">
        <w:rPr>
          <w:rFonts w:ascii="Book Antiqua" w:hAnsi="Book Antiqua"/>
          <w:bCs/>
          <w:color w:val="000000" w:themeColor="text1"/>
          <w:lang w:val="en-US"/>
        </w:rPr>
        <w:t>p</w:t>
      </w:r>
      <w:r w:rsidR="00FE7201" w:rsidRPr="001256B1">
        <w:rPr>
          <w:rFonts w:ascii="Book Antiqua" w:hAnsi="Book Antiqua"/>
          <w:bCs/>
          <w:color w:val="000000" w:themeColor="text1"/>
          <w:lang w:val="en-US"/>
        </w:rPr>
        <w:t xml:space="preserve">rotein; </w:t>
      </w:r>
      <w:proofErr w:type="spellStart"/>
      <w:r w:rsidR="00FE7201" w:rsidRPr="001256B1">
        <w:rPr>
          <w:rFonts w:ascii="Book Antiqua" w:hAnsi="Book Antiqua"/>
          <w:bCs/>
          <w:color w:val="000000" w:themeColor="text1"/>
          <w:lang w:val="en-US"/>
        </w:rPr>
        <w:t>Bcl-xL</w:t>
      </w:r>
      <w:proofErr w:type="spellEnd"/>
      <w:r w:rsidR="00FE7201" w:rsidRPr="001256B1">
        <w:rPr>
          <w:rFonts w:ascii="Book Antiqua" w:hAnsi="Book Antiqua"/>
          <w:bCs/>
          <w:color w:val="000000" w:themeColor="text1"/>
          <w:lang w:val="en-US"/>
        </w:rPr>
        <w:t xml:space="preserve"> </w:t>
      </w:r>
      <w:r w:rsidR="00163278" w:rsidRPr="001256B1">
        <w:rPr>
          <w:rFonts w:ascii="Book Antiqua" w:hAnsi="Book Antiqua"/>
          <w:bCs/>
          <w:color w:val="000000" w:themeColor="text1"/>
          <w:lang w:val="en-US"/>
        </w:rPr>
        <w:t>p</w:t>
      </w:r>
      <w:r w:rsidR="00FE7201" w:rsidRPr="001256B1">
        <w:rPr>
          <w:rFonts w:ascii="Book Antiqua" w:hAnsi="Book Antiqua"/>
          <w:bCs/>
          <w:color w:val="000000" w:themeColor="text1"/>
          <w:lang w:val="en-US"/>
        </w:rPr>
        <w:t>rotein; Apoptosis; Antigen Ki-67</w:t>
      </w:r>
    </w:p>
    <w:p w14:paraId="5BED5ED6" w14:textId="77777777" w:rsidR="00DB3D87" w:rsidRPr="001256B1" w:rsidRDefault="00DB3D87" w:rsidP="00F55750">
      <w:pPr>
        <w:snapToGrid w:val="0"/>
        <w:spacing w:line="360" w:lineRule="auto"/>
        <w:jc w:val="both"/>
        <w:rPr>
          <w:rFonts w:ascii="Book Antiqua" w:hAnsi="Book Antiqua"/>
          <w:color w:val="000000" w:themeColor="text1"/>
          <w:lang w:val="en-US"/>
        </w:rPr>
      </w:pPr>
    </w:p>
    <w:p w14:paraId="107300B3" w14:textId="50D7F24E" w:rsidR="00DB3D87" w:rsidRPr="00CE1E7E" w:rsidRDefault="00DB3D87" w:rsidP="00F55750">
      <w:pPr>
        <w:snapToGrid w:val="0"/>
        <w:spacing w:line="360" w:lineRule="auto"/>
        <w:jc w:val="both"/>
        <w:rPr>
          <w:rFonts w:ascii="Book Antiqua" w:hAnsi="Book Antiqua"/>
          <w:iCs/>
          <w:color w:val="000000" w:themeColor="text1"/>
        </w:rPr>
      </w:pPr>
      <w:bookmarkStart w:id="26" w:name="OLE_LINK32"/>
      <w:bookmarkStart w:id="27" w:name="OLE_LINK33"/>
      <w:r w:rsidRPr="001256B1">
        <w:rPr>
          <w:rFonts w:ascii="Book Antiqua" w:hAnsi="Book Antiqua"/>
          <w:color w:val="000000" w:themeColor="text1"/>
        </w:rPr>
        <w:t>Lomperta K, Jakubowska K, Grudzinska M, Kanczuga-Koda L, Wincewicz A, Surmacz E, Sulkowski S, Koda M.</w:t>
      </w:r>
      <w:r w:rsidR="009D27D4" w:rsidRPr="001256B1">
        <w:rPr>
          <w:rFonts w:ascii="Book Antiqua" w:hAnsi="Book Antiqua"/>
        </w:rPr>
        <w:t xml:space="preserve"> </w:t>
      </w:r>
      <w:r w:rsidR="009D27D4" w:rsidRPr="001256B1">
        <w:rPr>
          <w:rFonts w:ascii="Book Antiqua" w:hAnsi="Book Antiqua"/>
          <w:color w:val="000000" w:themeColor="text1"/>
        </w:rPr>
        <w:t>Insulin receptor substrate 1 may play divergent roles in human colorectal cancer development and progression</w:t>
      </w:r>
      <w:r w:rsidR="00E4597A" w:rsidRPr="001256B1">
        <w:rPr>
          <w:rFonts w:ascii="Book Antiqua" w:hAnsi="Book Antiqua"/>
          <w:color w:val="000000" w:themeColor="text1"/>
        </w:rPr>
        <w:t>.</w:t>
      </w:r>
      <w:r w:rsidR="00E4597A" w:rsidRPr="001256B1">
        <w:rPr>
          <w:rFonts w:ascii="Book Antiqua" w:hAnsi="Book Antiqua"/>
          <w:i/>
          <w:color w:val="000000"/>
          <w:lang w:eastAsia="zh-CN"/>
        </w:rPr>
        <w:t xml:space="preserve"> </w:t>
      </w:r>
      <w:r w:rsidR="00CE1E7E" w:rsidRPr="00CE1E7E">
        <w:rPr>
          <w:rFonts w:ascii="Book Antiqua" w:hAnsi="Book Antiqua"/>
          <w:i/>
          <w:color w:val="000000"/>
          <w:lang w:eastAsia="zh-CN"/>
        </w:rPr>
        <w:t xml:space="preserve">World J Gastroenterol </w:t>
      </w:r>
      <w:r w:rsidR="00CE1E7E" w:rsidRPr="00CE1E7E">
        <w:rPr>
          <w:rFonts w:ascii="Book Antiqua" w:hAnsi="Book Antiqua"/>
          <w:color w:val="000000"/>
          <w:lang w:eastAsia="zh-CN"/>
        </w:rPr>
        <w:t>2020; In press</w:t>
      </w:r>
    </w:p>
    <w:bookmarkEnd w:id="26"/>
    <w:bookmarkEnd w:id="27"/>
    <w:p w14:paraId="5D992247" w14:textId="77777777" w:rsidR="00DB3D87" w:rsidRPr="001256B1" w:rsidRDefault="00DB3D87" w:rsidP="00F55750">
      <w:pPr>
        <w:pStyle w:val="a8"/>
        <w:snapToGrid w:val="0"/>
        <w:spacing w:before="0" w:beforeAutospacing="0" w:after="0" w:afterAutospacing="0" w:line="360" w:lineRule="auto"/>
        <w:jc w:val="both"/>
        <w:rPr>
          <w:rFonts w:ascii="Book Antiqua" w:hAnsi="Book Antiqua"/>
          <w:bCs/>
          <w:color w:val="000000" w:themeColor="text1"/>
          <w:lang w:val="en-US"/>
        </w:rPr>
      </w:pPr>
    </w:p>
    <w:p w14:paraId="2D057D07" w14:textId="68B447AA" w:rsidR="00A43655" w:rsidRPr="00CE1E7E" w:rsidRDefault="001F1DAA" w:rsidP="00F55750">
      <w:pPr>
        <w:pStyle w:val="a8"/>
        <w:snapToGrid w:val="0"/>
        <w:spacing w:before="0" w:beforeAutospacing="0" w:after="0" w:afterAutospacing="0" w:line="360" w:lineRule="auto"/>
        <w:jc w:val="both"/>
        <w:rPr>
          <w:rFonts w:ascii="Book Antiqua" w:hAnsi="Book Antiqua"/>
          <w:bCs/>
          <w:color w:val="000000" w:themeColor="text1"/>
          <w:lang w:val="en-US"/>
        </w:rPr>
      </w:pPr>
      <w:r w:rsidRPr="001256B1">
        <w:rPr>
          <w:rFonts w:ascii="Book Antiqua" w:hAnsi="Book Antiqua"/>
          <w:b/>
        </w:rPr>
        <w:t>Core tip:</w:t>
      </w:r>
      <w:r w:rsidR="00FE7201" w:rsidRPr="001256B1">
        <w:rPr>
          <w:rFonts w:ascii="Book Antiqua" w:hAnsi="Book Antiqua"/>
          <w:b/>
          <w:color w:val="000000" w:themeColor="text1"/>
          <w:lang w:val="en-US"/>
        </w:rPr>
        <w:t xml:space="preserve"> </w:t>
      </w:r>
      <w:bookmarkStart w:id="28" w:name="OLE_LINK31"/>
      <w:bookmarkStart w:id="29" w:name="OLE_LINK36"/>
      <w:r w:rsidR="00275E05" w:rsidRPr="001256B1">
        <w:rPr>
          <w:rFonts w:ascii="Book Antiqua" w:hAnsi="Book Antiqua"/>
          <w:bCs/>
          <w:color w:val="000000" w:themeColor="text1"/>
          <w:lang w:val="en-US"/>
        </w:rPr>
        <w:t>W</w:t>
      </w:r>
      <w:r w:rsidR="003E2701" w:rsidRPr="001256B1">
        <w:rPr>
          <w:rFonts w:ascii="Book Antiqua" w:hAnsi="Book Antiqua"/>
          <w:bCs/>
          <w:color w:val="000000" w:themeColor="text1"/>
          <w:lang w:val="en-US"/>
        </w:rPr>
        <w:t xml:space="preserve">e analyzed the expressions of </w:t>
      </w:r>
      <w:r w:rsidR="00CE1E7E" w:rsidRPr="001256B1">
        <w:rPr>
          <w:rFonts w:ascii="Book Antiqua" w:hAnsi="Book Antiqua"/>
          <w:lang w:val="en-US"/>
        </w:rPr>
        <w:t>Insulin receptor substrate 1 (IRS-1)</w:t>
      </w:r>
      <w:r w:rsidR="003E2701" w:rsidRPr="001256B1">
        <w:rPr>
          <w:rFonts w:ascii="Book Antiqua" w:hAnsi="Book Antiqua"/>
          <w:bCs/>
          <w:color w:val="000000" w:themeColor="text1"/>
          <w:lang w:val="en-US"/>
        </w:rPr>
        <w:t xml:space="preserve">, </w:t>
      </w:r>
      <w:proofErr w:type="spellStart"/>
      <w:r w:rsidR="003E2701" w:rsidRPr="001256B1">
        <w:rPr>
          <w:rFonts w:ascii="Book Antiqua" w:hAnsi="Book Antiqua"/>
          <w:bCs/>
          <w:color w:val="000000" w:themeColor="text1"/>
          <w:lang w:val="en-US"/>
        </w:rPr>
        <w:t>Bax</w:t>
      </w:r>
      <w:proofErr w:type="spellEnd"/>
      <w:r w:rsidR="003E2701" w:rsidRPr="001256B1">
        <w:rPr>
          <w:rFonts w:ascii="Book Antiqua" w:hAnsi="Book Antiqua"/>
          <w:bCs/>
          <w:color w:val="000000" w:themeColor="text1"/>
          <w:lang w:val="en-US"/>
        </w:rPr>
        <w:t xml:space="preserve">, </w:t>
      </w:r>
      <w:proofErr w:type="spellStart"/>
      <w:r w:rsidR="003E2701" w:rsidRPr="001256B1">
        <w:rPr>
          <w:rFonts w:ascii="Book Antiqua" w:hAnsi="Book Antiqua"/>
          <w:bCs/>
          <w:color w:val="000000" w:themeColor="text1"/>
          <w:lang w:val="en-US"/>
        </w:rPr>
        <w:t>Bcl-xL</w:t>
      </w:r>
      <w:proofErr w:type="spellEnd"/>
      <w:r w:rsidR="003E2701" w:rsidRPr="001256B1">
        <w:rPr>
          <w:rFonts w:ascii="Book Antiqua" w:hAnsi="Book Antiqua"/>
          <w:bCs/>
          <w:color w:val="000000" w:themeColor="text1"/>
          <w:lang w:val="en-US"/>
        </w:rPr>
        <w:t xml:space="preserve"> and Ki-67 proteins in primary </w:t>
      </w:r>
      <w:r w:rsidR="00CE1E7E" w:rsidRPr="001256B1">
        <w:rPr>
          <w:rFonts w:ascii="Book Antiqua" w:hAnsi="Book Antiqua"/>
          <w:lang w:val="en-US"/>
        </w:rPr>
        <w:t>colorectal cancer (CRC)</w:t>
      </w:r>
      <w:r w:rsidR="003E2701" w:rsidRPr="001256B1">
        <w:rPr>
          <w:rFonts w:ascii="Book Antiqua" w:hAnsi="Book Antiqua"/>
          <w:bCs/>
          <w:color w:val="000000" w:themeColor="text1"/>
          <w:lang w:val="en-US"/>
        </w:rPr>
        <w:t>. We found that IRS-1 expression was associated with tumor grade and histological type</w:t>
      </w:r>
      <w:r w:rsidR="00275E05" w:rsidRPr="001256B1">
        <w:rPr>
          <w:rFonts w:ascii="Book Antiqua" w:hAnsi="Book Antiqua"/>
          <w:bCs/>
          <w:color w:val="000000" w:themeColor="text1"/>
          <w:lang w:val="en-US"/>
        </w:rPr>
        <w:t>,</w:t>
      </w:r>
      <w:r w:rsidR="00F23B2E" w:rsidRPr="001256B1">
        <w:rPr>
          <w:rFonts w:ascii="Book Antiqua" w:hAnsi="Book Antiqua"/>
          <w:bCs/>
          <w:color w:val="000000" w:themeColor="text1"/>
          <w:lang w:val="en-US"/>
        </w:rPr>
        <w:t xml:space="preserve"> and </w:t>
      </w:r>
      <w:r w:rsidR="00275E05" w:rsidRPr="001256B1">
        <w:rPr>
          <w:rFonts w:ascii="Book Antiqua" w:hAnsi="Book Antiqua"/>
          <w:bCs/>
          <w:color w:val="000000" w:themeColor="text1"/>
          <w:lang w:val="en-US"/>
        </w:rPr>
        <w:t xml:space="preserve">was </w:t>
      </w:r>
      <w:r w:rsidR="00F23B2E" w:rsidRPr="001256B1">
        <w:rPr>
          <w:rFonts w:ascii="Book Antiqua" w:hAnsi="Book Antiqua"/>
          <w:bCs/>
          <w:color w:val="000000" w:themeColor="text1"/>
          <w:lang w:val="en-US"/>
        </w:rPr>
        <w:t xml:space="preserve">more prevalent in </w:t>
      </w:r>
      <w:r w:rsidR="009E154E" w:rsidRPr="001256B1">
        <w:rPr>
          <w:rFonts w:ascii="Book Antiqua" w:hAnsi="Book Antiqua"/>
          <w:bCs/>
          <w:color w:val="000000" w:themeColor="text1"/>
          <w:lang w:val="en-US"/>
        </w:rPr>
        <w:t>more differentiated CRC.</w:t>
      </w:r>
      <w:r w:rsidR="003E2701" w:rsidRPr="001256B1">
        <w:rPr>
          <w:rFonts w:ascii="Book Antiqua" w:hAnsi="Book Antiqua"/>
          <w:bCs/>
          <w:color w:val="000000" w:themeColor="text1"/>
          <w:lang w:val="en-US"/>
        </w:rPr>
        <w:t xml:space="preserve"> </w:t>
      </w:r>
      <w:r w:rsidR="00F23B2E" w:rsidRPr="001256B1">
        <w:rPr>
          <w:rFonts w:ascii="Book Antiqua" w:hAnsi="Book Antiqua"/>
          <w:bCs/>
          <w:color w:val="000000" w:themeColor="text1"/>
          <w:lang w:val="en-US"/>
        </w:rPr>
        <w:t>Interestingly,</w:t>
      </w:r>
      <w:r w:rsidR="003E2701" w:rsidRPr="001256B1">
        <w:rPr>
          <w:rFonts w:ascii="Book Antiqua" w:hAnsi="Book Antiqua"/>
          <w:bCs/>
          <w:color w:val="000000" w:themeColor="text1"/>
          <w:lang w:val="en-US"/>
        </w:rPr>
        <w:t xml:space="preserve"> IRS-1 </w:t>
      </w:r>
      <w:r w:rsidR="009E154E" w:rsidRPr="001256B1">
        <w:rPr>
          <w:rFonts w:ascii="Book Antiqua" w:hAnsi="Book Antiqua"/>
          <w:bCs/>
          <w:color w:val="000000" w:themeColor="text1"/>
          <w:lang w:val="en-US"/>
        </w:rPr>
        <w:t xml:space="preserve">expression </w:t>
      </w:r>
      <w:r w:rsidR="00F23B2E" w:rsidRPr="001256B1">
        <w:rPr>
          <w:rFonts w:ascii="Book Antiqua" w:hAnsi="Book Antiqua"/>
          <w:bCs/>
          <w:color w:val="000000" w:themeColor="text1"/>
          <w:lang w:val="en-US"/>
        </w:rPr>
        <w:t>was significantly correlated with</w:t>
      </w:r>
      <w:r w:rsidR="003E2701" w:rsidRPr="001256B1">
        <w:rPr>
          <w:rFonts w:ascii="Book Antiqua" w:hAnsi="Book Antiqua"/>
          <w:bCs/>
          <w:color w:val="000000" w:themeColor="text1"/>
          <w:lang w:val="en-US"/>
        </w:rPr>
        <w:t xml:space="preserve"> </w:t>
      </w:r>
      <w:proofErr w:type="spellStart"/>
      <w:r w:rsidR="003E2701" w:rsidRPr="001256B1">
        <w:rPr>
          <w:rFonts w:ascii="Book Antiqua" w:hAnsi="Book Antiqua"/>
          <w:bCs/>
          <w:color w:val="000000" w:themeColor="text1"/>
          <w:lang w:val="en-US"/>
        </w:rPr>
        <w:t>Bax</w:t>
      </w:r>
      <w:proofErr w:type="spellEnd"/>
      <w:r w:rsidR="003E2701" w:rsidRPr="001256B1">
        <w:rPr>
          <w:rFonts w:ascii="Book Antiqua" w:hAnsi="Book Antiqua"/>
          <w:bCs/>
          <w:color w:val="000000" w:themeColor="text1"/>
          <w:lang w:val="en-US"/>
        </w:rPr>
        <w:t xml:space="preserve"> and </w:t>
      </w:r>
      <w:proofErr w:type="spellStart"/>
      <w:r w:rsidR="003E2701" w:rsidRPr="001256B1">
        <w:rPr>
          <w:rFonts w:ascii="Book Antiqua" w:hAnsi="Book Antiqua"/>
          <w:bCs/>
          <w:color w:val="000000" w:themeColor="text1"/>
          <w:lang w:val="en-US"/>
        </w:rPr>
        <w:t>Bcl-xL</w:t>
      </w:r>
      <w:proofErr w:type="spellEnd"/>
      <w:r w:rsidR="009E154E" w:rsidRPr="001256B1">
        <w:rPr>
          <w:rFonts w:ascii="Book Antiqua" w:hAnsi="Book Antiqua"/>
          <w:bCs/>
          <w:color w:val="000000" w:themeColor="text1"/>
          <w:lang w:val="en-US"/>
        </w:rPr>
        <w:t>, but not with Ki-67</w:t>
      </w:r>
      <w:r w:rsidR="00AB48FA" w:rsidRPr="001256B1">
        <w:rPr>
          <w:rFonts w:ascii="Book Antiqua" w:hAnsi="Book Antiqua"/>
          <w:bCs/>
          <w:color w:val="000000" w:themeColor="text1"/>
          <w:lang w:val="en-US"/>
        </w:rPr>
        <w:t xml:space="preserve">. </w:t>
      </w:r>
      <w:r w:rsidR="003E2701" w:rsidRPr="001256B1">
        <w:rPr>
          <w:rFonts w:ascii="Book Antiqua" w:hAnsi="Book Antiqua"/>
          <w:bCs/>
          <w:color w:val="000000" w:themeColor="text1"/>
          <w:lang w:val="en-US"/>
        </w:rPr>
        <w:t xml:space="preserve">We hypothesize that </w:t>
      </w:r>
      <w:proofErr w:type="spellStart"/>
      <w:r w:rsidR="003E2701" w:rsidRPr="001256B1">
        <w:rPr>
          <w:rFonts w:ascii="Book Antiqua" w:hAnsi="Book Antiqua"/>
          <w:bCs/>
          <w:color w:val="000000" w:themeColor="text1"/>
          <w:lang w:val="en-US"/>
        </w:rPr>
        <w:t>coexpression</w:t>
      </w:r>
      <w:proofErr w:type="spellEnd"/>
      <w:r w:rsidR="003E2701" w:rsidRPr="001256B1">
        <w:rPr>
          <w:rFonts w:ascii="Book Antiqua" w:hAnsi="Book Antiqua"/>
          <w:bCs/>
          <w:color w:val="000000" w:themeColor="text1"/>
          <w:lang w:val="en-US"/>
        </w:rPr>
        <w:t xml:space="preserve"> of IRS-1 and proapoptotic and </w:t>
      </w:r>
      <w:r w:rsidR="003E2701" w:rsidRPr="001256B1">
        <w:rPr>
          <w:rFonts w:ascii="Book Antiqua" w:hAnsi="Book Antiqua"/>
          <w:bCs/>
          <w:color w:val="000000" w:themeColor="text1"/>
          <w:lang w:val="en-US"/>
        </w:rPr>
        <w:lastRenderedPageBreak/>
        <w:t>antiapoptotic markers could result in a complex and diverse interplay characteristic for earlier stages in CRC.</w:t>
      </w:r>
    </w:p>
    <w:bookmarkEnd w:id="28"/>
    <w:bookmarkEnd w:id="29"/>
    <w:p w14:paraId="469A30D0" w14:textId="77777777" w:rsidR="008F5A7C" w:rsidRPr="001256B1" w:rsidRDefault="008F5A7C" w:rsidP="00F55750">
      <w:pPr>
        <w:snapToGrid w:val="0"/>
        <w:spacing w:line="360" w:lineRule="auto"/>
        <w:jc w:val="both"/>
        <w:rPr>
          <w:rFonts w:ascii="Book Antiqua" w:hAnsi="Book Antiqua"/>
          <w:color w:val="000000" w:themeColor="text1"/>
          <w:lang w:val="en-US"/>
        </w:rPr>
      </w:pPr>
      <w:r w:rsidRPr="001256B1">
        <w:rPr>
          <w:rFonts w:ascii="Book Antiqua" w:hAnsi="Book Antiqua"/>
          <w:color w:val="000000" w:themeColor="text1"/>
          <w:lang w:val="en-US"/>
        </w:rPr>
        <w:br w:type="page"/>
      </w:r>
    </w:p>
    <w:p w14:paraId="103CFE07" w14:textId="77777777" w:rsidR="000166A1" w:rsidRPr="001757B4" w:rsidRDefault="000166A1" w:rsidP="00F55750">
      <w:pPr>
        <w:adjustRightInd w:val="0"/>
        <w:snapToGrid w:val="0"/>
        <w:spacing w:line="360" w:lineRule="auto"/>
        <w:rPr>
          <w:rFonts w:ascii="Book Antiqua" w:hAnsi="Book Antiqua"/>
          <w:b/>
          <w:u w:val="single"/>
        </w:rPr>
      </w:pPr>
      <w:r w:rsidRPr="001757B4">
        <w:rPr>
          <w:rFonts w:ascii="Book Antiqua" w:hAnsi="Book Antiqua"/>
          <w:b/>
          <w:u w:val="single"/>
        </w:rPr>
        <w:lastRenderedPageBreak/>
        <w:t>INTRODUCTION</w:t>
      </w:r>
    </w:p>
    <w:p w14:paraId="157D776E" w14:textId="547C175B" w:rsidR="008F5A7C" w:rsidRPr="001256B1" w:rsidRDefault="008F5A7C" w:rsidP="00F55750">
      <w:pPr>
        <w:snapToGrid w:val="0"/>
        <w:spacing w:line="360" w:lineRule="auto"/>
        <w:jc w:val="both"/>
        <w:rPr>
          <w:rFonts w:ascii="Book Antiqua" w:hAnsi="Book Antiqua"/>
          <w:shd w:val="clear" w:color="auto" w:fill="FFFFFF"/>
          <w:lang w:val="en-US"/>
        </w:rPr>
      </w:pPr>
      <w:r w:rsidRPr="001256B1">
        <w:rPr>
          <w:rFonts w:ascii="Book Antiqua" w:hAnsi="Book Antiqua"/>
          <w:lang w:val="en-US"/>
        </w:rPr>
        <w:t>Based on GLOBOCAN 2018 data</w:t>
      </w:r>
      <w:r w:rsidR="00BF6E66" w:rsidRPr="001256B1">
        <w:rPr>
          <w:rFonts w:ascii="Book Antiqua" w:hAnsi="Book Antiqua"/>
          <w:lang w:val="en-US"/>
        </w:rPr>
        <w:t>,</w:t>
      </w:r>
      <w:r w:rsidRPr="001256B1">
        <w:rPr>
          <w:rFonts w:ascii="Book Antiqua" w:hAnsi="Book Antiqua"/>
          <w:lang w:val="en-US"/>
        </w:rPr>
        <w:t xml:space="preserve"> </w:t>
      </w:r>
      <w:r w:rsidR="00E945E9" w:rsidRPr="001256B1">
        <w:rPr>
          <w:rFonts w:ascii="Book Antiqua" w:hAnsi="Book Antiqua"/>
          <w:lang w:val="en-US"/>
        </w:rPr>
        <w:t>colorectal cancer (CRC)</w:t>
      </w:r>
      <w:r w:rsidRPr="001256B1">
        <w:rPr>
          <w:rFonts w:ascii="Book Antiqua" w:hAnsi="Book Antiqua"/>
          <w:lang w:val="en-US"/>
        </w:rPr>
        <w:t xml:space="preserve"> is the third most common cancer diagnosed across the world</w:t>
      </w:r>
      <w:r w:rsidRPr="001256B1">
        <w:rPr>
          <w:rFonts w:ascii="Book Antiqua" w:hAnsi="Book Antiqua"/>
          <w:vertAlign w:val="superscript"/>
          <w:lang w:val="en-US"/>
        </w:rPr>
        <w:fldChar w:fldCharType="begin" w:fldLock="1"/>
      </w:r>
      <w:r w:rsidRPr="001256B1">
        <w:rPr>
          <w:rFonts w:ascii="Book Antiqua" w:hAnsi="Book Antiqua"/>
          <w:vertAlign w:val="superscript"/>
          <w:lang w:val="en-US"/>
        </w:rPr>
        <w:instrText>ADDIN CSL_CITATION {"citationItems":[{"id":"ITEM-1","itemData":{"ISSN":"0007-9235","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clinicians","id":"ITEM-1","issue":"6","issued":{"date-parts":[["2018"]]},"page":"394-424","publisher":"Wiley Online Library","title":"Global cancer statistics 2018: GLOBOCAN estimates of incidence and mortality worldwide for 36 cancers in 185 countries","type":"article-journal","volume":"68"},"uris":["http://www.mendeley.com/documents/?uuid=b5e09600-aa79-406c-a16c-18e77a02e51b"]}],"mendeley":{"formattedCitation":"[1]","plainTextFormattedCitation":"[1]","previouslyFormattedCitation":"[1]"},"properties":{"noteIndex":0},"schema":"https://github.com/citation-style-language/schema/raw/master/csl-citation.json"}</w:instrText>
      </w:r>
      <w:r w:rsidRPr="001256B1">
        <w:rPr>
          <w:rFonts w:ascii="Book Antiqua" w:hAnsi="Book Antiqua"/>
          <w:vertAlign w:val="superscript"/>
          <w:lang w:val="en-US"/>
        </w:rPr>
        <w:fldChar w:fldCharType="separate"/>
      </w:r>
      <w:r w:rsidRPr="001256B1">
        <w:rPr>
          <w:rFonts w:ascii="Book Antiqua" w:hAnsi="Book Antiqua"/>
          <w:noProof/>
          <w:vertAlign w:val="superscript"/>
          <w:lang w:val="en-US"/>
        </w:rPr>
        <w:t>[1]</w:t>
      </w:r>
      <w:r w:rsidRPr="001256B1">
        <w:rPr>
          <w:rFonts w:ascii="Book Antiqua" w:hAnsi="Book Antiqua"/>
          <w:vertAlign w:val="superscript"/>
          <w:lang w:val="en-US"/>
        </w:rPr>
        <w:fldChar w:fldCharType="end"/>
      </w:r>
      <w:r w:rsidRPr="001256B1">
        <w:rPr>
          <w:rFonts w:ascii="Book Antiqua" w:hAnsi="Book Antiqua"/>
          <w:lang w:val="en-US"/>
        </w:rPr>
        <w:t xml:space="preserve">. </w:t>
      </w:r>
      <w:r w:rsidRPr="001256B1">
        <w:rPr>
          <w:rFonts w:ascii="Book Antiqua" w:hAnsi="Book Antiqua"/>
          <w:shd w:val="clear" w:color="auto" w:fill="FFFFFF"/>
          <w:lang w:val="en-US"/>
        </w:rPr>
        <w:t xml:space="preserve">Most of the </w:t>
      </w:r>
      <w:r w:rsidR="00BF6E66" w:rsidRPr="001256B1">
        <w:rPr>
          <w:rFonts w:ascii="Book Antiqua" w:hAnsi="Book Antiqua"/>
          <w:shd w:val="clear" w:color="auto" w:fill="FFFFFF"/>
          <w:lang w:val="en-US"/>
        </w:rPr>
        <w:t xml:space="preserve">relevant </w:t>
      </w:r>
      <w:r w:rsidRPr="001256B1">
        <w:rPr>
          <w:rFonts w:ascii="Book Antiqua" w:hAnsi="Book Antiqua"/>
          <w:shd w:val="clear" w:color="auto" w:fill="FFFFFF"/>
          <w:lang w:val="en-US"/>
        </w:rPr>
        <w:t>research is aimed at finding new prognostic factors or therapeutic strategy in order to reduce high CRC-related mortality. In addition to the numerous transcription factors and signaling molecules involved in the development of CRC, the role of insulin receptor substrate 1 (IRS-1) has been the subject of recent intense investigation</w:t>
      </w:r>
      <w:r w:rsidRPr="001256B1">
        <w:rPr>
          <w:rFonts w:ascii="Book Antiqua" w:hAnsi="Book Antiqua"/>
          <w:shd w:val="clear" w:color="auto" w:fill="FFFFFF"/>
          <w:vertAlign w:val="superscript"/>
          <w:lang w:val="en-US"/>
        </w:rPr>
        <w:fldChar w:fldCharType="begin" w:fldLock="1"/>
      </w:r>
      <w:r w:rsidRPr="001256B1">
        <w:rPr>
          <w:rFonts w:ascii="Book Antiqua" w:hAnsi="Book Antiqua"/>
          <w:shd w:val="clear" w:color="auto" w:fill="FFFFFF"/>
          <w:vertAlign w:val="superscript"/>
          <w:lang w:val="en-US"/>
        </w:rPr>
        <w:instrText>ADDIN CSL_CITATION {"citationItems":[{"id":"ITEM-1","itemData":{"author":[{"dropping-particle":"","family":"Esposito","given":"Diana L","non-dropping-particle":"","parse-names":false,"suffix":""},{"dropping-particle":"","family":"Aru","given":"Federica","non-dropping-particle":"","parse-names":false,"suffix":""},{"dropping-particle":"","family":"Lattanzio","given":"Rossano","non-dropping-particle":"","parse-names":false,"suffix":""},{"dropping-particle":"","family":"Morgano","given":"Annalisa","non-dropping-particle":"","parse-names":false,"suffix":""},{"dropping-particle":"","family":"Abbondanza","given":"Michela","non-dropping-particle":"","parse-names":false,"suffix":""},{"dropping-particle":"","family":"Malekzadeh","given":"Reza","non-dropping-particle":"","parse-names":false,"suffix":""},{"dropping-particle":"","family":"Bishehsari","given":"Faraz","non-dropping-particle":"","parse-names":false,"suffix":""},{"dropping-particle":"","family":"Valanzano","given":"Rosa","non-dropping-particle":"","parse-names":false,"suffix":""},{"dropping-particle":"","family":"Russo","given":"Antonio","non-dropping-particle":"","parse-names":false,"suffix":""},{"dropping-particle":"","family":"Piantelli","given":"Mauro","non-dropping-particle":"","parse-names":false,"suffix":""}],"container-title":"PLoS One","id":"ITEM-1","issue":"4","issued":{"date-parts":[["2012"]]},"publisher":"Public Library of Science","title":"The insulin receptor substrate 1 (IRS1) in intestinal epithelial differentiation and in colorectal cancer","type":"article-journal","volume":"7"},"uris":["http://www.mendeley.com/documents/?uuid=02648814-0679-4a83-aa9c-79729d55c079"]},{"id":"ITEM-2","itemData":{"ISSN":"0013-7227","author":[{"dropping-particle":"","family":"Ramocki","given":"Nicole M","non-dropping-particle":"","parse-names":false,"suffix":""},{"dropping-particle":"","family":"Wilkins","given":"Heather R","non-dropping-particle":"","parse-names":false,"suffix":""},{"dropping-particle":"","family":"Magness","given":"Scott T","non-dropping-particle":"","parse-names":false,"suffix":""},{"dropping-particle":"","family":"Simmons","given":"James G","non-dropping-particle":"","parse-names":false,"suffix":""},{"dropping-particle":"","family":"Scull","given":"Brooks P","non-dropping-particle":"","parse-names":false,"suffix":""},{"dropping-particle":"","family":"Lee","given":"Ginny H","non-dropping-particle":"","parse-names":false,"suffix":""},{"dropping-particle":"","family":"McNaughton","given":"Kirk K","non-dropping-particle":"","parse-names":false,"suffix":""},{"dropping-particle":"","family":"Lund","given":"P Kay","non-dropping-particle":"","parse-names":false,"suffix":""}],"container-title":"Endocrinology","id":"ITEM-2","issue":"1","issued":{"date-parts":[["2008"]]},"page":"261-267","publisher":"Oxford University Press","title":"Insulin receptor substrate-1 deficiency promotes apoptosis in the putative intestinal crypt stem cell region, limits Apcmin/+ tumors, and regulates Sox9","type":"article-journal","volume":"149"},"uris":["http://www.mendeley.com/documents/?uuid=c9cce13c-ebe7-4cad-bc65-4433bcfbcaf4"]}],"mendeley":{"formattedCitation":"[2,3]","plainTextFormattedCitation":"[2,3]","previouslyFormattedCitation":"[2,3]"},"properties":{"noteIndex":0},"schema":"https://github.com/citation-style-language/schema/raw/master/csl-citation.json"}</w:instrText>
      </w:r>
      <w:r w:rsidRPr="001256B1">
        <w:rPr>
          <w:rFonts w:ascii="Book Antiqua" w:hAnsi="Book Antiqua"/>
          <w:shd w:val="clear" w:color="auto" w:fill="FFFFFF"/>
          <w:vertAlign w:val="superscript"/>
          <w:lang w:val="en-US"/>
        </w:rPr>
        <w:fldChar w:fldCharType="separate"/>
      </w:r>
      <w:r w:rsidRPr="001256B1">
        <w:rPr>
          <w:rFonts w:ascii="Book Antiqua" w:hAnsi="Book Antiqua"/>
          <w:noProof/>
          <w:shd w:val="clear" w:color="auto" w:fill="FFFFFF"/>
          <w:vertAlign w:val="superscript"/>
          <w:lang w:val="en-US"/>
        </w:rPr>
        <w:t>[2,3]</w:t>
      </w:r>
      <w:r w:rsidRPr="001256B1">
        <w:rPr>
          <w:rFonts w:ascii="Book Antiqua" w:hAnsi="Book Antiqua"/>
          <w:shd w:val="clear" w:color="auto" w:fill="FFFFFF"/>
          <w:vertAlign w:val="superscript"/>
          <w:lang w:val="en-US"/>
        </w:rPr>
        <w:fldChar w:fldCharType="end"/>
      </w:r>
      <w:r w:rsidRPr="001256B1">
        <w:rPr>
          <w:rFonts w:ascii="Book Antiqua" w:hAnsi="Book Antiqua"/>
          <w:shd w:val="clear" w:color="auto" w:fill="FFFFFF"/>
          <w:lang w:val="en-US"/>
        </w:rPr>
        <w:t xml:space="preserve">. IRS-1 is </w:t>
      </w:r>
      <w:r w:rsidR="00BF6E66" w:rsidRPr="001256B1">
        <w:rPr>
          <w:rFonts w:ascii="Book Antiqua" w:hAnsi="Book Antiqua"/>
          <w:shd w:val="clear" w:color="auto" w:fill="FFFFFF"/>
          <w:lang w:val="en-US"/>
        </w:rPr>
        <w:t xml:space="preserve">a member of the IRS family </w:t>
      </w:r>
      <w:r w:rsidRPr="001256B1">
        <w:rPr>
          <w:rFonts w:ascii="Book Antiqua" w:hAnsi="Book Antiqua"/>
          <w:shd w:val="clear" w:color="auto" w:fill="FFFFFF"/>
          <w:lang w:val="en-US"/>
        </w:rPr>
        <w:t xml:space="preserve">(IRS-1 to IRS-6) and is generally considered to be a substrate of </w:t>
      </w:r>
      <w:r w:rsidR="00BF6E66" w:rsidRPr="001256B1">
        <w:rPr>
          <w:rFonts w:ascii="Book Antiqua" w:hAnsi="Book Antiqua"/>
          <w:shd w:val="clear" w:color="auto" w:fill="FFFFFF"/>
          <w:lang w:val="en-US"/>
        </w:rPr>
        <w:t xml:space="preserve">the </w:t>
      </w:r>
      <w:r w:rsidRPr="001256B1">
        <w:rPr>
          <w:rFonts w:ascii="Book Antiqua" w:hAnsi="Book Antiqua"/>
          <w:shd w:val="clear" w:color="auto" w:fill="FFFFFF"/>
          <w:lang w:val="en-US"/>
        </w:rPr>
        <w:t xml:space="preserve">insulin receptor (IR) and </w:t>
      </w:r>
      <w:r w:rsidR="00BF6E66" w:rsidRPr="001256B1">
        <w:rPr>
          <w:rFonts w:ascii="Book Antiqua" w:hAnsi="Book Antiqua"/>
          <w:shd w:val="clear" w:color="auto" w:fill="FFFFFF"/>
          <w:lang w:val="en-US"/>
        </w:rPr>
        <w:t xml:space="preserve">the </w:t>
      </w:r>
      <w:r w:rsidRPr="001256B1">
        <w:rPr>
          <w:rFonts w:ascii="Book Antiqua" w:hAnsi="Book Antiqua"/>
          <w:shd w:val="clear" w:color="auto" w:fill="FFFFFF"/>
          <w:lang w:val="en-US"/>
        </w:rPr>
        <w:t>insulin-like growth factor 1 (IGF-1) receptor (IGF-1R)</w:t>
      </w:r>
      <w:r w:rsidRPr="001256B1">
        <w:rPr>
          <w:rFonts w:ascii="Book Antiqua" w:hAnsi="Book Antiqua"/>
          <w:shd w:val="clear" w:color="auto" w:fill="FFFFFF"/>
          <w:vertAlign w:val="superscript"/>
          <w:lang w:val="en-US"/>
        </w:rPr>
        <w:fldChar w:fldCharType="begin" w:fldLock="1"/>
      </w:r>
      <w:r w:rsidRPr="001256B1">
        <w:rPr>
          <w:rFonts w:ascii="Book Antiqua" w:hAnsi="Book Antiqua"/>
          <w:shd w:val="clear" w:color="auto" w:fill="FFFFFF"/>
          <w:vertAlign w:val="superscript"/>
          <w:lang w:val="en-US"/>
        </w:rPr>
        <w:instrText>ADDIN CSL_CITATION {"citationItems":[{"id":"ITEM-1","itemData":{"DOI":"10.1038/352073a0","ISSN":"1476-4687","abstract":"SINCE the discovery of insulin nearly 70 years ago, there has been no problem more fundamental to diabetes research than understanding how insulin works at the cellular level. Insulin binds to the α subunit of the insulin receptor which activates the tyrosine kinase in the β subunit, but the molecular events linking the receptor kinase to insulin-sensitive enzymes and transport processes are unknown1,2. Our discovery that insulin stimulates tyrosine phosphorylation of a protein of relative molecular mass between 165,000 and 185,000, collectively called pp185, showed that the insulin receptor kinase has specific cellular substrates3. The pp185 is a minor cytoplasmic phosphoprotein found in most cells and tissues4–10; its phosphorylation is decreased in cells expressing mutant receptors defective in signalling6,11. We have now cloned IRS-1, which encodes a component of the pp185 band. IRS-1 contains over ten potential tyrosine phosphorylation sites, six of which are in Tyr-Met-X-Met motifs. During insulin stimulation, the IRS-1 protein undergoes tyrosine phosphorylation and binds phosphatidylinositol 3-kinase, suggesting that IRS-1 acts as a multisite Mocking' protein to bind signal-transducing molecules containing Src-homology 2 and Src-homology-3 domains12–14. Thus IRS–1 may link the insulin receptor kinase and enzymes regulating cellular growth and metabolism. ","author":[{"dropping-particle":"","family":"Sun","given":"Xiao Jian","non-dropping-particle":"","parse-names":false,"suffix":""},{"dropping-particle":"","family":"Rothenberg","given":"Paul","non-dropping-particle":"","parse-names":false,"suffix":""},{"dropping-particle":"","family":"Kahn","given":"C Ronald","non-dropping-particle":"","parse-names":false,"suffix":""},{"dropping-particle":"","family":"Backer","given":"Jonathan M","non-dropping-particle":"","parse-names":false,"suffix":""},{"dropping-particle":"","family":"Araki","given":"Eiichi","non-dropping-particle":"","parse-names":false,"suffix":""},{"dropping-particle":"","family":"Wilden","given":"Peter A","non-dropping-particle":"","parse-names":false,"suffix":""},{"dropping-particle":"","family":"Cahill","given":"Deborah A","non-dropping-particle":"","parse-names":false,"suffix":""},{"dropping-particle":"","family":"Goldstein","given":"Barry J","non-dropping-particle":"","parse-names":false,"suffix":""},{"dropping-particle":"","family":"White","given":"Morris F","non-dropping-particle":"","parse-names":false,"suffix":""}],"container-title":"Nature","id":"ITEM-1","issue":"6330","issued":{"date-parts":[["1991"]]},"page":"73-77","title":"Structure of the insulin receptor substrate IRS-1 defines a unique signal transduction protein","type":"article-journal","volume":"352"},"uris":["http://www.mendeley.com/documents/?uuid=12f1881b-11ba-4144-ad05-bc8b7b35dfa2"]}],"mendeley":{"formattedCitation":"[4]","plainTextFormattedCitation":"[4]","previouslyFormattedCitation":"[4]"},"properties":{"noteIndex":0},"schema":"https://github.com/citation-style-language/schema/raw/master/csl-citation.json"}</w:instrText>
      </w:r>
      <w:r w:rsidRPr="001256B1">
        <w:rPr>
          <w:rFonts w:ascii="Book Antiqua" w:hAnsi="Book Antiqua"/>
          <w:shd w:val="clear" w:color="auto" w:fill="FFFFFF"/>
          <w:vertAlign w:val="superscript"/>
          <w:lang w:val="en-US"/>
        </w:rPr>
        <w:fldChar w:fldCharType="separate"/>
      </w:r>
      <w:r w:rsidRPr="001256B1">
        <w:rPr>
          <w:rFonts w:ascii="Book Antiqua" w:hAnsi="Book Antiqua"/>
          <w:noProof/>
          <w:shd w:val="clear" w:color="auto" w:fill="FFFFFF"/>
          <w:vertAlign w:val="superscript"/>
          <w:lang w:val="en-US"/>
        </w:rPr>
        <w:t>[4]</w:t>
      </w:r>
      <w:r w:rsidRPr="001256B1">
        <w:rPr>
          <w:rFonts w:ascii="Book Antiqua" w:hAnsi="Book Antiqua"/>
          <w:shd w:val="clear" w:color="auto" w:fill="FFFFFF"/>
          <w:vertAlign w:val="superscript"/>
          <w:lang w:val="en-US"/>
        </w:rPr>
        <w:fldChar w:fldCharType="end"/>
      </w:r>
      <w:r w:rsidRPr="001256B1">
        <w:rPr>
          <w:rFonts w:ascii="Book Antiqua" w:hAnsi="Book Antiqua"/>
          <w:shd w:val="clear" w:color="auto" w:fill="FFFFFF"/>
          <w:lang w:val="en-US"/>
        </w:rPr>
        <w:t xml:space="preserve">. Activation of insulin signaling pathway is crucial in regulation of cell metabolism, while activation of IGF-1 signaling mediates processes, such as mitogenesis, differentiation and cell survival due to </w:t>
      </w:r>
      <w:r w:rsidRPr="001256B1">
        <w:rPr>
          <w:rFonts w:ascii="Book Antiqua" w:hAnsi="Book Antiqua"/>
          <w:color w:val="000000" w:themeColor="text1"/>
          <w:shd w:val="clear" w:color="auto" w:fill="FFFFFF"/>
          <w:lang w:val="en-US"/>
        </w:rPr>
        <w:t>signal transmission in the phosphoinositol-3-kinase pathway and mitogen-activated protein kinase</w:t>
      </w:r>
      <w:r w:rsidR="005059C4" w:rsidRPr="001256B1">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pathways</w:t>
      </w:r>
      <w:r w:rsidRPr="001256B1">
        <w:rPr>
          <w:rFonts w:ascii="Book Antiqua" w:hAnsi="Book Antiqua"/>
          <w:color w:val="000000" w:themeColor="text1"/>
          <w:shd w:val="clear" w:color="auto" w:fill="FFFFFF"/>
          <w:vertAlign w:val="superscript"/>
          <w:lang w:val="en-US"/>
        </w:rPr>
        <w:fldChar w:fldCharType="begin" w:fldLock="1"/>
      </w:r>
      <w:r w:rsidRPr="001256B1">
        <w:rPr>
          <w:rFonts w:ascii="Book Antiqua" w:hAnsi="Book Antiqua"/>
          <w:color w:val="000000" w:themeColor="text1"/>
          <w:shd w:val="clear" w:color="auto" w:fill="FFFFFF"/>
          <w:vertAlign w:val="superscript"/>
          <w:lang w:val="en-US"/>
        </w:rPr>
        <w:instrText>ADDIN CSL_CITATION {"citationItems":[{"id":"ITEM-1","itemData":{"ISSN":"0027-8874 (Print)","PMID":"10995803","abstract":"The insulin-like growth factors (IGFs) are mitogens that play a pivotal role in regulating cell proliferation, differentiation, and apoptosis. The effects of IGFs are mediated through the IGF-I receptor, which is also involved in cell transformation induced by tumor virus proteins and oncogene products. Six IGF-binding proteins (IGFBPs) can inhibit or enhance the actions of IGFs. These opposing effects are determined by the structures of the binding proteins. The effects of IGFBPs on IGFs are regulated in part by IGFBP proteases. Laboratory studies have shown that IGFs exert strong mitogenic and antiapoptotic actions on various cancer cells. IGFs also act synergistically with other mitogenic growth factors and steroids and antagonize the effect of antiproliferative molecules on cancer growth. The role of IGFs in cancer is supported by epidemiologic studies, which have found that high levels of circulating IGF-I and low levels of IGFBP-3 are associated with increased risk of several common cancers, including those of the prostate, breast, colorectum, and lung. Evidence further suggests that certain lifestyles, such as one involving a high-energy diet, may increase IGF-I levels, a finding that is supported by animal experiments indicating that IGFs may abolish the inhibitory effect of energy restriction on cancer growth. Further investigation of the role of IGFs in linking high energy intake, increased cell proliferation, suppression of apoptosis, and increased cancer risk may provide new insights into the etiology of cancer and lead to new strategies for cancer prevention.","author":[{"dropping-particle":"","family":"Yu","given":"H","non-dropping-particle":"","parse-names":false,"suffix":""},{"dropping-particle":"","family":"Rohan","given":"T","non-dropping-particle":"","parse-names":false,"suffix":""}],"container-title":"Journal of the National Cancer Institute","id":"ITEM-1","issue":"18","issued":{"date-parts":[["2000","9"]]},"language":"eng","page":"1472-1489","publisher-place":"United States","title":"Role of the insulin-like growth factor family in cancer development and progression.","type":"article-journal","volume":"92"},"uris":["http://www.mendeley.com/documents/?uuid=561f0052-026c-4007-9627-67a6f0a0d4d7"]}],"mendeley":{"formattedCitation":"[5]","plainTextFormattedCitation":"[5]","previouslyFormattedCitation":"[5]"},"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Pr="001256B1">
        <w:rPr>
          <w:rFonts w:ascii="Book Antiqua" w:hAnsi="Book Antiqua"/>
          <w:noProof/>
          <w:color w:val="000000" w:themeColor="text1"/>
          <w:shd w:val="clear" w:color="auto" w:fill="FFFFFF"/>
          <w:vertAlign w:val="superscript"/>
          <w:lang w:val="en-US"/>
        </w:rPr>
        <w:t>[5]</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w:t>
      </w:r>
      <w:r w:rsidRPr="001256B1">
        <w:rPr>
          <w:rFonts w:ascii="Book Antiqua" w:hAnsi="Book Antiqua"/>
          <w:shd w:val="clear" w:color="auto" w:fill="FFFFFF"/>
          <w:lang w:val="en-US"/>
        </w:rPr>
        <w:t xml:space="preserve"> Signaling effectors that bind to IRS-1 include</w:t>
      </w:r>
      <w:r w:rsidR="002C473E" w:rsidRPr="001256B1">
        <w:rPr>
          <w:rFonts w:ascii="Book Antiqua" w:hAnsi="Book Antiqua"/>
          <w:shd w:val="clear" w:color="auto" w:fill="FFFFFF"/>
          <w:lang w:val="en-US"/>
        </w:rPr>
        <w:t xml:space="preserve"> </w:t>
      </w:r>
      <w:r w:rsidR="002C473E" w:rsidRPr="001256B1">
        <w:rPr>
          <w:rFonts w:ascii="Book Antiqua" w:hAnsi="Book Antiqua"/>
          <w:color w:val="000000" w:themeColor="text1"/>
          <w:shd w:val="clear" w:color="auto" w:fill="FFFFFF"/>
          <w:lang w:val="en-US"/>
        </w:rPr>
        <w:t>the phosphoinositol-3-kinase pathway</w:t>
      </w:r>
      <w:r w:rsidRPr="001256B1">
        <w:rPr>
          <w:rFonts w:ascii="Book Antiqua" w:hAnsi="Book Antiqua"/>
          <w:shd w:val="clear" w:color="auto" w:fill="FFFFFF"/>
          <w:lang w:val="en-US"/>
        </w:rPr>
        <w:t>, Grb-2, SHP-2, c-</w:t>
      </w:r>
      <w:proofErr w:type="spellStart"/>
      <w:r w:rsidRPr="001256B1">
        <w:rPr>
          <w:rFonts w:ascii="Book Antiqua" w:hAnsi="Book Antiqua"/>
          <w:shd w:val="clear" w:color="auto" w:fill="FFFFFF"/>
          <w:lang w:val="en-US"/>
        </w:rPr>
        <w:t>Crk</w:t>
      </w:r>
      <w:proofErr w:type="spellEnd"/>
      <w:r w:rsidRPr="001256B1">
        <w:rPr>
          <w:rFonts w:ascii="Book Antiqua" w:hAnsi="Book Antiqua"/>
          <w:shd w:val="clear" w:color="auto" w:fill="FFFFFF"/>
          <w:lang w:val="en-US"/>
        </w:rPr>
        <w:t>,</w:t>
      </w:r>
      <w:r w:rsidR="00FC77A0" w:rsidRPr="001256B1">
        <w:rPr>
          <w:rFonts w:ascii="Book Antiqua" w:hAnsi="Book Antiqua"/>
          <w:shd w:val="clear" w:color="auto" w:fill="FFFFFF"/>
          <w:lang w:val="en-US"/>
        </w:rPr>
        <w:t xml:space="preserve"> </w:t>
      </w:r>
      <w:r w:rsidRPr="001256B1">
        <w:rPr>
          <w:rFonts w:ascii="Book Antiqua" w:hAnsi="Book Antiqua"/>
          <w:shd w:val="clear" w:color="auto" w:fill="FFFFFF"/>
          <w:lang w:val="en-US"/>
        </w:rPr>
        <w:t>and NCK</w:t>
      </w:r>
      <w:r w:rsidRPr="001256B1">
        <w:rPr>
          <w:rFonts w:ascii="Book Antiqua" w:hAnsi="Book Antiqua"/>
          <w:shd w:val="clear" w:color="auto" w:fill="FFFFFF"/>
          <w:vertAlign w:val="superscript"/>
          <w:lang w:val="en-US"/>
        </w:rPr>
        <w:fldChar w:fldCharType="begin" w:fldLock="1"/>
      </w:r>
      <w:r w:rsidRPr="001256B1">
        <w:rPr>
          <w:rFonts w:ascii="Book Antiqua" w:hAnsi="Book Antiqua"/>
          <w:shd w:val="clear" w:color="auto" w:fill="FFFFFF"/>
          <w:vertAlign w:val="superscript"/>
          <w:lang w:val="en-US"/>
        </w:rPr>
        <w:instrText>ADDIN CSL_CITATION {"citationItems":[{"id":"ITEM-1","itemData":{"ISSN":"0027-8424","author":[{"dropping-particle":"","family":"Lee","given":"C H","non-dropping-particle":"","parse-names":false,"suffix":""},{"dropping-particle":"","family":"Li","given":"W","non-dropping-particle":"","parse-names":false,"suffix":""},{"dropping-particle":"","family":"Nishimura","given":"R","non-dropping-particle":"","parse-names":false,"suffix":""},{"dropping-particle":"","family":"Zhou","given":"M","non-dropping-particle":"","parse-names":false,"suffix":""},{"dropping-particle":"","family":"Batzer","given":"A G","non-dropping-particle":"","parse-names":false,"suffix":""},{"dropping-particle":"","family":"Myers","given":"M G","non-dropping-particle":"","parse-names":false,"suffix":""},{"dropping-particle":"","family":"White","given":"M F","non-dropping-particle":"","parse-names":false,"suffix":""},{"dropping-particle":"","family":"Schlessinger","given":"J","non-dropping-particle":"","parse-names":false,"suffix":""},{"dropping-particle":"","family":"Skolnik","given":"E Y","non-dropping-particle":"","parse-names":false,"suffix":""}],"container-title":"Proceedings of the National Academy of Sciences","id":"ITEM-1","issue":"24","issued":{"date-parts":[["1993"]]},"page":"11713-11717","publisher":"National Acad Sciences","title":"Nck associates with the SH2 domain-docking protein IRS-1 in insulin-stimulated cells","type":"article-journal","volume":"90"},"uris":["http://www.mendeley.com/documents/?uuid=2718ddc6-9b90-4746-9867-f182d5911562"]},{"id":"ITEM-2","itemData":{"author":[{"dropping-particle":"","family":"Myers","given":"M G J","non-dropping-particle":"","parse-names":false,"suffix":""},{"dropping-particle":"","family":"C Grammer","given":"T","non-dropping-particle":"","parse-names":false,"suffix":""},{"dropping-particle":"","family":"M Wang","given":"L","non-dropping-particle":"","parse-names":false,"suffix":""},{"dropping-particle":"","family":"Sun","given":"Xuejun","non-dropping-particle":"","parse-names":false,"suffix":""},{"dropping-particle":"","family":"H Pierce","given":"J","non-dropping-particle":"","parse-names":false,"suffix":""},{"dropping-particle":"","family":"Blenis","given":"John","non-dropping-particle":"","parse-names":false,"suffix":""},{"dropping-particle":"","family":"F White","given":"M","non-dropping-particle":"","parse-names":false,"suffix":""}],"container-title":"The Journal of biological chemistry","id":"ITEM-2","issued":{"date-parts":[["1994","12","1"]]},"number-of-pages":"28783-28789","title":"Insulin receptor substrate-1 mediates phosphatidylinositol 3'-kinase and p70S6k signaling during insulin, insulin-like growth factor-1, and interleukin-4 stimulation","type":"book","volume":"269"},"uris":["http://www.mendeley.com/documents/?uuid=bd8ca258-f09e-4e50-9cb0-4305f095e9b0"]},{"id":"ITEM-3","itemData":{"ISSN":"0270-7306","author":[{"dropping-particle":"","family":"Myers","given":"M G","non-dropping-particle":"","parse-names":false,"suffix":""},{"dropping-particle":"","family":"Wang","given":"Ling-Mai","non-dropping-particle":"","parse-names":false,"suffix":""},{"dropping-particle":"","family":"Sun","given":"Xiao Jian","non-dropping-particle":"","parse-names":false,"suffix":""},{"dropping-particle":"","family":"Zhang","given":"Yitao","non-dropping-particle":"","parse-names":false,"suffix":""},{"dropping-particle":"","family":"Yenush","given":"Lynne","non-dropping-particle":"","parse-names":false,"suffix":""},{"dropping-particle":"","family":"Schlessinger","given":"Joseph","non-dropping-particle":"","parse-names":false,"suffix":""},{"dropping-particle":"","family":"Pierce","given":"Jacalyn H","non-dropping-particle":"","parse-names":false,"suffix":""},{"dropping-particle":"","family":"White","given":"Morris F","non-dropping-particle":"","parse-names":false,"suffix":""}],"container-title":"Molecular and Cellular Biology","id":"ITEM-3","issue":"6","issued":{"date-parts":[["1994"]]},"page":"3577-3587","publisher":"Am Soc Microbiol","title":"Role of IRS-1-GRB-2 complexes in insulin signaling.","type":"article-journal","volume":"14"},"uris":["http://www.mendeley.com/documents/?uuid=86b747d6-9e62-40ea-814b-948dca3f5fdd"]},{"id":"ITEM-4","itemData":{"ISSN":"0021-9258","author":[{"dropping-particle":"","family":"Beitner-Johnson","given":"Dana","non-dropping-particle":"","parse-names":false,"suffix":""},{"dropping-particle":"","family":"Blakesley","given":"Vicky A","non-dropping-particle":"","parse-names":false,"suffix":""},{"dropping-particle":"","family":"Shen-Orr","given":"Zila","non-dropping-particle":"","parse-names":false,"suffix":""},{"dropping-particle":"","family":"Jimenez","given":"Marce","non-dropping-particle":"","parse-names":false,"suffix":""},{"dropping-particle":"","family":"Stannard","given":"Bethel","non-dropping-particle":"","parse-names":false,"suffix":""},{"dropping-particle":"","family":"Wang","given":"Ling-Mei","non-dropping-particle":"","parse-names":false,"suffix":""},{"dropping-particle":"","family":"Pierce","given":"Jacalyn","non-dropping-particle":"","parse-names":false,"suffix":""},{"dropping-particle":"","family":"LeRoith","given":"Derek","non-dropping-particle":"","parse-names":false,"suffix":""}],"container-title":"Journal of Biological Chemistry","id":"ITEM-4","issue":"16","issued":{"date-parts":[["1996"]]},"page":"9287-9290","publisher":"ASBMB","title":"The proto-oncogene product c-Crk associates with insulin receptor substrate-1 and 4PS Modulation by insulin growth factor-I (IGF) and enhanced IGF-I signaling","type":"article-journal","volume":"271"},"uris":["http://www.mendeley.com/documents/?uuid=d9cc52d4-d44c-4e66-b38a-15cb17ddc342"]}],"mendeley":{"formattedCitation":"[6–9]","plainTextFormattedCitation":"[6–9]","previouslyFormattedCitation":"[6–9]"},"properties":{"noteIndex":0},"schema":"https://github.com/citation-style-language/schema/raw/master/csl-citation.json"}</w:instrText>
      </w:r>
      <w:r w:rsidRPr="001256B1">
        <w:rPr>
          <w:rFonts w:ascii="Book Antiqua" w:hAnsi="Book Antiqua"/>
          <w:shd w:val="clear" w:color="auto" w:fill="FFFFFF"/>
          <w:vertAlign w:val="superscript"/>
          <w:lang w:val="en-US"/>
        </w:rPr>
        <w:fldChar w:fldCharType="separate"/>
      </w:r>
      <w:r w:rsidRPr="001256B1">
        <w:rPr>
          <w:rFonts w:ascii="Book Antiqua" w:hAnsi="Book Antiqua"/>
          <w:noProof/>
          <w:shd w:val="clear" w:color="auto" w:fill="FFFFFF"/>
          <w:vertAlign w:val="superscript"/>
          <w:lang w:val="en-US"/>
        </w:rPr>
        <w:t>[6–9]</w:t>
      </w:r>
      <w:r w:rsidRPr="001256B1">
        <w:rPr>
          <w:rFonts w:ascii="Book Antiqua" w:hAnsi="Book Antiqua"/>
          <w:shd w:val="clear" w:color="auto" w:fill="FFFFFF"/>
          <w:vertAlign w:val="superscript"/>
          <w:lang w:val="en-US"/>
        </w:rPr>
        <w:fldChar w:fldCharType="end"/>
      </w:r>
      <w:r w:rsidRPr="001256B1">
        <w:rPr>
          <w:rFonts w:ascii="Book Antiqua" w:hAnsi="Book Antiqua"/>
          <w:shd w:val="clear" w:color="auto" w:fill="FFFFFF"/>
          <w:lang w:val="en-US"/>
        </w:rPr>
        <w:t>. Many of these signaling pathways have been implicated in carcinogenesis and cancer progression, thus IRS-1 has been proposed to play a central role in determining the response of tumor cells to microenvironmental signals, including growth factors and hormones. Constitutive activation of IRS-1 has been found in various solid tumors</w:t>
      </w:r>
      <w:r w:rsidRPr="001256B1">
        <w:rPr>
          <w:rFonts w:ascii="Book Antiqua" w:hAnsi="Book Antiqua"/>
          <w:shd w:val="clear" w:color="auto" w:fill="FFFFFF"/>
          <w:vertAlign w:val="superscript"/>
          <w:lang w:val="en-US"/>
        </w:rPr>
        <w:fldChar w:fldCharType="begin" w:fldLock="1"/>
      </w:r>
      <w:r w:rsidRPr="001256B1">
        <w:rPr>
          <w:rFonts w:ascii="Book Antiqua" w:hAnsi="Book Antiqua"/>
          <w:shd w:val="clear" w:color="auto" w:fill="FFFFFF"/>
          <w:vertAlign w:val="superscript"/>
          <w:lang w:val="en-US"/>
        </w:rPr>
        <w:instrText>ADDIN CSL_CITATION {"citationItems":[{"id":"ITEM-1","itemData":{"ISSN":"0008-5472","author":[{"dropping-particle":"","family":"Chang","given":"Qing","non-dropping-particle":"","parse-names":false,"suffix":""},{"dropping-particle":"","family":"Li","given":"Yu","non-dropping-particle":"","parse-names":false,"suffix":""},{"dropping-particle":"","family":"White","given":"Morris F","non-dropping-particle":"","parse-names":false,"suffix":""},{"dropping-particle":"","family":"Fletcher","given":"Jonathan A","non-dropping-particle":"","parse-names":false,"suffix":""},{"dropping-particle":"","family":"Xiao","given":"Sheng","non-dropping-particle":"","parse-names":false,"suffix":""}],"container-title":"Cancer research","id":"ITEM-1","issue":"21","issued":{"date-parts":[["2002"]]},"page":"6035-6038","publisher":"AACR","title":"Constitutive activation of insulin receptor substrate 1 is a frequent event in human tumors: therapeutic implications","type":"article-journal","volume":"62"},"uris":["http://www.mendeley.com/documents/?uuid=ef864847-4541-4243-8347-4ffb823e335d"]}],"mendeley":{"formattedCitation":"[10]","plainTextFormattedCitation":"[10]","previouslyFormattedCitation":"[10]"},"properties":{"noteIndex":0},"schema":"https://github.com/citation-style-language/schema/raw/master/csl-citation.json"}</w:instrText>
      </w:r>
      <w:r w:rsidRPr="001256B1">
        <w:rPr>
          <w:rFonts w:ascii="Book Antiqua" w:hAnsi="Book Antiqua"/>
          <w:shd w:val="clear" w:color="auto" w:fill="FFFFFF"/>
          <w:vertAlign w:val="superscript"/>
          <w:lang w:val="en-US"/>
        </w:rPr>
        <w:fldChar w:fldCharType="separate"/>
      </w:r>
      <w:r w:rsidRPr="001256B1">
        <w:rPr>
          <w:rFonts w:ascii="Book Antiqua" w:hAnsi="Book Antiqua"/>
          <w:noProof/>
          <w:shd w:val="clear" w:color="auto" w:fill="FFFFFF"/>
          <w:vertAlign w:val="superscript"/>
          <w:lang w:val="en-US"/>
        </w:rPr>
        <w:t>[10]</w:t>
      </w:r>
      <w:r w:rsidRPr="001256B1">
        <w:rPr>
          <w:rFonts w:ascii="Book Antiqua" w:hAnsi="Book Antiqua"/>
          <w:shd w:val="clear" w:color="auto" w:fill="FFFFFF"/>
          <w:vertAlign w:val="superscript"/>
          <w:lang w:val="en-US"/>
        </w:rPr>
        <w:fldChar w:fldCharType="end"/>
      </w:r>
      <w:r w:rsidRPr="001256B1">
        <w:rPr>
          <w:rFonts w:ascii="Book Antiqua" w:hAnsi="Book Antiqua"/>
          <w:shd w:val="clear" w:color="auto" w:fill="FFFFFF"/>
          <w:lang w:val="en-US"/>
        </w:rPr>
        <w:t xml:space="preserve">. </w:t>
      </w:r>
      <w:r w:rsidRPr="001256B1">
        <w:rPr>
          <w:rFonts w:ascii="Book Antiqua" w:hAnsi="Book Antiqua"/>
          <w:color w:val="000000" w:themeColor="text1"/>
          <w:shd w:val="clear" w:color="auto" w:fill="FFFFFF"/>
          <w:lang w:val="en-US"/>
        </w:rPr>
        <w:t xml:space="preserve">For instance, in ER-positive breast cancer cells, overexpression of IRS-1 enhances </w:t>
      </w:r>
      <w:r w:rsidR="00BF6E66" w:rsidRPr="001256B1">
        <w:rPr>
          <w:rFonts w:ascii="Book Antiqua" w:hAnsi="Book Antiqua"/>
          <w:color w:val="000000" w:themeColor="text1"/>
          <w:shd w:val="clear" w:color="auto" w:fill="FFFFFF"/>
          <w:lang w:val="en-US"/>
        </w:rPr>
        <w:t>cell proliferation</w:t>
      </w:r>
      <w:r w:rsidRPr="001256B1">
        <w:rPr>
          <w:rFonts w:ascii="Book Antiqua" w:hAnsi="Book Antiqua"/>
          <w:color w:val="000000" w:themeColor="text1"/>
          <w:shd w:val="clear" w:color="auto" w:fill="FFFFFF"/>
          <w:lang w:val="en-US"/>
        </w:rPr>
        <w:t xml:space="preserve"> and reduces estrogen growth dependence</w:t>
      </w:r>
      <w:r w:rsidRPr="001256B1">
        <w:rPr>
          <w:rFonts w:ascii="Book Antiqua" w:hAnsi="Book Antiqua"/>
          <w:color w:val="000000" w:themeColor="text1"/>
          <w:shd w:val="clear" w:color="auto" w:fill="FFFFFF"/>
          <w:vertAlign w:val="superscript"/>
          <w:lang w:val="en-US"/>
        </w:rPr>
        <w:fldChar w:fldCharType="begin" w:fldLock="1"/>
      </w:r>
      <w:r w:rsidRPr="001256B1">
        <w:rPr>
          <w:rFonts w:ascii="Book Antiqua" w:hAnsi="Book Antiqua"/>
          <w:color w:val="000000" w:themeColor="text1"/>
          <w:shd w:val="clear" w:color="auto" w:fill="FFFFFF"/>
          <w:vertAlign w:val="superscript"/>
          <w:lang w:val="en-US"/>
        </w:rPr>
        <w:instrText>ADDIN CSL_CITATION {"citationItems":[{"id":"ITEM-1","itemData":{"author":[{"dropping-particle":"","family":"Jackson","given":"G","non-dropping-particle":"","parse-names":false,"suffix":""},{"dropping-particle":"","family":"Lee","given":"V","non-dropping-particle":"","parse-names":false,"suffix":""}],"id":"ITEM-1","issue":"January","issued":{"date-parts":[["1997"]]},"page":"103-109","title":"Insulin-like Parameters Growth in Breast and Factor Cancer : Binding with and Insulin Receptor Correlation Clinical","type":"article-journal","volume":"3"},"uris":["http://www.mendeley.com/documents/?uuid=dc67057b-b801-43fc-b705-57f08663e615"]},{"id":"ITEM-2","itemData":{"author":[{"dropping-particle":"","family":"Surmacz","given":"Ewa","non-dropping-particle":"","parse-names":false,"suffix":""}],"id":"ITEM-2","issue":"November","issued":{"date-parts":[["1995"]]},"title":"Overexpression Human Estrogen and Breast of Insulin Cancer Cell for Receptor Line Growth Substrate Induces of in the Requirements Transformation ’","type":"article-journal","volume":"1"},"uris":["http://www.mendeley.com/documents/?uuid=d6fd048e-b7bb-43c3-8069-a9c842274793"]}],"mendeley":{"formattedCitation":"[11,12]","plainTextFormattedCitation":"[11,12]","previouslyFormattedCitation":"[11,12]"},"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Pr="001256B1">
        <w:rPr>
          <w:rFonts w:ascii="Book Antiqua" w:hAnsi="Book Antiqua"/>
          <w:noProof/>
          <w:color w:val="000000" w:themeColor="text1"/>
          <w:shd w:val="clear" w:color="auto" w:fill="FFFFFF"/>
          <w:vertAlign w:val="superscript"/>
          <w:lang w:val="en-US"/>
        </w:rPr>
        <w:t>[11,12]</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 xml:space="preserve">. Also, overexpression of IRS-1 and IRS-2 in the mammary gland of </w:t>
      </w:r>
      <w:r w:rsidR="00BF6E66" w:rsidRPr="001256B1">
        <w:rPr>
          <w:rFonts w:ascii="Book Antiqua" w:hAnsi="Book Antiqua"/>
          <w:color w:val="000000" w:themeColor="text1"/>
          <w:shd w:val="clear" w:color="auto" w:fill="FFFFFF"/>
          <w:lang w:val="en-US"/>
        </w:rPr>
        <w:t>mice</w:t>
      </w:r>
      <w:r w:rsidRPr="001256B1">
        <w:rPr>
          <w:rFonts w:ascii="Book Antiqua" w:hAnsi="Book Antiqua"/>
          <w:color w:val="000000" w:themeColor="text1"/>
          <w:shd w:val="clear" w:color="auto" w:fill="FFFFFF"/>
          <w:lang w:val="en-US"/>
        </w:rPr>
        <w:t xml:space="preserve"> was found to cause mammary tumorigenesis and metastasis</w:t>
      </w:r>
      <w:r w:rsidRPr="001256B1">
        <w:rPr>
          <w:rFonts w:ascii="Book Antiqua" w:hAnsi="Book Antiqua"/>
          <w:color w:val="000000" w:themeColor="text1"/>
          <w:shd w:val="clear" w:color="auto" w:fill="FFFFFF"/>
          <w:vertAlign w:val="superscript"/>
          <w:lang w:val="en-US"/>
        </w:rPr>
        <w:fldChar w:fldCharType="begin" w:fldLock="1"/>
      </w:r>
      <w:r w:rsidRPr="001256B1">
        <w:rPr>
          <w:rFonts w:ascii="Book Antiqua" w:hAnsi="Book Antiqua"/>
          <w:color w:val="000000" w:themeColor="text1"/>
          <w:shd w:val="clear" w:color="auto" w:fill="FFFFFF"/>
          <w:vertAlign w:val="superscript"/>
          <w:lang w:val="en-US"/>
        </w:rPr>
        <w:instrText>ADDIN CSL_CITATION {"citationItems":[{"id":"ITEM-1","itemData":{"ISSN":"0270-7306","author":[{"dropping-particle":"","family":"Dearth","given":"Robert K","non-dropping-particle":"","parse-names":false,"suffix":""},{"dropping-particle":"","family":"Cui","given":"Xiaojiang","non-dropping-particle":"","parse-names":false,"suffix":""},{"dropping-particle":"","family":"Kim","given":"Hyun-Jung","non-dropping-particle":"","parse-names":false,"suffix":""},{"dropping-particle":"","family":"Kuiatse","given":"Isere","non-dropping-particle":"","parse-names":false,"suffix":""},{"dropping-particle":"","family":"Lawrence","given":"Nicole A","non-dropping-particle":"","parse-names":false,"suffix":""},{"dropping-particle":"","family":"Zhang","given":"Xiaomei","non-dropping-particle":"","parse-names":false,"suffix":""},{"dropping-particle":"","family":"Divisova","given":"Jana","non-dropping-particle":"","parse-names":false,"suffix":""},{"dropping-particle":"","family":"Britton","given":"Ora L","non-dropping-particle":"","parse-names":false,"suffix":""},{"dropping-particle":"","family":"Mohsin","given":"Syed","non-dropping-particle":"","parse-names":false,"suffix":""},{"dropping-particle":"","family":"Allred","given":"D Craig","non-dropping-particle":"","parse-names":false,"suffix":""}],"container-title":"Molecular and cellular biology","id":"ITEM-1","issue":"24","issued":{"date-parts":[["2006"]]},"page":"9302-9314","publisher":"Am Soc Microbiol","title":"Mammary tumorigenesis and metastasis caused by overexpression of insulin receptor substrate 1 (IRS-1) or IRS-2","type":"article-journal","volume":"26"},"uris":["http://www.mendeley.com/documents/?uuid=ece73ae6-94db-427d-a2a6-24a65379f590"]}],"mendeley":{"formattedCitation":"[13]","plainTextFormattedCitation":"[13]","previouslyFormattedCitation":"[13]"},"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Pr="001256B1">
        <w:rPr>
          <w:rFonts w:ascii="Book Antiqua" w:hAnsi="Book Antiqua"/>
          <w:noProof/>
          <w:color w:val="000000" w:themeColor="text1"/>
          <w:shd w:val="clear" w:color="auto" w:fill="FFFFFF"/>
          <w:vertAlign w:val="superscript"/>
          <w:lang w:val="en-US"/>
        </w:rPr>
        <w:t>[13]</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 Intestinal epithelium express both the IR and the IGF</w:t>
      </w:r>
      <w:r w:rsidR="009C545C">
        <w:rPr>
          <w:rFonts w:ascii="Book Antiqua" w:hAnsi="Book Antiqua"/>
          <w:color w:val="000000" w:themeColor="text1"/>
          <w:shd w:val="clear" w:color="auto" w:fill="FFFFFF"/>
          <w:lang w:val="en-US"/>
        </w:rPr>
        <w:t>-</w:t>
      </w:r>
      <w:r w:rsidRPr="001256B1">
        <w:rPr>
          <w:rFonts w:ascii="Book Antiqua" w:hAnsi="Book Antiqua"/>
          <w:color w:val="000000" w:themeColor="text1"/>
          <w:shd w:val="clear" w:color="auto" w:fill="FFFFFF"/>
          <w:lang w:val="en-US"/>
        </w:rPr>
        <w:t>1R, and the levels of these receptors are higher in CRC compared</w:t>
      </w:r>
      <w:r w:rsidR="00AB48FA" w:rsidRPr="001256B1">
        <w:rPr>
          <w:rFonts w:ascii="Book Antiqua" w:hAnsi="Book Antiqua"/>
          <w:color w:val="000000" w:themeColor="text1"/>
          <w:shd w:val="clear" w:color="auto" w:fill="FFFFFF"/>
          <w:lang w:val="en-US"/>
        </w:rPr>
        <w:t xml:space="preserve"> </w:t>
      </w:r>
      <w:r w:rsidR="001639BF" w:rsidRPr="001256B1">
        <w:rPr>
          <w:rFonts w:ascii="Book Antiqua" w:hAnsi="Book Antiqua"/>
          <w:color w:val="000000" w:themeColor="text1"/>
          <w:shd w:val="clear" w:color="auto" w:fill="FFFFFF"/>
          <w:lang w:val="en-US"/>
        </w:rPr>
        <w:t>with</w:t>
      </w:r>
      <w:r w:rsidRPr="001256B1">
        <w:rPr>
          <w:rFonts w:ascii="Book Antiqua" w:hAnsi="Book Antiqua"/>
          <w:color w:val="000000" w:themeColor="text1"/>
          <w:shd w:val="clear" w:color="auto" w:fill="FFFFFF"/>
          <w:lang w:val="en-US"/>
        </w:rPr>
        <w:t xml:space="preserve"> normal colonic mucosa</w:t>
      </w:r>
      <w:r w:rsidRPr="001256B1">
        <w:rPr>
          <w:rFonts w:ascii="Book Antiqua" w:hAnsi="Book Antiqua"/>
          <w:color w:val="000000" w:themeColor="text1"/>
          <w:shd w:val="clear" w:color="auto" w:fill="FFFFFF"/>
          <w:vertAlign w:val="superscript"/>
          <w:lang w:val="en-US"/>
        </w:rPr>
        <w:fldChar w:fldCharType="begin" w:fldLock="1"/>
      </w:r>
      <w:r w:rsidRPr="001256B1">
        <w:rPr>
          <w:rFonts w:ascii="Book Antiqua" w:hAnsi="Book Antiqua"/>
          <w:color w:val="000000" w:themeColor="text1"/>
          <w:shd w:val="clear" w:color="auto" w:fill="FFFFFF"/>
          <w:vertAlign w:val="superscript"/>
          <w:lang w:val="en-US"/>
        </w:rPr>
        <w:instrText>ADDIN CSL_CITATION {"citationItems":[{"id":"ITEM-1","itemData":{"DOI":"10.1038/nrc2536","ISSN":"1474-1768 (Electronic)","PMID":"19029956","abstract":"Insulin and insulin-like growth factors (IGFs) are well known as key regulators of energy metabolism and growth. There is now considerable evidence that these hormones and the signal transduction networks they regulate have important roles in neoplasia. Epidermiological, clinical and laboratory research methods are being used to investigate novel cancer prevention and treatment strategies related to insulin and IGF signalling. Pharmacological strategies under study include the use of novel receptor-specific antibodies, receptor kinase inhibitors and AMP-activated protein kinase activators such as metformin. There is evidence that insulin and IGF signalling may also be relevant to dietary and lifestyle factors that influence cancer risk and cancer prognosis. Recent results are encouraging and have justified the expansion of many translational research programmes.","author":[{"dropping-particle":"","family":"Pollak","given":"Michael","non-dropping-particle":"","parse-names":false,"suffix":""}],"container-title":"Nature reviews. Cancer","id":"ITEM-1","issue":"12","issued":{"date-parts":[["2008","12"]]},"language":"eng","page":"915-928","publisher-place":"England","title":"Insulin and insulin-like growth factor signalling in neoplasia.","type":"article-journal","volume":"8"},"uris":["http://www.mendeley.com/documents/?uuid=32f35772-8fdd-4115-b9d7-fb3946f034e3"]}],"mendeley":{"formattedCitation":"[14]","plainTextFormattedCitation":"[14]","previouslyFormattedCitation":"[14]"},"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Pr="001256B1">
        <w:rPr>
          <w:rFonts w:ascii="Book Antiqua" w:hAnsi="Book Antiqua"/>
          <w:noProof/>
          <w:color w:val="000000" w:themeColor="text1"/>
          <w:shd w:val="clear" w:color="auto" w:fill="FFFFFF"/>
          <w:vertAlign w:val="superscript"/>
          <w:lang w:val="en-US"/>
        </w:rPr>
        <w:t>[14]</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 xml:space="preserve">. </w:t>
      </w:r>
      <w:r w:rsidRPr="001256B1">
        <w:rPr>
          <w:rFonts w:ascii="Book Antiqua" w:hAnsi="Book Antiqua"/>
          <w:shd w:val="clear" w:color="auto" w:fill="FFFFFF"/>
          <w:lang w:val="en-US"/>
        </w:rPr>
        <w:t xml:space="preserve">Accumulating evidence suggested that IRS-1 may be important component of the pathophysiologic mechanisms that underlie the colorectal carcinogenesis and tumor progression. Intestinal epithelial differentiation is regulated by multiple pathways, including </w:t>
      </w:r>
      <w:r w:rsidRPr="001256B1">
        <w:rPr>
          <w:rFonts w:ascii="Book Antiqua" w:hAnsi="Book Antiqua"/>
          <w:shd w:val="clear" w:color="auto" w:fill="FFFFFF"/>
          <w:lang w:val="en-US"/>
        </w:rPr>
        <w:sym w:font="Symbol" w:char="F062"/>
      </w:r>
      <w:r w:rsidRPr="001256B1">
        <w:rPr>
          <w:rFonts w:ascii="Book Antiqua" w:hAnsi="Book Antiqua"/>
          <w:shd w:val="clear" w:color="auto" w:fill="FFFFFF"/>
          <w:lang w:val="en-US"/>
        </w:rPr>
        <w:t>-catenin-dependent WNT signaling</w:t>
      </w:r>
      <w:r w:rsidRPr="001256B1">
        <w:rPr>
          <w:rFonts w:ascii="Book Antiqua" w:hAnsi="Book Antiqua"/>
          <w:shd w:val="clear" w:color="auto" w:fill="FFFFFF"/>
          <w:vertAlign w:val="superscript"/>
          <w:lang w:val="en-US"/>
        </w:rPr>
        <w:fldChar w:fldCharType="begin" w:fldLock="1"/>
      </w:r>
      <w:r w:rsidRPr="001256B1">
        <w:rPr>
          <w:rFonts w:ascii="Book Antiqua" w:hAnsi="Book Antiqua"/>
          <w:shd w:val="clear" w:color="auto" w:fill="FFFFFF"/>
          <w:vertAlign w:val="superscript"/>
          <w:lang w:val="en-US"/>
        </w:rPr>
        <w:instrText>ADDIN CSL_CITATION {"citationItems":[{"id":"ITEM-1","itemData":{"ISSN":"1460-2180","author":[{"dropping-particle":"","family":"Bach","given":"Simon P","non-dropping-particle":"","parse-names":false,"suffix":""},{"dropping-particle":"","family":"Renehan","given":"Andrew G","non-dropping-particle":"","parse-names":false,"suffix":""},{"dropping-particle":"","family":"Potten","given":"Christopher S","non-dropping-particle":"","parse-names":false,"suffix":""}],"container-title":"Carcinogenesis","id":"ITEM-1","issue":"3","issued":{"date-parts":[["2000"]]},"page":"469-476","publisher":"Oxford University Press","title":"Stem cells: the intestinal stem cell as a paradigm","type":"article-journal","volume":"21"},"uris":["http://www.mendeley.com/documents/?uuid=dde1a39a-fc2e-4d6c-aae4-38c89df2ab27"]}],"mendeley":{"formattedCitation":"[15]","plainTextFormattedCitation":"[15]","previouslyFormattedCitation":"[15]"},"properties":{"noteIndex":0},"schema":"https://github.com/citation-style-language/schema/raw/master/csl-citation.json"}</w:instrText>
      </w:r>
      <w:r w:rsidRPr="001256B1">
        <w:rPr>
          <w:rFonts w:ascii="Book Antiqua" w:hAnsi="Book Antiqua"/>
          <w:shd w:val="clear" w:color="auto" w:fill="FFFFFF"/>
          <w:vertAlign w:val="superscript"/>
          <w:lang w:val="en-US"/>
        </w:rPr>
        <w:fldChar w:fldCharType="separate"/>
      </w:r>
      <w:r w:rsidRPr="001256B1">
        <w:rPr>
          <w:rFonts w:ascii="Book Antiqua" w:hAnsi="Book Antiqua"/>
          <w:noProof/>
          <w:shd w:val="clear" w:color="auto" w:fill="FFFFFF"/>
          <w:vertAlign w:val="superscript"/>
          <w:lang w:val="en-US"/>
        </w:rPr>
        <w:t>[15]</w:t>
      </w:r>
      <w:r w:rsidRPr="001256B1">
        <w:rPr>
          <w:rFonts w:ascii="Book Antiqua" w:hAnsi="Book Antiqua"/>
          <w:shd w:val="clear" w:color="auto" w:fill="FFFFFF"/>
          <w:vertAlign w:val="superscript"/>
          <w:lang w:val="en-US"/>
        </w:rPr>
        <w:fldChar w:fldCharType="end"/>
      </w:r>
      <w:r w:rsidRPr="001256B1">
        <w:rPr>
          <w:rFonts w:ascii="Book Antiqua" w:hAnsi="Book Antiqua"/>
          <w:shd w:val="clear" w:color="auto" w:fill="FFFFFF"/>
          <w:lang w:val="en-US"/>
        </w:rPr>
        <w:t xml:space="preserve">. Most CRC appear to initiate after inactivating mutations in the adenomatous polyposis coli gene, which results in uncontrolled cell </w:t>
      </w:r>
      <w:r w:rsidRPr="001256B1">
        <w:rPr>
          <w:rFonts w:ascii="Book Antiqua" w:hAnsi="Book Antiqua"/>
          <w:shd w:val="clear" w:color="auto" w:fill="FFFFFF"/>
          <w:lang w:val="en-US"/>
        </w:rPr>
        <w:lastRenderedPageBreak/>
        <w:t>proliferation through constitutive activation of WNT/</w:t>
      </w:r>
      <w:r w:rsidRPr="001256B1">
        <w:rPr>
          <w:rFonts w:ascii="Book Antiqua" w:hAnsi="Book Antiqua"/>
          <w:shd w:val="clear" w:color="auto" w:fill="FFFFFF"/>
          <w:lang w:val="en-US"/>
        </w:rPr>
        <w:sym w:font="Symbol" w:char="F062"/>
      </w:r>
      <w:r w:rsidRPr="001256B1">
        <w:rPr>
          <w:rFonts w:ascii="Book Antiqua" w:hAnsi="Book Antiqua"/>
          <w:shd w:val="clear" w:color="auto" w:fill="FFFFFF"/>
          <w:lang w:val="en-US"/>
        </w:rPr>
        <w:t>-catenin signaling</w:t>
      </w:r>
      <w:r w:rsidRPr="001256B1">
        <w:rPr>
          <w:rFonts w:ascii="Book Antiqua" w:hAnsi="Book Antiqua"/>
          <w:shd w:val="clear" w:color="auto" w:fill="FFFFFF"/>
          <w:vertAlign w:val="superscript"/>
          <w:lang w:val="en-US"/>
        </w:rPr>
        <w:fldChar w:fldCharType="begin" w:fldLock="1"/>
      </w:r>
      <w:r w:rsidRPr="001256B1">
        <w:rPr>
          <w:rFonts w:ascii="Book Antiqua" w:hAnsi="Book Antiqua"/>
          <w:shd w:val="clear" w:color="auto" w:fill="FFFFFF"/>
          <w:vertAlign w:val="superscript"/>
          <w:lang w:val="en-US"/>
        </w:rPr>
        <w:instrText>ADDIN CSL_CITATION {"citationItems":[{"id":"ITEM-1","itemData":{"ISSN":"0021-9258","author":[{"dropping-particle":"","family":"Yang","given":"Jun","non-dropping-particle":"","parse-names":false,"suffix":""},{"dropping-particle":"","family":"Zhang","given":"Wen","non-dropping-particle":"","parse-names":false,"suffix":""},{"dropping-particle":"","family":"Evans","given":"Paul M","non-dropping-particle":"","parse-names":false,"suffix":""},{"dropping-particle":"","family":"Chen","given":"Xi","non-dropping-particle":"","parse-names":false,"suffix":""},{"dropping-particle":"","family":"He","given":"Xi","non-dropping-particle":"","parse-names":false,"suffix":""},{"dropping-particle":"","family":"Liu","given":"Chunming","non-dropping-particle":"","parse-names":false,"suffix":""}],"container-title":"Journal of Biological Chemistry","id":"ITEM-1","issue":"26","issued":{"date-parts":[["2006"]]},"page":"17751-17757","publisher":"ASBMB","title":"Adenomatous polyposis coli (APC) differentially regulates β-catenin phosphorylation and ubiquitination in colon cancer cells","type":"article-journal","volume":"281"},"uris":["http://www.mendeley.com/documents/?uuid=db129ed3-ce7d-416d-a64b-88af7dc99913"]}],"mendeley":{"formattedCitation":"[16]","plainTextFormattedCitation":"[16]","previouslyFormattedCitation":"[16]"},"properties":{"noteIndex":0},"schema":"https://github.com/citation-style-language/schema/raw/master/csl-citation.json"}</w:instrText>
      </w:r>
      <w:r w:rsidRPr="001256B1">
        <w:rPr>
          <w:rFonts w:ascii="Book Antiqua" w:hAnsi="Book Antiqua"/>
          <w:shd w:val="clear" w:color="auto" w:fill="FFFFFF"/>
          <w:vertAlign w:val="superscript"/>
          <w:lang w:val="en-US"/>
        </w:rPr>
        <w:fldChar w:fldCharType="separate"/>
      </w:r>
      <w:r w:rsidRPr="001256B1">
        <w:rPr>
          <w:rFonts w:ascii="Book Antiqua" w:hAnsi="Book Antiqua"/>
          <w:noProof/>
          <w:shd w:val="clear" w:color="auto" w:fill="FFFFFF"/>
          <w:vertAlign w:val="superscript"/>
          <w:lang w:val="en-US"/>
        </w:rPr>
        <w:t>[16]</w:t>
      </w:r>
      <w:r w:rsidRPr="001256B1">
        <w:rPr>
          <w:rFonts w:ascii="Book Antiqua" w:hAnsi="Book Antiqua"/>
          <w:shd w:val="clear" w:color="auto" w:fill="FFFFFF"/>
          <w:vertAlign w:val="superscript"/>
          <w:lang w:val="en-US"/>
        </w:rPr>
        <w:fldChar w:fldCharType="end"/>
      </w:r>
      <w:r w:rsidRPr="001256B1">
        <w:rPr>
          <w:rFonts w:ascii="Book Antiqua" w:hAnsi="Book Antiqua"/>
          <w:shd w:val="clear" w:color="auto" w:fill="FFFFFF"/>
          <w:lang w:val="en-US"/>
        </w:rPr>
        <w:t>. In relevance, IRS</w:t>
      </w:r>
      <w:r w:rsidR="00E45F0D" w:rsidRPr="001256B1">
        <w:rPr>
          <w:rFonts w:ascii="Book Antiqua" w:hAnsi="Book Antiqua"/>
          <w:shd w:val="clear" w:color="auto" w:fill="FFFFFF"/>
          <w:lang w:val="en-US"/>
        </w:rPr>
        <w:t>-</w:t>
      </w:r>
      <w:r w:rsidRPr="001256B1">
        <w:rPr>
          <w:rFonts w:ascii="Book Antiqua" w:hAnsi="Book Antiqua"/>
          <w:shd w:val="clear" w:color="auto" w:fill="FFFFFF"/>
          <w:lang w:val="en-US"/>
        </w:rPr>
        <w:t xml:space="preserve">1 is highly upregulated in cells with exogenously-induced or constitutive </w:t>
      </w:r>
      <w:r w:rsidRPr="001256B1">
        <w:rPr>
          <w:rFonts w:ascii="Book Antiqua" w:hAnsi="Book Antiqua"/>
          <w:shd w:val="clear" w:color="auto" w:fill="FFFFFF"/>
          <w:lang w:val="en-US"/>
        </w:rPr>
        <w:sym w:font="Symbol" w:char="F062"/>
      </w:r>
      <w:r w:rsidRPr="001256B1">
        <w:rPr>
          <w:rFonts w:ascii="Book Antiqua" w:hAnsi="Book Antiqua"/>
          <w:shd w:val="clear" w:color="auto" w:fill="FFFFFF"/>
          <w:lang w:val="en-US"/>
        </w:rPr>
        <w:t xml:space="preserve">-catenin signaling and promotes transformation in cells that ectopically express </w:t>
      </w:r>
      <w:r w:rsidRPr="001256B1">
        <w:rPr>
          <w:rFonts w:ascii="Book Antiqua" w:hAnsi="Book Antiqua"/>
          <w:shd w:val="clear" w:color="auto" w:fill="FFFFFF"/>
          <w:lang w:val="en-US"/>
        </w:rPr>
        <w:sym w:font="Symbol" w:char="F062"/>
      </w:r>
      <w:r w:rsidRPr="001256B1">
        <w:rPr>
          <w:rFonts w:ascii="Book Antiqua" w:hAnsi="Book Antiqua"/>
          <w:shd w:val="clear" w:color="auto" w:fill="FFFFFF"/>
          <w:lang w:val="en-US"/>
        </w:rPr>
        <w:t>-catenin</w:t>
      </w:r>
      <w:r w:rsidRPr="001256B1">
        <w:rPr>
          <w:rFonts w:ascii="Book Antiqua" w:hAnsi="Book Antiqua"/>
          <w:shd w:val="clear" w:color="auto" w:fill="FFFFFF"/>
          <w:vertAlign w:val="superscript"/>
          <w:lang w:val="en-US"/>
        </w:rPr>
        <w:fldChar w:fldCharType="begin" w:fldLock="1"/>
      </w:r>
      <w:r w:rsidRPr="001256B1">
        <w:rPr>
          <w:rFonts w:ascii="Book Antiqua" w:hAnsi="Book Antiqua"/>
          <w:shd w:val="clear" w:color="auto" w:fill="FFFFFF"/>
          <w:vertAlign w:val="superscript"/>
          <w:lang w:val="en-US"/>
        </w:rPr>
        <w:instrText>ADDIN CSL_CITATION {"citationItems":[{"id":"ITEM-1","itemData":{"ISSN":"0021-9258","author":[{"dropping-particle":"","family":"Bommer","given":"Guido T","non-dropping-particle":"","parse-names":false,"suffix":""},{"dropping-particle":"","family":"Feng","given":"Ying","non-dropping-particle":"","parse-names":false,"suffix":""},{"dropping-particle":"","family":"Iura","given":"Ayaka","non-dropping-particle":"","parse-names":false,"suffix":""},{"dropping-particle":"","family":"Giordano","given":"Thomas J","non-dropping-particle":"","parse-names":false,"suffix":""},{"dropping-particle":"","family":"Kuick","given":"Rork","non-dropping-particle":"","parse-names":false,"suffix":""},{"dropping-particle":"","family":"Kadikoy","given":"Hüseyin","non-dropping-particle":"","parse-names":false,"suffix":""},{"dropping-particle":"","family":"Sikorski","given":"Deanna","non-dropping-particle":"","parse-names":false,"suffix":""},{"dropping-particle":"","family":"Wu","given":"Rong","non-dropping-particle":"","parse-names":false,"suffix":""},{"dropping-particle":"","family":"Cho","given":"Kathleen R","non-dropping-particle":"","parse-names":false,"suffix":""},{"dropping-particle":"","family":"Fearon","given":"Eric R","non-dropping-particle":"","parse-names":false,"suffix":""}],"container-title":"Journal of Biological Chemistry","id":"ITEM-1","issue":"3","issued":{"date-parts":[["2010"]]},"page":"1928-1938","publisher":"ASBMB","title":"IRS1 regulation by Wnt/β-catenin signaling and varied contribution of IRS1 to the neoplastic phenotype","type":"article-journal","volume":"285"},"uris":["http://www.mendeley.com/documents/?uuid=a8aea16a-29d9-466b-8edf-47b605f817c3"]}],"mendeley":{"formattedCitation":"[17]","plainTextFormattedCitation":"[17]","previouslyFormattedCitation":"[17]"},"properties":{"noteIndex":0},"schema":"https://github.com/citation-style-language/schema/raw/master/csl-citation.json"}</w:instrText>
      </w:r>
      <w:r w:rsidRPr="001256B1">
        <w:rPr>
          <w:rFonts w:ascii="Book Antiqua" w:hAnsi="Book Antiqua"/>
          <w:shd w:val="clear" w:color="auto" w:fill="FFFFFF"/>
          <w:vertAlign w:val="superscript"/>
          <w:lang w:val="en-US"/>
        </w:rPr>
        <w:fldChar w:fldCharType="separate"/>
      </w:r>
      <w:r w:rsidRPr="001256B1">
        <w:rPr>
          <w:rFonts w:ascii="Book Antiqua" w:hAnsi="Book Antiqua"/>
          <w:noProof/>
          <w:shd w:val="clear" w:color="auto" w:fill="FFFFFF"/>
          <w:vertAlign w:val="superscript"/>
          <w:lang w:val="en-US"/>
        </w:rPr>
        <w:t>[17]</w:t>
      </w:r>
      <w:r w:rsidRPr="001256B1">
        <w:rPr>
          <w:rFonts w:ascii="Book Antiqua" w:hAnsi="Book Antiqua"/>
          <w:shd w:val="clear" w:color="auto" w:fill="FFFFFF"/>
          <w:vertAlign w:val="superscript"/>
          <w:lang w:val="en-US"/>
        </w:rPr>
        <w:fldChar w:fldCharType="end"/>
      </w:r>
      <w:r w:rsidRPr="001256B1">
        <w:rPr>
          <w:rFonts w:ascii="Book Antiqua" w:hAnsi="Book Antiqua"/>
          <w:shd w:val="clear" w:color="auto" w:fill="FFFFFF"/>
          <w:lang w:val="en-US"/>
        </w:rPr>
        <w:t>.</w:t>
      </w:r>
      <w:r w:rsidR="00864072" w:rsidRPr="001256B1">
        <w:rPr>
          <w:rFonts w:ascii="Book Antiqua" w:hAnsi="Book Antiqua"/>
          <w:shd w:val="clear" w:color="auto" w:fill="FFFFFF"/>
          <w:lang w:val="en-US"/>
        </w:rPr>
        <w:t xml:space="preserve"> Also, upregulation of IRS-1 by WNT/</w:t>
      </w:r>
      <w:r w:rsidR="00864072" w:rsidRPr="001256B1">
        <w:rPr>
          <w:rFonts w:ascii="Book Antiqua" w:hAnsi="Book Antiqua"/>
          <w:shd w:val="clear" w:color="auto" w:fill="FFFFFF"/>
          <w:lang w:val="en-US"/>
        </w:rPr>
        <w:sym w:font="Symbol" w:char="F062"/>
      </w:r>
      <w:r w:rsidR="00864072" w:rsidRPr="001256B1">
        <w:rPr>
          <w:rFonts w:ascii="Book Antiqua" w:hAnsi="Book Antiqua"/>
          <w:shd w:val="clear" w:color="auto" w:fill="FFFFFF"/>
          <w:lang w:val="en-US"/>
        </w:rPr>
        <w:t xml:space="preserve">-catenin signaling in </w:t>
      </w:r>
      <w:r w:rsidR="001639BF" w:rsidRPr="001256B1">
        <w:rPr>
          <w:rFonts w:ascii="Book Antiqua" w:hAnsi="Book Antiqua"/>
          <w:shd w:val="clear" w:color="auto" w:fill="FFFFFF"/>
          <w:lang w:val="en-US"/>
        </w:rPr>
        <w:t>the mouse</w:t>
      </w:r>
      <w:r w:rsidR="00864072" w:rsidRPr="001256B1">
        <w:rPr>
          <w:rFonts w:ascii="Book Antiqua" w:hAnsi="Book Antiqua"/>
          <w:shd w:val="clear" w:color="auto" w:fill="FFFFFF"/>
          <w:lang w:val="en-US"/>
        </w:rPr>
        <w:t xml:space="preserve"> </w:t>
      </w:r>
      <w:r w:rsidR="002B6E9A" w:rsidRPr="001256B1">
        <w:rPr>
          <w:rFonts w:ascii="Book Antiqua" w:hAnsi="Book Antiqua"/>
          <w:shd w:val="clear" w:color="auto" w:fill="FFFFFF"/>
          <w:lang w:val="en-US"/>
        </w:rPr>
        <w:t xml:space="preserve">hepatocellular carcinoma </w:t>
      </w:r>
      <w:r w:rsidR="00864072" w:rsidRPr="001256B1">
        <w:rPr>
          <w:rFonts w:ascii="Book Antiqua" w:hAnsi="Book Antiqua"/>
          <w:shd w:val="clear" w:color="auto" w:fill="FFFFFF"/>
          <w:lang w:val="en-US"/>
        </w:rPr>
        <w:t>model was found to play an important role in hepatocarcinogenesis</w:t>
      </w:r>
      <w:r w:rsidR="004E1BA6" w:rsidRPr="001256B1">
        <w:rPr>
          <w:rFonts w:ascii="Book Antiqua" w:hAnsi="Book Antiqua"/>
          <w:shd w:val="clear" w:color="auto" w:fill="FFFFFF"/>
          <w:vertAlign w:val="superscript"/>
          <w:lang w:val="en-US"/>
        </w:rPr>
        <w:fldChar w:fldCharType="begin" w:fldLock="1"/>
      </w:r>
      <w:r w:rsidR="001B2DB3" w:rsidRPr="001256B1">
        <w:rPr>
          <w:rFonts w:ascii="Book Antiqua" w:hAnsi="Book Antiqua"/>
          <w:shd w:val="clear" w:color="auto" w:fill="FFFFFF"/>
          <w:vertAlign w:val="superscript"/>
          <w:lang w:val="en-US"/>
        </w:rPr>
        <w:instrText>ADDIN CSL_CITATION {"citationItems":[{"id":"ITEM-1","itemData":{"ISSN":"2045-2322","author":[{"dropping-particle":"","family":"Sakurai","given":"Yoshitaka","non-dropping-particle":"","parse-names":false,"suffix":""},{"dropping-particle":"","family":"Kubota","given":"Naoto","non-dropping-particle":"","parse-names":false,"suffix":""},{"dropping-particle":"","family":"Takamoto","given":"Iseki","non-dropping-particle":"","parse-names":false,"suffix":""},{"dropping-particle":"","family":"Obata","given":"Atsushi","non-dropping-particle":"","parse-names":false,"suffix":""},{"dropping-particle":"","family":"Iwamoto","given":"Masahiko","non-dropping-particle":"","parse-names":false,"suffix":""},{"dropping-particle":"","family":"Hayashi","given":"Takanori","non-dropping-particle":"","parse-names":false,"suffix":""},{"dropping-particle":"","family":"Aihara","given":"Masakazu","non-dropping-particle":"","parse-names":false,"suffix":""},{"dropping-particle":"","family":"Kubota","given":"Tetsuya","non-dropping-particle":"","parse-names":false,"suffix":""},{"dropping-particle":"","family":"Nishihara","given":"Hiroshi","non-dropping-particle":"","parse-names":false,"suffix":""},{"dropping-particle":"","family":"Kadowaki","given":"Takashi","non-dropping-particle":"","parse-names":false,"suffix":""}],"container-title":"Scientific reports","id":"ITEM-1","issue":"1","issued":{"date-parts":[["2017"]]},"page":"1-14","publisher":"Nature Publishing Group","title":"Role of insulin receptor substrates in the progression of hepatocellular carcinoma","type":"article-journal","volume":"7"},"uris":["http://www.mendeley.com/documents/?uuid=a68d1408-dfd3-425c-8195-f92ffd6333e7"]}],"mendeley":{"formattedCitation":"[18]","plainTextFormattedCitation":"[18]","previouslyFormattedCitation":"[18]"},"properties":{"noteIndex":0},"schema":"https://github.com/citation-style-language/schema/raw/master/csl-citation.json"}</w:instrText>
      </w:r>
      <w:r w:rsidR="004E1BA6" w:rsidRPr="001256B1">
        <w:rPr>
          <w:rFonts w:ascii="Book Antiqua" w:hAnsi="Book Antiqua"/>
          <w:shd w:val="clear" w:color="auto" w:fill="FFFFFF"/>
          <w:vertAlign w:val="superscript"/>
          <w:lang w:val="en-US"/>
        </w:rPr>
        <w:fldChar w:fldCharType="separate"/>
      </w:r>
      <w:r w:rsidR="004E1BA6" w:rsidRPr="001256B1">
        <w:rPr>
          <w:rFonts w:ascii="Book Antiqua" w:hAnsi="Book Antiqua"/>
          <w:noProof/>
          <w:shd w:val="clear" w:color="auto" w:fill="FFFFFF"/>
          <w:vertAlign w:val="superscript"/>
          <w:lang w:val="en-US"/>
        </w:rPr>
        <w:t>[18]</w:t>
      </w:r>
      <w:r w:rsidR="004E1BA6" w:rsidRPr="001256B1">
        <w:rPr>
          <w:rFonts w:ascii="Book Antiqua" w:hAnsi="Book Antiqua"/>
          <w:shd w:val="clear" w:color="auto" w:fill="FFFFFF"/>
          <w:vertAlign w:val="superscript"/>
          <w:lang w:val="en-US"/>
        </w:rPr>
        <w:fldChar w:fldCharType="end"/>
      </w:r>
      <w:r w:rsidR="004E1BA6" w:rsidRPr="00E945E9">
        <w:rPr>
          <w:rFonts w:ascii="Book Antiqua" w:hAnsi="Book Antiqua"/>
          <w:shd w:val="clear" w:color="auto" w:fill="FFFFFF"/>
          <w:lang w:val="en-US"/>
        </w:rPr>
        <w:t>.</w:t>
      </w:r>
      <w:r w:rsidRPr="001256B1">
        <w:rPr>
          <w:rFonts w:ascii="Book Antiqua" w:hAnsi="Book Antiqua"/>
          <w:shd w:val="clear" w:color="auto" w:fill="FFFFFF"/>
          <w:lang w:val="en-US"/>
        </w:rPr>
        <w:t xml:space="preserve"> Furthermore, a study </w:t>
      </w:r>
      <w:r w:rsidR="001639BF" w:rsidRPr="001256B1">
        <w:rPr>
          <w:rFonts w:ascii="Book Antiqua" w:hAnsi="Book Antiqua"/>
          <w:shd w:val="clear" w:color="auto" w:fill="FFFFFF"/>
          <w:lang w:val="en-US"/>
        </w:rPr>
        <w:t>in</w:t>
      </w:r>
      <w:r w:rsidRPr="001256B1">
        <w:rPr>
          <w:rFonts w:ascii="Book Antiqua" w:hAnsi="Book Antiqua"/>
          <w:shd w:val="clear" w:color="auto" w:fill="FFFFFF"/>
          <w:lang w:val="en-US"/>
        </w:rPr>
        <w:t xml:space="preserve"> the </w:t>
      </w:r>
      <w:r w:rsidR="00F07D81" w:rsidRPr="001256B1">
        <w:rPr>
          <w:rFonts w:ascii="Book Antiqua" w:hAnsi="Book Antiqua"/>
          <w:shd w:val="clear" w:color="auto" w:fill="FFFFFF"/>
          <w:lang w:val="en-US"/>
        </w:rPr>
        <w:t xml:space="preserve">adenomatous polyposis coli </w:t>
      </w:r>
      <w:r w:rsidRPr="001256B1">
        <w:rPr>
          <w:rFonts w:ascii="Book Antiqua" w:hAnsi="Book Antiqua"/>
          <w:shd w:val="clear" w:color="auto" w:fill="FFFFFF"/>
          <w:lang w:val="en-US"/>
        </w:rPr>
        <w:t>min/+ mouse model showed that the intestinal tumorigenesis is attenuated by IRS</w:t>
      </w:r>
      <w:r w:rsidR="00E45F0D" w:rsidRPr="001256B1">
        <w:rPr>
          <w:rFonts w:ascii="Book Antiqua" w:hAnsi="Book Antiqua"/>
          <w:shd w:val="clear" w:color="auto" w:fill="FFFFFF"/>
          <w:lang w:val="en-US"/>
        </w:rPr>
        <w:t>-</w:t>
      </w:r>
      <w:r w:rsidRPr="001256B1">
        <w:rPr>
          <w:rFonts w:ascii="Book Antiqua" w:hAnsi="Book Antiqua"/>
          <w:shd w:val="clear" w:color="auto" w:fill="FFFFFF"/>
          <w:lang w:val="en-US"/>
        </w:rPr>
        <w:t>1 knock-out</w:t>
      </w:r>
      <w:r w:rsidRPr="001256B1">
        <w:rPr>
          <w:rFonts w:ascii="Book Antiqua" w:hAnsi="Book Antiqua"/>
          <w:shd w:val="clear" w:color="auto" w:fill="FFFFFF"/>
          <w:vertAlign w:val="superscript"/>
          <w:lang w:val="en-US"/>
        </w:rPr>
        <w:fldChar w:fldCharType="begin" w:fldLock="1"/>
      </w:r>
      <w:r w:rsidRPr="001256B1">
        <w:rPr>
          <w:rFonts w:ascii="Book Antiqua" w:hAnsi="Book Antiqua"/>
          <w:shd w:val="clear" w:color="auto" w:fill="FFFFFF"/>
          <w:vertAlign w:val="superscript"/>
          <w:lang w:val="en-US"/>
        </w:rPr>
        <w:instrText>ADDIN CSL_CITATION {"citationItems":[{"id":"ITEM-1","itemData":{"ISSN":"0013-7227","author":[{"dropping-particle":"","family":"Ramocki","given":"Nicole M","non-dropping-particle":"","parse-names":false,"suffix":""},{"dropping-particle":"","family":"Wilkins","given":"Heather R","non-dropping-particle":"","parse-names":false,"suffix":""},{"dropping-particle":"","family":"Magness","given":"Scott T","non-dropping-particle":"","parse-names":false,"suffix":""},{"dropping-particle":"","family":"Simmons","given":"James G","non-dropping-particle":"","parse-names":false,"suffix":""},{"dropping-particle":"","family":"Scull","given":"Brooks P","non-dropping-particle":"","parse-names":false,"suffix":""},{"dropping-particle":"","family":"Lee","given":"Ginny H","non-dropping-particle":"","parse-names":false,"suffix":""},{"dropping-particle":"","family":"McNaughton","given":"Kirk K","non-dropping-particle":"","parse-names":false,"suffix":""},{"dropping-particle":"","family":"Lund","given":"P Kay","non-dropping-particle":"","parse-names":false,"suffix":""}],"container-title":"Endocrinology","id":"ITEM-1","issue":"1","issued":{"date-parts":[["2008"]]},"page":"261-267","publisher":"Oxford University Press","title":"Insulin receptor substrate-1 deficiency promotes apoptosis in the putative intestinal crypt stem cell region, limits Apcmin/+ tumors, and regulates Sox9","type":"article-journal","volume":"149"},"uris":["http://www.mendeley.com/documents/?uuid=c9cce13c-ebe7-4cad-bc65-4433bcfbcaf4"]}],"mendeley":{"formattedCitation":"[3]","plainTextFormattedCitation":"[3]","previouslyFormattedCitation":"[3]"},"properties":{"noteIndex":0},"schema":"https://github.com/citation-style-language/schema/raw/master/csl-citation.json"}</w:instrText>
      </w:r>
      <w:r w:rsidRPr="001256B1">
        <w:rPr>
          <w:rFonts w:ascii="Book Antiqua" w:hAnsi="Book Antiqua"/>
          <w:shd w:val="clear" w:color="auto" w:fill="FFFFFF"/>
          <w:vertAlign w:val="superscript"/>
          <w:lang w:val="en-US"/>
        </w:rPr>
        <w:fldChar w:fldCharType="separate"/>
      </w:r>
      <w:r w:rsidRPr="001256B1">
        <w:rPr>
          <w:rFonts w:ascii="Book Antiqua" w:hAnsi="Book Antiqua"/>
          <w:noProof/>
          <w:shd w:val="clear" w:color="auto" w:fill="FFFFFF"/>
          <w:vertAlign w:val="superscript"/>
          <w:lang w:val="en-US"/>
        </w:rPr>
        <w:t>[3]</w:t>
      </w:r>
      <w:r w:rsidRPr="001256B1">
        <w:rPr>
          <w:rFonts w:ascii="Book Antiqua" w:hAnsi="Book Antiqua"/>
          <w:shd w:val="clear" w:color="auto" w:fill="FFFFFF"/>
          <w:vertAlign w:val="superscript"/>
          <w:lang w:val="en-US"/>
        </w:rPr>
        <w:fldChar w:fldCharType="end"/>
      </w:r>
      <w:r w:rsidRPr="001256B1">
        <w:rPr>
          <w:rFonts w:ascii="Book Antiqua" w:hAnsi="Book Antiqua"/>
          <w:shd w:val="clear" w:color="auto" w:fill="FFFFFF"/>
          <w:lang w:val="en-US"/>
        </w:rPr>
        <w:t xml:space="preserve">. </w:t>
      </w:r>
      <w:r w:rsidRPr="001256B1">
        <w:rPr>
          <w:rFonts w:ascii="Book Antiqua" w:hAnsi="Book Antiqua"/>
          <w:bCs/>
          <w:color w:val="000000" w:themeColor="text1"/>
          <w:lang w:val="en-US"/>
        </w:rPr>
        <w:t xml:space="preserve">Inhibition of growth of colon cancer cells was also observed as an effect of blocking the </w:t>
      </w:r>
      <w:bookmarkStart w:id="30" w:name="OLE_LINK12"/>
      <w:bookmarkStart w:id="31" w:name="OLE_LINK13"/>
      <w:r w:rsidRPr="001256B1">
        <w:rPr>
          <w:rFonts w:ascii="Book Antiqua" w:hAnsi="Book Antiqua"/>
          <w:bCs/>
          <w:color w:val="000000" w:themeColor="text1"/>
          <w:lang w:val="en-US"/>
        </w:rPr>
        <w:t>IGF</w:t>
      </w:r>
      <w:bookmarkEnd w:id="30"/>
      <w:bookmarkEnd w:id="31"/>
      <w:r w:rsidRPr="001256B1">
        <w:rPr>
          <w:rFonts w:ascii="Book Antiqua" w:hAnsi="Book Antiqua"/>
          <w:bCs/>
          <w:color w:val="000000" w:themeColor="text1"/>
          <w:lang w:val="en-US"/>
        </w:rPr>
        <w:t>-1R signaling by micro</w:t>
      </w:r>
      <w:r w:rsidR="00FF6F91" w:rsidRPr="001256B1">
        <w:rPr>
          <w:rFonts w:ascii="Book Antiqua" w:hAnsi="Book Antiqua"/>
          <w:bCs/>
          <w:color w:val="000000" w:themeColor="text1"/>
          <w:lang w:val="en-US"/>
        </w:rPr>
        <w:t xml:space="preserve"> </w:t>
      </w:r>
      <w:r w:rsidR="00532888" w:rsidRPr="001256B1">
        <w:rPr>
          <w:rFonts w:ascii="Book Antiqua" w:hAnsi="Book Antiqua"/>
          <w:bCs/>
          <w:color w:val="000000" w:themeColor="text1"/>
          <w:lang w:val="en-US"/>
        </w:rPr>
        <w:t>Ribonucleic Acid</w:t>
      </w:r>
      <w:r w:rsidRPr="001256B1">
        <w:rPr>
          <w:rFonts w:ascii="Book Antiqua" w:hAnsi="Book Antiqua"/>
          <w:bCs/>
          <w:color w:val="000000" w:themeColor="text1"/>
          <w:lang w:val="en-US"/>
        </w:rPr>
        <w:t xml:space="preserve"> 145</w:t>
      </w:r>
      <w:r w:rsidRPr="001256B1">
        <w:rPr>
          <w:rFonts w:ascii="Book Antiqua" w:hAnsi="Book Antiqua"/>
          <w:bCs/>
          <w:color w:val="000000" w:themeColor="text1"/>
          <w:vertAlign w:val="superscript"/>
          <w:lang w:val="en-US"/>
        </w:rPr>
        <w:fldChar w:fldCharType="begin" w:fldLock="1"/>
      </w:r>
      <w:r w:rsidR="001B2DB3" w:rsidRPr="001256B1">
        <w:rPr>
          <w:rFonts w:ascii="Book Antiqua" w:hAnsi="Book Antiqua"/>
          <w:bCs/>
          <w:color w:val="000000" w:themeColor="text1"/>
          <w:vertAlign w:val="superscript"/>
          <w:lang w:val="en-US"/>
        </w:rPr>
        <w:instrText>ADDIN CSL_CITATION {"citationItems":[{"id":"ITEM-1","itemData":{"author":[{"dropping-particle":"","family":"Su","given":"Jiaojiao","non-dropping-particle":"","parse-names":false,"suffix":""},{"dropping-particle":"","family":"Liang","given":"Hongwei","non-dropping-particle":"","parse-names":false,"suffix":""},{"dropping-particle":"","family":"Yao","given":"Weiyan","non-dropping-particle":"","parse-names":false,"suffix":""},{"dropping-particle":"","family":"Wang","given":"Nan","non-dropping-particle":"","parse-names":false,"suffix":""},{"dropping-particle":"","family":"Zhang","given":"Suyang","non-dropping-particle":"","parse-names":false,"suffix":""},{"dropping-particle":"","family":"Yan","given":"Xin","non-dropping-particle":"","parse-names":false,"suffix":""},{"dropping-particle":"","family":"Feng","given":"Hui","non-dropping-particle":"","parse-names":false,"suffix":""},{"dropping-particle":"","family":"Pang","given":"Wenjing","non-dropping-particle":"","parse-names":false,"suffix":""},{"dropping-particle":"","family":"Wang","given":"Yanbo","non-dropping-particle":"","parse-names":false,"suffix":""},{"dropping-particle":"","family":"Wang","given":"Xueliang","non-dropping-particle":"","parse-names":false,"suffix":""}],"container-title":"PloS one","id":"ITEM-1","issue":"12","issued":{"date-parts":[["2014"]]},"publisher":"Public Library of Science","title":"MiR-143 and MiR-145 regulate IGF1R to suppress cell proliferation in colorectal cancer","type":"article-journal","volume":"9"},"uris":["http://www.mendeley.com/documents/?uuid=1318d2c7-870d-48f4-963d-6718bf5bdf4b"]}],"mendeley":{"formattedCitation":"[19]","plainTextFormattedCitation":"[19]","previouslyFormattedCitation":"[19]"},"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4E1BA6" w:rsidRPr="001256B1">
        <w:rPr>
          <w:rFonts w:ascii="Book Antiqua" w:hAnsi="Book Antiqua"/>
          <w:bCs/>
          <w:noProof/>
          <w:color w:val="000000" w:themeColor="text1"/>
          <w:vertAlign w:val="superscript"/>
          <w:lang w:val="en-US"/>
        </w:rPr>
        <w:t>[19]</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w:t>
      </w:r>
    </w:p>
    <w:p w14:paraId="095B85CA" w14:textId="7317BED7" w:rsidR="008F5A7C" w:rsidRPr="001256B1" w:rsidRDefault="008F5A7C"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1256B1">
        <w:rPr>
          <w:rFonts w:ascii="Book Antiqua" w:hAnsi="Book Antiqua"/>
          <w:color w:val="000000" w:themeColor="text1"/>
          <w:shd w:val="clear" w:color="auto" w:fill="FFFFFF"/>
          <w:lang w:val="en-US"/>
        </w:rPr>
        <w:t>Tumorigenesis is a multistep process, involving not only abnormal proliferation but also avoidance of apoptosis in transformed cells. The impairment of apoptosis is a critical step in tumor development but it also can contribute to therapeutic resistance as induction of apoptosis is a major cytotoxic mechanism of anticancer therapies</w:t>
      </w:r>
      <w:r w:rsidRPr="001256B1">
        <w:rPr>
          <w:rFonts w:ascii="Book Antiqua" w:hAnsi="Book Antiqua"/>
          <w:color w:val="000000" w:themeColor="text1"/>
          <w:shd w:val="clear" w:color="auto" w:fill="FFFFFF"/>
          <w:vertAlign w:val="superscript"/>
          <w:lang w:val="en-US"/>
        </w:rPr>
        <w:fldChar w:fldCharType="begin" w:fldLock="1"/>
      </w:r>
      <w:r w:rsidR="001B2DB3" w:rsidRPr="001256B1">
        <w:rPr>
          <w:rFonts w:ascii="Book Antiqua" w:hAnsi="Book Antiqua"/>
          <w:color w:val="000000" w:themeColor="text1"/>
          <w:shd w:val="clear" w:color="auto" w:fill="FFFFFF"/>
          <w:vertAlign w:val="superscript"/>
          <w:lang w:val="en-US"/>
        </w:rPr>
        <w:instrText>ADDIN CSL_CITATION {"citationItems":[{"id":"ITEM-1","itemData":{"ISSN":"0092-8674","author":[{"dropping-particle":"","family":"Hanahan","given":"Douglas","non-dropping-particle":"","parse-names":false,"suffix":""},{"dropping-particle":"","family":"Weinberg","given":"Robert A","non-dropping-particle":"","parse-names":false,"suffix":""}],"container-title":"cell","id":"ITEM-1","issue":"5","issued":{"date-parts":[["2011"]]},"page":"646-674","publisher":"Elsevier","title":"Hallmarks of cancer: the next generation","type":"article-journal","volume":"144"},"uris":["http://www.mendeley.com/documents/?uuid=0d5efbf3-d42b-4f21-9428-92856edc04fc"]}],"mendeley":{"formattedCitation":"[20]","plainTextFormattedCitation":"[20]","previouslyFormattedCitation":"[20]"},"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004E1BA6" w:rsidRPr="001256B1">
        <w:rPr>
          <w:rFonts w:ascii="Book Antiqua" w:hAnsi="Book Antiqua"/>
          <w:noProof/>
          <w:color w:val="000000" w:themeColor="text1"/>
          <w:shd w:val="clear" w:color="auto" w:fill="FFFFFF"/>
          <w:vertAlign w:val="superscript"/>
          <w:lang w:val="en-US"/>
        </w:rPr>
        <w:t>[20]</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 There are two primary apoptotic pathways: the extrinsic and the intrinsic, also called mitochondrial apoptotic pathway. In this work, we have focused on intrinsic apoptotic pathway and Bcl-2 family proteins</w:t>
      </w:r>
      <w:r w:rsidR="00AB48FA" w:rsidRPr="001256B1">
        <w:rPr>
          <w:rFonts w:ascii="Book Antiqua" w:hAnsi="Book Antiqua"/>
          <w:color w:val="000000" w:themeColor="text1"/>
          <w:shd w:val="clear" w:color="auto" w:fill="FFFFFF"/>
          <w:lang w:val="en-US"/>
        </w:rPr>
        <w:t xml:space="preserve"> that</w:t>
      </w:r>
      <w:r w:rsidRPr="001256B1">
        <w:rPr>
          <w:rFonts w:ascii="Book Antiqua" w:hAnsi="Book Antiqua"/>
          <w:color w:val="000000" w:themeColor="text1"/>
          <w:shd w:val="clear" w:color="auto" w:fill="FFFFFF"/>
          <w:lang w:val="en-US"/>
        </w:rPr>
        <w:t xml:space="preserve"> regulate programmed cell death. The Bcl-2 family consists of three </w:t>
      </w:r>
      <w:r w:rsidR="00084499" w:rsidRPr="001256B1">
        <w:rPr>
          <w:rFonts w:ascii="Book Antiqua" w:hAnsi="Book Antiqua"/>
          <w:color w:val="000000" w:themeColor="text1"/>
          <w:shd w:val="clear" w:color="auto" w:fill="FFFFFF"/>
          <w:lang w:val="en-US"/>
        </w:rPr>
        <w:t>subgroups</w:t>
      </w:r>
      <w:r w:rsidRPr="001256B1">
        <w:rPr>
          <w:rFonts w:ascii="Book Antiqua" w:hAnsi="Book Antiqua"/>
          <w:color w:val="000000" w:themeColor="text1"/>
          <w:shd w:val="clear" w:color="auto" w:fill="FFFFFF"/>
          <w:lang w:val="en-US"/>
        </w:rPr>
        <w:t xml:space="preserve"> of proteins. The </w:t>
      </w:r>
      <w:proofErr w:type="spellStart"/>
      <w:r w:rsidRPr="001256B1">
        <w:rPr>
          <w:rFonts w:ascii="Book Antiqua" w:hAnsi="Book Antiqua"/>
          <w:color w:val="000000" w:themeColor="text1"/>
          <w:shd w:val="clear" w:color="auto" w:fill="FFFFFF"/>
          <w:lang w:val="en-US"/>
        </w:rPr>
        <w:t>prosurvival</w:t>
      </w:r>
      <w:proofErr w:type="spellEnd"/>
      <w:r w:rsidRPr="001256B1">
        <w:rPr>
          <w:rFonts w:ascii="Book Antiqua" w:hAnsi="Book Antiqua"/>
          <w:color w:val="000000" w:themeColor="text1"/>
          <w:shd w:val="clear" w:color="auto" w:fill="FFFFFF"/>
          <w:lang w:val="en-US"/>
        </w:rPr>
        <w:t xml:space="preserve"> subfamily, which includes proteins such as Bcl-2 and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protects cells from a wide range of cytotoxic insults, whereas two other subfamilies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lang w:val="en-US"/>
        </w:rPr>
        <w:t xml:space="preserve">-like apoptotic subfamily and the ‘BH3-only proteins) promote apoptosis. Tumor cells develop a variety of strategies to avoid apoptosis, including enhanced expression of antiapoptotic Bcl-2 family members, such as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xml:space="preserve"> and reduced expression of proapoptotic Bcl-2 family members, such as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vertAlign w:val="superscript"/>
          <w:lang w:val="en-US"/>
        </w:rPr>
        <w:fldChar w:fldCharType="begin" w:fldLock="1"/>
      </w:r>
      <w:r w:rsidR="001B2DB3" w:rsidRPr="001256B1">
        <w:rPr>
          <w:rFonts w:ascii="Book Antiqua" w:hAnsi="Book Antiqua"/>
          <w:color w:val="000000" w:themeColor="text1"/>
          <w:shd w:val="clear" w:color="auto" w:fill="FFFFFF"/>
          <w:vertAlign w:val="superscript"/>
          <w:lang w:val="en-US"/>
        </w:rPr>
        <w:instrText>ADDIN CSL_CITATION {"citationItems":[{"id":"ITEM-1","itemData":{"ISSN":"1476-5594","author":[{"dropping-particle":"","family":"Adams","given":"Jerry M","non-dropping-particle":"","parse-names":false,"suffix":""},{"dropping-particle":"","family":"Cory","given":"Suzanne","non-dropping-particle":"","parse-names":false,"suffix":""}],"container-title":"Oncogene","id":"ITEM-1","issue":"9","issued":{"date-parts":[["2007"]]},"page":"1324","publisher":"Nature Publishing Group","title":"The Bcl-2 apoptotic switch in cancer development and therapy","type":"article-journal","volume":"26"},"uris":["http://www.mendeley.com/documents/?uuid=8820ce25-7e6b-4d9c-b8ea-114d47ffa108"]}],"mendeley":{"formattedCitation":"[21]","plainTextFormattedCitation":"[21]","previouslyFormattedCitation":"[21]"},"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004E1BA6" w:rsidRPr="001256B1">
        <w:rPr>
          <w:rFonts w:ascii="Book Antiqua" w:hAnsi="Book Antiqua"/>
          <w:noProof/>
          <w:color w:val="000000" w:themeColor="text1"/>
          <w:shd w:val="clear" w:color="auto" w:fill="FFFFFF"/>
          <w:vertAlign w:val="superscript"/>
          <w:lang w:val="en-US"/>
        </w:rPr>
        <w:t>[21]</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w:t>
      </w:r>
    </w:p>
    <w:p w14:paraId="17284D29" w14:textId="54F46EB9" w:rsidR="008F5A7C" w:rsidRPr="001256B1" w:rsidRDefault="008F5A7C"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1256B1">
        <w:rPr>
          <w:rFonts w:ascii="Book Antiqua" w:hAnsi="Book Antiqua"/>
          <w:color w:val="000000" w:themeColor="text1"/>
          <w:shd w:val="clear" w:color="auto" w:fill="FFFFFF"/>
          <w:lang w:val="en-US"/>
        </w:rPr>
        <w:t>Numerous studies have shown that IRS-1 signaling contributes to tumor cell survival. In ER-positive breast cancer cells</w:t>
      </w:r>
      <w:r w:rsidR="001639BF" w:rsidRPr="001256B1">
        <w:rPr>
          <w:rFonts w:ascii="Book Antiqua" w:hAnsi="Book Antiqua"/>
          <w:color w:val="000000" w:themeColor="text1"/>
          <w:shd w:val="clear" w:color="auto" w:fill="FFFFFF"/>
          <w:lang w:val="en-US"/>
        </w:rPr>
        <w:t>,</w:t>
      </w:r>
      <w:r w:rsidRPr="001256B1">
        <w:rPr>
          <w:rFonts w:ascii="Book Antiqua" w:hAnsi="Book Antiqua"/>
          <w:color w:val="000000" w:themeColor="text1"/>
          <w:shd w:val="clear" w:color="auto" w:fill="FFFFFF"/>
          <w:lang w:val="en-US"/>
        </w:rPr>
        <w:t xml:space="preserve"> suppression of IRS-1 expression accelerates apoptosis and</w:t>
      </w:r>
      <w:r w:rsidR="00AB48FA" w:rsidRPr="001256B1">
        <w:rPr>
          <w:rFonts w:ascii="Book Antiqua" w:hAnsi="Book Antiqua"/>
          <w:color w:val="000000" w:themeColor="text1"/>
          <w:shd w:val="clear" w:color="auto" w:fill="FFFFFF"/>
          <w:lang w:val="en-US"/>
        </w:rPr>
        <w:t xml:space="preserve"> renders</w:t>
      </w:r>
      <w:r w:rsidRPr="001256B1">
        <w:rPr>
          <w:rFonts w:ascii="Book Antiqua" w:hAnsi="Book Antiqua"/>
          <w:color w:val="000000" w:themeColor="text1"/>
          <w:shd w:val="clear" w:color="auto" w:fill="FFFFFF"/>
          <w:lang w:val="en-US"/>
        </w:rPr>
        <w:t xml:space="preserve"> cells more vulnerable to tamoxifen-induced cell death</w:t>
      </w:r>
      <w:r w:rsidRPr="001256B1">
        <w:rPr>
          <w:rFonts w:ascii="Book Antiqua" w:hAnsi="Book Antiqua"/>
          <w:color w:val="000000" w:themeColor="text1"/>
          <w:shd w:val="clear" w:color="auto" w:fill="FFFFFF"/>
          <w:vertAlign w:val="superscript"/>
          <w:lang w:val="en-US"/>
        </w:rPr>
        <w:fldChar w:fldCharType="begin" w:fldLock="1"/>
      </w:r>
      <w:r w:rsidR="001B2DB3" w:rsidRPr="001256B1">
        <w:rPr>
          <w:rFonts w:ascii="Book Antiqua" w:hAnsi="Book Antiqua"/>
          <w:color w:val="000000" w:themeColor="text1"/>
          <w:shd w:val="clear" w:color="auto" w:fill="FFFFFF"/>
          <w:vertAlign w:val="superscript"/>
          <w:lang w:val="en-US"/>
        </w:rPr>
        <w:instrText>ADDIN CSL_CITATION {"citationItems":[{"id":"ITEM-1","itemData":{"ISSN":"0730-2312","author":[{"dropping-particle":"","family":"Cesarone","given":"Gregory","non-dropping-particle":"","parse-names":false,"suffix":""},{"dropping-particle":"","family":"Garofalo","given":"Cecilia","non-dropping-particle":"","parse-names":false,"suffix":""},{"dropping-particle":"","family":"Abrams","given":"Marc T","non-dropping-particle":"","parse-names":false,"suffix":""},{"dropping-particle":"","family":"Igoucheva","given":"Olga","non-dropping-particle":"","parse-names":false,"suffix":""},{"dropping-particle":"","family":"Alexeev","given":"Vitali","non-dropping-particle":"","parse-names":false,"suffix":""},{"dropping-particle":"","family":"Yoon","given":"Kyonggeun","non-dropping-particle":"","parse-names":false,"suffix":""},{"dropping-particle":"","family":"Surmacz","given":"Eva","non-dropping-particle":"","parse-names":false,"suffix":""},{"dropping-particle":"","family":"Wickstrom","given":"Eric","non-dropping-particle":"","parse-names":false,"suffix":""}],"container-title":"Journal of cellular biochemistry","id":"ITEM-1","issue":"2","issued":{"date-parts":[["2006"]]},"page":"440-450","publisher":"Wiley Online Library","title":"RNAi</w:instrText>
      </w:r>
      <w:r w:rsidR="001B2DB3" w:rsidRPr="001256B1">
        <w:rPr>
          <w:rFonts w:ascii="宋体" w:eastAsia="宋体" w:hAnsi="宋体" w:cs="宋体" w:hint="eastAsia"/>
          <w:color w:val="000000" w:themeColor="text1"/>
          <w:shd w:val="clear" w:color="auto" w:fill="FFFFFF"/>
          <w:vertAlign w:val="superscript"/>
          <w:lang w:val="en-US"/>
        </w:rPr>
        <w:instrText>‐</w:instrText>
      </w:r>
      <w:r w:rsidR="001B2DB3" w:rsidRPr="001256B1">
        <w:rPr>
          <w:rFonts w:ascii="Book Antiqua" w:hAnsi="Book Antiqua"/>
          <w:color w:val="000000" w:themeColor="text1"/>
          <w:shd w:val="clear" w:color="auto" w:fill="FFFFFF"/>
          <w:vertAlign w:val="superscript"/>
          <w:lang w:val="en-US"/>
        </w:rPr>
        <w:instrText>mediated silencing of insulin receptor substrate 1 (IRS</w:instrText>
      </w:r>
      <w:r w:rsidR="001B2DB3" w:rsidRPr="001256B1">
        <w:rPr>
          <w:rFonts w:ascii="宋体" w:eastAsia="宋体" w:hAnsi="宋体" w:cs="宋体" w:hint="eastAsia"/>
          <w:color w:val="000000" w:themeColor="text1"/>
          <w:shd w:val="clear" w:color="auto" w:fill="FFFFFF"/>
          <w:vertAlign w:val="superscript"/>
          <w:lang w:val="en-US"/>
        </w:rPr>
        <w:instrText>‐</w:instrText>
      </w:r>
      <w:r w:rsidR="001B2DB3" w:rsidRPr="001256B1">
        <w:rPr>
          <w:rFonts w:ascii="Book Antiqua" w:hAnsi="Book Antiqua"/>
          <w:color w:val="000000" w:themeColor="text1"/>
          <w:shd w:val="clear" w:color="auto" w:fill="FFFFFF"/>
          <w:vertAlign w:val="superscript"/>
          <w:lang w:val="en-US"/>
        </w:rPr>
        <w:instrText>1) enhances tamoxifen</w:instrText>
      </w:r>
      <w:r w:rsidR="001B2DB3" w:rsidRPr="001256B1">
        <w:rPr>
          <w:rFonts w:ascii="宋体" w:eastAsia="宋体" w:hAnsi="宋体" w:cs="宋体" w:hint="eastAsia"/>
          <w:color w:val="000000" w:themeColor="text1"/>
          <w:shd w:val="clear" w:color="auto" w:fill="FFFFFF"/>
          <w:vertAlign w:val="superscript"/>
          <w:lang w:val="en-US"/>
        </w:rPr>
        <w:instrText>‐</w:instrText>
      </w:r>
      <w:r w:rsidR="001B2DB3" w:rsidRPr="001256B1">
        <w:rPr>
          <w:rFonts w:ascii="Book Antiqua" w:hAnsi="Book Antiqua"/>
          <w:color w:val="000000" w:themeColor="text1"/>
          <w:shd w:val="clear" w:color="auto" w:fill="FFFFFF"/>
          <w:vertAlign w:val="superscript"/>
          <w:lang w:val="en-US"/>
        </w:rPr>
        <w:instrText>induced cell death in MCF</w:instrText>
      </w:r>
      <w:r w:rsidR="001B2DB3" w:rsidRPr="001256B1">
        <w:rPr>
          <w:rFonts w:ascii="宋体" w:eastAsia="宋体" w:hAnsi="宋体" w:cs="宋体" w:hint="eastAsia"/>
          <w:color w:val="000000" w:themeColor="text1"/>
          <w:shd w:val="clear" w:color="auto" w:fill="FFFFFF"/>
          <w:vertAlign w:val="superscript"/>
          <w:lang w:val="en-US"/>
        </w:rPr>
        <w:instrText>‐</w:instrText>
      </w:r>
      <w:r w:rsidR="001B2DB3" w:rsidRPr="001256B1">
        <w:rPr>
          <w:rFonts w:ascii="Book Antiqua" w:hAnsi="Book Antiqua"/>
          <w:color w:val="000000" w:themeColor="text1"/>
          <w:shd w:val="clear" w:color="auto" w:fill="FFFFFF"/>
          <w:vertAlign w:val="superscript"/>
          <w:lang w:val="en-US"/>
        </w:rPr>
        <w:instrText>7 breast cancer cells","type":"article-journal","volume":"98"},"uris":["http://www.mendeley.com/documents/?uuid=441a7425-1387-4ec5-a07f-e7428dae8630"]}],"mendeley":{"formattedCitation":"[22]","plainTextFormattedCitation":"[22]","previouslyFormattedCitation":"[22]"},"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004E1BA6" w:rsidRPr="001256B1">
        <w:rPr>
          <w:rFonts w:ascii="Book Antiqua" w:hAnsi="Book Antiqua"/>
          <w:noProof/>
          <w:color w:val="000000" w:themeColor="text1"/>
          <w:shd w:val="clear" w:color="auto" w:fill="FFFFFF"/>
          <w:vertAlign w:val="superscript"/>
          <w:lang w:val="en-US"/>
        </w:rPr>
        <w:t>[22]</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 xml:space="preserve">. Further, study </w:t>
      </w:r>
      <w:r w:rsidR="00AB48FA" w:rsidRPr="001256B1">
        <w:rPr>
          <w:rFonts w:ascii="Book Antiqua" w:hAnsi="Book Antiqua"/>
          <w:color w:val="000000" w:themeColor="text1"/>
          <w:shd w:val="clear" w:color="auto" w:fill="FFFFFF"/>
          <w:lang w:val="en-US"/>
        </w:rPr>
        <w:t xml:space="preserve">in </w:t>
      </w:r>
      <w:r w:rsidRPr="001256B1">
        <w:rPr>
          <w:rFonts w:ascii="Book Antiqua" w:hAnsi="Book Antiqua"/>
          <w:color w:val="000000" w:themeColor="text1"/>
          <w:shd w:val="clear" w:color="auto" w:fill="FFFFFF"/>
          <w:lang w:val="en-US"/>
        </w:rPr>
        <w:t xml:space="preserve">IRS-1-deficient mice have shown that reduced expression of IRS-1 increases apoptosis of crypt stem or progenitor cells and </w:t>
      </w:r>
      <w:r w:rsidRPr="001256B1">
        <w:rPr>
          <w:rFonts w:ascii="Book Antiqua" w:hAnsi="Book Antiqua"/>
          <w:color w:val="000000" w:themeColor="text1"/>
          <w:shd w:val="clear" w:color="auto" w:fill="FFFFFF"/>
          <w:lang w:val="en-US"/>
        </w:rPr>
        <w:lastRenderedPageBreak/>
        <w:t>protects against intestinal tumors development</w:t>
      </w:r>
      <w:r w:rsidRPr="001256B1">
        <w:rPr>
          <w:rFonts w:ascii="Book Antiqua" w:hAnsi="Book Antiqua"/>
          <w:color w:val="000000" w:themeColor="text1"/>
          <w:shd w:val="clear" w:color="auto" w:fill="FFFFFF"/>
          <w:vertAlign w:val="superscript"/>
          <w:lang w:val="en-US"/>
        </w:rPr>
        <w:fldChar w:fldCharType="begin" w:fldLock="1"/>
      </w:r>
      <w:r w:rsidRPr="001256B1">
        <w:rPr>
          <w:rFonts w:ascii="Book Antiqua" w:hAnsi="Book Antiqua"/>
          <w:color w:val="000000" w:themeColor="text1"/>
          <w:shd w:val="clear" w:color="auto" w:fill="FFFFFF"/>
          <w:vertAlign w:val="superscript"/>
          <w:lang w:val="en-US"/>
        </w:rPr>
        <w:instrText>ADDIN CSL_CITATION {"citationItems":[{"id":"ITEM-1","itemData":{"ISSN":"0013-7227","author":[{"dropping-particle":"","family":"Ramocki","given":"Nicole M","non-dropping-particle":"","parse-names":false,"suffix":""},{"dropping-particle":"","family":"Wilkins","given":"Heather R","non-dropping-particle":"","parse-names":false,"suffix":""},{"dropping-particle":"","family":"Magness","given":"Scott T","non-dropping-particle":"","parse-names":false,"suffix":""},{"dropping-particle":"","family":"Simmons","given":"James G","non-dropping-particle":"","parse-names":false,"suffix":""},{"dropping-particle":"","family":"Scull","given":"Brooks P","non-dropping-particle":"","parse-names":false,"suffix":""},{"dropping-particle":"","family":"Lee","given":"Ginny H","non-dropping-particle":"","parse-names":false,"suffix":""},{"dropping-particle":"","family":"McNaughton","given":"Kirk K","non-dropping-particle":"","parse-names":false,"suffix":""},{"dropping-particle":"","family":"Lund","given":"P Kay","non-dropping-particle":"","parse-names":false,"suffix":""}],"container-title":"Endocrinology","id":"ITEM-1","issue":"1","issued":{"date-parts":[["2008"]]},"page":"261-267","publisher":"Oxford University Press","title":"Insulin receptor substrate-1 deficiency promotes apoptosis in the putative intestinal crypt stem cell region, limits Apcmin/+ tumors, and regulates Sox9","type":"article-journal","volume":"149"},"uris":["http://www.mendeley.com/documents/?uuid=c9cce13c-ebe7-4cad-bc65-4433bcfbcaf4"]}],"mendeley":{"formattedCitation":"[3]","plainTextFormattedCitation":"[3]","previouslyFormattedCitation":"[3]"},"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Pr="001256B1">
        <w:rPr>
          <w:rFonts w:ascii="Book Antiqua" w:hAnsi="Book Antiqua"/>
          <w:noProof/>
          <w:color w:val="000000" w:themeColor="text1"/>
          <w:shd w:val="clear" w:color="auto" w:fill="FFFFFF"/>
          <w:vertAlign w:val="superscript"/>
          <w:lang w:val="en-US"/>
        </w:rPr>
        <w:t>[3]</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 xml:space="preserve">. However, other evidence points to proapoptotic </w:t>
      </w:r>
      <w:r w:rsidRPr="001256B1">
        <w:rPr>
          <w:rFonts w:ascii="Book Antiqua" w:hAnsi="Book Antiqua"/>
          <w:bCs/>
          <w:color w:val="000000" w:themeColor="text1"/>
          <w:lang w:val="en-US"/>
        </w:rPr>
        <w:t xml:space="preserve">IGF-1R/IRS-1 </w:t>
      </w:r>
      <w:r w:rsidRPr="001256B1">
        <w:rPr>
          <w:rFonts w:ascii="Book Antiqua" w:hAnsi="Book Antiqua"/>
          <w:color w:val="000000" w:themeColor="text1"/>
          <w:shd w:val="clear" w:color="auto" w:fill="FFFFFF"/>
          <w:lang w:val="en-US"/>
        </w:rPr>
        <w:t>functions</w:t>
      </w:r>
      <w:r w:rsidRPr="001256B1">
        <w:rPr>
          <w:rFonts w:ascii="Book Antiqua" w:hAnsi="Book Antiqua"/>
          <w:color w:val="000000" w:themeColor="text1"/>
          <w:shd w:val="clear" w:color="auto" w:fill="FFFFFF"/>
          <w:vertAlign w:val="superscript"/>
          <w:lang w:val="en-US"/>
        </w:rPr>
        <w:fldChar w:fldCharType="begin" w:fldLock="1"/>
      </w:r>
      <w:r w:rsidR="001B2DB3" w:rsidRPr="001256B1">
        <w:rPr>
          <w:rFonts w:ascii="Book Antiqua" w:hAnsi="Book Antiqua"/>
          <w:color w:val="000000" w:themeColor="text1"/>
          <w:shd w:val="clear" w:color="auto" w:fill="FFFFFF"/>
          <w:vertAlign w:val="superscript"/>
          <w:lang w:val="en-US"/>
        </w:rPr>
        <w:instrText>ADDIN CSL_CITATION {"citationItems":[{"id":"ITEM-1","itemData":{"ISSN":"0018-5043","author":[{"dropping-particle":"","family":"Raile","given":"K","non-dropping-particle":"","parse-names":false,"suffix":""},{"dropping-particle":"","family":"Hille","given":"R","non-dropping-particle":"","parse-names":false,"suffix":""},{"dropping-particle":"","family":"Laue","given":"S","non-dropping-particle":"","parse-names":false,"suffix":""},{"dropping-particle":"","family":"Schulz","given":"A","non-dropping-particle":"","parse-names":false,"suffix":""},{"dropping-particle":"","family":"Pfeifer","given":"G","non-dropping-particle":"","parse-names":false,"suffix":""},{"dropping-particle":"","family":"Horn","given":"F","non-dropping-particle":"","parse-names":false,"suffix":""},{"dropping-particle":"","family":"Kiess","given":"W","non-dropping-particle":"","parse-names":false,"suffix":""}],"container-title":"Hormone and metabolic research","id":"ITEM-1","issue":"11/12","issued":{"date-parts":[["2003"]]},"page":"786-793","publisher":"© Georg Thieme Verlag Stuttgart· New York","title":"Insulin-like growth factor I (IGF-I) stimulates proliferation but also increases caspase-3 activity, Annexin-V binding, and DNA-fragmentation in human MG63 osteosarcoma cells: co-activation of pro-and anti-apoptotic pathways by IGF-I","type":"article-journal","volume":"35"},"uris":["http://www.mendeley.com/documents/?uuid=923e964e-e55f-4cf5-b471-0f5b0fc69258"]}],"mendeley":{"formattedCitation":"[23]","plainTextFormattedCitation":"[23]","previouslyFormattedCitation":"[23]"},"properties":{"noteIndex":0},"schema":"https://github.com/citation-style-language/schema/raw/master/csl-citation.json"}</w:instrText>
      </w:r>
      <w:r w:rsidRPr="001256B1">
        <w:rPr>
          <w:rFonts w:ascii="Book Antiqua" w:hAnsi="Book Antiqua"/>
          <w:color w:val="000000" w:themeColor="text1"/>
          <w:shd w:val="clear" w:color="auto" w:fill="FFFFFF"/>
          <w:vertAlign w:val="superscript"/>
          <w:lang w:val="en-US"/>
        </w:rPr>
        <w:fldChar w:fldCharType="separate"/>
      </w:r>
      <w:r w:rsidR="004E1BA6" w:rsidRPr="001256B1">
        <w:rPr>
          <w:rFonts w:ascii="Book Antiqua" w:hAnsi="Book Antiqua"/>
          <w:noProof/>
          <w:color w:val="000000" w:themeColor="text1"/>
          <w:shd w:val="clear" w:color="auto" w:fill="FFFFFF"/>
          <w:vertAlign w:val="superscript"/>
          <w:lang w:val="en-US"/>
        </w:rPr>
        <w:t>[23]</w:t>
      </w:r>
      <w:r w:rsidRPr="001256B1">
        <w:rPr>
          <w:rFonts w:ascii="Book Antiqua" w:hAnsi="Book Antiqua"/>
          <w:color w:val="000000" w:themeColor="text1"/>
          <w:shd w:val="clear" w:color="auto" w:fill="FFFFFF"/>
          <w:vertAlign w:val="superscript"/>
          <w:lang w:val="en-US"/>
        </w:rPr>
        <w:fldChar w:fldCharType="end"/>
      </w:r>
      <w:r w:rsidRPr="001256B1">
        <w:rPr>
          <w:rFonts w:ascii="Book Antiqua" w:hAnsi="Book Antiqua"/>
          <w:color w:val="000000" w:themeColor="text1"/>
          <w:shd w:val="clear" w:color="auto" w:fill="FFFFFF"/>
          <w:lang w:val="en-US"/>
        </w:rPr>
        <w:t>.</w:t>
      </w:r>
    </w:p>
    <w:p w14:paraId="36717089" w14:textId="443DF055" w:rsidR="006057B3" w:rsidRPr="001256B1" w:rsidRDefault="008F5A7C"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1256B1">
        <w:rPr>
          <w:rFonts w:ascii="Book Antiqua" w:hAnsi="Book Antiqua"/>
          <w:color w:val="000000" w:themeColor="text1"/>
          <w:shd w:val="clear" w:color="auto" w:fill="FFFFFF"/>
          <w:lang w:val="en-US"/>
        </w:rPr>
        <w:t>Here, we assessed IRS-1 expression in primary CRC and analyzed associations between the expression of IRS-1 and apoptotic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and proliferation (Ki-67) markers in relation to clinicopathological variables in CRC.</w:t>
      </w:r>
    </w:p>
    <w:p w14:paraId="731B9DD3" w14:textId="77777777" w:rsidR="00E945E9" w:rsidRDefault="00E945E9" w:rsidP="00F55750">
      <w:pPr>
        <w:adjustRightInd w:val="0"/>
        <w:snapToGrid w:val="0"/>
        <w:spacing w:line="360" w:lineRule="auto"/>
        <w:jc w:val="both"/>
        <w:rPr>
          <w:rFonts w:ascii="Book Antiqua" w:hAnsi="Book Antiqua"/>
          <w:b/>
          <w:u w:val="single"/>
          <w:lang w:val="en-US"/>
        </w:rPr>
      </w:pPr>
    </w:p>
    <w:p w14:paraId="6D914BFC" w14:textId="77777777" w:rsidR="00E945E9" w:rsidRPr="001757B4" w:rsidRDefault="00E945E9" w:rsidP="00F55750">
      <w:pPr>
        <w:adjustRightInd w:val="0"/>
        <w:snapToGrid w:val="0"/>
        <w:spacing w:line="360" w:lineRule="auto"/>
        <w:rPr>
          <w:rFonts w:ascii="Book Antiqua" w:hAnsi="Book Antiqua"/>
          <w:b/>
          <w:u w:val="single"/>
        </w:rPr>
      </w:pPr>
      <w:r w:rsidRPr="001757B4">
        <w:rPr>
          <w:rFonts w:ascii="Book Antiqua" w:hAnsi="Book Antiqua"/>
          <w:b/>
          <w:u w:val="single"/>
        </w:rPr>
        <w:t>MATERIALS AND METHODS</w:t>
      </w:r>
    </w:p>
    <w:p w14:paraId="2AB8E804" w14:textId="77777777" w:rsidR="002F410A" w:rsidRPr="001256B1" w:rsidRDefault="002F410A" w:rsidP="00F55750">
      <w:pPr>
        <w:adjustRightInd w:val="0"/>
        <w:snapToGrid w:val="0"/>
        <w:spacing w:line="360" w:lineRule="auto"/>
        <w:jc w:val="both"/>
        <w:rPr>
          <w:rFonts w:ascii="Book Antiqua" w:hAnsi="Book Antiqua"/>
          <w:b/>
          <w:i/>
        </w:rPr>
      </w:pPr>
      <w:r w:rsidRPr="001256B1">
        <w:rPr>
          <w:rFonts w:ascii="Book Antiqua" w:hAnsi="Book Antiqua"/>
          <w:b/>
          <w:i/>
        </w:rPr>
        <w:t>Study design</w:t>
      </w:r>
    </w:p>
    <w:p w14:paraId="37E14B73" w14:textId="5C01234F" w:rsidR="00E777EA" w:rsidRPr="001256B1" w:rsidRDefault="008F5A7C" w:rsidP="00F55750">
      <w:pPr>
        <w:snapToGrid w:val="0"/>
        <w:spacing w:line="360" w:lineRule="auto"/>
        <w:jc w:val="both"/>
        <w:rPr>
          <w:rFonts w:ascii="Book Antiqua" w:hAnsi="Book Antiqua"/>
          <w:color w:val="000000" w:themeColor="text1"/>
          <w:shd w:val="clear" w:color="auto" w:fill="FFFFFF"/>
          <w:lang w:val="en-US"/>
        </w:rPr>
      </w:pPr>
      <w:r w:rsidRPr="001256B1">
        <w:rPr>
          <w:rFonts w:ascii="Book Antiqua" w:hAnsi="Book Antiqua"/>
          <w:color w:val="000000" w:themeColor="text1"/>
          <w:shd w:val="clear" w:color="auto" w:fill="FFFFFF"/>
          <w:lang w:val="en-US"/>
        </w:rPr>
        <w:t xml:space="preserve">To assess and compare immunohistochemical expression of IRS-1,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xml:space="preserve"> and Ki-67 tissue material obtained from 127 patients</w:t>
      </w:r>
      <w:r w:rsidR="00942F28" w:rsidRPr="001256B1">
        <w:rPr>
          <w:rFonts w:ascii="Book Antiqua" w:hAnsi="Book Antiqua"/>
          <w:color w:val="000000" w:themeColor="text1"/>
          <w:shd w:val="clear" w:color="auto" w:fill="FFFFFF"/>
          <w:lang w:val="en-US"/>
        </w:rPr>
        <w:t xml:space="preserve"> with pathologically confirmed diagnosis of</w:t>
      </w:r>
      <w:r w:rsidRPr="001256B1">
        <w:rPr>
          <w:rFonts w:ascii="Book Antiqua" w:hAnsi="Book Antiqua"/>
          <w:color w:val="000000" w:themeColor="text1"/>
          <w:shd w:val="clear" w:color="auto" w:fill="FFFFFF"/>
          <w:lang w:val="en-US"/>
        </w:rPr>
        <w:t xml:space="preserve"> CRC were analyzed. </w:t>
      </w:r>
      <w:r w:rsidR="00F03D3E" w:rsidRPr="001256B1">
        <w:rPr>
          <w:rFonts w:ascii="Book Antiqua" w:hAnsi="Book Antiqua"/>
          <w:color w:val="000000" w:themeColor="text1"/>
          <w:shd w:val="clear" w:color="auto" w:fill="FFFFFF"/>
          <w:lang w:val="en-US"/>
        </w:rPr>
        <w:t xml:space="preserve">In order to obtain a sample reflecting the general population, </w:t>
      </w:r>
      <w:r w:rsidR="009E1D6C" w:rsidRPr="001256B1">
        <w:rPr>
          <w:rFonts w:ascii="Book Antiqua" w:hAnsi="Book Antiqua"/>
          <w:color w:val="000000" w:themeColor="text1"/>
          <w:shd w:val="clear" w:color="auto" w:fill="FFFFFF"/>
          <w:lang w:val="en-US"/>
        </w:rPr>
        <w:t>the study was</w:t>
      </w:r>
      <w:r w:rsidR="00F03D3E" w:rsidRPr="001256B1">
        <w:rPr>
          <w:rFonts w:ascii="Book Antiqua" w:hAnsi="Book Antiqua"/>
          <w:color w:val="000000" w:themeColor="text1"/>
          <w:shd w:val="clear" w:color="auto" w:fill="FFFFFF"/>
          <w:lang w:val="en-US"/>
        </w:rPr>
        <w:t xml:space="preserve"> designed with wide range </w:t>
      </w:r>
      <w:r w:rsidR="009E1D6C" w:rsidRPr="001256B1">
        <w:rPr>
          <w:rFonts w:ascii="Book Antiqua" w:hAnsi="Book Antiqua"/>
          <w:color w:val="000000" w:themeColor="text1"/>
          <w:shd w:val="clear" w:color="auto" w:fill="FFFFFF"/>
          <w:lang w:val="en-US"/>
        </w:rPr>
        <w:t xml:space="preserve">of inclusion criteria. </w:t>
      </w:r>
      <w:r w:rsidR="00AB48FA" w:rsidRPr="001256B1">
        <w:rPr>
          <w:rFonts w:ascii="Book Antiqua" w:hAnsi="Book Antiqua"/>
          <w:color w:val="000000" w:themeColor="text1"/>
          <w:shd w:val="clear" w:color="auto" w:fill="FFFFFF"/>
          <w:lang w:val="en-US"/>
        </w:rPr>
        <w:t xml:space="preserve">The </w:t>
      </w:r>
      <w:r w:rsidR="00E777EA" w:rsidRPr="001256B1">
        <w:rPr>
          <w:rFonts w:ascii="Book Antiqua" w:hAnsi="Book Antiqua"/>
          <w:color w:val="000000" w:themeColor="text1"/>
          <w:shd w:val="clear" w:color="auto" w:fill="FFFFFF"/>
          <w:lang w:val="en-US"/>
        </w:rPr>
        <w:t xml:space="preserve">exclusion criteria included: </w:t>
      </w:r>
      <w:r w:rsidR="00E945E9">
        <w:rPr>
          <w:rFonts w:ascii="Book Antiqua" w:hAnsi="Book Antiqua"/>
          <w:color w:val="000000" w:themeColor="text1"/>
          <w:shd w:val="clear" w:color="auto" w:fill="FFFFFF"/>
          <w:lang w:val="en-US"/>
        </w:rPr>
        <w:t>(</w:t>
      </w:r>
      <w:r w:rsidR="00F03D3E" w:rsidRPr="001256B1">
        <w:rPr>
          <w:rFonts w:ascii="Book Antiqua" w:hAnsi="Book Antiqua"/>
          <w:color w:val="000000" w:themeColor="text1"/>
          <w:shd w:val="clear" w:color="auto" w:fill="FFFFFF"/>
          <w:lang w:val="en-US"/>
        </w:rPr>
        <w:t>1) age</w:t>
      </w:r>
      <w:r w:rsidR="006C76DC" w:rsidRPr="001256B1">
        <w:rPr>
          <w:rFonts w:ascii="Book Antiqua" w:hAnsi="Book Antiqua"/>
          <w:color w:val="000000" w:themeColor="text1"/>
          <w:shd w:val="clear" w:color="auto" w:fill="FFFFFF"/>
          <w:lang w:val="en-US"/>
        </w:rPr>
        <w:t xml:space="preserve"> &lt;</w:t>
      </w:r>
      <w:r w:rsidR="00C13E19" w:rsidRPr="001256B1">
        <w:rPr>
          <w:rFonts w:ascii="Book Antiqua" w:hAnsi="Book Antiqua"/>
          <w:color w:val="000000" w:themeColor="text1"/>
          <w:shd w:val="clear" w:color="auto" w:fill="FFFFFF"/>
          <w:lang w:val="en-US"/>
        </w:rPr>
        <w:t xml:space="preserve"> </w:t>
      </w:r>
      <w:r w:rsidR="00E945E9">
        <w:rPr>
          <w:rFonts w:ascii="Book Antiqua" w:hAnsi="Book Antiqua"/>
          <w:color w:val="000000" w:themeColor="text1"/>
          <w:shd w:val="clear" w:color="auto" w:fill="FFFFFF"/>
          <w:lang w:val="en-US"/>
        </w:rPr>
        <w:t>35 years;</w:t>
      </w:r>
      <w:r w:rsidR="00F03D3E" w:rsidRPr="001256B1">
        <w:rPr>
          <w:rFonts w:ascii="Book Antiqua" w:hAnsi="Book Antiqua"/>
          <w:color w:val="000000" w:themeColor="text1"/>
          <w:shd w:val="clear" w:color="auto" w:fill="FFFFFF"/>
          <w:lang w:val="en-US"/>
        </w:rPr>
        <w:t xml:space="preserve"> </w:t>
      </w:r>
      <w:r w:rsidR="00E945E9">
        <w:rPr>
          <w:rFonts w:ascii="Book Antiqua" w:hAnsi="Book Antiqua"/>
          <w:color w:val="000000" w:themeColor="text1"/>
          <w:shd w:val="clear" w:color="auto" w:fill="FFFFFF"/>
          <w:lang w:val="en-US"/>
        </w:rPr>
        <w:t>(</w:t>
      </w:r>
      <w:r w:rsidR="00F03D3E" w:rsidRPr="001256B1">
        <w:rPr>
          <w:rFonts w:ascii="Book Antiqua" w:hAnsi="Book Antiqua"/>
          <w:color w:val="000000" w:themeColor="text1"/>
          <w:shd w:val="clear" w:color="auto" w:fill="FFFFFF"/>
          <w:lang w:val="en-US"/>
        </w:rPr>
        <w:t>2) known genetic predisposition to the development of colon cancer</w:t>
      </w:r>
      <w:r w:rsidR="006C76DC" w:rsidRPr="001256B1">
        <w:rPr>
          <w:rFonts w:ascii="Book Antiqua" w:hAnsi="Book Antiqua"/>
          <w:color w:val="000000" w:themeColor="text1"/>
          <w:shd w:val="clear" w:color="auto" w:fill="FFFFFF"/>
          <w:lang w:val="en-US"/>
        </w:rPr>
        <w:t>. We analyzed material from patients who</w:t>
      </w:r>
      <w:r w:rsidR="00F03D3E" w:rsidRPr="001256B1">
        <w:rPr>
          <w:rFonts w:ascii="Book Antiqua" w:hAnsi="Book Antiqua"/>
          <w:color w:val="000000" w:themeColor="text1"/>
          <w:shd w:val="clear" w:color="auto" w:fill="FFFFFF"/>
          <w:lang w:val="en-US"/>
        </w:rPr>
        <w:t xml:space="preserve"> </w:t>
      </w:r>
      <w:r w:rsidR="00942F28" w:rsidRPr="001256B1">
        <w:rPr>
          <w:rFonts w:ascii="Book Antiqua" w:hAnsi="Book Antiqua"/>
          <w:color w:val="000000" w:themeColor="text1"/>
          <w:shd w:val="clear" w:color="auto" w:fill="FFFFFF"/>
          <w:lang w:val="en-US"/>
        </w:rPr>
        <w:t xml:space="preserve">underwent radical surgery with lymph node dissection. </w:t>
      </w:r>
    </w:p>
    <w:p w14:paraId="6C92580D" w14:textId="5B15CFFD" w:rsidR="008F5A7C" w:rsidRPr="001256B1" w:rsidRDefault="00942F28"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1256B1">
        <w:rPr>
          <w:rFonts w:ascii="Book Antiqua" w:hAnsi="Book Antiqua"/>
          <w:color w:val="000000" w:themeColor="text1"/>
          <w:shd w:val="clear" w:color="auto" w:fill="FFFFFF"/>
          <w:lang w:val="en-US"/>
        </w:rPr>
        <w:t>Small biopsy specimens were excluded from the study.</w:t>
      </w:r>
      <w:r w:rsidR="00B84A6A">
        <w:rPr>
          <w:rFonts w:ascii="Book Antiqua" w:hAnsi="Book Antiqua"/>
          <w:color w:val="000000" w:themeColor="text1"/>
          <w:shd w:val="clear" w:color="auto" w:fill="FFFFFF"/>
          <w:lang w:val="en-US"/>
        </w:rPr>
        <w:t xml:space="preserve"> </w:t>
      </w:r>
      <w:r w:rsidR="008F5A7C" w:rsidRPr="001256B1">
        <w:rPr>
          <w:rFonts w:ascii="Book Antiqua" w:hAnsi="Book Antiqua"/>
          <w:color w:val="000000" w:themeColor="text1"/>
          <w:shd w:val="clear" w:color="auto" w:fill="FFFFFF"/>
          <w:lang w:val="en-US"/>
        </w:rPr>
        <w:t>This study protocol was reviewed and approved by the Local Ethical Committee at the Medical University of Bialystok (Resolution No.</w:t>
      </w:r>
      <w:r w:rsidR="00B84A6A">
        <w:rPr>
          <w:rFonts w:ascii="Book Antiqua" w:hAnsi="Book Antiqua"/>
          <w:color w:val="000000" w:themeColor="text1"/>
          <w:shd w:val="clear" w:color="auto" w:fill="FFFFFF"/>
          <w:lang w:val="en-US"/>
        </w:rPr>
        <w:t xml:space="preserve">: </w:t>
      </w:r>
      <w:r w:rsidR="00F05A97" w:rsidRPr="001256B1">
        <w:rPr>
          <w:rFonts w:ascii="Book Antiqua" w:hAnsi="Book Antiqua"/>
          <w:lang w:val="en-US"/>
        </w:rPr>
        <w:t>APK.002.105.2020</w:t>
      </w:r>
      <w:r w:rsidR="008F5A7C" w:rsidRPr="001256B1">
        <w:rPr>
          <w:rFonts w:ascii="Book Antiqua" w:hAnsi="Book Antiqua"/>
          <w:color w:val="000000" w:themeColor="text1"/>
          <w:shd w:val="clear" w:color="auto" w:fill="FFFFFF"/>
          <w:lang w:val="en-US"/>
        </w:rPr>
        <w:t>).</w:t>
      </w:r>
    </w:p>
    <w:p w14:paraId="4548D426" w14:textId="77777777" w:rsidR="008F5A7C" w:rsidRPr="001256B1" w:rsidRDefault="008F5A7C" w:rsidP="00F55750">
      <w:pPr>
        <w:snapToGrid w:val="0"/>
        <w:spacing w:line="360" w:lineRule="auto"/>
        <w:jc w:val="both"/>
        <w:rPr>
          <w:rFonts w:ascii="Book Antiqua" w:hAnsi="Book Antiqua"/>
          <w:b/>
          <w:color w:val="000000" w:themeColor="text1"/>
          <w:shd w:val="clear" w:color="auto" w:fill="FFFFFF"/>
          <w:lang w:val="en-US"/>
        </w:rPr>
      </w:pPr>
    </w:p>
    <w:p w14:paraId="15FF7F2A" w14:textId="3D69B35C" w:rsidR="008F5A7C" w:rsidRPr="001256B1" w:rsidRDefault="008F5A7C" w:rsidP="00F55750">
      <w:pPr>
        <w:snapToGrid w:val="0"/>
        <w:spacing w:line="360" w:lineRule="auto"/>
        <w:jc w:val="both"/>
        <w:rPr>
          <w:rFonts w:ascii="Book Antiqua" w:hAnsi="Book Antiqua"/>
          <w:b/>
          <w:i/>
          <w:iCs/>
          <w:color w:val="000000" w:themeColor="text1"/>
          <w:shd w:val="clear" w:color="auto" w:fill="FFFFFF"/>
          <w:lang w:val="en-US"/>
        </w:rPr>
      </w:pPr>
      <w:r w:rsidRPr="001256B1">
        <w:rPr>
          <w:rFonts w:ascii="Book Antiqua" w:hAnsi="Book Antiqua"/>
          <w:b/>
          <w:i/>
          <w:iCs/>
          <w:color w:val="000000" w:themeColor="text1"/>
          <w:shd w:val="clear" w:color="auto" w:fill="FFFFFF"/>
          <w:lang w:val="en-US"/>
        </w:rPr>
        <w:t xml:space="preserve">Tissue </w:t>
      </w:r>
      <w:r w:rsidR="00E945E9" w:rsidRPr="001256B1">
        <w:rPr>
          <w:rFonts w:ascii="Book Antiqua" w:hAnsi="Book Antiqua"/>
          <w:b/>
          <w:i/>
          <w:iCs/>
          <w:color w:val="000000" w:themeColor="text1"/>
          <w:shd w:val="clear" w:color="auto" w:fill="FFFFFF"/>
          <w:lang w:val="en-US"/>
        </w:rPr>
        <w:t>samples</w:t>
      </w:r>
    </w:p>
    <w:p w14:paraId="05BE1B12" w14:textId="3ACD2040" w:rsidR="008F5A7C" w:rsidRPr="001256B1" w:rsidRDefault="008F5A7C" w:rsidP="00F55750">
      <w:pPr>
        <w:snapToGrid w:val="0"/>
        <w:spacing w:line="360" w:lineRule="auto"/>
        <w:jc w:val="both"/>
        <w:rPr>
          <w:rFonts w:ascii="Book Antiqua" w:hAnsi="Book Antiqua"/>
          <w:color w:val="000000" w:themeColor="text1"/>
          <w:shd w:val="clear" w:color="auto" w:fill="FFFFFF"/>
          <w:lang w:val="en-US"/>
        </w:rPr>
      </w:pPr>
      <w:r w:rsidRPr="001256B1">
        <w:rPr>
          <w:rFonts w:ascii="Book Antiqua" w:hAnsi="Book Antiqua"/>
          <w:color w:val="000000" w:themeColor="text1"/>
          <w:shd w:val="clear" w:color="auto" w:fill="FFFFFF"/>
          <w:lang w:val="en-US"/>
        </w:rPr>
        <w:t xml:space="preserve">The postoperative material was fixed in 10% buffered formalin and paraffin-embedded. From paraffin blocks, 5 </w:t>
      </w:r>
      <w:r w:rsidRPr="001256B1">
        <w:rPr>
          <w:rFonts w:ascii="Book Antiqua" w:hAnsi="Book Antiqua"/>
          <w:color w:val="000000" w:themeColor="text1"/>
          <w:shd w:val="clear" w:color="auto" w:fill="FFFFFF"/>
          <w:lang w:val="en-US"/>
        </w:rPr>
        <w:sym w:font="Symbol" w:char="F06D"/>
      </w:r>
      <w:r w:rsidRPr="001256B1">
        <w:rPr>
          <w:rFonts w:ascii="Book Antiqua" w:hAnsi="Book Antiqua"/>
          <w:color w:val="000000" w:themeColor="text1"/>
          <w:shd w:val="clear" w:color="auto" w:fill="FFFFFF"/>
          <w:lang w:val="en-US"/>
        </w:rPr>
        <w:t>m sections were cut, deparaffinized, rehydrated and stained with hematoxylin-eosin. Next, routine histopathological analysis of slides was performed in accordance with recommendation of World Health Organization.</w:t>
      </w:r>
    </w:p>
    <w:p w14:paraId="6921267A" w14:textId="0EBFC32C" w:rsidR="008F5A7C" w:rsidRPr="001256B1" w:rsidRDefault="008F5A7C" w:rsidP="00F55750">
      <w:pPr>
        <w:shd w:val="clear" w:color="auto" w:fill="FFFFFF"/>
        <w:snapToGrid w:val="0"/>
        <w:spacing w:line="360" w:lineRule="auto"/>
        <w:ind w:firstLineChars="100" w:firstLine="240"/>
        <w:jc w:val="both"/>
        <w:rPr>
          <w:rFonts w:ascii="Book Antiqua" w:hAnsi="Book Antiqua"/>
          <w:bCs/>
          <w:color w:val="000000" w:themeColor="text1"/>
          <w:lang w:val="en-US"/>
        </w:rPr>
      </w:pPr>
      <w:r w:rsidRPr="001256B1">
        <w:rPr>
          <w:rFonts w:ascii="Book Antiqua" w:eastAsia="MS PMincho" w:hAnsi="Book Antiqua"/>
          <w:bCs/>
          <w:color w:val="000000" w:themeColor="text1"/>
          <w:kern w:val="2"/>
          <w:lang w:val="en-US" w:eastAsia="ja-JP"/>
        </w:rPr>
        <w:t xml:space="preserve">Among 127 tumors, 57 had primary localization in rectum and 69 in colon. Histopathological analysis </w:t>
      </w:r>
      <w:r w:rsidRPr="001256B1">
        <w:rPr>
          <w:rFonts w:ascii="Book Antiqua" w:hAnsi="Book Antiqua"/>
          <w:bCs/>
          <w:color w:val="000000" w:themeColor="text1"/>
          <w:lang w:val="en-US"/>
        </w:rPr>
        <w:t>revealed 104 of adenocarcinoma cases and 23 of adenocarcinoma with mucosal component cases. Tumors were classified, according to their extramural depth of invasion, into two categories: pT1</w:t>
      </w:r>
      <w:r w:rsidR="00230F4F"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230F4F"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pT2 for tumors assessed as pT1 or pT2, which counted 11 cases and pT3</w:t>
      </w:r>
      <w:r w:rsidR="00F01A73"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F01A73"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pT4 for </w:t>
      </w:r>
      <w:r w:rsidRPr="001256B1">
        <w:rPr>
          <w:rFonts w:ascii="Book Antiqua" w:hAnsi="Book Antiqua"/>
          <w:bCs/>
          <w:color w:val="000000" w:themeColor="text1"/>
          <w:lang w:val="en-US"/>
        </w:rPr>
        <w:lastRenderedPageBreak/>
        <w:t>tumors assessed as pT3 or pT4, which counted 116 cases. Furthermore, in agreement with guidelines of World Health Organization, 69 tumors were classified as moderately differentiated (G2) and 87 tumors were classified as poorly differentiated (G3). Presence of metastases to regional lymph nodes was observed in 67 cases.</w:t>
      </w:r>
    </w:p>
    <w:p w14:paraId="7B9814C6" w14:textId="77777777" w:rsidR="00C3356E" w:rsidRPr="001256B1" w:rsidRDefault="00C3356E" w:rsidP="00F55750">
      <w:pPr>
        <w:snapToGrid w:val="0"/>
        <w:spacing w:line="360" w:lineRule="auto"/>
        <w:jc w:val="both"/>
        <w:rPr>
          <w:rFonts w:ascii="Book Antiqua" w:hAnsi="Book Antiqua"/>
          <w:color w:val="000000" w:themeColor="text1"/>
          <w:shd w:val="clear" w:color="auto" w:fill="FFFFFF"/>
          <w:lang w:val="en-US"/>
        </w:rPr>
      </w:pPr>
    </w:p>
    <w:p w14:paraId="193F78A2" w14:textId="49EC52BA" w:rsidR="009F558B" w:rsidRPr="001256B1" w:rsidRDefault="008F5A7C" w:rsidP="00F55750">
      <w:pPr>
        <w:snapToGrid w:val="0"/>
        <w:spacing w:line="360" w:lineRule="auto"/>
        <w:jc w:val="both"/>
        <w:rPr>
          <w:rFonts w:ascii="Book Antiqua" w:hAnsi="Book Antiqua"/>
          <w:b/>
          <w:i/>
          <w:iCs/>
          <w:color w:val="000000" w:themeColor="text1"/>
          <w:shd w:val="clear" w:color="auto" w:fill="FFFFFF"/>
          <w:lang w:val="en-US"/>
        </w:rPr>
      </w:pPr>
      <w:r w:rsidRPr="001256B1">
        <w:rPr>
          <w:rFonts w:ascii="Book Antiqua" w:hAnsi="Book Antiqua"/>
          <w:b/>
          <w:i/>
          <w:iCs/>
          <w:color w:val="000000" w:themeColor="text1"/>
          <w:shd w:val="clear" w:color="auto" w:fill="FFFFFF"/>
          <w:lang w:val="en-US"/>
        </w:rPr>
        <w:t xml:space="preserve">Immunohistochemical </w:t>
      </w:r>
      <w:r w:rsidR="00E945E9" w:rsidRPr="001256B1">
        <w:rPr>
          <w:rFonts w:ascii="Book Antiqua" w:hAnsi="Book Antiqua"/>
          <w:b/>
          <w:i/>
          <w:iCs/>
          <w:color w:val="000000" w:themeColor="text1"/>
          <w:shd w:val="clear" w:color="auto" w:fill="FFFFFF"/>
          <w:lang w:val="en-US"/>
        </w:rPr>
        <w:t>staining</w:t>
      </w:r>
    </w:p>
    <w:p w14:paraId="4348059A" w14:textId="33FE7549" w:rsidR="008F5A7C" w:rsidRPr="001256B1" w:rsidRDefault="008F5A7C" w:rsidP="00F55750">
      <w:pPr>
        <w:snapToGrid w:val="0"/>
        <w:spacing w:line="360" w:lineRule="auto"/>
        <w:jc w:val="both"/>
        <w:rPr>
          <w:rFonts w:ascii="Book Antiqua" w:hAnsi="Book Antiqua"/>
          <w:b/>
          <w:i/>
          <w:iCs/>
          <w:color w:val="000000" w:themeColor="text1"/>
          <w:shd w:val="clear" w:color="auto" w:fill="FFFFFF"/>
          <w:lang w:val="en-US"/>
        </w:rPr>
      </w:pPr>
      <w:r w:rsidRPr="001256B1">
        <w:rPr>
          <w:rFonts w:ascii="Book Antiqua" w:hAnsi="Book Antiqua"/>
          <w:color w:val="000000" w:themeColor="text1"/>
          <w:shd w:val="clear" w:color="auto" w:fill="FFFFFF"/>
          <w:lang w:val="en-US"/>
        </w:rPr>
        <w:t>Immunohistochemical assays were performed on</w:t>
      </w:r>
      <w:r w:rsidRPr="001256B1">
        <w:rPr>
          <w:rFonts w:ascii="Book Antiqua" w:hAnsi="Book Antiqua"/>
          <w:b/>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 xml:space="preserve">formalin-fixed, paraffin-embedded tissue samples using primary antibodies against IRS-1,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xml:space="preserve">, Ki-67 (Santa Cruz Biotechnology </w:t>
      </w:r>
      <w:r w:rsidR="00950D77" w:rsidRPr="001256B1">
        <w:rPr>
          <w:rFonts w:ascii="Book Antiqua" w:hAnsi="Book Antiqua"/>
          <w:color w:val="000000" w:themeColor="text1"/>
          <w:shd w:val="clear" w:color="auto" w:fill="FFFFFF"/>
          <w:lang w:val="en-US"/>
        </w:rPr>
        <w:t>Incorporated</w:t>
      </w:r>
      <w:r w:rsidRPr="001256B1">
        <w:rPr>
          <w:rFonts w:ascii="Book Antiqua" w:hAnsi="Book Antiqua"/>
          <w:color w:val="000000" w:themeColor="text1"/>
          <w:shd w:val="clear" w:color="auto" w:fill="FFFFFF"/>
          <w:lang w:val="en-US"/>
        </w:rPr>
        <w:t xml:space="preserve">, Santa Cruz, California, </w:t>
      </w:r>
      <w:r w:rsidR="00E26D7D" w:rsidRPr="001256B1">
        <w:rPr>
          <w:rFonts w:ascii="Book Antiqua" w:hAnsi="Book Antiqua"/>
          <w:color w:val="000000" w:themeColor="text1"/>
          <w:shd w:val="clear" w:color="auto" w:fill="FFFFFF"/>
          <w:lang w:val="en-US"/>
        </w:rPr>
        <w:t>United States</w:t>
      </w:r>
      <w:r w:rsidRPr="001256B1">
        <w:rPr>
          <w:rFonts w:ascii="Book Antiqua" w:hAnsi="Book Antiqua"/>
          <w:color w:val="000000" w:themeColor="text1"/>
          <w:shd w:val="clear" w:color="auto" w:fill="FFFFFF"/>
          <w:lang w:val="en-US"/>
        </w:rPr>
        <w:t>).</w:t>
      </w:r>
      <w:r w:rsidR="00B6789D">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To improve antigen expression, we applied pretreatment using Heat-induced Epitope Retrieval for 15 min in microwave</w:t>
      </w:r>
      <w:r w:rsidR="00E374EF" w:rsidRPr="001256B1">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 xml:space="preserve">Next, the sections were incubated with blocking </w:t>
      </w:r>
      <w:r w:rsidR="00084499" w:rsidRPr="001256B1">
        <w:rPr>
          <w:rFonts w:ascii="Book Antiqua" w:hAnsi="Book Antiqua"/>
          <w:color w:val="000000" w:themeColor="text1"/>
          <w:shd w:val="clear" w:color="auto" w:fill="FFFFFF"/>
          <w:lang w:val="en-US"/>
        </w:rPr>
        <w:t>serum for</w:t>
      </w:r>
      <w:r w:rsidRPr="001256B1">
        <w:rPr>
          <w:rFonts w:ascii="Book Antiqua" w:hAnsi="Book Antiqua"/>
          <w:color w:val="000000" w:themeColor="text1"/>
          <w:shd w:val="clear" w:color="auto" w:fill="FFFFFF"/>
          <w:lang w:val="en-US"/>
        </w:rPr>
        <w:t xml:space="preserve"> 10 min to minimize false-positive staining. Tissues with confirmed immunohistochemical expression of IRS-1,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xml:space="preserve">, Ki-67 served as positive control, while in negative control primary antibodies were substituted with phosphate-buffered saline. To visualize the target-antibody interaction, </w:t>
      </w:r>
      <w:proofErr w:type="spellStart"/>
      <w:r w:rsidRPr="001256B1">
        <w:rPr>
          <w:rFonts w:ascii="Book Antiqua" w:hAnsi="Book Antiqua"/>
          <w:color w:val="000000" w:themeColor="text1"/>
          <w:shd w:val="clear" w:color="auto" w:fill="FFFFFF"/>
          <w:lang w:val="en-US"/>
        </w:rPr>
        <w:t>Dako</w:t>
      </w:r>
      <w:proofErr w:type="spellEnd"/>
      <w:r w:rsidRPr="001256B1">
        <w:rPr>
          <w:rFonts w:ascii="Book Antiqua" w:hAnsi="Book Antiqua"/>
          <w:color w:val="000000" w:themeColor="text1"/>
          <w:shd w:val="clear" w:color="auto" w:fill="FFFFFF"/>
          <w:lang w:val="en-US"/>
        </w:rPr>
        <w:t xml:space="preserve"> Envision kit (</w:t>
      </w:r>
      <w:proofErr w:type="spellStart"/>
      <w:r w:rsidRPr="001256B1">
        <w:rPr>
          <w:rFonts w:ascii="Book Antiqua" w:hAnsi="Book Antiqua"/>
          <w:color w:val="000000" w:themeColor="text1"/>
          <w:shd w:val="clear" w:color="auto" w:fill="FFFFFF"/>
          <w:lang w:val="en-US"/>
        </w:rPr>
        <w:t>Dako</w:t>
      </w:r>
      <w:proofErr w:type="spellEnd"/>
      <w:r w:rsidRPr="001256B1">
        <w:rPr>
          <w:rFonts w:ascii="Book Antiqua" w:hAnsi="Book Antiqua"/>
          <w:color w:val="222222"/>
          <w:shd w:val="clear" w:color="auto" w:fill="FFFFFF"/>
          <w:lang w:val="en-US"/>
        </w:rPr>
        <w:t xml:space="preserve">, </w:t>
      </w:r>
      <w:r w:rsidRPr="001256B1">
        <w:rPr>
          <w:rFonts w:ascii="Book Antiqua" w:hAnsi="Book Antiqua"/>
          <w:color w:val="000000" w:themeColor="text1"/>
          <w:shd w:val="clear" w:color="auto" w:fill="FFFFFF"/>
          <w:lang w:val="en-US"/>
        </w:rPr>
        <w:t xml:space="preserve">Carpinteria, CA, </w:t>
      </w:r>
      <w:r w:rsidR="005248FB" w:rsidRPr="001256B1">
        <w:rPr>
          <w:rFonts w:ascii="Book Antiqua" w:hAnsi="Book Antiqua"/>
          <w:color w:val="000000" w:themeColor="text1"/>
          <w:shd w:val="clear" w:color="auto" w:fill="FFFFFF"/>
          <w:lang w:val="en-US"/>
        </w:rPr>
        <w:t>United States</w:t>
      </w:r>
      <w:r w:rsidRPr="001256B1">
        <w:rPr>
          <w:rFonts w:ascii="Book Antiqua" w:hAnsi="Book Antiqua"/>
          <w:color w:val="000000" w:themeColor="text1"/>
          <w:shd w:val="clear" w:color="auto" w:fill="FFFFFF"/>
          <w:lang w:val="en-US"/>
        </w:rPr>
        <w:t xml:space="preserve">) was used and 3,3’-Diaminobenzidine (DAB-kit, </w:t>
      </w:r>
      <w:proofErr w:type="spellStart"/>
      <w:r w:rsidRPr="001256B1">
        <w:rPr>
          <w:rFonts w:ascii="Book Antiqua" w:hAnsi="Book Antiqua"/>
          <w:color w:val="000000" w:themeColor="text1"/>
          <w:shd w:val="clear" w:color="auto" w:fill="FFFFFF"/>
          <w:lang w:val="en-US"/>
        </w:rPr>
        <w:t>Dako</w:t>
      </w:r>
      <w:proofErr w:type="spellEnd"/>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Cytomation</w:t>
      </w:r>
      <w:proofErr w:type="spellEnd"/>
      <w:r w:rsidRPr="001256B1">
        <w:rPr>
          <w:rFonts w:ascii="Book Antiqua" w:hAnsi="Book Antiqua"/>
          <w:color w:val="000000" w:themeColor="text1"/>
          <w:shd w:val="clear" w:color="auto" w:fill="FFFFFF"/>
          <w:lang w:val="en-US"/>
        </w:rPr>
        <w:t>, Denmark) served as a chromogen.</w:t>
      </w:r>
    </w:p>
    <w:p w14:paraId="3D0BAB74" w14:textId="11A14243" w:rsidR="008F5A7C" w:rsidRPr="001256B1" w:rsidRDefault="008F5A7C"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1256B1">
        <w:rPr>
          <w:rFonts w:ascii="Book Antiqua" w:hAnsi="Book Antiqua"/>
          <w:color w:val="000000" w:themeColor="text1"/>
          <w:shd w:val="clear" w:color="auto" w:fill="FFFFFF"/>
          <w:lang w:val="en-US"/>
        </w:rPr>
        <w:t>Evaluation of biomarker expression was performed by two independent pathologists in 10 representative</w:t>
      </w:r>
      <w:r w:rsidR="00286A34" w:rsidRPr="001256B1">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 xml:space="preserve">fields in each </w:t>
      </w:r>
      <w:r w:rsidR="00F05A97" w:rsidRPr="001256B1">
        <w:rPr>
          <w:rFonts w:ascii="Book Antiqua" w:hAnsi="Book Antiqua"/>
          <w:color w:val="000000" w:themeColor="text1"/>
          <w:shd w:val="clear" w:color="auto" w:fill="FFFFFF"/>
          <w:lang w:val="en-US"/>
        </w:rPr>
        <w:t>immunohistochemistry</w:t>
      </w:r>
      <w:r w:rsidRPr="001256B1">
        <w:rPr>
          <w:rFonts w:ascii="Book Antiqua" w:hAnsi="Book Antiqua"/>
          <w:color w:val="000000" w:themeColor="text1"/>
          <w:shd w:val="clear" w:color="auto" w:fill="FFFFFF"/>
          <w:lang w:val="en-US"/>
        </w:rPr>
        <w:t xml:space="preserve"> slide (magnification of 200</w:t>
      </w:r>
      <w:r w:rsidR="00CE0913" w:rsidRPr="001256B1">
        <w:rPr>
          <w:rFonts w:ascii="Book Antiqua" w:hAnsi="Book Antiqua"/>
          <w:color w:val="000000" w:themeColor="text1"/>
          <w:shd w:val="clear" w:color="auto" w:fill="FFFFFF"/>
          <w:lang w:val="en-US"/>
        </w:rPr>
        <w:t xml:space="preserve"> </w:t>
      </w:r>
      <w:r w:rsidR="00E945E9">
        <w:rPr>
          <w:rFonts w:ascii="Book Antiqua" w:hAnsi="Book Antiqua"/>
          <w:color w:val="000000" w:themeColor="text1"/>
          <w:shd w:val="clear" w:color="auto" w:fill="FFFFFF"/>
          <w:lang w:val="en-US"/>
        </w:rPr>
        <w:t>×</w:t>
      </w:r>
      <w:r w:rsidRPr="001256B1">
        <w:rPr>
          <w:rFonts w:ascii="Book Antiqua" w:hAnsi="Book Antiqua"/>
          <w:color w:val="000000" w:themeColor="text1"/>
          <w:shd w:val="clear" w:color="auto" w:fill="FFFFFF"/>
          <w:lang w:val="en-US"/>
        </w:rPr>
        <w:t>).</w:t>
      </w:r>
      <w:r w:rsidR="00484DE3" w:rsidRPr="001256B1">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 xml:space="preserve">The percentage of positive cells was scored as follows: 0, less than 10% immunoreactive cells in tumor; </w:t>
      </w:r>
      <w:r w:rsidR="00E945E9">
        <w:rPr>
          <w:rFonts w:ascii="Book Antiqua" w:hAnsi="Book Antiqua"/>
          <w:color w:val="000000" w:themeColor="text1"/>
          <w:shd w:val="clear" w:color="auto" w:fill="FFFFFF"/>
          <w:lang w:val="en-US"/>
        </w:rPr>
        <w:t>(</w:t>
      </w:r>
      <w:r w:rsidRPr="001256B1">
        <w:rPr>
          <w:rFonts w:ascii="Book Antiqua" w:hAnsi="Book Antiqua"/>
          <w:color w:val="000000" w:themeColor="text1"/>
          <w:shd w:val="clear" w:color="auto" w:fill="FFFFFF"/>
          <w:lang w:val="en-US"/>
        </w:rPr>
        <w:t>1</w:t>
      </w:r>
      <w:r w:rsidR="00E945E9">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10</w:t>
      </w:r>
      <w:r w:rsidR="00E945E9">
        <w:rPr>
          <w:rFonts w:ascii="Book Antiqua" w:hAnsi="Book Antiqua"/>
          <w:color w:val="000000" w:themeColor="text1"/>
          <w:shd w:val="clear" w:color="auto" w:fill="FFFFFF"/>
          <w:lang w:val="en-US"/>
        </w:rPr>
        <w:t>%</w:t>
      </w:r>
      <w:r w:rsidRPr="001256B1">
        <w:rPr>
          <w:rFonts w:ascii="Book Antiqua" w:hAnsi="Book Antiqua"/>
          <w:color w:val="000000" w:themeColor="text1"/>
          <w:shd w:val="clear" w:color="auto" w:fill="FFFFFF"/>
          <w:lang w:val="en-US"/>
        </w:rPr>
        <w:t xml:space="preserve">-50% immunoreactive malignant cells in tumor; and </w:t>
      </w:r>
      <w:r w:rsidR="00E945E9">
        <w:rPr>
          <w:rFonts w:ascii="Book Antiqua" w:hAnsi="Book Antiqua"/>
          <w:color w:val="000000" w:themeColor="text1"/>
          <w:shd w:val="clear" w:color="auto" w:fill="FFFFFF"/>
          <w:lang w:val="en-US"/>
        </w:rPr>
        <w:t>(</w:t>
      </w:r>
      <w:r w:rsidRPr="001256B1">
        <w:rPr>
          <w:rFonts w:ascii="Book Antiqua" w:hAnsi="Book Antiqua"/>
          <w:color w:val="000000" w:themeColor="text1"/>
          <w:shd w:val="clear" w:color="auto" w:fill="FFFFFF"/>
          <w:lang w:val="en-US"/>
        </w:rPr>
        <w:t>2</w:t>
      </w:r>
      <w:r w:rsidR="00E945E9">
        <w:rPr>
          <w:rFonts w:ascii="Book Antiqua" w:hAnsi="Book Antiqua"/>
          <w:color w:val="000000" w:themeColor="text1"/>
          <w:shd w:val="clear" w:color="auto" w:fill="FFFFFF"/>
          <w:lang w:val="en-US"/>
        </w:rPr>
        <w:t xml:space="preserve">) </w:t>
      </w:r>
      <w:r w:rsidR="00E945E9" w:rsidRPr="001256B1">
        <w:rPr>
          <w:rFonts w:ascii="Book Antiqua" w:hAnsi="Book Antiqua"/>
          <w:color w:val="000000" w:themeColor="text1"/>
          <w:shd w:val="clear" w:color="auto" w:fill="FFFFFF"/>
          <w:lang w:val="en-US"/>
        </w:rPr>
        <w:t xml:space="preserve">more </w:t>
      </w:r>
      <w:r w:rsidRPr="001256B1">
        <w:rPr>
          <w:rFonts w:ascii="Book Antiqua" w:hAnsi="Book Antiqua"/>
          <w:color w:val="000000" w:themeColor="text1"/>
          <w:shd w:val="clear" w:color="auto" w:fill="FFFFFF"/>
          <w:lang w:val="en-US"/>
        </w:rPr>
        <w:t>than 50% immunoreactive neoplastic cells in tumor.</w:t>
      </w:r>
    </w:p>
    <w:p w14:paraId="03BD5810" w14:textId="77777777" w:rsidR="008F5A7C" w:rsidRPr="001256B1" w:rsidRDefault="008F5A7C" w:rsidP="00F55750">
      <w:pPr>
        <w:snapToGrid w:val="0"/>
        <w:spacing w:line="360" w:lineRule="auto"/>
        <w:jc w:val="both"/>
        <w:rPr>
          <w:rFonts w:ascii="Book Antiqua" w:hAnsi="Book Antiqua"/>
          <w:color w:val="000000" w:themeColor="text1"/>
          <w:shd w:val="clear" w:color="auto" w:fill="FFFFFF"/>
          <w:lang w:val="en-US"/>
        </w:rPr>
      </w:pPr>
    </w:p>
    <w:p w14:paraId="11E805E7" w14:textId="09005491" w:rsidR="008F5A7C" w:rsidRPr="001256B1" w:rsidRDefault="008F5A7C" w:rsidP="00F55750">
      <w:pPr>
        <w:snapToGrid w:val="0"/>
        <w:spacing w:line="360" w:lineRule="auto"/>
        <w:jc w:val="both"/>
        <w:rPr>
          <w:rFonts w:ascii="Book Antiqua" w:hAnsi="Book Antiqua"/>
          <w:b/>
          <w:i/>
          <w:iCs/>
          <w:color w:val="000000" w:themeColor="text1"/>
          <w:shd w:val="clear" w:color="auto" w:fill="FFFFFF"/>
          <w:lang w:val="en-US"/>
        </w:rPr>
      </w:pPr>
      <w:r w:rsidRPr="001256B1">
        <w:rPr>
          <w:rFonts w:ascii="Book Antiqua" w:hAnsi="Book Antiqua"/>
          <w:b/>
          <w:i/>
          <w:iCs/>
          <w:color w:val="000000" w:themeColor="text1"/>
          <w:shd w:val="clear" w:color="auto" w:fill="FFFFFF"/>
          <w:lang w:val="en-US"/>
        </w:rPr>
        <w:t xml:space="preserve">Statistical </w:t>
      </w:r>
      <w:r w:rsidR="00E945E9" w:rsidRPr="001256B1">
        <w:rPr>
          <w:rFonts w:ascii="Book Antiqua" w:hAnsi="Book Antiqua"/>
          <w:b/>
          <w:i/>
          <w:iCs/>
          <w:color w:val="000000" w:themeColor="text1"/>
          <w:shd w:val="clear" w:color="auto" w:fill="FFFFFF"/>
          <w:lang w:val="en-US"/>
        </w:rPr>
        <w:t>analysis</w:t>
      </w:r>
    </w:p>
    <w:p w14:paraId="0D372937" w14:textId="45F3DB39" w:rsidR="008F5A7C" w:rsidRPr="001256B1" w:rsidRDefault="008F5A7C" w:rsidP="00F55750">
      <w:pPr>
        <w:snapToGrid w:val="0"/>
        <w:spacing w:line="360" w:lineRule="auto"/>
        <w:jc w:val="both"/>
        <w:rPr>
          <w:rFonts w:ascii="Book Antiqua" w:hAnsi="Book Antiqua"/>
          <w:color w:val="000000" w:themeColor="text1"/>
          <w:shd w:val="clear" w:color="auto" w:fill="FFFFFF"/>
          <w:lang w:val="en-US"/>
        </w:rPr>
      </w:pPr>
      <w:r w:rsidRPr="001256B1">
        <w:rPr>
          <w:rFonts w:ascii="Book Antiqua" w:hAnsi="Book Antiqua"/>
          <w:color w:val="000000" w:themeColor="text1"/>
          <w:shd w:val="clear" w:color="auto" w:fill="FFFFFF"/>
          <w:lang w:val="en-US"/>
        </w:rPr>
        <w:t>The correlations between expression of IRS-1</w:t>
      </w:r>
      <w:r w:rsidR="00E777EA" w:rsidRPr="001256B1">
        <w:rPr>
          <w:rFonts w:ascii="Book Antiqua" w:hAnsi="Book Antiqua"/>
          <w:color w:val="000000" w:themeColor="text1"/>
          <w:shd w:val="clear" w:color="auto" w:fill="FFFFFF"/>
          <w:lang w:val="en-US"/>
        </w:rPr>
        <w:t xml:space="preserve"> and</w:t>
      </w:r>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Bax</w:t>
      </w:r>
      <w:proofErr w:type="spellEnd"/>
      <w:r w:rsidRPr="001256B1">
        <w:rPr>
          <w:rFonts w:ascii="Book Antiqua" w:hAnsi="Book Antiqua"/>
          <w:color w:val="000000" w:themeColor="text1"/>
          <w:shd w:val="clear" w:color="auto" w:fill="FFFFFF"/>
          <w:lang w:val="en-US"/>
        </w:rPr>
        <w:t xml:space="preserve">, </w:t>
      </w:r>
      <w:proofErr w:type="spellStart"/>
      <w:r w:rsidRPr="001256B1">
        <w:rPr>
          <w:rFonts w:ascii="Book Antiqua" w:hAnsi="Book Antiqua"/>
          <w:color w:val="000000" w:themeColor="text1"/>
          <w:shd w:val="clear" w:color="auto" w:fill="FFFFFF"/>
          <w:lang w:val="en-US"/>
        </w:rPr>
        <w:t>Bcl-xL</w:t>
      </w:r>
      <w:proofErr w:type="spellEnd"/>
      <w:r w:rsidRPr="001256B1">
        <w:rPr>
          <w:rFonts w:ascii="Book Antiqua" w:hAnsi="Book Antiqua"/>
          <w:color w:val="000000" w:themeColor="text1"/>
          <w:shd w:val="clear" w:color="auto" w:fill="FFFFFF"/>
          <w:lang w:val="en-US"/>
        </w:rPr>
        <w:t xml:space="preserve">, Ki-67 in primary CRC were analyzed in relation to clinicopathological parameters, including: patient age, sex, primary localization of tumor, histopathological type, grading, staging and lymph node spread. Correlations between variables were analyzed </w:t>
      </w:r>
      <w:r w:rsidRPr="001256B1">
        <w:rPr>
          <w:rFonts w:ascii="Book Antiqua" w:hAnsi="Book Antiqua"/>
          <w:color w:val="000000" w:themeColor="text1"/>
          <w:shd w:val="clear" w:color="auto" w:fill="FFFFFF"/>
          <w:lang w:val="en-US"/>
        </w:rPr>
        <w:lastRenderedPageBreak/>
        <w:t xml:space="preserve">by Spearman rank correlation test with a level of significance at </w:t>
      </w:r>
      <w:r w:rsidR="003B7C8E" w:rsidRPr="001256B1">
        <w:rPr>
          <w:rFonts w:ascii="Book Antiqua" w:hAnsi="Book Antiqua"/>
          <w:i/>
          <w:iCs/>
          <w:color w:val="000000" w:themeColor="text1"/>
          <w:shd w:val="clear" w:color="auto" w:fill="FFFFFF"/>
          <w:lang w:val="en-US"/>
        </w:rPr>
        <w:t>P</w:t>
      </w:r>
      <w:r w:rsidR="002A5F08" w:rsidRPr="001256B1">
        <w:rPr>
          <w:rFonts w:ascii="Book Antiqua" w:hAnsi="Book Antiqua"/>
          <w:i/>
          <w:iCs/>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&lt;</w:t>
      </w:r>
      <w:r w:rsidR="00790DED" w:rsidRPr="001256B1">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0.05. Additionally, to estimate the strength</w:t>
      </w:r>
      <w:r w:rsidR="00E945E9">
        <w:rPr>
          <w:rFonts w:ascii="Book Antiqua" w:hAnsi="Book Antiqua"/>
          <w:color w:val="000000" w:themeColor="text1"/>
          <w:shd w:val="clear" w:color="auto" w:fill="FFFFFF"/>
          <w:lang w:val="en-US"/>
        </w:rPr>
        <w:t xml:space="preserve"> of the correlation, </w:t>
      </w:r>
      <w:r w:rsidRPr="001256B1">
        <w:rPr>
          <w:rFonts w:ascii="Book Antiqua" w:hAnsi="Book Antiqua"/>
          <w:color w:val="000000" w:themeColor="text1"/>
          <w:shd w:val="clear" w:color="auto" w:fill="FFFFFF"/>
          <w:lang w:val="en-US"/>
        </w:rPr>
        <w:t>Guilford’s cla</w:t>
      </w:r>
      <w:r w:rsidR="00E945E9">
        <w:rPr>
          <w:rFonts w:ascii="Book Antiqua" w:hAnsi="Book Antiqua"/>
          <w:color w:val="000000" w:themeColor="text1"/>
          <w:shd w:val="clear" w:color="auto" w:fill="FFFFFF"/>
          <w:lang w:val="en-US"/>
        </w:rPr>
        <w:t>ssification method was applied [</w:t>
      </w:r>
      <w:r w:rsidRPr="001256B1">
        <w:rPr>
          <w:rFonts w:ascii="Book Antiqua" w:hAnsi="Book Antiqua"/>
          <w:color w:val="000000" w:themeColor="text1"/>
          <w:shd w:val="clear" w:color="auto" w:fill="FFFFFF"/>
          <w:lang w:val="en-US"/>
        </w:rPr>
        <w:t>correlation factor (</w:t>
      </w:r>
      <w:r w:rsidRPr="002607A1">
        <w:rPr>
          <w:rFonts w:ascii="Book Antiqua" w:hAnsi="Book Antiqua"/>
          <w:i/>
          <w:iCs/>
          <w:color w:val="000000" w:themeColor="text1"/>
          <w:shd w:val="clear" w:color="auto" w:fill="FFFFFF"/>
          <w:lang w:val="en-US"/>
        </w:rPr>
        <w:t>r</w:t>
      </w:r>
      <w:r w:rsidRPr="001256B1">
        <w:rPr>
          <w:rFonts w:ascii="Book Antiqua" w:hAnsi="Book Antiqua"/>
          <w:color w:val="000000" w:themeColor="text1"/>
          <w:shd w:val="clear" w:color="auto" w:fill="FFFFFF"/>
          <w:lang w:val="en-US"/>
        </w:rPr>
        <w:t>): 0.0</w:t>
      </w:r>
      <w:r w:rsidR="002A5F08" w:rsidRPr="001256B1">
        <w:rPr>
          <w:rFonts w:ascii="Book Antiqua" w:eastAsia="宋体" w:hAnsi="Book Antiqua" w:cs="宋体"/>
          <w:color w:val="000000" w:themeColor="text1"/>
          <w:shd w:val="clear" w:color="auto" w:fill="FFFFFF"/>
          <w:lang w:val="en-US" w:eastAsia="zh-CN"/>
        </w:rPr>
        <w:t>-</w:t>
      </w:r>
      <w:r w:rsidRPr="001256B1">
        <w:rPr>
          <w:rFonts w:ascii="Book Antiqua" w:hAnsi="Book Antiqua"/>
          <w:color w:val="000000" w:themeColor="text1"/>
          <w:shd w:val="clear" w:color="auto" w:fill="FFFFFF"/>
          <w:lang w:val="en-US"/>
        </w:rPr>
        <w:t>0.2 (slight); 0.2</w:t>
      </w:r>
      <w:r w:rsidR="002A5F08" w:rsidRPr="001256B1">
        <w:rPr>
          <w:rFonts w:ascii="Book Antiqua" w:eastAsia="宋体" w:hAnsi="Book Antiqua" w:cs="宋体"/>
          <w:color w:val="000000" w:themeColor="text1"/>
          <w:shd w:val="clear" w:color="auto" w:fill="FFFFFF"/>
          <w:lang w:val="en-US" w:eastAsia="zh-CN"/>
        </w:rPr>
        <w:t>-</w:t>
      </w:r>
      <w:r w:rsidRPr="001256B1">
        <w:rPr>
          <w:rFonts w:ascii="Book Antiqua" w:hAnsi="Book Antiqua"/>
          <w:color w:val="000000" w:themeColor="text1"/>
          <w:shd w:val="clear" w:color="auto" w:fill="FFFFFF"/>
          <w:lang w:val="en-US"/>
        </w:rPr>
        <w:t>0.4 (low); 0.4</w:t>
      </w:r>
      <w:r w:rsidR="002A5F08" w:rsidRPr="001256B1">
        <w:rPr>
          <w:rFonts w:ascii="Book Antiqua" w:eastAsia="宋体" w:hAnsi="Book Antiqua" w:cs="宋体"/>
          <w:color w:val="000000" w:themeColor="text1"/>
          <w:shd w:val="clear" w:color="auto" w:fill="FFFFFF"/>
          <w:lang w:val="en-US"/>
        </w:rPr>
        <w:t>-</w:t>
      </w:r>
      <w:r w:rsidRPr="001256B1">
        <w:rPr>
          <w:rFonts w:ascii="Book Antiqua" w:hAnsi="Book Antiqua"/>
          <w:color w:val="000000" w:themeColor="text1"/>
          <w:shd w:val="clear" w:color="auto" w:fill="FFFFFF"/>
          <w:lang w:val="en-US"/>
        </w:rPr>
        <w:t>0.7 (moderate); 0.7</w:t>
      </w:r>
      <w:r w:rsidR="002A5F08" w:rsidRPr="001256B1">
        <w:rPr>
          <w:rFonts w:ascii="Book Antiqua" w:eastAsia="宋体" w:hAnsi="Book Antiqua" w:cs="宋体"/>
          <w:color w:val="000000" w:themeColor="text1"/>
          <w:shd w:val="clear" w:color="auto" w:fill="FFFFFF"/>
          <w:lang w:val="en-US" w:eastAsia="zh-CN"/>
        </w:rPr>
        <w:t>-</w:t>
      </w:r>
      <w:r w:rsidRPr="001256B1">
        <w:rPr>
          <w:rFonts w:ascii="Book Antiqua" w:hAnsi="Book Antiqua"/>
          <w:color w:val="000000" w:themeColor="text1"/>
          <w:shd w:val="clear" w:color="auto" w:fill="FFFFFF"/>
          <w:lang w:val="en-US"/>
        </w:rPr>
        <w:t>0.9 (high); 0.9</w:t>
      </w:r>
      <w:r w:rsidR="002A5F08" w:rsidRPr="001256B1">
        <w:rPr>
          <w:rFonts w:ascii="Book Antiqua" w:eastAsia="宋体" w:hAnsi="Book Antiqua" w:cs="宋体"/>
          <w:color w:val="000000" w:themeColor="text1"/>
          <w:shd w:val="clear" w:color="auto" w:fill="FFFFFF"/>
          <w:lang w:val="en-US" w:eastAsia="zh-CN"/>
        </w:rPr>
        <w:t>-</w:t>
      </w:r>
      <w:r w:rsidR="00E945E9">
        <w:rPr>
          <w:rFonts w:ascii="Book Antiqua" w:hAnsi="Book Antiqua"/>
          <w:color w:val="000000" w:themeColor="text1"/>
          <w:shd w:val="clear" w:color="auto" w:fill="FFFFFF"/>
          <w:lang w:val="en-US"/>
        </w:rPr>
        <w:t>1.0 (very high)]</w:t>
      </w:r>
      <w:r w:rsidRPr="001256B1">
        <w:rPr>
          <w:rFonts w:ascii="Book Antiqua" w:hAnsi="Book Antiqua"/>
          <w:color w:val="000000" w:themeColor="text1"/>
          <w:shd w:val="clear" w:color="auto" w:fill="FFFFFF"/>
          <w:lang w:val="en-US"/>
        </w:rPr>
        <w:t>. Data analysis was conducted using STATISTICA PL v.12.0. software.</w:t>
      </w:r>
    </w:p>
    <w:p w14:paraId="5DCEDA56" w14:textId="77777777" w:rsidR="004F3E5C" w:rsidRPr="001256B1" w:rsidRDefault="004F3E5C" w:rsidP="00F55750">
      <w:pPr>
        <w:snapToGrid w:val="0"/>
        <w:spacing w:line="360" w:lineRule="auto"/>
        <w:jc w:val="both"/>
        <w:rPr>
          <w:rFonts w:ascii="Book Antiqua" w:hAnsi="Book Antiqua"/>
          <w:color w:val="000000" w:themeColor="text1"/>
          <w:shd w:val="clear" w:color="auto" w:fill="FFFFFF"/>
          <w:lang w:val="en-US"/>
        </w:rPr>
      </w:pPr>
    </w:p>
    <w:p w14:paraId="03DE0156" w14:textId="77777777" w:rsidR="002F410A" w:rsidRPr="001256B1" w:rsidRDefault="002F410A" w:rsidP="00F55750">
      <w:pPr>
        <w:adjustRightInd w:val="0"/>
        <w:snapToGrid w:val="0"/>
        <w:spacing w:line="360" w:lineRule="auto"/>
        <w:jc w:val="both"/>
        <w:rPr>
          <w:rFonts w:ascii="Book Antiqua" w:hAnsi="Book Antiqua"/>
          <w:b/>
          <w:u w:val="single"/>
        </w:rPr>
      </w:pPr>
      <w:r w:rsidRPr="001256B1">
        <w:rPr>
          <w:rFonts w:ascii="Book Antiqua" w:hAnsi="Book Antiqua"/>
          <w:b/>
          <w:u w:val="single"/>
        </w:rPr>
        <w:t>RESULTS</w:t>
      </w:r>
    </w:p>
    <w:p w14:paraId="6C7F5206" w14:textId="77777777" w:rsidR="008F5A7C" w:rsidRPr="001256B1" w:rsidRDefault="008F5A7C" w:rsidP="00F55750">
      <w:pPr>
        <w:shd w:val="clear" w:color="auto" w:fill="FFFFFF"/>
        <w:snapToGrid w:val="0"/>
        <w:spacing w:line="360" w:lineRule="auto"/>
        <w:jc w:val="both"/>
        <w:rPr>
          <w:rFonts w:ascii="Book Antiqua" w:hAnsi="Book Antiqua"/>
          <w:b/>
          <w:i/>
          <w:iCs/>
          <w:color w:val="000000" w:themeColor="text1"/>
          <w:lang w:val="en-US"/>
        </w:rPr>
      </w:pPr>
      <w:r w:rsidRPr="001256B1">
        <w:rPr>
          <w:rFonts w:ascii="Book Antiqua" w:hAnsi="Book Antiqua"/>
          <w:b/>
          <w:i/>
          <w:iCs/>
          <w:color w:val="000000" w:themeColor="text1"/>
          <w:lang w:val="en-US"/>
        </w:rPr>
        <w:t>Expression of IRS-1 in CRC</w:t>
      </w:r>
    </w:p>
    <w:p w14:paraId="6B7A94BB" w14:textId="33D75752" w:rsidR="008F5A7C" w:rsidRPr="001256B1" w:rsidRDefault="008F5A7C" w:rsidP="00F55750">
      <w:pPr>
        <w:shd w:val="clear" w:color="auto" w:fill="FFFFFF"/>
        <w:snapToGrid w:val="0"/>
        <w:spacing w:line="360" w:lineRule="auto"/>
        <w:jc w:val="both"/>
        <w:rPr>
          <w:rFonts w:ascii="Book Antiqua" w:hAnsi="Book Antiqua"/>
          <w:bCs/>
          <w:color w:val="000000" w:themeColor="text1"/>
          <w:lang w:val="en-US"/>
        </w:rPr>
      </w:pPr>
      <w:r w:rsidRPr="001256B1">
        <w:rPr>
          <w:rFonts w:ascii="Book Antiqua" w:hAnsi="Book Antiqua"/>
          <w:bCs/>
          <w:color w:val="000000" w:themeColor="text1"/>
          <w:lang w:val="en-US"/>
        </w:rPr>
        <w:t>Immunohistochemical analysis of CRC sections revealed weak cytoplasmic staining for IRS-1 in 66 CRC sections, while strong cytoplasmatic staining for IRS-1 was observed in 61 cases of primary CRC. IRS-1 staining was not detected in negative controls. We observed that IRS-1 expression at any level in CRC was associated with moderately differentiated tumors (G2) (69% in G2 tumors compared with 31% in G3 tumors) and with histological type (81</w:t>
      </w:r>
      <w:r w:rsidR="00131487" w:rsidRPr="001256B1">
        <w:rPr>
          <w:rFonts w:ascii="Book Antiqua" w:hAnsi="Book Antiqua"/>
          <w:bCs/>
          <w:color w:val="000000" w:themeColor="text1"/>
          <w:lang w:val="en-US" w:eastAsia="zh-CN"/>
        </w:rPr>
        <w:t>.</w:t>
      </w:r>
      <w:r w:rsidRPr="001256B1">
        <w:rPr>
          <w:rFonts w:ascii="Book Antiqua" w:hAnsi="Book Antiqua"/>
          <w:bCs/>
          <w:color w:val="000000" w:themeColor="text1"/>
          <w:lang w:val="en-US"/>
        </w:rPr>
        <w:t>9% in adenocarcinoma cases compared with 18</w:t>
      </w:r>
      <w:r w:rsidR="00131487" w:rsidRPr="001256B1">
        <w:rPr>
          <w:rFonts w:ascii="Book Antiqua" w:hAnsi="Book Antiqua"/>
          <w:bCs/>
          <w:color w:val="000000" w:themeColor="text1"/>
          <w:lang w:val="en-US"/>
        </w:rPr>
        <w:t>.</w:t>
      </w:r>
      <w:r w:rsidRPr="001256B1">
        <w:rPr>
          <w:rFonts w:ascii="Book Antiqua" w:hAnsi="Book Antiqua"/>
          <w:bCs/>
          <w:color w:val="000000" w:themeColor="text1"/>
          <w:lang w:val="en-US"/>
        </w:rPr>
        <w:t>1% in adenocarcinoma with mucosal component cases) (Tab</w:t>
      </w:r>
      <w:r w:rsidR="00F05A97" w:rsidRPr="001256B1">
        <w:rPr>
          <w:rFonts w:ascii="Book Antiqua" w:hAnsi="Book Antiqua"/>
          <w:bCs/>
          <w:color w:val="000000" w:themeColor="text1"/>
          <w:lang w:val="en-US"/>
        </w:rPr>
        <w:t>le</w:t>
      </w:r>
      <w:r w:rsidRPr="001256B1">
        <w:rPr>
          <w:rFonts w:ascii="Book Antiqua" w:hAnsi="Book Antiqua"/>
          <w:bCs/>
          <w:color w:val="000000" w:themeColor="text1"/>
          <w:lang w:val="en-US"/>
        </w:rPr>
        <w:t xml:space="preserve"> 1).</w:t>
      </w:r>
    </w:p>
    <w:p w14:paraId="58A8C125" w14:textId="77777777" w:rsidR="00827CA1" w:rsidRPr="001256B1" w:rsidRDefault="00827CA1" w:rsidP="00F55750">
      <w:pPr>
        <w:snapToGrid w:val="0"/>
        <w:spacing w:line="360" w:lineRule="auto"/>
        <w:jc w:val="both"/>
        <w:rPr>
          <w:rFonts w:ascii="Book Antiqua" w:hAnsi="Book Antiqua"/>
          <w:b/>
          <w:color w:val="000000" w:themeColor="text1"/>
          <w:lang w:val="en-US"/>
        </w:rPr>
      </w:pPr>
    </w:p>
    <w:p w14:paraId="5D0681FB" w14:textId="0C3ECC53" w:rsidR="008F5A7C" w:rsidRPr="001256B1" w:rsidRDefault="008F5A7C" w:rsidP="00F55750">
      <w:pPr>
        <w:snapToGrid w:val="0"/>
        <w:spacing w:line="360" w:lineRule="auto"/>
        <w:jc w:val="both"/>
        <w:rPr>
          <w:rFonts w:ascii="Book Antiqua" w:hAnsi="Book Antiqua"/>
          <w:b/>
          <w:i/>
          <w:iCs/>
          <w:color w:val="000000" w:themeColor="text1"/>
          <w:lang w:val="en-US"/>
        </w:rPr>
      </w:pPr>
      <w:r w:rsidRPr="001256B1">
        <w:rPr>
          <w:rFonts w:ascii="Book Antiqua" w:hAnsi="Book Antiqua"/>
          <w:b/>
          <w:i/>
          <w:iCs/>
          <w:color w:val="000000" w:themeColor="text1"/>
          <w:lang w:val="en-US"/>
        </w:rPr>
        <w:t xml:space="preserve">Correlation of IRS-1 with </w:t>
      </w:r>
      <w:proofErr w:type="spellStart"/>
      <w:r w:rsidRPr="001256B1">
        <w:rPr>
          <w:rFonts w:ascii="Book Antiqua" w:hAnsi="Book Antiqua"/>
          <w:b/>
          <w:i/>
          <w:iCs/>
          <w:color w:val="000000" w:themeColor="text1"/>
          <w:lang w:val="en-US"/>
        </w:rPr>
        <w:t>Bax</w:t>
      </w:r>
      <w:proofErr w:type="spellEnd"/>
      <w:r w:rsidRPr="001256B1">
        <w:rPr>
          <w:rFonts w:ascii="Book Antiqua" w:hAnsi="Book Antiqua"/>
          <w:b/>
          <w:i/>
          <w:iCs/>
          <w:color w:val="000000" w:themeColor="text1"/>
          <w:lang w:val="en-US"/>
        </w:rPr>
        <w:t xml:space="preserve"> </w:t>
      </w:r>
      <w:r w:rsidR="00E945E9" w:rsidRPr="001256B1">
        <w:rPr>
          <w:rFonts w:ascii="Book Antiqua" w:hAnsi="Book Antiqua"/>
          <w:b/>
          <w:i/>
          <w:iCs/>
          <w:color w:val="000000" w:themeColor="text1"/>
          <w:lang w:val="en-US"/>
        </w:rPr>
        <w:t xml:space="preserve">expression </w:t>
      </w:r>
      <w:r w:rsidRPr="001256B1">
        <w:rPr>
          <w:rFonts w:ascii="Book Antiqua" w:hAnsi="Book Antiqua"/>
          <w:b/>
          <w:i/>
          <w:iCs/>
          <w:color w:val="000000" w:themeColor="text1"/>
          <w:lang w:val="en-US"/>
        </w:rPr>
        <w:t>in CRC</w:t>
      </w:r>
    </w:p>
    <w:p w14:paraId="5DB55658" w14:textId="69C6469C" w:rsidR="008F5A7C" w:rsidRPr="001256B1" w:rsidRDefault="008F5A7C" w:rsidP="00F55750">
      <w:pPr>
        <w:snapToGrid w:val="0"/>
        <w:spacing w:line="360" w:lineRule="auto"/>
        <w:jc w:val="both"/>
        <w:rPr>
          <w:rFonts w:ascii="Book Antiqua" w:hAnsi="Book Antiqua"/>
          <w:bCs/>
          <w:color w:val="000000" w:themeColor="text1"/>
          <w:lang w:val="en-US"/>
        </w:rPr>
      </w:pPr>
      <w:r w:rsidRPr="001256B1">
        <w:rPr>
          <w:rFonts w:ascii="Book Antiqua" w:hAnsi="Book Antiqua"/>
          <w:bCs/>
          <w:color w:val="000000" w:themeColor="text1"/>
          <w:lang w:val="en-US"/>
        </w:rPr>
        <w:t xml:space="preserve">The results demonstrated a moderate positive correlation between IRS-1 and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expression is statistically significant in all groups excluding cases of</w:t>
      </w:r>
      <w:r w:rsidR="00E777EA"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adenocarcinoma</w:t>
      </w:r>
      <w:r w:rsidR="0012454D" w:rsidRPr="001256B1">
        <w:rPr>
          <w:rFonts w:ascii="Book Antiqua" w:hAnsi="Book Antiqua"/>
          <w:bCs/>
          <w:color w:val="000000" w:themeColor="text1"/>
          <w:lang w:val="en-US"/>
        </w:rPr>
        <w:t>s</w:t>
      </w:r>
      <w:r w:rsidRPr="001256B1">
        <w:rPr>
          <w:rFonts w:ascii="Book Antiqua" w:hAnsi="Book Antiqua"/>
          <w:bCs/>
          <w:color w:val="000000" w:themeColor="text1"/>
          <w:lang w:val="en-US"/>
        </w:rPr>
        <w:t xml:space="preserve"> with mucosal component (</w:t>
      </w:r>
      <w:r w:rsidR="00734F0C" w:rsidRPr="001256B1">
        <w:rPr>
          <w:rFonts w:ascii="Book Antiqua" w:hAnsi="Book Antiqua"/>
          <w:bCs/>
          <w:color w:val="000000" w:themeColor="text1"/>
          <w:lang w:val="en-US"/>
        </w:rPr>
        <w:t>mucinous adenocarcinoma</w:t>
      </w:r>
      <w:r w:rsidRPr="001256B1">
        <w:rPr>
          <w:rFonts w:ascii="Book Antiqua" w:hAnsi="Book Antiqua"/>
          <w:bCs/>
          <w:color w:val="000000" w:themeColor="text1"/>
          <w:lang w:val="en-US"/>
        </w:rPr>
        <w:t>), poor</w:t>
      </w:r>
      <w:r w:rsidR="0012454D" w:rsidRPr="001256B1">
        <w:rPr>
          <w:rFonts w:ascii="Book Antiqua" w:hAnsi="Book Antiqua"/>
          <w:bCs/>
          <w:color w:val="000000" w:themeColor="text1"/>
          <w:lang w:val="en-US"/>
        </w:rPr>
        <w:t>ly</w:t>
      </w:r>
      <w:r w:rsidRPr="001256B1">
        <w:rPr>
          <w:rFonts w:ascii="Book Antiqua" w:hAnsi="Book Antiqua"/>
          <w:bCs/>
          <w:color w:val="000000" w:themeColor="text1"/>
          <w:lang w:val="en-US"/>
        </w:rPr>
        <w:t xml:space="preserve"> differentiated tumor</w:t>
      </w:r>
      <w:r w:rsidR="0012454D" w:rsidRPr="001256B1">
        <w:rPr>
          <w:rFonts w:ascii="Book Antiqua" w:hAnsi="Book Antiqua"/>
          <w:bCs/>
          <w:color w:val="000000" w:themeColor="text1"/>
          <w:lang w:val="en-US"/>
        </w:rPr>
        <w:t>s</w:t>
      </w:r>
      <w:r w:rsidRPr="001256B1">
        <w:rPr>
          <w:rFonts w:ascii="Book Antiqua" w:hAnsi="Book Antiqua"/>
          <w:bCs/>
          <w:color w:val="000000" w:themeColor="text1"/>
          <w:lang w:val="en-US"/>
        </w:rPr>
        <w:t xml:space="preserve"> (G3) and early stage tumors (Table 2).</w:t>
      </w:r>
    </w:p>
    <w:p w14:paraId="10BE57D8" w14:textId="77777777" w:rsidR="008F5A7C" w:rsidRPr="001256B1" w:rsidRDefault="008F5A7C" w:rsidP="00F55750">
      <w:pPr>
        <w:snapToGrid w:val="0"/>
        <w:spacing w:line="360" w:lineRule="auto"/>
        <w:jc w:val="both"/>
        <w:rPr>
          <w:rFonts w:ascii="Book Antiqua" w:hAnsi="Book Antiqua"/>
          <w:b/>
          <w:color w:val="000000" w:themeColor="text1"/>
          <w:lang w:val="en-US"/>
        </w:rPr>
      </w:pPr>
    </w:p>
    <w:p w14:paraId="713CC631" w14:textId="498EFB46" w:rsidR="008F5A7C" w:rsidRPr="001256B1" w:rsidRDefault="008F5A7C" w:rsidP="00F55750">
      <w:pPr>
        <w:snapToGrid w:val="0"/>
        <w:spacing w:line="360" w:lineRule="auto"/>
        <w:jc w:val="both"/>
        <w:rPr>
          <w:rFonts w:ascii="Book Antiqua" w:hAnsi="Book Antiqua"/>
          <w:b/>
          <w:i/>
          <w:iCs/>
          <w:color w:val="000000" w:themeColor="text1"/>
          <w:lang w:val="en-US"/>
        </w:rPr>
      </w:pPr>
      <w:r w:rsidRPr="001256B1">
        <w:rPr>
          <w:rFonts w:ascii="Book Antiqua" w:hAnsi="Book Antiqua"/>
          <w:b/>
          <w:i/>
          <w:iCs/>
          <w:color w:val="000000" w:themeColor="text1"/>
          <w:lang w:val="en-US"/>
        </w:rPr>
        <w:t xml:space="preserve">Correlation of IRS-1 with </w:t>
      </w:r>
      <w:proofErr w:type="spellStart"/>
      <w:r w:rsidRPr="001256B1">
        <w:rPr>
          <w:rFonts w:ascii="Book Antiqua" w:hAnsi="Book Antiqua"/>
          <w:b/>
          <w:i/>
          <w:iCs/>
          <w:color w:val="000000" w:themeColor="text1"/>
          <w:lang w:val="en-US"/>
        </w:rPr>
        <w:t>Bcl-xL</w:t>
      </w:r>
      <w:proofErr w:type="spellEnd"/>
      <w:r w:rsidRPr="001256B1">
        <w:rPr>
          <w:rFonts w:ascii="Book Antiqua" w:hAnsi="Book Antiqua"/>
          <w:b/>
          <w:i/>
          <w:iCs/>
          <w:color w:val="000000" w:themeColor="text1"/>
          <w:lang w:val="en-US"/>
        </w:rPr>
        <w:t xml:space="preserve"> </w:t>
      </w:r>
      <w:r w:rsidR="00E945E9" w:rsidRPr="001256B1">
        <w:rPr>
          <w:rFonts w:ascii="Book Antiqua" w:hAnsi="Book Antiqua"/>
          <w:b/>
          <w:i/>
          <w:iCs/>
          <w:color w:val="000000" w:themeColor="text1"/>
          <w:lang w:val="en-US"/>
        </w:rPr>
        <w:t xml:space="preserve">expression </w:t>
      </w:r>
      <w:r w:rsidRPr="001256B1">
        <w:rPr>
          <w:rFonts w:ascii="Book Antiqua" w:hAnsi="Book Antiqua"/>
          <w:b/>
          <w:i/>
          <w:iCs/>
          <w:color w:val="000000" w:themeColor="text1"/>
          <w:lang w:val="en-US"/>
        </w:rPr>
        <w:t>in CRC</w:t>
      </w:r>
    </w:p>
    <w:p w14:paraId="438C4601" w14:textId="4DFF0FD4" w:rsidR="008F5A7C" w:rsidRPr="001256B1" w:rsidRDefault="008F5A7C" w:rsidP="00F55750">
      <w:pPr>
        <w:snapToGrid w:val="0"/>
        <w:spacing w:line="360" w:lineRule="auto"/>
        <w:jc w:val="both"/>
        <w:rPr>
          <w:rFonts w:ascii="Book Antiqua" w:hAnsi="Book Antiqua"/>
          <w:bCs/>
          <w:color w:val="000000" w:themeColor="text1"/>
          <w:lang w:val="en-US"/>
        </w:rPr>
      </w:pPr>
      <w:r w:rsidRPr="001256B1">
        <w:rPr>
          <w:rFonts w:ascii="Book Antiqua" w:hAnsi="Book Antiqua"/>
          <w:bCs/>
          <w:color w:val="000000" w:themeColor="text1"/>
          <w:lang w:val="en-US"/>
        </w:rPr>
        <w:t xml:space="preserve">A positive correlation on a low to high level was found between IRS-1 and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in all cases, except patients</w:t>
      </w:r>
      <w:r w:rsidR="0012454D" w:rsidRPr="001256B1">
        <w:rPr>
          <w:rFonts w:ascii="Book Antiqua" w:hAnsi="Book Antiqua"/>
          <w:bCs/>
          <w:color w:val="000000" w:themeColor="text1"/>
          <w:lang w:val="en-US"/>
        </w:rPr>
        <w:t xml:space="preserve"> characterized with </w:t>
      </w:r>
      <w:r w:rsidRPr="001256B1">
        <w:rPr>
          <w:rFonts w:ascii="Book Antiqua" w:hAnsi="Book Antiqua"/>
          <w:bCs/>
          <w:color w:val="000000" w:themeColor="text1"/>
          <w:lang w:val="en-US"/>
        </w:rPr>
        <w:t>tumor with primary localization in rectum, adenocarcinoma with mucosal component, poor</w:t>
      </w:r>
      <w:r w:rsidR="0012454D" w:rsidRPr="001256B1">
        <w:rPr>
          <w:rFonts w:ascii="Book Antiqua" w:hAnsi="Book Antiqua"/>
          <w:bCs/>
          <w:color w:val="000000" w:themeColor="text1"/>
          <w:lang w:val="en-US"/>
        </w:rPr>
        <w:t>ly</w:t>
      </w:r>
      <w:r w:rsidRPr="001256B1">
        <w:rPr>
          <w:rFonts w:ascii="Book Antiqua" w:hAnsi="Book Antiqua"/>
          <w:bCs/>
          <w:color w:val="000000" w:themeColor="text1"/>
          <w:lang w:val="en-US"/>
        </w:rPr>
        <w:t xml:space="preserve"> differentiated tumor (Table 2).</w:t>
      </w:r>
    </w:p>
    <w:p w14:paraId="7766661B" w14:textId="77777777" w:rsidR="008F5A7C" w:rsidRPr="001256B1" w:rsidRDefault="008F5A7C" w:rsidP="00F55750">
      <w:pPr>
        <w:snapToGrid w:val="0"/>
        <w:spacing w:line="360" w:lineRule="auto"/>
        <w:jc w:val="both"/>
        <w:rPr>
          <w:rFonts w:ascii="Book Antiqua" w:hAnsi="Book Antiqua"/>
          <w:b/>
          <w:color w:val="000000" w:themeColor="text1"/>
          <w:lang w:val="en-US"/>
        </w:rPr>
      </w:pPr>
    </w:p>
    <w:p w14:paraId="2E682088" w14:textId="51FDD400" w:rsidR="008F5A7C" w:rsidRPr="001256B1" w:rsidRDefault="008F5A7C" w:rsidP="00F55750">
      <w:pPr>
        <w:snapToGrid w:val="0"/>
        <w:spacing w:line="360" w:lineRule="auto"/>
        <w:jc w:val="both"/>
        <w:rPr>
          <w:rFonts w:ascii="Book Antiqua" w:hAnsi="Book Antiqua"/>
          <w:b/>
          <w:i/>
          <w:iCs/>
          <w:color w:val="000000" w:themeColor="text1"/>
          <w:lang w:val="en-US"/>
        </w:rPr>
      </w:pPr>
      <w:r w:rsidRPr="001256B1">
        <w:rPr>
          <w:rFonts w:ascii="Book Antiqua" w:hAnsi="Book Antiqua"/>
          <w:b/>
          <w:i/>
          <w:iCs/>
          <w:color w:val="000000" w:themeColor="text1"/>
          <w:lang w:val="en-US"/>
        </w:rPr>
        <w:t xml:space="preserve">Correlation of IRS-1 with Ki-67 </w:t>
      </w:r>
      <w:r w:rsidR="00E945E9" w:rsidRPr="001256B1">
        <w:rPr>
          <w:rFonts w:ascii="Book Antiqua" w:hAnsi="Book Antiqua"/>
          <w:b/>
          <w:i/>
          <w:iCs/>
          <w:color w:val="000000" w:themeColor="text1"/>
          <w:lang w:val="en-US"/>
        </w:rPr>
        <w:t xml:space="preserve">expression </w:t>
      </w:r>
      <w:r w:rsidRPr="001256B1">
        <w:rPr>
          <w:rFonts w:ascii="Book Antiqua" w:hAnsi="Book Antiqua"/>
          <w:b/>
          <w:i/>
          <w:iCs/>
          <w:color w:val="000000" w:themeColor="text1"/>
          <w:lang w:val="en-US"/>
        </w:rPr>
        <w:t>in CRC</w:t>
      </w:r>
    </w:p>
    <w:p w14:paraId="6BB4CBA8" w14:textId="47E515F6" w:rsidR="008F5A7C" w:rsidRPr="001256B1" w:rsidRDefault="008F5A7C" w:rsidP="00F55750">
      <w:pPr>
        <w:snapToGrid w:val="0"/>
        <w:spacing w:line="360" w:lineRule="auto"/>
        <w:jc w:val="both"/>
        <w:rPr>
          <w:rFonts w:ascii="Book Antiqua" w:hAnsi="Book Antiqua"/>
          <w:bCs/>
          <w:color w:val="000000" w:themeColor="text1"/>
          <w:lang w:val="en-US"/>
        </w:rPr>
      </w:pPr>
      <w:r w:rsidRPr="001256B1">
        <w:rPr>
          <w:rFonts w:ascii="Book Antiqua" w:hAnsi="Book Antiqua"/>
          <w:bCs/>
          <w:color w:val="000000" w:themeColor="text1"/>
          <w:lang w:val="en-US"/>
        </w:rPr>
        <w:lastRenderedPageBreak/>
        <w:t>No significant correlations were found between IRS-1 and Ki-67, excluding early stage tumors (pT1</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pT2) where the correlation was positive and on a high level (</w:t>
      </w:r>
      <w:r w:rsidR="003B7C8E" w:rsidRPr="001256B1">
        <w:rPr>
          <w:rFonts w:ascii="Book Antiqua" w:hAnsi="Book Antiqua"/>
          <w:bCs/>
          <w:i/>
          <w:iCs/>
          <w:color w:val="000000" w:themeColor="text1"/>
          <w:lang w:val="en-US"/>
        </w:rPr>
        <w:t>P</w:t>
      </w:r>
      <w:r w:rsidR="006110F5" w:rsidRPr="001256B1">
        <w:rPr>
          <w:rFonts w:ascii="Book Antiqua" w:hAnsi="Book Antiqua"/>
          <w:bCs/>
          <w:i/>
          <w:i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0.043, </w:t>
      </w:r>
      <w:r w:rsidRPr="00D73508">
        <w:rPr>
          <w:rFonts w:ascii="Book Antiqua" w:hAnsi="Book Antiqua"/>
          <w:bCs/>
          <w:i/>
          <w:iCs/>
          <w:color w:val="000000" w:themeColor="text1"/>
          <w:lang w:val="en-US"/>
        </w:rPr>
        <w:t>r</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0.723) (Table 3). Interestingly, the same group of tumors was negative for </w:t>
      </w:r>
      <w:proofErr w:type="spellStart"/>
      <w:r w:rsidRPr="001256B1">
        <w:rPr>
          <w:rFonts w:ascii="Book Antiqua" w:hAnsi="Book Antiqua"/>
          <w:bCs/>
          <w:color w:val="000000" w:themeColor="text1"/>
          <w:lang w:val="en-US"/>
        </w:rPr>
        <w:t>coexpression</w:t>
      </w:r>
      <w:proofErr w:type="spellEnd"/>
      <w:r w:rsidRPr="001256B1">
        <w:rPr>
          <w:rFonts w:ascii="Book Antiqua" w:hAnsi="Book Antiqua"/>
          <w:bCs/>
          <w:color w:val="000000" w:themeColor="text1"/>
          <w:lang w:val="en-US"/>
        </w:rPr>
        <w:t xml:space="preserve"> of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and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w:t>
      </w:r>
    </w:p>
    <w:p w14:paraId="11F5EC76" w14:textId="77777777" w:rsidR="008F5A7C" w:rsidRPr="001256B1" w:rsidRDefault="008F5A7C" w:rsidP="00F55750">
      <w:pPr>
        <w:snapToGrid w:val="0"/>
        <w:spacing w:line="360" w:lineRule="auto"/>
        <w:jc w:val="both"/>
        <w:rPr>
          <w:rFonts w:ascii="Book Antiqua" w:hAnsi="Book Antiqua"/>
          <w:bCs/>
          <w:color w:val="000000" w:themeColor="text1"/>
          <w:lang w:val="en-US"/>
        </w:rPr>
      </w:pPr>
    </w:p>
    <w:p w14:paraId="227D2B3C" w14:textId="6E1678B5" w:rsidR="008F5A7C" w:rsidRPr="001256B1" w:rsidRDefault="008F5A7C" w:rsidP="00F55750">
      <w:pPr>
        <w:snapToGrid w:val="0"/>
        <w:spacing w:line="360" w:lineRule="auto"/>
        <w:jc w:val="both"/>
        <w:rPr>
          <w:rFonts w:ascii="Book Antiqua" w:hAnsi="Book Antiqua"/>
          <w:b/>
          <w:i/>
          <w:iCs/>
          <w:color w:val="000000" w:themeColor="text1"/>
          <w:lang w:val="en-US"/>
        </w:rPr>
      </w:pPr>
      <w:r w:rsidRPr="001256B1">
        <w:rPr>
          <w:rFonts w:ascii="Book Antiqua" w:hAnsi="Book Antiqua"/>
          <w:b/>
          <w:i/>
          <w:iCs/>
          <w:color w:val="000000" w:themeColor="text1"/>
          <w:lang w:val="en-US"/>
        </w:rPr>
        <w:t xml:space="preserve">Correlation of </w:t>
      </w:r>
      <w:proofErr w:type="spellStart"/>
      <w:r w:rsidRPr="001256B1">
        <w:rPr>
          <w:rFonts w:ascii="Book Antiqua" w:hAnsi="Book Antiqua"/>
          <w:b/>
          <w:i/>
          <w:iCs/>
          <w:color w:val="000000" w:themeColor="text1"/>
          <w:lang w:val="en-US"/>
        </w:rPr>
        <w:t>Bax</w:t>
      </w:r>
      <w:proofErr w:type="spellEnd"/>
      <w:r w:rsidRPr="001256B1">
        <w:rPr>
          <w:rFonts w:ascii="Book Antiqua" w:hAnsi="Book Antiqua"/>
          <w:b/>
          <w:i/>
          <w:iCs/>
          <w:color w:val="000000" w:themeColor="text1"/>
          <w:lang w:val="en-US"/>
        </w:rPr>
        <w:t xml:space="preserve"> with </w:t>
      </w:r>
      <w:proofErr w:type="spellStart"/>
      <w:r w:rsidRPr="001256B1">
        <w:rPr>
          <w:rFonts w:ascii="Book Antiqua" w:hAnsi="Book Antiqua"/>
          <w:b/>
          <w:i/>
          <w:iCs/>
          <w:color w:val="000000" w:themeColor="text1"/>
          <w:lang w:val="en-US"/>
        </w:rPr>
        <w:t>Bcl-xL</w:t>
      </w:r>
      <w:proofErr w:type="spellEnd"/>
      <w:r w:rsidRPr="001256B1">
        <w:rPr>
          <w:rFonts w:ascii="Book Antiqua" w:hAnsi="Book Antiqua"/>
          <w:b/>
          <w:i/>
          <w:iCs/>
          <w:color w:val="000000" w:themeColor="text1"/>
          <w:lang w:val="en-US"/>
        </w:rPr>
        <w:t xml:space="preserve"> </w:t>
      </w:r>
      <w:r w:rsidR="00E945E9" w:rsidRPr="001256B1">
        <w:rPr>
          <w:rFonts w:ascii="Book Antiqua" w:hAnsi="Book Antiqua"/>
          <w:b/>
          <w:i/>
          <w:iCs/>
          <w:color w:val="000000" w:themeColor="text1"/>
          <w:lang w:val="en-US"/>
        </w:rPr>
        <w:t xml:space="preserve">expression </w:t>
      </w:r>
      <w:r w:rsidRPr="001256B1">
        <w:rPr>
          <w:rFonts w:ascii="Book Antiqua" w:hAnsi="Book Antiqua"/>
          <w:b/>
          <w:i/>
          <w:iCs/>
          <w:color w:val="000000" w:themeColor="text1"/>
          <w:lang w:val="en-US"/>
        </w:rPr>
        <w:t>in CRC</w:t>
      </w:r>
    </w:p>
    <w:p w14:paraId="49FEA062" w14:textId="42C44BC8" w:rsidR="008F5A7C" w:rsidRPr="001256B1" w:rsidRDefault="008F5A7C" w:rsidP="00F55750">
      <w:pPr>
        <w:snapToGrid w:val="0"/>
        <w:spacing w:line="360" w:lineRule="auto"/>
        <w:jc w:val="both"/>
        <w:rPr>
          <w:rFonts w:ascii="Book Antiqua" w:hAnsi="Book Antiqua"/>
          <w:bCs/>
          <w:color w:val="000000" w:themeColor="text1"/>
          <w:lang w:val="en-US"/>
        </w:rPr>
      </w:pPr>
      <w:r w:rsidRPr="001256B1">
        <w:rPr>
          <w:rFonts w:ascii="Book Antiqua" w:hAnsi="Book Antiqua"/>
          <w:bCs/>
          <w:color w:val="000000" w:themeColor="text1"/>
          <w:lang w:val="en-US"/>
        </w:rPr>
        <w:t xml:space="preserve">We also found statistically significant positive correlations between </w:t>
      </w:r>
      <w:r w:rsidRPr="001256B1">
        <w:rPr>
          <w:rFonts w:ascii="Book Antiqua" w:hAnsi="Book Antiqua"/>
          <w:color w:val="000000" w:themeColor="text1"/>
          <w:shd w:val="clear" w:color="auto" w:fill="FFFFFF"/>
          <w:lang w:val="en-US"/>
        </w:rPr>
        <w:t>proapoptotic</w:t>
      </w:r>
      <w:r w:rsidRPr="001256B1">
        <w:rPr>
          <w:rFonts w:ascii="Book Antiqua" w:hAnsi="Book Antiqua"/>
          <w:bCs/>
          <w:color w:val="000000" w:themeColor="text1"/>
          <w:lang w:val="en-US"/>
        </w:rPr>
        <w:t xml:space="preserve">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and antiapoptotic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protein expression in all groups, except early stage tumors (pT1</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pT2) (Table</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4).</w:t>
      </w:r>
    </w:p>
    <w:p w14:paraId="652CFA26" w14:textId="77777777" w:rsidR="006110F5" w:rsidRPr="001256B1" w:rsidRDefault="006110F5" w:rsidP="00F55750">
      <w:pPr>
        <w:snapToGrid w:val="0"/>
        <w:spacing w:line="360" w:lineRule="auto"/>
        <w:jc w:val="both"/>
        <w:rPr>
          <w:rFonts w:ascii="Book Antiqua" w:hAnsi="Book Antiqua"/>
          <w:bCs/>
          <w:color w:val="000000" w:themeColor="text1"/>
          <w:lang w:val="en-US"/>
        </w:rPr>
      </w:pPr>
    </w:p>
    <w:p w14:paraId="5660D8A1" w14:textId="77777777" w:rsidR="002E0E08" w:rsidRPr="001256B1" w:rsidRDefault="002E0E08" w:rsidP="00F55750">
      <w:pPr>
        <w:adjustRightInd w:val="0"/>
        <w:snapToGrid w:val="0"/>
        <w:spacing w:line="360" w:lineRule="auto"/>
        <w:jc w:val="both"/>
        <w:rPr>
          <w:rFonts w:ascii="Book Antiqua" w:hAnsi="Book Antiqua"/>
          <w:b/>
          <w:u w:val="single"/>
        </w:rPr>
      </w:pPr>
      <w:r w:rsidRPr="001256B1">
        <w:rPr>
          <w:rFonts w:ascii="Book Antiqua" w:hAnsi="Book Antiqua"/>
          <w:b/>
          <w:u w:val="single"/>
        </w:rPr>
        <w:t>DISCUSSION</w:t>
      </w:r>
    </w:p>
    <w:p w14:paraId="7D190165" w14:textId="684206AC" w:rsidR="008F5A7C" w:rsidRPr="001256B1" w:rsidRDefault="008F5A7C" w:rsidP="00F55750">
      <w:pPr>
        <w:snapToGrid w:val="0"/>
        <w:spacing w:line="360" w:lineRule="auto"/>
        <w:jc w:val="both"/>
        <w:rPr>
          <w:rFonts w:ascii="Book Antiqua" w:hAnsi="Book Antiqua"/>
          <w:bCs/>
          <w:color w:val="000000" w:themeColor="text1"/>
          <w:lang w:val="en-US"/>
        </w:rPr>
      </w:pPr>
      <w:r w:rsidRPr="001256B1">
        <w:rPr>
          <w:rFonts w:ascii="Book Antiqua" w:hAnsi="Book Antiqua"/>
          <w:bCs/>
          <w:color w:val="000000" w:themeColor="text1"/>
          <w:lang w:val="en-US"/>
        </w:rPr>
        <w:t xml:space="preserve">The present study demonstrates positive correlations between IRS-1 expression and the presence of proapoptotic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as well as antiapoptotic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in primary CRC. These associations were prevalent in more differentiated CRC compared with less differentiated CRC. Previously, we found similar relationships in primary breast cancer (positive correlation between IRS-1 and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with </w:t>
      </w:r>
      <w:r w:rsidR="003B7C8E" w:rsidRPr="001256B1">
        <w:rPr>
          <w:rFonts w:ascii="Book Antiqua" w:hAnsi="Book Antiqua"/>
          <w:bCs/>
          <w:i/>
          <w:iCs/>
          <w:color w:val="000000" w:themeColor="text1"/>
          <w:lang w:val="en-US"/>
        </w:rPr>
        <w:t>P</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&lt;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0.001 and </w:t>
      </w:r>
      <w:r w:rsidRPr="005F592F">
        <w:rPr>
          <w:rFonts w:ascii="Book Antiqua" w:hAnsi="Book Antiqua"/>
          <w:bCs/>
          <w:i/>
          <w:iCs/>
          <w:color w:val="000000" w:themeColor="text1"/>
          <w:lang w:val="en-US"/>
        </w:rPr>
        <w:t>r</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0.346 as well as </w:t>
      </w:r>
      <w:r w:rsidR="00E45F0D" w:rsidRPr="001256B1">
        <w:rPr>
          <w:rFonts w:ascii="Book Antiqua" w:hAnsi="Book Antiqua"/>
          <w:bCs/>
          <w:color w:val="000000" w:themeColor="text1"/>
          <w:lang w:val="en-US"/>
        </w:rPr>
        <w:t>IRS-1</w:t>
      </w:r>
      <w:r w:rsidRPr="001256B1">
        <w:rPr>
          <w:rFonts w:ascii="Book Antiqua" w:hAnsi="Book Antiqua"/>
          <w:bCs/>
          <w:color w:val="000000" w:themeColor="text1"/>
          <w:lang w:val="en-US"/>
        </w:rPr>
        <w:t xml:space="preserve"> and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with </w:t>
      </w:r>
      <w:r w:rsidR="003B7C8E" w:rsidRPr="001256B1">
        <w:rPr>
          <w:rFonts w:ascii="Book Antiqua" w:hAnsi="Book Antiqua"/>
          <w:bCs/>
          <w:i/>
          <w:iCs/>
          <w:color w:val="000000" w:themeColor="text1"/>
          <w:lang w:val="en-US"/>
        </w:rPr>
        <w:t>P</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&lt;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0.001 and </w:t>
      </w:r>
      <w:r w:rsidRPr="00F2257C">
        <w:rPr>
          <w:rFonts w:ascii="Book Antiqua" w:hAnsi="Book Antiqua"/>
          <w:bCs/>
          <w:i/>
          <w:iCs/>
          <w:color w:val="000000" w:themeColor="text1"/>
          <w:lang w:val="en-US"/>
        </w:rPr>
        <w:t>r</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0.315) and in lymph node metastases (positive correlation between IRS-1 and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with </w:t>
      </w:r>
      <w:r w:rsidR="003B7C8E" w:rsidRPr="001256B1">
        <w:rPr>
          <w:rFonts w:ascii="Book Antiqua" w:hAnsi="Book Antiqua"/>
          <w:bCs/>
          <w:i/>
          <w:iCs/>
          <w:color w:val="000000" w:themeColor="text1"/>
          <w:lang w:val="en-US"/>
        </w:rPr>
        <w:t>P</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0.037 and </w:t>
      </w:r>
      <w:r w:rsidRPr="00DA1869">
        <w:rPr>
          <w:rFonts w:ascii="Book Antiqua" w:hAnsi="Book Antiqua"/>
          <w:bCs/>
          <w:i/>
          <w:iCs/>
          <w:color w:val="000000" w:themeColor="text1"/>
          <w:lang w:val="en-US"/>
        </w:rPr>
        <w:t>r</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0.356 as well as </w:t>
      </w:r>
      <w:r w:rsidR="00E45F0D" w:rsidRPr="001256B1">
        <w:rPr>
          <w:rFonts w:ascii="Book Antiqua" w:hAnsi="Book Antiqua"/>
          <w:bCs/>
          <w:color w:val="000000" w:themeColor="text1"/>
          <w:lang w:val="en-US"/>
        </w:rPr>
        <w:t>IRS-1</w:t>
      </w:r>
      <w:r w:rsidRPr="001256B1">
        <w:rPr>
          <w:rFonts w:ascii="Book Antiqua" w:hAnsi="Book Antiqua"/>
          <w:bCs/>
          <w:color w:val="000000" w:themeColor="text1"/>
          <w:lang w:val="en-US"/>
        </w:rPr>
        <w:t xml:space="preserve"> and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with </w:t>
      </w:r>
      <w:r w:rsidR="003B7C8E" w:rsidRPr="001256B1">
        <w:rPr>
          <w:rFonts w:ascii="Book Antiqua" w:hAnsi="Book Antiqua"/>
          <w:bCs/>
          <w:i/>
          <w:iCs/>
          <w:color w:val="000000" w:themeColor="text1"/>
          <w:lang w:val="en-US"/>
        </w:rPr>
        <w:t>P</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0.004 and </w:t>
      </w:r>
      <w:r w:rsidRPr="009063BB">
        <w:rPr>
          <w:rFonts w:ascii="Book Antiqua" w:hAnsi="Book Antiqua"/>
          <w:bCs/>
          <w:i/>
          <w:iCs/>
          <w:color w:val="000000" w:themeColor="text1"/>
          <w:lang w:val="en-US"/>
        </w:rPr>
        <w:t>r</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110F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0.447)</w:t>
      </w:r>
      <w:r w:rsidRPr="001256B1">
        <w:rPr>
          <w:rFonts w:ascii="Book Antiqua" w:hAnsi="Book Antiqua"/>
          <w:bCs/>
          <w:color w:val="000000" w:themeColor="text1"/>
          <w:vertAlign w:val="superscript"/>
          <w:lang w:val="en-US"/>
        </w:rPr>
        <w:fldChar w:fldCharType="begin" w:fldLock="1"/>
      </w:r>
      <w:r w:rsidR="001B2DB3" w:rsidRPr="001256B1">
        <w:rPr>
          <w:rFonts w:ascii="Book Antiqua" w:hAnsi="Book Antiqua"/>
          <w:bCs/>
          <w:color w:val="000000" w:themeColor="text1"/>
          <w:vertAlign w:val="superscript"/>
          <w:lang w:val="en-US"/>
        </w:rPr>
        <w:instrText>ADDIN CSL_CITATION {"citationItems":[{"id":"ITEM-1","itemData":{"ISSN":"0028-2685","author":[{"dropping-particle":"","family":"Koda","given":"M","non-dropping-particle":"","parse-names":false,"suffix":""},{"dropping-particle":"","family":"Sulkowska","given":"M","non-dropping-particle":"","parse-names":false,"suffix":""},{"dropping-particle":"","family":"Kanczuga-Koda","given":"L","non-dropping-particle":"","parse-names":false,"suffix":""},{"dropping-particle":"","family":"Golaszewska","given":"J","non-dropping-particle":"","parse-names":false,"suffix":""},{"dropping-particle":"","family":"Kisielewski","given":"W","non-dropping-particle":"","parse-names":false,"suffix":""},{"dropping-particle":"","family":"Baltaziak","given":"M","non-dropping-particle":"","parse-names":false,"suffix":""},{"dropping-particle":"","family":"Wincewicz","given":"A","non-dropping-particle":"","parse-names":false,"suffix":""},{"dropping-particle":"","family":"Sulkowski","given":"S","non-dropping-particle":"","parse-names":false,"suffix":""}],"container-title":"Neoplasma","id":"ITEM-1","issue":"5","issued":{"date-parts":[["2005"]]},"page":"361-363","title":"Expression of the Insulin Receptor Substrate 1 in primary tumors and lymph node metastases in breast cancer: correlations with Bcl-xL and Bax proteins.","type":"article-journal","volume":"52"},"uris":["http://www.mendeley.com/documents/?uuid=b2a07e5f-5745-4902-87f2-b0afcd4046ed"]}],"mendeley":{"formattedCitation":"[24]","plainTextFormattedCitation":"[24]","previouslyFormattedCitation":"[24]"},"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4E1BA6" w:rsidRPr="001256B1">
        <w:rPr>
          <w:rFonts w:ascii="Book Antiqua" w:hAnsi="Book Antiqua"/>
          <w:bCs/>
          <w:noProof/>
          <w:color w:val="000000" w:themeColor="text1"/>
          <w:vertAlign w:val="superscript"/>
          <w:lang w:val="en-US"/>
        </w:rPr>
        <w:t>[24]</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Based on this data we assume that influence of IRS-1 on tumor cell survival mechanisms can be diverse and can be related to cancer stage.</w:t>
      </w:r>
    </w:p>
    <w:p w14:paraId="43577EFF" w14:textId="435A7092" w:rsidR="008F5A7C" w:rsidRPr="001256B1" w:rsidRDefault="008F5A7C" w:rsidP="00F55750">
      <w:pPr>
        <w:snapToGrid w:val="0"/>
        <w:spacing w:line="360" w:lineRule="auto"/>
        <w:ind w:firstLineChars="100" w:firstLine="240"/>
        <w:jc w:val="both"/>
        <w:rPr>
          <w:rFonts w:ascii="Book Antiqua" w:hAnsi="Book Antiqua"/>
          <w:bCs/>
          <w:color w:val="000000" w:themeColor="text1"/>
          <w:lang w:val="en-US"/>
        </w:rPr>
      </w:pPr>
      <w:r w:rsidRPr="001256B1">
        <w:rPr>
          <w:rFonts w:ascii="Book Antiqua" w:hAnsi="Book Antiqua"/>
          <w:bCs/>
          <w:color w:val="000000" w:themeColor="text1"/>
          <w:lang w:val="en-US"/>
        </w:rPr>
        <w:t>In general, cell survival depends on the balance between expressed amounts of proapoptotic and antiapoptotic Bcl-2 family members. Increasing evidence suggested that function of Bcl-2 family proteins could be also regulated by its phosphorylation or dephosphorylation rates</w:t>
      </w:r>
      <w:r w:rsidRPr="001256B1">
        <w:rPr>
          <w:rFonts w:ascii="Book Antiqua" w:hAnsi="Book Antiqua"/>
          <w:bCs/>
          <w:color w:val="000000" w:themeColor="text1"/>
          <w:vertAlign w:val="superscript"/>
          <w:lang w:val="en-US"/>
        </w:rPr>
        <w:fldChar w:fldCharType="begin" w:fldLock="1"/>
      </w:r>
      <w:r w:rsidR="001B2DB3" w:rsidRPr="001256B1">
        <w:rPr>
          <w:rFonts w:ascii="Book Antiqua" w:hAnsi="Book Antiqua"/>
          <w:bCs/>
          <w:color w:val="000000" w:themeColor="text1"/>
          <w:vertAlign w:val="superscript"/>
          <w:lang w:val="en-US"/>
        </w:rPr>
        <w:instrText>ADDIN CSL_CITATION {"citationItems":[{"id":"ITEM-1","itemData":{"ISSN":"0021-9258","author":[{"dropping-particle":"","family":"Ito","given":"Takahiko","non-dropping-particle":"","parse-names":false,"suffix":""},{"dropping-particle":"","family":"Deng","given":"Xingming","non-dropping-particle":"","parse-names":false,"suffix":""},{"dropping-particle":"","family":"Carr","given":"Boyd","non-dropping-particle":"","parse-names":false,"suffix":""},{"dropping-particle":"","family":"May","given":"W Stratford","non-dropping-particle":"","parse-names":false,"suffix":""}],"container-title":"Journal of Biological Chemistry","id":"ITEM-1","issue":"18","issued":{"date-parts":[["1997"]]},"page":"11671-11673","publisher":"ASBMB","title":"Bcl-2 phosphorylation required for anti-apoptosis function","type":"article-journal","volume":"272"},"uris":["http://www.mendeley.com/documents/?uuid=d836183e-9734-4fd8-8382-7eb004d766a6"]}],"mendeley":{"formattedCitation":"[25]","plainTextFormattedCitation":"[25]","previouslyFormattedCitation":"[25]"},"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4E1BA6" w:rsidRPr="001256B1">
        <w:rPr>
          <w:rFonts w:ascii="Book Antiqua" w:hAnsi="Book Antiqua"/>
          <w:bCs/>
          <w:noProof/>
          <w:color w:val="000000" w:themeColor="text1"/>
          <w:vertAlign w:val="superscript"/>
          <w:lang w:val="en-US"/>
        </w:rPr>
        <w:t>[25]</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Overexpression of IRS-1 was reported to suppress insulin-induced phosphorylation and activation of Bcl-2 protein</w:t>
      </w:r>
      <w:r w:rsidRPr="001256B1">
        <w:rPr>
          <w:rFonts w:ascii="Book Antiqua" w:hAnsi="Book Antiqua"/>
          <w:bCs/>
          <w:color w:val="000000" w:themeColor="text1"/>
          <w:vertAlign w:val="superscript"/>
          <w:lang w:val="en-US"/>
        </w:rPr>
        <w:fldChar w:fldCharType="begin" w:fldLock="1"/>
      </w:r>
      <w:r w:rsidR="001B2DB3" w:rsidRPr="001256B1">
        <w:rPr>
          <w:rFonts w:ascii="Book Antiqua" w:hAnsi="Book Antiqua"/>
          <w:bCs/>
          <w:color w:val="000000" w:themeColor="text1"/>
          <w:vertAlign w:val="superscript"/>
          <w:lang w:val="en-US"/>
        </w:rPr>
        <w:instrText>ADDIN CSL_CITATION {"citationItems":[{"id":"ITEM-1","itemData":{"ISSN":"1059-1524","author":[{"dropping-particle":"","family":"Ueno","given":"Hiroo","non-dropping-particle":"","parse-names":false,"suffix":""},{"dropping-particle":"","family":"Kondo","given":"Eisaku","non-dropping-particle":"","parse-names":false,"suffix":""},{"dropping-particle":"","family":"Yamamoto-Honda","given":"Ritsuko","non-dropping-particle":"","parse-names":false,"suffix":""},{"dropping-particle":"","family":"Tobe","given":"Kazuyuki","non-dropping-particle":"","parse-names":false,"suffix":""},{"dropping-particle":"","family":"Nakamoto","given":"Tetsuya","non-dropping-particle":"","parse-names":false,"suffix":""},{"dropping-particle":"","family":"Sasaki","given":"Ko","non-dropping-particle":"","parse-names":false,"suffix":""},{"dropping-particle":"","family":"Mitani","given":"Kinuko","non-dropping-particle":"","parse-names":false,"suffix":""},{"dropping-particle":"","family":"Furusaka","given":"Akihiro","non-dropping-particle":"","parse-names":false,"suffix":""},{"dropping-particle":"","family":"Tanaka","given":"Teruji","non-dropping-particle":"","parse-names":false,"suffix":""},{"dropping-particle":"","family":"Tsujimoto","given":"Yoshihide","non-dropping-particle":"","parse-names":false,"suffix":""}],"container-title":"Molecular biology of the cell","id":"ITEM-1","issue":"2","issued":{"date-parts":[["2000"]]},"page":"735-746","publisher":"Am Soc Cell Biol","title":"Association of insulin receptor substrate proteins with Bcl-2 and their effects on its phosphorylation and antiapoptotic function","type":"article-journal","volume":"11"},"uris":["http://www.mendeley.com/documents/?uuid=a5cc85fd-76af-4b12-92e4-3e1108a5ad93"]}],"mendeley":{"formattedCitation":"[26]","plainTextFormattedCitation":"[26]","previouslyFormattedCitation":"[26]"},"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4E1BA6" w:rsidRPr="001256B1">
        <w:rPr>
          <w:rFonts w:ascii="Book Antiqua" w:hAnsi="Book Antiqua"/>
          <w:bCs/>
          <w:noProof/>
          <w:color w:val="000000" w:themeColor="text1"/>
          <w:vertAlign w:val="superscript"/>
          <w:lang w:val="en-US"/>
        </w:rPr>
        <w:t>[26]</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xml:space="preserve">. Another study documented that IRS-1-mediated signals lead to resistance to apoptosis induced by </w:t>
      </w:r>
      <w:r w:rsidR="00D20349" w:rsidRPr="001256B1">
        <w:rPr>
          <w:rFonts w:ascii="Book Antiqua" w:hAnsi="Book Antiqua"/>
          <w:bCs/>
          <w:color w:val="000000" w:themeColor="text1"/>
          <w:lang w:val="en-US"/>
        </w:rPr>
        <w:t>Transforming Growth Factor</w:t>
      </w:r>
      <w:r w:rsidRPr="001256B1">
        <w:rPr>
          <w:rFonts w:ascii="Book Antiqua" w:hAnsi="Book Antiqua"/>
          <w:bCs/>
          <w:color w:val="000000" w:themeColor="text1"/>
          <w:lang w:val="en-US"/>
        </w:rPr>
        <w:t>-β1 in hepatocellular carcinoma cells</w:t>
      </w:r>
      <w:r w:rsidRPr="001256B1">
        <w:rPr>
          <w:rFonts w:ascii="Book Antiqua" w:hAnsi="Book Antiqua"/>
          <w:bCs/>
          <w:color w:val="000000" w:themeColor="text1"/>
          <w:vertAlign w:val="superscript"/>
          <w:lang w:val="en-US"/>
        </w:rPr>
        <w:fldChar w:fldCharType="begin" w:fldLock="1"/>
      </w:r>
      <w:r w:rsidR="001B2DB3" w:rsidRPr="001256B1">
        <w:rPr>
          <w:rFonts w:ascii="Book Antiqua" w:hAnsi="Book Antiqua"/>
          <w:bCs/>
          <w:color w:val="000000" w:themeColor="text1"/>
          <w:vertAlign w:val="superscript"/>
          <w:lang w:val="en-US"/>
        </w:rPr>
        <w:instrText>ADDIN CSL_CITATION {"citationItems":[{"id":"ITEM-1","itemData":{"ISSN":"0008-5472","author":[{"dropping-particle":"","family":"Tanaka","given":"Shinji","non-dropping-particle":"","parse-names":false,"suffix":""},{"dropping-particle":"","family":"Wands","given":"Jack R","non-dropping-particle":"","parse-names":false,"suffix":""}],"container-title":"Cancer research","id":"ITEM-1","issue":"15","issued":{"date-parts":[["1996"]]},"page":"3391-3394","publisher":"AACR","title":"Insulin receptor substrate 1 overexpression in human hepatocellular carcinoma cells prevents transforming growth factor β1-induced apoptosis","type":"article-journal","volume":"56"},"uris":["http://www.mendeley.com/documents/?uuid=49a2e7d4-1472-4fca-b19e-c89318737e14"]}],"mendeley":{"formattedCitation":"[27]","plainTextFormattedCitation":"[27]","previouslyFormattedCitation":"[27]"},"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4E1BA6" w:rsidRPr="001256B1">
        <w:rPr>
          <w:rFonts w:ascii="Book Antiqua" w:hAnsi="Book Antiqua"/>
          <w:bCs/>
          <w:noProof/>
          <w:color w:val="000000" w:themeColor="text1"/>
          <w:vertAlign w:val="superscript"/>
          <w:lang w:val="en-US"/>
        </w:rPr>
        <w:t>[27]</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w:t>
      </w:r>
      <w:r w:rsidR="00C5231C" w:rsidRPr="001256B1">
        <w:rPr>
          <w:rFonts w:ascii="Book Antiqua" w:hAnsi="Book Antiqua"/>
          <w:bCs/>
          <w:color w:val="000000" w:themeColor="text1"/>
          <w:lang w:val="en-US"/>
        </w:rPr>
        <w:t xml:space="preserve"> </w:t>
      </w:r>
      <w:r w:rsidR="001B2DB3" w:rsidRPr="001256B1">
        <w:rPr>
          <w:rFonts w:ascii="Book Antiqua" w:hAnsi="Book Antiqua"/>
          <w:bCs/>
          <w:color w:val="000000" w:themeColor="text1"/>
          <w:lang w:val="en-US"/>
        </w:rPr>
        <w:t>Also, overexpression</w:t>
      </w:r>
      <w:r w:rsidRPr="001256B1">
        <w:rPr>
          <w:rFonts w:ascii="Book Antiqua" w:hAnsi="Book Antiqua"/>
          <w:bCs/>
          <w:color w:val="000000" w:themeColor="text1"/>
          <w:lang w:val="en-US"/>
        </w:rPr>
        <w:t xml:space="preserve"> </w:t>
      </w:r>
      <w:r w:rsidR="001B2DB3" w:rsidRPr="001256B1">
        <w:rPr>
          <w:rFonts w:ascii="Book Antiqua" w:hAnsi="Book Antiqua"/>
          <w:bCs/>
          <w:color w:val="000000" w:themeColor="text1"/>
          <w:lang w:val="en-US"/>
        </w:rPr>
        <w:t>of IRS-1 in glioblastoma cells was found to promote cell survival</w:t>
      </w:r>
      <w:r w:rsidR="001B2DB3" w:rsidRPr="001256B1">
        <w:rPr>
          <w:rFonts w:ascii="Book Antiqua" w:hAnsi="Book Antiqua"/>
          <w:bCs/>
          <w:color w:val="000000" w:themeColor="text1"/>
          <w:vertAlign w:val="superscript"/>
          <w:lang w:val="en-US"/>
        </w:rPr>
        <w:fldChar w:fldCharType="begin" w:fldLock="1"/>
      </w:r>
      <w:r w:rsidR="009F33E4" w:rsidRPr="001256B1">
        <w:rPr>
          <w:rFonts w:ascii="Book Antiqua" w:hAnsi="Book Antiqua"/>
          <w:bCs/>
          <w:color w:val="000000" w:themeColor="text1"/>
          <w:vertAlign w:val="superscript"/>
          <w:lang w:val="en-US"/>
        </w:rPr>
        <w:instrText>ADDIN CSL_CITATION {"citationItems":[{"id":"ITEM-1","itemData":{"ISSN":"1641-4640","author":[{"dropping-particle":"","family":"Gorgisen","given":"Gokhan","non-dropping-particle":"","parse-names":false,"suffix":""},{"dropping-particle":"","family":"Yaren","given":"Zafer","non-dropping-particle":"","parse-names":false,"suffix":""}],"container-title":"Folia Neuropathologica","id":"ITEM-1","issue":"1","issued":{"date-parts":[["2020"]]},"page":"38-44","publisher":"Termedia","title":"Insulin receptor substrate 1 overexpression promotes survival of glioblastoma cells through AKT1 activation","type":"article-journal","volume":"58"},"uris":["http://www.mendeley.com/documents/?uuid=cd3fad82-8e26-4f21-8793-adf03f4fe7f7"]}],"mendeley":{"formattedCitation":"[28]","plainTextFormattedCitation":"[28]","previouslyFormattedCitation":"[28]"},"properties":{"noteIndex":0},"schema":"https://github.com/citation-style-language/schema/raw/master/csl-citation.json"}</w:instrText>
      </w:r>
      <w:r w:rsidR="001B2DB3" w:rsidRPr="001256B1">
        <w:rPr>
          <w:rFonts w:ascii="Book Antiqua" w:hAnsi="Book Antiqua"/>
          <w:bCs/>
          <w:color w:val="000000" w:themeColor="text1"/>
          <w:vertAlign w:val="superscript"/>
          <w:lang w:val="en-US"/>
        </w:rPr>
        <w:fldChar w:fldCharType="separate"/>
      </w:r>
      <w:r w:rsidR="001B2DB3" w:rsidRPr="001256B1">
        <w:rPr>
          <w:rFonts w:ascii="Book Antiqua" w:hAnsi="Book Antiqua"/>
          <w:bCs/>
          <w:noProof/>
          <w:color w:val="000000" w:themeColor="text1"/>
          <w:vertAlign w:val="superscript"/>
          <w:lang w:val="en-US"/>
        </w:rPr>
        <w:t>[28]</w:t>
      </w:r>
      <w:r w:rsidR="001B2DB3" w:rsidRPr="001256B1">
        <w:rPr>
          <w:rFonts w:ascii="Book Antiqua" w:hAnsi="Book Antiqua"/>
          <w:bCs/>
          <w:color w:val="000000" w:themeColor="text1"/>
          <w:vertAlign w:val="superscript"/>
          <w:lang w:val="en-US"/>
        </w:rPr>
        <w:fldChar w:fldCharType="end"/>
      </w:r>
      <w:r w:rsidR="001B2DB3"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Moreover, a study on brown pre-adipocytes indicated that IGF-1 as well as insulin exerts antiapoptotic effect, </w:t>
      </w:r>
      <w:r w:rsidRPr="001256B1">
        <w:rPr>
          <w:rFonts w:ascii="Book Antiqua" w:hAnsi="Book Antiqua"/>
          <w:bCs/>
          <w:color w:val="000000" w:themeColor="text1"/>
          <w:lang w:val="en-US"/>
        </w:rPr>
        <w:lastRenderedPageBreak/>
        <w:t>which can be impaired by IRS-1 deletion and restored by its re-expression</w:t>
      </w:r>
      <w:r w:rsidRPr="001256B1">
        <w:rPr>
          <w:rFonts w:ascii="Book Antiqua" w:hAnsi="Book Antiqua"/>
          <w:bCs/>
          <w:color w:val="000000" w:themeColor="text1"/>
          <w:vertAlign w:val="superscript"/>
          <w:lang w:val="en-US"/>
        </w:rPr>
        <w:fldChar w:fldCharType="begin" w:fldLock="1"/>
      </w:r>
      <w:r w:rsidR="009F33E4" w:rsidRPr="001256B1">
        <w:rPr>
          <w:rFonts w:ascii="Book Antiqua" w:hAnsi="Book Antiqua"/>
          <w:bCs/>
          <w:color w:val="000000" w:themeColor="text1"/>
          <w:vertAlign w:val="superscript"/>
          <w:lang w:val="en-US"/>
        </w:rPr>
        <w:instrText>ADDIN CSL_CITATION {"citationItems":[{"id":"ITEM-1","itemData":{"ISSN":"0021-9258","author":[{"dropping-particle":"","family":"Tseng","given":"Yu-Hua","non-dropping-particle":"","parse-names":false,"suffix":""},{"dropping-particle":"","family":"Ueki","given":"Kohjiro","non-dropping-particle":"","parse-names":false,"suffix":""},{"dropping-particle":"","family":"Kriauciunas","given":"Kristina M","non-dropping-particle":"","parse-names":false,"suffix":""},{"dropping-particle":"","family":"Kahn","given":"C Ronald","non-dropping-particle":"","parse-names":false,"suffix":""}],"container-title":"Journal of Biological Chemistry","id":"ITEM-1","issue":"35","issued":{"date-parts":[["2002"]]},"page":"31601-31611","publisher":"ASBMB","title":"Differential roles of insulin receptor substrates in the anti-apoptotic function of insulin-like growth factor-1 and insulin","type":"article-journal","volume":"277"},"uris":["http://www.mendeley.com/documents/?uuid=252d21b1-263a-4f5f-ab70-fa9b3ce08722"]}],"mendeley":{"formattedCitation":"[29]","plainTextFormattedCitation":"[29]","previouslyFormattedCitation":"[29]"},"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1B2DB3" w:rsidRPr="001256B1">
        <w:rPr>
          <w:rFonts w:ascii="Book Antiqua" w:hAnsi="Book Antiqua"/>
          <w:bCs/>
          <w:noProof/>
          <w:color w:val="000000" w:themeColor="text1"/>
          <w:vertAlign w:val="superscript"/>
          <w:lang w:val="en-US"/>
        </w:rPr>
        <w:t>[29]</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It was also reported that overexpression of the IGF-</w:t>
      </w:r>
      <w:r w:rsidR="000B05A8" w:rsidRPr="001256B1">
        <w:rPr>
          <w:rFonts w:ascii="Book Antiqua" w:hAnsi="Book Antiqua"/>
          <w:bCs/>
          <w:color w:val="000000" w:themeColor="text1"/>
          <w:lang w:val="en-US"/>
        </w:rPr>
        <w:t>1</w:t>
      </w:r>
      <w:r w:rsidRPr="001256B1">
        <w:rPr>
          <w:rFonts w:ascii="Book Antiqua" w:hAnsi="Book Antiqua"/>
          <w:bCs/>
          <w:color w:val="000000" w:themeColor="text1"/>
          <w:lang w:val="en-US"/>
        </w:rPr>
        <w:t>R in human CRC cell line (</w:t>
      </w:r>
      <w:r w:rsidR="00C5231C" w:rsidRPr="001256B1">
        <w:rPr>
          <w:rFonts w:ascii="Book Antiqua" w:hAnsi="Book Antiqua"/>
          <w:color w:val="000000"/>
          <w:shd w:val="clear" w:color="auto" w:fill="FFFFFF"/>
          <w:lang w:val="en-US"/>
        </w:rPr>
        <w:t xml:space="preserve">Hematocrit </w:t>
      </w:r>
      <w:r w:rsidRPr="001256B1">
        <w:rPr>
          <w:rFonts w:ascii="Book Antiqua" w:hAnsi="Book Antiqua"/>
          <w:color w:val="000000"/>
          <w:shd w:val="clear" w:color="auto" w:fill="FFFFFF"/>
          <w:lang w:val="en-US"/>
        </w:rPr>
        <w:t xml:space="preserve">116/IGF-1R) results in up-regulation of the antiapoptotic protein </w:t>
      </w:r>
      <w:proofErr w:type="spellStart"/>
      <w:r w:rsidRPr="001256B1">
        <w:rPr>
          <w:rFonts w:ascii="Book Antiqua" w:hAnsi="Book Antiqua"/>
          <w:color w:val="000000"/>
          <w:shd w:val="clear" w:color="auto" w:fill="FFFFFF"/>
          <w:lang w:val="en-US"/>
        </w:rPr>
        <w:t>Bcl-xL</w:t>
      </w:r>
      <w:proofErr w:type="spellEnd"/>
      <w:r w:rsidRPr="001256B1">
        <w:rPr>
          <w:rFonts w:ascii="Book Antiqua" w:hAnsi="Book Antiqua"/>
          <w:color w:val="000000"/>
          <w:shd w:val="clear" w:color="auto" w:fill="FFFFFF"/>
          <w:vertAlign w:val="superscript"/>
          <w:lang w:val="en-US"/>
        </w:rPr>
        <w:fldChar w:fldCharType="begin" w:fldLock="1"/>
      </w:r>
      <w:r w:rsidR="009F33E4" w:rsidRPr="001256B1">
        <w:rPr>
          <w:rFonts w:ascii="Book Antiqua" w:hAnsi="Book Antiqua"/>
          <w:color w:val="000000"/>
          <w:shd w:val="clear" w:color="auto" w:fill="FFFFFF"/>
          <w:vertAlign w:val="superscript"/>
          <w:lang w:val="en-US"/>
        </w:rPr>
        <w:instrText>ADDIN CSL_CITATION {"citationItems":[{"id":"ITEM-1","itemData":{"ISSN":"0008-5472","author":[{"dropping-particle":"","family":"Sekharam","given":"Madhavi","non-dropping-particle":"","parse-names":false,"suffix":""},{"dropping-particle":"","family":"Zhao","given":"Haiyan","non-dropping-particle":"","parse-names":false,"suffix":""},{"dropping-particle":"","family":"Sun","given":"Mei","non-dropping-particle":"","parse-names":false,"suffix":""},{"dropping-particle":"","family":"Fang","given":"Quan","non-dropping-particle":"","parse-names":false,"suffix":""},{"dropping-particle":"","family":"Zhang","given":"Qingbo","non-dropping-particle":"","parse-names":false,"suffix":""},{"dropping-particle":"","family":"Yuan","given":"Zengqiang","non-dropping-particle":"","parse-names":false,"suffix":""},{"dropping-particle":"","family":"Dan","given":"Han C","non-dropping-particle":"","parse-names":false,"suffix":""},{"dropping-particle":"","family":"Boulware","given":"David","non-dropping-particle":"","parse-names":false,"suffix":""},{"dropping-particle":"","family":"Cheng","given":"Jin Q","non-dropping-particle":"","parse-names":false,"suffix":""},{"dropping-particle":"","family":"Coppola","given":"Domenico","non-dropping-particle":"","parse-names":false,"suffix":""}],"container-title":"Cancer research","id":"ITEM-1","issue":"22","issued":{"date-parts":[["2003"]]},"page":"7708-7716","publisher":"AACR","title":"Insulin-like growth factor 1 receptor enhances invasion and induces resistance to apoptosis of colon cancer cells through the Akt/Bcl-xL pathway","type":"article-journal","volume":"63"},"uris":["http://www.mendeley.com/documents/?uuid=3578478f-e08a-481a-9a77-7a7752665c22"]}],"mendeley":{"formattedCitation":"[30]","plainTextFormattedCitation":"[30]","previouslyFormattedCitation":"[30]"},"properties":{"noteIndex":0},"schema":"https://github.com/citation-style-language/schema/raw/master/csl-citation.json"}</w:instrText>
      </w:r>
      <w:r w:rsidRPr="001256B1">
        <w:rPr>
          <w:rFonts w:ascii="Book Antiqua" w:hAnsi="Book Antiqua"/>
          <w:color w:val="000000"/>
          <w:shd w:val="clear" w:color="auto" w:fill="FFFFFF"/>
          <w:vertAlign w:val="superscript"/>
          <w:lang w:val="en-US"/>
        </w:rPr>
        <w:fldChar w:fldCharType="separate"/>
      </w:r>
      <w:r w:rsidR="001B2DB3" w:rsidRPr="001256B1">
        <w:rPr>
          <w:rFonts w:ascii="Book Antiqua" w:hAnsi="Book Antiqua"/>
          <w:noProof/>
          <w:color w:val="000000"/>
          <w:shd w:val="clear" w:color="auto" w:fill="FFFFFF"/>
          <w:vertAlign w:val="superscript"/>
          <w:lang w:val="en-US"/>
        </w:rPr>
        <w:t>[30]</w:t>
      </w:r>
      <w:r w:rsidRPr="001256B1">
        <w:rPr>
          <w:rFonts w:ascii="Book Antiqua" w:hAnsi="Book Antiqua"/>
          <w:color w:val="000000"/>
          <w:shd w:val="clear" w:color="auto" w:fill="FFFFFF"/>
          <w:vertAlign w:val="superscript"/>
          <w:lang w:val="en-US"/>
        </w:rPr>
        <w:fldChar w:fldCharType="end"/>
      </w:r>
      <w:r w:rsidRPr="001256B1">
        <w:rPr>
          <w:rFonts w:ascii="Book Antiqua" w:hAnsi="Book Antiqua"/>
          <w:color w:val="000000"/>
          <w:shd w:val="clear" w:color="auto" w:fill="FFFFFF"/>
          <w:lang w:val="en-US"/>
        </w:rPr>
        <w:t>.</w:t>
      </w:r>
    </w:p>
    <w:p w14:paraId="0EAFC77E" w14:textId="54160B01" w:rsidR="008F5A7C" w:rsidRPr="001256B1" w:rsidRDefault="008F5A7C" w:rsidP="00F55750">
      <w:pPr>
        <w:snapToGrid w:val="0"/>
        <w:spacing w:line="360" w:lineRule="auto"/>
        <w:ind w:firstLineChars="100" w:firstLine="240"/>
        <w:jc w:val="both"/>
        <w:rPr>
          <w:rFonts w:ascii="Book Antiqua" w:hAnsi="Book Antiqua"/>
          <w:bCs/>
          <w:color w:val="000000" w:themeColor="text1"/>
          <w:lang w:val="en-US"/>
        </w:rPr>
      </w:pPr>
      <w:r w:rsidRPr="001256B1">
        <w:rPr>
          <w:rFonts w:ascii="Book Antiqua" w:hAnsi="Book Antiqua"/>
          <w:bCs/>
          <w:color w:val="000000" w:themeColor="text1"/>
          <w:lang w:val="en-US"/>
        </w:rPr>
        <w:t xml:space="preserve">In contrast, several reports suggested that IRS-1 is either not critical or plays a negative role in cell survival. For example, in </w:t>
      </w:r>
      <w:r w:rsidRPr="001256B1">
        <w:rPr>
          <w:rFonts w:ascii="Book Antiqua" w:hAnsi="Book Antiqua"/>
          <w:bCs/>
          <w:lang w:val="en-US"/>
        </w:rPr>
        <w:t>32</w:t>
      </w:r>
      <w:r w:rsidR="00011BF0" w:rsidRPr="001256B1">
        <w:rPr>
          <w:rFonts w:ascii="Book Antiqua" w:hAnsi="Book Antiqua"/>
          <w:bCs/>
          <w:lang w:val="en-US"/>
        </w:rPr>
        <w:t xml:space="preserve"> </w:t>
      </w:r>
      <w:r w:rsidRPr="001256B1">
        <w:rPr>
          <w:rFonts w:ascii="Book Antiqua" w:hAnsi="Book Antiqua"/>
          <w:bCs/>
          <w:lang w:val="en-US"/>
        </w:rPr>
        <w:t xml:space="preserve">D hematopoietic cells </w:t>
      </w:r>
      <w:r w:rsidRPr="001256B1">
        <w:rPr>
          <w:rFonts w:ascii="Book Antiqua" w:hAnsi="Book Antiqua"/>
          <w:bCs/>
          <w:color w:val="000000" w:themeColor="text1"/>
          <w:lang w:val="en-US"/>
        </w:rPr>
        <w:t>lacking IRS-1 expression, IGF-1R activation still protected cells from apoptosis, suggesting that non-IRS-1 pathways were involved in the process</w:t>
      </w:r>
      <w:r w:rsidRPr="001256B1">
        <w:rPr>
          <w:rFonts w:ascii="Book Antiqua" w:hAnsi="Book Antiqua"/>
          <w:bCs/>
          <w:color w:val="000000" w:themeColor="text1"/>
          <w:vertAlign w:val="superscript"/>
          <w:lang w:val="en-US"/>
        </w:rPr>
        <w:fldChar w:fldCharType="begin" w:fldLock="1"/>
      </w:r>
      <w:r w:rsidR="009F33E4" w:rsidRPr="001256B1">
        <w:rPr>
          <w:rFonts w:ascii="Book Antiqua" w:hAnsi="Book Antiqua"/>
          <w:bCs/>
          <w:color w:val="000000" w:themeColor="text1"/>
          <w:vertAlign w:val="superscript"/>
          <w:lang w:val="en-US"/>
        </w:rPr>
        <w:instrText>ADDIN CSL_CITATION {"citationItems":[{"id":"ITEM-1","itemData":{"ISSN":"1087-8475","author":[{"dropping-particle":"","family":"Dews","given":"Michael","non-dropping-particle":"","parse-names":false,"suffix":""},{"dropping-particle":"","family":"Nishimoto","given":"Ikuo","non-dropping-particle":"","parse-names":false,"suffix":""},{"dropping-particle":"","family":"Baserga","given":"Renato","non-dropping-particle":"","parse-names":false,"suffix":""}],"container-title":"Receptors &amp; signal transduction","id":"ITEM-1","issue":"4","issued":{"date-parts":[["1997"]]},"page":"231-240","title":"IGF-I receptor protection from apoptosis in cells lacking the IRS proteins.","type":"article-journal","volume":"7"},"uris":["http://www.mendeley.com/documents/?uuid=0555b291-f531-4183-85ad-73a354ea71e3"]}],"mendeley":{"formattedCitation":"[31]","plainTextFormattedCitation":"[31]","previouslyFormattedCitation":"[31]"},"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1B2DB3" w:rsidRPr="001256B1">
        <w:rPr>
          <w:rFonts w:ascii="Book Antiqua" w:hAnsi="Book Antiqua"/>
          <w:bCs/>
          <w:noProof/>
          <w:color w:val="000000" w:themeColor="text1"/>
          <w:vertAlign w:val="superscript"/>
          <w:lang w:val="en-US"/>
        </w:rPr>
        <w:t>[31]</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w:t>
      </w:r>
      <w:r w:rsidR="009F33E4" w:rsidRPr="001256B1">
        <w:rPr>
          <w:rFonts w:ascii="Book Antiqua" w:hAnsi="Book Antiqua"/>
          <w:bCs/>
          <w:color w:val="000000" w:themeColor="text1"/>
          <w:lang w:val="en-US"/>
        </w:rPr>
        <w:t xml:space="preserve"> Another study </w:t>
      </w:r>
      <w:r w:rsidR="0012454D" w:rsidRPr="001256B1">
        <w:rPr>
          <w:rFonts w:ascii="Book Antiqua" w:hAnsi="Book Antiqua"/>
          <w:bCs/>
          <w:color w:val="000000" w:themeColor="text1"/>
          <w:lang w:val="en-US"/>
        </w:rPr>
        <w:t>in the</w:t>
      </w:r>
      <w:r w:rsidR="009F33E4" w:rsidRPr="001256B1">
        <w:rPr>
          <w:rFonts w:ascii="Book Antiqua" w:hAnsi="Book Antiqua"/>
          <w:bCs/>
          <w:color w:val="000000" w:themeColor="text1"/>
          <w:lang w:val="en-US"/>
        </w:rPr>
        <w:t xml:space="preserve"> 32</w:t>
      </w:r>
      <w:r w:rsidR="000D53CA" w:rsidRPr="001256B1">
        <w:rPr>
          <w:rFonts w:ascii="Book Antiqua" w:hAnsi="Book Antiqua"/>
          <w:bCs/>
          <w:color w:val="000000" w:themeColor="text1"/>
          <w:lang w:val="en-US"/>
        </w:rPr>
        <w:t xml:space="preserve"> </w:t>
      </w:r>
      <w:r w:rsidR="009F33E4" w:rsidRPr="001256B1">
        <w:rPr>
          <w:rFonts w:ascii="Book Antiqua" w:hAnsi="Book Antiqua"/>
          <w:bCs/>
          <w:color w:val="000000" w:themeColor="text1"/>
          <w:lang w:val="en-US"/>
        </w:rPr>
        <w:t xml:space="preserve">D model system showed that IRS-1 expression sensitized cells to chemotherapy-induced death, but it </w:t>
      </w:r>
      <w:r w:rsidR="004B0865" w:rsidRPr="001256B1">
        <w:rPr>
          <w:rFonts w:ascii="Book Antiqua" w:hAnsi="Book Antiqua"/>
          <w:bCs/>
          <w:color w:val="000000" w:themeColor="text1"/>
          <w:lang w:val="en-US"/>
        </w:rPr>
        <w:t>did not affect the</w:t>
      </w:r>
      <w:r w:rsidR="009F33E4" w:rsidRPr="001256B1">
        <w:rPr>
          <w:rFonts w:ascii="Book Antiqua" w:hAnsi="Book Antiqua"/>
          <w:bCs/>
          <w:color w:val="000000" w:themeColor="text1"/>
          <w:lang w:val="en-US"/>
        </w:rPr>
        <w:t xml:space="preserve"> expression of pro- or antiapoptotic proteins</w:t>
      </w:r>
      <w:r w:rsidR="009F33E4" w:rsidRPr="001256B1">
        <w:rPr>
          <w:rFonts w:ascii="Book Antiqua" w:hAnsi="Book Antiqua"/>
          <w:bCs/>
          <w:color w:val="000000" w:themeColor="text1"/>
          <w:vertAlign w:val="superscript"/>
          <w:lang w:val="en-US"/>
        </w:rPr>
        <w:fldChar w:fldCharType="begin" w:fldLock="1"/>
      </w:r>
      <w:r w:rsidR="00C64BD1" w:rsidRPr="001256B1">
        <w:rPr>
          <w:rFonts w:ascii="Book Antiqua" w:hAnsi="Book Antiqua"/>
          <w:bCs/>
          <w:color w:val="000000" w:themeColor="text1"/>
          <w:vertAlign w:val="superscript"/>
          <w:lang w:val="en-US"/>
        </w:rPr>
        <w:instrText>ADDIN CSL_CITATION {"citationItems":[{"id":"ITEM-1","itemData":{"ISSN":"0014-4827","author":[{"dropping-particle":"","family":"Porter","given":"Holly A","non-dropping-particle":"","parse-names":false,"suffix":""},{"dropping-particle":"","family":"Carey","given":"Gregory B","non-dropping-particle":"","parse-names":false,"suffix":""},{"dropping-particle":"","family":"Keegan","given":"Achsah D","non-dropping-particle":"","parse-names":false,"suffix":""}],"container-title":"Experimental cell research","id":"ITEM-1","issue":"14","issued":{"date-parts":[["2012"]]},"page":"1745-1758","publisher":"Elsevier","title":"Insulin receptor substrate 1 expression enhances the sensitivity of 32D cells to chemotherapy-induced cell death","type":"article-journal","volume":"318"},"uris":["http://www.mendeley.com/documents/?uuid=11af944d-f165-467a-b0d8-00f437aa29a8"]}],"mendeley":{"formattedCitation":"[32]","plainTextFormattedCitation":"[32]","previouslyFormattedCitation":"[32]"},"properties":{"noteIndex":0},"schema":"https://github.com/citation-style-language/schema/raw/master/csl-citation.json"}</w:instrText>
      </w:r>
      <w:r w:rsidR="009F33E4" w:rsidRPr="001256B1">
        <w:rPr>
          <w:rFonts w:ascii="Book Antiqua" w:hAnsi="Book Antiqua"/>
          <w:bCs/>
          <w:color w:val="000000" w:themeColor="text1"/>
          <w:vertAlign w:val="superscript"/>
          <w:lang w:val="en-US"/>
        </w:rPr>
        <w:fldChar w:fldCharType="separate"/>
      </w:r>
      <w:r w:rsidR="009F33E4" w:rsidRPr="001256B1">
        <w:rPr>
          <w:rFonts w:ascii="Book Antiqua" w:hAnsi="Book Antiqua"/>
          <w:bCs/>
          <w:noProof/>
          <w:color w:val="000000" w:themeColor="text1"/>
          <w:vertAlign w:val="superscript"/>
          <w:lang w:val="en-US"/>
        </w:rPr>
        <w:t>[32]</w:t>
      </w:r>
      <w:r w:rsidR="009F33E4" w:rsidRPr="001256B1">
        <w:rPr>
          <w:rFonts w:ascii="Book Antiqua" w:hAnsi="Book Antiqua"/>
          <w:bCs/>
          <w:color w:val="000000" w:themeColor="text1"/>
          <w:vertAlign w:val="superscript"/>
          <w:lang w:val="en-US"/>
        </w:rPr>
        <w:fldChar w:fldCharType="end"/>
      </w:r>
      <w:r w:rsidR="009F33E4" w:rsidRPr="001256B1">
        <w:rPr>
          <w:rFonts w:ascii="Book Antiqua" w:hAnsi="Book Antiqua"/>
          <w:bCs/>
          <w:color w:val="000000" w:themeColor="text1"/>
          <w:lang w:val="en-US"/>
        </w:rPr>
        <w:t>.</w:t>
      </w:r>
      <w:r w:rsidRPr="001256B1">
        <w:rPr>
          <w:rFonts w:ascii="Book Antiqua" w:hAnsi="Book Antiqua"/>
          <w:bCs/>
          <w:color w:val="000000" w:themeColor="text1"/>
          <w:lang w:val="en-US"/>
        </w:rPr>
        <w:t xml:space="preserve"> Furthermore, IRS-1 overexpression in transgenic mouse livers enhanced </w:t>
      </w:r>
      <w:r w:rsidR="004B0865" w:rsidRPr="001256B1">
        <w:rPr>
          <w:rFonts w:ascii="Book Antiqua" w:hAnsi="Book Antiqua"/>
          <w:bCs/>
          <w:color w:val="000000" w:themeColor="text1"/>
          <w:lang w:val="en-US"/>
        </w:rPr>
        <w:t xml:space="preserve">cell </w:t>
      </w:r>
      <w:r w:rsidRPr="001256B1">
        <w:rPr>
          <w:rFonts w:ascii="Book Antiqua" w:hAnsi="Book Antiqua"/>
          <w:bCs/>
          <w:color w:val="000000" w:themeColor="text1"/>
          <w:lang w:val="en-US"/>
        </w:rPr>
        <w:t xml:space="preserve">proliferation </w:t>
      </w:r>
      <w:r w:rsidR="004B0865" w:rsidRPr="001256B1">
        <w:rPr>
          <w:rFonts w:ascii="Book Antiqua" w:hAnsi="Book Antiqua"/>
          <w:bCs/>
          <w:color w:val="000000" w:themeColor="text1"/>
          <w:lang w:val="en-US"/>
        </w:rPr>
        <w:t xml:space="preserve">and </w:t>
      </w:r>
      <w:r w:rsidRPr="001256B1">
        <w:rPr>
          <w:rFonts w:ascii="Book Antiqua" w:hAnsi="Book Antiqua"/>
          <w:bCs/>
          <w:color w:val="000000" w:themeColor="text1"/>
          <w:lang w:val="en-US"/>
        </w:rPr>
        <w:t xml:space="preserve">caused up-regulation of </w:t>
      </w:r>
      <w:proofErr w:type="spellStart"/>
      <w:r w:rsidRPr="00F947A6">
        <w:rPr>
          <w:rFonts w:ascii="Book Antiqua" w:hAnsi="Book Antiqua"/>
          <w:bCs/>
          <w:i/>
          <w:iCs/>
          <w:color w:val="000000" w:themeColor="text1"/>
          <w:lang w:val="en-US"/>
        </w:rPr>
        <w:t>Fas</w:t>
      </w:r>
      <w:proofErr w:type="spellEnd"/>
      <w:r w:rsidRPr="001256B1">
        <w:rPr>
          <w:rFonts w:ascii="Book Antiqua" w:hAnsi="Book Antiqua"/>
          <w:bCs/>
          <w:color w:val="000000" w:themeColor="text1"/>
          <w:lang w:val="en-US"/>
        </w:rPr>
        <w:t xml:space="preserve"> receptor but increased cell sensitivity to apoptosis</w:t>
      </w:r>
      <w:r w:rsidRPr="001256B1">
        <w:rPr>
          <w:rFonts w:ascii="Book Antiqua" w:hAnsi="Book Antiqua"/>
          <w:bCs/>
          <w:color w:val="000000" w:themeColor="text1"/>
          <w:vertAlign w:val="superscript"/>
          <w:lang w:val="en-US"/>
        </w:rPr>
        <w:fldChar w:fldCharType="begin" w:fldLock="1"/>
      </w:r>
      <w:r w:rsidR="00C64BD1" w:rsidRPr="001256B1">
        <w:rPr>
          <w:rFonts w:ascii="Book Antiqua" w:hAnsi="Book Antiqua"/>
          <w:bCs/>
          <w:color w:val="000000" w:themeColor="text1"/>
          <w:vertAlign w:val="superscript"/>
          <w:lang w:val="en-US"/>
        </w:rPr>
        <w:instrText>ADDIN CSL_CITATION {"citationItems":[{"id":"ITEM-1","itemData":{"ISSN":"0168-8278","author":[{"dropping-particle":"","family":"Wiedmann","given":"Marcus","non-dropping-particle":"","parse-names":false,"suffix":""},{"dropping-particle":"","family":"Tamaki","given":"Seishu","non-dropping-particle":"","parse-names":false,"suffix":""},{"dropping-particle":"","family":"Silberman","given":"Rebecca","non-dropping-particle":"","parse-names":false,"suffix":""},{"dropping-particle":"","family":"la Monte","given":"Suzanne M","non-dropping-particle":"de","parse-names":false,"suffix":""},{"dropping-particle":"","family":"Cousens","given":"Leslie","non-dropping-particle":"","parse-names":false,"suffix":""},{"dropping-particle":"","family":"Wands","given":"Jack R","non-dropping-particle":"","parse-names":false,"suffix":""}],"container-title":"Journal of hepatology","id":"ITEM-1","issue":"6","issued":{"date-parts":[["2003"]]},"page":"803-810","publisher":"Elsevier","title":"Constitutive over-expression of the insulin receptor substrate-1 causes functional up-regulation of Fas receptor","type":"article-journal","volume":"38"},"uris":["http://www.mendeley.com/documents/?uuid=c85d67a0-5430-4544-b3d4-2048c7d135a8"]}],"mendeley":{"formattedCitation":"[33]","plainTextFormattedCitation":"[33]","previouslyFormattedCitation":"[33]"},"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9F33E4" w:rsidRPr="001256B1">
        <w:rPr>
          <w:rFonts w:ascii="Book Antiqua" w:hAnsi="Book Antiqua"/>
          <w:bCs/>
          <w:noProof/>
          <w:color w:val="000000" w:themeColor="text1"/>
          <w:vertAlign w:val="superscript"/>
          <w:lang w:val="en-US"/>
        </w:rPr>
        <w:t>[33]</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xml:space="preserve">. Another study demonstrated that IGF-1 treatment of MG63 osteosarcoma cells stimulated growth and proliferation but also mildly induced apoptosis through caspase-3 activation, annexin-V binding and </w:t>
      </w:r>
      <w:r w:rsidR="00507E37" w:rsidRPr="001256B1">
        <w:rPr>
          <w:rFonts w:ascii="Book Antiqua" w:hAnsi="Book Antiqua"/>
          <w:bCs/>
          <w:color w:val="000000" w:themeColor="text1"/>
          <w:lang w:val="en-US"/>
        </w:rPr>
        <w:t xml:space="preserve">deoxyribonucleic acid </w:t>
      </w:r>
      <w:r w:rsidRPr="001256B1">
        <w:rPr>
          <w:rFonts w:ascii="Book Antiqua" w:hAnsi="Book Antiqua"/>
          <w:bCs/>
          <w:color w:val="000000" w:themeColor="text1"/>
          <w:lang w:val="en-US"/>
        </w:rPr>
        <w:t>degradation</w:t>
      </w:r>
      <w:r w:rsidRPr="001256B1">
        <w:rPr>
          <w:rFonts w:ascii="Book Antiqua" w:hAnsi="Book Antiqua"/>
          <w:bCs/>
          <w:color w:val="000000" w:themeColor="text1"/>
          <w:vertAlign w:val="superscript"/>
          <w:lang w:val="en-US"/>
        </w:rPr>
        <w:fldChar w:fldCharType="begin" w:fldLock="1"/>
      </w:r>
      <w:r w:rsidR="001B2DB3" w:rsidRPr="001256B1">
        <w:rPr>
          <w:rFonts w:ascii="Book Antiqua" w:hAnsi="Book Antiqua"/>
          <w:bCs/>
          <w:color w:val="000000" w:themeColor="text1"/>
          <w:vertAlign w:val="superscript"/>
          <w:lang w:val="en-US"/>
        </w:rPr>
        <w:instrText>ADDIN CSL_CITATION {"citationItems":[{"id":"ITEM-1","itemData":{"ISSN":"0018-5043","author":[{"dropping-particle":"","family":"Raile","given":"K","non-dropping-particle":"","parse-names":false,"suffix":""},{"dropping-particle":"","family":"Hille","given":"R","non-dropping-particle":"","parse-names":false,"suffix":""},{"dropping-particle":"","family":"Laue","given":"S","non-dropping-particle":"","parse-names":false,"suffix":""},{"dropping-particle":"","family":"Schulz","given":"A","non-dropping-particle":"","parse-names":false,"suffix":""},{"dropping-particle":"","family":"Pfeifer","given":"G","non-dropping-particle":"","parse-names":false,"suffix":""},{"dropping-particle":"","family":"Horn","given":"F","non-dropping-particle":"","parse-names":false,"suffix":""},{"dropping-particle":"","family":"Kiess","given":"W","non-dropping-particle":"","parse-names":false,"suffix":""}],"container-title":"Hormone and metabolic research","id":"ITEM-1","issue":"11/12","issued":{"date-parts":[["2003"]]},"page":"786-793","publisher":"© Georg Thieme Verlag Stuttgart· New York","title":"Insulin-like growth factor I (IGF-I) stimulates proliferation but also increases caspase-3 activity, Annexin-V binding, and DNA-fragmentation in human MG63 osteosarcoma cells: co-activation of pro-and anti-apoptotic pathways by IGF-I","type":"article-journal","volume":"35"},"uris":["http://www.mendeley.com/documents/?uuid=923e964e-e55f-4cf5-b471-0f5b0fc69258"]}],"mendeley":{"formattedCitation":"[23]","plainTextFormattedCitation":"[23]","previouslyFormattedCitation":"[23]"},"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4E1BA6" w:rsidRPr="001256B1">
        <w:rPr>
          <w:rFonts w:ascii="Book Antiqua" w:hAnsi="Book Antiqua"/>
          <w:bCs/>
          <w:noProof/>
          <w:color w:val="000000" w:themeColor="text1"/>
          <w:vertAlign w:val="superscript"/>
          <w:lang w:val="en-US"/>
        </w:rPr>
        <w:t>[23]</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xml:space="preserve">. Surprisingly, the same study also showed coactivation of antiapoptotic signals such as Bad phosphorylation at serine 112. Thus, in this model, the increased growth induced by IGF-1 treatment </w:t>
      </w:r>
      <w:r w:rsidR="004B0865" w:rsidRPr="001256B1">
        <w:rPr>
          <w:rFonts w:ascii="Book Antiqua" w:hAnsi="Book Antiqua"/>
          <w:bCs/>
          <w:color w:val="000000" w:themeColor="text1"/>
          <w:lang w:val="en-US"/>
        </w:rPr>
        <w:t xml:space="preserve">might be </w:t>
      </w:r>
      <w:r w:rsidRPr="001256B1">
        <w:rPr>
          <w:rFonts w:ascii="Book Antiqua" w:hAnsi="Book Antiqua"/>
          <w:bCs/>
          <w:color w:val="000000" w:themeColor="text1"/>
          <w:lang w:val="en-US"/>
        </w:rPr>
        <w:t xml:space="preserve">balanced by activation of pro-death mechanisms. In line with this suggestion, our results show </w:t>
      </w:r>
      <w:r w:rsidR="004B0865" w:rsidRPr="001256B1">
        <w:rPr>
          <w:rFonts w:ascii="Book Antiqua" w:hAnsi="Book Antiqua"/>
          <w:bCs/>
          <w:color w:val="000000" w:themeColor="text1"/>
          <w:lang w:val="en-US"/>
        </w:rPr>
        <w:t>differential</w:t>
      </w:r>
      <w:r w:rsidRPr="001256B1">
        <w:rPr>
          <w:rFonts w:ascii="Book Antiqua" w:hAnsi="Book Antiqua"/>
          <w:bCs/>
          <w:color w:val="000000" w:themeColor="text1"/>
          <w:lang w:val="en-US"/>
        </w:rPr>
        <w:t xml:space="preserve"> association</w:t>
      </w:r>
      <w:r w:rsidR="004B0865" w:rsidRPr="001256B1">
        <w:rPr>
          <w:rFonts w:ascii="Book Antiqua" w:hAnsi="Book Antiqua"/>
          <w:bCs/>
          <w:color w:val="000000" w:themeColor="text1"/>
          <w:lang w:val="en-US"/>
        </w:rPr>
        <w:t>s</w:t>
      </w:r>
      <w:r w:rsidRPr="001256B1">
        <w:rPr>
          <w:rFonts w:ascii="Book Antiqua" w:hAnsi="Book Antiqua"/>
          <w:bCs/>
          <w:color w:val="000000" w:themeColor="text1"/>
          <w:lang w:val="en-US"/>
        </w:rPr>
        <w:t xml:space="preserve"> between expression of IRS-1 and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and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that depend on tumor size. IRS-1 and antiapoptotic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protein were positively correlated in cases of small tumors (pT1</w:t>
      </w:r>
      <w:r w:rsidR="00622682"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22682"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pT2) while in more extended tumors (pT3</w:t>
      </w:r>
      <w:r w:rsidR="00622682"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22682"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pT4) IRS-1 expression was positively correlated with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as well as proapoptotic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protein. Based on th</w:t>
      </w:r>
      <w:r w:rsidR="004B0865" w:rsidRPr="001256B1">
        <w:rPr>
          <w:rFonts w:ascii="Book Antiqua" w:hAnsi="Book Antiqua"/>
          <w:bCs/>
          <w:color w:val="000000" w:themeColor="text1"/>
          <w:lang w:val="en-US"/>
        </w:rPr>
        <w:t>is</w:t>
      </w:r>
      <w:r w:rsidRPr="001256B1">
        <w:rPr>
          <w:rFonts w:ascii="Book Antiqua" w:hAnsi="Book Antiqua"/>
          <w:bCs/>
          <w:color w:val="000000" w:themeColor="text1"/>
          <w:lang w:val="en-US"/>
        </w:rPr>
        <w:t xml:space="preserve">, </w:t>
      </w:r>
      <w:r w:rsidR="004B0865" w:rsidRPr="001256B1">
        <w:rPr>
          <w:rFonts w:ascii="Book Antiqua" w:hAnsi="Book Antiqua"/>
          <w:bCs/>
          <w:color w:val="000000" w:themeColor="text1"/>
          <w:lang w:val="en-US"/>
        </w:rPr>
        <w:t>we</w:t>
      </w:r>
      <w:r w:rsidRPr="001256B1">
        <w:rPr>
          <w:rFonts w:ascii="Book Antiqua" w:hAnsi="Book Antiqua"/>
          <w:bCs/>
          <w:color w:val="000000" w:themeColor="text1"/>
          <w:lang w:val="en-US"/>
        </w:rPr>
        <w:t xml:space="preserve"> assume that IRS-1 could play a fortifying role in fast growing tumors in which blood supply and nutrients become limited. </w:t>
      </w:r>
      <w:r w:rsidR="004B0865" w:rsidRPr="001256B1">
        <w:rPr>
          <w:rFonts w:ascii="Book Antiqua" w:hAnsi="Book Antiqua"/>
          <w:bCs/>
          <w:color w:val="000000" w:themeColor="text1"/>
          <w:lang w:val="en-US"/>
        </w:rPr>
        <w:t>Under</w:t>
      </w:r>
      <w:r w:rsidRPr="001256B1">
        <w:rPr>
          <w:rFonts w:ascii="Book Antiqua" w:hAnsi="Book Antiqua"/>
          <w:bCs/>
          <w:color w:val="000000" w:themeColor="text1"/>
          <w:lang w:val="en-US"/>
        </w:rPr>
        <w:t xml:space="preserve"> these conditions, coactivation of antiapoptotic and proapoptotic pathways might provide balanced cell turnover and result in tumor progression.</w:t>
      </w:r>
      <w:r w:rsidR="00AF20D2" w:rsidRPr="001256B1">
        <w:rPr>
          <w:rFonts w:ascii="Book Antiqua" w:hAnsi="Book Antiqua"/>
          <w:bCs/>
          <w:color w:val="000000" w:themeColor="text1"/>
          <w:lang w:val="en-US"/>
        </w:rPr>
        <w:t xml:space="preserve"> </w:t>
      </w:r>
      <w:r w:rsidR="00CB49A6" w:rsidRPr="001256B1">
        <w:rPr>
          <w:rFonts w:ascii="Book Antiqua" w:hAnsi="Book Antiqua"/>
          <w:bCs/>
          <w:color w:val="000000" w:themeColor="text1"/>
          <w:lang w:val="en-US"/>
        </w:rPr>
        <w:t>The precise m</w:t>
      </w:r>
      <w:r w:rsidR="00AF20D2" w:rsidRPr="001256B1">
        <w:rPr>
          <w:rFonts w:ascii="Book Antiqua" w:hAnsi="Book Antiqua"/>
          <w:bCs/>
          <w:color w:val="000000" w:themeColor="text1"/>
          <w:lang w:val="en-US"/>
        </w:rPr>
        <w:t>echanisms of</w:t>
      </w:r>
      <w:r w:rsidR="00CB49A6" w:rsidRPr="001256B1">
        <w:rPr>
          <w:rFonts w:ascii="Book Antiqua" w:hAnsi="Book Antiqua"/>
          <w:bCs/>
          <w:color w:val="000000" w:themeColor="text1"/>
          <w:lang w:val="en-US"/>
        </w:rPr>
        <w:t xml:space="preserve"> how IRS-1</w:t>
      </w:r>
      <w:r w:rsidR="00AF20D2" w:rsidRPr="001256B1">
        <w:rPr>
          <w:rFonts w:ascii="Book Antiqua" w:hAnsi="Book Antiqua"/>
          <w:bCs/>
          <w:color w:val="000000" w:themeColor="text1"/>
          <w:lang w:val="en-US"/>
        </w:rPr>
        <w:t xml:space="preserve"> interplay</w:t>
      </w:r>
      <w:r w:rsidR="00CB49A6" w:rsidRPr="001256B1">
        <w:rPr>
          <w:rFonts w:ascii="Book Antiqua" w:hAnsi="Book Antiqua"/>
          <w:bCs/>
          <w:color w:val="000000" w:themeColor="text1"/>
          <w:lang w:val="en-US"/>
        </w:rPr>
        <w:t>s</w:t>
      </w:r>
      <w:r w:rsidR="00AF20D2" w:rsidRPr="001256B1">
        <w:rPr>
          <w:rFonts w:ascii="Book Antiqua" w:hAnsi="Book Antiqua"/>
          <w:bCs/>
          <w:color w:val="000000" w:themeColor="text1"/>
          <w:lang w:val="en-US"/>
        </w:rPr>
        <w:t xml:space="preserve"> </w:t>
      </w:r>
      <w:r w:rsidR="00CB49A6" w:rsidRPr="001256B1">
        <w:rPr>
          <w:rFonts w:ascii="Book Antiqua" w:hAnsi="Book Antiqua"/>
          <w:bCs/>
          <w:color w:val="000000" w:themeColor="text1"/>
          <w:lang w:val="en-US"/>
        </w:rPr>
        <w:t>with</w:t>
      </w:r>
      <w:r w:rsidR="00AF20D2" w:rsidRPr="001256B1">
        <w:rPr>
          <w:rFonts w:ascii="Book Antiqua" w:hAnsi="Book Antiqua"/>
          <w:bCs/>
          <w:color w:val="000000" w:themeColor="text1"/>
          <w:lang w:val="en-US"/>
        </w:rPr>
        <w:t xml:space="preserve"> apoptotic proteins are not </w:t>
      </w:r>
      <w:r w:rsidR="004B0865" w:rsidRPr="001256B1">
        <w:rPr>
          <w:rFonts w:ascii="Book Antiqua" w:hAnsi="Book Antiqua"/>
          <w:bCs/>
          <w:color w:val="000000" w:themeColor="text1"/>
          <w:lang w:val="en-US"/>
        </w:rPr>
        <w:t xml:space="preserve">yet </w:t>
      </w:r>
      <w:r w:rsidR="00AF20D2" w:rsidRPr="001256B1">
        <w:rPr>
          <w:rFonts w:ascii="Book Antiqua" w:hAnsi="Book Antiqua"/>
          <w:bCs/>
          <w:color w:val="000000" w:themeColor="text1"/>
          <w:lang w:val="en-US"/>
        </w:rPr>
        <w:t xml:space="preserve">understood. </w:t>
      </w:r>
      <w:r w:rsidR="00C64BD1" w:rsidRPr="001256B1">
        <w:rPr>
          <w:rFonts w:ascii="Book Antiqua" w:hAnsi="Book Antiqua"/>
          <w:bCs/>
          <w:color w:val="000000" w:themeColor="text1"/>
          <w:lang w:val="en-US"/>
        </w:rPr>
        <w:t>The abovementioned study</w:t>
      </w:r>
      <w:r w:rsidR="00C64BD1" w:rsidRPr="001256B1">
        <w:rPr>
          <w:rFonts w:ascii="Book Antiqua" w:hAnsi="Book Antiqua"/>
          <w:bCs/>
          <w:color w:val="000000" w:themeColor="text1"/>
          <w:vertAlign w:val="superscript"/>
          <w:lang w:val="en-US"/>
        </w:rPr>
        <w:fldChar w:fldCharType="begin" w:fldLock="1"/>
      </w:r>
      <w:r w:rsidR="00D77088" w:rsidRPr="001256B1">
        <w:rPr>
          <w:rFonts w:ascii="Book Antiqua" w:hAnsi="Book Antiqua"/>
          <w:bCs/>
          <w:color w:val="000000" w:themeColor="text1"/>
          <w:vertAlign w:val="superscript"/>
          <w:lang w:val="en-US"/>
        </w:rPr>
        <w:instrText>ADDIN CSL_CITATION {"citationItems":[{"id":"ITEM-1","itemData":{"ISSN":"1059-1524","author":[{"dropping-particle":"","family":"Ueno","given":"Hiroo","non-dropping-particle":"","parse-names":false,"suffix":""},{"dropping-particle":"","family":"Kondo","given":"Eisaku","non-dropping-particle":"","parse-names":false,"suffix":""},{"dropping-particle":"","family":"Yamamoto-Honda","given":"Ritsuko","non-dropping-particle":"","parse-names":false,"suffix":""},{"dropping-particle":"","family":"Tobe","given":"Kazuyuki","non-dropping-particle":"","parse-names":false,"suffix":""},{"dropping-particle":"","family":"Nakamoto","given":"Tetsuya","non-dropping-particle":"","parse-names":false,"suffix":""},{"dropping-particle":"","family":"Sasaki","given":"Ko","non-dropping-particle":"","parse-names":false,"suffix":""},{"dropping-particle":"","family":"Mitani","given":"Kinuko","non-dropping-particle":"","parse-names":false,"suffix":""},{"dropping-particle":"","family":"Furusaka","given":"Akihiro","non-dropping-particle":"","parse-names":false,"suffix":""},{"dropping-particle":"","family":"Tanaka","given":"Teruji","non-dropping-particle":"","parse-names":false,"suffix":""},{"dropping-particle":"","family":"Tsujimoto","given":"Yoshihide","non-dropping-particle":"","parse-names":false,"suffix":""}],"container-title":"Molecular biology of the cell","id":"ITEM-1","issue":"2","issued":{"date-parts":[["2000"]]},"page":"735-746","publisher":"Am Soc Cell Biol","title":"Association of insulin receptor substrate proteins with Bcl-2 and their effects on its phosphorylation and antiapoptotic function","type":"article-journal","volume":"11"},"uris":["http://www.mendeley.com/documents/?uuid=a5cc85fd-76af-4b12-92e4-3e1108a5ad93"]}],"mendeley":{"formattedCitation":"[26]","plainTextFormattedCitation":"[26]","previouslyFormattedCitation":"[26]"},"properties":{"noteIndex":0},"schema":"https://github.com/citation-style-language/schema/raw/master/csl-citation.json"}</w:instrText>
      </w:r>
      <w:r w:rsidR="00C64BD1" w:rsidRPr="001256B1">
        <w:rPr>
          <w:rFonts w:ascii="Book Antiqua" w:hAnsi="Book Antiqua"/>
          <w:bCs/>
          <w:color w:val="000000" w:themeColor="text1"/>
          <w:vertAlign w:val="superscript"/>
          <w:lang w:val="en-US"/>
        </w:rPr>
        <w:fldChar w:fldCharType="separate"/>
      </w:r>
      <w:r w:rsidR="00C64BD1" w:rsidRPr="001256B1">
        <w:rPr>
          <w:rFonts w:ascii="Book Antiqua" w:hAnsi="Book Antiqua"/>
          <w:bCs/>
          <w:noProof/>
          <w:color w:val="000000" w:themeColor="text1"/>
          <w:vertAlign w:val="superscript"/>
          <w:lang w:val="en-US"/>
        </w:rPr>
        <w:t>[26]</w:t>
      </w:r>
      <w:r w:rsidR="00C64BD1" w:rsidRPr="001256B1">
        <w:rPr>
          <w:rFonts w:ascii="Book Antiqua" w:hAnsi="Book Antiqua"/>
          <w:bCs/>
          <w:color w:val="000000" w:themeColor="text1"/>
          <w:vertAlign w:val="superscript"/>
          <w:lang w:val="en-US"/>
        </w:rPr>
        <w:fldChar w:fldCharType="end"/>
      </w:r>
      <w:r w:rsidR="00622682" w:rsidRPr="001256B1">
        <w:rPr>
          <w:rFonts w:ascii="Book Antiqua" w:hAnsi="Book Antiqua"/>
          <w:bCs/>
          <w:color w:val="000000" w:themeColor="text1"/>
          <w:vertAlign w:val="superscript"/>
          <w:lang w:val="en-US"/>
        </w:rPr>
        <w:t xml:space="preserve"> </w:t>
      </w:r>
      <w:r w:rsidR="00C64BD1" w:rsidRPr="001256B1">
        <w:rPr>
          <w:rFonts w:ascii="Book Antiqua" w:hAnsi="Book Antiqua"/>
          <w:bCs/>
          <w:color w:val="000000" w:themeColor="text1"/>
          <w:lang w:val="en-US"/>
        </w:rPr>
        <w:t xml:space="preserve">demonstrated that IRS-1 suppress apoptotic cell death induced by growth </w:t>
      </w:r>
      <w:r w:rsidR="00C64BD1" w:rsidRPr="001256B1">
        <w:rPr>
          <w:rFonts w:ascii="Book Antiqua" w:hAnsi="Book Antiqua"/>
          <w:bCs/>
          <w:color w:val="000000" w:themeColor="text1"/>
          <w:lang w:val="en-US"/>
        </w:rPr>
        <w:lastRenderedPageBreak/>
        <w:t xml:space="preserve">factor withdrawal probably through regulating phosphorylation of Bcl-2. </w:t>
      </w:r>
      <w:r w:rsidR="004B0865" w:rsidRPr="001256B1">
        <w:rPr>
          <w:rFonts w:ascii="Book Antiqua" w:hAnsi="Book Antiqua"/>
          <w:bCs/>
          <w:color w:val="000000" w:themeColor="text1"/>
          <w:lang w:val="en-US"/>
        </w:rPr>
        <w:t>The a</w:t>
      </w:r>
      <w:r w:rsidR="00C64BD1" w:rsidRPr="001256B1">
        <w:rPr>
          <w:rFonts w:ascii="Book Antiqua" w:hAnsi="Book Antiqua"/>
          <w:bCs/>
          <w:color w:val="000000" w:themeColor="text1"/>
          <w:lang w:val="en-US"/>
        </w:rPr>
        <w:t xml:space="preserve">uthors have </w:t>
      </w:r>
      <w:r w:rsidR="004B0865" w:rsidRPr="001256B1">
        <w:rPr>
          <w:rFonts w:ascii="Book Antiqua" w:hAnsi="Book Antiqua"/>
          <w:bCs/>
          <w:color w:val="000000" w:themeColor="text1"/>
          <w:lang w:val="en-US"/>
        </w:rPr>
        <w:t xml:space="preserve">also </w:t>
      </w:r>
      <w:r w:rsidR="00C64BD1" w:rsidRPr="001256B1">
        <w:rPr>
          <w:rFonts w:ascii="Book Antiqua" w:hAnsi="Book Antiqua"/>
          <w:bCs/>
          <w:color w:val="000000" w:themeColor="text1"/>
          <w:lang w:val="en-US"/>
        </w:rPr>
        <w:t xml:space="preserve">shown that IRS-1 </w:t>
      </w:r>
      <w:r w:rsidR="004B0865" w:rsidRPr="001256B1">
        <w:rPr>
          <w:rFonts w:ascii="Book Antiqua" w:hAnsi="Book Antiqua"/>
          <w:bCs/>
          <w:color w:val="000000" w:themeColor="text1"/>
          <w:lang w:val="en-US"/>
        </w:rPr>
        <w:t xml:space="preserve">was able to bind </w:t>
      </w:r>
      <w:proofErr w:type="spellStart"/>
      <w:r w:rsidR="00C64BD1" w:rsidRPr="001256B1">
        <w:rPr>
          <w:rFonts w:ascii="Book Antiqua" w:hAnsi="Book Antiqua"/>
          <w:bCs/>
          <w:color w:val="000000" w:themeColor="text1"/>
          <w:lang w:val="en-US"/>
        </w:rPr>
        <w:t>Bcl-xL</w:t>
      </w:r>
      <w:proofErr w:type="spellEnd"/>
      <w:r w:rsidR="00C64BD1" w:rsidRPr="001256B1">
        <w:rPr>
          <w:rFonts w:ascii="Book Antiqua" w:hAnsi="Book Antiqua"/>
          <w:bCs/>
          <w:color w:val="000000" w:themeColor="text1"/>
          <w:lang w:val="en-US"/>
        </w:rPr>
        <w:t xml:space="preserve"> but not </w:t>
      </w:r>
      <w:proofErr w:type="spellStart"/>
      <w:r w:rsidR="00C64BD1" w:rsidRPr="001256B1">
        <w:rPr>
          <w:rFonts w:ascii="Book Antiqua" w:hAnsi="Book Antiqua"/>
          <w:bCs/>
          <w:color w:val="000000" w:themeColor="text1"/>
          <w:lang w:val="en-US"/>
        </w:rPr>
        <w:t>Bax</w:t>
      </w:r>
      <w:proofErr w:type="spellEnd"/>
      <w:r w:rsidR="00C64BD1" w:rsidRPr="001256B1">
        <w:rPr>
          <w:rFonts w:ascii="Book Antiqua" w:hAnsi="Book Antiqua"/>
          <w:bCs/>
          <w:color w:val="000000" w:themeColor="text1"/>
          <w:lang w:val="en-US"/>
        </w:rPr>
        <w:t xml:space="preserve">. </w:t>
      </w:r>
      <w:proofErr w:type="spellStart"/>
      <w:r w:rsidR="00AF20D2" w:rsidRPr="001256B1">
        <w:rPr>
          <w:rFonts w:ascii="Book Antiqua" w:hAnsi="Book Antiqua"/>
          <w:bCs/>
          <w:color w:val="000000" w:themeColor="text1"/>
          <w:lang w:val="en-US"/>
        </w:rPr>
        <w:t>Bcl-xL</w:t>
      </w:r>
      <w:proofErr w:type="spellEnd"/>
      <w:r w:rsidR="00AF20D2" w:rsidRPr="001256B1">
        <w:rPr>
          <w:rFonts w:ascii="Book Antiqua" w:hAnsi="Book Antiqua"/>
          <w:bCs/>
          <w:color w:val="000000" w:themeColor="text1"/>
          <w:lang w:val="en-US"/>
        </w:rPr>
        <w:t xml:space="preserve"> is capable of heterodimerize with </w:t>
      </w:r>
      <w:proofErr w:type="spellStart"/>
      <w:r w:rsidR="00AF20D2" w:rsidRPr="001256B1">
        <w:rPr>
          <w:rFonts w:ascii="Book Antiqua" w:hAnsi="Book Antiqua"/>
          <w:bCs/>
          <w:color w:val="000000" w:themeColor="text1"/>
          <w:lang w:val="en-US"/>
        </w:rPr>
        <w:t>Bax</w:t>
      </w:r>
      <w:proofErr w:type="spellEnd"/>
      <w:r w:rsidR="00AF20D2" w:rsidRPr="001256B1">
        <w:rPr>
          <w:rFonts w:ascii="Book Antiqua" w:hAnsi="Book Antiqua"/>
          <w:bCs/>
          <w:color w:val="000000" w:themeColor="text1"/>
          <w:lang w:val="en-US"/>
        </w:rPr>
        <w:t xml:space="preserve"> and counteracting its apoptotic effect. </w:t>
      </w:r>
      <w:r w:rsidR="00C64BD1" w:rsidRPr="001256B1">
        <w:rPr>
          <w:rFonts w:ascii="Book Antiqua" w:hAnsi="Book Antiqua"/>
          <w:bCs/>
          <w:color w:val="000000" w:themeColor="text1"/>
          <w:lang w:val="en-US"/>
        </w:rPr>
        <w:t xml:space="preserve">It is quite possible that </w:t>
      </w:r>
      <w:r w:rsidR="004B0865" w:rsidRPr="001256B1">
        <w:rPr>
          <w:rFonts w:ascii="Book Antiqua" w:hAnsi="Book Antiqua"/>
          <w:bCs/>
          <w:color w:val="000000" w:themeColor="text1"/>
          <w:lang w:val="en-US"/>
        </w:rPr>
        <w:t>during</w:t>
      </w:r>
      <w:r w:rsidR="00C64BD1" w:rsidRPr="001256B1">
        <w:rPr>
          <w:rFonts w:ascii="Book Antiqua" w:hAnsi="Book Antiqua"/>
          <w:bCs/>
          <w:color w:val="000000" w:themeColor="text1"/>
          <w:lang w:val="en-US"/>
        </w:rPr>
        <w:t xml:space="preserve"> early step of tumor development</w:t>
      </w:r>
      <w:r w:rsidR="004B0865" w:rsidRPr="001256B1">
        <w:rPr>
          <w:rFonts w:ascii="Book Antiqua" w:hAnsi="Book Antiqua"/>
          <w:bCs/>
          <w:color w:val="000000" w:themeColor="text1"/>
          <w:lang w:val="en-US"/>
        </w:rPr>
        <w:t>,</w:t>
      </w:r>
      <w:r w:rsidR="00C64BD1" w:rsidRPr="001256B1">
        <w:rPr>
          <w:rFonts w:ascii="Book Antiqua" w:hAnsi="Book Antiqua"/>
          <w:bCs/>
          <w:color w:val="000000" w:themeColor="text1"/>
          <w:lang w:val="en-US"/>
        </w:rPr>
        <w:t xml:space="preserve"> IRS-1 exerts synergistic effect with antiapoptotic</w:t>
      </w:r>
      <w:r w:rsidR="00C878E7" w:rsidRPr="001256B1">
        <w:rPr>
          <w:rFonts w:ascii="Book Antiqua" w:hAnsi="Book Antiqua"/>
          <w:bCs/>
          <w:color w:val="000000" w:themeColor="text1"/>
          <w:lang w:val="en-US"/>
        </w:rPr>
        <w:t xml:space="preserve"> </w:t>
      </w:r>
      <w:proofErr w:type="spellStart"/>
      <w:r w:rsidR="00C878E7" w:rsidRPr="001256B1">
        <w:rPr>
          <w:rFonts w:ascii="Book Antiqua" w:hAnsi="Book Antiqua"/>
          <w:bCs/>
          <w:color w:val="000000" w:themeColor="text1"/>
          <w:lang w:val="en-US"/>
        </w:rPr>
        <w:t>Bcl-xL</w:t>
      </w:r>
      <w:proofErr w:type="spellEnd"/>
      <w:r w:rsidR="00C878E7" w:rsidRPr="001256B1">
        <w:rPr>
          <w:rFonts w:ascii="Book Antiqua" w:hAnsi="Book Antiqua"/>
          <w:bCs/>
          <w:color w:val="000000" w:themeColor="text1"/>
          <w:lang w:val="en-US"/>
        </w:rPr>
        <w:t xml:space="preserve"> protein to enable </w:t>
      </w:r>
      <w:r w:rsidR="004B0865" w:rsidRPr="001256B1">
        <w:rPr>
          <w:rFonts w:ascii="Book Antiqua" w:hAnsi="Book Antiqua"/>
          <w:bCs/>
          <w:color w:val="000000" w:themeColor="text1"/>
          <w:lang w:val="en-US"/>
        </w:rPr>
        <w:t xml:space="preserve">the </w:t>
      </w:r>
      <w:r w:rsidR="00C878E7" w:rsidRPr="001256B1">
        <w:rPr>
          <w:rFonts w:ascii="Book Antiqua" w:hAnsi="Book Antiqua"/>
          <w:bCs/>
          <w:color w:val="000000" w:themeColor="text1"/>
          <w:lang w:val="en-US"/>
        </w:rPr>
        <w:t xml:space="preserve">escape </w:t>
      </w:r>
      <w:r w:rsidR="00C258B6" w:rsidRPr="001256B1">
        <w:rPr>
          <w:rFonts w:ascii="Book Antiqua" w:hAnsi="Book Antiqua"/>
          <w:bCs/>
          <w:color w:val="000000" w:themeColor="text1"/>
          <w:lang w:val="en-US"/>
        </w:rPr>
        <w:t xml:space="preserve">of </w:t>
      </w:r>
      <w:r w:rsidR="00C878E7" w:rsidRPr="001256B1">
        <w:rPr>
          <w:rFonts w:ascii="Book Antiqua" w:hAnsi="Book Antiqua"/>
          <w:bCs/>
          <w:color w:val="000000" w:themeColor="text1"/>
          <w:lang w:val="en-US"/>
        </w:rPr>
        <w:t xml:space="preserve">tumor cells from death signals and continue abnormal proliferation. </w:t>
      </w:r>
      <w:r w:rsidR="00C258B6" w:rsidRPr="001256B1">
        <w:rPr>
          <w:rFonts w:ascii="Book Antiqua" w:hAnsi="Book Antiqua"/>
          <w:bCs/>
          <w:color w:val="000000" w:themeColor="text1"/>
          <w:lang w:val="en-US"/>
        </w:rPr>
        <w:t>The e</w:t>
      </w:r>
      <w:r w:rsidR="00E141C3" w:rsidRPr="001256B1">
        <w:rPr>
          <w:rFonts w:ascii="Book Antiqua" w:hAnsi="Book Antiqua"/>
          <w:bCs/>
          <w:color w:val="000000" w:themeColor="text1"/>
          <w:lang w:val="en-US"/>
        </w:rPr>
        <w:t xml:space="preserve">xpression of </w:t>
      </w:r>
      <w:proofErr w:type="spellStart"/>
      <w:r w:rsidR="00E141C3" w:rsidRPr="001256B1">
        <w:rPr>
          <w:rFonts w:ascii="Book Antiqua" w:hAnsi="Book Antiqua"/>
          <w:bCs/>
          <w:color w:val="000000" w:themeColor="text1"/>
          <w:lang w:val="en-US"/>
        </w:rPr>
        <w:t>Bax</w:t>
      </w:r>
      <w:proofErr w:type="spellEnd"/>
      <w:r w:rsidR="00E141C3" w:rsidRPr="001256B1">
        <w:rPr>
          <w:rFonts w:ascii="Book Antiqua" w:hAnsi="Book Antiqua"/>
          <w:bCs/>
          <w:color w:val="000000" w:themeColor="text1"/>
          <w:lang w:val="en-US"/>
        </w:rPr>
        <w:t xml:space="preserve"> protein in more advanced </w:t>
      </w:r>
      <w:r w:rsidR="00D77088" w:rsidRPr="001256B1">
        <w:rPr>
          <w:rFonts w:ascii="Book Antiqua" w:hAnsi="Book Antiqua"/>
          <w:bCs/>
          <w:color w:val="000000" w:themeColor="text1"/>
          <w:lang w:val="en-US"/>
        </w:rPr>
        <w:t>tumor can be independently regulated for example by the oxidative stress</w:t>
      </w:r>
      <w:r w:rsidR="00D77088" w:rsidRPr="001256B1">
        <w:rPr>
          <w:rFonts w:ascii="Book Antiqua" w:hAnsi="Book Antiqua"/>
          <w:bCs/>
          <w:color w:val="000000" w:themeColor="text1"/>
          <w:vertAlign w:val="superscript"/>
          <w:lang w:val="en-US"/>
        </w:rPr>
        <w:fldChar w:fldCharType="begin" w:fldLock="1"/>
      </w:r>
      <w:r w:rsidR="00D77088" w:rsidRPr="001256B1">
        <w:rPr>
          <w:rFonts w:ascii="Book Antiqua" w:hAnsi="Book Antiqua"/>
          <w:bCs/>
          <w:color w:val="000000" w:themeColor="text1"/>
          <w:vertAlign w:val="superscript"/>
          <w:lang w:val="en-US"/>
        </w:rPr>
        <w:instrText>ADDIN CSL_CITATION {"citationItems":[{"id":"ITEM-1","itemData":{"ISSN":"0021-9258","author":[{"dropping-particle":"","family":"Nie","given":"Chunlai","non-dropping-particle":"","parse-names":false,"suffix":""},{"dropping-particle":"","family":"Tian","given":"Changhai","non-dropping-particle":"","parse-names":false,"suffix":""},{"dropping-particle":"","family":"Zhao","given":"Lixia","non-dropping-particle":"","parse-names":false,"suffix":""},{"dropping-particle":"","family":"Petit","given":"Patrice Xavier","non-dropping-particle":"","parse-names":false,"suffix":""},{"dropping-particle":"","family":"Mehrpour","given":"Maryam","non-dropping-particle":"","parse-names":false,"suffix":""},{"dropping-particle":"","family":"Chen","given":"Quan","non-dropping-particle":"","parse-names":false,"suffix":""}],"container-title":"Journal of Biological Chemistry","id":"ITEM-1","issue":"22","issued":{"date-parts":[["2008"]]},"page":"15359-15369","publisher":"ASBMB","title":"Cysteine 62 of Bax is critical for its conformational activation and its proapoptotic activity in response to H2O2-induced apoptosis","type":"article-journal","volume":"283"},"uris":["http://www.mendeley.com/documents/?uuid=84b73712-2e97-4e6f-8edf-8234f0c21b28"]}],"mendeley":{"formattedCitation":"[34]","plainTextFormattedCitation":"[34]"},"properties":{"noteIndex":0},"schema":"https://github.com/citation-style-language/schema/raw/master/csl-citation.json"}</w:instrText>
      </w:r>
      <w:r w:rsidR="00D77088" w:rsidRPr="001256B1">
        <w:rPr>
          <w:rFonts w:ascii="Book Antiqua" w:hAnsi="Book Antiqua"/>
          <w:bCs/>
          <w:color w:val="000000" w:themeColor="text1"/>
          <w:vertAlign w:val="superscript"/>
          <w:lang w:val="en-US"/>
        </w:rPr>
        <w:fldChar w:fldCharType="separate"/>
      </w:r>
      <w:r w:rsidR="00D77088" w:rsidRPr="001256B1">
        <w:rPr>
          <w:rFonts w:ascii="Book Antiqua" w:hAnsi="Book Antiqua"/>
          <w:bCs/>
          <w:noProof/>
          <w:color w:val="000000" w:themeColor="text1"/>
          <w:vertAlign w:val="superscript"/>
          <w:lang w:val="en-US"/>
        </w:rPr>
        <w:t>[34]</w:t>
      </w:r>
      <w:r w:rsidR="00D77088" w:rsidRPr="001256B1">
        <w:rPr>
          <w:rFonts w:ascii="Book Antiqua" w:hAnsi="Book Antiqua"/>
          <w:bCs/>
          <w:color w:val="000000" w:themeColor="text1"/>
          <w:vertAlign w:val="superscript"/>
          <w:lang w:val="en-US"/>
        </w:rPr>
        <w:fldChar w:fldCharType="end"/>
      </w:r>
      <w:r w:rsidR="00D77088" w:rsidRPr="001256B1">
        <w:rPr>
          <w:rFonts w:ascii="Book Antiqua" w:hAnsi="Book Antiqua"/>
          <w:bCs/>
          <w:color w:val="000000" w:themeColor="text1"/>
          <w:lang w:val="en-US"/>
        </w:rPr>
        <w:t>.</w:t>
      </w:r>
      <w:r w:rsidR="00E141C3" w:rsidRPr="001256B1">
        <w:rPr>
          <w:rFonts w:ascii="Book Antiqua" w:hAnsi="Book Antiqua"/>
          <w:bCs/>
          <w:color w:val="000000" w:themeColor="text1"/>
          <w:lang w:val="en-US"/>
        </w:rPr>
        <w:t xml:space="preserve"> </w:t>
      </w:r>
    </w:p>
    <w:p w14:paraId="0884F1DC" w14:textId="0301062E" w:rsidR="008F5A7C" w:rsidRPr="001256B1" w:rsidRDefault="008F5A7C" w:rsidP="00F55750">
      <w:pPr>
        <w:snapToGrid w:val="0"/>
        <w:spacing w:line="360" w:lineRule="auto"/>
        <w:ind w:firstLineChars="100" w:firstLine="240"/>
        <w:jc w:val="both"/>
        <w:rPr>
          <w:rFonts w:ascii="Book Antiqua" w:hAnsi="Book Antiqua"/>
          <w:bCs/>
          <w:color w:val="000000" w:themeColor="text1"/>
          <w:lang w:val="en-US"/>
        </w:rPr>
      </w:pPr>
      <w:r w:rsidRPr="001256B1">
        <w:rPr>
          <w:rFonts w:ascii="Book Antiqua" w:hAnsi="Book Antiqua"/>
          <w:bCs/>
          <w:color w:val="000000" w:themeColor="text1"/>
          <w:lang w:val="en-US"/>
        </w:rPr>
        <w:t xml:space="preserve">Role of insulin and IGF-1 signaling in promoting cell growth and proliferation is well established but in present study we did not find evidences for </w:t>
      </w:r>
      <w:r w:rsidR="00C258B6" w:rsidRPr="001256B1">
        <w:rPr>
          <w:rFonts w:ascii="Book Antiqua" w:hAnsi="Book Antiqua"/>
          <w:bCs/>
          <w:color w:val="000000" w:themeColor="text1"/>
          <w:lang w:val="en-US"/>
        </w:rPr>
        <w:t xml:space="preserve">the </w:t>
      </w:r>
      <w:r w:rsidRPr="001256B1">
        <w:rPr>
          <w:rFonts w:ascii="Book Antiqua" w:hAnsi="Book Antiqua"/>
          <w:bCs/>
          <w:color w:val="000000" w:themeColor="text1"/>
          <w:lang w:val="en-US"/>
        </w:rPr>
        <w:t xml:space="preserve">association between expression of IRS-1 and increased </w:t>
      </w:r>
      <w:r w:rsidR="00C258B6" w:rsidRPr="001256B1">
        <w:rPr>
          <w:rFonts w:ascii="Book Antiqua" w:hAnsi="Book Antiqua"/>
          <w:bCs/>
          <w:color w:val="000000" w:themeColor="text1"/>
          <w:lang w:val="en-US"/>
        </w:rPr>
        <w:t xml:space="preserve">cell </w:t>
      </w:r>
      <w:r w:rsidRPr="001256B1">
        <w:rPr>
          <w:rFonts w:ascii="Book Antiqua" w:hAnsi="Book Antiqua"/>
          <w:bCs/>
          <w:color w:val="000000" w:themeColor="text1"/>
          <w:lang w:val="en-US"/>
        </w:rPr>
        <w:t xml:space="preserve">proliferation </w:t>
      </w:r>
      <w:r w:rsidR="00C258B6" w:rsidRPr="001256B1">
        <w:rPr>
          <w:rFonts w:ascii="Book Antiqua" w:hAnsi="Book Antiqua"/>
          <w:bCs/>
          <w:color w:val="000000" w:themeColor="text1"/>
          <w:lang w:val="en-US"/>
        </w:rPr>
        <w:t>(ass</w:t>
      </w:r>
      <w:r w:rsidRPr="001256B1">
        <w:rPr>
          <w:rFonts w:ascii="Book Antiqua" w:hAnsi="Book Antiqua"/>
          <w:bCs/>
          <w:color w:val="000000" w:themeColor="text1"/>
          <w:lang w:val="en-US"/>
        </w:rPr>
        <w:t xml:space="preserve">essed by Ki-67 </w:t>
      </w:r>
      <w:r w:rsidR="00C258B6" w:rsidRPr="001256B1">
        <w:rPr>
          <w:rFonts w:ascii="Book Antiqua" w:hAnsi="Book Antiqua"/>
          <w:bCs/>
          <w:color w:val="000000" w:themeColor="text1"/>
          <w:lang w:val="en-US"/>
        </w:rPr>
        <w:t>positivity)</w:t>
      </w:r>
      <w:r w:rsidRPr="001256B1">
        <w:rPr>
          <w:rFonts w:ascii="Book Antiqua" w:hAnsi="Book Antiqua"/>
          <w:bCs/>
          <w:color w:val="000000" w:themeColor="text1"/>
          <w:lang w:val="en-US"/>
        </w:rPr>
        <w:t>, except cases of smaller tumors (pT1</w:t>
      </w:r>
      <w:r w:rsidR="00622682"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622682"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pT2). Interestingly, in the same groups of patients, IRS-1 expression was positively correlated with </w:t>
      </w:r>
      <w:r w:rsidR="009D37FB" w:rsidRPr="001256B1">
        <w:rPr>
          <w:rFonts w:ascii="Book Antiqua" w:hAnsi="Book Antiqua"/>
          <w:bCs/>
          <w:color w:val="000000" w:themeColor="text1"/>
          <w:lang w:val="en-US"/>
        </w:rPr>
        <w:t>antiapoptotic</w:t>
      </w:r>
      <w:r w:rsidRPr="001256B1">
        <w:rPr>
          <w:rFonts w:ascii="Book Antiqua" w:hAnsi="Book Antiqua"/>
          <w:bCs/>
          <w:color w:val="000000" w:themeColor="text1"/>
          <w:lang w:val="en-US"/>
        </w:rPr>
        <w:t xml:space="preserve">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Thus, it can be concluded that IRS-1 could promote proliferation and survival signals or activate </w:t>
      </w:r>
      <w:r w:rsidR="009D37FB" w:rsidRPr="001256B1">
        <w:rPr>
          <w:rFonts w:ascii="Book Antiqua" w:hAnsi="Book Antiqua"/>
          <w:bCs/>
          <w:color w:val="000000" w:themeColor="text1"/>
          <w:lang w:val="en-US"/>
        </w:rPr>
        <w:t>apoptotic</w:t>
      </w:r>
      <w:r w:rsidRPr="001256B1">
        <w:rPr>
          <w:rFonts w:ascii="Book Antiqua" w:hAnsi="Book Antiqua"/>
          <w:bCs/>
          <w:color w:val="000000" w:themeColor="text1"/>
          <w:lang w:val="en-US"/>
        </w:rPr>
        <w:t xml:space="preserve"> signals in tumor cells, depending on the microenvironmental conditions such as availability of oxygen or nutrients. On the other hand, in our previous study on breast cancer, we found that IRS-1 was positively correlated with Ki-67 in ER</w:t>
      </w:r>
      <w:r w:rsidRPr="001256B1">
        <w:rPr>
          <w:rFonts w:ascii="Book Antiqua" w:hAnsi="Book Antiqua"/>
          <w:bCs/>
          <w:color w:val="000000" w:themeColor="text1"/>
          <w:lang w:val="en-US"/>
        </w:rPr>
        <w:sym w:font="Symbol" w:char="F061"/>
      </w:r>
      <w:r w:rsidRPr="001256B1">
        <w:rPr>
          <w:rFonts w:ascii="Book Antiqua" w:hAnsi="Book Antiqua"/>
          <w:bCs/>
          <w:color w:val="000000" w:themeColor="text1"/>
          <w:lang w:val="en-US"/>
        </w:rPr>
        <w:t>-positive primary tumors and negative</w:t>
      </w:r>
      <w:r w:rsidR="009D37FB" w:rsidRPr="001256B1">
        <w:rPr>
          <w:rFonts w:ascii="Book Antiqua" w:hAnsi="Book Antiqua"/>
          <w:bCs/>
          <w:color w:val="000000" w:themeColor="text1"/>
          <w:lang w:val="en-US"/>
        </w:rPr>
        <w:t>ly</w:t>
      </w:r>
      <w:r w:rsidRPr="001256B1">
        <w:rPr>
          <w:rFonts w:ascii="Book Antiqua" w:hAnsi="Book Antiqua"/>
          <w:bCs/>
          <w:color w:val="000000" w:themeColor="text1"/>
          <w:lang w:val="en-US"/>
        </w:rPr>
        <w:t xml:space="preserve"> correlated in ER</w:t>
      </w:r>
      <w:r w:rsidRPr="001256B1">
        <w:rPr>
          <w:rFonts w:ascii="Book Antiqua" w:hAnsi="Book Antiqua"/>
          <w:bCs/>
          <w:color w:val="000000" w:themeColor="text1"/>
          <w:lang w:val="en-US"/>
        </w:rPr>
        <w:sym w:font="Symbol" w:char="F061"/>
      </w:r>
      <w:r w:rsidRPr="001256B1">
        <w:rPr>
          <w:rFonts w:ascii="Book Antiqua" w:hAnsi="Book Antiqua"/>
          <w:bCs/>
          <w:color w:val="000000" w:themeColor="text1"/>
          <w:lang w:val="en-US"/>
        </w:rPr>
        <w:t>- negative tumors</w:t>
      </w:r>
      <w:r w:rsidRPr="001256B1">
        <w:rPr>
          <w:rFonts w:ascii="Book Antiqua" w:hAnsi="Book Antiqua"/>
          <w:bCs/>
          <w:color w:val="000000" w:themeColor="text1"/>
          <w:vertAlign w:val="superscript"/>
          <w:lang w:val="en-US"/>
        </w:rPr>
        <w:fldChar w:fldCharType="begin" w:fldLock="1"/>
      </w:r>
      <w:r w:rsidR="00D77088" w:rsidRPr="001256B1">
        <w:rPr>
          <w:rFonts w:ascii="Book Antiqua" w:hAnsi="Book Antiqua"/>
          <w:bCs/>
          <w:color w:val="000000" w:themeColor="text1"/>
          <w:vertAlign w:val="superscript"/>
          <w:lang w:val="en-US"/>
        </w:rPr>
        <w:instrText>ADDIN CSL_CITATION {"citationItems":[{"id":"ITEM-1","itemData":{"DOI":"10.1136/jcp.2004.022590","ISSN":"0021-9746 (Print)","PMID":"15917419","abstract":"BACKGROUND: Insulin receptor substrate 1 (IRS-1) transmits signals from the insulin-like growth factor I receptor (IGF-IR) and insulin receptor (IR) and has been associated with the pathogenesis of cancer. IRS-1 downregulation has been suggested to play a role in breast cancer progression, but no simultaneous assessments of IRS-1 expression in primary breast cancer and metastases have been performed. AIMS: To assess IRS-1 expression in primary and metastatic breast cancer. METHODS: IRS-1 expression was analysed by means of immunohistochemistry in 109 samples of primary breast cancer and in 42 matched primary and metastatic tumours. In addition, IRS-1 expression was correlated with selected clinicopathological features, including oestrogen receptor alpha (ERalpha) and proliferation marker Ki-67 status. RESULTS: Positive cytoplasmic IRS-1 immunostaining was found in 69.7% (76 of 109) and 76.2% (32 of 42) of the primary and metastatic tumours, respectively. Both IRS-1 positive and IRS-1 negative primary tumours produced IRS-1 positive and IRS-1 negative metastases. IRS-1 expression in primary tumours correlated with poorly differentiated (G3) breast cancer (p &lt; 0.005) and with lymph node involvement (p &lt;0.05). In the subgroup of ERalpha positive primary tumours, IRS-1 expression positively correlated with Ki-67 (p &lt; 0.02, r = 0.351), but in the subgroup of ERalpha negative primary tumours there was a negative correlation (p &lt; 0.03, r = -0.509). IRS-1 expression in lymph node metastases correlated with neither ERalpha nor Ki-67. CONCLUSIONS: IRS-1 might be involved in breast cancer progression. Knowledge about differences between primary and metastatic tumours might help to understand mechanisms of breast cancer progression and lead to the development of more effective anticancer drugs.","author":[{"dropping-particle":"","family":"Koda","given":"M","non-dropping-particle":"","parse-names":false,"suffix":""},{"dropping-particle":"","family":"Sulkowska","given":"M","non-dropping-particle":"","parse-names":false,"suffix":""},{"dropping-particle":"","family":"Kanczuga-Koda","given":"L","non-dropping-particle":"","parse-names":false,"suffix":""},{"dropping-particle":"","family":"Sulkowski","given":"S","non-dropping-particle":"","parse-names":false,"suffix":""}],"container-title":"Journal of clinical pathology","id":"ITEM-1","issue":"6","issued":{"date-parts":[["2005","6"]]},"language":"eng","page":"645-649","publisher-place":"England","title":"Expression of insulin receptor substrate 1 in primary breast cancer and lymph node metastases.","type":"article-journal","volume":"58"},"uris":["http://www.mendeley.com/documents/?uuid=e2e23beb-3bfe-4bb6-a45b-510321a3306e"]}],"mendeley":{"formattedCitation":"[35]","plainTextFormattedCitation":"[35]","previouslyFormattedCitation":"[34]"},"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D77088" w:rsidRPr="001256B1">
        <w:rPr>
          <w:rFonts w:ascii="Book Antiqua" w:hAnsi="Book Antiqua"/>
          <w:bCs/>
          <w:noProof/>
          <w:color w:val="000000" w:themeColor="text1"/>
          <w:vertAlign w:val="superscript"/>
          <w:lang w:val="en-US"/>
        </w:rPr>
        <w:t>[35]</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xml:space="preserve">. </w:t>
      </w:r>
      <w:r w:rsidR="009D37FB" w:rsidRPr="001256B1">
        <w:rPr>
          <w:rFonts w:ascii="Book Antiqua" w:hAnsi="Book Antiqua"/>
          <w:bCs/>
          <w:color w:val="000000" w:themeColor="text1"/>
          <w:lang w:val="en-US"/>
        </w:rPr>
        <w:t>T</w:t>
      </w:r>
      <w:r w:rsidRPr="001256B1">
        <w:rPr>
          <w:rFonts w:ascii="Book Antiqua" w:hAnsi="Book Antiqua"/>
          <w:bCs/>
          <w:color w:val="000000" w:themeColor="text1"/>
          <w:lang w:val="en-US"/>
        </w:rPr>
        <w:t>hese data</w:t>
      </w:r>
      <w:r w:rsidR="009D37FB" w:rsidRPr="001256B1">
        <w:rPr>
          <w:rFonts w:ascii="Book Antiqua" w:hAnsi="Book Antiqua"/>
          <w:bCs/>
          <w:color w:val="000000" w:themeColor="text1"/>
          <w:lang w:val="en-US"/>
        </w:rPr>
        <w:t xml:space="preserve"> could </w:t>
      </w:r>
      <w:r w:rsidRPr="001256B1">
        <w:rPr>
          <w:rFonts w:ascii="Book Antiqua" w:hAnsi="Book Antiqua"/>
          <w:bCs/>
          <w:color w:val="000000" w:themeColor="text1"/>
          <w:lang w:val="en-US"/>
        </w:rPr>
        <w:t xml:space="preserve">suggest that IRS-1 can promote enhanced proliferation </w:t>
      </w:r>
      <w:r w:rsidRPr="001256B1">
        <w:rPr>
          <w:rFonts w:ascii="Book Antiqua" w:hAnsi="Book Antiqua"/>
          <w:color w:val="000000" w:themeColor="text1"/>
          <w:lang w:val="en-US"/>
        </w:rPr>
        <w:t xml:space="preserve">primarily </w:t>
      </w:r>
      <w:r w:rsidRPr="001256B1">
        <w:rPr>
          <w:rFonts w:ascii="Book Antiqua" w:hAnsi="Book Antiqua"/>
          <w:bCs/>
          <w:color w:val="000000" w:themeColor="text1"/>
          <w:lang w:val="en-US"/>
        </w:rPr>
        <w:t>in steroid</w:t>
      </w:r>
      <w:r w:rsidR="009D37FB" w:rsidRPr="001256B1">
        <w:rPr>
          <w:rFonts w:ascii="Book Antiqua" w:hAnsi="Book Antiqua"/>
          <w:bCs/>
          <w:color w:val="000000" w:themeColor="text1"/>
          <w:lang w:val="en-US"/>
        </w:rPr>
        <w:t>-</w:t>
      </w:r>
      <w:r w:rsidRPr="001256B1">
        <w:rPr>
          <w:rFonts w:ascii="Book Antiqua" w:hAnsi="Book Antiqua"/>
          <w:bCs/>
          <w:color w:val="000000" w:themeColor="text1"/>
          <w:lang w:val="en-US"/>
        </w:rPr>
        <w:t>dependent cells.</w:t>
      </w:r>
    </w:p>
    <w:p w14:paraId="6F3F4A87" w14:textId="1DCF037A" w:rsidR="008F5A7C" w:rsidRPr="001256B1" w:rsidRDefault="008F5A7C" w:rsidP="00F55750">
      <w:pPr>
        <w:snapToGrid w:val="0"/>
        <w:spacing w:line="360" w:lineRule="auto"/>
        <w:ind w:firstLineChars="100" w:firstLine="240"/>
        <w:jc w:val="both"/>
        <w:rPr>
          <w:rFonts w:ascii="Book Antiqua" w:hAnsi="Book Antiqua"/>
          <w:bCs/>
          <w:color w:val="000000" w:themeColor="text1"/>
          <w:lang w:val="en-US"/>
        </w:rPr>
      </w:pPr>
      <w:r w:rsidRPr="001256B1">
        <w:rPr>
          <w:rFonts w:ascii="Book Antiqua" w:hAnsi="Book Antiqua"/>
          <w:bCs/>
          <w:color w:val="000000" w:themeColor="text1"/>
          <w:lang w:val="en-US"/>
        </w:rPr>
        <w:t>We also observed decreased IRS-1 expression in poorly differentiated, high-grade colorectal tumors and in adenocarcinoma with mucosal component cases. This observation is consistent with other study showing that IRS-1 is expressed at low level</w:t>
      </w:r>
      <w:r w:rsidR="009D37FB" w:rsidRPr="001256B1">
        <w:rPr>
          <w:rFonts w:ascii="Book Antiqua" w:hAnsi="Book Antiqua"/>
          <w:bCs/>
          <w:color w:val="000000" w:themeColor="text1"/>
          <w:lang w:val="en-US"/>
        </w:rPr>
        <w:t>s</w:t>
      </w:r>
      <w:r w:rsidRPr="001256B1">
        <w:rPr>
          <w:rFonts w:ascii="Book Antiqua" w:hAnsi="Book Antiqua"/>
          <w:bCs/>
          <w:color w:val="000000" w:themeColor="text1"/>
          <w:lang w:val="en-US"/>
        </w:rPr>
        <w:t xml:space="preserve"> or absent in undifferentiated and mucinous CRCs</w:t>
      </w:r>
      <w:r w:rsidRPr="001256B1">
        <w:rPr>
          <w:rFonts w:ascii="Book Antiqua" w:hAnsi="Book Antiqua"/>
          <w:bCs/>
          <w:color w:val="000000" w:themeColor="text1"/>
          <w:vertAlign w:val="superscript"/>
          <w:lang w:val="en-US"/>
        </w:rPr>
        <w:fldChar w:fldCharType="begin" w:fldLock="1"/>
      </w:r>
      <w:r w:rsidR="004E1BA6" w:rsidRPr="001256B1">
        <w:rPr>
          <w:rFonts w:ascii="Book Antiqua" w:hAnsi="Book Antiqua"/>
          <w:bCs/>
          <w:color w:val="000000" w:themeColor="text1"/>
          <w:vertAlign w:val="superscript"/>
          <w:lang w:val="en-US"/>
        </w:rPr>
        <w:instrText>ADDIN CSL_CITATION {"citationItems":[{"id":"ITEM-1","itemData":{"author":[{"dropping-particle":"","family":"Esposito","given":"Diana L","non-dropping-particle":"","parse-names":false,"suffix":""},{"dropping-particle":"","family":"Aru","given":"Federica","non-dropping-particle":"","parse-names":false,"suffix":""},{"dropping-particle":"","family":"Lattanzio","given":"Rossano","non-dropping-particle":"","parse-names":false,"suffix":""},{"dropping-particle":"","family":"Morgano","given":"Annalisa","non-dropping-particle":"","parse-names":false,"suffix":""},{"dropping-particle":"","family":"Abbondanza","given":"Michela","non-dropping-particle":"","parse-names":false,"suffix":""},{"dropping-particle":"","family":"Malekzadeh","given":"Reza","non-dropping-particle":"","parse-names":false,"suffix":""},{"dropping-particle":"","family":"Bishehsari","given":"Faraz","non-dropping-particle":"","parse-names":false,"suffix":""},{"dropping-particle":"","family":"Valanzano","given":"Rosa","non-dropping-particle":"","parse-names":false,"suffix":""},{"dropping-particle":"","family":"Russo","given":"Antonio","non-dropping-particle":"","parse-names":false,"suffix":""},{"dropping-particle":"","family":"Piantelli","given":"Mauro","non-dropping-particle":"","parse-names":false,"suffix":""}],"container-title":"PLoS One","id":"ITEM-1","issue":"4","issued":{"date-parts":[["2012"]]},"publisher":"Public Library of Science","title":"The insulin receptor substrate 1 (IRS1) in intestinal epithelial differentiation and in colorectal cancer","type":"article-journal","volume":"7"},"uris":["http://www.mendeley.com/documents/?uuid=02648814-0679-4a83-aa9c-79729d55c079"]}],"mendeley":{"formattedCitation":"[2]","plainTextFormattedCitation":"[2]","previouslyFormattedCitation":"[2]"},"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Pr="001256B1">
        <w:rPr>
          <w:rFonts w:ascii="Book Antiqua" w:hAnsi="Book Antiqua"/>
          <w:bCs/>
          <w:noProof/>
          <w:color w:val="000000" w:themeColor="text1"/>
          <w:vertAlign w:val="superscript"/>
          <w:lang w:val="en-US"/>
        </w:rPr>
        <w:t>[2]</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A similar downregulation of IRS-1 expression was observed in non-small cell lung cancer where loss of IRS-1 occurred more frequently in stage IB than in IA tumors and was more frequently observed in squamous cell carcinoma</w:t>
      </w:r>
      <w:r w:rsidRPr="001256B1">
        <w:rPr>
          <w:rFonts w:ascii="Book Antiqua" w:hAnsi="Book Antiqua"/>
          <w:bCs/>
          <w:color w:val="000000" w:themeColor="text1"/>
          <w:vertAlign w:val="superscript"/>
          <w:lang w:val="en-US"/>
        </w:rPr>
        <w:fldChar w:fldCharType="begin" w:fldLock="1"/>
      </w:r>
      <w:r w:rsidR="00D77088" w:rsidRPr="001256B1">
        <w:rPr>
          <w:rFonts w:ascii="Book Antiqua" w:hAnsi="Book Antiqua"/>
          <w:bCs/>
          <w:color w:val="000000" w:themeColor="text1"/>
          <w:vertAlign w:val="superscript"/>
          <w:lang w:val="en-US"/>
        </w:rPr>
        <w:instrText>ADDIN CSL_CITATION {"citationItems":[{"id":"ITEM-1","itemData":{"ISSN":"1021-335X","author":[{"dropping-particle":"","family":"Han","given":"Chang Hoon","non-dropping-particle":"","parse-names":false,"suffix":""},{"dropping-particle":"","family":"Cho","given":"Jae Yong","non-dropping-particle":"","parse-names":false,"suffix":""},{"dropping-particle":"","family":"Moon","given":"Jong Tae","non-dropping-particle":"","parse-names":false,"suffix":""},{"dropping-particle":"","family":"Kim","given":"Hyung Jung","non-dropping-particle":"","parse-names":false,"suffix":""},{"dropping-particle":"","family":"Kim","given":"Se Kyu","non-dropping-particle":"","parse-names":false,"suffix":""},{"dropping-particle":"","family":"Shin","given":"Dong Hwan","non-dropping-particle":"","parse-names":false,"suffix":""},{"dropping-particle":"","family":"Chang","given":"Joon","non-dropping-particle":"","parse-names":false,"suffix":""},{"dropping-particle":"","family":"Ahn","given":"Chul Min","non-dropping-particle":"","parse-names":false,"suffix":""},{"dropping-particle":"","family":"Kim","given":"Sung Kyu","non-dropping-particle":"","parse-names":false,"suffix":""},{"dropping-particle":"","family":"Chang","given":"Yoon Soo","non-dropping-particle":"","parse-names":false,"suffix":""}],"container-title":"Oncology reports","id":"ITEM-1","issue":"6","issued":{"date-parts":[["2006"]]},"page":"1205-1210","publisher":"Spandidos Publications","title":"Clinical significance of insulin receptor substrate-I down-regulation in non-small cell lung cancer","type":"article-journal","volume":"16"},"uris":["http://www.mendeley.com/documents/?uuid=60477cad-5931-40f8-94ec-d13f348df918"]}],"mendeley":{"formattedCitation":"[36]","plainTextFormattedCitation":"[36]","previouslyFormattedCitation":"[35]"},"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D77088" w:rsidRPr="001256B1">
        <w:rPr>
          <w:rFonts w:ascii="Book Antiqua" w:hAnsi="Book Antiqua"/>
          <w:bCs/>
          <w:noProof/>
          <w:color w:val="000000" w:themeColor="text1"/>
          <w:vertAlign w:val="superscript"/>
          <w:lang w:val="en-US"/>
        </w:rPr>
        <w:t>[36]</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 xml:space="preserve">. The loss of IRS-1 expression at some </w:t>
      </w:r>
      <w:r w:rsidR="009D37FB" w:rsidRPr="001256B1">
        <w:rPr>
          <w:rFonts w:ascii="Book Antiqua" w:hAnsi="Book Antiqua"/>
          <w:bCs/>
          <w:color w:val="000000" w:themeColor="text1"/>
          <w:lang w:val="en-US"/>
        </w:rPr>
        <w:t xml:space="preserve">stage </w:t>
      </w:r>
      <w:r w:rsidRPr="001256B1">
        <w:rPr>
          <w:rFonts w:ascii="Book Antiqua" w:hAnsi="Book Antiqua"/>
          <w:bCs/>
          <w:color w:val="000000" w:themeColor="text1"/>
          <w:lang w:val="en-US"/>
        </w:rPr>
        <w:t>during malignant transformation could suggest that IRS-1-dependent signals play a significant role in the early, but not advanced, stages of tumor development. In line with previous studies, we found that IRS-</w:t>
      </w:r>
      <w:r w:rsidRPr="001256B1">
        <w:rPr>
          <w:rFonts w:ascii="Book Antiqua" w:hAnsi="Book Antiqua"/>
          <w:bCs/>
          <w:color w:val="000000" w:themeColor="text1"/>
          <w:lang w:val="en-US"/>
        </w:rPr>
        <w:lastRenderedPageBreak/>
        <w:t xml:space="preserve">1 expression is more prevalent in more differentiated tumors, but others have shown that despite this fact IRS-1 expression was also correlated with markers of biological aggressiveness, including </w:t>
      </w:r>
      <w:r w:rsidRPr="001256B1">
        <w:rPr>
          <w:rFonts w:ascii="Book Antiqua" w:hAnsi="Book Antiqua"/>
          <w:lang w:val="en-US"/>
        </w:rPr>
        <w:t>Ki</w:t>
      </w:r>
      <w:r w:rsidR="00AB2294" w:rsidRPr="001256B1">
        <w:rPr>
          <w:rFonts w:ascii="Book Antiqua" w:hAnsi="Book Antiqua"/>
          <w:lang w:val="en-US"/>
        </w:rPr>
        <w:t>-</w:t>
      </w:r>
      <w:r w:rsidRPr="001256B1">
        <w:rPr>
          <w:rFonts w:ascii="Book Antiqua" w:hAnsi="Book Antiqua"/>
          <w:lang w:val="en-US"/>
        </w:rPr>
        <w:t>67, p53, and cytoplasmic beta-catenin</w:t>
      </w:r>
      <w:r w:rsidRPr="001256B1">
        <w:rPr>
          <w:rFonts w:ascii="Book Antiqua" w:hAnsi="Book Antiqua"/>
          <w:vertAlign w:val="superscript"/>
          <w:lang w:val="en-US"/>
        </w:rPr>
        <w:fldChar w:fldCharType="begin" w:fldLock="1"/>
      </w:r>
      <w:r w:rsidRPr="001256B1">
        <w:rPr>
          <w:rFonts w:ascii="Book Antiqua" w:hAnsi="Book Antiqua"/>
          <w:vertAlign w:val="superscript"/>
          <w:lang w:val="en-US"/>
        </w:rPr>
        <w:instrText>ADDIN CSL_CITATION {"citationItems":[{"id":"ITEM-1","itemData":{"author":[{"dropping-particle":"","family":"Esposito","given":"Diana L","non-dropping-particle":"","parse-names":false,"suffix":""},{"dropping-particle":"","family":"Aru","given":"Federica","non-dropping-particle":"","parse-names":false,"suffix":""},{"dropping-particle":"","family":"Lattanzio","given":"Rossano","non-dropping-particle":"","parse-names":false,"suffix":""},{"dropping-particle":"","family":"Morgano","given":"Annalisa","non-dropping-particle":"","parse-names":false,"suffix":""},{"dropping-particle":"","family":"Abbondanza","given":"Michela","non-dropping-particle":"","parse-names":false,"suffix":""},{"dropping-particle":"","family":"Malekzadeh","given":"Reza","non-dropping-particle":"","parse-names":false,"suffix":""},{"dropping-particle":"","family":"Bishehsari","given":"Faraz","non-dropping-particle":"","parse-names":false,"suffix":""},{"dropping-particle":"","family":"Valanzano","given":"Rosa","non-dropping-particle":"","parse-names":false,"suffix":""},{"dropping-particle":"","family":"Russo","given":"Antonio","non-dropping-particle":"","parse-names":false,"suffix":""},{"dropping-particle":"","family":"Piantelli","given":"Mauro","non-dropping-particle":"","parse-names":false,"suffix":""}],"container-title":"PLoS One","id":"ITEM-1","issue":"4","issued":{"date-parts":[["2012"]]},"publisher":"Public Library of Science","title":"The insulin receptor substrate 1 (IRS1) in intestinal epithelial differentiation and in colorectal cancer","type":"article-journal","volume":"7"},"uris":["http://www.mendeley.com/documents/?uuid=02648814-0679-4a83-aa9c-79729d55c079"]}],"mendeley":{"formattedCitation":"[2]","plainTextFormattedCitation":"[2]","previouslyFormattedCitation":"[2]"},"properties":{"noteIndex":0},"schema":"https://github.com/citation-style-language/schema/raw/master/csl-citation.json"}</w:instrText>
      </w:r>
      <w:r w:rsidRPr="001256B1">
        <w:rPr>
          <w:rFonts w:ascii="Book Antiqua" w:hAnsi="Book Antiqua"/>
          <w:vertAlign w:val="superscript"/>
          <w:lang w:val="en-US"/>
        </w:rPr>
        <w:fldChar w:fldCharType="separate"/>
      </w:r>
      <w:r w:rsidRPr="001256B1">
        <w:rPr>
          <w:rFonts w:ascii="Book Antiqua" w:hAnsi="Book Antiqua"/>
          <w:noProof/>
          <w:vertAlign w:val="superscript"/>
          <w:lang w:val="en-US"/>
        </w:rPr>
        <w:t>[2]</w:t>
      </w:r>
      <w:r w:rsidRPr="001256B1">
        <w:rPr>
          <w:rFonts w:ascii="Book Antiqua" w:hAnsi="Book Antiqua"/>
          <w:vertAlign w:val="superscript"/>
          <w:lang w:val="en-US"/>
        </w:rPr>
        <w:fldChar w:fldCharType="end"/>
      </w:r>
      <w:r w:rsidRPr="001256B1">
        <w:rPr>
          <w:rFonts w:ascii="Book Antiqua" w:hAnsi="Book Antiqua"/>
          <w:lang w:val="en-US"/>
        </w:rPr>
        <w:t>.</w:t>
      </w:r>
    </w:p>
    <w:p w14:paraId="48AED6A9" w14:textId="53064356" w:rsidR="008F5A7C" w:rsidRPr="001256B1" w:rsidRDefault="008F5A7C" w:rsidP="00F55750">
      <w:pPr>
        <w:snapToGrid w:val="0"/>
        <w:spacing w:line="360" w:lineRule="auto"/>
        <w:ind w:firstLineChars="100" w:firstLine="240"/>
        <w:jc w:val="both"/>
        <w:rPr>
          <w:rFonts w:ascii="Book Antiqua" w:hAnsi="Book Antiqua"/>
          <w:bCs/>
          <w:color w:val="000000" w:themeColor="text1"/>
          <w:lang w:val="en-US"/>
        </w:rPr>
      </w:pPr>
      <w:r w:rsidRPr="001256B1">
        <w:rPr>
          <w:rFonts w:ascii="Book Antiqua" w:hAnsi="Book Antiqua"/>
          <w:bCs/>
          <w:color w:val="000000" w:themeColor="text1"/>
          <w:lang w:val="en-US"/>
        </w:rPr>
        <w:t xml:space="preserve">The overall goal of this work was to examine the expression of IRS-1 in CRC and analyze its associations with proliferation and apoptotic markers Ki-67,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and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in relation to clinicopathologic features. Our data suggest that 1) IRS-1 expression is more prevalent in more differentiated tumors, and 2) IRS-1 expression is correlated with both proapoptotic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and antiapoptotic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proteins. The first observation indicates that loss of IRS-1 in CRC may be considered as potential marker for poor differentiation and more aggressive phenotype. The second observation aligns with published evidence suggesting a potential diverse role of </w:t>
      </w:r>
      <w:r w:rsidR="00F005AB" w:rsidRPr="001256B1">
        <w:rPr>
          <w:rFonts w:ascii="Book Antiqua" w:hAnsi="Book Antiqua"/>
          <w:bCs/>
          <w:color w:val="000000" w:themeColor="text1"/>
          <w:lang w:val="en-US" w:eastAsia="zh-CN"/>
        </w:rPr>
        <w:t>-</w:t>
      </w:r>
      <w:r w:rsidR="00F005AB" w:rsidRPr="001256B1">
        <w:rPr>
          <w:rFonts w:ascii="Book Antiqua" w:hAnsi="Book Antiqua"/>
          <w:bCs/>
          <w:color w:val="000000" w:themeColor="text1"/>
          <w:lang w:val="en-US"/>
        </w:rPr>
        <w:t>insulin receptor</w:t>
      </w:r>
      <w:r w:rsidR="00145840"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IGF-</w:t>
      </w:r>
      <w:r w:rsidR="000B05A8" w:rsidRPr="001256B1">
        <w:rPr>
          <w:rFonts w:ascii="Book Antiqua" w:hAnsi="Book Antiqua"/>
          <w:bCs/>
          <w:color w:val="000000" w:themeColor="text1"/>
          <w:lang w:val="en-US"/>
        </w:rPr>
        <w:t>1</w:t>
      </w:r>
      <w:r w:rsidRPr="001256B1">
        <w:rPr>
          <w:rFonts w:ascii="Book Antiqua" w:hAnsi="Book Antiqua"/>
          <w:bCs/>
          <w:color w:val="000000" w:themeColor="text1"/>
          <w:lang w:val="en-US"/>
        </w:rPr>
        <w:t>R/IRS-1 signaling in regulating apoptotic processes</w:t>
      </w:r>
      <w:r w:rsidRPr="001256B1">
        <w:rPr>
          <w:rFonts w:ascii="Book Antiqua" w:hAnsi="Book Antiqua"/>
          <w:bCs/>
          <w:color w:val="000000" w:themeColor="text1"/>
          <w:vertAlign w:val="superscript"/>
          <w:lang w:val="en-US"/>
        </w:rPr>
        <w:fldChar w:fldCharType="begin" w:fldLock="1"/>
      </w:r>
      <w:r w:rsidR="001B2DB3" w:rsidRPr="001256B1">
        <w:rPr>
          <w:rFonts w:ascii="Book Antiqua" w:hAnsi="Book Antiqua"/>
          <w:bCs/>
          <w:color w:val="000000" w:themeColor="text1"/>
          <w:vertAlign w:val="superscript"/>
          <w:lang w:val="en-US"/>
        </w:rPr>
        <w:instrText>ADDIN CSL_CITATION {"citationItems":[{"id":"ITEM-1","itemData":{"ISSN":"0018-5043","author":[{"dropping-particle":"","family":"Raile","given":"K","non-dropping-particle":"","parse-names":false,"suffix":""},{"dropping-particle":"","family":"Hille","given":"R","non-dropping-particle":"","parse-names":false,"suffix":""},{"dropping-particle":"","family":"Laue","given":"S","non-dropping-particle":"","parse-names":false,"suffix":""},{"dropping-particle":"","family":"Schulz","given":"A","non-dropping-particle":"","parse-names":false,"suffix":""},{"dropping-particle":"","family":"Pfeifer","given":"G","non-dropping-particle":"","parse-names":false,"suffix":""},{"dropping-particle":"","family":"Horn","given":"F","non-dropping-particle":"","parse-names":false,"suffix":""},{"dropping-particle":"","family":"Kiess","given":"W","non-dropping-particle":"","parse-names":false,"suffix":""}],"container-title":"Hormone and metabolic research","id":"ITEM-1","issue":"11/12","issued":{"date-parts":[["2003"]]},"page":"786-793","publisher":"© Georg Thieme Verlag Stuttgart· New York","title":"Insulin-like growth factor I (IGF-I) stimulates proliferation but also increases caspase-3 activity, Annexin-V binding, and DNA-fragmentation in human MG63 osteosarcoma cells: co-activation of pro-and anti-apoptotic pathways by IGF-I","type":"article-journal","volume":"35"},"uris":["http://www.mendeley.com/documents/?uuid=923e964e-e55f-4cf5-b471-0f5b0fc69258"]}],"mendeley":{"formattedCitation":"[23]","plainTextFormattedCitation":"[23]","previouslyFormattedCitation":"[23]"},"properties":{"noteIndex":0},"schema":"https://github.com/citation-style-language/schema/raw/master/csl-citation.json"}</w:instrText>
      </w:r>
      <w:r w:rsidRPr="001256B1">
        <w:rPr>
          <w:rFonts w:ascii="Book Antiqua" w:hAnsi="Book Antiqua"/>
          <w:bCs/>
          <w:color w:val="000000" w:themeColor="text1"/>
          <w:vertAlign w:val="superscript"/>
          <w:lang w:val="en-US"/>
        </w:rPr>
        <w:fldChar w:fldCharType="separate"/>
      </w:r>
      <w:r w:rsidR="004E1BA6" w:rsidRPr="001256B1">
        <w:rPr>
          <w:rFonts w:ascii="Book Antiqua" w:hAnsi="Book Antiqua"/>
          <w:bCs/>
          <w:noProof/>
          <w:color w:val="000000" w:themeColor="text1"/>
          <w:vertAlign w:val="superscript"/>
          <w:lang w:val="en-US"/>
        </w:rPr>
        <w:t>[23]</w:t>
      </w:r>
      <w:r w:rsidRPr="001256B1">
        <w:rPr>
          <w:rFonts w:ascii="Book Antiqua" w:hAnsi="Book Antiqua"/>
          <w:bCs/>
          <w:color w:val="000000" w:themeColor="text1"/>
          <w:vertAlign w:val="superscript"/>
          <w:lang w:val="en-US"/>
        </w:rPr>
        <w:fldChar w:fldCharType="end"/>
      </w:r>
      <w:r w:rsidRPr="001256B1">
        <w:rPr>
          <w:rFonts w:ascii="Book Antiqua" w:hAnsi="Book Antiqua"/>
          <w:bCs/>
          <w:color w:val="000000" w:themeColor="text1"/>
          <w:lang w:val="en-US"/>
        </w:rPr>
        <w:t>.</w:t>
      </w:r>
    </w:p>
    <w:p w14:paraId="766DFB44" w14:textId="77777777" w:rsidR="008F5A7C" w:rsidRPr="001256B1" w:rsidRDefault="008F5A7C" w:rsidP="00F55750">
      <w:pPr>
        <w:pStyle w:val="a8"/>
        <w:snapToGrid w:val="0"/>
        <w:spacing w:before="0" w:beforeAutospacing="0" w:after="0" w:afterAutospacing="0" w:line="360" w:lineRule="auto"/>
        <w:ind w:firstLineChars="100" w:firstLine="240"/>
        <w:jc w:val="both"/>
        <w:rPr>
          <w:rFonts w:ascii="Book Antiqua" w:hAnsi="Book Antiqua"/>
          <w:bCs/>
          <w:color w:val="000000" w:themeColor="text1"/>
          <w:lang w:val="en-US"/>
        </w:rPr>
      </w:pPr>
      <w:r w:rsidRPr="001256B1">
        <w:rPr>
          <w:rFonts w:ascii="Book Antiqua" w:hAnsi="Book Antiqua"/>
          <w:bCs/>
          <w:color w:val="000000" w:themeColor="text1"/>
          <w:lang w:val="en-US"/>
        </w:rPr>
        <w:t xml:space="preserve">While this study is not conclusive, it provides a good starting point for discussion regarding interactions and functional dependence between IRS-1,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and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in CRC. In the future, the assessment of IRS-1 expression could be used to evaluate individual patient prognosis and might offer new insights into developing more efficient treatment strategies and identify patients who are most likely to respond to targeted therapies, for example IGF-1R inhibition.</w:t>
      </w:r>
    </w:p>
    <w:p w14:paraId="744D52CA" w14:textId="77777777" w:rsidR="00467FEE" w:rsidRPr="001256B1" w:rsidRDefault="00467FEE" w:rsidP="00F55750">
      <w:pPr>
        <w:pStyle w:val="a8"/>
        <w:snapToGrid w:val="0"/>
        <w:spacing w:before="0" w:beforeAutospacing="0" w:after="0" w:afterAutospacing="0" w:line="360" w:lineRule="auto"/>
        <w:jc w:val="both"/>
        <w:rPr>
          <w:rFonts w:ascii="Book Antiqua" w:hAnsi="Book Antiqua"/>
          <w:bCs/>
          <w:color w:val="000000" w:themeColor="text1"/>
          <w:lang w:val="en-US"/>
        </w:rPr>
      </w:pPr>
    </w:p>
    <w:p w14:paraId="543C2113" w14:textId="77777777" w:rsidR="004B3F46" w:rsidRPr="001256B1" w:rsidRDefault="004B3F46" w:rsidP="00F55750">
      <w:pPr>
        <w:adjustRightInd w:val="0"/>
        <w:snapToGrid w:val="0"/>
        <w:spacing w:line="360" w:lineRule="auto"/>
        <w:jc w:val="both"/>
        <w:rPr>
          <w:rFonts w:ascii="Book Antiqua" w:hAnsi="Book Antiqua"/>
          <w:b/>
          <w:color w:val="000000"/>
          <w:u w:val="single"/>
          <w:lang w:eastAsia="zh-CN"/>
        </w:rPr>
      </w:pPr>
      <w:r w:rsidRPr="001256B1">
        <w:rPr>
          <w:rFonts w:ascii="Book Antiqua" w:hAnsi="Book Antiqua"/>
          <w:b/>
          <w:color w:val="000000"/>
          <w:u w:val="single"/>
        </w:rPr>
        <w:t>ARTICLE HIGHLIGHTS</w:t>
      </w:r>
    </w:p>
    <w:p w14:paraId="580B4921" w14:textId="77777777" w:rsidR="004B3F46" w:rsidRPr="001256B1" w:rsidRDefault="004B3F46" w:rsidP="00F55750">
      <w:pPr>
        <w:adjustRightInd w:val="0"/>
        <w:snapToGrid w:val="0"/>
        <w:spacing w:line="360" w:lineRule="auto"/>
        <w:jc w:val="both"/>
        <w:rPr>
          <w:rFonts w:ascii="Book Antiqua" w:hAnsi="Book Antiqua"/>
          <w:b/>
          <w:i/>
          <w:color w:val="000000"/>
        </w:rPr>
      </w:pPr>
      <w:r w:rsidRPr="001256B1">
        <w:rPr>
          <w:rFonts w:ascii="Book Antiqua" w:hAnsi="Book Antiqua"/>
          <w:b/>
          <w:i/>
          <w:color w:val="000000"/>
        </w:rPr>
        <w:t>Research background</w:t>
      </w:r>
    </w:p>
    <w:p w14:paraId="39AD6785" w14:textId="77777777" w:rsidR="00467FEE" w:rsidRPr="001256B1" w:rsidRDefault="00467FEE" w:rsidP="00F55750">
      <w:pPr>
        <w:pStyle w:val="a8"/>
        <w:snapToGrid w:val="0"/>
        <w:spacing w:before="0" w:beforeAutospacing="0" w:after="0" w:afterAutospacing="0" w:line="360" w:lineRule="auto"/>
        <w:jc w:val="both"/>
        <w:rPr>
          <w:rFonts w:ascii="Book Antiqua" w:hAnsi="Book Antiqua"/>
          <w:color w:val="000000" w:themeColor="text1"/>
          <w:lang w:val="en-US"/>
        </w:rPr>
      </w:pPr>
      <w:r w:rsidRPr="001256B1">
        <w:rPr>
          <w:rFonts w:ascii="Book Antiqua" w:hAnsi="Book Antiqua"/>
          <w:color w:val="000000" w:themeColor="text1"/>
          <w:lang w:val="en-US"/>
        </w:rPr>
        <w:t xml:space="preserve">Insulin receptor substrate 1 (IRS-1), a signaling molecule involved in cell proliferation, survival and metabolic responses has been implicated in carcinogenic processes in various cellular and animal models. However, the role of IRS-1 in human colorectal cancer (CRC) biology and its value as a clinical CRC biomarker has not been well defined. </w:t>
      </w:r>
    </w:p>
    <w:p w14:paraId="4C692392" w14:textId="77777777" w:rsidR="00467FEE" w:rsidRPr="001256B1" w:rsidRDefault="00467FEE" w:rsidP="00F55750">
      <w:pPr>
        <w:snapToGrid w:val="0"/>
        <w:spacing w:line="360" w:lineRule="auto"/>
        <w:jc w:val="both"/>
        <w:rPr>
          <w:rFonts w:ascii="Book Antiqua" w:hAnsi="Book Antiqua"/>
          <w:color w:val="000000" w:themeColor="text1"/>
          <w:lang w:val="en-US"/>
        </w:rPr>
      </w:pPr>
    </w:p>
    <w:p w14:paraId="359828C9" w14:textId="77777777" w:rsidR="004B3F46" w:rsidRPr="001256B1" w:rsidRDefault="004B3F46" w:rsidP="00F55750">
      <w:pPr>
        <w:adjustRightInd w:val="0"/>
        <w:snapToGrid w:val="0"/>
        <w:spacing w:line="360" w:lineRule="auto"/>
        <w:jc w:val="both"/>
        <w:rPr>
          <w:rFonts w:ascii="Book Antiqua" w:hAnsi="Book Antiqua"/>
          <w:b/>
          <w:i/>
          <w:color w:val="000000"/>
        </w:rPr>
      </w:pPr>
      <w:r w:rsidRPr="001256B1">
        <w:rPr>
          <w:rFonts w:ascii="Book Antiqua" w:hAnsi="Book Antiqua"/>
          <w:b/>
          <w:i/>
          <w:color w:val="000000"/>
        </w:rPr>
        <w:t>Research motivation</w:t>
      </w:r>
    </w:p>
    <w:p w14:paraId="58D43605" w14:textId="00ECA3B5" w:rsidR="00467FEE" w:rsidRPr="001256B1" w:rsidRDefault="00467FEE" w:rsidP="00F55750">
      <w:pPr>
        <w:snapToGrid w:val="0"/>
        <w:spacing w:line="360" w:lineRule="auto"/>
        <w:jc w:val="both"/>
        <w:rPr>
          <w:rFonts w:ascii="Book Antiqua" w:hAnsi="Book Antiqua"/>
          <w:b/>
          <w:color w:val="000000" w:themeColor="text1"/>
          <w:lang w:val="en-US"/>
        </w:rPr>
      </w:pPr>
      <w:r w:rsidRPr="001256B1">
        <w:rPr>
          <w:rFonts w:ascii="Book Antiqua" w:hAnsi="Book Antiqua"/>
          <w:color w:val="000000" w:themeColor="text1"/>
          <w:lang w:val="en-US"/>
        </w:rPr>
        <w:lastRenderedPageBreak/>
        <w:t xml:space="preserve">CRC is the third most common cancer diagnosed across the world. Despite effective prevention and screening methods CRC represents one of the most common causes of cancer-related deaths. </w:t>
      </w:r>
      <w:r w:rsidRPr="001256B1">
        <w:rPr>
          <w:rFonts w:ascii="Book Antiqua" w:hAnsi="Book Antiqua"/>
          <w:color w:val="000000" w:themeColor="text1"/>
          <w:shd w:val="clear" w:color="auto" w:fill="FFFFFF"/>
          <w:lang w:val="en-US"/>
        </w:rPr>
        <w:t>Most of the research is aimed at finding new prognostic factors or therapeutic strategy in order to reduce high CRC-related mortality</w:t>
      </w:r>
      <w:r w:rsidR="003B7C8E" w:rsidRPr="001256B1">
        <w:rPr>
          <w:rFonts w:ascii="Book Antiqua" w:hAnsi="Book Antiqua"/>
          <w:color w:val="000000" w:themeColor="text1"/>
          <w:shd w:val="clear" w:color="auto" w:fill="FFFFFF"/>
          <w:lang w:val="en-US"/>
        </w:rPr>
        <w:t>.</w:t>
      </w:r>
    </w:p>
    <w:p w14:paraId="60295147" w14:textId="77777777" w:rsidR="00467FEE" w:rsidRPr="001256B1" w:rsidRDefault="00467FEE" w:rsidP="00F55750">
      <w:pPr>
        <w:snapToGrid w:val="0"/>
        <w:spacing w:line="360" w:lineRule="auto"/>
        <w:jc w:val="both"/>
        <w:rPr>
          <w:rFonts w:ascii="Book Antiqua" w:hAnsi="Book Antiqua"/>
          <w:b/>
          <w:i/>
          <w:color w:val="000000" w:themeColor="text1"/>
          <w:lang w:val="en-US"/>
        </w:rPr>
      </w:pPr>
    </w:p>
    <w:p w14:paraId="2783C84D" w14:textId="77777777" w:rsidR="004B3F46" w:rsidRPr="001256B1" w:rsidRDefault="004B3F46" w:rsidP="00F55750">
      <w:pPr>
        <w:snapToGrid w:val="0"/>
        <w:spacing w:line="360" w:lineRule="auto"/>
        <w:jc w:val="both"/>
        <w:rPr>
          <w:rFonts w:ascii="Book Antiqua" w:hAnsi="Book Antiqua"/>
          <w:bCs/>
          <w:color w:val="000000" w:themeColor="text1"/>
          <w:lang w:val="en-US"/>
        </w:rPr>
      </w:pPr>
      <w:r w:rsidRPr="001256B1">
        <w:rPr>
          <w:rFonts w:ascii="Book Antiqua" w:hAnsi="Book Antiqua"/>
          <w:b/>
          <w:i/>
          <w:color w:val="000000"/>
        </w:rPr>
        <w:t>Research objectives</w:t>
      </w:r>
      <w:r w:rsidRPr="001256B1">
        <w:rPr>
          <w:rFonts w:ascii="Book Antiqua" w:hAnsi="Book Antiqua"/>
          <w:bCs/>
          <w:color w:val="000000" w:themeColor="text1"/>
          <w:lang w:val="en-US"/>
        </w:rPr>
        <w:t xml:space="preserve"> </w:t>
      </w:r>
    </w:p>
    <w:p w14:paraId="64B1BE63" w14:textId="72828971" w:rsidR="00467FEE" w:rsidRPr="001256B1" w:rsidRDefault="00467FEE" w:rsidP="00F55750">
      <w:pPr>
        <w:snapToGrid w:val="0"/>
        <w:spacing w:line="360" w:lineRule="auto"/>
        <w:jc w:val="both"/>
        <w:rPr>
          <w:rFonts w:ascii="Book Antiqua" w:hAnsi="Book Antiqua"/>
          <w:b/>
          <w:color w:val="000000" w:themeColor="text1"/>
          <w:lang w:val="en-US"/>
        </w:rPr>
      </w:pPr>
      <w:r w:rsidRPr="001256B1">
        <w:rPr>
          <w:rFonts w:ascii="Book Antiqua" w:hAnsi="Book Antiqua"/>
          <w:bCs/>
          <w:color w:val="000000" w:themeColor="text1"/>
          <w:lang w:val="en-US"/>
        </w:rPr>
        <w:t xml:space="preserve">This study evaluated if and how IRS-1 expression </w:t>
      </w:r>
      <w:r w:rsidRPr="001256B1">
        <w:rPr>
          <w:rFonts w:ascii="Book Antiqua" w:hAnsi="Book Antiqua"/>
          <w:color w:val="000000" w:themeColor="text1"/>
          <w:lang w:val="en-US"/>
        </w:rPr>
        <w:t xml:space="preserve">and its associations with the apoptotic and proliferation tumor markers, </w:t>
      </w:r>
      <w:proofErr w:type="spellStart"/>
      <w:r w:rsidRPr="001256B1">
        <w:rPr>
          <w:rFonts w:ascii="Book Antiqua" w:hAnsi="Book Antiqua"/>
          <w:color w:val="000000" w:themeColor="text1"/>
          <w:lang w:val="en-US"/>
        </w:rPr>
        <w:t>Bax</w:t>
      </w:r>
      <w:proofErr w:type="spellEnd"/>
      <w:r w:rsidRPr="001256B1">
        <w:rPr>
          <w:rFonts w:ascii="Book Antiqua" w:hAnsi="Book Antiqua"/>
          <w:color w:val="000000" w:themeColor="text1"/>
          <w:lang w:val="en-US"/>
        </w:rPr>
        <w:t xml:space="preserve">, </w:t>
      </w:r>
      <w:proofErr w:type="spellStart"/>
      <w:r w:rsidRPr="001256B1">
        <w:rPr>
          <w:rFonts w:ascii="Book Antiqua" w:hAnsi="Book Antiqua"/>
          <w:color w:val="000000" w:themeColor="text1"/>
          <w:lang w:val="en-US"/>
        </w:rPr>
        <w:t>Bcl-xL</w:t>
      </w:r>
      <w:proofErr w:type="spellEnd"/>
      <w:r w:rsidRPr="001256B1">
        <w:rPr>
          <w:rFonts w:ascii="Book Antiqua" w:hAnsi="Book Antiqua"/>
          <w:color w:val="000000" w:themeColor="text1"/>
          <w:lang w:val="en-US"/>
        </w:rPr>
        <w:t xml:space="preserve"> </w:t>
      </w:r>
      <w:r w:rsidRPr="001256B1">
        <w:rPr>
          <w:rFonts w:ascii="Book Antiqua" w:hAnsi="Book Antiqua"/>
          <w:color w:val="000000" w:themeColor="text1"/>
          <w:shd w:val="clear" w:color="auto" w:fill="FFFFFF"/>
          <w:lang w:val="en-US"/>
        </w:rPr>
        <w:t xml:space="preserve">and Ki-67 are related to clinicopathological features in human CRC, </w:t>
      </w:r>
      <w:r w:rsidRPr="001256B1">
        <w:rPr>
          <w:rFonts w:ascii="Book Antiqua" w:hAnsi="Book Antiqua"/>
          <w:i/>
          <w:iCs/>
          <w:color w:val="000000" w:themeColor="text1"/>
          <w:shd w:val="clear" w:color="auto" w:fill="FFFFFF"/>
          <w:lang w:val="en-US"/>
        </w:rPr>
        <w:t>i.e.</w:t>
      </w:r>
      <w:r w:rsidRPr="001256B1">
        <w:rPr>
          <w:rFonts w:ascii="Book Antiqua" w:hAnsi="Book Antiqua"/>
          <w:color w:val="000000" w:themeColor="text1"/>
          <w:shd w:val="clear" w:color="auto" w:fill="FFFFFF"/>
          <w:lang w:val="en-US"/>
        </w:rPr>
        <w:t>, patient age, sex, primary localization of tumor, histopathological type, grading, staging and lymph node spread.</w:t>
      </w:r>
    </w:p>
    <w:p w14:paraId="11E1B73B" w14:textId="77777777" w:rsidR="00467FEE" w:rsidRPr="001256B1" w:rsidRDefault="00467FEE" w:rsidP="00F55750">
      <w:pPr>
        <w:snapToGrid w:val="0"/>
        <w:spacing w:line="360" w:lineRule="auto"/>
        <w:jc w:val="both"/>
        <w:rPr>
          <w:rFonts w:ascii="Book Antiqua" w:hAnsi="Book Antiqua"/>
          <w:b/>
          <w:color w:val="000000" w:themeColor="text1"/>
          <w:lang w:val="en-US"/>
        </w:rPr>
      </w:pPr>
    </w:p>
    <w:p w14:paraId="3849F4B9" w14:textId="77777777" w:rsidR="004B3F46" w:rsidRPr="001256B1" w:rsidRDefault="004B3F46" w:rsidP="00F55750">
      <w:pPr>
        <w:adjustRightInd w:val="0"/>
        <w:snapToGrid w:val="0"/>
        <w:spacing w:line="360" w:lineRule="auto"/>
        <w:jc w:val="both"/>
        <w:rPr>
          <w:rFonts w:ascii="Book Antiqua" w:hAnsi="Book Antiqua"/>
          <w:b/>
          <w:i/>
          <w:color w:val="000000"/>
        </w:rPr>
      </w:pPr>
      <w:r w:rsidRPr="001256B1">
        <w:rPr>
          <w:rFonts w:ascii="Book Antiqua" w:hAnsi="Book Antiqua"/>
          <w:b/>
          <w:i/>
          <w:color w:val="000000"/>
        </w:rPr>
        <w:t>Research methods</w:t>
      </w:r>
    </w:p>
    <w:p w14:paraId="786F99E3" w14:textId="0A4741B1" w:rsidR="00B40BAA" w:rsidRPr="001256B1" w:rsidRDefault="00467FEE" w:rsidP="00F55750">
      <w:pPr>
        <w:snapToGrid w:val="0"/>
        <w:spacing w:line="360" w:lineRule="auto"/>
        <w:jc w:val="both"/>
        <w:rPr>
          <w:rFonts w:ascii="Book Antiqua" w:hAnsi="Book Antiqua"/>
          <w:b/>
          <w:color w:val="000000" w:themeColor="text1"/>
          <w:lang w:val="en-US"/>
        </w:rPr>
      </w:pPr>
      <w:r w:rsidRPr="001256B1">
        <w:rPr>
          <w:rFonts w:ascii="Book Antiqua" w:hAnsi="Book Antiqua"/>
          <w:color w:val="000000" w:themeColor="text1"/>
          <w:lang w:val="en-US"/>
        </w:rPr>
        <w:t xml:space="preserve">We retrospectively collected data from </w:t>
      </w:r>
      <w:r w:rsidRPr="001256B1">
        <w:rPr>
          <w:rFonts w:ascii="Book Antiqua" w:hAnsi="Book Antiqua"/>
          <w:color w:val="000000" w:themeColor="text1"/>
          <w:shd w:val="clear" w:color="auto" w:fill="FFFFFF"/>
          <w:lang w:val="en-US"/>
        </w:rPr>
        <w:t xml:space="preserve">127 patients with primary CRC who underwent radical surgery with lymph node dissection. </w:t>
      </w:r>
      <w:r w:rsidRPr="001256B1">
        <w:rPr>
          <w:rFonts w:ascii="Book Antiqua" w:hAnsi="Book Antiqua"/>
          <w:bCs/>
          <w:color w:val="000000" w:themeColor="text1"/>
          <w:lang w:val="en-US"/>
        </w:rPr>
        <w:t xml:space="preserve">We analyzed the expressions of IRS-1,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and Ki-67 proteins using immunohistochemical methods.</w:t>
      </w:r>
      <w:r w:rsidRPr="001256B1">
        <w:rPr>
          <w:rFonts w:ascii="Book Antiqua" w:hAnsi="Book Antiqua"/>
          <w:color w:val="000000" w:themeColor="text1"/>
          <w:shd w:val="clear" w:color="auto" w:fill="FFFFFF"/>
          <w:lang w:val="en-US"/>
        </w:rPr>
        <w:t xml:space="preserve"> Correlations between variables were examined by Spearman rank correlation test and Fisher exact test with a level of significance at </w:t>
      </w:r>
      <w:r w:rsidR="003B7C8E" w:rsidRPr="001256B1">
        <w:rPr>
          <w:rFonts w:ascii="Book Antiqua" w:hAnsi="Book Antiqua"/>
          <w:i/>
          <w:iCs/>
          <w:color w:val="000000" w:themeColor="text1"/>
          <w:shd w:val="clear" w:color="auto" w:fill="FFFFFF"/>
          <w:lang w:val="en-US"/>
        </w:rPr>
        <w:t>P</w:t>
      </w:r>
      <w:r w:rsidR="003D0970" w:rsidRPr="001256B1">
        <w:rPr>
          <w:rFonts w:ascii="Book Antiqua" w:hAnsi="Book Antiqua"/>
          <w:i/>
          <w:iCs/>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&lt;</w:t>
      </w:r>
      <w:r w:rsidR="003D0970" w:rsidRPr="001256B1">
        <w:rPr>
          <w:rFonts w:ascii="Book Antiqua" w:hAnsi="Book Antiqua"/>
          <w:color w:val="000000" w:themeColor="text1"/>
          <w:shd w:val="clear" w:color="auto" w:fill="FFFFFF"/>
          <w:lang w:val="en-US"/>
        </w:rPr>
        <w:t xml:space="preserve"> </w:t>
      </w:r>
      <w:r w:rsidRPr="001256B1">
        <w:rPr>
          <w:rFonts w:ascii="Book Antiqua" w:hAnsi="Book Antiqua"/>
          <w:color w:val="000000" w:themeColor="text1"/>
          <w:shd w:val="clear" w:color="auto" w:fill="FFFFFF"/>
          <w:lang w:val="en-US"/>
        </w:rPr>
        <w:t>0.05.</w:t>
      </w:r>
    </w:p>
    <w:p w14:paraId="6C6F83F0" w14:textId="77777777" w:rsidR="00B40BAA" w:rsidRPr="001256B1" w:rsidRDefault="00B40BAA" w:rsidP="00F55750">
      <w:pPr>
        <w:snapToGrid w:val="0"/>
        <w:spacing w:line="360" w:lineRule="auto"/>
        <w:jc w:val="both"/>
        <w:rPr>
          <w:rFonts w:ascii="Book Antiqua" w:hAnsi="Book Antiqua"/>
          <w:b/>
          <w:color w:val="000000" w:themeColor="text1"/>
          <w:lang w:val="en-US"/>
        </w:rPr>
      </w:pPr>
    </w:p>
    <w:p w14:paraId="648D3D5C" w14:textId="77777777" w:rsidR="004B3F46" w:rsidRPr="001256B1" w:rsidRDefault="004B3F46" w:rsidP="00F55750">
      <w:pPr>
        <w:adjustRightInd w:val="0"/>
        <w:snapToGrid w:val="0"/>
        <w:spacing w:line="360" w:lineRule="auto"/>
        <w:jc w:val="both"/>
        <w:rPr>
          <w:rFonts w:ascii="Book Antiqua" w:hAnsi="Book Antiqua"/>
          <w:b/>
          <w:i/>
          <w:color w:val="000000"/>
        </w:rPr>
      </w:pPr>
      <w:r w:rsidRPr="001256B1">
        <w:rPr>
          <w:rFonts w:ascii="Book Antiqua" w:hAnsi="Book Antiqua"/>
          <w:b/>
          <w:i/>
          <w:color w:val="000000"/>
        </w:rPr>
        <w:t>Research results</w:t>
      </w:r>
    </w:p>
    <w:p w14:paraId="6FBB5EC9" w14:textId="31B2E10D" w:rsidR="00467FEE" w:rsidRPr="001256B1" w:rsidRDefault="00467FEE" w:rsidP="00F55750">
      <w:pPr>
        <w:snapToGrid w:val="0"/>
        <w:spacing w:line="360" w:lineRule="auto"/>
        <w:jc w:val="both"/>
        <w:rPr>
          <w:rFonts w:ascii="Book Antiqua" w:hAnsi="Book Antiqua"/>
          <w:color w:val="000000" w:themeColor="text1"/>
          <w:lang w:val="en-US"/>
        </w:rPr>
      </w:pPr>
      <w:r w:rsidRPr="001256B1">
        <w:rPr>
          <w:rFonts w:ascii="Book Antiqua" w:hAnsi="Book Antiqua"/>
          <w:bCs/>
          <w:color w:val="000000" w:themeColor="text1"/>
          <w:lang w:val="en-US"/>
        </w:rPr>
        <w:t xml:space="preserve">Immunohistochemical analysis revealed weak cytoplasmatic staining for IRS-1 in 66 CRC sections and strong cytoplasmatic staining in 61 cases. IRS-1 expression at any level in primary CRC was associated with tumor grade (69% in moderately differentiated tumors, G2 </w:t>
      </w:r>
      <w:r w:rsidRPr="001256B1">
        <w:rPr>
          <w:rFonts w:ascii="Book Antiqua" w:hAnsi="Book Antiqua"/>
          <w:bCs/>
          <w:i/>
          <w:iCs/>
          <w:color w:val="000000" w:themeColor="text1"/>
          <w:lang w:val="en-US"/>
        </w:rPr>
        <w:t>vs</w:t>
      </w:r>
      <w:r w:rsidRPr="001256B1">
        <w:rPr>
          <w:rFonts w:ascii="Book Antiqua" w:hAnsi="Book Antiqua"/>
          <w:bCs/>
          <w:color w:val="000000" w:themeColor="text1"/>
          <w:lang w:val="en-US"/>
        </w:rPr>
        <w:t xml:space="preserve"> 31% in poorly differentiated tumors, G3) and with histological type (81</w:t>
      </w:r>
      <w:r w:rsidR="00C52270" w:rsidRPr="001256B1">
        <w:rPr>
          <w:rFonts w:ascii="Book Antiqua" w:hAnsi="Book Antiqua"/>
          <w:bCs/>
          <w:color w:val="000000" w:themeColor="text1"/>
          <w:lang w:val="en-US"/>
        </w:rPr>
        <w:t>.</w:t>
      </w:r>
      <w:r w:rsidRPr="001256B1">
        <w:rPr>
          <w:rFonts w:ascii="Book Antiqua" w:hAnsi="Book Antiqua"/>
          <w:bCs/>
          <w:color w:val="000000" w:themeColor="text1"/>
          <w:lang w:val="en-US"/>
        </w:rPr>
        <w:t xml:space="preserve">9% in adenocarcinoma </w:t>
      </w:r>
      <w:r w:rsidRPr="001256B1">
        <w:rPr>
          <w:rFonts w:ascii="Book Antiqua" w:hAnsi="Book Antiqua"/>
          <w:bCs/>
          <w:i/>
          <w:iCs/>
          <w:color w:val="000000" w:themeColor="text1"/>
          <w:lang w:val="en-US"/>
        </w:rPr>
        <w:t xml:space="preserve">vs </w:t>
      </w:r>
      <w:r w:rsidRPr="001256B1">
        <w:rPr>
          <w:rFonts w:ascii="Book Antiqua" w:hAnsi="Book Antiqua"/>
          <w:bCs/>
          <w:color w:val="000000" w:themeColor="text1"/>
          <w:lang w:val="en-US"/>
        </w:rPr>
        <w:t>18</w:t>
      </w:r>
      <w:r w:rsidR="00C52270" w:rsidRPr="001256B1">
        <w:rPr>
          <w:rFonts w:ascii="Book Antiqua" w:hAnsi="Book Antiqua"/>
          <w:bCs/>
          <w:color w:val="000000" w:themeColor="text1"/>
          <w:lang w:val="en-US"/>
        </w:rPr>
        <w:t>.</w:t>
      </w:r>
      <w:r w:rsidRPr="001256B1">
        <w:rPr>
          <w:rFonts w:ascii="Book Antiqua" w:hAnsi="Book Antiqua"/>
          <w:bCs/>
          <w:color w:val="000000" w:themeColor="text1"/>
          <w:lang w:val="en-US"/>
        </w:rPr>
        <w:t xml:space="preserve">1% in adenocarcinoma with mucosal component cases). Strong IRS-1 positivity was observed more frequently in adenocarcinoma cases (95.1%) and in moderately differentiated tumors (85.2%). We also found different relationships between </w:t>
      </w:r>
      <w:r w:rsidR="005D324F" w:rsidRPr="001256B1">
        <w:rPr>
          <w:rFonts w:ascii="Book Antiqua" w:hAnsi="Book Antiqua"/>
          <w:bCs/>
          <w:color w:val="000000" w:themeColor="text1"/>
          <w:lang w:val="en-US"/>
        </w:rPr>
        <w:t xml:space="preserve">IRS-1 expression and both </w:t>
      </w:r>
      <w:proofErr w:type="spellStart"/>
      <w:r w:rsidR="005D324F" w:rsidRPr="001256B1">
        <w:rPr>
          <w:rFonts w:ascii="Book Antiqua" w:hAnsi="Book Antiqua"/>
          <w:bCs/>
          <w:color w:val="000000" w:themeColor="text1"/>
          <w:lang w:val="en-US"/>
        </w:rPr>
        <w:t>Bax</w:t>
      </w:r>
      <w:proofErr w:type="spellEnd"/>
      <w:r w:rsidR="005D324F" w:rsidRPr="001256B1">
        <w:rPr>
          <w:rFonts w:ascii="Book Antiqua" w:hAnsi="Book Antiqua"/>
          <w:bCs/>
          <w:color w:val="000000" w:themeColor="text1"/>
          <w:lang w:val="en-US"/>
        </w:rPr>
        <w:t xml:space="preserve"> and </w:t>
      </w:r>
      <w:proofErr w:type="spellStart"/>
      <w:r w:rsidR="005D324F" w:rsidRPr="001256B1">
        <w:rPr>
          <w:rFonts w:ascii="Book Antiqua" w:hAnsi="Book Antiqua"/>
          <w:bCs/>
          <w:color w:val="000000" w:themeColor="text1"/>
          <w:lang w:val="en-US"/>
        </w:rPr>
        <w:t>Bcl-xL</w:t>
      </w:r>
      <w:proofErr w:type="spellEnd"/>
      <w:r w:rsidR="005D324F" w:rsidRPr="001256B1">
        <w:rPr>
          <w:rFonts w:ascii="Book Antiqua" w:hAnsi="Book Antiqua"/>
          <w:bCs/>
          <w:color w:val="000000" w:themeColor="text1"/>
          <w:lang w:val="en-US"/>
        </w:rPr>
        <w:t xml:space="preserve"> proteins</w:t>
      </w:r>
      <w:r w:rsidRPr="001256B1">
        <w:rPr>
          <w:rFonts w:ascii="Book Antiqua" w:hAnsi="Book Antiqua"/>
          <w:bCs/>
          <w:color w:val="000000" w:themeColor="text1"/>
          <w:lang w:val="en-US"/>
        </w:rPr>
        <w:t xml:space="preserve"> depended on </w:t>
      </w:r>
      <w:r w:rsidRPr="001256B1">
        <w:rPr>
          <w:rFonts w:ascii="Book Antiqua" w:hAnsi="Book Antiqua"/>
          <w:bCs/>
          <w:color w:val="000000" w:themeColor="text1"/>
          <w:lang w:val="en-US"/>
        </w:rPr>
        <w:lastRenderedPageBreak/>
        <w:t>clinicopathological parameters. Further analysis of the data revealed no significant correlation between expression of IRS-1 and proliferation marker Ki-67, excluding early stage tumors, where the correlation was positive and on a high level (</w:t>
      </w:r>
      <w:r w:rsidR="003B7C8E" w:rsidRPr="001256B1">
        <w:rPr>
          <w:rFonts w:ascii="Book Antiqua" w:hAnsi="Book Antiqua"/>
          <w:bCs/>
          <w:i/>
          <w:iCs/>
          <w:color w:val="000000" w:themeColor="text1"/>
          <w:lang w:val="en-US"/>
        </w:rPr>
        <w:t>P</w:t>
      </w:r>
      <w:r w:rsidR="00284075" w:rsidRPr="001256B1">
        <w:rPr>
          <w:rFonts w:ascii="Book Antiqua" w:hAnsi="Book Antiqua"/>
          <w:bCs/>
          <w:i/>
          <w:iCs/>
          <w:color w:val="000000" w:themeColor="text1"/>
          <w:lang w:val="en-US"/>
        </w:rPr>
        <w:t xml:space="preserve"> </w:t>
      </w:r>
      <w:r w:rsidRPr="001256B1">
        <w:rPr>
          <w:rFonts w:ascii="Book Antiqua" w:hAnsi="Book Antiqua"/>
          <w:bCs/>
          <w:color w:val="000000" w:themeColor="text1"/>
          <w:lang w:val="en-US"/>
        </w:rPr>
        <w:t>=</w:t>
      </w:r>
      <w:r w:rsidR="0028407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 xml:space="preserve">0.043, </w:t>
      </w:r>
      <w:r w:rsidRPr="006A41D4">
        <w:rPr>
          <w:rFonts w:ascii="Book Antiqua" w:hAnsi="Book Antiqua"/>
          <w:bCs/>
          <w:i/>
          <w:iCs/>
          <w:color w:val="000000" w:themeColor="text1"/>
          <w:lang w:val="en-US"/>
        </w:rPr>
        <w:t>r</w:t>
      </w:r>
      <w:r w:rsidR="0028407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w:t>
      </w:r>
      <w:r w:rsidR="00284075" w:rsidRPr="001256B1">
        <w:rPr>
          <w:rFonts w:ascii="Book Antiqua" w:hAnsi="Book Antiqua"/>
          <w:bCs/>
          <w:color w:val="000000" w:themeColor="text1"/>
          <w:lang w:val="en-US"/>
        </w:rPr>
        <w:t xml:space="preserve"> </w:t>
      </w:r>
      <w:r w:rsidRPr="001256B1">
        <w:rPr>
          <w:rFonts w:ascii="Book Antiqua" w:hAnsi="Book Antiqua"/>
          <w:bCs/>
          <w:color w:val="000000" w:themeColor="text1"/>
          <w:lang w:val="en-US"/>
        </w:rPr>
        <w:t>0.723).</w:t>
      </w:r>
    </w:p>
    <w:p w14:paraId="023042E7" w14:textId="77777777" w:rsidR="00467FEE" w:rsidRPr="001256B1" w:rsidRDefault="00467FEE" w:rsidP="00F55750">
      <w:pPr>
        <w:snapToGrid w:val="0"/>
        <w:spacing w:line="360" w:lineRule="auto"/>
        <w:jc w:val="both"/>
        <w:rPr>
          <w:rFonts w:ascii="Book Antiqua" w:hAnsi="Book Antiqua" w:cs="Segoe UI"/>
          <w:color w:val="000000" w:themeColor="text1"/>
          <w:shd w:val="clear" w:color="auto" w:fill="FFFFFF"/>
          <w:lang w:val="en-US"/>
        </w:rPr>
      </w:pPr>
    </w:p>
    <w:p w14:paraId="21169428" w14:textId="77777777" w:rsidR="004B3F46" w:rsidRPr="001256B1" w:rsidRDefault="004B3F46" w:rsidP="00F55750">
      <w:pPr>
        <w:adjustRightInd w:val="0"/>
        <w:snapToGrid w:val="0"/>
        <w:spacing w:line="360" w:lineRule="auto"/>
        <w:jc w:val="both"/>
        <w:rPr>
          <w:rFonts w:ascii="Book Antiqua" w:hAnsi="Book Antiqua"/>
          <w:b/>
          <w:i/>
          <w:color w:val="000000"/>
        </w:rPr>
      </w:pPr>
      <w:r w:rsidRPr="001256B1">
        <w:rPr>
          <w:rFonts w:ascii="Book Antiqua" w:hAnsi="Book Antiqua"/>
          <w:b/>
          <w:i/>
          <w:color w:val="000000"/>
        </w:rPr>
        <w:t>Research conclusions</w:t>
      </w:r>
    </w:p>
    <w:p w14:paraId="18D62906" w14:textId="3885AA7F" w:rsidR="00467FEE" w:rsidRPr="001256B1" w:rsidRDefault="00467FEE" w:rsidP="00F55750">
      <w:pPr>
        <w:snapToGrid w:val="0"/>
        <w:spacing w:line="360" w:lineRule="auto"/>
        <w:jc w:val="both"/>
        <w:rPr>
          <w:rFonts w:ascii="Book Antiqua" w:eastAsia="Times New Roman" w:hAnsi="Book Antiqua"/>
          <w:color w:val="000000" w:themeColor="text1"/>
          <w:lang w:val="en-US" w:eastAsia="pl-PL"/>
        </w:rPr>
      </w:pPr>
      <w:r w:rsidRPr="001256B1">
        <w:rPr>
          <w:rFonts w:ascii="Book Antiqua" w:hAnsi="Book Antiqua"/>
          <w:bCs/>
          <w:color w:val="000000" w:themeColor="text1"/>
          <w:lang w:val="en-US"/>
        </w:rPr>
        <w:t xml:space="preserve">Our study adds to a growing corpus of research showing that </w:t>
      </w:r>
      <w:r w:rsidR="00E945E9">
        <w:rPr>
          <w:rFonts w:ascii="Book Antiqua" w:hAnsi="Book Antiqua"/>
          <w:bCs/>
          <w:color w:val="000000" w:themeColor="text1"/>
          <w:lang w:val="en-US"/>
        </w:rPr>
        <w:t>(</w:t>
      </w:r>
      <w:r w:rsidRPr="001256B1">
        <w:rPr>
          <w:rFonts w:ascii="Book Antiqua" w:hAnsi="Book Antiqua"/>
          <w:bCs/>
          <w:color w:val="000000" w:themeColor="text1"/>
          <w:lang w:val="en-US"/>
        </w:rPr>
        <w:t xml:space="preserve">1) IRS-1 expression is more prevalent in more differentiated tumors, and our data indicate that </w:t>
      </w:r>
      <w:r w:rsidR="00E945E9">
        <w:rPr>
          <w:rFonts w:ascii="Book Antiqua" w:hAnsi="Book Antiqua"/>
          <w:bCs/>
          <w:color w:val="000000" w:themeColor="text1"/>
          <w:lang w:val="en-US"/>
        </w:rPr>
        <w:t>(</w:t>
      </w:r>
      <w:r w:rsidRPr="001256B1">
        <w:rPr>
          <w:rFonts w:ascii="Book Antiqua" w:hAnsi="Book Antiqua"/>
          <w:bCs/>
          <w:color w:val="000000" w:themeColor="text1"/>
          <w:lang w:val="en-US"/>
        </w:rPr>
        <w:t xml:space="preserve">2) IRS-1 expression is correlated with both proapoptotic </w:t>
      </w:r>
      <w:proofErr w:type="spellStart"/>
      <w:r w:rsidRPr="001256B1">
        <w:rPr>
          <w:rFonts w:ascii="Book Antiqua" w:hAnsi="Book Antiqua"/>
          <w:bCs/>
          <w:color w:val="000000" w:themeColor="text1"/>
          <w:lang w:val="en-US"/>
        </w:rPr>
        <w:t>Bax</w:t>
      </w:r>
      <w:proofErr w:type="spellEnd"/>
      <w:r w:rsidRPr="001256B1">
        <w:rPr>
          <w:rFonts w:ascii="Book Antiqua" w:hAnsi="Book Antiqua"/>
          <w:bCs/>
          <w:color w:val="000000" w:themeColor="text1"/>
          <w:lang w:val="en-US"/>
        </w:rPr>
        <w:t xml:space="preserve"> and antiapoptotic </w:t>
      </w:r>
      <w:proofErr w:type="spellStart"/>
      <w:r w:rsidRPr="001256B1">
        <w:rPr>
          <w:rFonts w:ascii="Book Antiqua" w:hAnsi="Book Antiqua"/>
          <w:bCs/>
          <w:color w:val="000000" w:themeColor="text1"/>
          <w:lang w:val="en-US"/>
        </w:rPr>
        <w:t>Bcl-xL</w:t>
      </w:r>
      <w:proofErr w:type="spellEnd"/>
      <w:r w:rsidRPr="001256B1">
        <w:rPr>
          <w:rFonts w:ascii="Book Antiqua" w:hAnsi="Book Antiqua"/>
          <w:bCs/>
          <w:color w:val="000000" w:themeColor="text1"/>
          <w:lang w:val="en-US"/>
        </w:rPr>
        <w:t xml:space="preserve"> proteins. </w:t>
      </w:r>
    </w:p>
    <w:p w14:paraId="6AF07E6E" w14:textId="77777777" w:rsidR="00467FEE" w:rsidRPr="001256B1" w:rsidRDefault="00467FEE" w:rsidP="00F55750">
      <w:pPr>
        <w:snapToGrid w:val="0"/>
        <w:spacing w:line="360" w:lineRule="auto"/>
        <w:jc w:val="both"/>
        <w:rPr>
          <w:rFonts w:ascii="Book Antiqua" w:hAnsi="Book Antiqua" w:cs="Segoe UI"/>
          <w:color w:val="000000" w:themeColor="text1"/>
          <w:shd w:val="clear" w:color="auto" w:fill="FFFFFF"/>
          <w:lang w:val="en-US"/>
        </w:rPr>
      </w:pPr>
    </w:p>
    <w:p w14:paraId="764D2A69" w14:textId="77777777" w:rsidR="004B3F46" w:rsidRPr="001256B1" w:rsidRDefault="004B3F46" w:rsidP="00F55750">
      <w:pPr>
        <w:adjustRightInd w:val="0"/>
        <w:snapToGrid w:val="0"/>
        <w:spacing w:line="360" w:lineRule="auto"/>
        <w:jc w:val="both"/>
        <w:rPr>
          <w:rFonts w:ascii="Book Antiqua" w:hAnsi="Book Antiqua"/>
          <w:b/>
          <w:i/>
          <w:color w:val="000000"/>
        </w:rPr>
      </w:pPr>
      <w:r w:rsidRPr="001256B1">
        <w:rPr>
          <w:rFonts w:ascii="Book Antiqua" w:hAnsi="Book Antiqua"/>
          <w:b/>
          <w:i/>
          <w:color w:val="000000"/>
        </w:rPr>
        <w:t>Research perspectives</w:t>
      </w:r>
    </w:p>
    <w:p w14:paraId="56AEC92F" w14:textId="12C78BDB" w:rsidR="00467FEE" w:rsidRPr="001256B1" w:rsidRDefault="00467FEE" w:rsidP="00F55750">
      <w:pPr>
        <w:pStyle w:val="a8"/>
        <w:snapToGrid w:val="0"/>
        <w:spacing w:before="0" w:beforeAutospacing="0" w:after="0" w:afterAutospacing="0" w:line="360" w:lineRule="auto"/>
        <w:jc w:val="both"/>
        <w:rPr>
          <w:rFonts w:ascii="Book Antiqua" w:hAnsi="Book Antiqua"/>
          <w:color w:val="000000" w:themeColor="text1"/>
          <w:lang w:val="en-US"/>
        </w:rPr>
      </w:pPr>
      <w:r w:rsidRPr="001256B1">
        <w:rPr>
          <w:rFonts w:ascii="Book Antiqua" w:hAnsi="Book Antiqua"/>
          <w:bCs/>
          <w:color w:val="000000" w:themeColor="text1"/>
          <w:lang w:val="en-US"/>
        </w:rPr>
        <w:t xml:space="preserve">Further research on this topic might extend </w:t>
      </w:r>
      <w:r w:rsidR="00B11928" w:rsidRPr="001256B1">
        <w:rPr>
          <w:rFonts w:ascii="Book Antiqua" w:hAnsi="Book Antiqua"/>
          <w:bCs/>
          <w:color w:val="000000" w:themeColor="text1"/>
          <w:lang w:val="en-US"/>
        </w:rPr>
        <w:t>the knowledge</w:t>
      </w:r>
      <w:r w:rsidRPr="001256B1">
        <w:rPr>
          <w:rFonts w:ascii="Book Antiqua" w:hAnsi="Book Antiqua"/>
          <w:bCs/>
          <w:color w:val="000000" w:themeColor="text1"/>
          <w:lang w:val="en-US"/>
        </w:rPr>
        <w:t xml:space="preserve"> </w:t>
      </w:r>
      <w:r w:rsidR="00B11928" w:rsidRPr="001256B1">
        <w:rPr>
          <w:rFonts w:ascii="Book Antiqua" w:hAnsi="Book Antiqua"/>
          <w:bCs/>
          <w:color w:val="000000" w:themeColor="text1"/>
          <w:lang w:val="en-US"/>
        </w:rPr>
        <w:t xml:space="preserve">on the </w:t>
      </w:r>
      <w:r w:rsidRPr="001256B1">
        <w:rPr>
          <w:rFonts w:ascii="Book Antiqua" w:hAnsi="Book Antiqua"/>
          <w:bCs/>
          <w:color w:val="000000" w:themeColor="text1"/>
          <w:lang w:val="en-US"/>
        </w:rPr>
        <w:t>interactions and functional dependence between IRS-1 and apoptotic markers in CRC.</w:t>
      </w:r>
      <w:r w:rsidRPr="001256B1">
        <w:rPr>
          <w:rFonts w:ascii="Book Antiqua" w:hAnsi="Book Antiqua"/>
          <w:color w:val="000000" w:themeColor="text1"/>
          <w:lang w:val="en-US"/>
        </w:rPr>
        <w:t xml:space="preserve"> </w:t>
      </w:r>
      <w:r w:rsidRPr="001256B1">
        <w:rPr>
          <w:rFonts w:ascii="Book Antiqua" w:hAnsi="Book Antiqua"/>
          <w:bCs/>
          <w:color w:val="000000" w:themeColor="text1"/>
          <w:lang w:val="en-US"/>
        </w:rPr>
        <w:t xml:space="preserve">In the future, the assessment of IRS-1 expression could be used to evaluate individual patient prognosis and might offer new insights into developing more efficient treatment strategies and identify patients who are most likely to respond to targeted therapies, for example </w:t>
      </w:r>
      <w:r w:rsidR="00B02A54" w:rsidRPr="001256B1">
        <w:rPr>
          <w:rFonts w:ascii="Book Antiqua" w:hAnsi="Book Antiqua"/>
          <w:bCs/>
          <w:color w:val="000000" w:themeColor="text1"/>
          <w:lang w:val="en-US"/>
        </w:rPr>
        <w:t xml:space="preserve">the insulin-like growth factor 1 receptor </w:t>
      </w:r>
      <w:r w:rsidR="00E945E9">
        <w:rPr>
          <w:rFonts w:ascii="Book Antiqua" w:hAnsi="Book Antiqua"/>
          <w:bCs/>
          <w:color w:val="000000" w:themeColor="text1"/>
          <w:lang w:val="en-US"/>
        </w:rPr>
        <w:t>inhibition.</w:t>
      </w:r>
    </w:p>
    <w:p w14:paraId="0A68E426" w14:textId="77777777" w:rsidR="00467FEE" w:rsidRPr="001256B1" w:rsidRDefault="00467FEE" w:rsidP="00F55750">
      <w:pPr>
        <w:pStyle w:val="a8"/>
        <w:snapToGrid w:val="0"/>
        <w:spacing w:before="0" w:beforeAutospacing="0" w:after="0" w:afterAutospacing="0" w:line="360" w:lineRule="auto"/>
        <w:jc w:val="both"/>
        <w:rPr>
          <w:rFonts w:ascii="Book Antiqua" w:hAnsi="Book Antiqua"/>
          <w:bCs/>
          <w:color w:val="000000" w:themeColor="text1"/>
          <w:lang w:val="en-US"/>
        </w:rPr>
      </w:pPr>
    </w:p>
    <w:p w14:paraId="2486A6B2" w14:textId="77777777" w:rsidR="003F77FC" w:rsidRPr="001256B1" w:rsidRDefault="003F77FC" w:rsidP="00F55750">
      <w:pPr>
        <w:adjustRightInd w:val="0"/>
        <w:snapToGrid w:val="0"/>
        <w:spacing w:line="360" w:lineRule="auto"/>
        <w:jc w:val="both"/>
        <w:rPr>
          <w:rFonts w:ascii="Book Antiqua" w:hAnsi="Book Antiqua"/>
          <w:b/>
          <w:lang w:eastAsia="zh-CN"/>
        </w:rPr>
      </w:pPr>
      <w:r w:rsidRPr="001256B1">
        <w:rPr>
          <w:rFonts w:ascii="Book Antiqua" w:hAnsi="Book Antiqua"/>
          <w:b/>
        </w:rPr>
        <w:t>REFERENCES</w:t>
      </w:r>
    </w:p>
    <w:p w14:paraId="43B8B3D2"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bookmarkStart w:id="32" w:name="OLE_LINK8"/>
      <w:bookmarkStart w:id="33" w:name="OLE_LINK11"/>
      <w:r w:rsidRPr="001256B1">
        <w:rPr>
          <w:rFonts w:ascii="Book Antiqua" w:eastAsia="等线" w:hAnsi="Book Antiqua" w:cs="Times New Roman"/>
          <w:kern w:val="2"/>
          <w:lang w:val="en-US" w:eastAsia="zh-CN"/>
        </w:rPr>
        <w:t xml:space="preserve">1 </w:t>
      </w:r>
      <w:r w:rsidRPr="001256B1">
        <w:rPr>
          <w:rFonts w:ascii="Book Antiqua" w:eastAsia="等线" w:hAnsi="Book Antiqua" w:cs="Times New Roman"/>
          <w:b/>
          <w:kern w:val="2"/>
          <w:lang w:val="en-US" w:eastAsia="zh-CN"/>
        </w:rPr>
        <w:t>Bray F</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Ferlay</w:t>
      </w:r>
      <w:proofErr w:type="spellEnd"/>
      <w:r w:rsidRPr="001256B1">
        <w:rPr>
          <w:rFonts w:ascii="Book Antiqua" w:eastAsia="等线" w:hAnsi="Book Antiqua" w:cs="Times New Roman"/>
          <w:kern w:val="2"/>
          <w:lang w:val="en-US" w:eastAsia="zh-CN"/>
        </w:rPr>
        <w:t xml:space="preserve"> J, </w:t>
      </w:r>
      <w:proofErr w:type="spellStart"/>
      <w:r w:rsidRPr="001256B1">
        <w:rPr>
          <w:rFonts w:ascii="Book Antiqua" w:eastAsia="等线" w:hAnsi="Book Antiqua" w:cs="Times New Roman"/>
          <w:kern w:val="2"/>
          <w:lang w:val="en-US" w:eastAsia="zh-CN"/>
        </w:rPr>
        <w:t>Soerjomataram</w:t>
      </w:r>
      <w:proofErr w:type="spellEnd"/>
      <w:r w:rsidRPr="001256B1">
        <w:rPr>
          <w:rFonts w:ascii="Book Antiqua" w:eastAsia="等线" w:hAnsi="Book Antiqua" w:cs="Times New Roman"/>
          <w:kern w:val="2"/>
          <w:lang w:val="en-US" w:eastAsia="zh-CN"/>
        </w:rPr>
        <w:t xml:space="preserve"> I, Siegel RL, Torre LA, Jemal A. Global cancer statistics 2018: GLOBOCAN estimates of incidence and mortality worldwide for 36 cancers in 185 countries. </w:t>
      </w:r>
      <w:r w:rsidRPr="001256B1">
        <w:rPr>
          <w:rFonts w:ascii="Book Antiqua" w:eastAsia="等线" w:hAnsi="Book Antiqua" w:cs="Times New Roman"/>
          <w:i/>
          <w:kern w:val="2"/>
          <w:lang w:val="en-US" w:eastAsia="zh-CN"/>
        </w:rPr>
        <w:t>CA Cancer J Clin</w:t>
      </w:r>
      <w:r w:rsidRPr="001256B1">
        <w:rPr>
          <w:rFonts w:ascii="Book Antiqua" w:eastAsia="等线" w:hAnsi="Book Antiqua" w:cs="Times New Roman"/>
          <w:kern w:val="2"/>
          <w:lang w:val="en-US" w:eastAsia="zh-CN"/>
        </w:rPr>
        <w:t xml:space="preserve"> 2018; </w:t>
      </w:r>
      <w:r w:rsidRPr="001256B1">
        <w:rPr>
          <w:rFonts w:ascii="Book Antiqua" w:eastAsia="等线" w:hAnsi="Book Antiqua" w:cs="Times New Roman"/>
          <w:b/>
          <w:kern w:val="2"/>
          <w:lang w:val="en-US" w:eastAsia="zh-CN"/>
        </w:rPr>
        <w:t>68</w:t>
      </w:r>
      <w:r w:rsidRPr="001256B1">
        <w:rPr>
          <w:rFonts w:ascii="Book Antiqua" w:eastAsia="等线" w:hAnsi="Book Antiqua" w:cs="Times New Roman"/>
          <w:kern w:val="2"/>
          <w:lang w:val="en-US" w:eastAsia="zh-CN"/>
        </w:rPr>
        <w:t>: 394-424 [PMID: 30207593 DOI: 10.3322/caac.21492]</w:t>
      </w:r>
    </w:p>
    <w:p w14:paraId="1FD750F7" w14:textId="498A87CA"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 </w:t>
      </w:r>
      <w:r w:rsidRPr="001256B1">
        <w:rPr>
          <w:rFonts w:ascii="Book Antiqua" w:eastAsia="等线" w:hAnsi="Book Antiqua" w:cs="Times New Roman"/>
          <w:b/>
          <w:kern w:val="2"/>
          <w:lang w:val="en-US" w:eastAsia="zh-CN"/>
        </w:rPr>
        <w:t>Esposito DL</w:t>
      </w:r>
      <w:r w:rsidRPr="001256B1">
        <w:rPr>
          <w:rFonts w:ascii="Book Antiqua" w:eastAsia="等线" w:hAnsi="Book Antiqua" w:cs="Times New Roman"/>
          <w:kern w:val="2"/>
          <w:lang w:val="en-US" w:eastAsia="zh-CN"/>
        </w:rPr>
        <w:t xml:space="preserve">, Aru F, </w:t>
      </w:r>
      <w:proofErr w:type="spellStart"/>
      <w:r w:rsidRPr="001256B1">
        <w:rPr>
          <w:rFonts w:ascii="Book Antiqua" w:eastAsia="等线" w:hAnsi="Book Antiqua" w:cs="Times New Roman"/>
          <w:kern w:val="2"/>
          <w:lang w:val="en-US" w:eastAsia="zh-CN"/>
        </w:rPr>
        <w:t>Lattanzio</w:t>
      </w:r>
      <w:proofErr w:type="spellEnd"/>
      <w:r w:rsidRPr="001256B1">
        <w:rPr>
          <w:rFonts w:ascii="Book Antiqua" w:eastAsia="等线" w:hAnsi="Book Antiqua" w:cs="Times New Roman"/>
          <w:kern w:val="2"/>
          <w:lang w:val="en-US" w:eastAsia="zh-CN"/>
        </w:rPr>
        <w:t xml:space="preserve"> R, </w:t>
      </w:r>
      <w:proofErr w:type="spellStart"/>
      <w:r w:rsidRPr="001256B1">
        <w:rPr>
          <w:rFonts w:ascii="Book Antiqua" w:eastAsia="等线" w:hAnsi="Book Antiqua" w:cs="Times New Roman"/>
          <w:kern w:val="2"/>
          <w:lang w:val="en-US" w:eastAsia="zh-CN"/>
        </w:rPr>
        <w:t>Morgano</w:t>
      </w:r>
      <w:proofErr w:type="spellEnd"/>
      <w:r w:rsidRPr="001256B1">
        <w:rPr>
          <w:rFonts w:ascii="Book Antiqua" w:eastAsia="等线" w:hAnsi="Book Antiqua" w:cs="Times New Roman"/>
          <w:kern w:val="2"/>
          <w:lang w:val="en-US" w:eastAsia="zh-CN"/>
        </w:rPr>
        <w:t xml:space="preserve"> A, </w:t>
      </w:r>
      <w:proofErr w:type="spellStart"/>
      <w:r w:rsidRPr="001256B1">
        <w:rPr>
          <w:rFonts w:ascii="Book Antiqua" w:eastAsia="等线" w:hAnsi="Book Antiqua" w:cs="Times New Roman"/>
          <w:kern w:val="2"/>
          <w:lang w:val="en-US" w:eastAsia="zh-CN"/>
        </w:rPr>
        <w:t>Abbondanza</w:t>
      </w:r>
      <w:proofErr w:type="spellEnd"/>
      <w:r w:rsidRPr="001256B1">
        <w:rPr>
          <w:rFonts w:ascii="Book Antiqua" w:eastAsia="等线" w:hAnsi="Book Antiqua" w:cs="Times New Roman"/>
          <w:kern w:val="2"/>
          <w:lang w:val="en-US" w:eastAsia="zh-CN"/>
        </w:rPr>
        <w:t xml:space="preserve"> M, </w:t>
      </w:r>
      <w:proofErr w:type="spellStart"/>
      <w:r w:rsidRPr="001256B1">
        <w:rPr>
          <w:rFonts w:ascii="Book Antiqua" w:eastAsia="等线" w:hAnsi="Book Antiqua" w:cs="Times New Roman"/>
          <w:kern w:val="2"/>
          <w:lang w:val="en-US" w:eastAsia="zh-CN"/>
        </w:rPr>
        <w:t>Malekzadeh</w:t>
      </w:r>
      <w:proofErr w:type="spellEnd"/>
      <w:r w:rsidRPr="001256B1">
        <w:rPr>
          <w:rFonts w:ascii="Book Antiqua" w:eastAsia="等线" w:hAnsi="Book Antiqua" w:cs="Times New Roman"/>
          <w:kern w:val="2"/>
          <w:lang w:val="en-US" w:eastAsia="zh-CN"/>
        </w:rPr>
        <w:t xml:space="preserve"> R, </w:t>
      </w:r>
      <w:proofErr w:type="spellStart"/>
      <w:r w:rsidRPr="001256B1">
        <w:rPr>
          <w:rFonts w:ascii="Book Antiqua" w:eastAsia="等线" w:hAnsi="Book Antiqua" w:cs="Times New Roman"/>
          <w:kern w:val="2"/>
          <w:lang w:val="en-US" w:eastAsia="zh-CN"/>
        </w:rPr>
        <w:t>Bishehsari</w:t>
      </w:r>
      <w:proofErr w:type="spellEnd"/>
      <w:r w:rsidRPr="001256B1">
        <w:rPr>
          <w:rFonts w:ascii="Book Antiqua" w:eastAsia="等线" w:hAnsi="Book Antiqua" w:cs="Times New Roman"/>
          <w:kern w:val="2"/>
          <w:lang w:val="en-US" w:eastAsia="zh-CN"/>
        </w:rPr>
        <w:t xml:space="preserve"> F, </w:t>
      </w:r>
      <w:proofErr w:type="spellStart"/>
      <w:r w:rsidRPr="001256B1">
        <w:rPr>
          <w:rFonts w:ascii="Book Antiqua" w:eastAsia="等线" w:hAnsi="Book Antiqua" w:cs="Times New Roman"/>
          <w:kern w:val="2"/>
          <w:lang w:val="en-US" w:eastAsia="zh-CN"/>
        </w:rPr>
        <w:t>Valanzano</w:t>
      </w:r>
      <w:proofErr w:type="spellEnd"/>
      <w:r w:rsidRPr="001256B1">
        <w:rPr>
          <w:rFonts w:ascii="Book Antiqua" w:eastAsia="等线" w:hAnsi="Book Antiqua" w:cs="Times New Roman"/>
          <w:kern w:val="2"/>
          <w:lang w:val="en-US" w:eastAsia="zh-CN"/>
        </w:rPr>
        <w:t xml:space="preserve"> R, Russo A, </w:t>
      </w:r>
      <w:proofErr w:type="spellStart"/>
      <w:r w:rsidRPr="001256B1">
        <w:rPr>
          <w:rFonts w:ascii="Book Antiqua" w:eastAsia="等线" w:hAnsi="Book Antiqua" w:cs="Times New Roman"/>
          <w:kern w:val="2"/>
          <w:lang w:val="en-US" w:eastAsia="zh-CN"/>
        </w:rPr>
        <w:t>Piantelli</w:t>
      </w:r>
      <w:proofErr w:type="spellEnd"/>
      <w:r w:rsidRPr="001256B1">
        <w:rPr>
          <w:rFonts w:ascii="Book Antiqua" w:eastAsia="等线" w:hAnsi="Book Antiqua" w:cs="Times New Roman"/>
          <w:kern w:val="2"/>
          <w:lang w:val="en-US" w:eastAsia="zh-CN"/>
        </w:rPr>
        <w:t xml:space="preserve"> M, </w:t>
      </w:r>
      <w:proofErr w:type="spellStart"/>
      <w:r w:rsidRPr="001256B1">
        <w:rPr>
          <w:rFonts w:ascii="Book Antiqua" w:eastAsia="等线" w:hAnsi="Book Antiqua" w:cs="Times New Roman"/>
          <w:kern w:val="2"/>
          <w:lang w:val="en-US" w:eastAsia="zh-CN"/>
        </w:rPr>
        <w:t>Moschetta</w:t>
      </w:r>
      <w:proofErr w:type="spellEnd"/>
      <w:r w:rsidRPr="001256B1">
        <w:rPr>
          <w:rFonts w:ascii="Book Antiqua" w:eastAsia="等线" w:hAnsi="Book Antiqua" w:cs="Times New Roman"/>
          <w:kern w:val="2"/>
          <w:lang w:val="en-US" w:eastAsia="zh-CN"/>
        </w:rPr>
        <w:t xml:space="preserve"> A, </w:t>
      </w:r>
      <w:proofErr w:type="spellStart"/>
      <w:r w:rsidRPr="001256B1">
        <w:rPr>
          <w:rFonts w:ascii="Book Antiqua" w:eastAsia="等线" w:hAnsi="Book Antiqua" w:cs="Times New Roman"/>
          <w:kern w:val="2"/>
          <w:lang w:val="en-US" w:eastAsia="zh-CN"/>
        </w:rPr>
        <w:t>Lotti</w:t>
      </w:r>
      <w:proofErr w:type="spellEnd"/>
      <w:r w:rsidRPr="001256B1">
        <w:rPr>
          <w:rFonts w:ascii="Book Antiqua" w:eastAsia="等线" w:hAnsi="Book Antiqua" w:cs="Times New Roman"/>
          <w:kern w:val="2"/>
          <w:lang w:val="en-US" w:eastAsia="zh-CN"/>
        </w:rPr>
        <w:t xml:space="preserve"> LV, </w:t>
      </w:r>
      <w:proofErr w:type="spellStart"/>
      <w:r w:rsidRPr="001256B1">
        <w:rPr>
          <w:rFonts w:ascii="Book Antiqua" w:eastAsia="等线" w:hAnsi="Book Antiqua" w:cs="Times New Roman"/>
          <w:kern w:val="2"/>
          <w:lang w:val="en-US" w:eastAsia="zh-CN"/>
        </w:rPr>
        <w:t>Mariani-Costantini</w:t>
      </w:r>
      <w:proofErr w:type="spellEnd"/>
      <w:r w:rsidRPr="001256B1">
        <w:rPr>
          <w:rFonts w:ascii="Book Antiqua" w:eastAsia="等线" w:hAnsi="Book Antiqua" w:cs="Times New Roman"/>
          <w:kern w:val="2"/>
          <w:lang w:val="en-US" w:eastAsia="zh-CN"/>
        </w:rPr>
        <w:t xml:space="preserve"> R. The insulin receptor substrate 1 (</w:t>
      </w:r>
      <w:r w:rsidR="00E45F0D" w:rsidRPr="001256B1">
        <w:rPr>
          <w:rFonts w:ascii="Book Antiqua" w:eastAsia="等线" w:hAnsi="Book Antiqua" w:cs="Times New Roman"/>
          <w:kern w:val="2"/>
          <w:lang w:val="en-US" w:eastAsia="zh-CN"/>
        </w:rPr>
        <w:t>IRS-1</w:t>
      </w:r>
      <w:r w:rsidRPr="001256B1">
        <w:rPr>
          <w:rFonts w:ascii="Book Antiqua" w:eastAsia="等线" w:hAnsi="Book Antiqua" w:cs="Times New Roman"/>
          <w:kern w:val="2"/>
          <w:lang w:val="en-US" w:eastAsia="zh-CN"/>
        </w:rPr>
        <w:t xml:space="preserve">) in intestinal epithelial differentiation and in colorectal cancer. </w:t>
      </w:r>
      <w:proofErr w:type="spellStart"/>
      <w:r w:rsidRPr="001256B1">
        <w:rPr>
          <w:rFonts w:ascii="Book Antiqua" w:eastAsia="等线" w:hAnsi="Book Antiqua" w:cs="Times New Roman"/>
          <w:i/>
          <w:kern w:val="2"/>
          <w:lang w:val="en-US" w:eastAsia="zh-CN"/>
        </w:rPr>
        <w:t>PLoS</w:t>
      </w:r>
      <w:proofErr w:type="spellEnd"/>
      <w:r w:rsidRPr="001256B1">
        <w:rPr>
          <w:rFonts w:ascii="Book Antiqua" w:eastAsia="等线" w:hAnsi="Book Antiqua" w:cs="Times New Roman"/>
          <w:i/>
          <w:kern w:val="2"/>
          <w:lang w:val="en-US" w:eastAsia="zh-CN"/>
        </w:rPr>
        <w:t xml:space="preserve"> One</w:t>
      </w:r>
      <w:r w:rsidRPr="001256B1">
        <w:rPr>
          <w:rFonts w:ascii="Book Antiqua" w:eastAsia="等线" w:hAnsi="Book Antiqua" w:cs="Times New Roman"/>
          <w:kern w:val="2"/>
          <w:lang w:val="en-US" w:eastAsia="zh-CN"/>
        </w:rPr>
        <w:t xml:space="preserve"> 2012; </w:t>
      </w:r>
      <w:r w:rsidRPr="001256B1">
        <w:rPr>
          <w:rFonts w:ascii="Book Antiqua" w:eastAsia="等线" w:hAnsi="Book Antiqua" w:cs="Times New Roman"/>
          <w:b/>
          <w:kern w:val="2"/>
          <w:lang w:val="en-US" w:eastAsia="zh-CN"/>
        </w:rPr>
        <w:t>7</w:t>
      </w:r>
      <w:r w:rsidRPr="001256B1">
        <w:rPr>
          <w:rFonts w:ascii="Book Antiqua" w:eastAsia="等线" w:hAnsi="Book Antiqua" w:cs="Times New Roman"/>
          <w:kern w:val="2"/>
          <w:lang w:val="en-US" w:eastAsia="zh-CN"/>
        </w:rPr>
        <w:t>: e36190 [PMID: 22558377 DOI: 10.1371/journal.pone.0036190]</w:t>
      </w:r>
    </w:p>
    <w:p w14:paraId="2249C6C2"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3 </w:t>
      </w:r>
      <w:proofErr w:type="spellStart"/>
      <w:r w:rsidRPr="001256B1">
        <w:rPr>
          <w:rFonts w:ascii="Book Antiqua" w:eastAsia="等线" w:hAnsi="Book Antiqua" w:cs="Times New Roman"/>
          <w:b/>
          <w:kern w:val="2"/>
          <w:lang w:val="en-US" w:eastAsia="zh-CN"/>
        </w:rPr>
        <w:t>Ramocki</w:t>
      </w:r>
      <w:proofErr w:type="spellEnd"/>
      <w:r w:rsidRPr="001256B1">
        <w:rPr>
          <w:rFonts w:ascii="Book Antiqua" w:eastAsia="等线" w:hAnsi="Book Antiqua" w:cs="Times New Roman"/>
          <w:b/>
          <w:kern w:val="2"/>
          <w:lang w:val="en-US" w:eastAsia="zh-CN"/>
        </w:rPr>
        <w:t xml:space="preserve"> NM</w:t>
      </w:r>
      <w:r w:rsidRPr="001256B1">
        <w:rPr>
          <w:rFonts w:ascii="Book Antiqua" w:eastAsia="等线" w:hAnsi="Book Antiqua" w:cs="Times New Roman"/>
          <w:kern w:val="2"/>
          <w:lang w:val="en-US" w:eastAsia="zh-CN"/>
        </w:rPr>
        <w:t xml:space="preserve">, Wilkins HR, Magness ST, Simmons JG, Scull BP, Lee GH, </w:t>
      </w:r>
      <w:r w:rsidRPr="001256B1">
        <w:rPr>
          <w:rFonts w:ascii="Book Antiqua" w:eastAsia="等线" w:hAnsi="Book Antiqua" w:cs="Times New Roman"/>
          <w:kern w:val="2"/>
          <w:lang w:val="en-US" w:eastAsia="zh-CN"/>
        </w:rPr>
        <w:lastRenderedPageBreak/>
        <w:t xml:space="preserve">McNaughton KK, Lund PK. Insulin receptor substrate-1 deficiency promotes apoptosis in the putative intestinal crypt stem cell region, limits </w:t>
      </w:r>
      <w:proofErr w:type="spellStart"/>
      <w:r w:rsidRPr="001256B1">
        <w:rPr>
          <w:rFonts w:ascii="Book Antiqua" w:eastAsia="等线" w:hAnsi="Book Antiqua" w:cs="Times New Roman"/>
          <w:kern w:val="2"/>
          <w:lang w:val="en-US" w:eastAsia="zh-CN"/>
        </w:rPr>
        <w:t>Apcmin</w:t>
      </w:r>
      <w:proofErr w:type="spellEnd"/>
      <w:r w:rsidRPr="001256B1">
        <w:rPr>
          <w:rFonts w:ascii="Book Antiqua" w:eastAsia="等线" w:hAnsi="Book Antiqua" w:cs="Times New Roman"/>
          <w:kern w:val="2"/>
          <w:lang w:val="en-US" w:eastAsia="zh-CN"/>
        </w:rPr>
        <w:t xml:space="preserve">/+ tumors, and regulates Sox9. </w:t>
      </w:r>
      <w:r w:rsidRPr="001256B1">
        <w:rPr>
          <w:rFonts w:ascii="Book Antiqua" w:eastAsia="等线" w:hAnsi="Book Antiqua" w:cs="Times New Roman"/>
          <w:i/>
          <w:kern w:val="2"/>
          <w:lang w:val="en-US" w:eastAsia="zh-CN"/>
        </w:rPr>
        <w:t>Endocrinology</w:t>
      </w:r>
      <w:r w:rsidRPr="001256B1">
        <w:rPr>
          <w:rFonts w:ascii="Book Antiqua" w:eastAsia="等线" w:hAnsi="Book Antiqua" w:cs="Times New Roman"/>
          <w:kern w:val="2"/>
          <w:lang w:val="en-US" w:eastAsia="zh-CN"/>
        </w:rPr>
        <w:t xml:space="preserve"> 2008; </w:t>
      </w:r>
      <w:r w:rsidRPr="001256B1">
        <w:rPr>
          <w:rFonts w:ascii="Book Antiqua" w:eastAsia="等线" w:hAnsi="Book Antiqua" w:cs="Times New Roman"/>
          <w:b/>
          <w:kern w:val="2"/>
          <w:lang w:val="en-US" w:eastAsia="zh-CN"/>
        </w:rPr>
        <w:t>149</w:t>
      </w:r>
      <w:r w:rsidRPr="001256B1">
        <w:rPr>
          <w:rFonts w:ascii="Book Antiqua" w:eastAsia="等线" w:hAnsi="Book Antiqua" w:cs="Times New Roman"/>
          <w:kern w:val="2"/>
          <w:lang w:val="en-US" w:eastAsia="zh-CN"/>
        </w:rPr>
        <w:t>: 261-267 [PMID: 17916629 DOI: 10.1210/en.2007-0869]</w:t>
      </w:r>
    </w:p>
    <w:p w14:paraId="035ACEB5"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4 </w:t>
      </w:r>
      <w:r w:rsidRPr="001256B1">
        <w:rPr>
          <w:rFonts w:ascii="Book Antiqua" w:eastAsia="等线" w:hAnsi="Book Antiqua" w:cs="Times New Roman"/>
          <w:b/>
          <w:kern w:val="2"/>
          <w:lang w:val="en-US" w:eastAsia="zh-CN"/>
        </w:rPr>
        <w:t>Sun XJ</w:t>
      </w:r>
      <w:r w:rsidRPr="001256B1">
        <w:rPr>
          <w:rFonts w:ascii="Book Antiqua" w:eastAsia="等线" w:hAnsi="Book Antiqua" w:cs="Times New Roman"/>
          <w:kern w:val="2"/>
          <w:lang w:val="en-US" w:eastAsia="zh-CN"/>
        </w:rPr>
        <w:t xml:space="preserve">, Rothenberg P, Kahn CR, Backer JM, Araki E, Wilden PA, Cahill DA, Goldstein BJ, White MF. Structure of the insulin receptor substrate IRS-1 defines a unique signal transduction protein. </w:t>
      </w:r>
      <w:r w:rsidRPr="001256B1">
        <w:rPr>
          <w:rFonts w:ascii="Book Antiqua" w:eastAsia="等线" w:hAnsi="Book Antiqua" w:cs="Times New Roman"/>
          <w:i/>
          <w:kern w:val="2"/>
          <w:lang w:val="en-US" w:eastAsia="zh-CN"/>
        </w:rPr>
        <w:t>Nature</w:t>
      </w:r>
      <w:r w:rsidRPr="001256B1">
        <w:rPr>
          <w:rFonts w:ascii="Book Antiqua" w:eastAsia="等线" w:hAnsi="Book Antiqua" w:cs="Times New Roman"/>
          <w:kern w:val="2"/>
          <w:lang w:val="en-US" w:eastAsia="zh-CN"/>
        </w:rPr>
        <w:t xml:space="preserve"> 1991; </w:t>
      </w:r>
      <w:r w:rsidRPr="001256B1">
        <w:rPr>
          <w:rFonts w:ascii="Book Antiqua" w:eastAsia="等线" w:hAnsi="Book Antiqua" w:cs="Times New Roman"/>
          <w:b/>
          <w:kern w:val="2"/>
          <w:lang w:val="en-US" w:eastAsia="zh-CN"/>
        </w:rPr>
        <w:t>352</w:t>
      </w:r>
      <w:r w:rsidRPr="001256B1">
        <w:rPr>
          <w:rFonts w:ascii="Book Antiqua" w:eastAsia="等线" w:hAnsi="Book Antiqua" w:cs="Times New Roman"/>
          <w:kern w:val="2"/>
          <w:lang w:val="en-US" w:eastAsia="zh-CN"/>
        </w:rPr>
        <w:t>: 73-77 [PMID: 1648180 DOI: 10.1038/352073a0]</w:t>
      </w:r>
    </w:p>
    <w:p w14:paraId="4DB89B25"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5 </w:t>
      </w:r>
      <w:r w:rsidRPr="001256B1">
        <w:rPr>
          <w:rFonts w:ascii="Book Antiqua" w:eastAsia="等线" w:hAnsi="Book Antiqua" w:cs="Times New Roman"/>
          <w:b/>
          <w:kern w:val="2"/>
          <w:lang w:val="en-US" w:eastAsia="zh-CN"/>
        </w:rPr>
        <w:t>Yu H</w:t>
      </w:r>
      <w:r w:rsidRPr="001256B1">
        <w:rPr>
          <w:rFonts w:ascii="Book Antiqua" w:eastAsia="等线" w:hAnsi="Book Antiqua" w:cs="Times New Roman"/>
          <w:kern w:val="2"/>
          <w:lang w:val="en-US" w:eastAsia="zh-CN"/>
        </w:rPr>
        <w:t xml:space="preserve">, Rohan T. Role of the insulin-like growth factor family in cancer development and progression. </w:t>
      </w:r>
      <w:r w:rsidRPr="001256B1">
        <w:rPr>
          <w:rFonts w:ascii="Book Antiqua" w:eastAsia="等线" w:hAnsi="Book Antiqua" w:cs="Times New Roman"/>
          <w:i/>
          <w:kern w:val="2"/>
          <w:lang w:val="en-US" w:eastAsia="zh-CN"/>
        </w:rPr>
        <w:t>J Natl Cancer Inst</w:t>
      </w:r>
      <w:r w:rsidRPr="001256B1">
        <w:rPr>
          <w:rFonts w:ascii="Book Antiqua" w:eastAsia="等线" w:hAnsi="Book Antiqua" w:cs="Times New Roman"/>
          <w:kern w:val="2"/>
          <w:lang w:val="en-US" w:eastAsia="zh-CN"/>
        </w:rPr>
        <w:t xml:space="preserve"> 2000; </w:t>
      </w:r>
      <w:r w:rsidRPr="001256B1">
        <w:rPr>
          <w:rFonts w:ascii="Book Antiqua" w:eastAsia="等线" w:hAnsi="Book Antiqua" w:cs="Times New Roman"/>
          <w:b/>
          <w:kern w:val="2"/>
          <w:lang w:val="en-US" w:eastAsia="zh-CN"/>
        </w:rPr>
        <w:t>92</w:t>
      </w:r>
      <w:r w:rsidRPr="001256B1">
        <w:rPr>
          <w:rFonts w:ascii="Book Antiqua" w:eastAsia="等线" w:hAnsi="Book Antiqua" w:cs="Times New Roman"/>
          <w:kern w:val="2"/>
          <w:lang w:val="en-US" w:eastAsia="zh-CN"/>
        </w:rPr>
        <w:t>: 1472-1489 [PMID: 10995803 DOI: 10.1093/</w:t>
      </w:r>
      <w:proofErr w:type="spellStart"/>
      <w:r w:rsidRPr="001256B1">
        <w:rPr>
          <w:rFonts w:ascii="Book Antiqua" w:eastAsia="等线" w:hAnsi="Book Antiqua" w:cs="Times New Roman"/>
          <w:kern w:val="2"/>
          <w:lang w:val="en-US" w:eastAsia="zh-CN"/>
        </w:rPr>
        <w:t>jnci</w:t>
      </w:r>
      <w:proofErr w:type="spellEnd"/>
      <w:r w:rsidRPr="001256B1">
        <w:rPr>
          <w:rFonts w:ascii="Book Antiqua" w:eastAsia="等线" w:hAnsi="Book Antiqua" w:cs="Times New Roman"/>
          <w:kern w:val="2"/>
          <w:lang w:val="en-US" w:eastAsia="zh-CN"/>
        </w:rPr>
        <w:t>/92.18.1472]</w:t>
      </w:r>
    </w:p>
    <w:p w14:paraId="3E24A66B"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6 </w:t>
      </w:r>
      <w:r w:rsidRPr="001256B1">
        <w:rPr>
          <w:rFonts w:ascii="Book Antiqua" w:eastAsia="等线" w:hAnsi="Book Antiqua" w:cs="Times New Roman"/>
          <w:b/>
          <w:kern w:val="2"/>
          <w:lang w:val="en-US" w:eastAsia="zh-CN"/>
        </w:rPr>
        <w:t>Lee CH</w:t>
      </w:r>
      <w:r w:rsidRPr="001256B1">
        <w:rPr>
          <w:rFonts w:ascii="Book Antiqua" w:eastAsia="等线" w:hAnsi="Book Antiqua" w:cs="Times New Roman"/>
          <w:kern w:val="2"/>
          <w:lang w:val="en-US" w:eastAsia="zh-CN"/>
        </w:rPr>
        <w:t xml:space="preserve">, Li W, Nishimura R, Zhou M, </w:t>
      </w:r>
      <w:proofErr w:type="spellStart"/>
      <w:r w:rsidRPr="001256B1">
        <w:rPr>
          <w:rFonts w:ascii="Book Antiqua" w:eastAsia="等线" w:hAnsi="Book Antiqua" w:cs="Times New Roman"/>
          <w:kern w:val="2"/>
          <w:lang w:val="en-US" w:eastAsia="zh-CN"/>
        </w:rPr>
        <w:t>Batzer</w:t>
      </w:r>
      <w:proofErr w:type="spellEnd"/>
      <w:r w:rsidRPr="001256B1">
        <w:rPr>
          <w:rFonts w:ascii="Book Antiqua" w:eastAsia="等线" w:hAnsi="Book Antiqua" w:cs="Times New Roman"/>
          <w:kern w:val="2"/>
          <w:lang w:val="en-US" w:eastAsia="zh-CN"/>
        </w:rPr>
        <w:t xml:space="preserve"> AG, Myers MG Jr, White MF, </w:t>
      </w:r>
      <w:proofErr w:type="spellStart"/>
      <w:r w:rsidRPr="001256B1">
        <w:rPr>
          <w:rFonts w:ascii="Book Antiqua" w:eastAsia="等线" w:hAnsi="Book Antiqua" w:cs="Times New Roman"/>
          <w:kern w:val="2"/>
          <w:lang w:val="en-US" w:eastAsia="zh-CN"/>
        </w:rPr>
        <w:t>Schlessinger</w:t>
      </w:r>
      <w:proofErr w:type="spellEnd"/>
      <w:r w:rsidRPr="001256B1">
        <w:rPr>
          <w:rFonts w:ascii="Book Antiqua" w:eastAsia="等线" w:hAnsi="Book Antiqua" w:cs="Times New Roman"/>
          <w:kern w:val="2"/>
          <w:lang w:val="en-US" w:eastAsia="zh-CN"/>
        </w:rPr>
        <w:t xml:space="preserve"> J, </w:t>
      </w:r>
      <w:proofErr w:type="spellStart"/>
      <w:r w:rsidRPr="001256B1">
        <w:rPr>
          <w:rFonts w:ascii="Book Antiqua" w:eastAsia="等线" w:hAnsi="Book Antiqua" w:cs="Times New Roman"/>
          <w:kern w:val="2"/>
          <w:lang w:val="en-US" w:eastAsia="zh-CN"/>
        </w:rPr>
        <w:t>Skolnik</w:t>
      </w:r>
      <w:proofErr w:type="spellEnd"/>
      <w:r w:rsidRPr="001256B1">
        <w:rPr>
          <w:rFonts w:ascii="Book Antiqua" w:eastAsia="等线" w:hAnsi="Book Antiqua" w:cs="Times New Roman"/>
          <w:kern w:val="2"/>
          <w:lang w:val="en-US" w:eastAsia="zh-CN"/>
        </w:rPr>
        <w:t xml:space="preserve"> EY. </w:t>
      </w:r>
      <w:proofErr w:type="spellStart"/>
      <w:r w:rsidRPr="001256B1">
        <w:rPr>
          <w:rFonts w:ascii="Book Antiqua" w:eastAsia="等线" w:hAnsi="Book Antiqua" w:cs="Times New Roman"/>
          <w:kern w:val="2"/>
          <w:lang w:val="en-US" w:eastAsia="zh-CN"/>
        </w:rPr>
        <w:t>Nck</w:t>
      </w:r>
      <w:proofErr w:type="spellEnd"/>
      <w:r w:rsidRPr="001256B1">
        <w:rPr>
          <w:rFonts w:ascii="Book Antiqua" w:eastAsia="等线" w:hAnsi="Book Antiqua" w:cs="Times New Roman"/>
          <w:kern w:val="2"/>
          <w:lang w:val="en-US" w:eastAsia="zh-CN"/>
        </w:rPr>
        <w:t xml:space="preserve"> associates with the SH2 domain-docking protein IRS-1 in insulin-stimulated cells. </w:t>
      </w:r>
      <w:r w:rsidRPr="001256B1">
        <w:rPr>
          <w:rFonts w:ascii="Book Antiqua" w:eastAsia="等线" w:hAnsi="Book Antiqua" w:cs="Times New Roman"/>
          <w:i/>
          <w:kern w:val="2"/>
          <w:lang w:val="en-US" w:eastAsia="zh-CN"/>
        </w:rPr>
        <w:t xml:space="preserve">Proc Natl </w:t>
      </w:r>
      <w:proofErr w:type="spellStart"/>
      <w:r w:rsidRPr="001256B1">
        <w:rPr>
          <w:rFonts w:ascii="Book Antiqua" w:eastAsia="等线" w:hAnsi="Book Antiqua" w:cs="Times New Roman"/>
          <w:i/>
          <w:kern w:val="2"/>
          <w:lang w:val="en-US" w:eastAsia="zh-CN"/>
        </w:rPr>
        <w:t>Acad</w:t>
      </w:r>
      <w:proofErr w:type="spellEnd"/>
      <w:r w:rsidRPr="001256B1">
        <w:rPr>
          <w:rFonts w:ascii="Book Antiqua" w:eastAsia="等线" w:hAnsi="Book Antiqua" w:cs="Times New Roman"/>
          <w:i/>
          <w:kern w:val="2"/>
          <w:lang w:val="en-US" w:eastAsia="zh-CN"/>
        </w:rPr>
        <w:t xml:space="preserve"> Sci U S A</w:t>
      </w:r>
      <w:r w:rsidRPr="001256B1">
        <w:rPr>
          <w:rFonts w:ascii="Book Antiqua" w:eastAsia="等线" w:hAnsi="Book Antiqua" w:cs="Times New Roman"/>
          <w:kern w:val="2"/>
          <w:lang w:val="en-US" w:eastAsia="zh-CN"/>
        </w:rPr>
        <w:t xml:space="preserve"> 1993; </w:t>
      </w:r>
      <w:r w:rsidRPr="001256B1">
        <w:rPr>
          <w:rFonts w:ascii="Book Antiqua" w:eastAsia="等线" w:hAnsi="Book Antiqua" w:cs="Times New Roman"/>
          <w:b/>
          <w:kern w:val="2"/>
          <w:lang w:val="en-US" w:eastAsia="zh-CN"/>
        </w:rPr>
        <w:t>90</w:t>
      </w:r>
      <w:r w:rsidRPr="001256B1">
        <w:rPr>
          <w:rFonts w:ascii="Book Antiqua" w:eastAsia="等线" w:hAnsi="Book Antiqua" w:cs="Times New Roman"/>
          <w:kern w:val="2"/>
          <w:lang w:val="en-US" w:eastAsia="zh-CN"/>
        </w:rPr>
        <w:t>: 11713-11717 [PMID: 8265614 DOI: 10.1073/pnas.90.24.11713]</w:t>
      </w:r>
    </w:p>
    <w:p w14:paraId="1F1137C1"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7 </w:t>
      </w:r>
      <w:r w:rsidRPr="001256B1">
        <w:rPr>
          <w:rFonts w:ascii="Book Antiqua" w:eastAsia="等线" w:hAnsi="Book Antiqua" w:cs="Times New Roman"/>
          <w:b/>
          <w:kern w:val="2"/>
          <w:lang w:val="en-US" w:eastAsia="zh-CN"/>
        </w:rPr>
        <w:t>Myers MG Jr</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Grammer</w:t>
      </w:r>
      <w:proofErr w:type="spellEnd"/>
      <w:r w:rsidRPr="001256B1">
        <w:rPr>
          <w:rFonts w:ascii="Book Antiqua" w:eastAsia="等线" w:hAnsi="Book Antiqua" w:cs="Times New Roman"/>
          <w:kern w:val="2"/>
          <w:lang w:val="en-US" w:eastAsia="zh-CN"/>
        </w:rPr>
        <w:t xml:space="preserve"> TC, Wang LM, Sun XJ, Pierce JH, </w:t>
      </w:r>
      <w:proofErr w:type="spellStart"/>
      <w:r w:rsidRPr="001256B1">
        <w:rPr>
          <w:rFonts w:ascii="Book Antiqua" w:eastAsia="等线" w:hAnsi="Book Antiqua" w:cs="Times New Roman"/>
          <w:kern w:val="2"/>
          <w:lang w:val="en-US" w:eastAsia="zh-CN"/>
        </w:rPr>
        <w:t>Blenis</w:t>
      </w:r>
      <w:proofErr w:type="spellEnd"/>
      <w:r w:rsidRPr="001256B1">
        <w:rPr>
          <w:rFonts w:ascii="Book Antiqua" w:eastAsia="等线" w:hAnsi="Book Antiqua" w:cs="Times New Roman"/>
          <w:kern w:val="2"/>
          <w:lang w:val="en-US" w:eastAsia="zh-CN"/>
        </w:rPr>
        <w:t xml:space="preserve"> J, White MF. Insulin receptor substrate-1 mediates phosphatidylinositol 3'-kinase and p70S6k signaling during insulin, insulin-like growth factor-1, and interleukin-4 stimulation. </w:t>
      </w:r>
      <w:r w:rsidRPr="001256B1">
        <w:rPr>
          <w:rFonts w:ascii="Book Antiqua" w:eastAsia="等线" w:hAnsi="Book Antiqua" w:cs="Times New Roman"/>
          <w:i/>
          <w:kern w:val="2"/>
          <w:lang w:val="en-US" w:eastAsia="zh-CN"/>
        </w:rPr>
        <w:t>J Biol Chem</w:t>
      </w:r>
      <w:r w:rsidRPr="001256B1">
        <w:rPr>
          <w:rFonts w:ascii="Book Antiqua" w:eastAsia="等线" w:hAnsi="Book Antiqua" w:cs="Times New Roman"/>
          <w:kern w:val="2"/>
          <w:lang w:val="en-US" w:eastAsia="zh-CN"/>
        </w:rPr>
        <w:t xml:space="preserve"> 1994; </w:t>
      </w:r>
      <w:r w:rsidRPr="001256B1">
        <w:rPr>
          <w:rFonts w:ascii="Book Antiqua" w:eastAsia="等线" w:hAnsi="Book Antiqua" w:cs="Times New Roman"/>
          <w:b/>
          <w:kern w:val="2"/>
          <w:lang w:val="en-US" w:eastAsia="zh-CN"/>
        </w:rPr>
        <w:t>269</w:t>
      </w:r>
      <w:r w:rsidRPr="001256B1">
        <w:rPr>
          <w:rFonts w:ascii="Book Antiqua" w:eastAsia="等线" w:hAnsi="Book Antiqua" w:cs="Times New Roman"/>
          <w:kern w:val="2"/>
          <w:lang w:val="en-US" w:eastAsia="zh-CN"/>
        </w:rPr>
        <w:t>: 28783-28789 [PMID: 7961833]</w:t>
      </w:r>
    </w:p>
    <w:p w14:paraId="7294BBA1"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8 </w:t>
      </w:r>
      <w:r w:rsidRPr="001256B1">
        <w:rPr>
          <w:rFonts w:ascii="Book Antiqua" w:eastAsia="等线" w:hAnsi="Book Antiqua" w:cs="Times New Roman"/>
          <w:b/>
          <w:kern w:val="2"/>
          <w:lang w:val="en-US" w:eastAsia="zh-CN"/>
        </w:rPr>
        <w:t>Myers MG Jr</w:t>
      </w:r>
      <w:r w:rsidRPr="001256B1">
        <w:rPr>
          <w:rFonts w:ascii="Book Antiqua" w:eastAsia="等线" w:hAnsi="Book Antiqua" w:cs="Times New Roman"/>
          <w:kern w:val="2"/>
          <w:lang w:val="en-US" w:eastAsia="zh-CN"/>
        </w:rPr>
        <w:t xml:space="preserve">, Wang LM, Sun XJ, Zhang Y, </w:t>
      </w:r>
      <w:proofErr w:type="spellStart"/>
      <w:r w:rsidRPr="001256B1">
        <w:rPr>
          <w:rFonts w:ascii="Book Antiqua" w:eastAsia="等线" w:hAnsi="Book Antiqua" w:cs="Times New Roman"/>
          <w:kern w:val="2"/>
          <w:lang w:val="en-US" w:eastAsia="zh-CN"/>
        </w:rPr>
        <w:t>Yenush</w:t>
      </w:r>
      <w:proofErr w:type="spellEnd"/>
      <w:r w:rsidRPr="001256B1">
        <w:rPr>
          <w:rFonts w:ascii="Book Antiqua" w:eastAsia="等线" w:hAnsi="Book Antiqua" w:cs="Times New Roman"/>
          <w:kern w:val="2"/>
          <w:lang w:val="en-US" w:eastAsia="zh-CN"/>
        </w:rPr>
        <w:t xml:space="preserve"> L, </w:t>
      </w:r>
      <w:proofErr w:type="spellStart"/>
      <w:r w:rsidRPr="001256B1">
        <w:rPr>
          <w:rFonts w:ascii="Book Antiqua" w:eastAsia="等线" w:hAnsi="Book Antiqua" w:cs="Times New Roman"/>
          <w:kern w:val="2"/>
          <w:lang w:val="en-US" w:eastAsia="zh-CN"/>
        </w:rPr>
        <w:t>Schlessinger</w:t>
      </w:r>
      <w:proofErr w:type="spellEnd"/>
      <w:r w:rsidRPr="001256B1">
        <w:rPr>
          <w:rFonts w:ascii="Book Antiqua" w:eastAsia="等线" w:hAnsi="Book Antiqua" w:cs="Times New Roman"/>
          <w:kern w:val="2"/>
          <w:lang w:val="en-US" w:eastAsia="zh-CN"/>
        </w:rPr>
        <w:t xml:space="preserve"> J, Pierce JH, White MF. Role of IRS-1-GRB-2 complexes in insulin signaling. </w:t>
      </w:r>
      <w:r w:rsidRPr="001256B1">
        <w:rPr>
          <w:rFonts w:ascii="Book Antiqua" w:eastAsia="等线" w:hAnsi="Book Antiqua" w:cs="Times New Roman"/>
          <w:i/>
          <w:kern w:val="2"/>
          <w:lang w:val="en-US" w:eastAsia="zh-CN"/>
        </w:rPr>
        <w:t>Mol Cell Biol</w:t>
      </w:r>
      <w:r w:rsidRPr="001256B1">
        <w:rPr>
          <w:rFonts w:ascii="Book Antiqua" w:eastAsia="等线" w:hAnsi="Book Antiqua" w:cs="Times New Roman"/>
          <w:kern w:val="2"/>
          <w:lang w:val="en-US" w:eastAsia="zh-CN"/>
        </w:rPr>
        <w:t xml:space="preserve"> 1994; </w:t>
      </w:r>
      <w:r w:rsidRPr="001256B1">
        <w:rPr>
          <w:rFonts w:ascii="Book Antiqua" w:eastAsia="等线" w:hAnsi="Book Antiqua" w:cs="Times New Roman"/>
          <w:b/>
          <w:kern w:val="2"/>
          <w:lang w:val="en-US" w:eastAsia="zh-CN"/>
        </w:rPr>
        <w:t>14</w:t>
      </w:r>
      <w:r w:rsidRPr="001256B1">
        <w:rPr>
          <w:rFonts w:ascii="Book Antiqua" w:eastAsia="等线" w:hAnsi="Book Antiqua" w:cs="Times New Roman"/>
          <w:kern w:val="2"/>
          <w:lang w:val="en-US" w:eastAsia="zh-CN"/>
        </w:rPr>
        <w:t>: 3577-3587 [PMID: 8196603 DOI: 10.1128/mcb.14.6.3577]</w:t>
      </w:r>
    </w:p>
    <w:p w14:paraId="4EEF0B7E"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9 </w:t>
      </w:r>
      <w:proofErr w:type="spellStart"/>
      <w:r w:rsidRPr="001256B1">
        <w:rPr>
          <w:rFonts w:ascii="Book Antiqua" w:eastAsia="等线" w:hAnsi="Book Antiqua" w:cs="Times New Roman"/>
          <w:b/>
          <w:kern w:val="2"/>
          <w:lang w:val="en-US" w:eastAsia="zh-CN"/>
        </w:rPr>
        <w:t>Beitner</w:t>
      </w:r>
      <w:proofErr w:type="spellEnd"/>
      <w:r w:rsidRPr="001256B1">
        <w:rPr>
          <w:rFonts w:ascii="Book Antiqua" w:eastAsia="等线" w:hAnsi="Book Antiqua" w:cs="Times New Roman"/>
          <w:b/>
          <w:kern w:val="2"/>
          <w:lang w:val="en-US" w:eastAsia="zh-CN"/>
        </w:rPr>
        <w:t>-Johnson D</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Blakesley</w:t>
      </w:r>
      <w:proofErr w:type="spellEnd"/>
      <w:r w:rsidRPr="001256B1">
        <w:rPr>
          <w:rFonts w:ascii="Book Antiqua" w:eastAsia="等线" w:hAnsi="Book Antiqua" w:cs="Times New Roman"/>
          <w:kern w:val="2"/>
          <w:lang w:val="en-US" w:eastAsia="zh-CN"/>
        </w:rPr>
        <w:t xml:space="preserve"> VA, Shen-Orr Z, Jimenez M, Stannard B, Wang LM, Pierce J, </w:t>
      </w:r>
      <w:proofErr w:type="spellStart"/>
      <w:r w:rsidRPr="001256B1">
        <w:rPr>
          <w:rFonts w:ascii="Book Antiqua" w:eastAsia="等线" w:hAnsi="Book Antiqua" w:cs="Times New Roman"/>
          <w:kern w:val="2"/>
          <w:lang w:val="en-US" w:eastAsia="zh-CN"/>
        </w:rPr>
        <w:t>LeRoith</w:t>
      </w:r>
      <w:proofErr w:type="spellEnd"/>
      <w:r w:rsidRPr="001256B1">
        <w:rPr>
          <w:rFonts w:ascii="Book Antiqua" w:eastAsia="等线" w:hAnsi="Book Antiqua" w:cs="Times New Roman"/>
          <w:kern w:val="2"/>
          <w:lang w:val="en-US" w:eastAsia="zh-CN"/>
        </w:rPr>
        <w:t xml:space="preserve"> D. The proto-oncogene product c-</w:t>
      </w:r>
      <w:proofErr w:type="spellStart"/>
      <w:r w:rsidRPr="001256B1">
        <w:rPr>
          <w:rFonts w:ascii="Book Antiqua" w:eastAsia="等线" w:hAnsi="Book Antiqua" w:cs="Times New Roman"/>
          <w:kern w:val="2"/>
          <w:lang w:val="en-US" w:eastAsia="zh-CN"/>
        </w:rPr>
        <w:t>Crk</w:t>
      </w:r>
      <w:proofErr w:type="spellEnd"/>
      <w:r w:rsidRPr="001256B1">
        <w:rPr>
          <w:rFonts w:ascii="Book Antiqua" w:eastAsia="等线" w:hAnsi="Book Antiqua" w:cs="Times New Roman"/>
          <w:kern w:val="2"/>
          <w:lang w:val="en-US" w:eastAsia="zh-CN"/>
        </w:rPr>
        <w:t xml:space="preserve"> associates with insulin receptor substrate-1 and 4PS. Modulation by insulin growth factor-I (IGF) and enhanced IGF-I signaling. </w:t>
      </w:r>
      <w:r w:rsidRPr="001256B1">
        <w:rPr>
          <w:rFonts w:ascii="Book Antiqua" w:eastAsia="等线" w:hAnsi="Book Antiqua" w:cs="Times New Roman"/>
          <w:i/>
          <w:kern w:val="2"/>
          <w:lang w:val="en-US" w:eastAsia="zh-CN"/>
        </w:rPr>
        <w:t>J Biol Chem</w:t>
      </w:r>
      <w:r w:rsidRPr="001256B1">
        <w:rPr>
          <w:rFonts w:ascii="Book Antiqua" w:eastAsia="等线" w:hAnsi="Book Antiqua" w:cs="Times New Roman"/>
          <w:kern w:val="2"/>
          <w:lang w:val="en-US" w:eastAsia="zh-CN"/>
        </w:rPr>
        <w:t xml:space="preserve"> 1996; </w:t>
      </w:r>
      <w:r w:rsidRPr="001256B1">
        <w:rPr>
          <w:rFonts w:ascii="Book Antiqua" w:eastAsia="等线" w:hAnsi="Book Antiqua" w:cs="Times New Roman"/>
          <w:b/>
          <w:kern w:val="2"/>
          <w:lang w:val="en-US" w:eastAsia="zh-CN"/>
        </w:rPr>
        <w:t>271</w:t>
      </w:r>
      <w:r w:rsidRPr="001256B1">
        <w:rPr>
          <w:rFonts w:ascii="Book Antiqua" w:eastAsia="等线" w:hAnsi="Book Antiqua" w:cs="Times New Roman"/>
          <w:kern w:val="2"/>
          <w:lang w:val="en-US" w:eastAsia="zh-CN"/>
        </w:rPr>
        <w:t>: 9287-9290 [PMID: 8621590 DOI: 10.1074/jbc.271.16.9287]</w:t>
      </w:r>
    </w:p>
    <w:p w14:paraId="4398D24A"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10 </w:t>
      </w:r>
      <w:r w:rsidRPr="001256B1">
        <w:rPr>
          <w:rFonts w:ascii="Book Antiqua" w:eastAsia="等线" w:hAnsi="Book Antiqua" w:cs="Times New Roman"/>
          <w:b/>
          <w:kern w:val="2"/>
          <w:lang w:val="en-US" w:eastAsia="zh-CN"/>
        </w:rPr>
        <w:t>Chang Q</w:t>
      </w:r>
      <w:r w:rsidRPr="001256B1">
        <w:rPr>
          <w:rFonts w:ascii="Book Antiqua" w:eastAsia="等线" w:hAnsi="Book Antiqua" w:cs="Times New Roman"/>
          <w:kern w:val="2"/>
          <w:lang w:val="en-US" w:eastAsia="zh-CN"/>
        </w:rPr>
        <w:t xml:space="preserve">, Li Y, White MF, Fletcher JA, Xiao S. Constitutive activation of insulin receptor substrate 1 is a frequent event in human tumors: therapeutic implications. </w:t>
      </w:r>
      <w:r w:rsidRPr="001256B1">
        <w:rPr>
          <w:rFonts w:ascii="Book Antiqua" w:eastAsia="等线" w:hAnsi="Book Antiqua" w:cs="Times New Roman"/>
          <w:i/>
          <w:kern w:val="2"/>
          <w:lang w:val="en-US" w:eastAsia="zh-CN"/>
        </w:rPr>
        <w:t>Cancer Res</w:t>
      </w:r>
      <w:r w:rsidRPr="001256B1">
        <w:rPr>
          <w:rFonts w:ascii="Book Antiqua" w:eastAsia="等线" w:hAnsi="Book Antiqua" w:cs="Times New Roman"/>
          <w:kern w:val="2"/>
          <w:lang w:val="en-US" w:eastAsia="zh-CN"/>
        </w:rPr>
        <w:t xml:space="preserve"> 2002; </w:t>
      </w:r>
      <w:r w:rsidRPr="001256B1">
        <w:rPr>
          <w:rFonts w:ascii="Book Antiqua" w:eastAsia="等线" w:hAnsi="Book Antiqua" w:cs="Times New Roman"/>
          <w:b/>
          <w:kern w:val="2"/>
          <w:lang w:val="en-US" w:eastAsia="zh-CN"/>
        </w:rPr>
        <w:t>62</w:t>
      </w:r>
      <w:r w:rsidRPr="001256B1">
        <w:rPr>
          <w:rFonts w:ascii="Book Antiqua" w:eastAsia="等线" w:hAnsi="Book Antiqua" w:cs="Times New Roman"/>
          <w:kern w:val="2"/>
          <w:lang w:val="en-US" w:eastAsia="zh-CN"/>
        </w:rPr>
        <w:t>: 6035-6038 [PMID: 12414625]</w:t>
      </w:r>
    </w:p>
    <w:p w14:paraId="58C841D7"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11 </w:t>
      </w:r>
      <w:r w:rsidRPr="001256B1">
        <w:rPr>
          <w:rFonts w:ascii="Book Antiqua" w:eastAsia="等线" w:hAnsi="Book Antiqua" w:cs="Times New Roman"/>
          <w:b/>
          <w:kern w:val="2"/>
          <w:lang w:val="en-US" w:eastAsia="zh-CN"/>
        </w:rPr>
        <w:t>Rocha RL</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Hilsenbeck</w:t>
      </w:r>
      <w:proofErr w:type="spellEnd"/>
      <w:r w:rsidRPr="001256B1">
        <w:rPr>
          <w:rFonts w:ascii="Book Antiqua" w:eastAsia="等线" w:hAnsi="Book Antiqua" w:cs="Times New Roman"/>
          <w:kern w:val="2"/>
          <w:lang w:val="en-US" w:eastAsia="zh-CN"/>
        </w:rPr>
        <w:t xml:space="preserve"> SG, Jackson JG, </w:t>
      </w:r>
      <w:proofErr w:type="spellStart"/>
      <w:r w:rsidRPr="001256B1">
        <w:rPr>
          <w:rFonts w:ascii="Book Antiqua" w:eastAsia="等线" w:hAnsi="Book Antiqua" w:cs="Times New Roman"/>
          <w:kern w:val="2"/>
          <w:lang w:val="en-US" w:eastAsia="zh-CN"/>
        </w:rPr>
        <w:t>VanDenBerg</w:t>
      </w:r>
      <w:proofErr w:type="spellEnd"/>
      <w:r w:rsidRPr="001256B1">
        <w:rPr>
          <w:rFonts w:ascii="Book Antiqua" w:eastAsia="等线" w:hAnsi="Book Antiqua" w:cs="Times New Roman"/>
          <w:kern w:val="2"/>
          <w:lang w:val="en-US" w:eastAsia="zh-CN"/>
        </w:rPr>
        <w:t xml:space="preserve"> CL, Weng Cn, Lee AV, </w:t>
      </w:r>
      <w:r w:rsidRPr="001256B1">
        <w:rPr>
          <w:rFonts w:ascii="Book Antiqua" w:eastAsia="等线" w:hAnsi="Book Antiqua" w:cs="Times New Roman"/>
          <w:kern w:val="2"/>
          <w:lang w:val="en-US" w:eastAsia="zh-CN"/>
        </w:rPr>
        <w:lastRenderedPageBreak/>
        <w:t xml:space="preserve">Yee D. Insulin-like growth factor binding protein-3 and insulin receptor substrate-1 in breast cancer: correlation with clinical parameters and disease-free survival. </w:t>
      </w:r>
      <w:r w:rsidRPr="001256B1">
        <w:rPr>
          <w:rFonts w:ascii="Book Antiqua" w:eastAsia="等线" w:hAnsi="Book Antiqua" w:cs="Times New Roman"/>
          <w:i/>
          <w:kern w:val="2"/>
          <w:lang w:val="en-US" w:eastAsia="zh-CN"/>
        </w:rPr>
        <w:t>Clin Cancer Res</w:t>
      </w:r>
      <w:r w:rsidRPr="001256B1">
        <w:rPr>
          <w:rFonts w:ascii="Book Antiqua" w:eastAsia="等线" w:hAnsi="Book Antiqua" w:cs="Times New Roman"/>
          <w:kern w:val="2"/>
          <w:lang w:val="en-US" w:eastAsia="zh-CN"/>
        </w:rPr>
        <w:t xml:space="preserve"> 1997; </w:t>
      </w:r>
      <w:r w:rsidRPr="001256B1">
        <w:rPr>
          <w:rFonts w:ascii="Book Antiqua" w:eastAsia="等线" w:hAnsi="Book Antiqua" w:cs="Times New Roman"/>
          <w:b/>
          <w:kern w:val="2"/>
          <w:lang w:val="en-US" w:eastAsia="zh-CN"/>
        </w:rPr>
        <w:t>3</w:t>
      </w:r>
      <w:r w:rsidRPr="001256B1">
        <w:rPr>
          <w:rFonts w:ascii="Book Antiqua" w:eastAsia="等线" w:hAnsi="Book Antiqua" w:cs="Times New Roman"/>
          <w:kern w:val="2"/>
          <w:lang w:val="en-US" w:eastAsia="zh-CN"/>
        </w:rPr>
        <w:t>: 103-109 [PMID: 9815544]</w:t>
      </w:r>
    </w:p>
    <w:p w14:paraId="1592B099"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12 </w:t>
      </w:r>
      <w:proofErr w:type="spellStart"/>
      <w:r w:rsidRPr="001256B1">
        <w:rPr>
          <w:rFonts w:ascii="Book Antiqua" w:eastAsia="等线" w:hAnsi="Book Antiqua" w:cs="Times New Roman"/>
          <w:b/>
          <w:kern w:val="2"/>
          <w:lang w:val="en-US" w:eastAsia="zh-CN"/>
        </w:rPr>
        <w:t>Surmacz</w:t>
      </w:r>
      <w:proofErr w:type="spellEnd"/>
      <w:r w:rsidRPr="001256B1">
        <w:rPr>
          <w:rFonts w:ascii="Book Antiqua" w:eastAsia="等线" w:hAnsi="Book Antiqua" w:cs="Times New Roman"/>
          <w:b/>
          <w:kern w:val="2"/>
          <w:lang w:val="en-US" w:eastAsia="zh-CN"/>
        </w:rPr>
        <w:t xml:space="preserve"> E</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Burgaud</w:t>
      </w:r>
      <w:proofErr w:type="spellEnd"/>
      <w:r w:rsidRPr="001256B1">
        <w:rPr>
          <w:rFonts w:ascii="Book Antiqua" w:eastAsia="等线" w:hAnsi="Book Antiqua" w:cs="Times New Roman"/>
          <w:kern w:val="2"/>
          <w:lang w:val="en-US" w:eastAsia="zh-CN"/>
        </w:rPr>
        <w:t xml:space="preserve"> JL. Overexpression of insulin receptor substrate 1 (IRS-1) in the human breast cancer cell line MCF-7 induces loss of estrogen requirements for growth and transformation. </w:t>
      </w:r>
      <w:r w:rsidRPr="001256B1">
        <w:rPr>
          <w:rFonts w:ascii="Book Antiqua" w:eastAsia="等线" w:hAnsi="Book Antiqua" w:cs="Times New Roman"/>
          <w:i/>
          <w:kern w:val="2"/>
          <w:lang w:val="en-US" w:eastAsia="zh-CN"/>
        </w:rPr>
        <w:t>Clin Cancer Res</w:t>
      </w:r>
      <w:r w:rsidRPr="001256B1">
        <w:rPr>
          <w:rFonts w:ascii="Book Antiqua" w:eastAsia="等线" w:hAnsi="Book Antiqua" w:cs="Times New Roman"/>
          <w:kern w:val="2"/>
          <w:lang w:val="en-US" w:eastAsia="zh-CN"/>
        </w:rPr>
        <w:t xml:space="preserve"> 1995; </w:t>
      </w:r>
      <w:r w:rsidRPr="001256B1">
        <w:rPr>
          <w:rFonts w:ascii="Book Antiqua" w:eastAsia="等线" w:hAnsi="Book Antiqua" w:cs="Times New Roman"/>
          <w:b/>
          <w:kern w:val="2"/>
          <w:lang w:val="en-US" w:eastAsia="zh-CN"/>
        </w:rPr>
        <w:t>1</w:t>
      </w:r>
      <w:r w:rsidRPr="001256B1">
        <w:rPr>
          <w:rFonts w:ascii="Book Antiqua" w:eastAsia="等线" w:hAnsi="Book Antiqua" w:cs="Times New Roman"/>
          <w:kern w:val="2"/>
          <w:lang w:val="en-US" w:eastAsia="zh-CN"/>
        </w:rPr>
        <w:t>: 1429-1436 [PMID: 9815941]</w:t>
      </w:r>
    </w:p>
    <w:p w14:paraId="378D88BE"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13 </w:t>
      </w:r>
      <w:r w:rsidRPr="001256B1">
        <w:rPr>
          <w:rFonts w:ascii="Book Antiqua" w:eastAsia="等线" w:hAnsi="Book Antiqua" w:cs="Times New Roman"/>
          <w:b/>
          <w:kern w:val="2"/>
          <w:lang w:val="en-US" w:eastAsia="zh-CN"/>
        </w:rPr>
        <w:t>Dearth RK</w:t>
      </w:r>
      <w:r w:rsidRPr="001256B1">
        <w:rPr>
          <w:rFonts w:ascii="Book Antiqua" w:eastAsia="等线" w:hAnsi="Book Antiqua" w:cs="Times New Roman"/>
          <w:kern w:val="2"/>
          <w:lang w:val="en-US" w:eastAsia="zh-CN"/>
        </w:rPr>
        <w:t xml:space="preserve">, Cui X, Kim HJ, </w:t>
      </w:r>
      <w:proofErr w:type="spellStart"/>
      <w:r w:rsidRPr="001256B1">
        <w:rPr>
          <w:rFonts w:ascii="Book Antiqua" w:eastAsia="等线" w:hAnsi="Book Antiqua" w:cs="Times New Roman"/>
          <w:kern w:val="2"/>
          <w:lang w:val="en-US" w:eastAsia="zh-CN"/>
        </w:rPr>
        <w:t>Kuiatse</w:t>
      </w:r>
      <w:proofErr w:type="spellEnd"/>
      <w:r w:rsidRPr="001256B1">
        <w:rPr>
          <w:rFonts w:ascii="Book Antiqua" w:eastAsia="等线" w:hAnsi="Book Antiqua" w:cs="Times New Roman"/>
          <w:kern w:val="2"/>
          <w:lang w:val="en-US" w:eastAsia="zh-CN"/>
        </w:rPr>
        <w:t xml:space="preserve"> I, Lawrence NA, Zhang X, </w:t>
      </w:r>
      <w:proofErr w:type="spellStart"/>
      <w:r w:rsidRPr="001256B1">
        <w:rPr>
          <w:rFonts w:ascii="Book Antiqua" w:eastAsia="等线" w:hAnsi="Book Antiqua" w:cs="Times New Roman"/>
          <w:kern w:val="2"/>
          <w:lang w:val="en-US" w:eastAsia="zh-CN"/>
        </w:rPr>
        <w:t>Divisova</w:t>
      </w:r>
      <w:proofErr w:type="spellEnd"/>
      <w:r w:rsidRPr="001256B1">
        <w:rPr>
          <w:rFonts w:ascii="Book Antiqua" w:eastAsia="等线" w:hAnsi="Book Antiqua" w:cs="Times New Roman"/>
          <w:kern w:val="2"/>
          <w:lang w:val="en-US" w:eastAsia="zh-CN"/>
        </w:rPr>
        <w:t xml:space="preserve"> J, Britton OL, Mohsin S, Allred DC, Hadsell DL, Lee AV. Mammary tumorigenesis and metastasis caused by overexpression of insulin receptor substrate 1 (IRS-1) or IRS-2. </w:t>
      </w:r>
      <w:r w:rsidRPr="001256B1">
        <w:rPr>
          <w:rFonts w:ascii="Book Antiqua" w:eastAsia="等线" w:hAnsi="Book Antiqua" w:cs="Times New Roman"/>
          <w:i/>
          <w:kern w:val="2"/>
          <w:lang w:val="en-US" w:eastAsia="zh-CN"/>
        </w:rPr>
        <w:t>Mol Cell Biol</w:t>
      </w:r>
      <w:r w:rsidRPr="001256B1">
        <w:rPr>
          <w:rFonts w:ascii="Book Antiqua" w:eastAsia="等线" w:hAnsi="Book Antiqua" w:cs="Times New Roman"/>
          <w:kern w:val="2"/>
          <w:lang w:val="en-US" w:eastAsia="zh-CN"/>
        </w:rPr>
        <w:t xml:space="preserve"> 2006; </w:t>
      </w:r>
      <w:r w:rsidRPr="001256B1">
        <w:rPr>
          <w:rFonts w:ascii="Book Antiqua" w:eastAsia="等线" w:hAnsi="Book Antiqua" w:cs="Times New Roman"/>
          <w:b/>
          <w:kern w:val="2"/>
          <w:lang w:val="en-US" w:eastAsia="zh-CN"/>
        </w:rPr>
        <w:t>26</w:t>
      </w:r>
      <w:r w:rsidRPr="001256B1">
        <w:rPr>
          <w:rFonts w:ascii="Book Antiqua" w:eastAsia="等线" w:hAnsi="Book Antiqua" w:cs="Times New Roman"/>
          <w:kern w:val="2"/>
          <w:lang w:val="en-US" w:eastAsia="zh-CN"/>
        </w:rPr>
        <w:t>: 9302-9314 [PMID: 17030631 DOI: 10.1128/MCB.00260-06]</w:t>
      </w:r>
    </w:p>
    <w:p w14:paraId="4BC3AC7A"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14 </w:t>
      </w:r>
      <w:r w:rsidRPr="001256B1">
        <w:rPr>
          <w:rFonts w:ascii="Book Antiqua" w:eastAsia="等线" w:hAnsi="Book Antiqua" w:cs="Times New Roman"/>
          <w:b/>
          <w:kern w:val="2"/>
          <w:lang w:val="en-US" w:eastAsia="zh-CN"/>
        </w:rPr>
        <w:t>Pollak M</w:t>
      </w:r>
      <w:r w:rsidRPr="001256B1">
        <w:rPr>
          <w:rFonts w:ascii="Book Antiqua" w:eastAsia="等线" w:hAnsi="Book Antiqua" w:cs="Times New Roman"/>
          <w:kern w:val="2"/>
          <w:lang w:val="en-US" w:eastAsia="zh-CN"/>
        </w:rPr>
        <w:t xml:space="preserve">. Insulin and insulin-like growth factor </w:t>
      </w:r>
      <w:proofErr w:type="spellStart"/>
      <w:r w:rsidRPr="001256B1">
        <w:rPr>
          <w:rFonts w:ascii="Book Antiqua" w:eastAsia="等线" w:hAnsi="Book Antiqua" w:cs="Times New Roman"/>
          <w:kern w:val="2"/>
          <w:lang w:val="en-US" w:eastAsia="zh-CN"/>
        </w:rPr>
        <w:t>signalling</w:t>
      </w:r>
      <w:proofErr w:type="spellEnd"/>
      <w:r w:rsidRPr="001256B1">
        <w:rPr>
          <w:rFonts w:ascii="Book Antiqua" w:eastAsia="等线" w:hAnsi="Book Antiqua" w:cs="Times New Roman"/>
          <w:kern w:val="2"/>
          <w:lang w:val="en-US" w:eastAsia="zh-CN"/>
        </w:rPr>
        <w:t xml:space="preserve"> in neoplasia. </w:t>
      </w:r>
      <w:r w:rsidRPr="001256B1">
        <w:rPr>
          <w:rFonts w:ascii="Book Antiqua" w:eastAsia="等线" w:hAnsi="Book Antiqua" w:cs="Times New Roman"/>
          <w:i/>
          <w:kern w:val="2"/>
          <w:lang w:val="en-US" w:eastAsia="zh-CN"/>
        </w:rPr>
        <w:t>Nat Rev Cancer</w:t>
      </w:r>
      <w:r w:rsidRPr="001256B1">
        <w:rPr>
          <w:rFonts w:ascii="Book Antiqua" w:eastAsia="等线" w:hAnsi="Book Antiqua" w:cs="Times New Roman"/>
          <w:kern w:val="2"/>
          <w:lang w:val="en-US" w:eastAsia="zh-CN"/>
        </w:rPr>
        <w:t xml:space="preserve"> 2008; </w:t>
      </w:r>
      <w:r w:rsidRPr="001256B1">
        <w:rPr>
          <w:rFonts w:ascii="Book Antiqua" w:eastAsia="等线" w:hAnsi="Book Antiqua" w:cs="Times New Roman"/>
          <w:b/>
          <w:kern w:val="2"/>
          <w:lang w:val="en-US" w:eastAsia="zh-CN"/>
        </w:rPr>
        <w:t>8</w:t>
      </w:r>
      <w:r w:rsidRPr="001256B1">
        <w:rPr>
          <w:rFonts w:ascii="Book Antiqua" w:eastAsia="等线" w:hAnsi="Book Antiqua" w:cs="Times New Roman"/>
          <w:kern w:val="2"/>
          <w:lang w:val="en-US" w:eastAsia="zh-CN"/>
        </w:rPr>
        <w:t>: 915-928 [PMID: 19029956 DOI: 10.1038/nrc2536]</w:t>
      </w:r>
    </w:p>
    <w:p w14:paraId="2CBC9ACA"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15 </w:t>
      </w:r>
      <w:r w:rsidRPr="001256B1">
        <w:rPr>
          <w:rFonts w:ascii="Book Antiqua" w:eastAsia="等线" w:hAnsi="Book Antiqua" w:cs="Times New Roman"/>
          <w:b/>
          <w:kern w:val="2"/>
          <w:lang w:val="en-US" w:eastAsia="zh-CN"/>
        </w:rPr>
        <w:t>Bach SP</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Renehan</w:t>
      </w:r>
      <w:proofErr w:type="spellEnd"/>
      <w:r w:rsidRPr="001256B1">
        <w:rPr>
          <w:rFonts w:ascii="Book Antiqua" w:eastAsia="等线" w:hAnsi="Book Antiqua" w:cs="Times New Roman"/>
          <w:kern w:val="2"/>
          <w:lang w:val="en-US" w:eastAsia="zh-CN"/>
        </w:rPr>
        <w:t xml:space="preserve"> AG, </w:t>
      </w:r>
      <w:proofErr w:type="spellStart"/>
      <w:r w:rsidRPr="001256B1">
        <w:rPr>
          <w:rFonts w:ascii="Book Antiqua" w:eastAsia="等线" w:hAnsi="Book Antiqua" w:cs="Times New Roman"/>
          <w:kern w:val="2"/>
          <w:lang w:val="en-US" w:eastAsia="zh-CN"/>
        </w:rPr>
        <w:t>Potten</w:t>
      </w:r>
      <w:proofErr w:type="spellEnd"/>
      <w:r w:rsidRPr="001256B1">
        <w:rPr>
          <w:rFonts w:ascii="Book Antiqua" w:eastAsia="等线" w:hAnsi="Book Antiqua" w:cs="Times New Roman"/>
          <w:kern w:val="2"/>
          <w:lang w:val="en-US" w:eastAsia="zh-CN"/>
        </w:rPr>
        <w:t xml:space="preserve"> CS. Stem cells: the intestinal stem cell as a paradigm. </w:t>
      </w:r>
      <w:r w:rsidRPr="001256B1">
        <w:rPr>
          <w:rFonts w:ascii="Book Antiqua" w:eastAsia="等线" w:hAnsi="Book Antiqua" w:cs="Times New Roman"/>
          <w:i/>
          <w:kern w:val="2"/>
          <w:lang w:val="en-US" w:eastAsia="zh-CN"/>
        </w:rPr>
        <w:t>Carcinogenesis</w:t>
      </w:r>
      <w:r w:rsidRPr="001256B1">
        <w:rPr>
          <w:rFonts w:ascii="Book Antiqua" w:eastAsia="等线" w:hAnsi="Book Antiqua" w:cs="Times New Roman"/>
          <w:kern w:val="2"/>
          <w:lang w:val="en-US" w:eastAsia="zh-CN"/>
        </w:rPr>
        <w:t xml:space="preserve"> 2000; </w:t>
      </w:r>
      <w:r w:rsidRPr="001256B1">
        <w:rPr>
          <w:rFonts w:ascii="Book Antiqua" w:eastAsia="等线" w:hAnsi="Book Antiqua" w:cs="Times New Roman"/>
          <w:b/>
          <w:kern w:val="2"/>
          <w:lang w:val="en-US" w:eastAsia="zh-CN"/>
        </w:rPr>
        <w:t>21</w:t>
      </w:r>
      <w:r w:rsidRPr="001256B1">
        <w:rPr>
          <w:rFonts w:ascii="Book Antiqua" w:eastAsia="等线" w:hAnsi="Book Antiqua" w:cs="Times New Roman"/>
          <w:kern w:val="2"/>
          <w:lang w:val="en-US" w:eastAsia="zh-CN"/>
        </w:rPr>
        <w:t>: 469-476 [PMID: 10688867 DOI: 10.1093/</w:t>
      </w:r>
      <w:proofErr w:type="spellStart"/>
      <w:r w:rsidRPr="001256B1">
        <w:rPr>
          <w:rFonts w:ascii="Book Antiqua" w:eastAsia="等线" w:hAnsi="Book Antiqua" w:cs="Times New Roman"/>
          <w:kern w:val="2"/>
          <w:lang w:val="en-US" w:eastAsia="zh-CN"/>
        </w:rPr>
        <w:t>carcin</w:t>
      </w:r>
      <w:proofErr w:type="spellEnd"/>
      <w:r w:rsidRPr="001256B1">
        <w:rPr>
          <w:rFonts w:ascii="Book Antiqua" w:eastAsia="等线" w:hAnsi="Book Antiqua" w:cs="Times New Roman"/>
          <w:kern w:val="2"/>
          <w:lang w:val="en-US" w:eastAsia="zh-CN"/>
        </w:rPr>
        <w:t>/21.3.469]</w:t>
      </w:r>
    </w:p>
    <w:p w14:paraId="5A8B0262"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16 </w:t>
      </w:r>
      <w:r w:rsidRPr="001256B1">
        <w:rPr>
          <w:rFonts w:ascii="Book Antiqua" w:eastAsia="等线" w:hAnsi="Book Antiqua" w:cs="Times New Roman"/>
          <w:b/>
          <w:kern w:val="2"/>
          <w:lang w:val="en-US" w:eastAsia="zh-CN"/>
        </w:rPr>
        <w:t>Yang J</w:t>
      </w:r>
      <w:r w:rsidRPr="001256B1">
        <w:rPr>
          <w:rFonts w:ascii="Book Antiqua" w:eastAsia="等线" w:hAnsi="Book Antiqua" w:cs="Times New Roman"/>
          <w:kern w:val="2"/>
          <w:lang w:val="en-US" w:eastAsia="zh-CN"/>
        </w:rPr>
        <w:t xml:space="preserve">, Zhang W, Evans PM, Chen X, He X, Liu C. Adenomatous polyposis coli (APC) differentially regulates beta-catenin phosphorylation and ubiquitination in colon cancer cells. </w:t>
      </w:r>
      <w:r w:rsidRPr="001256B1">
        <w:rPr>
          <w:rFonts w:ascii="Book Antiqua" w:eastAsia="等线" w:hAnsi="Book Antiqua" w:cs="Times New Roman"/>
          <w:i/>
          <w:kern w:val="2"/>
          <w:lang w:val="en-US" w:eastAsia="zh-CN"/>
        </w:rPr>
        <w:t>J Biol Chem</w:t>
      </w:r>
      <w:r w:rsidRPr="001256B1">
        <w:rPr>
          <w:rFonts w:ascii="Book Antiqua" w:eastAsia="等线" w:hAnsi="Book Antiqua" w:cs="Times New Roman"/>
          <w:kern w:val="2"/>
          <w:lang w:val="en-US" w:eastAsia="zh-CN"/>
        </w:rPr>
        <w:t xml:space="preserve"> 2006; </w:t>
      </w:r>
      <w:r w:rsidRPr="001256B1">
        <w:rPr>
          <w:rFonts w:ascii="Book Antiqua" w:eastAsia="等线" w:hAnsi="Book Antiqua" w:cs="Times New Roman"/>
          <w:b/>
          <w:kern w:val="2"/>
          <w:lang w:val="en-US" w:eastAsia="zh-CN"/>
        </w:rPr>
        <w:t>281</w:t>
      </w:r>
      <w:r w:rsidRPr="001256B1">
        <w:rPr>
          <w:rFonts w:ascii="Book Antiqua" w:eastAsia="等线" w:hAnsi="Book Antiqua" w:cs="Times New Roman"/>
          <w:kern w:val="2"/>
          <w:lang w:val="en-US" w:eastAsia="zh-CN"/>
        </w:rPr>
        <w:t>: 17751-17757 [PMID: 16798748 DOI: 10.1074/jbc.M600831200]</w:t>
      </w:r>
    </w:p>
    <w:p w14:paraId="21E762FD" w14:textId="6C20543E"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17 </w:t>
      </w:r>
      <w:proofErr w:type="spellStart"/>
      <w:r w:rsidRPr="001256B1">
        <w:rPr>
          <w:rFonts w:ascii="Book Antiqua" w:eastAsia="等线" w:hAnsi="Book Antiqua" w:cs="Times New Roman"/>
          <w:b/>
          <w:kern w:val="2"/>
          <w:lang w:val="en-US" w:eastAsia="zh-CN"/>
        </w:rPr>
        <w:t>Bommer</w:t>
      </w:r>
      <w:proofErr w:type="spellEnd"/>
      <w:r w:rsidRPr="001256B1">
        <w:rPr>
          <w:rFonts w:ascii="Book Antiqua" w:eastAsia="等线" w:hAnsi="Book Antiqua" w:cs="Times New Roman"/>
          <w:b/>
          <w:kern w:val="2"/>
          <w:lang w:val="en-US" w:eastAsia="zh-CN"/>
        </w:rPr>
        <w:t xml:space="preserve"> GT</w:t>
      </w:r>
      <w:r w:rsidRPr="001256B1">
        <w:rPr>
          <w:rFonts w:ascii="Book Antiqua" w:eastAsia="等线" w:hAnsi="Book Antiqua" w:cs="Times New Roman"/>
          <w:kern w:val="2"/>
          <w:lang w:val="en-US" w:eastAsia="zh-CN"/>
        </w:rPr>
        <w:t xml:space="preserve">, Feng Y, </w:t>
      </w:r>
      <w:proofErr w:type="spellStart"/>
      <w:r w:rsidRPr="001256B1">
        <w:rPr>
          <w:rFonts w:ascii="Book Antiqua" w:eastAsia="等线" w:hAnsi="Book Antiqua" w:cs="Times New Roman"/>
          <w:kern w:val="2"/>
          <w:lang w:val="en-US" w:eastAsia="zh-CN"/>
        </w:rPr>
        <w:t>Iura</w:t>
      </w:r>
      <w:proofErr w:type="spellEnd"/>
      <w:r w:rsidRPr="001256B1">
        <w:rPr>
          <w:rFonts w:ascii="Book Antiqua" w:eastAsia="等线" w:hAnsi="Book Antiqua" w:cs="Times New Roman"/>
          <w:kern w:val="2"/>
          <w:lang w:val="en-US" w:eastAsia="zh-CN"/>
        </w:rPr>
        <w:t xml:space="preserve"> A, Giordano TJ, </w:t>
      </w:r>
      <w:proofErr w:type="spellStart"/>
      <w:r w:rsidRPr="001256B1">
        <w:rPr>
          <w:rFonts w:ascii="Book Antiqua" w:eastAsia="等线" w:hAnsi="Book Antiqua" w:cs="Times New Roman"/>
          <w:kern w:val="2"/>
          <w:lang w:val="en-US" w:eastAsia="zh-CN"/>
        </w:rPr>
        <w:t>Kuick</w:t>
      </w:r>
      <w:proofErr w:type="spellEnd"/>
      <w:r w:rsidRPr="001256B1">
        <w:rPr>
          <w:rFonts w:ascii="Book Antiqua" w:eastAsia="等线" w:hAnsi="Book Antiqua" w:cs="Times New Roman"/>
          <w:kern w:val="2"/>
          <w:lang w:val="en-US" w:eastAsia="zh-CN"/>
        </w:rPr>
        <w:t xml:space="preserve"> R, </w:t>
      </w:r>
      <w:proofErr w:type="spellStart"/>
      <w:r w:rsidRPr="001256B1">
        <w:rPr>
          <w:rFonts w:ascii="Book Antiqua" w:eastAsia="等线" w:hAnsi="Book Antiqua" w:cs="Times New Roman"/>
          <w:kern w:val="2"/>
          <w:lang w:val="en-US" w:eastAsia="zh-CN"/>
        </w:rPr>
        <w:t>Kadikoy</w:t>
      </w:r>
      <w:proofErr w:type="spellEnd"/>
      <w:r w:rsidRPr="001256B1">
        <w:rPr>
          <w:rFonts w:ascii="Book Antiqua" w:eastAsia="等线" w:hAnsi="Book Antiqua" w:cs="Times New Roman"/>
          <w:kern w:val="2"/>
          <w:lang w:val="en-US" w:eastAsia="zh-CN"/>
        </w:rPr>
        <w:t xml:space="preserve"> H, Sikorski D, Wu R, Cho KR, Fearon ER. </w:t>
      </w:r>
      <w:r w:rsidR="00E45F0D" w:rsidRPr="001256B1">
        <w:rPr>
          <w:rFonts w:ascii="Book Antiqua" w:eastAsia="等线" w:hAnsi="Book Antiqua" w:cs="Times New Roman"/>
          <w:kern w:val="2"/>
          <w:lang w:val="en-US" w:eastAsia="zh-CN"/>
        </w:rPr>
        <w:t>IRS-1</w:t>
      </w:r>
      <w:r w:rsidRPr="001256B1">
        <w:rPr>
          <w:rFonts w:ascii="Book Antiqua" w:eastAsia="等线" w:hAnsi="Book Antiqua" w:cs="Times New Roman"/>
          <w:kern w:val="2"/>
          <w:lang w:val="en-US" w:eastAsia="zh-CN"/>
        </w:rPr>
        <w:t xml:space="preserve"> regulation by </w:t>
      </w:r>
      <w:proofErr w:type="spellStart"/>
      <w:r w:rsidRPr="001256B1">
        <w:rPr>
          <w:rFonts w:ascii="Book Antiqua" w:eastAsia="等线" w:hAnsi="Book Antiqua" w:cs="Times New Roman"/>
          <w:kern w:val="2"/>
          <w:lang w:val="en-US" w:eastAsia="zh-CN"/>
        </w:rPr>
        <w:t>Wnt</w:t>
      </w:r>
      <w:proofErr w:type="spellEnd"/>
      <w:r w:rsidRPr="001256B1">
        <w:rPr>
          <w:rFonts w:ascii="Book Antiqua" w:eastAsia="等线" w:hAnsi="Book Antiqua" w:cs="Times New Roman"/>
          <w:kern w:val="2"/>
          <w:lang w:val="en-US" w:eastAsia="zh-CN"/>
        </w:rPr>
        <w:t xml:space="preserve">/beta-catenin signaling and varied contribution of </w:t>
      </w:r>
      <w:r w:rsidR="00E45F0D" w:rsidRPr="001256B1">
        <w:rPr>
          <w:rFonts w:ascii="Book Antiqua" w:eastAsia="等线" w:hAnsi="Book Antiqua" w:cs="Times New Roman"/>
          <w:kern w:val="2"/>
          <w:lang w:val="en-US" w:eastAsia="zh-CN"/>
        </w:rPr>
        <w:t>IRS-1</w:t>
      </w:r>
      <w:r w:rsidRPr="001256B1">
        <w:rPr>
          <w:rFonts w:ascii="Book Antiqua" w:eastAsia="等线" w:hAnsi="Book Antiqua" w:cs="Times New Roman"/>
          <w:kern w:val="2"/>
          <w:lang w:val="en-US" w:eastAsia="zh-CN"/>
        </w:rPr>
        <w:t xml:space="preserve"> to the neoplastic phenotype. </w:t>
      </w:r>
      <w:r w:rsidRPr="001256B1">
        <w:rPr>
          <w:rFonts w:ascii="Book Antiqua" w:eastAsia="等线" w:hAnsi="Book Antiqua" w:cs="Times New Roman"/>
          <w:i/>
          <w:kern w:val="2"/>
          <w:lang w:val="en-US" w:eastAsia="zh-CN"/>
        </w:rPr>
        <w:t>J Biol Chem</w:t>
      </w:r>
      <w:r w:rsidRPr="001256B1">
        <w:rPr>
          <w:rFonts w:ascii="Book Antiqua" w:eastAsia="等线" w:hAnsi="Book Antiqua" w:cs="Times New Roman"/>
          <w:kern w:val="2"/>
          <w:lang w:val="en-US" w:eastAsia="zh-CN"/>
        </w:rPr>
        <w:t xml:space="preserve"> 2010; </w:t>
      </w:r>
      <w:r w:rsidRPr="001256B1">
        <w:rPr>
          <w:rFonts w:ascii="Book Antiqua" w:eastAsia="等线" w:hAnsi="Book Antiqua" w:cs="Times New Roman"/>
          <w:b/>
          <w:kern w:val="2"/>
          <w:lang w:val="en-US" w:eastAsia="zh-CN"/>
        </w:rPr>
        <w:t>285</w:t>
      </w:r>
      <w:r w:rsidRPr="001256B1">
        <w:rPr>
          <w:rFonts w:ascii="Book Antiqua" w:eastAsia="等线" w:hAnsi="Book Antiqua" w:cs="Times New Roman"/>
          <w:kern w:val="2"/>
          <w:lang w:val="en-US" w:eastAsia="zh-CN"/>
        </w:rPr>
        <w:t>: 1928-1938 [PMID: 19843521 DOI: 10.1074/jbc.M109.060319]</w:t>
      </w:r>
    </w:p>
    <w:p w14:paraId="44CD4147"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18 </w:t>
      </w:r>
      <w:r w:rsidRPr="001256B1">
        <w:rPr>
          <w:rFonts w:ascii="Book Antiqua" w:eastAsia="等线" w:hAnsi="Book Antiqua" w:cs="Times New Roman"/>
          <w:b/>
          <w:kern w:val="2"/>
          <w:lang w:val="en-US" w:eastAsia="zh-CN"/>
        </w:rPr>
        <w:t>Sakurai Y</w:t>
      </w:r>
      <w:r w:rsidRPr="001256B1">
        <w:rPr>
          <w:rFonts w:ascii="Book Antiqua" w:eastAsia="等线" w:hAnsi="Book Antiqua" w:cs="Times New Roman"/>
          <w:kern w:val="2"/>
          <w:lang w:val="en-US" w:eastAsia="zh-CN"/>
        </w:rPr>
        <w:t xml:space="preserve">, Kubota N, </w:t>
      </w:r>
      <w:proofErr w:type="spellStart"/>
      <w:r w:rsidRPr="001256B1">
        <w:rPr>
          <w:rFonts w:ascii="Book Antiqua" w:eastAsia="等线" w:hAnsi="Book Antiqua" w:cs="Times New Roman"/>
          <w:kern w:val="2"/>
          <w:lang w:val="en-US" w:eastAsia="zh-CN"/>
        </w:rPr>
        <w:t>Takamoto</w:t>
      </w:r>
      <w:proofErr w:type="spellEnd"/>
      <w:r w:rsidRPr="001256B1">
        <w:rPr>
          <w:rFonts w:ascii="Book Antiqua" w:eastAsia="等线" w:hAnsi="Book Antiqua" w:cs="Times New Roman"/>
          <w:kern w:val="2"/>
          <w:lang w:val="en-US" w:eastAsia="zh-CN"/>
        </w:rPr>
        <w:t xml:space="preserve"> I, Obata A, Iwamoto M, Hayashi T, </w:t>
      </w:r>
      <w:proofErr w:type="spellStart"/>
      <w:r w:rsidRPr="001256B1">
        <w:rPr>
          <w:rFonts w:ascii="Book Antiqua" w:eastAsia="等线" w:hAnsi="Book Antiqua" w:cs="Times New Roman"/>
          <w:kern w:val="2"/>
          <w:lang w:val="en-US" w:eastAsia="zh-CN"/>
        </w:rPr>
        <w:t>Aihara</w:t>
      </w:r>
      <w:proofErr w:type="spellEnd"/>
      <w:r w:rsidRPr="001256B1">
        <w:rPr>
          <w:rFonts w:ascii="Book Antiqua" w:eastAsia="等线" w:hAnsi="Book Antiqua" w:cs="Times New Roman"/>
          <w:kern w:val="2"/>
          <w:lang w:val="en-US" w:eastAsia="zh-CN"/>
        </w:rPr>
        <w:t xml:space="preserve"> M, Kubota T, Nishihara H, </w:t>
      </w:r>
      <w:proofErr w:type="spellStart"/>
      <w:r w:rsidRPr="001256B1">
        <w:rPr>
          <w:rFonts w:ascii="Book Antiqua" w:eastAsia="等线" w:hAnsi="Book Antiqua" w:cs="Times New Roman"/>
          <w:kern w:val="2"/>
          <w:lang w:val="en-US" w:eastAsia="zh-CN"/>
        </w:rPr>
        <w:t>Kadowaki</w:t>
      </w:r>
      <w:proofErr w:type="spellEnd"/>
      <w:r w:rsidRPr="001256B1">
        <w:rPr>
          <w:rFonts w:ascii="Book Antiqua" w:eastAsia="等线" w:hAnsi="Book Antiqua" w:cs="Times New Roman"/>
          <w:kern w:val="2"/>
          <w:lang w:val="en-US" w:eastAsia="zh-CN"/>
        </w:rPr>
        <w:t xml:space="preserve"> T. Role of insulin receptor substrates in the progression of hepatocellular carcinoma. </w:t>
      </w:r>
      <w:r w:rsidRPr="001256B1">
        <w:rPr>
          <w:rFonts w:ascii="Book Antiqua" w:eastAsia="等线" w:hAnsi="Book Antiqua" w:cs="Times New Roman"/>
          <w:i/>
          <w:kern w:val="2"/>
          <w:lang w:val="en-US" w:eastAsia="zh-CN"/>
        </w:rPr>
        <w:t>Sci Rep</w:t>
      </w:r>
      <w:r w:rsidRPr="001256B1">
        <w:rPr>
          <w:rFonts w:ascii="Book Antiqua" w:eastAsia="等线" w:hAnsi="Book Antiqua" w:cs="Times New Roman"/>
          <w:kern w:val="2"/>
          <w:lang w:val="en-US" w:eastAsia="zh-CN"/>
        </w:rPr>
        <w:t xml:space="preserve"> 2017; </w:t>
      </w:r>
      <w:r w:rsidRPr="001256B1">
        <w:rPr>
          <w:rFonts w:ascii="Book Antiqua" w:eastAsia="等线" w:hAnsi="Book Antiqua" w:cs="Times New Roman"/>
          <w:b/>
          <w:kern w:val="2"/>
          <w:lang w:val="en-US" w:eastAsia="zh-CN"/>
        </w:rPr>
        <w:t>7</w:t>
      </w:r>
      <w:r w:rsidRPr="001256B1">
        <w:rPr>
          <w:rFonts w:ascii="Book Antiqua" w:eastAsia="等线" w:hAnsi="Book Antiqua" w:cs="Times New Roman"/>
          <w:kern w:val="2"/>
          <w:lang w:val="en-US" w:eastAsia="zh-CN"/>
        </w:rPr>
        <w:t>: 5387 [PMID: 28710407 DOI: 10.1038/s41598-017-03299-3]</w:t>
      </w:r>
    </w:p>
    <w:p w14:paraId="114E1192"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19 </w:t>
      </w:r>
      <w:r w:rsidRPr="001256B1">
        <w:rPr>
          <w:rFonts w:ascii="Book Antiqua" w:eastAsia="等线" w:hAnsi="Book Antiqua" w:cs="Times New Roman"/>
          <w:b/>
          <w:kern w:val="2"/>
          <w:lang w:val="en-US" w:eastAsia="zh-CN"/>
        </w:rPr>
        <w:t>Su J</w:t>
      </w:r>
      <w:r w:rsidRPr="001256B1">
        <w:rPr>
          <w:rFonts w:ascii="Book Antiqua" w:eastAsia="等线" w:hAnsi="Book Antiqua" w:cs="Times New Roman"/>
          <w:kern w:val="2"/>
          <w:lang w:val="en-US" w:eastAsia="zh-CN"/>
        </w:rPr>
        <w:t xml:space="preserve">, Liang H, Yao W, Wang N, Zhang S, Yan X, Feng H, Pang W, Wang Y, Wang X, Fu Z, Liu Y, Zhao C, Zhang J, Zhang CY, Zen K, Chen X, Wang Y. </w:t>
      </w:r>
      <w:r w:rsidRPr="001256B1">
        <w:rPr>
          <w:rFonts w:ascii="Book Antiqua" w:eastAsia="等线" w:hAnsi="Book Antiqua" w:cs="Times New Roman"/>
          <w:kern w:val="2"/>
          <w:lang w:val="en-US" w:eastAsia="zh-CN"/>
        </w:rPr>
        <w:lastRenderedPageBreak/>
        <w:t xml:space="preserve">MiR-143 and MiR-145 regulate IGF1R to suppress cell proliferation in colorectal cancer. </w:t>
      </w:r>
      <w:proofErr w:type="spellStart"/>
      <w:r w:rsidRPr="001256B1">
        <w:rPr>
          <w:rFonts w:ascii="Book Antiqua" w:eastAsia="等线" w:hAnsi="Book Antiqua" w:cs="Times New Roman"/>
          <w:i/>
          <w:kern w:val="2"/>
          <w:lang w:val="en-US" w:eastAsia="zh-CN"/>
        </w:rPr>
        <w:t>PLoS</w:t>
      </w:r>
      <w:proofErr w:type="spellEnd"/>
      <w:r w:rsidRPr="001256B1">
        <w:rPr>
          <w:rFonts w:ascii="Book Antiqua" w:eastAsia="等线" w:hAnsi="Book Antiqua" w:cs="Times New Roman"/>
          <w:i/>
          <w:kern w:val="2"/>
          <w:lang w:val="en-US" w:eastAsia="zh-CN"/>
        </w:rPr>
        <w:t xml:space="preserve"> One</w:t>
      </w:r>
      <w:r w:rsidRPr="001256B1">
        <w:rPr>
          <w:rFonts w:ascii="Book Antiqua" w:eastAsia="等线" w:hAnsi="Book Antiqua" w:cs="Times New Roman"/>
          <w:kern w:val="2"/>
          <w:lang w:val="en-US" w:eastAsia="zh-CN"/>
        </w:rPr>
        <w:t xml:space="preserve"> 2014; </w:t>
      </w:r>
      <w:r w:rsidRPr="001256B1">
        <w:rPr>
          <w:rFonts w:ascii="Book Antiqua" w:eastAsia="等线" w:hAnsi="Book Antiqua" w:cs="Times New Roman"/>
          <w:b/>
          <w:kern w:val="2"/>
          <w:lang w:val="en-US" w:eastAsia="zh-CN"/>
        </w:rPr>
        <w:t>9</w:t>
      </w:r>
      <w:r w:rsidRPr="001256B1">
        <w:rPr>
          <w:rFonts w:ascii="Book Antiqua" w:eastAsia="等线" w:hAnsi="Book Antiqua" w:cs="Times New Roman"/>
          <w:kern w:val="2"/>
          <w:lang w:val="en-US" w:eastAsia="zh-CN"/>
        </w:rPr>
        <w:t>: e114420 [PMID: 25474488 DOI: 10.1371/journal.pone.0114420]</w:t>
      </w:r>
    </w:p>
    <w:p w14:paraId="7B04BA2B"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20 </w:t>
      </w:r>
      <w:r w:rsidRPr="001256B1">
        <w:rPr>
          <w:rFonts w:ascii="Book Antiqua" w:eastAsia="等线" w:hAnsi="Book Antiqua" w:cs="Times New Roman"/>
          <w:b/>
          <w:kern w:val="2"/>
          <w:lang w:val="en-US" w:eastAsia="zh-CN"/>
        </w:rPr>
        <w:t>Hanahan D</w:t>
      </w:r>
      <w:r w:rsidRPr="001256B1">
        <w:rPr>
          <w:rFonts w:ascii="Book Antiqua" w:eastAsia="等线" w:hAnsi="Book Antiqua" w:cs="Times New Roman"/>
          <w:kern w:val="2"/>
          <w:lang w:val="en-US" w:eastAsia="zh-CN"/>
        </w:rPr>
        <w:t xml:space="preserve">, Weinberg RA. Hallmarks of cancer: the next generation. </w:t>
      </w:r>
      <w:r w:rsidRPr="001256B1">
        <w:rPr>
          <w:rFonts w:ascii="Book Antiqua" w:eastAsia="等线" w:hAnsi="Book Antiqua" w:cs="Times New Roman"/>
          <w:i/>
          <w:kern w:val="2"/>
          <w:lang w:val="en-US" w:eastAsia="zh-CN"/>
        </w:rPr>
        <w:t>Cell</w:t>
      </w:r>
      <w:r w:rsidRPr="001256B1">
        <w:rPr>
          <w:rFonts w:ascii="Book Antiqua" w:eastAsia="等线" w:hAnsi="Book Antiqua" w:cs="Times New Roman"/>
          <w:kern w:val="2"/>
          <w:lang w:val="en-US" w:eastAsia="zh-CN"/>
        </w:rPr>
        <w:t xml:space="preserve"> 2011; </w:t>
      </w:r>
      <w:r w:rsidRPr="001256B1">
        <w:rPr>
          <w:rFonts w:ascii="Book Antiqua" w:eastAsia="等线" w:hAnsi="Book Antiqua" w:cs="Times New Roman"/>
          <w:b/>
          <w:kern w:val="2"/>
          <w:lang w:val="en-US" w:eastAsia="zh-CN"/>
        </w:rPr>
        <w:t>144</w:t>
      </w:r>
      <w:r w:rsidRPr="001256B1">
        <w:rPr>
          <w:rFonts w:ascii="Book Antiqua" w:eastAsia="等线" w:hAnsi="Book Antiqua" w:cs="Times New Roman"/>
          <w:kern w:val="2"/>
          <w:lang w:val="en-US" w:eastAsia="zh-CN"/>
        </w:rPr>
        <w:t>: 646-674 [PMID: 21376230 DOI: 10.1016/j.cell.2011.02.013]</w:t>
      </w:r>
    </w:p>
    <w:p w14:paraId="7F67034C"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21 </w:t>
      </w:r>
      <w:r w:rsidRPr="001256B1">
        <w:rPr>
          <w:rFonts w:ascii="Book Antiqua" w:eastAsia="等线" w:hAnsi="Book Antiqua" w:cs="Times New Roman"/>
          <w:b/>
          <w:kern w:val="2"/>
          <w:lang w:val="en-US" w:eastAsia="zh-CN"/>
        </w:rPr>
        <w:t>Adams JM</w:t>
      </w:r>
      <w:r w:rsidRPr="001256B1">
        <w:rPr>
          <w:rFonts w:ascii="Book Antiqua" w:eastAsia="等线" w:hAnsi="Book Antiqua" w:cs="Times New Roman"/>
          <w:kern w:val="2"/>
          <w:lang w:val="en-US" w:eastAsia="zh-CN"/>
        </w:rPr>
        <w:t xml:space="preserve">, Cory S. The Bcl-2 apoptotic switch in cancer development and therapy. </w:t>
      </w:r>
      <w:r w:rsidRPr="001256B1">
        <w:rPr>
          <w:rFonts w:ascii="Book Antiqua" w:eastAsia="等线" w:hAnsi="Book Antiqua" w:cs="Times New Roman"/>
          <w:i/>
          <w:kern w:val="2"/>
          <w:lang w:val="en-US" w:eastAsia="zh-CN"/>
        </w:rPr>
        <w:t>Oncogene</w:t>
      </w:r>
      <w:r w:rsidRPr="001256B1">
        <w:rPr>
          <w:rFonts w:ascii="Book Antiqua" w:eastAsia="等线" w:hAnsi="Book Antiqua" w:cs="Times New Roman"/>
          <w:kern w:val="2"/>
          <w:lang w:val="en-US" w:eastAsia="zh-CN"/>
        </w:rPr>
        <w:t xml:space="preserve"> 2007; </w:t>
      </w:r>
      <w:r w:rsidRPr="001256B1">
        <w:rPr>
          <w:rFonts w:ascii="Book Antiqua" w:eastAsia="等线" w:hAnsi="Book Antiqua" w:cs="Times New Roman"/>
          <w:b/>
          <w:kern w:val="2"/>
          <w:lang w:val="en-US" w:eastAsia="zh-CN"/>
        </w:rPr>
        <w:t>26</w:t>
      </w:r>
      <w:r w:rsidRPr="001256B1">
        <w:rPr>
          <w:rFonts w:ascii="Book Antiqua" w:eastAsia="等线" w:hAnsi="Book Antiqua" w:cs="Times New Roman"/>
          <w:kern w:val="2"/>
          <w:lang w:val="en-US" w:eastAsia="zh-CN"/>
        </w:rPr>
        <w:t>: 1324-1337 [PMID: 17322918 DOI: 10.1038/sj.onc.1210220]</w:t>
      </w:r>
    </w:p>
    <w:p w14:paraId="2DF6683B"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22 </w:t>
      </w:r>
      <w:proofErr w:type="spellStart"/>
      <w:r w:rsidRPr="001256B1">
        <w:rPr>
          <w:rFonts w:ascii="Book Antiqua" w:eastAsia="等线" w:hAnsi="Book Antiqua" w:cs="Times New Roman"/>
          <w:b/>
          <w:kern w:val="2"/>
          <w:lang w:val="en-US" w:eastAsia="zh-CN"/>
        </w:rPr>
        <w:t>Cesarone</w:t>
      </w:r>
      <w:proofErr w:type="spellEnd"/>
      <w:r w:rsidRPr="001256B1">
        <w:rPr>
          <w:rFonts w:ascii="Book Antiqua" w:eastAsia="等线" w:hAnsi="Book Antiqua" w:cs="Times New Roman"/>
          <w:b/>
          <w:kern w:val="2"/>
          <w:lang w:val="en-US" w:eastAsia="zh-CN"/>
        </w:rPr>
        <w:t xml:space="preserve"> G</w:t>
      </w:r>
      <w:r w:rsidRPr="001256B1">
        <w:rPr>
          <w:rFonts w:ascii="Book Antiqua" w:eastAsia="等线" w:hAnsi="Book Antiqua" w:cs="Times New Roman"/>
          <w:kern w:val="2"/>
          <w:lang w:val="en-US" w:eastAsia="zh-CN"/>
        </w:rPr>
        <w:t xml:space="preserve">, Garofalo C, Abrams MT, </w:t>
      </w:r>
      <w:proofErr w:type="spellStart"/>
      <w:r w:rsidRPr="001256B1">
        <w:rPr>
          <w:rFonts w:ascii="Book Antiqua" w:eastAsia="等线" w:hAnsi="Book Antiqua" w:cs="Times New Roman"/>
          <w:kern w:val="2"/>
          <w:lang w:val="en-US" w:eastAsia="zh-CN"/>
        </w:rPr>
        <w:t>Igoucheva</w:t>
      </w:r>
      <w:proofErr w:type="spellEnd"/>
      <w:r w:rsidRPr="001256B1">
        <w:rPr>
          <w:rFonts w:ascii="Book Antiqua" w:eastAsia="等线" w:hAnsi="Book Antiqua" w:cs="Times New Roman"/>
          <w:kern w:val="2"/>
          <w:lang w:val="en-US" w:eastAsia="zh-CN"/>
        </w:rPr>
        <w:t xml:space="preserve"> O, Alexeev V, Yoon K, </w:t>
      </w:r>
      <w:proofErr w:type="spellStart"/>
      <w:r w:rsidRPr="001256B1">
        <w:rPr>
          <w:rFonts w:ascii="Book Antiqua" w:eastAsia="等线" w:hAnsi="Book Antiqua" w:cs="Times New Roman"/>
          <w:kern w:val="2"/>
          <w:lang w:val="en-US" w:eastAsia="zh-CN"/>
        </w:rPr>
        <w:t>Surmacz</w:t>
      </w:r>
      <w:proofErr w:type="spellEnd"/>
      <w:r w:rsidRPr="001256B1">
        <w:rPr>
          <w:rFonts w:ascii="Book Antiqua" w:eastAsia="等线" w:hAnsi="Book Antiqua" w:cs="Times New Roman"/>
          <w:kern w:val="2"/>
          <w:lang w:val="en-US" w:eastAsia="zh-CN"/>
        </w:rPr>
        <w:t xml:space="preserve"> E, Wickstrom E. RNAi-mediated silencing of insulin receptor substrate 1 (IRS-1) enhances tamoxifen-induced cell death in MCF-7 breast cancer cells. </w:t>
      </w:r>
      <w:r w:rsidRPr="001256B1">
        <w:rPr>
          <w:rFonts w:ascii="Book Antiqua" w:eastAsia="等线" w:hAnsi="Book Antiqua" w:cs="Times New Roman"/>
          <w:i/>
          <w:kern w:val="2"/>
          <w:lang w:val="en-US" w:eastAsia="zh-CN"/>
        </w:rPr>
        <w:t xml:space="preserve">J Cell </w:t>
      </w:r>
      <w:proofErr w:type="spellStart"/>
      <w:r w:rsidRPr="001256B1">
        <w:rPr>
          <w:rFonts w:ascii="Book Antiqua" w:eastAsia="等线" w:hAnsi="Book Antiqua" w:cs="Times New Roman"/>
          <w:i/>
          <w:kern w:val="2"/>
          <w:lang w:val="en-US" w:eastAsia="zh-CN"/>
        </w:rPr>
        <w:t>Biochem</w:t>
      </w:r>
      <w:proofErr w:type="spellEnd"/>
      <w:r w:rsidRPr="001256B1">
        <w:rPr>
          <w:rFonts w:ascii="Book Antiqua" w:eastAsia="等线" w:hAnsi="Book Antiqua" w:cs="Times New Roman"/>
          <w:kern w:val="2"/>
          <w:lang w:val="en-US" w:eastAsia="zh-CN"/>
        </w:rPr>
        <w:t xml:space="preserve"> 2006; </w:t>
      </w:r>
      <w:r w:rsidRPr="001256B1">
        <w:rPr>
          <w:rFonts w:ascii="Book Antiqua" w:eastAsia="等线" w:hAnsi="Book Antiqua" w:cs="Times New Roman"/>
          <w:b/>
          <w:kern w:val="2"/>
          <w:lang w:val="en-US" w:eastAsia="zh-CN"/>
        </w:rPr>
        <w:t>98</w:t>
      </w:r>
      <w:r w:rsidRPr="001256B1">
        <w:rPr>
          <w:rFonts w:ascii="Book Antiqua" w:eastAsia="等线" w:hAnsi="Book Antiqua" w:cs="Times New Roman"/>
          <w:kern w:val="2"/>
          <w:lang w:val="en-US" w:eastAsia="zh-CN"/>
        </w:rPr>
        <w:t>: 440-450 [PMID: 16440325 DOI: 10.1002/jcb.20817]</w:t>
      </w:r>
    </w:p>
    <w:p w14:paraId="61096F61"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23 </w:t>
      </w:r>
      <w:proofErr w:type="spellStart"/>
      <w:r w:rsidRPr="001256B1">
        <w:rPr>
          <w:rFonts w:ascii="Book Antiqua" w:eastAsia="等线" w:hAnsi="Book Antiqua" w:cs="Times New Roman"/>
          <w:b/>
          <w:kern w:val="2"/>
          <w:lang w:val="en-US" w:eastAsia="zh-CN"/>
        </w:rPr>
        <w:t>Raile</w:t>
      </w:r>
      <w:proofErr w:type="spellEnd"/>
      <w:r w:rsidRPr="001256B1">
        <w:rPr>
          <w:rFonts w:ascii="Book Antiqua" w:eastAsia="等线" w:hAnsi="Book Antiqua" w:cs="Times New Roman"/>
          <w:b/>
          <w:kern w:val="2"/>
          <w:lang w:val="en-US" w:eastAsia="zh-CN"/>
        </w:rPr>
        <w:t xml:space="preserve"> K</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Hille</w:t>
      </w:r>
      <w:proofErr w:type="spellEnd"/>
      <w:r w:rsidRPr="001256B1">
        <w:rPr>
          <w:rFonts w:ascii="Book Antiqua" w:eastAsia="等线" w:hAnsi="Book Antiqua" w:cs="Times New Roman"/>
          <w:kern w:val="2"/>
          <w:lang w:val="en-US" w:eastAsia="zh-CN"/>
        </w:rPr>
        <w:t xml:space="preserve"> R, Laue S, Schulz A, Pfeifer G, Horn F, </w:t>
      </w:r>
      <w:proofErr w:type="spellStart"/>
      <w:r w:rsidRPr="001256B1">
        <w:rPr>
          <w:rFonts w:ascii="Book Antiqua" w:eastAsia="等线" w:hAnsi="Book Antiqua" w:cs="Times New Roman"/>
          <w:kern w:val="2"/>
          <w:lang w:val="en-US" w:eastAsia="zh-CN"/>
        </w:rPr>
        <w:t>Kiess</w:t>
      </w:r>
      <w:proofErr w:type="spellEnd"/>
      <w:r w:rsidRPr="001256B1">
        <w:rPr>
          <w:rFonts w:ascii="Book Antiqua" w:eastAsia="等线" w:hAnsi="Book Antiqua" w:cs="Times New Roman"/>
          <w:kern w:val="2"/>
          <w:lang w:val="en-US" w:eastAsia="zh-CN"/>
        </w:rPr>
        <w:t xml:space="preserve"> W. Insulin-like growth factor I (IGF-I) stimulates proliferation but also increases caspase-3 activity, Annexin-V binding, and DNA-fragmentation in human MG63 osteosarcoma cells: co-activation of pro- and anti-apoptotic pathways by IGF-I. </w:t>
      </w:r>
      <w:proofErr w:type="spellStart"/>
      <w:r w:rsidRPr="001256B1">
        <w:rPr>
          <w:rFonts w:ascii="Book Antiqua" w:eastAsia="等线" w:hAnsi="Book Antiqua" w:cs="Times New Roman"/>
          <w:i/>
          <w:kern w:val="2"/>
          <w:lang w:val="en-US" w:eastAsia="zh-CN"/>
        </w:rPr>
        <w:t>Horm</w:t>
      </w:r>
      <w:proofErr w:type="spellEnd"/>
      <w:r w:rsidRPr="001256B1">
        <w:rPr>
          <w:rFonts w:ascii="Book Antiqua" w:eastAsia="等线" w:hAnsi="Book Antiqua" w:cs="Times New Roman"/>
          <w:i/>
          <w:kern w:val="2"/>
          <w:lang w:val="en-US" w:eastAsia="zh-CN"/>
        </w:rPr>
        <w:t xml:space="preserve"> </w:t>
      </w:r>
      <w:proofErr w:type="spellStart"/>
      <w:r w:rsidRPr="001256B1">
        <w:rPr>
          <w:rFonts w:ascii="Book Antiqua" w:eastAsia="等线" w:hAnsi="Book Antiqua" w:cs="Times New Roman"/>
          <w:i/>
          <w:kern w:val="2"/>
          <w:lang w:val="en-US" w:eastAsia="zh-CN"/>
        </w:rPr>
        <w:t>Metab</w:t>
      </w:r>
      <w:proofErr w:type="spellEnd"/>
      <w:r w:rsidRPr="001256B1">
        <w:rPr>
          <w:rFonts w:ascii="Book Antiqua" w:eastAsia="等线" w:hAnsi="Book Antiqua" w:cs="Times New Roman"/>
          <w:i/>
          <w:kern w:val="2"/>
          <w:lang w:val="en-US" w:eastAsia="zh-CN"/>
        </w:rPr>
        <w:t xml:space="preserve"> Res</w:t>
      </w:r>
      <w:r w:rsidRPr="001256B1">
        <w:rPr>
          <w:rFonts w:ascii="Book Antiqua" w:eastAsia="等线" w:hAnsi="Book Antiqua" w:cs="Times New Roman"/>
          <w:kern w:val="2"/>
          <w:lang w:val="en-US" w:eastAsia="zh-CN"/>
        </w:rPr>
        <w:t xml:space="preserve"> 2003; </w:t>
      </w:r>
      <w:r w:rsidRPr="001256B1">
        <w:rPr>
          <w:rFonts w:ascii="Book Antiqua" w:eastAsia="等线" w:hAnsi="Book Antiqua" w:cs="Times New Roman"/>
          <w:b/>
          <w:kern w:val="2"/>
          <w:lang w:val="en-US" w:eastAsia="zh-CN"/>
        </w:rPr>
        <w:t>35</w:t>
      </w:r>
      <w:r w:rsidRPr="001256B1">
        <w:rPr>
          <w:rFonts w:ascii="Book Antiqua" w:eastAsia="等线" w:hAnsi="Book Antiqua" w:cs="Times New Roman"/>
          <w:kern w:val="2"/>
          <w:lang w:val="en-US" w:eastAsia="zh-CN"/>
        </w:rPr>
        <w:t>: 786-793 [PMID: 14710359 DOI: 10.1055/s-2004-814140]</w:t>
      </w:r>
    </w:p>
    <w:p w14:paraId="4202D52C"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24 </w:t>
      </w:r>
      <w:proofErr w:type="spellStart"/>
      <w:r w:rsidRPr="001256B1">
        <w:rPr>
          <w:rFonts w:ascii="Book Antiqua" w:eastAsia="等线" w:hAnsi="Book Antiqua" w:cs="Times New Roman"/>
          <w:b/>
          <w:kern w:val="2"/>
          <w:lang w:val="en-US" w:eastAsia="zh-CN"/>
        </w:rPr>
        <w:t>Koda</w:t>
      </w:r>
      <w:proofErr w:type="spellEnd"/>
      <w:r w:rsidRPr="001256B1">
        <w:rPr>
          <w:rFonts w:ascii="Book Antiqua" w:eastAsia="等线" w:hAnsi="Book Antiqua" w:cs="Times New Roman"/>
          <w:b/>
          <w:kern w:val="2"/>
          <w:lang w:val="en-US" w:eastAsia="zh-CN"/>
        </w:rPr>
        <w:t xml:space="preserve"> M</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Sulkowska</w:t>
      </w:r>
      <w:proofErr w:type="spellEnd"/>
      <w:r w:rsidRPr="001256B1">
        <w:rPr>
          <w:rFonts w:ascii="Book Antiqua" w:eastAsia="等线" w:hAnsi="Book Antiqua" w:cs="Times New Roman"/>
          <w:kern w:val="2"/>
          <w:lang w:val="en-US" w:eastAsia="zh-CN"/>
        </w:rPr>
        <w:t xml:space="preserve"> M, </w:t>
      </w:r>
      <w:proofErr w:type="spellStart"/>
      <w:r w:rsidRPr="001256B1">
        <w:rPr>
          <w:rFonts w:ascii="Book Antiqua" w:eastAsia="等线" w:hAnsi="Book Antiqua" w:cs="Times New Roman"/>
          <w:kern w:val="2"/>
          <w:lang w:val="en-US" w:eastAsia="zh-CN"/>
        </w:rPr>
        <w:t>Kanczuga-Koda</w:t>
      </w:r>
      <w:proofErr w:type="spellEnd"/>
      <w:r w:rsidRPr="001256B1">
        <w:rPr>
          <w:rFonts w:ascii="Book Antiqua" w:eastAsia="等线" w:hAnsi="Book Antiqua" w:cs="Times New Roman"/>
          <w:kern w:val="2"/>
          <w:lang w:val="en-US" w:eastAsia="zh-CN"/>
        </w:rPr>
        <w:t xml:space="preserve"> L, </w:t>
      </w:r>
      <w:proofErr w:type="spellStart"/>
      <w:r w:rsidRPr="001256B1">
        <w:rPr>
          <w:rFonts w:ascii="Book Antiqua" w:eastAsia="等线" w:hAnsi="Book Antiqua" w:cs="Times New Roman"/>
          <w:kern w:val="2"/>
          <w:lang w:val="en-US" w:eastAsia="zh-CN"/>
        </w:rPr>
        <w:t>Golaszewska</w:t>
      </w:r>
      <w:proofErr w:type="spellEnd"/>
      <w:r w:rsidRPr="001256B1">
        <w:rPr>
          <w:rFonts w:ascii="Book Antiqua" w:eastAsia="等线" w:hAnsi="Book Antiqua" w:cs="Times New Roman"/>
          <w:kern w:val="2"/>
          <w:lang w:val="en-US" w:eastAsia="zh-CN"/>
        </w:rPr>
        <w:t xml:space="preserve"> J, </w:t>
      </w:r>
      <w:proofErr w:type="spellStart"/>
      <w:r w:rsidRPr="001256B1">
        <w:rPr>
          <w:rFonts w:ascii="Book Antiqua" w:eastAsia="等线" w:hAnsi="Book Antiqua" w:cs="Times New Roman"/>
          <w:kern w:val="2"/>
          <w:lang w:val="en-US" w:eastAsia="zh-CN"/>
        </w:rPr>
        <w:t>Kisielewski</w:t>
      </w:r>
      <w:proofErr w:type="spellEnd"/>
      <w:r w:rsidRPr="001256B1">
        <w:rPr>
          <w:rFonts w:ascii="Book Antiqua" w:eastAsia="等线" w:hAnsi="Book Antiqua" w:cs="Times New Roman"/>
          <w:kern w:val="2"/>
          <w:lang w:val="en-US" w:eastAsia="zh-CN"/>
        </w:rPr>
        <w:t xml:space="preserve"> W, </w:t>
      </w:r>
      <w:proofErr w:type="spellStart"/>
      <w:r w:rsidRPr="001256B1">
        <w:rPr>
          <w:rFonts w:ascii="Book Antiqua" w:eastAsia="等线" w:hAnsi="Book Antiqua" w:cs="Times New Roman"/>
          <w:kern w:val="2"/>
          <w:lang w:val="en-US" w:eastAsia="zh-CN"/>
        </w:rPr>
        <w:t>Baltaziak</w:t>
      </w:r>
      <w:proofErr w:type="spellEnd"/>
      <w:r w:rsidRPr="001256B1">
        <w:rPr>
          <w:rFonts w:ascii="Book Antiqua" w:eastAsia="等线" w:hAnsi="Book Antiqua" w:cs="Times New Roman"/>
          <w:kern w:val="2"/>
          <w:lang w:val="en-US" w:eastAsia="zh-CN"/>
        </w:rPr>
        <w:t xml:space="preserve"> M, </w:t>
      </w:r>
      <w:proofErr w:type="spellStart"/>
      <w:r w:rsidRPr="001256B1">
        <w:rPr>
          <w:rFonts w:ascii="Book Antiqua" w:eastAsia="等线" w:hAnsi="Book Antiqua" w:cs="Times New Roman"/>
          <w:kern w:val="2"/>
          <w:lang w:val="en-US" w:eastAsia="zh-CN"/>
        </w:rPr>
        <w:t>Wincewicz</w:t>
      </w:r>
      <w:proofErr w:type="spellEnd"/>
      <w:r w:rsidRPr="001256B1">
        <w:rPr>
          <w:rFonts w:ascii="Book Antiqua" w:eastAsia="等线" w:hAnsi="Book Antiqua" w:cs="Times New Roman"/>
          <w:kern w:val="2"/>
          <w:lang w:val="en-US" w:eastAsia="zh-CN"/>
        </w:rPr>
        <w:t xml:space="preserve"> A, </w:t>
      </w:r>
      <w:proofErr w:type="spellStart"/>
      <w:r w:rsidRPr="001256B1">
        <w:rPr>
          <w:rFonts w:ascii="Book Antiqua" w:eastAsia="等线" w:hAnsi="Book Antiqua" w:cs="Times New Roman"/>
          <w:kern w:val="2"/>
          <w:lang w:val="en-US" w:eastAsia="zh-CN"/>
        </w:rPr>
        <w:t>Sulkowski</w:t>
      </w:r>
      <w:proofErr w:type="spellEnd"/>
      <w:r w:rsidRPr="001256B1">
        <w:rPr>
          <w:rFonts w:ascii="Book Antiqua" w:eastAsia="等线" w:hAnsi="Book Antiqua" w:cs="Times New Roman"/>
          <w:kern w:val="2"/>
          <w:lang w:val="en-US" w:eastAsia="zh-CN"/>
        </w:rPr>
        <w:t xml:space="preserve"> S. Expression of the Insulin Receptor Substrate 1 in primary tumors and lymph node metastases in breast cancer: correlations with </w:t>
      </w:r>
      <w:proofErr w:type="spellStart"/>
      <w:r w:rsidRPr="001256B1">
        <w:rPr>
          <w:rFonts w:ascii="Book Antiqua" w:eastAsia="等线" w:hAnsi="Book Antiqua" w:cs="Times New Roman"/>
          <w:kern w:val="2"/>
          <w:lang w:val="en-US" w:eastAsia="zh-CN"/>
        </w:rPr>
        <w:t>Bcl-xL</w:t>
      </w:r>
      <w:proofErr w:type="spellEnd"/>
      <w:r w:rsidRPr="001256B1">
        <w:rPr>
          <w:rFonts w:ascii="Book Antiqua" w:eastAsia="等线" w:hAnsi="Book Antiqua" w:cs="Times New Roman"/>
          <w:kern w:val="2"/>
          <w:lang w:val="en-US" w:eastAsia="zh-CN"/>
        </w:rPr>
        <w:t xml:space="preserve"> and </w:t>
      </w:r>
      <w:proofErr w:type="spellStart"/>
      <w:r w:rsidRPr="001256B1">
        <w:rPr>
          <w:rFonts w:ascii="Book Antiqua" w:eastAsia="等线" w:hAnsi="Book Antiqua" w:cs="Times New Roman"/>
          <w:kern w:val="2"/>
          <w:lang w:val="en-US" w:eastAsia="zh-CN"/>
        </w:rPr>
        <w:t>Bax</w:t>
      </w:r>
      <w:proofErr w:type="spellEnd"/>
      <w:r w:rsidRPr="001256B1">
        <w:rPr>
          <w:rFonts w:ascii="Book Antiqua" w:eastAsia="等线" w:hAnsi="Book Antiqua" w:cs="Times New Roman"/>
          <w:kern w:val="2"/>
          <w:lang w:val="en-US" w:eastAsia="zh-CN"/>
        </w:rPr>
        <w:t xml:space="preserve"> proteins. </w:t>
      </w:r>
      <w:proofErr w:type="spellStart"/>
      <w:r w:rsidRPr="001256B1">
        <w:rPr>
          <w:rFonts w:ascii="Book Antiqua" w:eastAsia="等线" w:hAnsi="Book Antiqua" w:cs="Times New Roman"/>
          <w:i/>
          <w:kern w:val="2"/>
          <w:lang w:val="en-US" w:eastAsia="zh-CN"/>
        </w:rPr>
        <w:t>Neoplasma</w:t>
      </w:r>
      <w:proofErr w:type="spellEnd"/>
      <w:r w:rsidRPr="001256B1">
        <w:rPr>
          <w:rFonts w:ascii="Book Antiqua" w:eastAsia="等线" w:hAnsi="Book Antiqua" w:cs="Times New Roman"/>
          <w:kern w:val="2"/>
          <w:lang w:val="en-US" w:eastAsia="zh-CN"/>
        </w:rPr>
        <w:t xml:space="preserve"> 2005; </w:t>
      </w:r>
      <w:r w:rsidRPr="001256B1">
        <w:rPr>
          <w:rFonts w:ascii="Book Antiqua" w:eastAsia="等线" w:hAnsi="Book Antiqua" w:cs="Times New Roman"/>
          <w:b/>
          <w:kern w:val="2"/>
          <w:lang w:val="en-US" w:eastAsia="zh-CN"/>
        </w:rPr>
        <w:t>52</w:t>
      </w:r>
      <w:r w:rsidRPr="001256B1">
        <w:rPr>
          <w:rFonts w:ascii="Book Antiqua" w:eastAsia="等线" w:hAnsi="Book Antiqua" w:cs="Times New Roman"/>
          <w:kern w:val="2"/>
          <w:lang w:val="en-US" w:eastAsia="zh-CN"/>
        </w:rPr>
        <w:t>: 361-363 [PMID: 16151579]</w:t>
      </w:r>
    </w:p>
    <w:p w14:paraId="01B8D945"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25 </w:t>
      </w:r>
      <w:r w:rsidRPr="001256B1">
        <w:rPr>
          <w:rFonts w:ascii="Book Antiqua" w:eastAsia="等线" w:hAnsi="Book Antiqua" w:cs="Times New Roman"/>
          <w:b/>
          <w:kern w:val="2"/>
          <w:lang w:val="en-US" w:eastAsia="zh-CN"/>
        </w:rPr>
        <w:t>Ito T</w:t>
      </w:r>
      <w:r w:rsidRPr="001256B1">
        <w:rPr>
          <w:rFonts w:ascii="Book Antiqua" w:eastAsia="等线" w:hAnsi="Book Antiqua" w:cs="Times New Roman"/>
          <w:kern w:val="2"/>
          <w:lang w:val="en-US" w:eastAsia="zh-CN"/>
        </w:rPr>
        <w:t xml:space="preserve">, Deng X, </w:t>
      </w:r>
      <w:proofErr w:type="spellStart"/>
      <w:r w:rsidRPr="001256B1">
        <w:rPr>
          <w:rFonts w:ascii="Book Antiqua" w:eastAsia="等线" w:hAnsi="Book Antiqua" w:cs="Times New Roman"/>
          <w:kern w:val="2"/>
          <w:lang w:val="en-US" w:eastAsia="zh-CN"/>
        </w:rPr>
        <w:t>Carr</w:t>
      </w:r>
      <w:proofErr w:type="spellEnd"/>
      <w:r w:rsidRPr="001256B1">
        <w:rPr>
          <w:rFonts w:ascii="Book Antiqua" w:eastAsia="等线" w:hAnsi="Book Antiqua" w:cs="Times New Roman"/>
          <w:kern w:val="2"/>
          <w:lang w:val="en-US" w:eastAsia="zh-CN"/>
        </w:rPr>
        <w:t xml:space="preserve"> B, May WS. Bcl-2 phosphorylation required for anti-apoptosis function. </w:t>
      </w:r>
      <w:r w:rsidRPr="001256B1">
        <w:rPr>
          <w:rFonts w:ascii="Book Antiqua" w:eastAsia="等线" w:hAnsi="Book Antiqua" w:cs="Times New Roman"/>
          <w:i/>
          <w:kern w:val="2"/>
          <w:lang w:val="en-US" w:eastAsia="zh-CN"/>
        </w:rPr>
        <w:t>J Biol Chem</w:t>
      </w:r>
      <w:r w:rsidRPr="001256B1">
        <w:rPr>
          <w:rFonts w:ascii="Book Antiqua" w:eastAsia="等线" w:hAnsi="Book Antiqua" w:cs="Times New Roman"/>
          <w:kern w:val="2"/>
          <w:lang w:val="en-US" w:eastAsia="zh-CN"/>
        </w:rPr>
        <w:t xml:space="preserve"> 1997; </w:t>
      </w:r>
      <w:r w:rsidRPr="001256B1">
        <w:rPr>
          <w:rFonts w:ascii="Book Antiqua" w:eastAsia="等线" w:hAnsi="Book Antiqua" w:cs="Times New Roman"/>
          <w:b/>
          <w:kern w:val="2"/>
          <w:lang w:val="en-US" w:eastAsia="zh-CN"/>
        </w:rPr>
        <w:t>272</w:t>
      </w:r>
      <w:r w:rsidRPr="001256B1">
        <w:rPr>
          <w:rFonts w:ascii="Book Antiqua" w:eastAsia="等线" w:hAnsi="Book Antiqua" w:cs="Times New Roman"/>
          <w:kern w:val="2"/>
          <w:lang w:val="en-US" w:eastAsia="zh-CN"/>
        </w:rPr>
        <w:t>: 11671-11673 [PMID: 9115213 DOI: 10.1074/jbc.272.18.11671]</w:t>
      </w:r>
    </w:p>
    <w:p w14:paraId="2B73EF34"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26 </w:t>
      </w:r>
      <w:r w:rsidRPr="001256B1">
        <w:rPr>
          <w:rFonts w:ascii="Book Antiqua" w:eastAsia="等线" w:hAnsi="Book Antiqua" w:cs="Times New Roman"/>
          <w:b/>
          <w:kern w:val="2"/>
          <w:lang w:val="en-US" w:eastAsia="zh-CN"/>
        </w:rPr>
        <w:t>Ueno H</w:t>
      </w:r>
      <w:r w:rsidRPr="001256B1">
        <w:rPr>
          <w:rFonts w:ascii="Book Antiqua" w:eastAsia="等线" w:hAnsi="Book Antiqua" w:cs="Times New Roman"/>
          <w:kern w:val="2"/>
          <w:lang w:val="en-US" w:eastAsia="zh-CN"/>
        </w:rPr>
        <w:t xml:space="preserve">, Kondo E, Yamamoto-Honda R, </w:t>
      </w:r>
      <w:proofErr w:type="spellStart"/>
      <w:r w:rsidRPr="001256B1">
        <w:rPr>
          <w:rFonts w:ascii="Book Antiqua" w:eastAsia="等线" w:hAnsi="Book Antiqua" w:cs="Times New Roman"/>
          <w:kern w:val="2"/>
          <w:lang w:val="en-US" w:eastAsia="zh-CN"/>
        </w:rPr>
        <w:t>Tobe</w:t>
      </w:r>
      <w:proofErr w:type="spellEnd"/>
      <w:r w:rsidRPr="001256B1">
        <w:rPr>
          <w:rFonts w:ascii="Book Antiqua" w:eastAsia="等线" w:hAnsi="Book Antiqua" w:cs="Times New Roman"/>
          <w:kern w:val="2"/>
          <w:lang w:val="en-US" w:eastAsia="zh-CN"/>
        </w:rPr>
        <w:t xml:space="preserve"> K, Nakamoto T, Sasaki K, </w:t>
      </w:r>
      <w:proofErr w:type="spellStart"/>
      <w:r w:rsidRPr="001256B1">
        <w:rPr>
          <w:rFonts w:ascii="Book Antiqua" w:eastAsia="等线" w:hAnsi="Book Antiqua" w:cs="Times New Roman"/>
          <w:kern w:val="2"/>
          <w:lang w:val="en-US" w:eastAsia="zh-CN"/>
        </w:rPr>
        <w:t>Mitani</w:t>
      </w:r>
      <w:proofErr w:type="spellEnd"/>
      <w:r w:rsidRPr="001256B1">
        <w:rPr>
          <w:rFonts w:ascii="Book Antiqua" w:eastAsia="等线" w:hAnsi="Book Antiqua" w:cs="Times New Roman"/>
          <w:kern w:val="2"/>
          <w:lang w:val="en-US" w:eastAsia="zh-CN"/>
        </w:rPr>
        <w:t xml:space="preserve"> K, </w:t>
      </w:r>
      <w:proofErr w:type="spellStart"/>
      <w:r w:rsidRPr="001256B1">
        <w:rPr>
          <w:rFonts w:ascii="Book Antiqua" w:eastAsia="等线" w:hAnsi="Book Antiqua" w:cs="Times New Roman"/>
          <w:kern w:val="2"/>
          <w:lang w:val="en-US" w:eastAsia="zh-CN"/>
        </w:rPr>
        <w:t>Furusaka</w:t>
      </w:r>
      <w:proofErr w:type="spellEnd"/>
      <w:r w:rsidRPr="001256B1">
        <w:rPr>
          <w:rFonts w:ascii="Book Antiqua" w:eastAsia="等线" w:hAnsi="Book Antiqua" w:cs="Times New Roman"/>
          <w:kern w:val="2"/>
          <w:lang w:val="en-US" w:eastAsia="zh-CN"/>
        </w:rPr>
        <w:t xml:space="preserve"> A, Tanaka T, </w:t>
      </w:r>
      <w:proofErr w:type="spellStart"/>
      <w:r w:rsidRPr="001256B1">
        <w:rPr>
          <w:rFonts w:ascii="Book Antiqua" w:eastAsia="等线" w:hAnsi="Book Antiqua" w:cs="Times New Roman"/>
          <w:kern w:val="2"/>
          <w:lang w:val="en-US" w:eastAsia="zh-CN"/>
        </w:rPr>
        <w:t>Tsujimoto</w:t>
      </w:r>
      <w:proofErr w:type="spellEnd"/>
      <w:r w:rsidRPr="001256B1">
        <w:rPr>
          <w:rFonts w:ascii="Book Antiqua" w:eastAsia="等线" w:hAnsi="Book Antiqua" w:cs="Times New Roman"/>
          <w:kern w:val="2"/>
          <w:lang w:val="en-US" w:eastAsia="zh-CN"/>
        </w:rPr>
        <w:t xml:space="preserve"> Y, </w:t>
      </w:r>
      <w:proofErr w:type="spellStart"/>
      <w:r w:rsidRPr="001256B1">
        <w:rPr>
          <w:rFonts w:ascii="Book Antiqua" w:eastAsia="等线" w:hAnsi="Book Antiqua" w:cs="Times New Roman"/>
          <w:kern w:val="2"/>
          <w:lang w:val="en-US" w:eastAsia="zh-CN"/>
        </w:rPr>
        <w:t>Kadowaki</w:t>
      </w:r>
      <w:proofErr w:type="spellEnd"/>
      <w:r w:rsidRPr="001256B1">
        <w:rPr>
          <w:rFonts w:ascii="Book Antiqua" w:eastAsia="等线" w:hAnsi="Book Antiqua" w:cs="Times New Roman"/>
          <w:kern w:val="2"/>
          <w:lang w:val="en-US" w:eastAsia="zh-CN"/>
        </w:rPr>
        <w:t xml:space="preserve"> T, Hirai H. Association of insulin receptor substrate proteins with Bcl-2 and their effects on its phosphorylation and antiapoptotic function. </w:t>
      </w:r>
      <w:r w:rsidRPr="001256B1">
        <w:rPr>
          <w:rFonts w:ascii="Book Antiqua" w:eastAsia="等线" w:hAnsi="Book Antiqua" w:cs="Times New Roman"/>
          <w:i/>
          <w:kern w:val="2"/>
          <w:lang w:val="en-US" w:eastAsia="zh-CN"/>
        </w:rPr>
        <w:t>Mol Biol Cell</w:t>
      </w:r>
      <w:r w:rsidRPr="001256B1">
        <w:rPr>
          <w:rFonts w:ascii="Book Antiqua" w:eastAsia="等线" w:hAnsi="Book Antiqua" w:cs="Times New Roman"/>
          <w:kern w:val="2"/>
          <w:lang w:val="en-US" w:eastAsia="zh-CN"/>
        </w:rPr>
        <w:t xml:space="preserve"> 2000; </w:t>
      </w:r>
      <w:r w:rsidRPr="001256B1">
        <w:rPr>
          <w:rFonts w:ascii="Book Antiqua" w:eastAsia="等线" w:hAnsi="Book Antiqua" w:cs="Times New Roman"/>
          <w:b/>
          <w:kern w:val="2"/>
          <w:lang w:val="en-US" w:eastAsia="zh-CN"/>
        </w:rPr>
        <w:t>11</w:t>
      </w:r>
      <w:r w:rsidRPr="001256B1">
        <w:rPr>
          <w:rFonts w:ascii="Book Antiqua" w:eastAsia="等线" w:hAnsi="Book Antiqua" w:cs="Times New Roman"/>
          <w:kern w:val="2"/>
          <w:lang w:val="en-US" w:eastAsia="zh-CN"/>
        </w:rPr>
        <w:t>: 735-746 [PMID: 10679027 DOI: 10.1091/mbc.11.2.735]</w:t>
      </w:r>
    </w:p>
    <w:p w14:paraId="19AC6E25"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lastRenderedPageBreak/>
        <w:t xml:space="preserve">27 </w:t>
      </w:r>
      <w:r w:rsidRPr="001256B1">
        <w:rPr>
          <w:rFonts w:ascii="Book Antiqua" w:eastAsia="等线" w:hAnsi="Book Antiqua" w:cs="Times New Roman"/>
          <w:b/>
          <w:kern w:val="2"/>
          <w:lang w:val="en-US" w:eastAsia="zh-CN"/>
        </w:rPr>
        <w:t>Tanaka S</w:t>
      </w:r>
      <w:r w:rsidRPr="001256B1">
        <w:rPr>
          <w:rFonts w:ascii="Book Antiqua" w:eastAsia="等线" w:hAnsi="Book Antiqua" w:cs="Times New Roman"/>
          <w:kern w:val="2"/>
          <w:lang w:val="en-US" w:eastAsia="zh-CN"/>
        </w:rPr>
        <w:t xml:space="preserve">, Wands JR. Insulin receptor substrate 1 overexpression in human hepatocellular carcinoma cells prevents transforming growth factor beta1-induced apoptosis. </w:t>
      </w:r>
      <w:r w:rsidRPr="001256B1">
        <w:rPr>
          <w:rFonts w:ascii="Book Antiqua" w:eastAsia="等线" w:hAnsi="Book Antiqua" w:cs="Times New Roman"/>
          <w:i/>
          <w:kern w:val="2"/>
          <w:lang w:val="en-US" w:eastAsia="zh-CN"/>
        </w:rPr>
        <w:t>Cancer Res</w:t>
      </w:r>
      <w:r w:rsidRPr="001256B1">
        <w:rPr>
          <w:rFonts w:ascii="Book Antiqua" w:eastAsia="等线" w:hAnsi="Book Antiqua" w:cs="Times New Roman"/>
          <w:kern w:val="2"/>
          <w:lang w:val="en-US" w:eastAsia="zh-CN"/>
        </w:rPr>
        <w:t xml:space="preserve"> 1996; </w:t>
      </w:r>
      <w:r w:rsidRPr="001256B1">
        <w:rPr>
          <w:rFonts w:ascii="Book Antiqua" w:eastAsia="等线" w:hAnsi="Book Antiqua" w:cs="Times New Roman"/>
          <w:b/>
          <w:kern w:val="2"/>
          <w:lang w:val="en-US" w:eastAsia="zh-CN"/>
        </w:rPr>
        <w:t>56</w:t>
      </w:r>
      <w:r w:rsidRPr="001256B1">
        <w:rPr>
          <w:rFonts w:ascii="Book Antiqua" w:eastAsia="等线" w:hAnsi="Book Antiqua" w:cs="Times New Roman"/>
          <w:kern w:val="2"/>
          <w:lang w:val="en-US" w:eastAsia="zh-CN"/>
        </w:rPr>
        <w:t>: 3391-3394 [PMID: 8758899]</w:t>
      </w:r>
    </w:p>
    <w:p w14:paraId="070A3A2A"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28 </w:t>
      </w:r>
      <w:proofErr w:type="spellStart"/>
      <w:r w:rsidRPr="001256B1">
        <w:rPr>
          <w:rFonts w:ascii="Book Antiqua" w:eastAsia="等线" w:hAnsi="Book Antiqua" w:cs="Times New Roman"/>
          <w:b/>
          <w:kern w:val="2"/>
          <w:lang w:val="en-US" w:eastAsia="zh-CN"/>
        </w:rPr>
        <w:t>Gorgisen</w:t>
      </w:r>
      <w:proofErr w:type="spellEnd"/>
      <w:r w:rsidRPr="001256B1">
        <w:rPr>
          <w:rFonts w:ascii="Book Antiqua" w:eastAsia="等线" w:hAnsi="Book Antiqua" w:cs="Times New Roman"/>
          <w:b/>
          <w:kern w:val="2"/>
          <w:lang w:val="en-US" w:eastAsia="zh-CN"/>
        </w:rPr>
        <w:t xml:space="preserve"> G</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Yaren</w:t>
      </w:r>
      <w:proofErr w:type="spellEnd"/>
      <w:r w:rsidRPr="001256B1">
        <w:rPr>
          <w:rFonts w:ascii="Book Antiqua" w:eastAsia="等线" w:hAnsi="Book Antiqua" w:cs="Times New Roman"/>
          <w:kern w:val="2"/>
          <w:lang w:val="en-US" w:eastAsia="zh-CN"/>
        </w:rPr>
        <w:t xml:space="preserve"> Z. Insulin receptor substrate 1 overexpression promotes survival of glioblastoma cells through AKT1 activation. </w:t>
      </w:r>
      <w:r w:rsidRPr="001256B1">
        <w:rPr>
          <w:rFonts w:ascii="Book Antiqua" w:eastAsia="等线" w:hAnsi="Book Antiqua" w:cs="Times New Roman"/>
          <w:i/>
          <w:kern w:val="2"/>
          <w:lang w:val="en-US" w:eastAsia="zh-CN"/>
        </w:rPr>
        <w:t xml:space="preserve">Folia </w:t>
      </w:r>
      <w:proofErr w:type="spellStart"/>
      <w:r w:rsidRPr="001256B1">
        <w:rPr>
          <w:rFonts w:ascii="Book Antiqua" w:eastAsia="等线" w:hAnsi="Book Antiqua" w:cs="Times New Roman"/>
          <w:i/>
          <w:kern w:val="2"/>
          <w:lang w:val="en-US" w:eastAsia="zh-CN"/>
        </w:rPr>
        <w:t>Neuropathol</w:t>
      </w:r>
      <w:proofErr w:type="spellEnd"/>
      <w:r w:rsidRPr="001256B1">
        <w:rPr>
          <w:rFonts w:ascii="Book Antiqua" w:eastAsia="等线" w:hAnsi="Book Antiqua" w:cs="Times New Roman"/>
          <w:kern w:val="2"/>
          <w:lang w:val="en-US" w:eastAsia="zh-CN"/>
        </w:rPr>
        <w:t xml:space="preserve"> 2020; </w:t>
      </w:r>
      <w:r w:rsidRPr="001256B1">
        <w:rPr>
          <w:rFonts w:ascii="Book Antiqua" w:eastAsia="等线" w:hAnsi="Book Antiqua" w:cs="Times New Roman"/>
          <w:b/>
          <w:kern w:val="2"/>
          <w:lang w:val="en-US" w:eastAsia="zh-CN"/>
        </w:rPr>
        <w:t>58</w:t>
      </w:r>
      <w:r w:rsidRPr="001256B1">
        <w:rPr>
          <w:rFonts w:ascii="Book Antiqua" w:eastAsia="等线" w:hAnsi="Book Antiqua" w:cs="Times New Roman"/>
          <w:kern w:val="2"/>
          <w:lang w:val="en-US" w:eastAsia="zh-CN"/>
        </w:rPr>
        <w:t>: 38-44 [PMID: 32337956 DOI: 10.5114/fn.2020.94005]</w:t>
      </w:r>
    </w:p>
    <w:p w14:paraId="2E6623FE"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29 </w:t>
      </w:r>
      <w:r w:rsidRPr="001256B1">
        <w:rPr>
          <w:rFonts w:ascii="Book Antiqua" w:eastAsia="等线" w:hAnsi="Book Antiqua" w:cs="Times New Roman"/>
          <w:b/>
          <w:kern w:val="2"/>
          <w:lang w:val="en-US" w:eastAsia="zh-CN"/>
        </w:rPr>
        <w:t>Tseng YH</w:t>
      </w:r>
      <w:r w:rsidRPr="001256B1">
        <w:rPr>
          <w:rFonts w:ascii="Book Antiqua" w:eastAsia="等线" w:hAnsi="Book Antiqua" w:cs="Times New Roman"/>
          <w:kern w:val="2"/>
          <w:lang w:val="en-US" w:eastAsia="zh-CN"/>
        </w:rPr>
        <w:t xml:space="preserve">, Ueki K, </w:t>
      </w:r>
      <w:proofErr w:type="spellStart"/>
      <w:r w:rsidRPr="001256B1">
        <w:rPr>
          <w:rFonts w:ascii="Book Antiqua" w:eastAsia="等线" w:hAnsi="Book Antiqua" w:cs="Times New Roman"/>
          <w:kern w:val="2"/>
          <w:lang w:val="en-US" w:eastAsia="zh-CN"/>
        </w:rPr>
        <w:t>Kriauciunas</w:t>
      </w:r>
      <w:proofErr w:type="spellEnd"/>
      <w:r w:rsidRPr="001256B1">
        <w:rPr>
          <w:rFonts w:ascii="Book Antiqua" w:eastAsia="等线" w:hAnsi="Book Antiqua" w:cs="Times New Roman"/>
          <w:kern w:val="2"/>
          <w:lang w:val="en-US" w:eastAsia="zh-CN"/>
        </w:rPr>
        <w:t xml:space="preserve"> KM, Kahn CR. Differential roles of insulin receptor substrates in the anti-apoptotic function of insulin-like growth factor-1 and insulin. </w:t>
      </w:r>
      <w:r w:rsidRPr="001256B1">
        <w:rPr>
          <w:rFonts w:ascii="Book Antiqua" w:eastAsia="等线" w:hAnsi="Book Antiqua" w:cs="Times New Roman"/>
          <w:i/>
          <w:kern w:val="2"/>
          <w:lang w:val="en-US" w:eastAsia="zh-CN"/>
        </w:rPr>
        <w:t>J Biol Chem</w:t>
      </w:r>
      <w:r w:rsidRPr="001256B1">
        <w:rPr>
          <w:rFonts w:ascii="Book Antiqua" w:eastAsia="等线" w:hAnsi="Book Antiqua" w:cs="Times New Roman"/>
          <w:kern w:val="2"/>
          <w:lang w:val="en-US" w:eastAsia="zh-CN"/>
        </w:rPr>
        <w:t xml:space="preserve"> 2002; </w:t>
      </w:r>
      <w:r w:rsidRPr="001256B1">
        <w:rPr>
          <w:rFonts w:ascii="Book Antiqua" w:eastAsia="等线" w:hAnsi="Book Antiqua" w:cs="Times New Roman"/>
          <w:b/>
          <w:kern w:val="2"/>
          <w:lang w:val="en-US" w:eastAsia="zh-CN"/>
        </w:rPr>
        <w:t>277</w:t>
      </w:r>
      <w:r w:rsidRPr="001256B1">
        <w:rPr>
          <w:rFonts w:ascii="Book Antiqua" w:eastAsia="等线" w:hAnsi="Book Antiqua" w:cs="Times New Roman"/>
          <w:kern w:val="2"/>
          <w:lang w:val="en-US" w:eastAsia="zh-CN"/>
        </w:rPr>
        <w:t>: 31601-31611 [PMID: 12082100 DOI: 10.1074/jbc.M202932200]</w:t>
      </w:r>
    </w:p>
    <w:p w14:paraId="1F7F8CBC"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30 </w:t>
      </w:r>
      <w:proofErr w:type="spellStart"/>
      <w:r w:rsidRPr="001256B1">
        <w:rPr>
          <w:rFonts w:ascii="Book Antiqua" w:eastAsia="等线" w:hAnsi="Book Antiqua" w:cs="Times New Roman"/>
          <w:b/>
          <w:kern w:val="2"/>
          <w:lang w:val="en-US" w:eastAsia="zh-CN"/>
        </w:rPr>
        <w:t>Sekharam</w:t>
      </w:r>
      <w:proofErr w:type="spellEnd"/>
      <w:r w:rsidRPr="001256B1">
        <w:rPr>
          <w:rFonts w:ascii="Book Antiqua" w:eastAsia="等线" w:hAnsi="Book Antiqua" w:cs="Times New Roman"/>
          <w:b/>
          <w:kern w:val="2"/>
          <w:lang w:val="en-US" w:eastAsia="zh-CN"/>
        </w:rPr>
        <w:t xml:space="preserve"> M</w:t>
      </w:r>
      <w:r w:rsidRPr="001256B1">
        <w:rPr>
          <w:rFonts w:ascii="Book Antiqua" w:eastAsia="等线" w:hAnsi="Book Antiqua" w:cs="Times New Roman"/>
          <w:kern w:val="2"/>
          <w:lang w:val="en-US" w:eastAsia="zh-CN"/>
        </w:rPr>
        <w:t>, Zhao H, Sun M, Fang Q, Zhang Q, Yuan Z, Dan HC, Boulware D, Cheng JQ, Coppola D. Insulin-like growth factor 1 receptor enhances invasion and induces resistance to apoptosis of colon cancer cells through the Akt/</w:t>
      </w:r>
      <w:proofErr w:type="spellStart"/>
      <w:r w:rsidRPr="001256B1">
        <w:rPr>
          <w:rFonts w:ascii="Book Antiqua" w:eastAsia="等线" w:hAnsi="Book Antiqua" w:cs="Times New Roman"/>
          <w:kern w:val="2"/>
          <w:lang w:val="en-US" w:eastAsia="zh-CN"/>
        </w:rPr>
        <w:t>Bcl</w:t>
      </w:r>
      <w:proofErr w:type="spellEnd"/>
      <w:r w:rsidRPr="001256B1">
        <w:rPr>
          <w:rFonts w:ascii="Book Antiqua" w:eastAsia="等线" w:hAnsi="Book Antiqua" w:cs="Times New Roman"/>
          <w:kern w:val="2"/>
          <w:lang w:val="en-US" w:eastAsia="zh-CN"/>
        </w:rPr>
        <w:t xml:space="preserve">-x(L) pathway. </w:t>
      </w:r>
      <w:r w:rsidRPr="001256B1">
        <w:rPr>
          <w:rFonts w:ascii="Book Antiqua" w:eastAsia="等线" w:hAnsi="Book Antiqua" w:cs="Times New Roman"/>
          <w:i/>
          <w:kern w:val="2"/>
          <w:lang w:val="en-US" w:eastAsia="zh-CN"/>
        </w:rPr>
        <w:t>Cancer Res</w:t>
      </w:r>
      <w:r w:rsidRPr="001256B1">
        <w:rPr>
          <w:rFonts w:ascii="Book Antiqua" w:eastAsia="等线" w:hAnsi="Book Antiqua" w:cs="Times New Roman"/>
          <w:kern w:val="2"/>
          <w:lang w:val="en-US" w:eastAsia="zh-CN"/>
        </w:rPr>
        <w:t xml:space="preserve"> 2003; </w:t>
      </w:r>
      <w:r w:rsidRPr="001256B1">
        <w:rPr>
          <w:rFonts w:ascii="Book Antiqua" w:eastAsia="等线" w:hAnsi="Book Antiqua" w:cs="Times New Roman"/>
          <w:b/>
          <w:kern w:val="2"/>
          <w:lang w:val="en-US" w:eastAsia="zh-CN"/>
        </w:rPr>
        <w:t>63</w:t>
      </w:r>
      <w:r w:rsidRPr="001256B1">
        <w:rPr>
          <w:rFonts w:ascii="Book Antiqua" w:eastAsia="等线" w:hAnsi="Book Antiqua" w:cs="Times New Roman"/>
          <w:kern w:val="2"/>
          <w:lang w:val="en-US" w:eastAsia="zh-CN"/>
        </w:rPr>
        <w:t>: 7708-7716 [PMID: 14633695]</w:t>
      </w:r>
    </w:p>
    <w:p w14:paraId="7B46CA61"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31 </w:t>
      </w:r>
      <w:r w:rsidRPr="001256B1">
        <w:rPr>
          <w:rFonts w:ascii="Book Antiqua" w:eastAsia="等线" w:hAnsi="Book Antiqua" w:cs="Times New Roman"/>
          <w:b/>
          <w:kern w:val="2"/>
          <w:lang w:val="en-US" w:eastAsia="zh-CN"/>
        </w:rPr>
        <w:t>Dews M</w:t>
      </w:r>
      <w:r w:rsidRPr="001256B1">
        <w:rPr>
          <w:rFonts w:ascii="Book Antiqua" w:eastAsia="等线" w:hAnsi="Book Antiqua" w:cs="Times New Roman"/>
          <w:kern w:val="2"/>
          <w:lang w:val="en-US" w:eastAsia="zh-CN"/>
        </w:rPr>
        <w:t xml:space="preserve">, Nishimoto I, </w:t>
      </w:r>
      <w:proofErr w:type="spellStart"/>
      <w:r w:rsidRPr="001256B1">
        <w:rPr>
          <w:rFonts w:ascii="Book Antiqua" w:eastAsia="等线" w:hAnsi="Book Antiqua" w:cs="Times New Roman"/>
          <w:kern w:val="2"/>
          <w:lang w:val="en-US" w:eastAsia="zh-CN"/>
        </w:rPr>
        <w:t>Baserga</w:t>
      </w:r>
      <w:proofErr w:type="spellEnd"/>
      <w:r w:rsidRPr="001256B1">
        <w:rPr>
          <w:rFonts w:ascii="Book Antiqua" w:eastAsia="等线" w:hAnsi="Book Antiqua" w:cs="Times New Roman"/>
          <w:kern w:val="2"/>
          <w:lang w:val="en-US" w:eastAsia="zh-CN"/>
        </w:rPr>
        <w:t xml:space="preserve"> R. IGF-I receptor protection from apoptosis in cells lacking the IRS proteins. </w:t>
      </w:r>
      <w:proofErr w:type="spellStart"/>
      <w:r w:rsidRPr="001256B1">
        <w:rPr>
          <w:rFonts w:ascii="Book Antiqua" w:eastAsia="等线" w:hAnsi="Book Antiqua" w:cs="Times New Roman"/>
          <w:i/>
          <w:kern w:val="2"/>
          <w:lang w:val="en-US" w:eastAsia="zh-CN"/>
        </w:rPr>
        <w:t>Recept</w:t>
      </w:r>
      <w:proofErr w:type="spellEnd"/>
      <w:r w:rsidRPr="001256B1">
        <w:rPr>
          <w:rFonts w:ascii="Book Antiqua" w:eastAsia="等线" w:hAnsi="Book Antiqua" w:cs="Times New Roman"/>
          <w:i/>
          <w:kern w:val="2"/>
          <w:lang w:val="en-US" w:eastAsia="zh-CN"/>
        </w:rPr>
        <w:t xml:space="preserve"> Signal </w:t>
      </w:r>
      <w:proofErr w:type="spellStart"/>
      <w:r w:rsidRPr="001256B1">
        <w:rPr>
          <w:rFonts w:ascii="Book Antiqua" w:eastAsia="等线" w:hAnsi="Book Antiqua" w:cs="Times New Roman"/>
          <w:i/>
          <w:kern w:val="2"/>
          <w:lang w:val="en-US" w:eastAsia="zh-CN"/>
        </w:rPr>
        <w:t>Transduct</w:t>
      </w:r>
      <w:proofErr w:type="spellEnd"/>
      <w:r w:rsidRPr="001256B1">
        <w:rPr>
          <w:rFonts w:ascii="Book Antiqua" w:eastAsia="等线" w:hAnsi="Book Antiqua" w:cs="Times New Roman"/>
          <w:kern w:val="2"/>
          <w:lang w:val="en-US" w:eastAsia="zh-CN"/>
        </w:rPr>
        <w:t xml:space="preserve"> 1997; </w:t>
      </w:r>
      <w:r w:rsidRPr="001256B1">
        <w:rPr>
          <w:rFonts w:ascii="Book Antiqua" w:eastAsia="等线" w:hAnsi="Book Antiqua" w:cs="Times New Roman"/>
          <w:b/>
          <w:kern w:val="2"/>
          <w:lang w:val="en-US" w:eastAsia="zh-CN"/>
        </w:rPr>
        <w:t>7</w:t>
      </w:r>
      <w:r w:rsidRPr="001256B1">
        <w:rPr>
          <w:rFonts w:ascii="Book Antiqua" w:eastAsia="等线" w:hAnsi="Book Antiqua" w:cs="Times New Roman"/>
          <w:kern w:val="2"/>
          <w:lang w:val="en-US" w:eastAsia="zh-CN"/>
        </w:rPr>
        <w:t>: 231-240 [PMID: 9633824]</w:t>
      </w:r>
    </w:p>
    <w:p w14:paraId="65CEF362"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32 </w:t>
      </w:r>
      <w:r w:rsidRPr="001256B1">
        <w:rPr>
          <w:rFonts w:ascii="Book Antiqua" w:eastAsia="等线" w:hAnsi="Book Antiqua" w:cs="Times New Roman"/>
          <w:b/>
          <w:kern w:val="2"/>
          <w:lang w:val="en-US" w:eastAsia="zh-CN"/>
        </w:rPr>
        <w:t>Porter HA</w:t>
      </w:r>
      <w:r w:rsidRPr="001256B1">
        <w:rPr>
          <w:rFonts w:ascii="Book Antiqua" w:eastAsia="等线" w:hAnsi="Book Antiqua" w:cs="Times New Roman"/>
          <w:kern w:val="2"/>
          <w:lang w:val="en-US" w:eastAsia="zh-CN"/>
        </w:rPr>
        <w:t xml:space="preserve">, Carey GB, Keegan AD. Insulin receptor substrate 1 expression enhances the sensitivity of 32D cells to chemotherapy-induced cell death. </w:t>
      </w:r>
      <w:r w:rsidRPr="001256B1">
        <w:rPr>
          <w:rFonts w:ascii="Book Antiqua" w:eastAsia="等线" w:hAnsi="Book Antiqua" w:cs="Times New Roman"/>
          <w:i/>
          <w:kern w:val="2"/>
          <w:lang w:val="en-US" w:eastAsia="zh-CN"/>
        </w:rPr>
        <w:t>Exp Cell Res</w:t>
      </w:r>
      <w:r w:rsidRPr="001256B1">
        <w:rPr>
          <w:rFonts w:ascii="Book Antiqua" w:eastAsia="等线" w:hAnsi="Book Antiqua" w:cs="Times New Roman"/>
          <w:kern w:val="2"/>
          <w:lang w:val="en-US" w:eastAsia="zh-CN"/>
        </w:rPr>
        <w:t xml:space="preserve"> 2012; </w:t>
      </w:r>
      <w:r w:rsidRPr="001256B1">
        <w:rPr>
          <w:rFonts w:ascii="Book Antiqua" w:eastAsia="等线" w:hAnsi="Book Antiqua" w:cs="Times New Roman"/>
          <w:b/>
          <w:kern w:val="2"/>
          <w:lang w:val="en-US" w:eastAsia="zh-CN"/>
        </w:rPr>
        <w:t>318</w:t>
      </w:r>
      <w:r w:rsidRPr="001256B1">
        <w:rPr>
          <w:rFonts w:ascii="Book Antiqua" w:eastAsia="等线" w:hAnsi="Book Antiqua" w:cs="Times New Roman"/>
          <w:kern w:val="2"/>
          <w:lang w:val="en-US" w:eastAsia="zh-CN"/>
        </w:rPr>
        <w:t>: 1745-1758 [PMID: 22652453 DOI: 10.1016/j.yexcr.2012.04.020]</w:t>
      </w:r>
    </w:p>
    <w:p w14:paraId="4F5BD217"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33 </w:t>
      </w:r>
      <w:proofErr w:type="spellStart"/>
      <w:r w:rsidRPr="001256B1">
        <w:rPr>
          <w:rFonts w:ascii="Book Antiqua" w:eastAsia="等线" w:hAnsi="Book Antiqua" w:cs="Times New Roman"/>
          <w:b/>
          <w:kern w:val="2"/>
          <w:lang w:val="en-US" w:eastAsia="zh-CN"/>
        </w:rPr>
        <w:t>Wiedmann</w:t>
      </w:r>
      <w:proofErr w:type="spellEnd"/>
      <w:r w:rsidRPr="001256B1">
        <w:rPr>
          <w:rFonts w:ascii="Book Antiqua" w:eastAsia="等线" w:hAnsi="Book Antiqua" w:cs="Times New Roman"/>
          <w:b/>
          <w:kern w:val="2"/>
          <w:lang w:val="en-US" w:eastAsia="zh-CN"/>
        </w:rPr>
        <w:t xml:space="preserve"> M</w:t>
      </w:r>
      <w:r w:rsidRPr="001256B1">
        <w:rPr>
          <w:rFonts w:ascii="Book Antiqua" w:eastAsia="等线" w:hAnsi="Book Antiqua" w:cs="Times New Roman"/>
          <w:kern w:val="2"/>
          <w:lang w:val="en-US" w:eastAsia="zh-CN"/>
        </w:rPr>
        <w:t xml:space="preserve">, Tamaki S, Silberman R, de la Monte SM, Cousens L, Wands JR. Constitutive over-expression of the insulin receptor substrate-1 causes functional up-regulation of </w:t>
      </w:r>
      <w:proofErr w:type="spellStart"/>
      <w:r w:rsidRPr="001256B1">
        <w:rPr>
          <w:rFonts w:ascii="Book Antiqua" w:eastAsia="等线" w:hAnsi="Book Antiqua" w:cs="Times New Roman"/>
          <w:kern w:val="2"/>
          <w:lang w:val="en-US" w:eastAsia="zh-CN"/>
        </w:rPr>
        <w:t>Fas</w:t>
      </w:r>
      <w:proofErr w:type="spellEnd"/>
      <w:r w:rsidRPr="001256B1">
        <w:rPr>
          <w:rFonts w:ascii="Book Antiqua" w:eastAsia="等线" w:hAnsi="Book Antiqua" w:cs="Times New Roman"/>
          <w:kern w:val="2"/>
          <w:lang w:val="en-US" w:eastAsia="zh-CN"/>
        </w:rPr>
        <w:t xml:space="preserve"> receptor. </w:t>
      </w:r>
      <w:r w:rsidRPr="001256B1">
        <w:rPr>
          <w:rFonts w:ascii="Book Antiqua" w:eastAsia="等线" w:hAnsi="Book Antiqua" w:cs="Times New Roman"/>
          <w:i/>
          <w:kern w:val="2"/>
          <w:lang w:val="en-US" w:eastAsia="zh-CN"/>
        </w:rPr>
        <w:t>J Hepatol</w:t>
      </w:r>
      <w:r w:rsidRPr="001256B1">
        <w:rPr>
          <w:rFonts w:ascii="Book Antiqua" w:eastAsia="等线" w:hAnsi="Book Antiqua" w:cs="Times New Roman"/>
          <w:kern w:val="2"/>
          <w:lang w:val="en-US" w:eastAsia="zh-CN"/>
        </w:rPr>
        <w:t xml:space="preserve"> 2003; </w:t>
      </w:r>
      <w:r w:rsidRPr="001256B1">
        <w:rPr>
          <w:rFonts w:ascii="Book Antiqua" w:eastAsia="等线" w:hAnsi="Book Antiqua" w:cs="Times New Roman"/>
          <w:b/>
          <w:kern w:val="2"/>
          <w:lang w:val="en-US" w:eastAsia="zh-CN"/>
        </w:rPr>
        <w:t>38</w:t>
      </w:r>
      <w:r w:rsidRPr="001256B1">
        <w:rPr>
          <w:rFonts w:ascii="Book Antiqua" w:eastAsia="等线" w:hAnsi="Book Antiqua" w:cs="Times New Roman"/>
          <w:kern w:val="2"/>
          <w:lang w:val="en-US" w:eastAsia="zh-CN"/>
        </w:rPr>
        <w:t>: 803-810 [PMID: 12763374 DOI: 10.1016/s0168-8278(03)00117-x]</w:t>
      </w:r>
    </w:p>
    <w:p w14:paraId="10978DE1"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34 </w:t>
      </w:r>
      <w:proofErr w:type="spellStart"/>
      <w:r w:rsidRPr="001256B1">
        <w:rPr>
          <w:rFonts w:ascii="Book Antiqua" w:eastAsia="等线" w:hAnsi="Book Antiqua" w:cs="Times New Roman"/>
          <w:b/>
          <w:kern w:val="2"/>
          <w:lang w:val="en-US" w:eastAsia="zh-CN"/>
        </w:rPr>
        <w:t>Nie</w:t>
      </w:r>
      <w:proofErr w:type="spellEnd"/>
      <w:r w:rsidRPr="001256B1">
        <w:rPr>
          <w:rFonts w:ascii="Book Antiqua" w:eastAsia="等线" w:hAnsi="Book Antiqua" w:cs="Times New Roman"/>
          <w:b/>
          <w:kern w:val="2"/>
          <w:lang w:val="en-US" w:eastAsia="zh-CN"/>
        </w:rPr>
        <w:t xml:space="preserve"> C</w:t>
      </w:r>
      <w:r w:rsidRPr="001256B1">
        <w:rPr>
          <w:rFonts w:ascii="Book Antiqua" w:eastAsia="等线" w:hAnsi="Book Antiqua" w:cs="Times New Roman"/>
          <w:kern w:val="2"/>
          <w:lang w:val="en-US" w:eastAsia="zh-CN"/>
        </w:rPr>
        <w:t xml:space="preserve">, Tian C, Zhao L, Petit PX, </w:t>
      </w:r>
      <w:proofErr w:type="spellStart"/>
      <w:r w:rsidRPr="001256B1">
        <w:rPr>
          <w:rFonts w:ascii="Book Antiqua" w:eastAsia="等线" w:hAnsi="Book Antiqua" w:cs="Times New Roman"/>
          <w:kern w:val="2"/>
          <w:lang w:val="en-US" w:eastAsia="zh-CN"/>
        </w:rPr>
        <w:t>Mehrpour</w:t>
      </w:r>
      <w:proofErr w:type="spellEnd"/>
      <w:r w:rsidRPr="001256B1">
        <w:rPr>
          <w:rFonts w:ascii="Book Antiqua" w:eastAsia="等线" w:hAnsi="Book Antiqua" w:cs="Times New Roman"/>
          <w:kern w:val="2"/>
          <w:lang w:val="en-US" w:eastAsia="zh-CN"/>
        </w:rPr>
        <w:t xml:space="preserve"> M, Chen Q. Cysteine 62 of </w:t>
      </w:r>
      <w:proofErr w:type="spellStart"/>
      <w:r w:rsidRPr="001256B1">
        <w:rPr>
          <w:rFonts w:ascii="Book Antiqua" w:eastAsia="等线" w:hAnsi="Book Antiqua" w:cs="Times New Roman"/>
          <w:kern w:val="2"/>
          <w:lang w:val="en-US" w:eastAsia="zh-CN"/>
        </w:rPr>
        <w:t>Bax</w:t>
      </w:r>
      <w:proofErr w:type="spellEnd"/>
      <w:r w:rsidRPr="001256B1">
        <w:rPr>
          <w:rFonts w:ascii="Book Antiqua" w:eastAsia="等线" w:hAnsi="Book Antiqua" w:cs="Times New Roman"/>
          <w:kern w:val="2"/>
          <w:lang w:val="en-US" w:eastAsia="zh-CN"/>
        </w:rPr>
        <w:t xml:space="preserve"> is critical for its conformational activation and its proapoptotic activity in response to H2O2-induced apoptosis. </w:t>
      </w:r>
      <w:r w:rsidRPr="001256B1">
        <w:rPr>
          <w:rFonts w:ascii="Book Antiqua" w:eastAsia="等线" w:hAnsi="Book Antiqua" w:cs="Times New Roman"/>
          <w:i/>
          <w:kern w:val="2"/>
          <w:lang w:val="en-US" w:eastAsia="zh-CN"/>
        </w:rPr>
        <w:t>J Biol Chem</w:t>
      </w:r>
      <w:r w:rsidRPr="001256B1">
        <w:rPr>
          <w:rFonts w:ascii="Book Antiqua" w:eastAsia="等线" w:hAnsi="Book Antiqua" w:cs="Times New Roman"/>
          <w:kern w:val="2"/>
          <w:lang w:val="en-US" w:eastAsia="zh-CN"/>
        </w:rPr>
        <w:t xml:space="preserve"> 2008; </w:t>
      </w:r>
      <w:r w:rsidRPr="001256B1">
        <w:rPr>
          <w:rFonts w:ascii="Book Antiqua" w:eastAsia="等线" w:hAnsi="Book Antiqua" w:cs="Times New Roman"/>
          <w:b/>
          <w:kern w:val="2"/>
          <w:lang w:val="en-US" w:eastAsia="zh-CN"/>
        </w:rPr>
        <w:t>283</w:t>
      </w:r>
      <w:r w:rsidRPr="001256B1">
        <w:rPr>
          <w:rFonts w:ascii="Book Antiqua" w:eastAsia="等线" w:hAnsi="Book Antiqua" w:cs="Times New Roman"/>
          <w:kern w:val="2"/>
          <w:lang w:val="en-US" w:eastAsia="zh-CN"/>
        </w:rPr>
        <w:t>: 15359-15369 [PMID: 18344566 DOI: 10.1074/jbc.M800847200]</w:t>
      </w:r>
    </w:p>
    <w:p w14:paraId="212ABC31"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35 </w:t>
      </w:r>
      <w:proofErr w:type="spellStart"/>
      <w:r w:rsidRPr="001256B1">
        <w:rPr>
          <w:rFonts w:ascii="Book Antiqua" w:eastAsia="等线" w:hAnsi="Book Antiqua" w:cs="Times New Roman"/>
          <w:b/>
          <w:kern w:val="2"/>
          <w:lang w:val="en-US" w:eastAsia="zh-CN"/>
        </w:rPr>
        <w:t>Koda</w:t>
      </w:r>
      <w:proofErr w:type="spellEnd"/>
      <w:r w:rsidRPr="001256B1">
        <w:rPr>
          <w:rFonts w:ascii="Book Antiqua" w:eastAsia="等线" w:hAnsi="Book Antiqua" w:cs="Times New Roman"/>
          <w:b/>
          <w:kern w:val="2"/>
          <w:lang w:val="en-US" w:eastAsia="zh-CN"/>
        </w:rPr>
        <w:t xml:space="preserve"> M</w:t>
      </w:r>
      <w:r w:rsidRPr="001256B1">
        <w:rPr>
          <w:rFonts w:ascii="Book Antiqua" w:eastAsia="等线" w:hAnsi="Book Antiqua" w:cs="Times New Roman"/>
          <w:kern w:val="2"/>
          <w:lang w:val="en-US" w:eastAsia="zh-CN"/>
        </w:rPr>
        <w:t xml:space="preserve">, </w:t>
      </w:r>
      <w:proofErr w:type="spellStart"/>
      <w:r w:rsidRPr="001256B1">
        <w:rPr>
          <w:rFonts w:ascii="Book Antiqua" w:eastAsia="等线" w:hAnsi="Book Antiqua" w:cs="Times New Roman"/>
          <w:kern w:val="2"/>
          <w:lang w:val="en-US" w:eastAsia="zh-CN"/>
        </w:rPr>
        <w:t>Sulkowska</w:t>
      </w:r>
      <w:proofErr w:type="spellEnd"/>
      <w:r w:rsidRPr="001256B1">
        <w:rPr>
          <w:rFonts w:ascii="Book Antiqua" w:eastAsia="等线" w:hAnsi="Book Antiqua" w:cs="Times New Roman"/>
          <w:kern w:val="2"/>
          <w:lang w:val="en-US" w:eastAsia="zh-CN"/>
        </w:rPr>
        <w:t xml:space="preserve"> M, </w:t>
      </w:r>
      <w:proofErr w:type="spellStart"/>
      <w:r w:rsidRPr="001256B1">
        <w:rPr>
          <w:rFonts w:ascii="Book Antiqua" w:eastAsia="等线" w:hAnsi="Book Antiqua" w:cs="Times New Roman"/>
          <w:kern w:val="2"/>
          <w:lang w:val="en-US" w:eastAsia="zh-CN"/>
        </w:rPr>
        <w:t>Kanczuga-Koda</w:t>
      </w:r>
      <w:proofErr w:type="spellEnd"/>
      <w:r w:rsidRPr="001256B1">
        <w:rPr>
          <w:rFonts w:ascii="Book Antiqua" w:eastAsia="等线" w:hAnsi="Book Antiqua" w:cs="Times New Roman"/>
          <w:kern w:val="2"/>
          <w:lang w:val="en-US" w:eastAsia="zh-CN"/>
        </w:rPr>
        <w:t xml:space="preserve"> L, </w:t>
      </w:r>
      <w:proofErr w:type="spellStart"/>
      <w:r w:rsidRPr="001256B1">
        <w:rPr>
          <w:rFonts w:ascii="Book Antiqua" w:eastAsia="等线" w:hAnsi="Book Antiqua" w:cs="Times New Roman"/>
          <w:kern w:val="2"/>
          <w:lang w:val="en-US" w:eastAsia="zh-CN"/>
        </w:rPr>
        <w:t>Sulkowski</w:t>
      </w:r>
      <w:proofErr w:type="spellEnd"/>
      <w:r w:rsidRPr="001256B1">
        <w:rPr>
          <w:rFonts w:ascii="Book Antiqua" w:eastAsia="等线" w:hAnsi="Book Antiqua" w:cs="Times New Roman"/>
          <w:kern w:val="2"/>
          <w:lang w:val="en-US" w:eastAsia="zh-CN"/>
        </w:rPr>
        <w:t xml:space="preserve"> S. Expression of insulin receptor substrate 1 in primary breast cancer and lymph node metastases. </w:t>
      </w:r>
      <w:r w:rsidRPr="001256B1">
        <w:rPr>
          <w:rFonts w:ascii="Book Antiqua" w:eastAsia="等线" w:hAnsi="Book Antiqua" w:cs="Times New Roman"/>
          <w:i/>
          <w:kern w:val="2"/>
          <w:lang w:val="en-US" w:eastAsia="zh-CN"/>
        </w:rPr>
        <w:t xml:space="preserve">J Clin </w:t>
      </w:r>
      <w:proofErr w:type="spellStart"/>
      <w:r w:rsidRPr="001256B1">
        <w:rPr>
          <w:rFonts w:ascii="Book Antiqua" w:eastAsia="等线" w:hAnsi="Book Antiqua" w:cs="Times New Roman"/>
          <w:i/>
          <w:kern w:val="2"/>
          <w:lang w:val="en-US" w:eastAsia="zh-CN"/>
        </w:rPr>
        <w:t>Pathol</w:t>
      </w:r>
      <w:proofErr w:type="spellEnd"/>
      <w:r w:rsidRPr="001256B1">
        <w:rPr>
          <w:rFonts w:ascii="Book Antiqua" w:eastAsia="等线" w:hAnsi="Book Antiqua" w:cs="Times New Roman"/>
          <w:kern w:val="2"/>
          <w:lang w:val="en-US" w:eastAsia="zh-CN"/>
        </w:rPr>
        <w:t xml:space="preserve"> 2005; </w:t>
      </w:r>
      <w:r w:rsidRPr="001256B1">
        <w:rPr>
          <w:rFonts w:ascii="Book Antiqua" w:eastAsia="等线" w:hAnsi="Book Antiqua" w:cs="Times New Roman"/>
          <w:b/>
          <w:kern w:val="2"/>
          <w:lang w:val="en-US" w:eastAsia="zh-CN"/>
        </w:rPr>
        <w:t>58</w:t>
      </w:r>
      <w:r w:rsidRPr="001256B1">
        <w:rPr>
          <w:rFonts w:ascii="Book Antiqua" w:eastAsia="等线" w:hAnsi="Book Antiqua" w:cs="Times New Roman"/>
          <w:kern w:val="2"/>
          <w:lang w:val="en-US" w:eastAsia="zh-CN"/>
        </w:rPr>
        <w:t xml:space="preserve">: 645-649 [PMID: 15917419 DOI: </w:t>
      </w:r>
      <w:r w:rsidRPr="001256B1">
        <w:rPr>
          <w:rFonts w:ascii="Book Antiqua" w:eastAsia="等线" w:hAnsi="Book Antiqua" w:cs="Times New Roman"/>
          <w:kern w:val="2"/>
          <w:lang w:val="en-US" w:eastAsia="zh-CN"/>
        </w:rPr>
        <w:lastRenderedPageBreak/>
        <w:t>10.1136/jcp.2004.022590]</w:t>
      </w:r>
    </w:p>
    <w:p w14:paraId="7F827A44" w14:textId="77777777" w:rsidR="00746665" w:rsidRPr="001256B1"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1256B1">
        <w:rPr>
          <w:rFonts w:ascii="Book Antiqua" w:eastAsia="等线" w:hAnsi="Book Antiqua" w:cs="Times New Roman"/>
          <w:kern w:val="2"/>
          <w:lang w:val="en-US" w:eastAsia="zh-CN"/>
        </w:rPr>
        <w:t xml:space="preserve">36 </w:t>
      </w:r>
      <w:r w:rsidRPr="001256B1">
        <w:rPr>
          <w:rFonts w:ascii="Book Antiqua" w:eastAsia="等线" w:hAnsi="Book Antiqua" w:cs="Times New Roman"/>
          <w:b/>
          <w:kern w:val="2"/>
          <w:lang w:val="en-US" w:eastAsia="zh-CN"/>
        </w:rPr>
        <w:t>Han CH</w:t>
      </w:r>
      <w:r w:rsidRPr="001256B1">
        <w:rPr>
          <w:rFonts w:ascii="Book Antiqua" w:eastAsia="等线" w:hAnsi="Book Antiqua" w:cs="Times New Roman"/>
          <w:kern w:val="2"/>
          <w:lang w:val="en-US" w:eastAsia="zh-CN"/>
        </w:rPr>
        <w:t xml:space="preserve">, Cho JY, Moon JT, Kim HJ, Kim SK, Shin DH, Chang J, </w:t>
      </w:r>
      <w:proofErr w:type="spellStart"/>
      <w:r w:rsidRPr="001256B1">
        <w:rPr>
          <w:rFonts w:ascii="Book Antiqua" w:eastAsia="等线" w:hAnsi="Book Antiqua" w:cs="Times New Roman"/>
          <w:kern w:val="2"/>
          <w:lang w:val="en-US" w:eastAsia="zh-CN"/>
        </w:rPr>
        <w:t>Ahn</w:t>
      </w:r>
      <w:proofErr w:type="spellEnd"/>
      <w:r w:rsidRPr="001256B1">
        <w:rPr>
          <w:rFonts w:ascii="Book Antiqua" w:eastAsia="等线" w:hAnsi="Book Antiqua" w:cs="Times New Roman"/>
          <w:kern w:val="2"/>
          <w:lang w:val="en-US" w:eastAsia="zh-CN"/>
        </w:rPr>
        <w:t xml:space="preserve"> CM, Kim SK, Chang YS. Clinical significance of insulin receptor substrate-I down-regulation in non-small cell lung cancer. </w:t>
      </w:r>
      <w:r w:rsidRPr="001256B1">
        <w:rPr>
          <w:rFonts w:ascii="Book Antiqua" w:eastAsia="等线" w:hAnsi="Book Antiqua" w:cs="Times New Roman"/>
          <w:i/>
          <w:kern w:val="2"/>
          <w:lang w:val="en-US" w:eastAsia="zh-CN"/>
        </w:rPr>
        <w:t>Oncol Rep</w:t>
      </w:r>
      <w:r w:rsidRPr="001256B1">
        <w:rPr>
          <w:rFonts w:ascii="Book Antiqua" w:eastAsia="等线" w:hAnsi="Book Antiqua" w:cs="Times New Roman"/>
          <w:kern w:val="2"/>
          <w:lang w:val="en-US" w:eastAsia="zh-CN"/>
        </w:rPr>
        <w:t xml:space="preserve"> 2006; </w:t>
      </w:r>
      <w:r w:rsidRPr="001256B1">
        <w:rPr>
          <w:rFonts w:ascii="Book Antiqua" w:eastAsia="等线" w:hAnsi="Book Antiqua" w:cs="Times New Roman"/>
          <w:b/>
          <w:kern w:val="2"/>
          <w:lang w:val="en-US" w:eastAsia="zh-CN"/>
        </w:rPr>
        <w:t>16</w:t>
      </w:r>
      <w:r w:rsidRPr="001256B1">
        <w:rPr>
          <w:rFonts w:ascii="Book Antiqua" w:eastAsia="等线" w:hAnsi="Book Antiqua" w:cs="Times New Roman"/>
          <w:kern w:val="2"/>
          <w:lang w:val="en-US" w:eastAsia="zh-CN"/>
        </w:rPr>
        <w:t>: 1205-1210 [PMID: 17089038]</w:t>
      </w:r>
    </w:p>
    <w:bookmarkEnd w:id="32"/>
    <w:bookmarkEnd w:id="33"/>
    <w:p w14:paraId="7461B56D" w14:textId="2CB2901F" w:rsidR="008F5A7C" w:rsidRPr="001256B1" w:rsidRDefault="008F5A7C" w:rsidP="00F55750">
      <w:pPr>
        <w:widowControl w:val="0"/>
        <w:autoSpaceDE w:val="0"/>
        <w:autoSpaceDN w:val="0"/>
        <w:snapToGrid w:val="0"/>
        <w:spacing w:line="360" w:lineRule="auto"/>
        <w:ind w:hanging="640"/>
        <w:mirrorIndents/>
        <w:jc w:val="both"/>
        <w:rPr>
          <w:rFonts w:ascii="Book Antiqua" w:hAnsi="Book Antiqua" w:cs="Book Antiqua"/>
          <w:b/>
          <w:bCs/>
          <w:color w:val="000000"/>
          <w:lang w:val="en-US"/>
        </w:rPr>
      </w:pPr>
      <w:r w:rsidRPr="001256B1">
        <w:rPr>
          <w:rFonts w:ascii="Book Antiqua" w:hAnsi="Book Antiqua"/>
          <w:b/>
          <w:bCs/>
          <w:lang w:val="en-US"/>
        </w:rPr>
        <w:br w:type="page"/>
      </w:r>
    </w:p>
    <w:p w14:paraId="49C2033B" w14:textId="77777777" w:rsidR="00AF27DD" w:rsidRPr="001256B1" w:rsidRDefault="00AF27DD" w:rsidP="00F55750">
      <w:pPr>
        <w:adjustRightInd w:val="0"/>
        <w:snapToGrid w:val="0"/>
        <w:spacing w:line="360" w:lineRule="auto"/>
        <w:jc w:val="both"/>
        <w:rPr>
          <w:rFonts w:ascii="Book Antiqua" w:hAnsi="Book Antiqua"/>
          <w:b/>
        </w:rPr>
      </w:pPr>
      <w:r w:rsidRPr="001256B1">
        <w:rPr>
          <w:rFonts w:ascii="Book Antiqua" w:hAnsi="Book Antiqua"/>
          <w:b/>
        </w:rPr>
        <w:lastRenderedPageBreak/>
        <w:t>Footnotes</w:t>
      </w:r>
    </w:p>
    <w:p w14:paraId="1027CEEF" w14:textId="43FE31BC" w:rsidR="0007457F" w:rsidRPr="001256B1" w:rsidRDefault="00AF27DD" w:rsidP="00F55750">
      <w:pPr>
        <w:autoSpaceDE w:val="0"/>
        <w:autoSpaceDN w:val="0"/>
        <w:adjustRightInd w:val="0"/>
        <w:snapToGrid w:val="0"/>
        <w:spacing w:line="360" w:lineRule="auto"/>
        <w:jc w:val="both"/>
        <w:rPr>
          <w:rFonts w:ascii="Book Antiqua" w:hAnsi="Book Antiqua"/>
          <w:color w:val="000000"/>
          <w:u w:color="000000"/>
          <w:lang w:val="en-US"/>
        </w:rPr>
      </w:pPr>
      <w:r w:rsidRPr="001256B1">
        <w:rPr>
          <w:rFonts w:ascii="Book Antiqua" w:hAnsi="Book Antiqua"/>
          <w:b/>
        </w:rPr>
        <w:t>Institutional review board statement</w:t>
      </w:r>
      <w:r w:rsidRPr="001256B1">
        <w:rPr>
          <w:rFonts w:ascii="Book Antiqua" w:hAnsi="Book Antiqua"/>
          <w:b/>
          <w:bCs/>
          <w:iCs/>
          <w:color w:val="000000"/>
        </w:rPr>
        <w:t>:</w:t>
      </w:r>
      <w:r w:rsidR="0007457F" w:rsidRPr="001256B1">
        <w:rPr>
          <w:rFonts w:ascii="Book Antiqua" w:hAnsi="Book Antiqua"/>
          <w:b/>
          <w:color w:val="000000"/>
          <w:u w:color="000000"/>
          <w:lang w:val="en-US"/>
        </w:rPr>
        <w:t xml:space="preserve"> </w:t>
      </w:r>
      <w:r w:rsidR="0007457F" w:rsidRPr="001256B1">
        <w:rPr>
          <w:rFonts w:ascii="Book Antiqua" w:hAnsi="Book Antiqua"/>
          <w:color w:val="000000"/>
          <w:u w:color="000000"/>
          <w:lang w:val="en-US"/>
        </w:rPr>
        <w:t>This study was reviewed and approved by the Ethics Committee of the Medical University of Bialystok, Poland.</w:t>
      </w:r>
    </w:p>
    <w:p w14:paraId="148D2717" w14:textId="06216344" w:rsidR="0007457F" w:rsidRPr="001256B1" w:rsidRDefault="0007457F" w:rsidP="00F55750">
      <w:pPr>
        <w:autoSpaceDE w:val="0"/>
        <w:autoSpaceDN w:val="0"/>
        <w:adjustRightInd w:val="0"/>
        <w:snapToGrid w:val="0"/>
        <w:spacing w:line="360" w:lineRule="auto"/>
        <w:jc w:val="both"/>
        <w:rPr>
          <w:rFonts w:ascii="Book Antiqua" w:hAnsi="Book Antiqua"/>
          <w:color w:val="000000"/>
          <w:u w:color="000000"/>
          <w:lang w:val="en-US"/>
        </w:rPr>
      </w:pPr>
    </w:p>
    <w:p w14:paraId="49E9ED3C" w14:textId="08B24166" w:rsidR="0007457F" w:rsidRPr="001256B1" w:rsidRDefault="006719D7" w:rsidP="00F55750">
      <w:pPr>
        <w:autoSpaceDE w:val="0"/>
        <w:autoSpaceDN w:val="0"/>
        <w:adjustRightInd w:val="0"/>
        <w:snapToGrid w:val="0"/>
        <w:spacing w:line="360" w:lineRule="auto"/>
        <w:jc w:val="both"/>
        <w:rPr>
          <w:rFonts w:ascii="Book Antiqua" w:hAnsi="Book Antiqua"/>
          <w:color w:val="000000"/>
          <w:u w:color="000000"/>
          <w:lang w:val="en-US"/>
        </w:rPr>
      </w:pPr>
      <w:r w:rsidRPr="001256B1">
        <w:rPr>
          <w:rFonts w:ascii="Book Antiqua" w:hAnsi="Book Antiqua"/>
          <w:b/>
        </w:rPr>
        <w:t>Informed consent statement</w:t>
      </w:r>
      <w:r w:rsidRPr="001256B1">
        <w:rPr>
          <w:rFonts w:ascii="Book Antiqua" w:hAnsi="Book Antiqua"/>
          <w:b/>
          <w:bCs/>
          <w:iCs/>
          <w:color w:val="000000"/>
        </w:rPr>
        <w:t>:</w:t>
      </w:r>
      <w:r w:rsidR="0007457F" w:rsidRPr="001256B1">
        <w:rPr>
          <w:rFonts w:ascii="Book Antiqua" w:hAnsi="Book Antiqua"/>
          <w:b/>
          <w:bCs/>
          <w:color w:val="000000"/>
          <w:u w:color="000000"/>
          <w:lang w:val="en-US"/>
        </w:rPr>
        <w:t xml:space="preserve"> </w:t>
      </w:r>
      <w:r w:rsidR="0007457F" w:rsidRPr="001256B1">
        <w:rPr>
          <w:rFonts w:ascii="Book Antiqua" w:hAnsi="Book Antiqua"/>
          <w:color w:val="000000" w:themeColor="text1"/>
          <w:lang w:val="en-US"/>
        </w:rPr>
        <w:t>Patients were not required to give informed consent to the study because the analysis used anonymous data that were obtained after each patient agreed to treatment by written consent.</w:t>
      </w:r>
    </w:p>
    <w:p w14:paraId="5ECC3C94" w14:textId="77777777" w:rsidR="008F5A7C" w:rsidRPr="001256B1" w:rsidRDefault="008F5A7C" w:rsidP="00F55750">
      <w:pPr>
        <w:pStyle w:val="Default"/>
        <w:snapToGrid w:val="0"/>
        <w:spacing w:line="360" w:lineRule="auto"/>
        <w:jc w:val="both"/>
        <w:rPr>
          <w:lang w:val="en-US"/>
        </w:rPr>
      </w:pPr>
    </w:p>
    <w:p w14:paraId="5C3CE6DC" w14:textId="30878341" w:rsidR="008F5A7C" w:rsidRPr="001256B1" w:rsidRDefault="006719D7" w:rsidP="00F55750">
      <w:pPr>
        <w:snapToGrid w:val="0"/>
        <w:spacing w:line="360" w:lineRule="auto"/>
        <w:jc w:val="both"/>
        <w:rPr>
          <w:rFonts w:ascii="Book Antiqua" w:hAnsi="Book Antiqua" w:cs="Segoe UI"/>
          <w:color w:val="000000" w:themeColor="text1"/>
          <w:shd w:val="clear" w:color="auto" w:fill="FFFFFF"/>
          <w:lang w:val="en-US"/>
        </w:rPr>
      </w:pPr>
      <w:r w:rsidRPr="001256B1">
        <w:rPr>
          <w:rFonts w:ascii="Book Antiqua" w:hAnsi="Book Antiqua"/>
          <w:b/>
        </w:rPr>
        <w:t>Conflict-of-interest statement</w:t>
      </w:r>
      <w:r w:rsidRPr="001256B1">
        <w:rPr>
          <w:rFonts w:ascii="Book Antiqua" w:hAnsi="Book Antiqua" w:cs="TimesNewRomanPS-BoldItalicMT"/>
          <w:b/>
          <w:bCs/>
          <w:iCs/>
          <w:color w:val="000000"/>
        </w:rPr>
        <w:t xml:space="preserve">: </w:t>
      </w:r>
      <w:r w:rsidR="008F5A7C" w:rsidRPr="001256B1">
        <w:rPr>
          <w:rFonts w:ascii="Book Antiqua" w:hAnsi="Book Antiqua" w:cs="Segoe UI"/>
          <w:color w:val="000000" w:themeColor="text1"/>
          <w:shd w:val="clear" w:color="auto" w:fill="FFFFFF"/>
          <w:lang w:val="en-US"/>
        </w:rPr>
        <w:t>All the Authors have no conflict of interest related to the manuscript.</w:t>
      </w:r>
    </w:p>
    <w:p w14:paraId="678147F4" w14:textId="65B25A31" w:rsidR="0007457F" w:rsidRPr="001256B1" w:rsidRDefault="0007457F" w:rsidP="00F55750">
      <w:pPr>
        <w:snapToGrid w:val="0"/>
        <w:spacing w:line="360" w:lineRule="auto"/>
        <w:jc w:val="both"/>
        <w:rPr>
          <w:rFonts w:ascii="Book Antiqua" w:hAnsi="Book Antiqua" w:cs="Segoe UI"/>
          <w:color w:val="000000" w:themeColor="text1"/>
          <w:shd w:val="clear" w:color="auto" w:fill="FFFFFF"/>
          <w:lang w:val="en-US"/>
        </w:rPr>
      </w:pPr>
    </w:p>
    <w:p w14:paraId="063B01FD" w14:textId="11F52973" w:rsidR="0007457F" w:rsidRPr="001256B1" w:rsidRDefault="008D7DD2" w:rsidP="00F55750">
      <w:pPr>
        <w:snapToGrid w:val="0"/>
        <w:spacing w:line="360" w:lineRule="auto"/>
        <w:jc w:val="both"/>
        <w:rPr>
          <w:rFonts w:ascii="Book Antiqua" w:hAnsi="Book Antiqua" w:cs="Segoe UI"/>
          <w:color w:val="000000" w:themeColor="text1"/>
          <w:shd w:val="clear" w:color="auto" w:fill="FFFFFF"/>
          <w:lang w:val="en-US"/>
        </w:rPr>
      </w:pPr>
      <w:r w:rsidRPr="001256B1">
        <w:rPr>
          <w:rFonts w:ascii="Book Antiqua" w:hAnsi="Book Antiqua"/>
          <w:b/>
        </w:rPr>
        <w:t>Data sharing statement</w:t>
      </w:r>
      <w:r w:rsidRPr="001256B1">
        <w:rPr>
          <w:rFonts w:ascii="Book Antiqua" w:hAnsi="Book Antiqua" w:cs="TimesNewRomanPS-BoldItalicMT"/>
          <w:b/>
          <w:bCs/>
          <w:iCs/>
          <w:color w:val="000000"/>
        </w:rPr>
        <w:t>:</w:t>
      </w:r>
      <w:r w:rsidR="000014DE" w:rsidRPr="001256B1">
        <w:rPr>
          <w:rFonts w:ascii="Book Antiqua" w:hAnsi="Book Antiqua" w:cs="Segoe UI"/>
          <w:b/>
          <w:bCs/>
          <w:color w:val="000000" w:themeColor="text1"/>
          <w:shd w:val="clear" w:color="auto" w:fill="FFFFFF"/>
          <w:lang w:val="en-US"/>
        </w:rPr>
        <w:t xml:space="preserve"> </w:t>
      </w:r>
      <w:r w:rsidR="0007457F" w:rsidRPr="001256B1">
        <w:rPr>
          <w:rFonts w:ascii="Book Antiqua" w:hAnsi="Book Antiqua" w:cs="Segoe UI"/>
          <w:color w:val="000000" w:themeColor="text1"/>
          <w:shd w:val="clear" w:color="auto" w:fill="FFFFFF"/>
          <w:lang w:val="en-US"/>
        </w:rPr>
        <w:t>No additional data are available.</w:t>
      </w:r>
    </w:p>
    <w:p w14:paraId="277171BF" w14:textId="77777777" w:rsidR="008F5A7C" w:rsidRPr="001256B1" w:rsidRDefault="008F5A7C" w:rsidP="00F55750">
      <w:pPr>
        <w:pStyle w:val="Default"/>
        <w:snapToGrid w:val="0"/>
        <w:spacing w:line="360" w:lineRule="auto"/>
        <w:jc w:val="both"/>
        <w:rPr>
          <w:lang w:val="en-US"/>
        </w:rPr>
      </w:pPr>
    </w:p>
    <w:p w14:paraId="46256E79" w14:textId="7E0C1B4C" w:rsidR="008F5A7C" w:rsidRPr="001256B1" w:rsidRDefault="008D7DD2" w:rsidP="00F55750">
      <w:pPr>
        <w:pStyle w:val="Default"/>
        <w:adjustRightInd/>
        <w:snapToGrid w:val="0"/>
        <w:spacing w:line="360" w:lineRule="auto"/>
        <w:mirrorIndents/>
        <w:jc w:val="both"/>
        <w:rPr>
          <w:lang w:val="en-US"/>
        </w:rPr>
      </w:pPr>
      <w:r w:rsidRPr="001256B1">
        <w:rPr>
          <w:b/>
        </w:rPr>
        <w:t>Open-Access:</w:t>
      </w:r>
      <w:r w:rsidR="008F5A7C" w:rsidRPr="001256B1">
        <w:rPr>
          <w:b/>
          <w:bCs/>
          <w:lang w:val="en-US"/>
        </w:rPr>
        <w:t xml:space="preserve"> </w:t>
      </w:r>
      <w:bookmarkStart w:id="34" w:name="OLE_LINK29"/>
      <w:bookmarkStart w:id="35" w:name="OLE_LINK30"/>
      <w:r w:rsidR="008F5A7C" w:rsidRPr="001256B1">
        <w:rPr>
          <w:lang w:val="en-US"/>
        </w:rPr>
        <w:t>This article is an open-access article which was selected by an in-house editor and fully peer-reviewed by external reviewers. It is distributed in accordance with the C</w:t>
      </w:r>
      <w:r w:rsidR="00051DBC">
        <w:rPr>
          <w:lang w:val="en-US"/>
        </w:rPr>
        <w:t xml:space="preserve">reative Commons Attribution </w:t>
      </w:r>
      <w:proofErr w:type="spellStart"/>
      <w:r w:rsidR="00051DBC">
        <w:rPr>
          <w:lang w:val="en-US"/>
        </w:rPr>
        <w:t>Non</w:t>
      </w:r>
      <w:r w:rsidR="008F5A7C" w:rsidRPr="001256B1">
        <w:rPr>
          <w:lang w:val="en-US"/>
        </w:rPr>
        <w:t>Commercial</w:t>
      </w:r>
      <w:proofErr w:type="spellEnd"/>
      <w:r w:rsidR="008F5A7C" w:rsidRPr="001256B1">
        <w:rPr>
          <w:lang w:val="en-US"/>
        </w:rPr>
        <w:t xml:space="preserve"> (CC BY-NC 4.0) license, which permits others to distribute, remix, adapt, build upon this work non-commercially, and license their derivative works on different terms, provided the original work is properly cited and the use is non-commercial.</w:t>
      </w:r>
      <w:r w:rsidR="004438EC">
        <w:rPr>
          <w:lang w:val="en-US"/>
        </w:rPr>
        <w:t xml:space="preserve"> </w:t>
      </w:r>
      <w:r w:rsidR="008F5A7C" w:rsidRPr="001256B1">
        <w:rPr>
          <w:lang w:val="en-US"/>
        </w:rPr>
        <w:t>See: http://creativecommons.org/licenses/by-nc/4.0/</w:t>
      </w:r>
      <w:bookmarkEnd w:id="34"/>
      <w:bookmarkEnd w:id="35"/>
    </w:p>
    <w:p w14:paraId="250BF9BE" w14:textId="77777777" w:rsidR="008F5A7C" w:rsidRPr="001256B1" w:rsidRDefault="008F5A7C" w:rsidP="00F55750">
      <w:pPr>
        <w:pStyle w:val="Default"/>
        <w:snapToGrid w:val="0"/>
        <w:spacing w:line="360" w:lineRule="auto"/>
        <w:jc w:val="both"/>
        <w:rPr>
          <w:lang w:val="en-US"/>
        </w:rPr>
      </w:pPr>
    </w:p>
    <w:p w14:paraId="5778A312" w14:textId="25FBDD33" w:rsidR="008F5A7C" w:rsidRPr="001256B1" w:rsidRDefault="008D7DD2" w:rsidP="00F55750">
      <w:pPr>
        <w:pStyle w:val="Default"/>
        <w:snapToGrid w:val="0"/>
        <w:spacing w:line="360" w:lineRule="auto"/>
        <w:jc w:val="both"/>
        <w:rPr>
          <w:lang w:val="en-US"/>
        </w:rPr>
      </w:pPr>
      <w:r w:rsidRPr="001256B1">
        <w:rPr>
          <w:b/>
          <w:lang w:eastAsia="pl-PL"/>
        </w:rPr>
        <w:t>Manuscript source:</w:t>
      </w:r>
      <w:r w:rsidR="008F5A7C" w:rsidRPr="001256B1">
        <w:rPr>
          <w:b/>
          <w:bCs/>
          <w:lang w:val="en-US"/>
        </w:rPr>
        <w:t xml:space="preserve"> </w:t>
      </w:r>
      <w:r w:rsidRPr="001256B1">
        <w:rPr>
          <w:lang w:eastAsia="pl-PL"/>
        </w:rPr>
        <w:t>Unsolicited manuscript</w:t>
      </w:r>
    </w:p>
    <w:p w14:paraId="5242AA2A" w14:textId="77777777" w:rsidR="0007457F" w:rsidRPr="001256B1" w:rsidRDefault="0007457F" w:rsidP="00F55750">
      <w:pPr>
        <w:pStyle w:val="Default"/>
        <w:snapToGrid w:val="0"/>
        <w:spacing w:line="360" w:lineRule="auto"/>
        <w:jc w:val="both"/>
        <w:rPr>
          <w:lang w:val="en-US"/>
        </w:rPr>
      </w:pPr>
    </w:p>
    <w:p w14:paraId="2916D672" w14:textId="5088C1D2" w:rsidR="008D7DD2" w:rsidRPr="001256B1" w:rsidRDefault="008D7DD2" w:rsidP="00F55750">
      <w:pPr>
        <w:adjustRightInd w:val="0"/>
        <w:snapToGrid w:val="0"/>
        <w:spacing w:line="360" w:lineRule="auto"/>
        <w:jc w:val="both"/>
        <w:rPr>
          <w:rFonts w:ascii="Book Antiqua" w:hAnsi="Book Antiqua"/>
          <w:b/>
          <w:lang w:eastAsia="zh-CN"/>
        </w:rPr>
      </w:pPr>
      <w:r w:rsidRPr="001256B1">
        <w:rPr>
          <w:rFonts w:ascii="Book Antiqua" w:hAnsi="Book Antiqua"/>
          <w:b/>
        </w:rPr>
        <w:t>Peer-review started:</w:t>
      </w:r>
      <w:r w:rsidRPr="001256B1">
        <w:rPr>
          <w:rFonts w:ascii="Book Antiqua" w:hAnsi="Book Antiqua"/>
          <w:b/>
          <w:lang w:eastAsia="zh-CN"/>
        </w:rPr>
        <w:t xml:space="preserve"> </w:t>
      </w:r>
      <w:r w:rsidRPr="001256B1">
        <w:rPr>
          <w:rFonts w:ascii="Book Antiqua" w:hAnsi="Book Antiqua"/>
        </w:rPr>
        <w:t>April</w:t>
      </w:r>
      <w:r w:rsidRPr="001256B1">
        <w:rPr>
          <w:rFonts w:ascii="Book Antiqua" w:hAnsi="Book Antiqua"/>
          <w:lang w:eastAsia="zh-CN"/>
        </w:rPr>
        <w:t xml:space="preserve"> 30, 2020</w:t>
      </w:r>
    </w:p>
    <w:p w14:paraId="6C2DAD2D" w14:textId="4D05F8E2" w:rsidR="008D7DD2" w:rsidRPr="001256B1" w:rsidRDefault="008D7DD2" w:rsidP="00F55750">
      <w:pPr>
        <w:adjustRightInd w:val="0"/>
        <w:snapToGrid w:val="0"/>
        <w:spacing w:line="360" w:lineRule="auto"/>
        <w:jc w:val="both"/>
        <w:rPr>
          <w:rFonts w:ascii="Book Antiqua" w:hAnsi="Book Antiqua"/>
          <w:b/>
          <w:lang w:eastAsia="zh-CN"/>
        </w:rPr>
      </w:pPr>
      <w:r w:rsidRPr="001256B1">
        <w:rPr>
          <w:rFonts w:ascii="Book Antiqua" w:hAnsi="Book Antiqua"/>
          <w:b/>
        </w:rPr>
        <w:t>First decision:</w:t>
      </w:r>
      <w:r w:rsidRPr="001256B1">
        <w:rPr>
          <w:rFonts w:ascii="Book Antiqua" w:hAnsi="Book Antiqua"/>
          <w:b/>
          <w:lang w:eastAsia="zh-CN"/>
        </w:rPr>
        <w:t xml:space="preserve"> </w:t>
      </w:r>
      <w:r w:rsidRPr="001256B1">
        <w:rPr>
          <w:rFonts w:ascii="Book Antiqua" w:hAnsi="Book Antiqua"/>
        </w:rPr>
        <w:t>May</w:t>
      </w:r>
      <w:r w:rsidRPr="001256B1">
        <w:rPr>
          <w:rFonts w:ascii="Book Antiqua" w:hAnsi="Book Antiqua"/>
          <w:lang w:eastAsia="zh-CN"/>
        </w:rPr>
        <w:t xml:space="preserve"> 15, 2020</w:t>
      </w:r>
    </w:p>
    <w:p w14:paraId="2F59886A" w14:textId="77777777" w:rsidR="008D7DD2" w:rsidRPr="001256B1" w:rsidRDefault="008D7DD2" w:rsidP="00F55750">
      <w:pPr>
        <w:adjustRightInd w:val="0"/>
        <w:snapToGrid w:val="0"/>
        <w:spacing w:line="360" w:lineRule="auto"/>
        <w:jc w:val="both"/>
        <w:rPr>
          <w:rFonts w:ascii="Book Antiqua" w:hAnsi="Book Antiqua"/>
          <w:b/>
        </w:rPr>
      </w:pPr>
      <w:r w:rsidRPr="001256B1">
        <w:rPr>
          <w:rFonts w:ascii="Book Antiqua" w:hAnsi="Book Antiqua"/>
          <w:b/>
        </w:rPr>
        <w:t>Article in press:</w:t>
      </w:r>
    </w:p>
    <w:p w14:paraId="2406F58B" w14:textId="77777777" w:rsidR="008F5A7C" w:rsidRPr="001256B1" w:rsidRDefault="008F5A7C" w:rsidP="00F55750">
      <w:pPr>
        <w:pStyle w:val="Default"/>
        <w:snapToGrid w:val="0"/>
        <w:spacing w:line="360" w:lineRule="auto"/>
        <w:jc w:val="both"/>
        <w:rPr>
          <w:b/>
          <w:bCs/>
          <w:lang w:val="en-US"/>
        </w:rPr>
      </w:pPr>
    </w:p>
    <w:p w14:paraId="3A0690FD" w14:textId="3496D51C" w:rsidR="008F5A7C" w:rsidRPr="001256B1" w:rsidRDefault="008F5A7C" w:rsidP="00F55750">
      <w:pPr>
        <w:pStyle w:val="Default"/>
        <w:snapToGrid w:val="0"/>
        <w:spacing w:line="360" w:lineRule="auto"/>
        <w:jc w:val="both"/>
        <w:rPr>
          <w:lang w:val="en-US"/>
        </w:rPr>
      </w:pPr>
      <w:r w:rsidRPr="001256B1">
        <w:rPr>
          <w:b/>
          <w:bCs/>
          <w:lang w:val="en-US"/>
        </w:rPr>
        <w:t xml:space="preserve">Specialty type: </w:t>
      </w:r>
      <w:r w:rsidR="00A02B66" w:rsidRPr="001256B1">
        <w:rPr>
          <w:rFonts w:eastAsia="微软雅黑" w:cs="宋体"/>
          <w:lang w:eastAsia="zh-CN"/>
        </w:rPr>
        <w:t>Gastroenterology and hepatology</w:t>
      </w:r>
    </w:p>
    <w:p w14:paraId="28F51C4B" w14:textId="78D52B57" w:rsidR="008F5A7C" w:rsidRPr="001256B1" w:rsidRDefault="00E2044F" w:rsidP="00F55750">
      <w:pPr>
        <w:pStyle w:val="Default"/>
        <w:snapToGrid w:val="0"/>
        <w:spacing w:line="360" w:lineRule="auto"/>
        <w:jc w:val="both"/>
        <w:rPr>
          <w:lang w:val="en-US"/>
        </w:rPr>
      </w:pPr>
      <w:r w:rsidRPr="00BE7E83">
        <w:rPr>
          <w:rFonts w:cs="宋体"/>
          <w:b/>
        </w:rPr>
        <w:t>Country/Territory of origin:</w:t>
      </w:r>
      <w:r w:rsidR="008F5A7C" w:rsidRPr="001256B1">
        <w:rPr>
          <w:b/>
          <w:bCs/>
          <w:lang w:val="en-US"/>
        </w:rPr>
        <w:t xml:space="preserve"> </w:t>
      </w:r>
      <w:r w:rsidR="008F5A7C" w:rsidRPr="001256B1">
        <w:rPr>
          <w:lang w:val="en-US"/>
        </w:rPr>
        <w:t>Poland</w:t>
      </w:r>
    </w:p>
    <w:p w14:paraId="3ADD6A21" w14:textId="77777777" w:rsidR="00E2044F" w:rsidRPr="00BE7E83" w:rsidRDefault="00E2044F" w:rsidP="00E2044F">
      <w:pPr>
        <w:adjustRightInd w:val="0"/>
        <w:snapToGrid w:val="0"/>
        <w:spacing w:line="360" w:lineRule="auto"/>
        <w:rPr>
          <w:rFonts w:ascii="Book Antiqua" w:hAnsi="Book Antiqua" w:cs="宋体"/>
          <w:b/>
        </w:rPr>
      </w:pPr>
      <w:r w:rsidRPr="00BE7E83">
        <w:rPr>
          <w:rFonts w:ascii="Book Antiqua" w:hAnsi="Book Antiqua" w:cs="宋体"/>
          <w:b/>
        </w:rPr>
        <w:t>Peer-review report’s scientific quality classification</w:t>
      </w:r>
    </w:p>
    <w:p w14:paraId="0570F62A" w14:textId="22269912" w:rsidR="008F5A7C" w:rsidRPr="001256B1" w:rsidRDefault="008F5A7C" w:rsidP="00F55750">
      <w:pPr>
        <w:pStyle w:val="Default"/>
        <w:snapToGrid w:val="0"/>
        <w:spacing w:line="360" w:lineRule="auto"/>
        <w:jc w:val="both"/>
        <w:rPr>
          <w:lang w:val="en-US"/>
        </w:rPr>
      </w:pPr>
      <w:r w:rsidRPr="001256B1">
        <w:rPr>
          <w:lang w:val="en-US"/>
        </w:rPr>
        <w:t>Grade A (Excellent):</w:t>
      </w:r>
      <w:r w:rsidR="00E945E9">
        <w:rPr>
          <w:lang w:val="en-US"/>
        </w:rPr>
        <w:t xml:space="preserve"> 0</w:t>
      </w:r>
    </w:p>
    <w:p w14:paraId="59A05577" w14:textId="32A470BE" w:rsidR="008F5A7C" w:rsidRPr="001256B1" w:rsidRDefault="008F5A7C" w:rsidP="00F55750">
      <w:pPr>
        <w:pStyle w:val="Default"/>
        <w:snapToGrid w:val="0"/>
        <w:spacing w:line="360" w:lineRule="auto"/>
        <w:jc w:val="both"/>
        <w:rPr>
          <w:lang w:val="en-US"/>
        </w:rPr>
      </w:pPr>
      <w:r w:rsidRPr="001256B1">
        <w:rPr>
          <w:lang w:val="en-US"/>
        </w:rPr>
        <w:lastRenderedPageBreak/>
        <w:t>Grade B (Very good):</w:t>
      </w:r>
      <w:r w:rsidR="00E945E9">
        <w:rPr>
          <w:lang w:val="en-US"/>
        </w:rPr>
        <w:t xml:space="preserve"> 0</w:t>
      </w:r>
    </w:p>
    <w:p w14:paraId="76FB9683" w14:textId="2AB9FB90" w:rsidR="008F5A7C" w:rsidRPr="001256B1" w:rsidRDefault="008F5A7C" w:rsidP="00F55750">
      <w:pPr>
        <w:pStyle w:val="Default"/>
        <w:snapToGrid w:val="0"/>
        <w:spacing w:line="360" w:lineRule="auto"/>
        <w:jc w:val="both"/>
        <w:rPr>
          <w:lang w:val="en-US"/>
        </w:rPr>
      </w:pPr>
      <w:r w:rsidRPr="001256B1">
        <w:rPr>
          <w:lang w:val="en-US"/>
        </w:rPr>
        <w:t>Grade C (Good):</w:t>
      </w:r>
      <w:r w:rsidR="00385325" w:rsidRPr="001256B1">
        <w:rPr>
          <w:lang w:val="en-US"/>
        </w:rPr>
        <w:t xml:space="preserve"> C</w:t>
      </w:r>
    </w:p>
    <w:p w14:paraId="2CCA0917" w14:textId="52EF8390" w:rsidR="008F5A7C" w:rsidRPr="001256B1" w:rsidRDefault="008F5A7C" w:rsidP="00F55750">
      <w:pPr>
        <w:pStyle w:val="Default"/>
        <w:snapToGrid w:val="0"/>
        <w:spacing w:line="360" w:lineRule="auto"/>
        <w:jc w:val="both"/>
        <w:rPr>
          <w:lang w:val="en-US"/>
        </w:rPr>
      </w:pPr>
      <w:r w:rsidRPr="001256B1">
        <w:rPr>
          <w:lang w:val="en-US"/>
        </w:rPr>
        <w:t>Grade D (Fair):</w:t>
      </w:r>
      <w:r w:rsidR="00E945E9">
        <w:rPr>
          <w:lang w:val="en-US"/>
        </w:rPr>
        <w:t xml:space="preserve"> 0</w:t>
      </w:r>
    </w:p>
    <w:p w14:paraId="5DCB879A" w14:textId="4328E9C5" w:rsidR="00476F5A" w:rsidRPr="001256B1" w:rsidRDefault="008F5A7C" w:rsidP="00F55750">
      <w:pPr>
        <w:snapToGrid w:val="0"/>
        <w:spacing w:line="360" w:lineRule="auto"/>
        <w:jc w:val="both"/>
        <w:rPr>
          <w:rFonts w:ascii="Book Antiqua" w:hAnsi="Book Antiqua"/>
          <w:lang w:val="en-US"/>
        </w:rPr>
      </w:pPr>
      <w:r w:rsidRPr="001256B1">
        <w:rPr>
          <w:rFonts w:ascii="Book Antiqua" w:hAnsi="Book Antiqua"/>
          <w:lang w:val="en-US"/>
        </w:rPr>
        <w:t>Grade E (Poor):</w:t>
      </w:r>
      <w:r w:rsidR="00E945E9">
        <w:rPr>
          <w:rFonts w:ascii="Book Antiqua" w:hAnsi="Book Antiqua"/>
          <w:lang w:val="en-US"/>
        </w:rPr>
        <w:t xml:space="preserve"> 0</w:t>
      </w:r>
    </w:p>
    <w:p w14:paraId="641E0D63" w14:textId="77777777" w:rsidR="008F5A7C" w:rsidRPr="001256B1" w:rsidRDefault="008F5A7C" w:rsidP="00F55750">
      <w:pPr>
        <w:snapToGrid w:val="0"/>
        <w:spacing w:line="360" w:lineRule="auto"/>
        <w:jc w:val="both"/>
        <w:rPr>
          <w:rFonts w:ascii="Book Antiqua" w:hAnsi="Book Antiqua"/>
          <w:b/>
          <w:bCs/>
          <w:lang w:val="en-US"/>
        </w:rPr>
      </w:pPr>
    </w:p>
    <w:p w14:paraId="042E21FF" w14:textId="2AFFBF46" w:rsidR="00707557" w:rsidRPr="001256B1" w:rsidRDefault="008F5A7C" w:rsidP="00F55750">
      <w:pPr>
        <w:snapToGrid w:val="0"/>
        <w:spacing w:line="360" w:lineRule="auto"/>
        <w:jc w:val="both"/>
        <w:rPr>
          <w:rFonts w:ascii="Book Antiqua" w:hAnsi="Book Antiqua"/>
          <w:b/>
          <w:bCs/>
        </w:rPr>
      </w:pPr>
      <w:r w:rsidRPr="001256B1">
        <w:rPr>
          <w:rFonts w:ascii="Book Antiqua" w:hAnsi="Book Antiqua"/>
          <w:b/>
          <w:bCs/>
          <w:lang w:val="en-US"/>
        </w:rPr>
        <w:t>P-Reviewer:</w:t>
      </w:r>
      <w:r w:rsidR="00B34511" w:rsidRPr="001256B1">
        <w:rPr>
          <w:rFonts w:ascii="Book Antiqua" w:hAnsi="Book Antiqua"/>
          <w:b/>
          <w:bCs/>
        </w:rPr>
        <w:t xml:space="preserve"> </w:t>
      </w:r>
      <w:r w:rsidR="00363E11" w:rsidRPr="001256B1">
        <w:rPr>
          <w:rFonts w:ascii="Book Antiqua" w:hAnsi="Book Antiqua"/>
        </w:rPr>
        <w:t>Sun</w:t>
      </w:r>
      <w:r w:rsidR="00B34511" w:rsidRPr="001256B1">
        <w:rPr>
          <w:rFonts w:ascii="Book Antiqua" w:hAnsi="Book Antiqua"/>
        </w:rPr>
        <w:t xml:space="preserve"> XG</w:t>
      </w:r>
      <w:r w:rsidR="00B34511" w:rsidRPr="001256B1">
        <w:rPr>
          <w:rFonts w:ascii="Book Antiqua" w:hAnsi="Book Antiqua"/>
          <w:b/>
          <w:bCs/>
        </w:rPr>
        <w:t xml:space="preserve"> </w:t>
      </w:r>
      <w:r w:rsidR="00363E11" w:rsidRPr="001256B1">
        <w:rPr>
          <w:rFonts w:ascii="Book Antiqua" w:hAnsi="Book Antiqua"/>
          <w:b/>
          <w:bCs/>
        </w:rPr>
        <w:t>S-Editor:</w:t>
      </w:r>
      <w:r w:rsidR="00363E11" w:rsidRPr="001256B1">
        <w:rPr>
          <w:rFonts w:ascii="Book Antiqua" w:hAnsi="Book Antiqua"/>
        </w:rPr>
        <w:t xml:space="preserve"> </w:t>
      </w:r>
      <w:r w:rsidR="00363E11" w:rsidRPr="001256B1">
        <w:rPr>
          <w:rFonts w:ascii="Book Antiqua" w:hAnsi="Book Antiqua"/>
          <w:lang w:eastAsia="zh-CN"/>
        </w:rPr>
        <w:t>Zhang L</w:t>
      </w:r>
      <w:r w:rsidR="00363E11" w:rsidRPr="001256B1">
        <w:rPr>
          <w:rFonts w:ascii="Book Antiqua" w:hAnsi="Book Antiqua"/>
        </w:rPr>
        <w:t xml:space="preserve"> </w:t>
      </w:r>
      <w:r w:rsidR="00363E11" w:rsidRPr="001256B1">
        <w:rPr>
          <w:rFonts w:ascii="Book Antiqua" w:hAnsi="Book Antiqua"/>
          <w:b/>
          <w:bCs/>
        </w:rPr>
        <w:t>L-Editor:</w:t>
      </w:r>
      <w:r w:rsidR="00790DED" w:rsidRPr="001256B1">
        <w:rPr>
          <w:rFonts w:ascii="Book Antiqua" w:hAnsi="Book Antiqua"/>
        </w:rPr>
        <w:t xml:space="preserve"> </w:t>
      </w:r>
      <w:r w:rsidR="00363E11" w:rsidRPr="001256B1">
        <w:rPr>
          <w:rFonts w:ascii="Book Antiqua" w:hAnsi="Book Antiqua"/>
          <w:b/>
          <w:bCs/>
        </w:rPr>
        <w:t>E-Editor:</w:t>
      </w:r>
    </w:p>
    <w:p w14:paraId="08A52821" w14:textId="77777777" w:rsidR="00E945E9" w:rsidRDefault="00E945E9" w:rsidP="00F55750">
      <w:pPr>
        <w:spacing w:line="360" w:lineRule="auto"/>
        <w:rPr>
          <w:rFonts w:ascii="Book Antiqua" w:hAnsi="Book Antiqua"/>
          <w:b/>
          <w:bCs/>
        </w:rPr>
      </w:pPr>
      <w:r>
        <w:rPr>
          <w:rFonts w:ascii="Book Antiqua" w:hAnsi="Book Antiqua"/>
          <w:b/>
          <w:bCs/>
        </w:rPr>
        <w:br w:type="page"/>
      </w:r>
    </w:p>
    <w:p w14:paraId="6533A20A" w14:textId="5C88DD88" w:rsidR="00F50DE5" w:rsidRPr="001256B1" w:rsidRDefault="00707557" w:rsidP="00F55750">
      <w:pPr>
        <w:snapToGrid w:val="0"/>
        <w:spacing w:line="360" w:lineRule="auto"/>
        <w:jc w:val="both"/>
        <w:rPr>
          <w:rFonts w:ascii="Book Antiqua" w:hAnsi="Book Antiqua"/>
          <w:b/>
          <w:bCs/>
          <w:lang w:val="en-US"/>
        </w:rPr>
      </w:pPr>
      <w:r w:rsidRPr="001256B1">
        <w:rPr>
          <w:rFonts w:ascii="Book Antiqua" w:hAnsi="Book Antiqua"/>
          <w:b/>
          <w:lang w:val="en-US"/>
        </w:rPr>
        <w:lastRenderedPageBreak/>
        <w:t xml:space="preserve">Table 1 Analysis of correlation between </w:t>
      </w:r>
      <w:r w:rsidR="0006376E" w:rsidRPr="001256B1">
        <w:rPr>
          <w:rFonts w:ascii="Book Antiqua" w:hAnsi="Book Antiqua"/>
          <w:b/>
          <w:lang w:val="en-US"/>
        </w:rPr>
        <w:t xml:space="preserve">insulin receptor substrate 1 </w:t>
      </w:r>
      <w:r w:rsidRPr="001256B1">
        <w:rPr>
          <w:rFonts w:ascii="Book Antiqua" w:hAnsi="Book Antiqua"/>
          <w:b/>
          <w:lang w:val="en-US"/>
        </w:rPr>
        <w:t>expression and clinicopathologic features</w:t>
      </w:r>
      <w:r w:rsidR="00A34FC8">
        <w:rPr>
          <w:rFonts w:ascii="Book Antiqua" w:hAnsi="Book Antiqua"/>
          <w:b/>
          <w:lang w:val="en-US"/>
        </w:rPr>
        <w:t xml:space="preserve">, </w:t>
      </w:r>
      <w:r w:rsidR="00A34FC8" w:rsidRPr="00A34FC8">
        <w:rPr>
          <w:rFonts w:ascii="Book Antiqua" w:hAnsi="Book Antiqua"/>
          <w:b/>
          <w:i/>
          <w:lang w:val="en-US"/>
        </w:rPr>
        <w:t>n</w:t>
      </w:r>
      <w:r w:rsidR="00A34FC8">
        <w:rPr>
          <w:rFonts w:ascii="Book Antiqua" w:hAnsi="Book Antiqua"/>
          <w:b/>
          <w:lang w:val="en-US"/>
        </w:rPr>
        <w:t xml:space="preserve"> (%)</w:t>
      </w:r>
    </w:p>
    <w:tbl>
      <w:tblPr>
        <w:tblW w:w="5237" w:type="pct"/>
        <w:tblInd w:w="-284" w:type="dxa"/>
        <w:tblLayout w:type="fixed"/>
        <w:tblCellMar>
          <w:left w:w="70" w:type="dxa"/>
          <w:right w:w="70" w:type="dxa"/>
        </w:tblCellMar>
        <w:tblLook w:val="01E0" w:firstRow="1" w:lastRow="1" w:firstColumn="1" w:lastColumn="1" w:noHBand="0" w:noVBand="0"/>
      </w:tblPr>
      <w:tblGrid>
        <w:gridCol w:w="1845"/>
        <w:gridCol w:w="2267"/>
        <w:gridCol w:w="1841"/>
        <w:gridCol w:w="1561"/>
        <w:gridCol w:w="1179"/>
      </w:tblGrid>
      <w:tr w:rsidR="00F50DE5" w:rsidRPr="001256B1" w14:paraId="6B7C7DB9" w14:textId="77777777" w:rsidTr="008A72E2">
        <w:trPr>
          <w:cantSplit/>
          <w:trHeight w:val="20"/>
        </w:trPr>
        <w:tc>
          <w:tcPr>
            <w:tcW w:w="2365" w:type="pct"/>
            <w:gridSpan w:val="2"/>
            <w:vMerge w:val="restart"/>
            <w:tcBorders>
              <w:top w:val="single" w:sz="4" w:space="0" w:color="auto"/>
            </w:tcBorders>
            <w:vAlign w:val="center"/>
          </w:tcPr>
          <w:p w14:paraId="4F658358" w14:textId="77777777" w:rsidR="00F50DE5" w:rsidRPr="001256B1" w:rsidRDefault="00F50DE5" w:rsidP="00F55750">
            <w:pPr>
              <w:snapToGrid w:val="0"/>
              <w:spacing w:line="360" w:lineRule="auto"/>
              <w:jc w:val="both"/>
              <w:rPr>
                <w:rFonts w:ascii="Book Antiqua" w:hAnsi="Book Antiqua"/>
                <w:b/>
                <w:color w:val="000000"/>
                <w:lang w:val="en-US"/>
              </w:rPr>
            </w:pPr>
            <w:r w:rsidRPr="001256B1">
              <w:rPr>
                <w:rFonts w:ascii="Book Antiqua" w:hAnsi="Book Antiqua"/>
                <w:b/>
                <w:color w:val="000000"/>
                <w:lang w:val="en-US"/>
              </w:rPr>
              <w:t>Clinicopathological features</w:t>
            </w:r>
          </w:p>
        </w:tc>
        <w:tc>
          <w:tcPr>
            <w:tcW w:w="1957" w:type="pct"/>
            <w:gridSpan w:val="2"/>
            <w:tcBorders>
              <w:top w:val="single" w:sz="4" w:space="0" w:color="auto"/>
            </w:tcBorders>
            <w:vAlign w:val="center"/>
          </w:tcPr>
          <w:p w14:paraId="046CA30F" w14:textId="77777777" w:rsidR="00F50DE5" w:rsidRPr="001256B1" w:rsidRDefault="00F50DE5" w:rsidP="00F55750">
            <w:pPr>
              <w:snapToGrid w:val="0"/>
              <w:spacing w:line="360" w:lineRule="auto"/>
              <w:jc w:val="both"/>
              <w:rPr>
                <w:rFonts w:ascii="Book Antiqua" w:hAnsi="Book Antiqua"/>
                <w:b/>
                <w:lang w:val="en-US"/>
              </w:rPr>
            </w:pPr>
            <w:r w:rsidRPr="001256B1">
              <w:rPr>
                <w:rFonts w:ascii="Book Antiqua" w:hAnsi="Book Antiqua"/>
                <w:b/>
                <w:lang w:val="en-US"/>
              </w:rPr>
              <w:t>IRS-1 expression</w:t>
            </w:r>
          </w:p>
        </w:tc>
        <w:tc>
          <w:tcPr>
            <w:tcW w:w="678" w:type="pct"/>
            <w:vMerge w:val="restart"/>
            <w:tcBorders>
              <w:top w:val="single" w:sz="4" w:space="0" w:color="auto"/>
            </w:tcBorders>
            <w:vAlign w:val="center"/>
          </w:tcPr>
          <w:p w14:paraId="73890B1E" w14:textId="47B84D71" w:rsidR="00F50DE5" w:rsidRPr="00E945E9" w:rsidRDefault="00E945E9" w:rsidP="00F55750">
            <w:pPr>
              <w:snapToGrid w:val="0"/>
              <w:spacing w:line="360" w:lineRule="auto"/>
              <w:jc w:val="both"/>
              <w:rPr>
                <w:rFonts w:ascii="Book Antiqua" w:hAnsi="Book Antiqua"/>
                <w:b/>
                <w:i/>
                <w:iCs/>
                <w:lang w:val="en-US"/>
              </w:rPr>
            </w:pPr>
            <w:r>
              <w:rPr>
                <w:rFonts w:ascii="Book Antiqua" w:hAnsi="Book Antiqua"/>
                <w:b/>
                <w:i/>
                <w:iCs/>
                <w:lang w:val="en-US"/>
              </w:rPr>
              <w:t>P</w:t>
            </w:r>
            <w:r>
              <w:rPr>
                <w:rFonts w:ascii="Book Antiqua" w:hAnsi="Book Antiqua" w:hint="eastAsia"/>
                <w:b/>
                <w:i/>
                <w:iCs/>
                <w:lang w:val="en-US" w:eastAsia="zh-CN"/>
              </w:rPr>
              <w:t xml:space="preserve"> </w:t>
            </w:r>
            <w:r w:rsidR="00F50DE5" w:rsidRPr="001256B1">
              <w:rPr>
                <w:rFonts w:ascii="Book Antiqua" w:hAnsi="Book Antiqua"/>
                <w:b/>
                <w:color w:val="000000"/>
                <w:lang w:val="en-US"/>
              </w:rPr>
              <w:t>Fisher exact test</w:t>
            </w:r>
          </w:p>
        </w:tc>
      </w:tr>
      <w:tr w:rsidR="00F50DE5" w:rsidRPr="001256B1" w14:paraId="1451EE24" w14:textId="77777777" w:rsidTr="008A72E2">
        <w:trPr>
          <w:cantSplit/>
          <w:trHeight w:val="20"/>
        </w:trPr>
        <w:tc>
          <w:tcPr>
            <w:tcW w:w="2365" w:type="pct"/>
            <w:gridSpan w:val="2"/>
            <w:vMerge/>
            <w:tcBorders>
              <w:bottom w:val="single" w:sz="4" w:space="0" w:color="auto"/>
            </w:tcBorders>
            <w:vAlign w:val="center"/>
          </w:tcPr>
          <w:p w14:paraId="21F01DEA" w14:textId="77777777" w:rsidR="00F50DE5" w:rsidRPr="001256B1" w:rsidRDefault="00F50DE5" w:rsidP="00F55750">
            <w:pPr>
              <w:snapToGrid w:val="0"/>
              <w:spacing w:line="360" w:lineRule="auto"/>
              <w:jc w:val="both"/>
              <w:rPr>
                <w:rFonts w:ascii="Book Antiqua" w:hAnsi="Book Antiqua"/>
                <w:color w:val="000000"/>
                <w:lang w:val="en-US"/>
              </w:rPr>
            </w:pPr>
          </w:p>
        </w:tc>
        <w:tc>
          <w:tcPr>
            <w:tcW w:w="1059" w:type="pct"/>
            <w:tcBorders>
              <w:bottom w:val="single" w:sz="4" w:space="0" w:color="auto"/>
            </w:tcBorders>
            <w:vAlign w:val="center"/>
          </w:tcPr>
          <w:p w14:paraId="25A024C0" w14:textId="4FCE38DB" w:rsidR="00F50DE5" w:rsidRPr="001256B1" w:rsidRDefault="00F50DE5" w:rsidP="00F55750">
            <w:pPr>
              <w:snapToGrid w:val="0"/>
              <w:spacing w:line="360" w:lineRule="auto"/>
              <w:jc w:val="both"/>
              <w:rPr>
                <w:rFonts w:ascii="Book Antiqua" w:hAnsi="Book Antiqua"/>
                <w:b/>
                <w:color w:val="000000"/>
                <w:lang w:val="en-US"/>
              </w:rPr>
            </w:pPr>
            <w:r w:rsidRPr="001256B1">
              <w:rPr>
                <w:rFonts w:ascii="Book Antiqua" w:hAnsi="Book Antiqua"/>
                <w:b/>
                <w:color w:val="000000"/>
                <w:lang w:val="en-US"/>
              </w:rPr>
              <w:t>Weak (0)</w:t>
            </w:r>
            <w:r w:rsidR="008A72E2">
              <w:rPr>
                <w:rFonts w:ascii="Book Antiqua" w:hAnsi="Book Antiqua"/>
                <w:b/>
                <w:color w:val="000000"/>
                <w:lang w:val="en-US"/>
              </w:rPr>
              <w:t>,</w:t>
            </w:r>
            <w:r w:rsidR="008A72E2">
              <w:rPr>
                <w:rFonts w:ascii="Book Antiqua" w:hAnsi="Book Antiqua" w:hint="eastAsia"/>
                <w:b/>
                <w:color w:val="000000"/>
                <w:lang w:val="en-US" w:eastAsia="zh-CN"/>
              </w:rPr>
              <w:t xml:space="preserve"> </w:t>
            </w:r>
            <w:r w:rsidR="002E4AB8" w:rsidRPr="001256B1">
              <w:rPr>
                <w:rFonts w:ascii="Book Antiqua" w:hAnsi="Book Antiqua"/>
                <w:b/>
                <w:i/>
                <w:iCs/>
                <w:color w:val="000000"/>
                <w:lang w:val="en-US"/>
              </w:rPr>
              <w:t xml:space="preserve">n </w:t>
            </w:r>
            <w:r w:rsidRPr="001256B1">
              <w:rPr>
                <w:rFonts w:ascii="Book Antiqua" w:hAnsi="Book Antiqua"/>
                <w:b/>
                <w:color w:val="000000"/>
                <w:lang w:val="en-US"/>
              </w:rPr>
              <w:t>=</w:t>
            </w:r>
            <w:r w:rsidR="002E4AB8" w:rsidRPr="001256B1">
              <w:rPr>
                <w:rFonts w:ascii="Book Antiqua" w:hAnsi="Book Antiqua"/>
                <w:b/>
                <w:color w:val="000000"/>
                <w:lang w:val="en-US"/>
              </w:rPr>
              <w:t xml:space="preserve"> </w:t>
            </w:r>
            <w:r w:rsidRPr="001256B1">
              <w:rPr>
                <w:rFonts w:ascii="Book Antiqua" w:hAnsi="Book Antiqua"/>
                <w:b/>
                <w:color w:val="000000"/>
                <w:lang w:val="en-US"/>
              </w:rPr>
              <w:t>66</w:t>
            </w:r>
          </w:p>
        </w:tc>
        <w:tc>
          <w:tcPr>
            <w:tcW w:w="898" w:type="pct"/>
            <w:tcBorders>
              <w:bottom w:val="single" w:sz="4" w:space="0" w:color="auto"/>
            </w:tcBorders>
            <w:vAlign w:val="center"/>
          </w:tcPr>
          <w:p w14:paraId="42727B7C" w14:textId="2E6E2E6E" w:rsidR="00F50DE5" w:rsidRPr="001256B1" w:rsidRDefault="008A72E2" w:rsidP="00F55750">
            <w:pPr>
              <w:snapToGrid w:val="0"/>
              <w:spacing w:line="360" w:lineRule="auto"/>
              <w:jc w:val="both"/>
              <w:rPr>
                <w:rFonts w:ascii="Book Antiqua" w:hAnsi="Book Antiqua"/>
                <w:b/>
                <w:color w:val="000000"/>
                <w:lang w:val="en-US"/>
              </w:rPr>
            </w:pPr>
            <w:r>
              <w:rPr>
                <w:rFonts w:ascii="Book Antiqua" w:hAnsi="Book Antiqua"/>
                <w:b/>
                <w:color w:val="000000"/>
                <w:lang w:val="en-US"/>
              </w:rPr>
              <w:t>Strong (1+,</w:t>
            </w:r>
            <w:r w:rsidR="00F74EE3">
              <w:rPr>
                <w:rFonts w:ascii="Book Antiqua" w:hAnsi="Book Antiqua"/>
                <w:b/>
                <w:color w:val="000000"/>
                <w:lang w:val="en-US"/>
              </w:rPr>
              <w:t xml:space="preserve"> </w:t>
            </w:r>
            <w:r>
              <w:rPr>
                <w:rFonts w:ascii="Book Antiqua" w:hAnsi="Book Antiqua"/>
                <w:b/>
                <w:color w:val="000000"/>
                <w:lang w:val="en-US"/>
              </w:rPr>
              <w:t>2+)</w:t>
            </w:r>
            <w:r>
              <w:rPr>
                <w:rFonts w:ascii="Book Antiqua" w:hAnsi="Book Antiqua" w:hint="eastAsia"/>
                <w:b/>
                <w:color w:val="000000"/>
                <w:lang w:val="en-US" w:eastAsia="zh-CN"/>
              </w:rPr>
              <w:t>,</w:t>
            </w:r>
            <w:r>
              <w:rPr>
                <w:rFonts w:ascii="Book Antiqua" w:hAnsi="Book Antiqua"/>
                <w:b/>
                <w:color w:val="000000"/>
                <w:lang w:val="en-US" w:eastAsia="zh-CN"/>
              </w:rPr>
              <w:t xml:space="preserve"> </w:t>
            </w:r>
            <w:r w:rsidR="002E4AB8" w:rsidRPr="001256B1">
              <w:rPr>
                <w:rFonts w:ascii="Book Antiqua" w:hAnsi="Book Antiqua"/>
                <w:b/>
                <w:i/>
                <w:iCs/>
                <w:color w:val="000000"/>
                <w:lang w:val="en-US"/>
              </w:rPr>
              <w:t xml:space="preserve">n </w:t>
            </w:r>
            <w:r w:rsidR="00F50DE5" w:rsidRPr="001256B1">
              <w:rPr>
                <w:rFonts w:ascii="Book Antiqua" w:hAnsi="Book Antiqua"/>
                <w:b/>
                <w:color w:val="000000"/>
                <w:lang w:val="en-US"/>
              </w:rPr>
              <w:t>=</w:t>
            </w:r>
            <w:r w:rsidR="002E4AB8" w:rsidRPr="001256B1">
              <w:rPr>
                <w:rFonts w:ascii="Book Antiqua" w:hAnsi="Book Antiqua"/>
                <w:b/>
                <w:color w:val="000000"/>
                <w:lang w:val="en-US"/>
              </w:rPr>
              <w:t xml:space="preserve"> </w:t>
            </w:r>
            <w:r w:rsidR="00F50DE5" w:rsidRPr="001256B1">
              <w:rPr>
                <w:rFonts w:ascii="Book Antiqua" w:hAnsi="Book Antiqua"/>
                <w:b/>
                <w:color w:val="000000"/>
                <w:lang w:val="en-US"/>
              </w:rPr>
              <w:t>61</w:t>
            </w:r>
          </w:p>
        </w:tc>
        <w:tc>
          <w:tcPr>
            <w:tcW w:w="678" w:type="pct"/>
            <w:vMerge/>
            <w:tcBorders>
              <w:bottom w:val="single" w:sz="4" w:space="0" w:color="auto"/>
            </w:tcBorders>
            <w:vAlign w:val="center"/>
          </w:tcPr>
          <w:p w14:paraId="3CF81532" w14:textId="77777777" w:rsidR="00F50DE5" w:rsidRPr="001256B1" w:rsidRDefault="00F50DE5" w:rsidP="00F55750">
            <w:pPr>
              <w:snapToGrid w:val="0"/>
              <w:spacing w:line="360" w:lineRule="auto"/>
              <w:jc w:val="both"/>
              <w:rPr>
                <w:rFonts w:ascii="Book Antiqua" w:hAnsi="Book Antiqua"/>
                <w:color w:val="000000"/>
                <w:lang w:val="en-US"/>
              </w:rPr>
            </w:pPr>
          </w:p>
        </w:tc>
      </w:tr>
      <w:tr w:rsidR="008A72E2" w:rsidRPr="001256B1" w14:paraId="2349B162" w14:textId="77777777" w:rsidTr="008A72E2">
        <w:trPr>
          <w:cantSplit/>
          <w:trHeight w:val="20"/>
        </w:trPr>
        <w:tc>
          <w:tcPr>
            <w:tcW w:w="1061" w:type="pct"/>
            <w:vMerge w:val="restart"/>
            <w:tcBorders>
              <w:top w:val="single" w:sz="4" w:space="0" w:color="auto"/>
            </w:tcBorders>
            <w:vAlign w:val="center"/>
          </w:tcPr>
          <w:p w14:paraId="26299FCA" w14:textId="2D502E9A" w:rsidR="00F50DE5" w:rsidRPr="001256B1" w:rsidRDefault="00F50DE5"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Age (</w:t>
            </w:r>
            <w:proofErr w:type="spellStart"/>
            <w:r w:rsidRPr="001256B1">
              <w:rPr>
                <w:rFonts w:ascii="Book Antiqua" w:hAnsi="Book Antiqua"/>
                <w:bCs/>
                <w:color w:val="000000"/>
                <w:lang w:val="en-US"/>
              </w:rPr>
              <w:t>yr</w:t>
            </w:r>
            <w:proofErr w:type="spellEnd"/>
            <w:r w:rsidRPr="001256B1">
              <w:rPr>
                <w:rFonts w:ascii="Book Antiqua" w:hAnsi="Book Antiqua"/>
                <w:bCs/>
                <w:color w:val="000000"/>
                <w:lang w:val="en-US"/>
              </w:rPr>
              <w:t>)</w:t>
            </w:r>
          </w:p>
        </w:tc>
        <w:tc>
          <w:tcPr>
            <w:tcW w:w="1304" w:type="pct"/>
            <w:tcBorders>
              <w:top w:val="single" w:sz="4" w:space="0" w:color="auto"/>
            </w:tcBorders>
            <w:vAlign w:val="center"/>
          </w:tcPr>
          <w:p w14:paraId="2FE97338" w14:textId="7E4FEC56" w:rsidR="00F50DE5" w:rsidRPr="001256B1" w:rsidRDefault="00F50DE5"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w:t>
            </w:r>
            <w:r w:rsidR="002E4AB8" w:rsidRPr="001256B1">
              <w:rPr>
                <w:rFonts w:ascii="Book Antiqua" w:hAnsi="Book Antiqua"/>
                <w:bCs/>
                <w:color w:val="000000"/>
                <w:lang w:val="en-US"/>
              </w:rPr>
              <w:t xml:space="preserve"> </w:t>
            </w:r>
            <w:r w:rsidR="008A72E2">
              <w:rPr>
                <w:rFonts w:ascii="Book Antiqua" w:hAnsi="Book Antiqua"/>
                <w:bCs/>
                <w:color w:val="000000"/>
                <w:lang w:val="en-US"/>
              </w:rPr>
              <w:t>60</w:t>
            </w:r>
            <w:r w:rsidR="008A72E2">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n</w:t>
            </w:r>
            <w:r w:rsidR="002E4AB8" w:rsidRPr="001256B1">
              <w:rPr>
                <w:rFonts w:ascii="Book Antiqua" w:hAnsi="Book Antiqua"/>
                <w:bCs/>
                <w:i/>
                <w:iCs/>
                <w:color w:val="000000"/>
                <w:lang w:val="en-US"/>
              </w:rPr>
              <w:t xml:space="preserve"> </w:t>
            </w:r>
            <w:r w:rsidRPr="001256B1">
              <w:rPr>
                <w:rFonts w:ascii="Book Antiqua" w:hAnsi="Book Antiqua"/>
                <w:bCs/>
                <w:color w:val="000000"/>
                <w:lang w:val="en-US"/>
              </w:rPr>
              <w:t>=</w:t>
            </w:r>
            <w:r w:rsidR="002E4AB8" w:rsidRPr="001256B1">
              <w:rPr>
                <w:rFonts w:ascii="Book Antiqua" w:hAnsi="Book Antiqua"/>
                <w:bCs/>
                <w:color w:val="000000"/>
                <w:lang w:val="en-US"/>
              </w:rPr>
              <w:t xml:space="preserve"> </w:t>
            </w:r>
            <w:r w:rsidRPr="001256B1">
              <w:rPr>
                <w:rFonts w:ascii="Book Antiqua" w:hAnsi="Book Antiqua"/>
                <w:bCs/>
                <w:color w:val="000000"/>
                <w:lang w:val="en-US"/>
              </w:rPr>
              <w:t>42)</w:t>
            </w:r>
          </w:p>
        </w:tc>
        <w:tc>
          <w:tcPr>
            <w:tcW w:w="1059" w:type="pct"/>
            <w:tcBorders>
              <w:top w:val="single" w:sz="4" w:space="0" w:color="auto"/>
            </w:tcBorders>
            <w:vAlign w:val="center"/>
          </w:tcPr>
          <w:p w14:paraId="5DDE517F" w14:textId="7C5521DD" w:rsidR="00F50DE5"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22</w:t>
            </w:r>
            <w:r>
              <w:rPr>
                <w:rFonts w:ascii="Book Antiqua" w:hAnsi="Book Antiqua" w:hint="eastAsia"/>
                <w:bCs/>
                <w:color w:val="000000"/>
                <w:lang w:val="en-US" w:eastAsia="zh-CN"/>
              </w:rPr>
              <w:t xml:space="preserve"> </w:t>
            </w:r>
            <w:r w:rsidR="00F50DE5" w:rsidRPr="001256B1">
              <w:rPr>
                <w:rFonts w:ascii="Book Antiqua" w:hAnsi="Book Antiqua"/>
                <w:bCs/>
                <w:color w:val="000000"/>
                <w:lang w:val="en-US"/>
              </w:rPr>
              <w:t>(33.8</w:t>
            </w:r>
            <w:r w:rsidR="00A34FC8">
              <w:rPr>
                <w:rFonts w:ascii="Book Antiqua" w:hAnsi="Book Antiqua"/>
                <w:bCs/>
                <w:color w:val="000000"/>
                <w:lang w:val="en-US"/>
              </w:rPr>
              <w:t>)</w:t>
            </w:r>
          </w:p>
        </w:tc>
        <w:tc>
          <w:tcPr>
            <w:tcW w:w="898" w:type="pct"/>
            <w:tcBorders>
              <w:top w:val="single" w:sz="4" w:space="0" w:color="auto"/>
            </w:tcBorders>
            <w:vAlign w:val="center"/>
          </w:tcPr>
          <w:p w14:paraId="761FF7A3" w14:textId="69632959" w:rsidR="00F50DE5"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20</w:t>
            </w:r>
            <w:r>
              <w:rPr>
                <w:rFonts w:ascii="Book Antiqua" w:hAnsi="Book Antiqua" w:hint="eastAsia"/>
                <w:bCs/>
                <w:color w:val="000000"/>
                <w:lang w:val="en-US" w:eastAsia="zh-CN"/>
              </w:rPr>
              <w:t xml:space="preserve"> </w:t>
            </w:r>
            <w:r w:rsidR="00F50DE5" w:rsidRPr="001256B1">
              <w:rPr>
                <w:rFonts w:ascii="Book Antiqua" w:hAnsi="Book Antiqua"/>
                <w:bCs/>
                <w:color w:val="000000"/>
                <w:lang w:val="en-US"/>
              </w:rPr>
              <w:t>(33.3</w:t>
            </w:r>
            <w:r w:rsidR="00A34FC8">
              <w:rPr>
                <w:rFonts w:ascii="Book Antiqua" w:hAnsi="Book Antiqua"/>
                <w:bCs/>
                <w:color w:val="000000"/>
                <w:lang w:val="en-US"/>
              </w:rPr>
              <w:t>)</w:t>
            </w:r>
          </w:p>
        </w:tc>
        <w:tc>
          <w:tcPr>
            <w:tcW w:w="678" w:type="pct"/>
            <w:vMerge w:val="restart"/>
            <w:tcBorders>
              <w:top w:val="single" w:sz="4" w:space="0" w:color="auto"/>
            </w:tcBorders>
            <w:vAlign w:val="center"/>
          </w:tcPr>
          <w:p w14:paraId="436C0D5E" w14:textId="77777777" w:rsidR="00F50DE5" w:rsidRPr="001256B1" w:rsidRDefault="00F50DE5"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0.552</w:t>
            </w:r>
          </w:p>
        </w:tc>
      </w:tr>
      <w:tr w:rsidR="008A72E2" w:rsidRPr="001256B1" w14:paraId="518D0CE5" w14:textId="77777777" w:rsidTr="008A72E2">
        <w:trPr>
          <w:cantSplit/>
          <w:trHeight w:val="895"/>
        </w:trPr>
        <w:tc>
          <w:tcPr>
            <w:tcW w:w="1061" w:type="pct"/>
            <w:vMerge/>
            <w:vAlign w:val="center"/>
          </w:tcPr>
          <w:p w14:paraId="5D26B519" w14:textId="77777777" w:rsidR="008A72E2" w:rsidRPr="001256B1"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288D4741" w14:textId="37EA4BF7"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 xml:space="preserve">&gt; </w:t>
            </w:r>
            <w:r>
              <w:rPr>
                <w:rFonts w:ascii="Book Antiqua" w:hAnsi="Book Antiqua"/>
                <w:bCs/>
                <w:color w:val="000000"/>
                <w:lang w:val="en-US"/>
              </w:rPr>
              <w:t>60</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83)</w:t>
            </w:r>
          </w:p>
        </w:tc>
        <w:tc>
          <w:tcPr>
            <w:tcW w:w="1059" w:type="pct"/>
            <w:vAlign w:val="center"/>
          </w:tcPr>
          <w:p w14:paraId="665A78BF" w14:textId="6291E240" w:rsidR="008A72E2"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43</w:t>
            </w:r>
            <w:r>
              <w:rPr>
                <w:rFonts w:ascii="Book Antiqua" w:hAnsi="Book Antiqua" w:hint="eastAsia"/>
                <w:bCs/>
                <w:color w:val="000000"/>
                <w:lang w:val="en-US" w:eastAsia="zh-CN"/>
              </w:rPr>
              <w:t xml:space="preserve"> </w:t>
            </w:r>
            <w:r w:rsidRPr="001256B1">
              <w:rPr>
                <w:rFonts w:ascii="Book Antiqua" w:hAnsi="Book Antiqua"/>
                <w:bCs/>
                <w:color w:val="000000"/>
                <w:lang w:val="en-US"/>
              </w:rPr>
              <w:t>(66.2</w:t>
            </w:r>
            <w:r w:rsidR="00A34FC8">
              <w:rPr>
                <w:rFonts w:ascii="Book Antiqua" w:hAnsi="Book Antiqua"/>
                <w:bCs/>
                <w:color w:val="000000"/>
                <w:lang w:val="en-US"/>
              </w:rPr>
              <w:t>)</w:t>
            </w:r>
          </w:p>
        </w:tc>
        <w:tc>
          <w:tcPr>
            <w:tcW w:w="897" w:type="pct"/>
            <w:vAlign w:val="center"/>
          </w:tcPr>
          <w:p w14:paraId="37D72A41" w14:textId="7D6A62A3"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40</w:t>
            </w:r>
            <w:r>
              <w:rPr>
                <w:rFonts w:ascii="Book Antiqua" w:hAnsi="Book Antiqua" w:hint="eastAsia"/>
                <w:bCs/>
                <w:color w:val="000000"/>
                <w:lang w:val="en-US" w:eastAsia="zh-CN"/>
              </w:rPr>
              <w:t xml:space="preserve"> </w:t>
            </w:r>
            <w:r w:rsidRPr="001256B1">
              <w:rPr>
                <w:rFonts w:ascii="Book Antiqua" w:hAnsi="Book Antiqua"/>
                <w:bCs/>
                <w:color w:val="000000"/>
                <w:lang w:val="en-US"/>
              </w:rPr>
              <w:t>(66.7</w:t>
            </w:r>
            <w:r w:rsidR="00A34FC8">
              <w:rPr>
                <w:rFonts w:ascii="Book Antiqua" w:hAnsi="Book Antiqua"/>
                <w:bCs/>
                <w:color w:val="000000"/>
                <w:lang w:val="en-US"/>
              </w:rPr>
              <w:t>)</w:t>
            </w:r>
          </w:p>
        </w:tc>
        <w:tc>
          <w:tcPr>
            <w:tcW w:w="678" w:type="pct"/>
            <w:vMerge/>
            <w:vAlign w:val="center"/>
          </w:tcPr>
          <w:p w14:paraId="547CC48C" w14:textId="77777777" w:rsidR="008A72E2" w:rsidRPr="001256B1" w:rsidRDefault="008A72E2" w:rsidP="00F55750">
            <w:pPr>
              <w:snapToGrid w:val="0"/>
              <w:spacing w:line="360" w:lineRule="auto"/>
              <w:jc w:val="both"/>
              <w:rPr>
                <w:rFonts w:ascii="Book Antiqua" w:hAnsi="Book Antiqua"/>
                <w:bCs/>
                <w:color w:val="000000"/>
                <w:lang w:val="en-US"/>
              </w:rPr>
            </w:pPr>
          </w:p>
        </w:tc>
      </w:tr>
      <w:tr w:rsidR="008A72E2" w:rsidRPr="001256B1" w14:paraId="4B3B7909" w14:textId="77777777" w:rsidTr="008A72E2">
        <w:trPr>
          <w:cantSplit/>
          <w:trHeight w:val="895"/>
        </w:trPr>
        <w:tc>
          <w:tcPr>
            <w:tcW w:w="1061" w:type="pct"/>
            <w:vMerge w:val="restart"/>
            <w:vAlign w:val="center"/>
          </w:tcPr>
          <w:p w14:paraId="001EF4CA" w14:textId="77777777"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Gender</w:t>
            </w:r>
          </w:p>
        </w:tc>
        <w:tc>
          <w:tcPr>
            <w:tcW w:w="1304" w:type="pct"/>
            <w:vAlign w:val="center"/>
          </w:tcPr>
          <w:p w14:paraId="562B96B4" w14:textId="6C2197FA"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Male</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70)</w:t>
            </w:r>
          </w:p>
        </w:tc>
        <w:tc>
          <w:tcPr>
            <w:tcW w:w="1059" w:type="pct"/>
            <w:vAlign w:val="center"/>
          </w:tcPr>
          <w:p w14:paraId="210CDF29" w14:textId="24D8DBA9" w:rsidR="008A72E2"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37</w:t>
            </w:r>
            <w:r>
              <w:rPr>
                <w:rFonts w:ascii="Book Antiqua" w:hAnsi="Book Antiqua" w:hint="eastAsia"/>
                <w:bCs/>
                <w:color w:val="000000"/>
                <w:lang w:val="en-US" w:eastAsia="zh-CN"/>
              </w:rPr>
              <w:t xml:space="preserve"> </w:t>
            </w:r>
            <w:r w:rsidRPr="001256B1">
              <w:rPr>
                <w:rFonts w:ascii="Book Antiqua" w:hAnsi="Book Antiqua"/>
                <w:bCs/>
                <w:color w:val="000000"/>
                <w:lang w:val="en-US"/>
              </w:rPr>
              <w:t>(56.1</w:t>
            </w:r>
            <w:r w:rsidR="00A34FC8">
              <w:rPr>
                <w:rFonts w:ascii="Book Antiqua" w:hAnsi="Book Antiqua"/>
                <w:bCs/>
                <w:color w:val="000000"/>
                <w:lang w:val="en-US"/>
              </w:rPr>
              <w:t>)</w:t>
            </w:r>
          </w:p>
        </w:tc>
        <w:tc>
          <w:tcPr>
            <w:tcW w:w="897" w:type="pct"/>
            <w:vAlign w:val="center"/>
          </w:tcPr>
          <w:p w14:paraId="05D9EEDB" w14:textId="0BE645E4"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33</w:t>
            </w:r>
            <w:r>
              <w:rPr>
                <w:rFonts w:ascii="Book Antiqua" w:hAnsi="Book Antiqua" w:hint="eastAsia"/>
                <w:bCs/>
                <w:color w:val="000000"/>
                <w:lang w:val="en-US" w:eastAsia="zh-CN"/>
              </w:rPr>
              <w:t xml:space="preserve"> </w:t>
            </w:r>
            <w:r w:rsidRPr="001256B1">
              <w:rPr>
                <w:rFonts w:ascii="Book Antiqua" w:hAnsi="Book Antiqua"/>
                <w:bCs/>
                <w:color w:val="000000"/>
                <w:lang w:val="en-US"/>
              </w:rPr>
              <w:t>(54.1</w:t>
            </w:r>
            <w:r w:rsidR="00A34FC8">
              <w:rPr>
                <w:rFonts w:ascii="Book Antiqua" w:hAnsi="Book Antiqua"/>
                <w:bCs/>
                <w:color w:val="000000"/>
                <w:lang w:val="en-US"/>
              </w:rPr>
              <w:t>)</w:t>
            </w:r>
          </w:p>
        </w:tc>
        <w:tc>
          <w:tcPr>
            <w:tcW w:w="678" w:type="pct"/>
            <w:vMerge w:val="restart"/>
            <w:vAlign w:val="center"/>
          </w:tcPr>
          <w:p w14:paraId="14ACFB90" w14:textId="518C6CCD" w:rsidR="008A72E2" w:rsidRPr="001256B1" w:rsidRDefault="008A72E2" w:rsidP="00F55750">
            <w:pPr>
              <w:snapToGrid w:val="0"/>
              <w:spacing w:line="360" w:lineRule="auto"/>
              <w:jc w:val="both"/>
              <w:rPr>
                <w:rFonts w:ascii="Book Antiqua" w:hAnsi="Book Antiqua"/>
                <w:bCs/>
                <w:color w:val="000000"/>
                <w:lang w:val="en-US"/>
              </w:rPr>
            </w:pPr>
          </w:p>
        </w:tc>
      </w:tr>
      <w:tr w:rsidR="00F55750" w:rsidRPr="001256B1" w14:paraId="36AF6B08" w14:textId="77777777" w:rsidTr="008A72E2">
        <w:trPr>
          <w:cantSplit/>
          <w:trHeight w:val="895"/>
        </w:trPr>
        <w:tc>
          <w:tcPr>
            <w:tcW w:w="1061" w:type="pct"/>
            <w:vMerge/>
            <w:vAlign w:val="center"/>
          </w:tcPr>
          <w:p w14:paraId="6A4F85AB" w14:textId="77777777" w:rsidR="008A72E2" w:rsidRPr="001256B1"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18A4FB51" w14:textId="5349C022"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Female</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56)</w:t>
            </w:r>
          </w:p>
        </w:tc>
        <w:tc>
          <w:tcPr>
            <w:tcW w:w="1059" w:type="pct"/>
            <w:vAlign w:val="center"/>
          </w:tcPr>
          <w:p w14:paraId="0C4A03A8" w14:textId="45180644"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28</w:t>
            </w:r>
            <w:r>
              <w:rPr>
                <w:rFonts w:ascii="Book Antiqua" w:hAnsi="Book Antiqua" w:hint="eastAsia"/>
                <w:bCs/>
                <w:color w:val="000000"/>
                <w:lang w:val="en-US" w:eastAsia="zh-CN"/>
              </w:rPr>
              <w:t xml:space="preserve"> </w:t>
            </w:r>
            <w:r w:rsidRPr="001256B1">
              <w:rPr>
                <w:rFonts w:ascii="Book Antiqua" w:hAnsi="Book Antiqua"/>
                <w:bCs/>
                <w:color w:val="000000"/>
                <w:lang w:val="en-US"/>
              </w:rPr>
              <w:t>(42.4</w:t>
            </w:r>
            <w:r w:rsidR="00A34FC8">
              <w:rPr>
                <w:rFonts w:ascii="Book Antiqua" w:hAnsi="Book Antiqua"/>
                <w:bCs/>
                <w:color w:val="000000"/>
                <w:lang w:val="en-US"/>
              </w:rPr>
              <w:t>)</w:t>
            </w:r>
          </w:p>
        </w:tc>
        <w:tc>
          <w:tcPr>
            <w:tcW w:w="897" w:type="pct"/>
            <w:vAlign w:val="center"/>
          </w:tcPr>
          <w:p w14:paraId="0E7B0479" w14:textId="52CB8F3D"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28</w:t>
            </w:r>
            <w:r>
              <w:rPr>
                <w:rFonts w:ascii="Book Antiqua" w:hAnsi="Book Antiqua" w:hint="eastAsia"/>
                <w:bCs/>
                <w:color w:val="000000"/>
                <w:lang w:val="en-US" w:eastAsia="zh-CN"/>
              </w:rPr>
              <w:t xml:space="preserve"> </w:t>
            </w:r>
            <w:r w:rsidRPr="001256B1">
              <w:rPr>
                <w:rFonts w:ascii="Book Antiqua" w:hAnsi="Book Antiqua"/>
                <w:bCs/>
                <w:color w:val="000000"/>
                <w:lang w:val="en-US"/>
              </w:rPr>
              <w:t>(45.9</w:t>
            </w:r>
            <w:r w:rsidR="00A34FC8">
              <w:rPr>
                <w:rFonts w:ascii="Book Antiqua" w:hAnsi="Book Antiqua"/>
                <w:bCs/>
                <w:color w:val="000000"/>
                <w:lang w:val="en-US"/>
              </w:rPr>
              <w:t>)</w:t>
            </w:r>
          </w:p>
        </w:tc>
        <w:tc>
          <w:tcPr>
            <w:tcW w:w="678" w:type="pct"/>
            <w:vMerge/>
            <w:vAlign w:val="center"/>
          </w:tcPr>
          <w:p w14:paraId="20675187" w14:textId="77777777" w:rsidR="008A72E2" w:rsidRPr="001256B1" w:rsidRDefault="008A72E2" w:rsidP="00F55750">
            <w:pPr>
              <w:snapToGrid w:val="0"/>
              <w:spacing w:line="360" w:lineRule="auto"/>
              <w:jc w:val="both"/>
              <w:rPr>
                <w:rFonts w:ascii="Book Antiqua" w:hAnsi="Book Antiqua"/>
                <w:bCs/>
                <w:color w:val="000000"/>
                <w:lang w:val="en-US"/>
              </w:rPr>
            </w:pPr>
          </w:p>
        </w:tc>
      </w:tr>
      <w:tr w:rsidR="008A72E2" w:rsidRPr="001256B1" w14:paraId="5D79BBE2" w14:textId="77777777" w:rsidTr="008A72E2">
        <w:trPr>
          <w:cantSplit/>
          <w:trHeight w:val="895"/>
        </w:trPr>
        <w:tc>
          <w:tcPr>
            <w:tcW w:w="1061" w:type="pct"/>
            <w:vMerge w:val="restart"/>
            <w:vAlign w:val="center"/>
          </w:tcPr>
          <w:p w14:paraId="2941BBA6" w14:textId="4A696DCA"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Tumor Localization</w:t>
            </w:r>
          </w:p>
        </w:tc>
        <w:tc>
          <w:tcPr>
            <w:tcW w:w="1304" w:type="pct"/>
            <w:vAlign w:val="center"/>
          </w:tcPr>
          <w:p w14:paraId="00E88F4F" w14:textId="744288FF"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Rectum</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57)</w:t>
            </w:r>
          </w:p>
        </w:tc>
        <w:tc>
          <w:tcPr>
            <w:tcW w:w="1059" w:type="pct"/>
            <w:vAlign w:val="center"/>
          </w:tcPr>
          <w:p w14:paraId="74CE7B13" w14:textId="321B938D"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33</w:t>
            </w:r>
            <w:r>
              <w:rPr>
                <w:rFonts w:ascii="Book Antiqua" w:hAnsi="Book Antiqua" w:hint="eastAsia"/>
                <w:bCs/>
                <w:color w:val="000000"/>
                <w:lang w:val="en-US" w:eastAsia="zh-CN"/>
              </w:rPr>
              <w:t xml:space="preserve"> </w:t>
            </w:r>
            <w:r w:rsidRPr="001256B1">
              <w:rPr>
                <w:rFonts w:ascii="Book Antiqua" w:hAnsi="Book Antiqua"/>
                <w:bCs/>
                <w:color w:val="000000"/>
                <w:lang w:val="en-US"/>
              </w:rPr>
              <w:t>(50.8</w:t>
            </w:r>
            <w:r w:rsidR="00A34FC8">
              <w:rPr>
                <w:rFonts w:ascii="Book Antiqua" w:hAnsi="Book Antiqua"/>
                <w:bCs/>
                <w:color w:val="000000"/>
                <w:lang w:val="en-US"/>
              </w:rPr>
              <w:t>)</w:t>
            </w:r>
          </w:p>
        </w:tc>
        <w:tc>
          <w:tcPr>
            <w:tcW w:w="897" w:type="pct"/>
            <w:vAlign w:val="center"/>
          </w:tcPr>
          <w:p w14:paraId="30547CA5" w14:textId="6066E209"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24</w:t>
            </w:r>
            <w:r>
              <w:rPr>
                <w:rFonts w:ascii="Book Antiqua" w:hAnsi="Book Antiqua" w:hint="eastAsia"/>
                <w:bCs/>
                <w:color w:val="000000"/>
                <w:lang w:val="en-US" w:eastAsia="zh-CN"/>
              </w:rPr>
              <w:t xml:space="preserve"> </w:t>
            </w:r>
            <w:r w:rsidRPr="001256B1">
              <w:rPr>
                <w:rFonts w:ascii="Book Antiqua" w:hAnsi="Book Antiqua"/>
                <w:bCs/>
                <w:color w:val="000000"/>
                <w:lang w:val="en-US"/>
              </w:rPr>
              <w:t>(39.3</w:t>
            </w:r>
            <w:r w:rsidR="00A34FC8">
              <w:rPr>
                <w:rFonts w:ascii="Book Antiqua" w:hAnsi="Book Antiqua"/>
                <w:bCs/>
                <w:color w:val="000000"/>
                <w:lang w:val="en-US"/>
              </w:rPr>
              <w:t>)</w:t>
            </w:r>
          </w:p>
        </w:tc>
        <w:tc>
          <w:tcPr>
            <w:tcW w:w="678" w:type="pct"/>
            <w:vMerge w:val="restart"/>
            <w:vAlign w:val="center"/>
          </w:tcPr>
          <w:p w14:paraId="343E84CF" w14:textId="77777777"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0.134</w:t>
            </w:r>
          </w:p>
        </w:tc>
      </w:tr>
      <w:tr w:rsidR="008A72E2" w:rsidRPr="001256B1" w14:paraId="220364D2" w14:textId="77777777" w:rsidTr="008A72E2">
        <w:trPr>
          <w:cantSplit/>
          <w:trHeight w:val="895"/>
        </w:trPr>
        <w:tc>
          <w:tcPr>
            <w:tcW w:w="1061" w:type="pct"/>
            <w:vMerge/>
            <w:vAlign w:val="center"/>
          </w:tcPr>
          <w:p w14:paraId="2222D9FD" w14:textId="77777777" w:rsidR="008A72E2" w:rsidRPr="001256B1"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728881A7" w14:textId="4F702F7F"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Colon</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69)</w:t>
            </w:r>
          </w:p>
        </w:tc>
        <w:tc>
          <w:tcPr>
            <w:tcW w:w="1059" w:type="pct"/>
            <w:vAlign w:val="center"/>
          </w:tcPr>
          <w:p w14:paraId="79E2E90A" w14:textId="52AB8BF5"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32</w:t>
            </w:r>
            <w:r>
              <w:rPr>
                <w:rFonts w:ascii="Book Antiqua" w:hAnsi="Book Antiqua" w:hint="eastAsia"/>
                <w:bCs/>
                <w:color w:val="000000"/>
                <w:lang w:val="en-US" w:eastAsia="zh-CN"/>
              </w:rPr>
              <w:t xml:space="preserve"> </w:t>
            </w:r>
            <w:r w:rsidRPr="001256B1">
              <w:rPr>
                <w:rFonts w:ascii="Book Antiqua" w:hAnsi="Book Antiqua"/>
                <w:bCs/>
                <w:color w:val="000000"/>
                <w:lang w:val="en-US"/>
              </w:rPr>
              <w:t>(49.2</w:t>
            </w:r>
            <w:r w:rsidR="00A34FC8">
              <w:rPr>
                <w:rFonts w:ascii="Book Antiqua" w:hAnsi="Book Antiqua"/>
                <w:bCs/>
                <w:color w:val="000000"/>
                <w:lang w:val="en-US"/>
              </w:rPr>
              <w:t>)</w:t>
            </w:r>
          </w:p>
        </w:tc>
        <w:tc>
          <w:tcPr>
            <w:tcW w:w="897" w:type="pct"/>
            <w:vAlign w:val="center"/>
          </w:tcPr>
          <w:p w14:paraId="11130AC3" w14:textId="1D1109CC"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37</w:t>
            </w:r>
            <w:r>
              <w:rPr>
                <w:rFonts w:ascii="Book Antiqua" w:hAnsi="Book Antiqua" w:hint="eastAsia"/>
                <w:bCs/>
                <w:color w:val="000000"/>
                <w:lang w:val="en-US" w:eastAsia="zh-CN"/>
              </w:rPr>
              <w:t xml:space="preserve"> </w:t>
            </w:r>
            <w:r w:rsidRPr="001256B1">
              <w:rPr>
                <w:rFonts w:ascii="Book Antiqua" w:hAnsi="Book Antiqua"/>
                <w:bCs/>
                <w:color w:val="000000"/>
                <w:lang w:val="en-US"/>
              </w:rPr>
              <w:t>(60.7</w:t>
            </w:r>
            <w:r w:rsidR="00A34FC8">
              <w:rPr>
                <w:rFonts w:ascii="Book Antiqua" w:hAnsi="Book Antiqua"/>
                <w:bCs/>
                <w:color w:val="000000"/>
                <w:lang w:val="en-US"/>
              </w:rPr>
              <w:t>)</w:t>
            </w:r>
          </w:p>
        </w:tc>
        <w:tc>
          <w:tcPr>
            <w:tcW w:w="678" w:type="pct"/>
            <w:vMerge/>
            <w:vAlign w:val="center"/>
          </w:tcPr>
          <w:p w14:paraId="2290A47F" w14:textId="77777777" w:rsidR="008A72E2" w:rsidRPr="001256B1" w:rsidRDefault="008A72E2" w:rsidP="00F55750">
            <w:pPr>
              <w:snapToGrid w:val="0"/>
              <w:spacing w:line="360" w:lineRule="auto"/>
              <w:jc w:val="both"/>
              <w:rPr>
                <w:rFonts w:ascii="Book Antiqua" w:hAnsi="Book Antiqua"/>
                <w:bCs/>
                <w:color w:val="000000"/>
                <w:lang w:val="en-US"/>
              </w:rPr>
            </w:pPr>
          </w:p>
        </w:tc>
      </w:tr>
      <w:tr w:rsidR="008A72E2" w:rsidRPr="001256B1" w14:paraId="620569D7" w14:textId="77777777" w:rsidTr="008A72E2">
        <w:trPr>
          <w:cantSplit/>
          <w:trHeight w:val="895"/>
        </w:trPr>
        <w:tc>
          <w:tcPr>
            <w:tcW w:w="1061" w:type="pct"/>
            <w:vMerge w:val="restart"/>
            <w:vAlign w:val="center"/>
          </w:tcPr>
          <w:p w14:paraId="179B5187" w14:textId="1505A19A"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 xml:space="preserve">Histological </w:t>
            </w:r>
            <w:proofErr w:type="spellStart"/>
            <w:r w:rsidRPr="001256B1">
              <w:rPr>
                <w:rFonts w:ascii="Book Antiqua" w:hAnsi="Book Antiqua"/>
                <w:bCs/>
                <w:color w:val="000000"/>
                <w:lang w:val="en-US"/>
              </w:rPr>
              <w:t>Type</w:t>
            </w:r>
            <w:r w:rsidRPr="001256B1">
              <w:rPr>
                <w:rFonts w:ascii="Book Antiqua" w:hAnsi="Book Antiqua"/>
                <w:bCs/>
                <w:color w:val="000000"/>
                <w:vertAlign w:val="superscript"/>
                <w:lang w:val="en-US"/>
              </w:rPr>
              <w:t>a</w:t>
            </w:r>
            <w:proofErr w:type="spellEnd"/>
          </w:p>
        </w:tc>
        <w:tc>
          <w:tcPr>
            <w:tcW w:w="1304" w:type="pct"/>
            <w:vAlign w:val="center"/>
          </w:tcPr>
          <w:p w14:paraId="7B7B76E0" w14:textId="68670335" w:rsidR="008A72E2"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A</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104)</w:t>
            </w:r>
          </w:p>
        </w:tc>
        <w:tc>
          <w:tcPr>
            <w:tcW w:w="1059" w:type="pct"/>
            <w:vAlign w:val="center"/>
          </w:tcPr>
          <w:p w14:paraId="4A8C5DF8" w14:textId="02BCB291"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46</w:t>
            </w:r>
            <w:r>
              <w:rPr>
                <w:rFonts w:ascii="Book Antiqua" w:hAnsi="Book Antiqua" w:hint="eastAsia"/>
                <w:bCs/>
                <w:color w:val="000000"/>
                <w:lang w:val="en-US" w:eastAsia="zh-CN"/>
              </w:rPr>
              <w:t xml:space="preserve"> </w:t>
            </w:r>
            <w:r w:rsidRPr="001256B1">
              <w:rPr>
                <w:rFonts w:ascii="Book Antiqua" w:hAnsi="Book Antiqua"/>
                <w:bCs/>
                <w:color w:val="000000"/>
                <w:lang w:val="en-US"/>
              </w:rPr>
              <w:t>(69.7</w:t>
            </w:r>
            <w:r w:rsidR="00A34FC8">
              <w:rPr>
                <w:rFonts w:ascii="Book Antiqua" w:hAnsi="Book Antiqua"/>
                <w:bCs/>
                <w:color w:val="000000"/>
                <w:lang w:val="en-US"/>
              </w:rPr>
              <w:t>)</w:t>
            </w:r>
          </w:p>
        </w:tc>
        <w:tc>
          <w:tcPr>
            <w:tcW w:w="897" w:type="pct"/>
            <w:vAlign w:val="center"/>
          </w:tcPr>
          <w:p w14:paraId="05FDD0D5" w14:textId="546979A3"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58</w:t>
            </w:r>
            <w:r>
              <w:rPr>
                <w:rFonts w:ascii="Book Antiqua" w:hAnsi="Book Antiqua" w:hint="eastAsia"/>
                <w:bCs/>
                <w:color w:val="000000"/>
                <w:lang w:val="en-US" w:eastAsia="zh-CN"/>
              </w:rPr>
              <w:t xml:space="preserve"> </w:t>
            </w:r>
            <w:r w:rsidRPr="001256B1">
              <w:rPr>
                <w:rFonts w:ascii="Book Antiqua" w:hAnsi="Book Antiqua"/>
                <w:bCs/>
                <w:color w:val="000000"/>
                <w:lang w:val="en-US"/>
              </w:rPr>
              <w:t>(95.1</w:t>
            </w:r>
            <w:r w:rsidR="00A34FC8">
              <w:rPr>
                <w:rFonts w:ascii="Book Antiqua" w:hAnsi="Book Antiqua"/>
                <w:bCs/>
                <w:color w:val="000000"/>
                <w:lang w:val="en-US"/>
              </w:rPr>
              <w:t>)</w:t>
            </w:r>
          </w:p>
        </w:tc>
        <w:tc>
          <w:tcPr>
            <w:tcW w:w="678" w:type="pct"/>
            <w:vMerge w:val="restart"/>
            <w:vAlign w:val="center"/>
          </w:tcPr>
          <w:p w14:paraId="754137C5" w14:textId="701D6978"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&lt; 0.001</w:t>
            </w:r>
          </w:p>
        </w:tc>
      </w:tr>
      <w:tr w:rsidR="008A72E2" w:rsidRPr="001256B1" w14:paraId="0F91F4C4" w14:textId="77777777" w:rsidTr="008A72E2">
        <w:trPr>
          <w:cantSplit/>
          <w:trHeight w:val="895"/>
        </w:trPr>
        <w:tc>
          <w:tcPr>
            <w:tcW w:w="1061" w:type="pct"/>
            <w:vMerge/>
            <w:vAlign w:val="center"/>
          </w:tcPr>
          <w:p w14:paraId="4C44E674" w14:textId="77777777" w:rsidR="008A72E2" w:rsidRPr="001256B1"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4C82EC18" w14:textId="1F45F2AB"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lang w:val="en-US"/>
              </w:rPr>
              <w:t>MA</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23)</w:t>
            </w:r>
          </w:p>
        </w:tc>
        <w:tc>
          <w:tcPr>
            <w:tcW w:w="1059" w:type="pct"/>
            <w:vAlign w:val="center"/>
          </w:tcPr>
          <w:p w14:paraId="55A84363" w14:textId="6E50FF59"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20</w:t>
            </w:r>
            <w:r>
              <w:rPr>
                <w:rFonts w:ascii="Book Antiqua" w:hAnsi="Book Antiqua" w:hint="eastAsia"/>
                <w:bCs/>
                <w:color w:val="000000"/>
                <w:lang w:val="en-US" w:eastAsia="zh-CN"/>
              </w:rPr>
              <w:t xml:space="preserve"> </w:t>
            </w:r>
            <w:r w:rsidRPr="001256B1">
              <w:rPr>
                <w:rFonts w:ascii="Book Antiqua" w:hAnsi="Book Antiqua"/>
                <w:bCs/>
                <w:color w:val="000000"/>
                <w:lang w:val="en-US"/>
              </w:rPr>
              <w:t>(30.3</w:t>
            </w:r>
            <w:r w:rsidR="00A34FC8">
              <w:rPr>
                <w:rFonts w:ascii="Book Antiqua" w:hAnsi="Book Antiqua"/>
                <w:bCs/>
                <w:color w:val="000000"/>
                <w:lang w:val="en-US"/>
              </w:rPr>
              <w:t>)</w:t>
            </w:r>
          </w:p>
        </w:tc>
        <w:tc>
          <w:tcPr>
            <w:tcW w:w="897" w:type="pct"/>
            <w:vAlign w:val="center"/>
          </w:tcPr>
          <w:p w14:paraId="332E11AB" w14:textId="04B6EC86"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w:t>
            </w:r>
            <w:r>
              <w:rPr>
                <w:rFonts w:ascii="Book Antiqua" w:hAnsi="Book Antiqua" w:hint="eastAsia"/>
                <w:bCs/>
                <w:color w:val="000000"/>
                <w:lang w:val="en-US" w:eastAsia="zh-CN"/>
              </w:rPr>
              <w:t xml:space="preserve"> </w:t>
            </w:r>
            <w:r w:rsidRPr="001256B1">
              <w:rPr>
                <w:rFonts w:ascii="Book Antiqua" w:hAnsi="Book Antiqua"/>
                <w:bCs/>
                <w:color w:val="000000"/>
                <w:lang w:val="en-US"/>
              </w:rPr>
              <w:t>(4.9</w:t>
            </w:r>
            <w:r w:rsidR="00A34FC8">
              <w:rPr>
                <w:rFonts w:ascii="Book Antiqua" w:hAnsi="Book Antiqua"/>
                <w:bCs/>
                <w:color w:val="000000"/>
                <w:lang w:val="en-US"/>
              </w:rPr>
              <w:t>)</w:t>
            </w:r>
          </w:p>
        </w:tc>
        <w:tc>
          <w:tcPr>
            <w:tcW w:w="678" w:type="pct"/>
            <w:vMerge/>
            <w:vAlign w:val="center"/>
          </w:tcPr>
          <w:p w14:paraId="0968ABC2" w14:textId="77777777" w:rsidR="008A72E2" w:rsidRPr="001256B1" w:rsidRDefault="008A72E2" w:rsidP="00F55750">
            <w:pPr>
              <w:snapToGrid w:val="0"/>
              <w:spacing w:line="360" w:lineRule="auto"/>
              <w:jc w:val="both"/>
              <w:rPr>
                <w:rFonts w:ascii="Book Antiqua" w:hAnsi="Book Antiqua"/>
                <w:bCs/>
                <w:color w:val="000000"/>
                <w:lang w:val="en-US"/>
              </w:rPr>
            </w:pPr>
          </w:p>
        </w:tc>
      </w:tr>
      <w:tr w:rsidR="008A72E2" w:rsidRPr="001256B1" w14:paraId="6A5C7230" w14:textId="77777777" w:rsidTr="008A72E2">
        <w:trPr>
          <w:cantSplit/>
          <w:trHeight w:val="895"/>
        </w:trPr>
        <w:tc>
          <w:tcPr>
            <w:tcW w:w="1061" w:type="pct"/>
            <w:vMerge w:val="restart"/>
            <w:vAlign w:val="center"/>
          </w:tcPr>
          <w:p w14:paraId="6F0A7BD9" w14:textId="52D5CFFD"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 xml:space="preserve">Histological </w:t>
            </w:r>
            <w:proofErr w:type="spellStart"/>
            <w:r w:rsidRPr="001256B1">
              <w:rPr>
                <w:rFonts w:ascii="Book Antiqua" w:hAnsi="Book Antiqua"/>
                <w:bCs/>
                <w:color w:val="000000"/>
                <w:lang w:val="en-US"/>
              </w:rPr>
              <w:t>differentiation</w:t>
            </w:r>
            <w:r w:rsidRPr="001256B1">
              <w:rPr>
                <w:rFonts w:ascii="Book Antiqua" w:hAnsi="Book Antiqua"/>
                <w:bCs/>
                <w:color w:val="000000"/>
                <w:vertAlign w:val="superscript"/>
                <w:lang w:val="en-US"/>
              </w:rPr>
              <w:t>a</w:t>
            </w:r>
            <w:proofErr w:type="spellEnd"/>
          </w:p>
        </w:tc>
        <w:tc>
          <w:tcPr>
            <w:tcW w:w="1304" w:type="pct"/>
            <w:vAlign w:val="center"/>
          </w:tcPr>
          <w:p w14:paraId="687F8724" w14:textId="18648814" w:rsidR="008A72E2"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G2</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87)</w:t>
            </w:r>
          </w:p>
        </w:tc>
        <w:tc>
          <w:tcPr>
            <w:tcW w:w="1059" w:type="pct"/>
            <w:vAlign w:val="center"/>
          </w:tcPr>
          <w:p w14:paraId="7F706843" w14:textId="280DDE20"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35</w:t>
            </w:r>
            <w:r>
              <w:rPr>
                <w:rFonts w:ascii="Book Antiqua" w:hAnsi="Book Antiqua" w:hint="eastAsia"/>
                <w:bCs/>
                <w:color w:val="000000"/>
                <w:lang w:val="en-US" w:eastAsia="zh-CN"/>
              </w:rPr>
              <w:t xml:space="preserve"> </w:t>
            </w:r>
            <w:r w:rsidRPr="001256B1">
              <w:rPr>
                <w:rFonts w:ascii="Book Antiqua" w:hAnsi="Book Antiqua"/>
                <w:bCs/>
                <w:color w:val="000000"/>
                <w:lang w:val="en-US"/>
              </w:rPr>
              <w:t>(53.8</w:t>
            </w:r>
            <w:r w:rsidR="00A34FC8">
              <w:rPr>
                <w:rFonts w:ascii="Book Antiqua" w:hAnsi="Book Antiqua"/>
                <w:bCs/>
                <w:color w:val="000000"/>
                <w:lang w:val="en-US"/>
              </w:rPr>
              <w:t>)</w:t>
            </w:r>
          </w:p>
        </w:tc>
        <w:tc>
          <w:tcPr>
            <w:tcW w:w="897" w:type="pct"/>
            <w:vAlign w:val="center"/>
          </w:tcPr>
          <w:p w14:paraId="165CC80E" w14:textId="6078A9C8"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52</w:t>
            </w:r>
            <w:r>
              <w:rPr>
                <w:rFonts w:ascii="Book Antiqua" w:hAnsi="Book Antiqua" w:hint="eastAsia"/>
                <w:bCs/>
                <w:color w:val="000000"/>
                <w:lang w:val="en-US" w:eastAsia="zh-CN"/>
              </w:rPr>
              <w:t xml:space="preserve"> </w:t>
            </w:r>
            <w:r w:rsidRPr="001256B1">
              <w:rPr>
                <w:rFonts w:ascii="Book Antiqua" w:hAnsi="Book Antiqua"/>
                <w:bCs/>
                <w:color w:val="000000"/>
                <w:lang w:val="en-US"/>
              </w:rPr>
              <w:t>(85.2</w:t>
            </w:r>
            <w:r w:rsidR="00A34FC8">
              <w:rPr>
                <w:rFonts w:ascii="Book Antiqua" w:hAnsi="Book Antiqua"/>
                <w:bCs/>
                <w:color w:val="000000"/>
                <w:lang w:val="en-US"/>
              </w:rPr>
              <w:t>)</w:t>
            </w:r>
          </w:p>
        </w:tc>
        <w:tc>
          <w:tcPr>
            <w:tcW w:w="678" w:type="pct"/>
            <w:vMerge w:val="restart"/>
            <w:vAlign w:val="center"/>
          </w:tcPr>
          <w:p w14:paraId="0073825A" w14:textId="3364193B"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&lt; 0.001</w:t>
            </w:r>
          </w:p>
        </w:tc>
      </w:tr>
      <w:tr w:rsidR="008A72E2" w:rsidRPr="001256B1" w14:paraId="62594F5D" w14:textId="77777777" w:rsidTr="008A72E2">
        <w:trPr>
          <w:cantSplit/>
          <w:trHeight w:val="895"/>
        </w:trPr>
        <w:tc>
          <w:tcPr>
            <w:tcW w:w="1061" w:type="pct"/>
            <w:vMerge/>
            <w:vAlign w:val="center"/>
          </w:tcPr>
          <w:p w14:paraId="659491D7" w14:textId="77777777" w:rsidR="008A72E2" w:rsidRPr="001256B1"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4D7DDC6B" w14:textId="1477FCCD" w:rsidR="008A72E2"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G3</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39)</w:t>
            </w:r>
          </w:p>
        </w:tc>
        <w:tc>
          <w:tcPr>
            <w:tcW w:w="1059" w:type="pct"/>
            <w:vAlign w:val="center"/>
          </w:tcPr>
          <w:p w14:paraId="707DD287" w14:textId="409246D7"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30</w:t>
            </w:r>
            <w:r>
              <w:rPr>
                <w:rFonts w:ascii="Book Antiqua" w:hAnsi="Book Antiqua" w:hint="eastAsia"/>
                <w:bCs/>
                <w:color w:val="000000"/>
                <w:lang w:val="en-US" w:eastAsia="zh-CN"/>
              </w:rPr>
              <w:t xml:space="preserve"> </w:t>
            </w:r>
            <w:r w:rsidRPr="001256B1">
              <w:rPr>
                <w:rFonts w:ascii="Book Antiqua" w:hAnsi="Book Antiqua"/>
                <w:bCs/>
                <w:color w:val="000000"/>
                <w:lang w:val="en-US"/>
              </w:rPr>
              <w:t>(46.2</w:t>
            </w:r>
            <w:r w:rsidR="00A34FC8">
              <w:rPr>
                <w:rFonts w:ascii="Book Antiqua" w:hAnsi="Book Antiqua"/>
                <w:bCs/>
                <w:color w:val="000000"/>
                <w:lang w:val="en-US"/>
              </w:rPr>
              <w:t>)</w:t>
            </w:r>
          </w:p>
        </w:tc>
        <w:tc>
          <w:tcPr>
            <w:tcW w:w="897" w:type="pct"/>
            <w:vAlign w:val="center"/>
          </w:tcPr>
          <w:p w14:paraId="26028732" w14:textId="17D65EFB"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9</w:t>
            </w:r>
            <w:r>
              <w:rPr>
                <w:rFonts w:ascii="Book Antiqua" w:hAnsi="Book Antiqua" w:hint="eastAsia"/>
                <w:bCs/>
                <w:color w:val="000000"/>
                <w:lang w:val="en-US" w:eastAsia="zh-CN"/>
              </w:rPr>
              <w:t xml:space="preserve"> </w:t>
            </w:r>
            <w:r w:rsidRPr="001256B1">
              <w:rPr>
                <w:rFonts w:ascii="Book Antiqua" w:hAnsi="Book Antiqua"/>
                <w:bCs/>
                <w:color w:val="000000"/>
                <w:lang w:val="en-US"/>
              </w:rPr>
              <w:t>(14.8</w:t>
            </w:r>
            <w:r w:rsidR="00A34FC8">
              <w:rPr>
                <w:rFonts w:ascii="Book Antiqua" w:hAnsi="Book Antiqua"/>
                <w:bCs/>
                <w:color w:val="000000"/>
                <w:lang w:val="en-US"/>
              </w:rPr>
              <w:t>)</w:t>
            </w:r>
          </w:p>
        </w:tc>
        <w:tc>
          <w:tcPr>
            <w:tcW w:w="678" w:type="pct"/>
            <w:vMerge/>
            <w:vAlign w:val="center"/>
          </w:tcPr>
          <w:p w14:paraId="4A095045" w14:textId="77777777" w:rsidR="008A72E2" w:rsidRPr="001256B1" w:rsidRDefault="008A72E2" w:rsidP="00F55750">
            <w:pPr>
              <w:snapToGrid w:val="0"/>
              <w:spacing w:line="360" w:lineRule="auto"/>
              <w:jc w:val="both"/>
              <w:rPr>
                <w:rFonts w:ascii="Book Antiqua" w:hAnsi="Book Antiqua"/>
                <w:bCs/>
                <w:color w:val="000000"/>
                <w:lang w:val="en-US"/>
              </w:rPr>
            </w:pPr>
          </w:p>
        </w:tc>
      </w:tr>
      <w:tr w:rsidR="008A72E2" w:rsidRPr="001256B1" w14:paraId="0F03391C" w14:textId="77777777" w:rsidTr="008A72E2">
        <w:trPr>
          <w:cantSplit/>
          <w:trHeight w:val="895"/>
        </w:trPr>
        <w:tc>
          <w:tcPr>
            <w:tcW w:w="1061" w:type="pct"/>
            <w:vMerge w:val="restart"/>
            <w:vAlign w:val="center"/>
          </w:tcPr>
          <w:p w14:paraId="291B7699" w14:textId="77777777"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Tumor size</w:t>
            </w:r>
          </w:p>
        </w:tc>
        <w:tc>
          <w:tcPr>
            <w:tcW w:w="1304" w:type="pct"/>
            <w:vAlign w:val="center"/>
          </w:tcPr>
          <w:p w14:paraId="5AE9EDB6" w14:textId="5164A93F"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 xml:space="preserve">pT1 + </w:t>
            </w:r>
            <w:r>
              <w:rPr>
                <w:rFonts w:ascii="Book Antiqua" w:hAnsi="Book Antiqua"/>
                <w:bCs/>
                <w:color w:val="000000"/>
                <w:lang w:val="en-US"/>
              </w:rPr>
              <w:t>pT2</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11)</w:t>
            </w:r>
          </w:p>
        </w:tc>
        <w:tc>
          <w:tcPr>
            <w:tcW w:w="1059" w:type="pct"/>
            <w:vAlign w:val="center"/>
          </w:tcPr>
          <w:p w14:paraId="5B513C2D" w14:textId="1524D37A"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7</w:t>
            </w:r>
            <w:r>
              <w:rPr>
                <w:rFonts w:ascii="Book Antiqua" w:hAnsi="Book Antiqua" w:hint="eastAsia"/>
                <w:bCs/>
                <w:color w:val="000000"/>
                <w:lang w:val="en-US" w:eastAsia="zh-CN"/>
              </w:rPr>
              <w:t xml:space="preserve"> </w:t>
            </w:r>
            <w:r w:rsidRPr="001256B1">
              <w:rPr>
                <w:rFonts w:ascii="Book Antiqua" w:hAnsi="Book Antiqua"/>
                <w:bCs/>
                <w:color w:val="000000"/>
                <w:lang w:val="en-US"/>
              </w:rPr>
              <w:t>(10.6</w:t>
            </w:r>
            <w:r w:rsidR="00A34FC8">
              <w:rPr>
                <w:rFonts w:ascii="Book Antiqua" w:hAnsi="Book Antiqua"/>
                <w:bCs/>
                <w:color w:val="000000"/>
                <w:lang w:val="en-US"/>
              </w:rPr>
              <w:t>)</w:t>
            </w:r>
          </w:p>
        </w:tc>
        <w:tc>
          <w:tcPr>
            <w:tcW w:w="897" w:type="pct"/>
            <w:vAlign w:val="center"/>
          </w:tcPr>
          <w:p w14:paraId="567E7B1D" w14:textId="47FFDF85"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4</w:t>
            </w:r>
            <w:r>
              <w:rPr>
                <w:rFonts w:ascii="Book Antiqua" w:hAnsi="Book Antiqua" w:hint="eastAsia"/>
                <w:bCs/>
                <w:color w:val="000000"/>
                <w:lang w:val="en-US" w:eastAsia="zh-CN"/>
              </w:rPr>
              <w:t xml:space="preserve"> </w:t>
            </w:r>
            <w:r w:rsidRPr="001256B1">
              <w:rPr>
                <w:rFonts w:ascii="Book Antiqua" w:hAnsi="Book Antiqua"/>
                <w:bCs/>
                <w:color w:val="000000"/>
                <w:lang w:val="en-US"/>
              </w:rPr>
              <w:t>(6.6</w:t>
            </w:r>
            <w:r w:rsidR="00A34FC8">
              <w:rPr>
                <w:rFonts w:ascii="Book Antiqua" w:hAnsi="Book Antiqua"/>
                <w:bCs/>
                <w:color w:val="000000"/>
                <w:lang w:val="en-US"/>
              </w:rPr>
              <w:t>)</w:t>
            </w:r>
          </w:p>
        </w:tc>
        <w:tc>
          <w:tcPr>
            <w:tcW w:w="678" w:type="pct"/>
            <w:vMerge w:val="restart"/>
            <w:vAlign w:val="center"/>
          </w:tcPr>
          <w:p w14:paraId="4D45EF89" w14:textId="77777777"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0.312</w:t>
            </w:r>
          </w:p>
        </w:tc>
      </w:tr>
      <w:tr w:rsidR="008A72E2" w:rsidRPr="001256B1" w14:paraId="1433ECC1" w14:textId="77777777" w:rsidTr="008A72E2">
        <w:trPr>
          <w:cantSplit/>
          <w:trHeight w:val="895"/>
        </w:trPr>
        <w:tc>
          <w:tcPr>
            <w:tcW w:w="1061" w:type="pct"/>
            <w:vMerge/>
            <w:vAlign w:val="center"/>
          </w:tcPr>
          <w:p w14:paraId="741C29A9" w14:textId="77777777" w:rsidR="008A72E2" w:rsidRPr="001256B1"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3369FB44" w14:textId="41CF7520"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 xml:space="preserve">pT3 + </w:t>
            </w:r>
            <w:r>
              <w:rPr>
                <w:rFonts w:ascii="Book Antiqua" w:hAnsi="Book Antiqua"/>
                <w:bCs/>
                <w:color w:val="000000"/>
                <w:lang w:val="en-US"/>
              </w:rPr>
              <w:t>pT4</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116)</w:t>
            </w:r>
          </w:p>
        </w:tc>
        <w:tc>
          <w:tcPr>
            <w:tcW w:w="1059" w:type="pct"/>
            <w:vAlign w:val="center"/>
          </w:tcPr>
          <w:p w14:paraId="03D91F79" w14:textId="235A1909"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59</w:t>
            </w:r>
            <w:r>
              <w:rPr>
                <w:rFonts w:ascii="Book Antiqua" w:hAnsi="Book Antiqua" w:hint="eastAsia"/>
                <w:bCs/>
                <w:color w:val="000000"/>
                <w:lang w:val="en-US" w:eastAsia="zh-CN"/>
              </w:rPr>
              <w:t xml:space="preserve"> </w:t>
            </w:r>
            <w:r w:rsidRPr="001256B1">
              <w:rPr>
                <w:rFonts w:ascii="Book Antiqua" w:hAnsi="Book Antiqua"/>
                <w:bCs/>
                <w:color w:val="000000"/>
                <w:lang w:val="en-US"/>
              </w:rPr>
              <w:t>(89.4</w:t>
            </w:r>
            <w:r w:rsidR="00A34FC8">
              <w:rPr>
                <w:rFonts w:ascii="Book Antiqua" w:hAnsi="Book Antiqua"/>
                <w:bCs/>
                <w:color w:val="000000"/>
                <w:lang w:val="en-US"/>
              </w:rPr>
              <w:t>)</w:t>
            </w:r>
          </w:p>
        </w:tc>
        <w:tc>
          <w:tcPr>
            <w:tcW w:w="897" w:type="pct"/>
            <w:vAlign w:val="center"/>
          </w:tcPr>
          <w:p w14:paraId="3B99082D" w14:textId="731EA3F8"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57</w:t>
            </w:r>
            <w:r>
              <w:rPr>
                <w:rFonts w:ascii="Book Antiqua" w:hAnsi="Book Antiqua" w:hint="eastAsia"/>
                <w:bCs/>
                <w:color w:val="000000"/>
                <w:lang w:val="en-US" w:eastAsia="zh-CN"/>
              </w:rPr>
              <w:t xml:space="preserve"> </w:t>
            </w:r>
            <w:r w:rsidRPr="001256B1">
              <w:rPr>
                <w:rFonts w:ascii="Book Antiqua" w:hAnsi="Book Antiqua"/>
                <w:bCs/>
                <w:color w:val="000000"/>
                <w:lang w:val="en-US"/>
              </w:rPr>
              <w:t>(93.4</w:t>
            </w:r>
            <w:r w:rsidR="00A34FC8">
              <w:rPr>
                <w:rFonts w:ascii="Book Antiqua" w:hAnsi="Book Antiqua"/>
                <w:bCs/>
                <w:color w:val="000000"/>
                <w:lang w:val="en-US"/>
              </w:rPr>
              <w:t>)</w:t>
            </w:r>
          </w:p>
        </w:tc>
        <w:tc>
          <w:tcPr>
            <w:tcW w:w="678" w:type="pct"/>
            <w:vMerge/>
            <w:vAlign w:val="center"/>
          </w:tcPr>
          <w:p w14:paraId="78DB680E" w14:textId="77777777" w:rsidR="008A72E2" w:rsidRPr="001256B1" w:rsidRDefault="008A72E2" w:rsidP="00F55750">
            <w:pPr>
              <w:snapToGrid w:val="0"/>
              <w:spacing w:line="360" w:lineRule="auto"/>
              <w:jc w:val="both"/>
              <w:rPr>
                <w:rFonts w:ascii="Book Antiqua" w:hAnsi="Book Antiqua"/>
                <w:bCs/>
                <w:color w:val="000000"/>
                <w:lang w:val="en-US"/>
              </w:rPr>
            </w:pPr>
          </w:p>
        </w:tc>
      </w:tr>
      <w:tr w:rsidR="008A72E2" w:rsidRPr="001256B1" w14:paraId="26994505" w14:textId="77777777" w:rsidTr="008A72E2">
        <w:trPr>
          <w:cantSplit/>
          <w:trHeight w:val="895"/>
        </w:trPr>
        <w:tc>
          <w:tcPr>
            <w:tcW w:w="1061" w:type="pct"/>
            <w:vMerge w:val="restart"/>
            <w:vAlign w:val="center"/>
          </w:tcPr>
          <w:p w14:paraId="636227E9" w14:textId="0573A876"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Lymph node Involvement</w:t>
            </w:r>
          </w:p>
        </w:tc>
        <w:tc>
          <w:tcPr>
            <w:tcW w:w="1304" w:type="pct"/>
            <w:vAlign w:val="center"/>
          </w:tcPr>
          <w:p w14:paraId="2FA8BD74" w14:textId="646C9FED" w:rsidR="008A72E2"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Negative</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60)</w:t>
            </w:r>
          </w:p>
        </w:tc>
        <w:tc>
          <w:tcPr>
            <w:tcW w:w="1059" w:type="pct"/>
            <w:vAlign w:val="center"/>
          </w:tcPr>
          <w:p w14:paraId="7778E247" w14:textId="0AB38C3A"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29</w:t>
            </w:r>
            <w:r>
              <w:rPr>
                <w:rFonts w:ascii="Book Antiqua" w:hAnsi="Book Antiqua" w:hint="eastAsia"/>
                <w:bCs/>
                <w:color w:val="000000"/>
                <w:lang w:val="en-US" w:eastAsia="zh-CN"/>
              </w:rPr>
              <w:t xml:space="preserve"> </w:t>
            </w:r>
            <w:r w:rsidRPr="001256B1">
              <w:rPr>
                <w:rFonts w:ascii="Book Antiqua" w:hAnsi="Book Antiqua"/>
                <w:bCs/>
                <w:color w:val="000000"/>
                <w:lang w:val="en-US"/>
              </w:rPr>
              <w:t>(43.9</w:t>
            </w:r>
            <w:r w:rsidR="00A34FC8">
              <w:rPr>
                <w:rFonts w:ascii="Book Antiqua" w:hAnsi="Book Antiqua"/>
                <w:bCs/>
                <w:color w:val="000000"/>
                <w:lang w:val="en-US"/>
              </w:rPr>
              <w:t>)</w:t>
            </w:r>
          </w:p>
        </w:tc>
        <w:tc>
          <w:tcPr>
            <w:tcW w:w="897" w:type="pct"/>
            <w:vAlign w:val="center"/>
          </w:tcPr>
          <w:p w14:paraId="738DC782" w14:textId="061A234C"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31</w:t>
            </w:r>
            <w:r>
              <w:rPr>
                <w:rFonts w:ascii="Book Antiqua" w:hAnsi="Book Antiqua" w:hint="eastAsia"/>
                <w:bCs/>
                <w:color w:val="000000"/>
                <w:lang w:val="en-US" w:eastAsia="zh-CN"/>
              </w:rPr>
              <w:t xml:space="preserve"> </w:t>
            </w:r>
            <w:r w:rsidRPr="001256B1">
              <w:rPr>
                <w:rFonts w:ascii="Book Antiqua" w:hAnsi="Book Antiqua"/>
                <w:bCs/>
                <w:color w:val="000000"/>
                <w:lang w:val="en-US"/>
              </w:rPr>
              <w:t>(50.8</w:t>
            </w:r>
            <w:r w:rsidR="00A34FC8">
              <w:rPr>
                <w:rFonts w:ascii="Book Antiqua" w:hAnsi="Book Antiqua"/>
                <w:bCs/>
                <w:color w:val="000000"/>
                <w:lang w:val="en-US"/>
              </w:rPr>
              <w:t>)</w:t>
            </w:r>
          </w:p>
        </w:tc>
        <w:tc>
          <w:tcPr>
            <w:tcW w:w="678" w:type="pct"/>
            <w:vMerge w:val="restart"/>
            <w:vAlign w:val="center"/>
          </w:tcPr>
          <w:p w14:paraId="212BC109" w14:textId="77777777"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0.438</w:t>
            </w:r>
          </w:p>
        </w:tc>
      </w:tr>
      <w:tr w:rsidR="008A72E2" w:rsidRPr="001256B1" w14:paraId="3825ECA1" w14:textId="77777777" w:rsidTr="008A72E2">
        <w:trPr>
          <w:cantSplit/>
          <w:trHeight w:val="895"/>
        </w:trPr>
        <w:tc>
          <w:tcPr>
            <w:tcW w:w="1061" w:type="pct"/>
            <w:vMerge/>
            <w:tcBorders>
              <w:bottom w:val="single" w:sz="4" w:space="0" w:color="auto"/>
            </w:tcBorders>
            <w:vAlign w:val="center"/>
          </w:tcPr>
          <w:p w14:paraId="792C6B15" w14:textId="77777777" w:rsidR="008A72E2" w:rsidRPr="001256B1" w:rsidRDefault="008A72E2" w:rsidP="00F55750">
            <w:pPr>
              <w:snapToGrid w:val="0"/>
              <w:spacing w:line="360" w:lineRule="auto"/>
              <w:jc w:val="both"/>
              <w:rPr>
                <w:rFonts w:ascii="Book Antiqua" w:hAnsi="Book Antiqua"/>
                <w:bCs/>
                <w:color w:val="000000"/>
                <w:lang w:val="en-US"/>
              </w:rPr>
            </w:pPr>
          </w:p>
        </w:tc>
        <w:tc>
          <w:tcPr>
            <w:tcW w:w="1304" w:type="pct"/>
            <w:tcBorders>
              <w:bottom w:val="single" w:sz="4" w:space="0" w:color="auto"/>
            </w:tcBorders>
            <w:vAlign w:val="center"/>
          </w:tcPr>
          <w:p w14:paraId="15ACDC11" w14:textId="15A9437E" w:rsidR="008A72E2" w:rsidRPr="001256B1" w:rsidRDefault="008A72E2" w:rsidP="00F55750">
            <w:pPr>
              <w:snapToGrid w:val="0"/>
              <w:spacing w:line="360" w:lineRule="auto"/>
              <w:jc w:val="both"/>
              <w:rPr>
                <w:rFonts w:ascii="Book Antiqua" w:hAnsi="Book Antiqua"/>
                <w:bCs/>
                <w:color w:val="000000"/>
                <w:lang w:val="en-US"/>
              </w:rPr>
            </w:pPr>
            <w:r>
              <w:rPr>
                <w:rFonts w:ascii="Book Antiqua" w:hAnsi="Book Antiqua"/>
                <w:bCs/>
                <w:color w:val="000000"/>
                <w:lang w:val="en-US"/>
              </w:rPr>
              <w:t>Positive</w:t>
            </w:r>
            <w:r>
              <w:rPr>
                <w:rFonts w:ascii="Book Antiqua" w:hAnsi="Book Antiqua" w:hint="eastAsia"/>
                <w:bCs/>
                <w:color w:val="000000"/>
                <w:lang w:val="en-US" w:eastAsia="zh-CN"/>
              </w:rPr>
              <w:t xml:space="preserve"> </w:t>
            </w:r>
            <w:r w:rsidRPr="001256B1">
              <w:rPr>
                <w:rFonts w:ascii="Book Antiqua" w:hAnsi="Book Antiqua"/>
                <w:bCs/>
                <w:color w:val="000000"/>
                <w:lang w:val="en-US"/>
              </w:rPr>
              <w:t>(</w:t>
            </w:r>
            <w:r w:rsidRPr="001256B1">
              <w:rPr>
                <w:rFonts w:ascii="Book Antiqua" w:hAnsi="Book Antiqua"/>
                <w:bCs/>
                <w:i/>
                <w:iCs/>
                <w:color w:val="000000"/>
                <w:lang w:val="en-US"/>
              </w:rPr>
              <w:t xml:space="preserve">n </w:t>
            </w:r>
            <w:r w:rsidRPr="001256B1">
              <w:rPr>
                <w:rFonts w:ascii="Book Antiqua" w:hAnsi="Book Antiqua"/>
                <w:bCs/>
                <w:color w:val="000000"/>
                <w:lang w:val="en-US"/>
              </w:rPr>
              <w:t>= 67)</w:t>
            </w:r>
          </w:p>
        </w:tc>
        <w:tc>
          <w:tcPr>
            <w:tcW w:w="1059" w:type="pct"/>
            <w:tcBorders>
              <w:bottom w:val="single" w:sz="4" w:space="0" w:color="auto"/>
            </w:tcBorders>
            <w:vAlign w:val="center"/>
          </w:tcPr>
          <w:p w14:paraId="23832549" w14:textId="38FBBAA6"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37</w:t>
            </w:r>
            <w:r>
              <w:rPr>
                <w:rFonts w:ascii="Book Antiqua" w:hAnsi="Book Antiqua" w:hint="eastAsia"/>
                <w:bCs/>
                <w:color w:val="000000"/>
                <w:lang w:val="en-US" w:eastAsia="zh-CN"/>
              </w:rPr>
              <w:t xml:space="preserve"> </w:t>
            </w:r>
            <w:r w:rsidRPr="001256B1">
              <w:rPr>
                <w:rFonts w:ascii="Book Antiqua" w:hAnsi="Book Antiqua"/>
                <w:color w:val="000000"/>
                <w:lang w:val="en-US"/>
              </w:rPr>
              <w:t>(56.1</w:t>
            </w:r>
            <w:r w:rsidR="00A34FC8">
              <w:rPr>
                <w:rFonts w:ascii="Book Antiqua" w:hAnsi="Book Antiqua"/>
                <w:color w:val="000000"/>
                <w:lang w:val="en-US"/>
              </w:rPr>
              <w:t>)</w:t>
            </w:r>
          </w:p>
        </w:tc>
        <w:tc>
          <w:tcPr>
            <w:tcW w:w="897" w:type="pct"/>
            <w:tcBorders>
              <w:bottom w:val="single" w:sz="4" w:space="0" w:color="auto"/>
            </w:tcBorders>
            <w:vAlign w:val="center"/>
          </w:tcPr>
          <w:p w14:paraId="793A2254" w14:textId="6C238714" w:rsidR="008A72E2" w:rsidRPr="001256B1" w:rsidRDefault="008A72E2" w:rsidP="00F55750">
            <w:pPr>
              <w:snapToGrid w:val="0"/>
              <w:spacing w:line="360" w:lineRule="auto"/>
              <w:jc w:val="both"/>
              <w:rPr>
                <w:rFonts w:ascii="Book Antiqua" w:hAnsi="Book Antiqua"/>
                <w:bCs/>
                <w:color w:val="000000"/>
                <w:lang w:val="en-US"/>
              </w:rPr>
            </w:pPr>
            <w:r w:rsidRPr="001256B1">
              <w:rPr>
                <w:rFonts w:ascii="Book Antiqua" w:hAnsi="Book Antiqua"/>
                <w:bCs/>
                <w:color w:val="000000"/>
                <w:lang w:val="en-US"/>
              </w:rPr>
              <w:t>30</w:t>
            </w:r>
            <w:r>
              <w:rPr>
                <w:rFonts w:ascii="Book Antiqua" w:hAnsi="Book Antiqua" w:hint="eastAsia"/>
                <w:bCs/>
                <w:color w:val="000000"/>
                <w:lang w:val="en-US" w:eastAsia="zh-CN"/>
              </w:rPr>
              <w:t xml:space="preserve"> </w:t>
            </w:r>
            <w:r w:rsidRPr="001256B1">
              <w:rPr>
                <w:rFonts w:ascii="Book Antiqua" w:hAnsi="Book Antiqua"/>
                <w:color w:val="000000"/>
                <w:lang w:val="en-US"/>
              </w:rPr>
              <w:t>(49.2</w:t>
            </w:r>
            <w:r w:rsidR="00A34FC8">
              <w:rPr>
                <w:rFonts w:ascii="Book Antiqua" w:hAnsi="Book Antiqua"/>
                <w:color w:val="000000"/>
                <w:lang w:val="en-US"/>
              </w:rPr>
              <w:t>)</w:t>
            </w:r>
          </w:p>
        </w:tc>
        <w:tc>
          <w:tcPr>
            <w:tcW w:w="678" w:type="pct"/>
            <w:vMerge/>
            <w:tcBorders>
              <w:bottom w:val="single" w:sz="4" w:space="0" w:color="auto"/>
            </w:tcBorders>
            <w:vAlign w:val="center"/>
          </w:tcPr>
          <w:p w14:paraId="4643F54A" w14:textId="77777777" w:rsidR="008A72E2" w:rsidRPr="001256B1" w:rsidRDefault="008A72E2" w:rsidP="00F55750">
            <w:pPr>
              <w:snapToGrid w:val="0"/>
              <w:spacing w:line="360" w:lineRule="auto"/>
              <w:jc w:val="both"/>
              <w:rPr>
                <w:rFonts w:ascii="Book Antiqua" w:hAnsi="Book Antiqua"/>
                <w:bCs/>
                <w:color w:val="000000"/>
                <w:lang w:val="en-US"/>
              </w:rPr>
            </w:pPr>
          </w:p>
        </w:tc>
      </w:tr>
    </w:tbl>
    <w:p w14:paraId="66C391B6" w14:textId="77777777" w:rsidR="008A72E2" w:rsidRDefault="008A72E2" w:rsidP="00F55750">
      <w:pPr>
        <w:snapToGrid w:val="0"/>
        <w:spacing w:line="360" w:lineRule="auto"/>
        <w:jc w:val="both"/>
        <w:rPr>
          <w:rFonts w:ascii="Book Antiqua" w:hAnsi="Book Antiqua"/>
          <w:lang w:val="en-US"/>
        </w:rPr>
        <w:sectPr w:rsidR="008A72E2" w:rsidSect="00D47EE1">
          <w:headerReference w:type="default" r:id="rId7"/>
          <w:footerReference w:type="default" r:id="rId8"/>
          <w:type w:val="continuous"/>
          <w:pgSz w:w="11900" w:h="16840"/>
          <w:pgMar w:top="1440" w:right="1800" w:bottom="1440" w:left="1800" w:header="708" w:footer="708" w:gutter="0"/>
          <w:cols w:space="708"/>
          <w:docGrid w:linePitch="360"/>
        </w:sectPr>
      </w:pPr>
      <w:r w:rsidRPr="001256B1">
        <w:rPr>
          <w:rFonts w:ascii="Book Antiqua" w:hAnsi="Book Antiqua"/>
          <w:lang w:val="en-US"/>
        </w:rPr>
        <w:t xml:space="preserve">Correlations were analyzed by </w:t>
      </w:r>
      <w:r w:rsidRPr="001256B1">
        <w:rPr>
          <w:rFonts w:ascii="Book Antiqua" w:hAnsi="Book Antiqua"/>
          <w:bCs/>
          <w:lang w:val="en-US"/>
        </w:rPr>
        <w:t xml:space="preserve">Fisher exact test. </w:t>
      </w:r>
      <w:proofErr w:type="spellStart"/>
      <w:r w:rsidRPr="001256B1">
        <w:rPr>
          <w:rFonts w:ascii="Book Antiqua" w:hAnsi="Book Antiqua"/>
          <w:bCs/>
          <w:vertAlign w:val="superscript"/>
          <w:lang w:val="en-US"/>
        </w:rPr>
        <w:t>a</w:t>
      </w:r>
      <w:r w:rsidRPr="001256B1">
        <w:rPr>
          <w:rFonts w:ascii="Book Antiqua" w:hAnsi="Book Antiqua"/>
          <w:bCs/>
          <w:i/>
          <w:iCs/>
          <w:lang w:val="en-US"/>
        </w:rPr>
        <w:t>P</w:t>
      </w:r>
      <w:proofErr w:type="spellEnd"/>
      <w:r w:rsidRPr="001256B1">
        <w:rPr>
          <w:rFonts w:ascii="Book Antiqua" w:hAnsi="Book Antiqua"/>
          <w:bCs/>
          <w:i/>
          <w:iCs/>
          <w:lang w:val="en-US"/>
        </w:rPr>
        <w:t xml:space="preserve"> </w:t>
      </w:r>
      <w:r w:rsidRPr="001256B1">
        <w:rPr>
          <w:rFonts w:ascii="Book Antiqua" w:hAnsi="Book Antiqua"/>
          <w:bCs/>
          <w:lang w:val="en-US"/>
        </w:rPr>
        <w:t>&lt; 0.05;</w:t>
      </w:r>
      <w:r w:rsidRPr="001256B1">
        <w:rPr>
          <w:rFonts w:ascii="Book Antiqua" w:hAnsi="Book Antiqua"/>
          <w:b/>
          <w:lang w:val="en-US"/>
        </w:rPr>
        <w:t xml:space="preserve"> </w:t>
      </w:r>
      <w:r w:rsidRPr="001256B1">
        <w:rPr>
          <w:rFonts w:ascii="Book Antiqua" w:hAnsi="Book Antiqua"/>
          <w:bCs/>
          <w:i/>
          <w:iCs/>
          <w:lang w:val="en-US"/>
        </w:rPr>
        <w:t>n</w:t>
      </w:r>
      <w:r w:rsidRPr="001256B1">
        <w:rPr>
          <w:rFonts w:ascii="Book Antiqua" w:hAnsi="Book Antiqua"/>
          <w:b/>
          <w:lang w:val="en-US"/>
        </w:rPr>
        <w:t xml:space="preserve">: </w:t>
      </w:r>
      <w:r w:rsidRPr="001256B1">
        <w:rPr>
          <w:rFonts w:ascii="Book Antiqua" w:hAnsi="Book Antiqua"/>
          <w:lang w:val="en-US"/>
        </w:rPr>
        <w:t xml:space="preserve">Number of cases; r: Correlation coefficient; </w:t>
      </w:r>
      <w:r w:rsidRPr="001256B1">
        <w:rPr>
          <w:rFonts w:ascii="Book Antiqua" w:hAnsi="Book Antiqua"/>
          <w:bCs/>
          <w:lang w:val="en-US"/>
        </w:rPr>
        <w:t>A</w:t>
      </w:r>
      <w:r w:rsidRPr="001256B1">
        <w:rPr>
          <w:rFonts w:ascii="Book Antiqua" w:hAnsi="Book Antiqua"/>
          <w:bCs/>
          <w:lang w:val="en-US" w:eastAsia="zh-CN"/>
        </w:rPr>
        <w:t xml:space="preserve">: </w:t>
      </w:r>
      <w:r w:rsidRPr="001256B1">
        <w:rPr>
          <w:rFonts w:ascii="Book Antiqua" w:hAnsi="Book Antiqua"/>
          <w:lang w:val="en-US"/>
        </w:rPr>
        <w:t xml:space="preserve">Adenocarcinoma; </w:t>
      </w:r>
      <w:r w:rsidRPr="001256B1">
        <w:rPr>
          <w:rFonts w:ascii="Book Antiqua" w:hAnsi="Book Antiqua"/>
          <w:bCs/>
          <w:lang w:val="en-US"/>
        </w:rPr>
        <w:t>MA</w:t>
      </w:r>
      <w:r w:rsidRPr="001256B1">
        <w:rPr>
          <w:rFonts w:ascii="Book Antiqua" w:hAnsi="Book Antiqua"/>
          <w:bCs/>
          <w:lang w:val="en-US" w:eastAsia="zh-CN"/>
        </w:rPr>
        <w:t xml:space="preserve">: </w:t>
      </w:r>
      <w:r w:rsidRPr="001256B1">
        <w:rPr>
          <w:rFonts w:ascii="Book Antiqua" w:hAnsi="Book Antiqua"/>
          <w:lang w:val="en-US"/>
        </w:rPr>
        <w:t xml:space="preserve">Mucinous adenocarcinoma; </w:t>
      </w:r>
      <w:r w:rsidRPr="001256B1">
        <w:rPr>
          <w:rFonts w:ascii="Book Antiqua" w:hAnsi="Book Antiqua"/>
          <w:bCs/>
          <w:lang w:val="en-US"/>
        </w:rPr>
        <w:t xml:space="preserve">G2: </w:t>
      </w:r>
      <w:r w:rsidRPr="001256B1">
        <w:rPr>
          <w:rFonts w:ascii="Book Antiqua" w:hAnsi="Book Antiqua"/>
          <w:lang w:val="en-US"/>
        </w:rPr>
        <w:t xml:space="preserve">Moderately differentiated; </w:t>
      </w:r>
      <w:r w:rsidRPr="001256B1">
        <w:rPr>
          <w:rFonts w:ascii="Book Antiqua" w:hAnsi="Book Antiqua"/>
          <w:bCs/>
          <w:lang w:val="en-US"/>
        </w:rPr>
        <w:t xml:space="preserve">G3: </w:t>
      </w:r>
      <w:r w:rsidRPr="001256B1">
        <w:rPr>
          <w:rFonts w:ascii="Book Antiqua" w:hAnsi="Book Antiqua"/>
          <w:lang w:val="en-US"/>
        </w:rPr>
        <w:t xml:space="preserve">Poorly differentiated; </w:t>
      </w:r>
      <w:r w:rsidRPr="001256B1">
        <w:rPr>
          <w:rFonts w:ascii="Book Antiqua" w:hAnsi="Book Antiqua"/>
          <w:bCs/>
          <w:lang w:val="en-US"/>
        </w:rPr>
        <w:t xml:space="preserve">N (-): </w:t>
      </w:r>
      <w:r w:rsidRPr="001256B1">
        <w:rPr>
          <w:rFonts w:ascii="Book Antiqua" w:hAnsi="Book Antiqua"/>
          <w:lang w:val="en-US"/>
        </w:rPr>
        <w:t xml:space="preserve">Negative lymph node invasion; </w:t>
      </w:r>
      <w:r w:rsidRPr="001256B1">
        <w:rPr>
          <w:rFonts w:ascii="Book Antiqua" w:hAnsi="Book Antiqua"/>
          <w:bCs/>
          <w:lang w:val="en-US"/>
        </w:rPr>
        <w:t xml:space="preserve">N (+): </w:t>
      </w:r>
      <w:r w:rsidRPr="001256B1">
        <w:rPr>
          <w:rFonts w:ascii="Book Antiqua" w:hAnsi="Book Antiqua"/>
          <w:lang w:val="en-US"/>
        </w:rPr>
        <w:t xml:space="preserve">Positive lymph node invasion. </w:t>
      </w:r>
    </w:p>
    <w:p w14:paraId="3C361199" w14:textId="70714402" w:rsidR="00F05A97" w:rsidRPr="001256B1" w:rsidRDefault="008A72E2" w:rsidP="00F55750">
      <w:pPr>
        <w:snapToGrid w:val="0"/>
        <w:spacing w:line="360" w:lineRule="auto"/>
        <w:jc w:val="both"/>
        <w:rPr>
          <w:rFonts w:ascii="Book Antiqua" w:hAnsi="Book Antiqua"/>
          <w:b/>
          <w:bCs/>
          <w:lang w:val="en-US"/>
        </w:rPr>
      </w:pPr>
      <w:r w:rsidRPr="001256B1">
        <w:rPr>
          <w:rFonts w:ascii="Book Antiqua" w:hAnsi="Book Antiqua"/>
          <w:b/>
          <w:lang w:val="en-US"/>
        </w:rPr>
        <w:lastRenderedPageBreak/>
        <w:t xml:space="preserve">Table 2 </w:t>
      </w:r>
      <w:r w:rsidRPr="001256B1">
        <w:rPr>
          <w:rFonts w:ascii="Book Antiqua" w:hAnsi="Book Antiqua"/>
          <w:b/>
          <w:bCs/>
          <w:lang w:val="en-US"/>
        </w:rPr>
        <w:t xml:space="preserve">Analysis of correlations between Insulin receptor substrate 1, </w:t>
      </w:r>
      <w:proofErr w:type="spellStart"/>
      <w:r w:rsidRPr="001256B1">
        <w:rPr>
          <w:rFonts w:ascii="Book Antiqua" w:hAnsi="Book Antiqua"/>
          <w:b/>
          <w:bCs/>
          <w:lang w:val="en-US"/>
        </w:rPr>
        <w:t>Bax</w:t>
      </w:r>
      <w:proofErr w:type="spellEnd"/>
      <w:r w:rsidRPr="001256B1">
        <w:rPr>
          <w:rFonts w:ascii="Book Antiqua" w:hAnsi="Book Antiqua"/>
          <w:b/>
          <w:bCs/>
          <w:lang w:val="en-US"/>
        </w:rPr>
        <w:t xml:space="preserve"> and </w:t>
      </w:r>
      <w:proofErr w:type="spellStart"/>
      <w:r w:rsidRPr="001256B1">
        <w:rPr>
          <w:rFonts w:ascii="Book Antiqua" w:hAnsi="Book Antiqua"/>
          <w:b/>
          <w:bCs/>
          <w:lang w:val="en-US"/>
        </w:rPr>
        <w:t>Bcl-xL</w:t>
      </w:r>
      <w:proofErr w:type="spellEnd"/>
      <w:r w:rsidRPr="001256B1">
        <w:rPr>
          <w:rFonts w:ascii="Book Antiqua" w:hAnsi="Book Antiqua"/>
          <w:b/>
          <w:bCs/>
          <w:lang w:val="en-US"/>
        </w:rPr>
        <w:t xml:space="preserve"> expressions in primary colorectal cancer</w:t>
      </w:r>
    </w:p>
    <w:tbl>
      <w:tblPr>
        <w:tblStyle w:val="ab"/>
        <w:tblW w:w="13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420"/>
        <w:gridCol w:w="1401"/>
        <w:gridCol w:w="1571"/>
        <w:gridCol w:w="1571"/>
        <w:gridCol w:w="1431"/>
        <w:gridCol w:w="1437"/>
        <w:gridCol w:w="1559"/>
      </w:tblGrid>
      <w:tr w:rsidR="00F05A97" w:rsidRPr="001256B1" w14:paraId="40D1094D" w14:textId="77777777" w:rsidTr="00A34FC8">
        <w:trPr>
          <w:trHeight w:val="215"/>
        </w:trPr>
        <w:tc>
          <w:tcPr>
            <w:tcW w:w="4406" w:type="dxa"/>
            <w:gridSpan w:val="2"/>
            <w:vMerge w:val="restart"/>
            <w:tcBorders>
              <w:top w:val="single" w:sz="12" w:space="0" w:color="auto"/>
            </w:tcBorders>
          </w:tcPr>
          <w:p w14:paraId="48DB286A"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r w:rsidRPr="001256B1">
              <w:rPr>
                <w:rFonts w:ascii="Book Antiqua" w:hAnsi="Book Antiqua"/>
                <w:b/>
                <w:bCs/>
                <w:color w:val="000000" w:themeColor="text1"/>
                <w:lang w:val="en-US"/>
              </w:rPr>
              <w:t>Groups of patients</w:t>
            </w:r>
          </w:p>
        </w:tc>
        <w:tc>
          <w:tcPr>
            <w:tcW w:w="1401" w:type="dxa"/>
            <w:tcBorders>
              <w:top w:val="single" w:sz="12" w:space="0" w:color="auto"/>
              <w:bottom w:val="single" w:sz="4" w:space="0" w:color="auto"/>
            </w:tcBorders>
          </w:tcPr>
          <w:p w14:paraId="1AAA430A"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p>
        </w:tc>
        <w:tc>
          <w:tcPr>
            <w:tcW w:w="3142" w:type="dxa"/>
            <w:gridSpan w:val="2"/>
            <w:tcBorders>
              <w:top w:val="single" w:sz="12" w:space="0" w:color="auto"/>
              <w:bottom w:val="single" w:sz="4" w:space="0" w:color="auto"/>
            </w:tcBorders>
          </w:tcPr>
          <w:p w14:paraId="10DA8E3C" w14:textId="692F3D07" w:rsidR="00F05A97" w:rsidRPr="001256B1" w:rsidRDefault="00E45F0D" w:rsidP="00F55750">
            <w:pPr>
              <w:snapToGrid w:val="0"/>
              <w:spacing w:line="360" w:lineRule="auto"/>
              <w:jc w:val="both"/>
              <w:textAlignment w:val="baseline"/>
              <w:rPr>
                <w:rFonts w:ascii="Book Antiqua" w:hAnsi="Book Antiqua"/>
                <w:b/>
                <w:bCs/>
                <w:color w:val="000000" w:themeColor="text1"/>
                <w:lang w:val="en-US"/>
              </w:rPr>
            </w:pPr>
            <w:r w:rsidRPr="001256B1">
              <w:rPr>
                <w:rFonts w:ascii="Book Antiqua" w:hAnsi="Book Antiqua"/>
                <w:b/>
                <w:bCs/>
                <w:color w:val="000000" w:themeColor="text1"/>
                <w:lang w:val="en-US"/>
              </w:rPr>
              <w:t>IRS-1</w:t>
            </w:r>
            <w:r w:rsidR="00F05A97" w:rsidRPr="001256B1">
              <w:rPr>
                <w:rFonts w:ascii="Book Antiqua" w:hAnsi="Book Antiqua"/>
                <w:b/>
                <w:bCs/>
                <w:color w:val="000000" w:themeColor="text1"/>
                <w:lang w:val="en-US"/>
              </w:rPr>
              <w:t>–</w:t>
            </w:r>
            <w:proofErr w:type="spellStart"/>
            <w:r w:rsidR="00F05A97" w:rsidRPr="001256B1">
              <w:rPr>
                <w:rFonts w:ascii="Book Antiqua" w:hAnsi="Book Antiqua"/>
                <w:b/>
                <w:bCs/>
                <w:color w:val="000000" w:themeColor="text1"/>
                <w:lang w:val="en-US"/>
              </w:rPr>
              <w:t>Bax</w:t>
            </w:r>
            <w:proofErr w:type="spellEnd"/>
          </w:p>
        </w:tc>
        <w:tc>
          <w:tcPr>
            <w:tcW w:w="1431" w:type="dxa"/>
            <w:tcBorders>
              <w:top w:val="single" w:sz="12" w:space="0" w:color="auto"/>
              <w:bottom w:val="single" w:sz="4" w:space="0" w:color="auto"/>
            </w:tcBorders>
          </w:tcPr>
          <w:p w14:paraId="2B8F3EBB"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p>
        </w:tc>
        <w:tc>
          <w:tcPr>
            <w:tcW w:w="2996" w:type="dxa"/>
            <w:gridSpan w:val="2"/>
            <w:tcBorders>
              <w:top w:val="single" w:sz="12" w:space="0" w:color="auto"/>
              <w:bottom w:val="single" w:sz="4" w:space="0" w:color="auto"/>
            </w:tcBorders>
          </w:tcPr>
          <w:p w14:paraId="316668D9" w14:textId="7A771CBC" w:rsidR="00F05A97" w:rsidRPr="001256B1" w:rsidRDefault="00E45F0D" w:rsidP="00F55750">
            <w:pPr>
              <w:snapToGrid w:val="0"/>
              <w:spacing w:line="360" w:lineRule="auto"/>
              <w:jc w:val="both"/>
              <w:textAlignment w:val="baseline"/>
              <w:rPr>
                <w:rFonts w:ascii="Book Antiqua" w:hAnsi="Book Antiqua"/>
                <w:b/>
                <w:bCs/>
                <w:color w:val="000000" w:themeColor="text1"/>
                <w:lang w:val="en-US"/>
              </w:rPr>
            </w:pPr>
            <w:r w:rsidRPr="001256B1">
              <w:rPr>
                <w:rFonts w:ascii="Book Antiqua" w:hAnsi="Book Antiqua"/>
                <w:b/>
                <w:bCs/>
                <w:color w:val="000000" w:themeColor="text1"/>
                <w:lang w:val="en-US"/>
              </w:rPr>
              <w:t>IRS-1</w:t>
            </w:r>
            <w:r w:rsidR="00F05A97" w:rsidRPr="001256B1">
              <w:rPr>
                <w:rFonts w:ascii="Book Antiqua" w:hAnsi="Book Antiqua"/>
                <w:b/>
                <w:bCs/>
                <w:color w:val="000000" w:themeColor="text1"/>
                <w:lang w:val="en-US"/>
              </w:rPr>
              <w:t>–</w:t>
            </w:r>
            <w:proofErr w:type="spellStart"/>
            <w:r w:rsidR="00F05A97" w:rsidRPr="001256B1">
              <w:rPr>
                <w:rFonts w:ascii="Book Antiqua" w:hAnsi="Book Antiqua"/>
                <w:b/>
                <w:bCs/>
                <w:color w:val="000000" w:themeColor="text1"/>
                <w:lang w:val="en-US"/>
              </w:rPr>
              <w:t>Bcl-xL</w:t>
            </w:r>
            <w:proofErr w:type="spellEnd"/>
          </w:p>
        </w:tc>
      </w:tr>
      <w:tr w:rsidR="00F05A97" w:rsidRPr="001256B1" w14:paraId="21C155D9" w14:textId="77777777" w:rsidTr="00A34FC8">
        <w:trPr>
          <w:trHeight w:val="81"/>
        </w:trPr>
        <w:tc>
          <w:tcPr>
            <w:tcW w:w="4406" w:type="dxa"/>
            <w:gridSpan w:val="2"/>
            <w:vMerge/>
            <w:tcBorders>
              <w:bottom w:val="single" w:sz="4" w:space="0" w:color="auto"/>
            </w:tcBorders>
          </w:tcPr>
          <w:p w14:paraId="2E5E98DA"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p>
        </w:tc>
        <w:tc>
          <w:tcPr>
            <w:tcW w:w="1401" w:type="dxa"/>
            <w:tcBorders>
              <w:top w:val="single" w:sz="4" w:space="0" w:color="auto"/>
              <w:bottom w:val="single" w:sz="4" w:space="0" w:color="auto"/>
            </w:tcBorders>
          </w:tcPr>
          <w:p w14:paraId="7E1AC0C7" w14:textId="77777777" w:rsidR="00F05A97" w:rsidRPr="001256B1" w:rsidRDefault="00F05A97" w:rsidP="00F55750">
            <w:pPr>
              <w:snapToGrid w:val="0"/>
              <w:spacing w:line="360" w:lineRule="auto"/>
              <w:jc w:val="both"/>
              <w:textAlignment w:val="baseline"/>
              <w:rPr>
                <w:rFonts w:ascii="Book Antiqua" w:hAnsi="Book Antiqua"/>
                <w:b/>
                <w:bCs/>
                <w:i/>
                <w:iCs/>
                <w:color w:val="000000" w:themeColor="text1"/>
                <w:lang w:val="en-US"/>
              </w:rPr>
            </w:pPr>
            <w:r w:rsidRPr="001256B1">
              <w:rPr>
                <w:rFonts w:ascii="Book Antiqua" w:hAnsi="Book Antiqua"/>
                <w:b/>
                <w:bCs/>
                <w:i/>
                <w:iCs/>
                <w:color w:val="000000" w:themeColor="text1"/>
                <w:lang w:val="en-US"/>
              </w:rPr>
              <w:t>n</w:t>
            </w:r>
          </w:p>
        </w:tc>
        <w:tc>
          <w:tcPr>
            <w:tcW w:w="1571" w:type="dxa"/>
            <w:tcBorders>
              <w:top w:val="single" w:sz="4" w:space="0" w:color="auto"/>
              <w:bottom w:val="single" w:sz="4" w:space="0" w:color="auto"/>
            </w:tcBorders>
          </w:tcPr>
          <w:p w14:paraId="63628D79" w14:textId="32853AD7" w:rsidR="00F05A97" w:rsidRPr="001256B1" w:rsidRDefault="003B7C8E" w:rsidP="00F55750">
            <w:pPr>
              <w:snapToGrid w:val="0"/>
              <w:spacing w:line="360" w:lineRule="auto"/>
              <w:jc w:val="both"/>
              <w:textAlignment w:val="baseline"/>
              <w:rPr>
                <w:rFonts w:ascii="Book Antiqua" w:hAnsi="Book Antiqua"/>
                <w:b/>
                <w:bCs/>
                <w:i/>
                <w:iCs/>
                <w:color w:val="000000" w:themeColor="text1"/>
                <w:lang w:val="en-US"/>
              </w:rPr>
            </w:pPr>
            <w:r w:rsidRPr="001256B1">
              <w:rPr>
                <w:rFonts w:ascii="Book Antiqua" w:hAnsi="Book Antiqua"/>
                <w:b/>
                <w:bCs/>
                <w:i/>
                <w:iCs/>
                <w:color w:val="000000" w:themeColor="text1"/>
                <w:lang w:val="en-US"/>
              </w:rPr>
              <w:t>P</w:t>
            </w:r>
            <w:r w:rsidR="008A72E2">
              <w:rPr>
                <w:rFonts w:ascii="Book Antiqua" w:hAnsi="Book Antiqua"/>
                <w:b/>
                <w:bCs/>
                <w:i/>
                <w:iCs/>
                <w:color w:val="000000" w:themeColor="text1"/>
                <w:lang w:val="en-US"/>
              </w:rPr>
              <w:t xml:space="preserve"> </w:t>
            </w:r>
            <w:r w:rsidR="008A72E2" w:rsidRPr="008A72E2">
              <w:rPr>
                <w:rFonts w:ascii="Book Antiqua" w:hAnsi="Book Antiqua"/>
                <w:b/>
                <w:bCs/>
                <w:iCs/>
                <w:color w:val="000000" w:themeColor="text1"/>
                <w:lang w:val="en-US"/>
              </w:rPr>
              <w:t>value</w:t>
            </w:r>
          </w:p>
        </w:tc>
        <w:tc>
          <w:tcPr>
            <w:tcW w:w="1570" w:type="dxa"/>
            <w:tcBorders>
              <w:top w:val="single" w:sz="4" w:space="0" w:color="auto"/>
              <w:bottom w:val="single" w:sz="4" w:space="0" w:color="auto"/>
            </w:tcBorders>
          </w:tcPr>
          <w:p w14:paraId="56DA4C79" w14:textId="77777777" w:rsidR="00F05A97" w:rsidRPr="00481C5D" w:rsidRDefault="00F05A97" w:rsidP="00F55750">
            <w:pPr>
              <w:snapToGrid w:val="0"/>
              <w:spacing w:line="360" w:lineRule="auto"/>
              <w:jc w:val="both"/>
              <w:textAlignment w:val="baseline"/>
              <w:rPr>
                <w:rFonts w:ascii="Book Antiqua" w:hAnsi="Book Antiqua"/>
                <w:b/>
                <w:bCs/>
                <w:i/>
                <w:iCs/>
                <w:color w:val="000000" w:themeColor="text1"/>
                <w:lang w:val="en-US"/>
              </w:rPr>
            </w:pPr>
            <w:r w:rsidRPr="00481C5D">
              <w:rPr>
                <w:rFonts w:ascii="Book Antiqua" w:hAnsi="Book Antiqua"/>
                <w:b/>
                <w:bCs/>
                <w:i/>
                <w:iCs/>
                <w:color w:val="000000" w:themeColor="text1"/>
                <w:lang w:val="en-US"/>
              </w:rPr>
              <w:t>r</w:t>
            </w:r>
          </w:p>
        </w:tc>
        <w:tc>
          <w:tcPr>
            <w:tcW w:w="1431" w:type="dxa"/>
            <w:tcBorders>
              <w:top w:val="single" w:sz="4" w:space="0" w:color="auto"/>
              <w:bottom w:val="single" w:sz="4" w:space="0" w:color="auto"/>
            </w:tcBorders>
          </w:tcPr>
          <w:p w14:paraId="0FB49EEB" w14:textId="77777777" w:rsidR="00F05A97" w:rsidRPr="001256B1" w:rsidRDefault="00F05A97" w:rsidP="00F55750">
            <w:pPr>
              <w:snapToGrid w:val="0"/>
              <w:spacing w:line="360" w:lineRule="auto"/>
              <w:jc w:val="both"/>
              <w:textAlignment w:val="baseline"/>
              <w:rPr>
                <w:rFonts w:ascii="Book Antiqua" w:hAnsi="Book Antiqua"/>
                <w:b/>
                <w:bCs/>
                <w:i/>
                <w:iCs/>
                <w:color w:val="000000" w:themeColor="text1"/>
                <w:lang w:val="en-US"/>
              </w:rPr>
            </w:pPr>
            <w:r w:rsidRPr="001256B1">
              <w:rPr>
                <w:rFonts w:ascii="Book Antiqua" w:hAnsi="Book Antiqua"/>
                <w:b/>
                <w:bCs/>
                <w:i/>
                <w:iCs/>
                <w:color w:val="000000" w:themeColor="text1"/>
                <w:lang w:val="en-US"/>
              </w:rPr>
              <w:t>n</w:t>
            </w:r>
          </w:p>
        </w:tc>
        <w:tc>
          <w:tcPr>
            <w:tcW w:w="1437" w:type="dxa"/>
            <w:tcBorders>
              <w:top w:val="single" w:sz="4" w:space="0" w:color="auto"/>
              <w:bottom w:val="single" w:sz="4" w:space="0" w:color="auto"/>
            </w:tcBorders>
          </w:tcPr>
          <w:p w14:paraId="1F41527F" w14:textId="28AD18B9" w:rsidR="00F05A97" w:rsidRPr="001256B1" w:rsidRDefault="003B7C8E" w:rsidP="00F55750">
            <w:pPr>
              <w:snapToGrid w:val="0"/>
              <w:spacing w:line="360" w:lineRule="auto"/>
              <w:jc w:val="both"/>
              <w:textAlignment w:val="baseline"/>
              <w:rPr>
                <w:rFonts w:ascii="Book Antiqua" w:hAnsi="Book Antiqua"/>
                <w:b/>
                <w:bCs/>
                <w:i/>
                <w:iCs/>
                <w:color w:val="000000" w:themeColor="text1"/>
                <w:lang w:val="en-US"/>
              </w:rPr>
            </w:pPr>
            <w:r w:rsidRPr="001256B1">
              <w:rPr>
                <w:rFonts w:ascii="Book Antiqua" w:hAnsi="Book Antiqua"/>
                <w:b/>
                <w:bCs/>
                <w:i/>
                <w:iCs/>
                <w:color w:val="000000" w:themeColor="text1"/>
                <w:lang w:val="en-US"/>
              </w:rPr>
              <w:t>P</w:t>
            </w:r>
            <w:r w:rsidR="008A72E2">
              <w:rPr>
                <w:rFonts w:ascii="Book Antiqua" w:hAnsi="Book Antiqua"/>
                <w:b/>
                <w:bCs/>
                <w:i/>
                <w:iCs/>
                <w:color w:val="000000" w:themeColor="text1"/>
                <w:lang w:val="en-US"/>
              </w:rPr>
              <w:t xml:space="preserve"> </w:t>
            </w:r>
            <w:r w:rsidR="008A72E2" w:rsidRPr="008A72E2">
              <w:rPr>
                <w:rFonts w:ascii="Book Antiqua" w:hAnsi="Book Antiqua"/>
                <w:b/>
                <w:bCs/>
                <w:iCs/>
                <w:color w:val="000000" w:themeColor="text1"/>
                <w:lang w:val="en-US"/>
              </w:rPr>
              <w:t>value</w:t>
            </w:r>
          </w:p>
        </w:tc>
        <w:tc>
          <w:tcPr>
            <w:tcW w:w="1559" w:type="dxa"/>
            <w:tcBorders>
              <w:top w:val="single" w:sz="4" w:space="0" w:color="auto"/>
              <w:bottom w:val="single" w:sz="4" w:space="0" w:color="auto"/>
            </w:tcBorders>
          </w:tcPr>
          <w:p w14:paraId="2806A3A9" w14:textId="77777777" w:rsidR="00F05A97" w:rsidRPr="00481C5D" w:rsidRDefault="00F05A97" w:rsidP="00F55750">
            <w:pPr>
              <w:snapToGrid w:val="0"/>
              <w:spacing w:line="360" w:lineRule="auto"/>
              <w:jc w:val="both"/>
              <w:textAlignment w:val="baseline"/>
              <w:rPr>
                <w:rFonts w:ascii="Book Antiqua" w:hAnsi="Book Antiqua"/>
                <w:b/>
                <w:bCs/>
                <w:i/>
                <w:iCs/>
                <w:color w:val="000000" w:themeColor="text1"/>
                <w:lang w:val="en-US"/>
              </w:rPr>
            </w:pPr>
            <w:r w:rsidRPr="00481C5D">
              <w:rPr>
                <w:rFonts w:ascii="Book Antiqua" w:hAnsi="Book Antiqua"/>
                <w:b/>
                <w:bCs/>
                <w:i/>
                <w:iCs/>
                <w:color w:val="000000" w:themeColor="text1"/>
                <w:lang w:val="en-US"/>
              </w:rPr>
              <w:t>r</w:t>
            </w:r>
          </w:p>
        </w:tc>
      </w:tr>
      <w:tr w:rsidR="00F05A97" w:rsidRPr="001256B1" w14:paraId="6FCA8AB1" w14:textId="77777777" w:rsidTr="00A34FC8">
        <w:trPr>
          <w:trHeight w:val="215"/>
        </w:trPr>
        <w:tc>
          <w:tcPr>
            <w:tcW w:w="1986" w:type="dxa"/>
            <w:tcBorders>
              <w:top w:val="single" w:sz="4" w:space="0" w:color="auto"/>
              <w:bottom w:val="single" w:sz="4" w:space="0" w:color="auto"/>
            </w:tcBorders>
          </w:tcPr>
          <w:p w14:paraId="11073C4D" w14:textId="77777777" w:rsidR="00F05A97" w:rsidRPr="008A72E2" w:rsidRDefault="00F05A97" w:rsidP="00F55750">
            <w:pPr>
              <w:snapToGrid w:val="0"/>
              <w:spacing w:line="360" w:lineRule="auto"/>
              <w:jc w:val="both"/>
              <w:textAlignment w:val="baseline"/>
              <w:rPr>
                <w:rFonts w:ascii="Book Antiqua" w:hAnsi="Book Antiqua"/>
                <w:bCs/>
                <w:color w:val="000000" w:themeColor="text1"/>
                <w:lang w:val="en-US"/>
              </w:rPr>
            </w:pPr>
            <w:r w:rsidRPr="008A72E2">
              <w:rPr>
                <w:rFonts w:ascii="Book Antiqua" w:hAnsi="Book Antiqua"/>
                <w:bCs/>
                <w:color w:val="000000" w:themeColor="text1"/>
                <w:lang w:val="en-US"/>
              </w:rPr>
              <w:t>All</w:t>
            </w:r>
          </w:p>
        </w:tc>
        <w:tc>
          <w:tcPr>
            <w:tcW w:w="2420" w:type="dxa"/>
            <w:tcBorders>
              <w:top w:val="single" w:sz="4" w:space="0" w:color="auto"/>
              <w:bottom w:val="single" w:sz="4" w:space="0" w:color="auto"/>
            </w:tcBorders>
          </w:tcPr>
          <w:p w14:paraId="5DA120F9"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p>
        </w:tc>
        <w:tc>
          <w:tcPr>
            <w:tcW w:w="1401" w:type="dxa"/>
            <w:tcBorders>
              <w:top w:val="single" w:sz="4" w:space="0" w:color="auto"/>
              <w:bottom w:val="single" w:sz="4" w:space="0" w:color="auto"/>
            </w:tcBorders>
          </w:tcPr>
          <w:p w14:paraId="097AE9D8" w14:textId="77777777"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123</w:t>
            </w:r>
          </w:p>
        </w:tc>
        <w:tc>
          <w:tcPr>
            <w:tcW w:w="1571" w:type="dxa"/>
            <w:tcBorders>
              <w:top w:val="single" w:sz="4" w:space="0" w:color="auto"/>
              <w:bottom w:val="single" w:sz="4" w:space="0" w:color="auto"/>
            </w:tcBorders>
          </w:tcPr>
          <w:p w14:paraId="4B69C0D6" w14:textId="0D921D7F"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Borders>
              <w:top w:val="single" w:sz="4" w:space="0" w:color="auto"/>
              <w:bottom w:val="single" w:sz="4" w:space="0" w:color="auto"/>
            </w:tcBorders>
          </w:tcPr>
          <w:p w14:paraId="3317A284" w14:textId="4FDD3DE5" w:rsidR="00F05A97" w:rsidRPr="001256B1" w:rsidRDefault="00F05A97" w:rsidP="00F55750">
            <w:pPr>
              <w:snapToGrid w:val="0"/>
              <w:spacing w:line="360" w:lineRule="auto"/>
              <w:jc w:val="both"/>
              <w:rPr>
                <w:rFonts w:ascii="Book Antiqua" w:hAnsi="Book Antiqua"/>
                <w:vertAlign w:val="superscript"/>
                <w:lang w:val="en-US"/>
              </w:rPr>
            </w:pPr>
            <w:r w:rsidRPr="001256B1">
              <w:rPr>
                <w:rFonts w:ascii="Book Antiqua" w:hAnsi="Book Antiqua"/>
                <w:lang w:val="en-US"/>
              </w:rPr>
              <w:t>0.513</w:t>
            </w:r>
            <w:r w:rsidR="0056477C" w:rsidRPr="001256B1">
              <w:rPr>
                <w:rFonts w:ascii="Book Antiqua" w:hAnsi="Book Antiqua"/>
                <w:color w:val="000000"/>
                <w:vertAlign w:val="superscript"/>
                <w:lang w:val="en-US"/>
              </w:rPr>
              <w:t>a</w:t>
            </w:r>
          </w:p>
        </w:tc>
        <w:tc>
          <w:tcPr>
            <w:tcW w:w="1431" w:type="dxa"/>
            <w:tcBorders>
              <w:top w:val="single" w:sz="4" w:space="0" w:color="auto"/>
              <w:bottom w:val="single" w:sz="4" w:space="0" w:color="auto"/>
            </w:tcBorders>
          </w:tcPr>
          <w:p w14:paraId="2CC27473"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119</w:t>
            </w:r>
          </w:p>
        </w:tc>
        <w:tc>
          <w:tcPr>
            <w:tcW w:w="1437" w:type="dxa"/>
            <w:tcBorders>
              <w:top w:val="single" w:sz="4" w:space="0" w:color="auto"/>
              <w:bottom w:val="single" w:sz="4" w:space="0" w:color="auto"/>
            </w:tcBorders>
          </w:tcPr>
          <w:p w14:paraId="3AFA3918" w14:textId="469642EB"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59" w:type="dxa"/>
            <w:tcBorders>
              <w:top w:val="single" w:sz="4" w:space="0" w:color="auto"/>
              <w:bottom w:val="single" w:sz="4" w:space="0" w:color="auto"/>
            </w:tcBorders>
          </w:tcPr>
          <w:p w14:paraId="2C6D14FA" w14:textId="5EC81310"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themeColor="text1"/>
                <w:lang w:val="en-US"/>
              </w:rPr>
              <w:t>0.354</w:t>
            </w:r>
            <w:r w:rsidR="0056477C" w:rsidRPr="001256B1">
              <w:rPr>
                <w:rFonts w:ascii="Book Antiqua" w:hAnsi="Book Antiqua"/>
                <w:color w:val="000000"/>
                <w:vertAlign w:val="superscript"/>
                <w:lang w:val="en-US"/>
              </w:rPr>
              <w:t>a</w:t>
            </w:r>
          </w:p>
        </w:tc>
      </w:tr>
      <w:tr w:rsidR="00F05A97" w:rsidRPr="001256B1" w14:paraId="27751EC8" w14:textId="77777777" w:rsidTr="00A34FC8">
        <w:trPr>
          <w:trHeight w:val="229"/>
        </w:trPr>
        <w:tc>
          <w:tcPr>
            <w:tcW w:w="1986" w:type="dxa"/>
            <w:vMerge w:val="restart"/>
            <w:tcBorders>
              <w:top w:val="single" w:sz="4" w:space="0" w:color="auto"/>
            </w:tcBorders>
          </w:tcPr>
          <w:p w14:paraId="48379A44" w14:textId="3785187E"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Age</w:t>
            </w:r>
            <w:r w:rsidR="00257BD0" w:rsidRPr="001256B1">
              <w:rPr>
                <w:rFonts w:ascii="Book Antiqua" w:hAnsi="Book Antiqua"/>
                <w:color w:val="000000" w:themeColor="text1"/>
                <w:lang w:val="en-US"/>
              </w:rPr>
              <w:t xml:space="preserve"> (</w:t>
            </w:r>
            <w:proofErr w:type="spellStart"/>
            <w:r w:rsidR="00257BD0" w:rsidRPr="001256B1">
              <w:rPr>
                <w:rFonts w:ascii="Book Antiqua" w:hAnsi="Book Antiqua"/>
                <w:color w:val="000000" w:themeColor="text1"/>
                <w:lang w:val="en-US"/>
              </w:rPr>
              <w:t>yr</w:t>
            </w:r>
            <w:proofErr w:type="spellEnd"/>
            <w:r w:rsidR="00257BD0" w:rsidRPr="001256B1">
              <w:rPr>
                <w:rFonts w:ascii="Book Antiqua" w:hAnsi="Book Antiqua"/>
                <w:color w:val="000000" w:themeColor="text1"/>
                <w:lang w:val="en-US"/>
              </w:rPr>
              <w:t>)</w:t>
            </w:r>
          </w:p>
        </w:tc>
        <w:tc>
          <w:tcPr>
            <w:tcW w:w="2420" w:type="dxa"/>
            <w:tcBorders>
              <w:top w:val="single" w:sz="4" w:space="0" w:color="auto"/>
            </w:tcBorders>
          </w:tcPr>
          <w:p w14:paraId="1826072F"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sym w:font="Symbol" w:char="F0A3"/>
            </w:r>
            <w:r w:rsidRPr="001256B1">
              <w:rPr>
                <w:rFonts w:ascii="Book Antiqua" w:hAnsi="Book Antiqua"/>
                <w:color w:val="000000" w:themeColor="text1"/>
                <w:lang w:val="en-US"/>
              </w:rPr>
              <w:t xml:space="preserve"> 60</w:t>
            </w:r>
          </w:p>
        </w:tc>
        <w:tc>
          <w:tcPr>
            <w:tcW w:w="1401" w:type="dxa"/>
            <w:tcBorders>
              <w:top w:val="single" w:sz="4" w:space="0" w:color="auto"/>
            </w:tcBorders>
          </w:tcPr>
          <w:p w14:paraId="05EE5FCF"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40</w:t>
            </w:r>
          </w:p>
        </w:tc>
        <w:tc>
          <w:tcPr>
            <w:tcW w:w="1571" w:type="dxa"/>
            <w:tcBorders>
              <w:top w:val="single" w:sz="4" w:space="0" w:color="auto"/>
            </w:tcBorders>
          </w:tcPr>
          <w:p w14:paraId="24DE317D" w14:textId="03F7C32C"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Borders>
              <w:top w:val="single" w:sz="4" w:space="0" w:color="auto"/>
            </w:tcBorders>
          </w:tcPr>
          <w:p w14:paraId="7B1D3F1B" w14:textId="3A237171"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0.661</w:t>
            </w:r>
            <w:r w:rsidR="0056477C" w:rsidRPr="001256B1">
              <w:rPr>
                <w:rFonts w:ascii="Book Antiqua" w:hAnsi="Book Antiqua"/>
                <w:color w:val="000000"/>
                <w:vertAlign w:val="superscript"/>
                <w:lang w:val="en-US"/>
              </w:rPr>
              <w:t>a</w:t>
            </w:r>
          </w:p>
        </w:tc>
        <w:tc>
          <w:tcPr>
            <w:tcW w:w="1431" w:type="dxa"/>
            <w:tcBorders>
              <w:top w:val="single" w:sz="4" w:space="0" w:color="auto"/>
            </w:tcBorders>
          </w:tcPr>
          <w:p w14:paraId="2C0ADF94" w14:textId="77777777" w:rsidR="00F05A97" w:rsidRPr="001870B2" w:rsidRDefault="00F05A97" w:rsidP="00F55750">
            <w:pPr>
              <w:snapToGrid w:val="0"/>
              <w:spacing w:line="360" w:lineRule="auto"/>
              <w:jc w:val="both"/>
              <w:textAlignment w:val="baseline"/>
              <w:rPr>
                <w:rFonts w:ascii="Book Antiqua" w:hAnsi="Book Antiqua"/>
                <w:color w:val="000000" w:themeColor="text1"/>
                <w:lang w:val="en-US"/>
              </w:rPr>
            </w:pPr>
            <w:r w:rsidRPr="001870B2">
              <w:rPr>
                <w:rFonts w:ascii="Book Antiqua" w:hAnsi="Book Antiqua"/>
                <w:color w:val="000000" w:themeColor="text1"/>
                <w:lang w:val="en-US"/>
              </w:rPr>
              <w:t>41</w:t>
            </w:r>
          </w:p>
        </w:tc>
        <w:tc>
          <w:tcPr>
            <w:tcW w:w="1437" w:type="dxa"/>
            <w:tcBorders>
              <w:top w:val="single" w:sz="4" w:space="0" w:color="auto"/>
            </w:tcBorders>
          </w:tcPr>
          <w:p w14:paraId="382FF27B"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0.001</w:t>
            </w:r>
          </w:p>
        </w:tc>
        <w:tc>
          <w:tcPr>
            <w:tcW w:w="1559" w:type="dxa"/>
            <w:tcBorders>
              <w:top w:val="single" w:sz="4" w:space="0" w:color="auto"/>
            </w:tcBorders>
          </w:tcPr>
          <w:p w14:paraId="227617A0" w14:textId="3F42A9F2"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0.481</w:t>
            </w:r>
            <w:r w:rsidR="0056477C" w:rsidRPr="001256B1">
              <w:rPr>
                <w:rFonts w:ascii="Book Antiqua" w:hAnsi="Book Antiqua"/>
                <w:color w:val="000000"/>
                <w:vertAlign w:val="superscript"/>
                <w:lang w:val="en-US"/>
              </w:rPr>
              <w:t>a</w:t>
            </w:r>
          </w:p>
        </w:tc>
      </w:tr>
      <w:tr w:rsidR="00F05A97" w:rsidRPr="001256B1" w14:paraId="6FE7CE7B" w14:textId="77777777" w:rsidTr="00A34FC8">
        <w:trPr>
          <w:trHeight w:val="215"/>
        </w:trPr>
        <w:tc>
          <w:tcPr>
            <w:tcW w:w="1986" w:type="dxa"/>
            <w:vMerge/>
          </w:tcPr>
          <w:p w14:paraId="532AA75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2420" w:type="dxa"/>
          </w:tcPr>
          <w:p w14:paraId="26626F6D" w14:textId="750FB4C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&gt; 60</w:t>
            </w:r>
          </w:p>
        </w:tc>
        <w:tc>
          <w:tcPr>
            <w:tcW w:w="1401" w:type="dxa"/>
          </w:tcPr>
          <w:p w14:paraId="295972A1"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81</w:t>
            </w:r>
          </w:p>
        </w:tc>
        <w:tc>
          <w:tcPr>
            <w:tcW w:w="1571" w:type="dxa"/>
          </w:tcPr>
          <w:p w14:paraId="678F4FA5" w14:textId="53072635"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Pr>
          <w:p w14:paraId="7FEF5FE1" w14:textId="02F1F755"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0.424</w:t>
            </w:r>
            <w:r w:rsidR="0056477C" w:rsidRPr="001256B1">
              <w:rPr>
                <w:rFonts w:ascii="Book Antiqua" w:hAnsi="Book Antiqua"/>
                <w:color w:val="000000"/>
                <w:vertAlign w:val="superscript"/>
                <w:lang w:val="en-US"/>
              </w:rPr>
              <w:t>a</w:t>
            </w:r>
          </w:p>
        </w:tc>
        <w:tc>
          <w:tcPr>
            <w:tcW w:w="1431" w:type="dxa"/>
          </w:tcPr>
          <w:p w14:paraId="1D3E2D02"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76</w:t>
            </w:r>
          </w:p>
        </w:tc>
        <w:tc>
          <w:tcPr>
            <w:tcW w:w="1437" w:type="dxa"/>
          </w:tcPr>
          <w:p w14:paraId="75515959"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0.020</w:t>
            </w:r>
          </w:p>
        </w:tc>
        <w:tc>
          <w:tcPr>
            <w:tcW w:w="1559" w:type="dxa"/>
          </w:tcPr>
          <w:p w14:paraId="4CDDB14E" w14:textId="49269B1D"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0.267</w:t>
            </w:r>
            <w:r w:rsidR="0056477C" w:rsidRPr="001256B1">
              <w:rPr>
                <w:rFonts w:ascii="Book Antiqua" w:hAnsi="Book Antiqua"/>
                <w:color w:val="000000"/>
                <w:vertAlign w:val="superscript"/>
                <w:lang w:val="en-US"/>
              </w:rPr>
              <w:t>a</w:t>
            </w:r>
          </w:p>
        </w:tc>
      </w:tr>
      <w:tr w:rsidR="00F05A97" w:rsidRPr="001256B1" w14:paraId="764AD06B" w14:textId="77777777" w:rsidTr="00A34FC8">
        <w:trPr>
          <w:trHeight w:val="229"/>
        </w:trPr>
        <w:tc>
          <w:tcPr>
            <w:tcW w:w="1986" w:type="dxa"/>
            <w:vMerge w:val="restart"/>
          </w:tcPr>
          <w:p w14:paraId="2AE93A0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Sex</w:t>
            </w:r>
          </w:p>
        </w:tc>
        <w:tc>
          <w:tcPr>
            <w:tcW w:w="2420" w:type="dxa"/>
          </w:tcPr>
          <w:p w14:paraId="5063BD0A" w14:textId="30D6D1FA" w:rsidR="00F05A97" w:rsidRPr="001256B1" w:rsidRDefault="00C656DD"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Male</w:t>
            </w:r>
          </w:p>
        </w:tc>
        <w:tc>
          <w:tcPr>
            <w:tcW w:w="1401" w:type="dxa"/>
          </w:tcPr>
          <w:p w14:paraId="1D57FFB4"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67</w:t>
            </w:r>
          </w:p>
        </w:tc>
        <w:tc>
          <w:tcPr>
            <w:tcW w:w="1571" w:type="dxa"/>
          </w:tcPr>
          <w:p w14:paraId="53F9526A" w14:textId="54519412"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Pr>
          <w:p w14:paraId="1EDB84ED" w14:textId="6AD93E0D"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0.497</w:t>
            </w:r>
            <w:r w:rsidR="0056477C" w:rsidRPr="001256B1">
              <w:rPr>
                <w:rFonts w:ascii="Book Antiqua" w:hAnsi="Book Antiqua"/>
                <w:color w:val="000000"/>
                <w:vertAlign w:val="superscript"/>
                <w:lang w:val="en-US"/>
              </w:rPr>
              <w:t>a</w:t>
            </w:r>
          </w:p>
        </w:tc>
        <w:tc>
          <w:tcPr>
            <w:tcW w:w="1431" w:type="dxa"/>
          </w:tcPr>
          <w:p w14:paraId="6687387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63</w:t>
            </w:r>
          </w:p>
        </w:tc>
        <w:tc>
          <w:tcPr>
            <w:tcW w:w="1437" w:type="dxa"/>
          </w:tcPr>
          <w:p w14:paraId="6C8DE1D4"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0.011</w:t>
            </w:r>
          </w:p>
        </w:tc>
        <w:tc>
          <w:tcPr>
            <w:tcW w:w="1559" w:type="dxa"/>
          </w:tcPr>
          <w:p w14:paraId="1A1D6F7D" w14:textId="58BA3A3D"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0.319</w:t>
            </w:r>
            <w:r w:rsidR="0056477C" w:rsidRPr="001256B1">
              <w:rPr>
                <w:rFonts w:ascii="Book Antiqua" w:hAnsi="Book Antiqua"/>
                <w:color w:val="000000"/>
                <w:vertAlign w:val="superscript"/>
                <w:lang w:val="en-US"/>
              </w:rPr>
              <w:t>a</w:t>
            </w:r>
          </w:p>
        </w:tc>
      </w:tr>
      <w:tr w:rsidR="00F05A97" w:rsidRPr="001256B1" w14:paraId="50F0941D" w14:textId="77777777" w:rsidTr="00A34FC8">
        <w:trPr>
          <w:trHeight w:val="215"/>
        </w:trPr>
        <w:tc>
          <w:tcPr>
            <w:tcW w:w="1986" w:type="dxa"/>
            <w:vMerge/>
          </w:tcPr>
          <w:p w14:paraId="2F2A9A0C"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2420" w:type="dxa"/>
          </w:tcPr>
          <w:p w14:paraId="10649DE5" w14:textId="551624A0" w:rsidR="00F05A97" w:rsidRPr="001256B1" w:rsidRDefault="00C656DD"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Female</w:t>
            </w:r>
          </w:p>
        </w:tc>
        <w:tc>
          <w:tcPr>
            <w:tcW w:w="1401" w:type="dxa"/>
          </w:tcPr>
          <w:p w14:paraId="7F0A245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55</w:t>
            </w:r>
          </w:p>
        </w:tc>
        <w:tc>
          <w:tcPr>
            <w:tcW w:w="1571" w:type="dxa"/>
          </w:tcPr>
          <w:p w14:paraId="4322239B" w14:textId="58AA680E"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Pr>
          <w:p w14:paraId="0FBCDC16" w14:textId="5B4339A8"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0.537</w:t>
            </w:r>
            <w:r w:rsidR="0056477C" w:rsidRPr="001256B1">
              <w:rPr>
                <w:rFonts w:ascii="Book Antiqua" w:hAnsi="Book Antiqua"/>
                <w:color w:val="000000"/>
                <w:vertAlign w:val="superscript"/>
                <w:lang w:val="en-US"/>
              </w:rPr>
              <w:t>a</w:t>
            </w:r>
          </w:p>
        </w:tc>
        <w:tc>
          <w:tcPr>
            <w:tcW w:w="1431" w:type="dxa"/>
          </w:tcPr>
          <w:p w14:paraId="5B53E53F"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55</w:t>
            </w:r>
          </w:p>
        </w:tc>
        <w:tc>
          <w:tcPr>
            <w:tcW w:w="1437" w:type="dxa"/>
          </w:tcPr>
          <w:p w14:paraId="3C8E9700"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0.002</w:t>
            </w:r>
          </w:p>
        </w:tc>
        <w:tc>
          <w:tcPr>
            <w:tcW w:w="1559" w:type="dxa"/>
          </w:tcPr>
          <w:p w14:paraId="4543B12B" w14:textId="5BC454E5"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0.415</w:t>
            </w:r>
            <w:r w:rsidR="0056477C" w:rsidRPr="001256B1">
              <w:rPr>
                <w:rFonts w:ascii="Book Antiqua" w:hAnsi="Book Antiqua"/>
                <w:color w:val="000000"/>
                <w:vertAlign w:val="superscript"/>
                <w:lang w:val="en-US"/>
              </w:rPr>
              <w:t>a</w:t>
            </w:r>
          </w:p>
        </w:tc>
      </w:tr>
      <w:tr w:rsidR="00F05A97" w:rsidRPr="001256B1" w14:paraId="19E482B9" w14:textId="77777777" w:rsidTr="00A34FC8">
        <w:trPr>
          <w:trHeight w:val="215"/>
        </w:trPr>
        <w:tc>
          <w:tcPr>
            <w:tcW w:w="1986" w:type="dxa"/>
            <w:vMerge w:val="restart"/>
          </w:tcPr>
          <w:p w14:paraId="386F000A"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Localization</w:t>
            </w:r>
          </w:p>
        </w:tc>
        <w:tc>
          <w:tcPr>
            <w:tcW w:w="2420" w:type="dxa"/>
          </w:tcPr>
          <w:p w14:paraId="156161DE" w14:textId="72B256B3" w:rsidR="00F05A97" w:rsidRPr="001256B1" w:rsidRDefault="00C656DD"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Rectum</w:t>
            </w:r>
          </w:p>
        </w:tc>
        <w:tc>
          <w:tcPr>
            <w:tcW w:w="1401" w:type="dxa"/>
          </w:tcPr>
          <w:p w14:paraId="53F43A25"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54</w:t>
            </w:r>
          </w:p>
        </w:tc>
        <w:tc>
          <w:tcPr>
            <w:tcW w:w="1571" w:type="dxa"/>
          </w:tcPr>
          <w:p w14:paraId="5B6775A1" w14:textId="1C66C20C"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Pr>
          <w:p w14:paraId="2B1899AD" w14:textId="02B05E29"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0.460</w:t>
            </w:r>
            <w:r w:rsidR="0056477C" w:rsidRPr="001256B1">
              <w:rPr>
                <w:rFonts w:ascii="Book Antiqua" w:hAnsi="Book Antiqua"/>
                <w:color w:val="000000"/>
                <w:vertAlign w:val="superscript"/>
                <w:lang w:val="en-US"/>
              </w:rPr>
              <w:t>a</w:t>
            </w:r>
          </w:p>
        </w:tc>
        <w:tc>
          <w:tcPr>
            <w:tcW w:w="1431" w:type="dxa"/>
          </w:tcPr>
          <w:p w14:paraId="69CC42CF"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51</w:t>
            </w:r>
          </w:p>
        </w:tc>
        <w:tc>
          <w:tcPr>
            <w:tcW w:w="1437" w:type="dxa"/>
          </w:tcPr>
          <w:p w14:paraId="5C2BEB8B"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0.080</w:t>
            </w:r>
          </w:p>
        </w:tc>
        <w:tc>
          <w:tcPr>
            <w:tcW w:w="1559" w:type="dxa"/>
          </w:tcPr>
          <w:p w14:paraId="1BF8265D" w14:textId="0065942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0.247</w:t>
            </w:r>
            <w:r w:rsidR="0056477C" w:rsidRPr="001256B1">
              <w:rPr>
                <w:rFonts w:ascii="Book Antiqua" w:hAnsi="Book Antiqua"/>
                <w:color w:val="000000"/>
                <w:vertAlign w:val="superscript"/>
                <w:lang w:val="en-US"/>
              </w:rPr>
              <w:t>a</w:t>
            </w:r>
          </w:p>
        </w:tc>
      </w:tr>
      <w:tr w:rsidR="00F05A97" w:rsidRPr="001256B1" w14:paraId="12A74861" w14:textId="77777777" w:rsidTr="00A34FC8">
        <w:trPr>
          <w:trHeight w:val="229"/>
        </w:trPr>
        <w:tc>
          <w:tcPr>
            <w:tcW w:w="1986" w:type="dxa"/>
            <w:vMerge/>
          </w:tcPr>
          <w:p w14:paraId="6E77AAE0"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2420" w:type="dxa"/>
          </w:tcPr>
          <w:p w14:paraId="7FE35200" w14:textId="42FE3AA2" w:rsidR="00F05A97" w:rsidRPr="001256B1" w:rsidRDefault="00C656DD"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Colon</w:t>
            </w:r>
          </w:p>
        </w:tc>
        <w:tc>
          <w:tcPr>
            <w:tcW w:w="1401" w:type="dxa"/>
          </w:tcPr>
          <w:p w14:paraId="4ECDC94D"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68</w:t>
            </w:r>
          </w:p>
        </w:tc>
        <w:tc>
          <w:tcPr>
            <w:tcW w:w="1571" w:type="dxa"/>
          </w:tcPr>
          <w:p w14:paraId="47B08030" w14:textId="77777777"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&lt;0.001</w:t>
            </w:r>
          </w:p>
        </w:tc>
        <w:tc>
          <w:tcPr>
            <w:tcW w:w="1570" w:type="dxa"/>
          </w:tcPr>
          <w:p w14:paraId="59329CE2" w14:textId="5579613E"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0.536</w:t>
            </w:r>
            <w:r w:rsidR="0056477C" w:rsidRPr="001256B1">
              <w:rPr>
                <w:rFonts w:ascii="Book Antiqua" w:hAnsi="Book Antiqua"/>
                <w:color w:val="000000"/>
                <w:vertAlign w:val="superscript"/>
                <w:lang w:val="en-US"/>
              </w:rPr>
              <w:t>a</w:t>
            </w:r>
          </w:p>
        </w:tc>
        <w:tc>
          <w:tcPr>
            <w:tcW w:w="1431" w:type="dxa"/>
          </w:tcPr>
          <w:p w14:paraId="05B97614"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67</w:t>
            </w:r>
          </w:p>
        </w:tc>
        <w:tc>
          <w:tcPr>
            <w:tcW w:w="1437" w:type="dxa"/>
          </w:tcPr>
          <w:p w14:paraId="36F386ED" w14:textId="2BAA21BF"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59" w:type="dxa"/>
          </w:tcPr>
          <w:p w14:paraId="378C0BA3" w14:textId="5296C1AD"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0.446</w:t>
            </w:r>
            <w:r w:rsidR="0056477C" w:rsidRPr="001256B1">
              <w:rPr>
                <w:rFonts w:ascii="Book Antiqua" w:hAnsi="Book Antiqua"/>
                <w:color w:val="000000"/>
                <w:vertAlign w:val="superscript"/>
                <w:lang w:val="en-US"/>
              </w:rPr>
              <w:t>a</w:t>
            </w:r>
          </w:p>
        </w:tc>
      </w:tr>
      <w:tr w:rsidR="00F05A97" w:rsidRPr="001256B1" w14:paraId="1E1B9C40" w14:textId="77777777" w:rsidTr="00A34FC8">
        <w:trPr>
          <w:trHeight w:val="215"/>
        </w:trPr>
        <w:tc>
          <w:tcPr>
            <w:tcW w:w="1986" w:type="dxa"/>
            <w:vMerge w:val="restart"/>
          </w:tcPr>
          <w:p w14:paraId="369074C0" w14:textId="685CC471"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HP–type</w:t>
            </w:r>
          </w:p>
        </w:tc>
        <w:tc>
          <w:tcPr>
            <w:tcW w:w="2420" w:type="dxa"/>
          </w:tcPr>
          <w:p w14:paraId="5EDBB67A"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A</w:t>
            </w:r>
          </w:p>
        </w:tc>
        <w:tc>
          <w:tcPr>
            <w:tcW w:w="1401" w:type="dxa"/>
          </w:tcPr>
          <w:p w14:paraId="2DF44029"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101</w:t>
            </w:r>
          </w:p>
        </w:tc>
        <w:tc>
          <w:tcPr>
            <w:tcW w:w="1571" w:type="dxa"/>
          </w:tcPr>
          <w:p w14:paraId="0E4E3692" w14:textId="2D2EFB7C"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Pr>
          <w:p w14:paraId="69903210" w14:textId="2C0E76FE"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0.535</w:t>
            </w:r>
            <w:r w:rsidR="0056477C" w:rsidRPr="001256B1">
              <w:rPr>
                <w:rFonts w:ascii="Book Antiqua" w:hAnsi="Book Antiqua"/>
                <w:color w:val="000000"/>
                <w:vertAlign w:val="superscript"/>
                <w:lang w:val="en-US"/>
              </w:rPr>
              <w:t>a</w:t>
            </w:r>
          </w:p>
        </w:tc>
        <w:tc>
          <w:tcPr>
            <w:tcW w:w="1431" w:type="dxa"/>
          </w:tcPr>
          <w:p w14:paraId="5BDD846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96</w:t>
            </w:r>
          </w:p>
        </w:tc>
        <w:tc>
          <w:tcPr>
            <w:tcW w:w="1437" w:type="dxa"/>
          </w:tcPr>
          <w:p w14:paraId="5C2D2F2B" w14:textId="7DD691F3"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59" w:type="dxa"/>
          </w:tcPr>
          <w:p w14:paraId="4C7776F6" w14:textId="212D04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0.535</w:t>
            </w:r>
            <w:r w:rsidR="0056477C" w:rsidRPr="001256B1">
              <w:rPr>
                <w:rFonts w:ascii="Book Antiqua" w:hAnsi="Book Antiqua"/>
                <w:color w:val="000000"/>
                <w:vertAlign w:val="superscript"/>
                <w:lang w:val="en-US"/>
              </w:rPr>
              <w:t>a</w:t>
            </w:r>
          </w:p>
        </w:tc>
      </w:tr>
      <w:tr w:rsidR="00F05A97" w:rsidRPr="001256B1" w14:paraId="79330614" w14:textId="77777777" w:rsidTr="00A34FC8">
        <w:trPr>
          <w:trHeight w:val="215"/>
        </w:trPr>
        <w:tc>
          <w:tcPr>
            <w:tcW w:w="1986" w:type="dxa"/>
            <w:vMerge/>
          </w:tcPr>
          <w:p w14:paraId="244617C5"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2420" w:type="dxa"/>
          </w:tcPr>
          <w:p w14:paraId="300AB636" w14:textId="1AFAFD43" w:rsidR="00F05A97" w:rsidRPr="001256B1" w:rsidRDefault="00D47238"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lang w:val="en-US"/>
              </w:rPr>
              <w:t>MA</w:t>
            </w:r>
          </w:p>
        </w:tc>
        <w:tc>
          <w:tcPr>
            <w:tcW w:w="1401" w:type="dxa"/>
          </w:tcPr>
          <w:p w14:paraId="25FD00B2"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22</w:t>
            </w:r>
          </w:p>
        </w:tc>
        <w:tc>
          <w:tcPr>
            <w:tcW w:w="1571" w:type="dxa"/>
          </w:tcPr>
          <w:p w14:paraId="761086A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0.953</w:t>
            </w:r>
          </w:p>
        </w:tc>
        <w:tc>
          <w:tcPr>
            <w:tcW w:w="1570" w:type="dxa"/>
          </w:tcPr>
          <w:p w14:paraId="730A9446" w14:textId="139A31E0"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-0.013</w:t>
            </w:r>
          </w:p>
        </w:tc>
        <w:tc>
          <w:tcPr>
            <w:tcW w:w="1431" w:type="dxa"/>
          </w:tcPr>
          <w:p w14:paraId="77E738F0"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23</w:t>
            </w:r>
          </w:p>
        </w:tc>
        <w:tc>
          <w:tcPr>
            <w:tcW w:w="1437" w:type="dxa"/>
          </w:tcPr>
          <w:p w14:paraId="7C804499"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0.841</w:t>
            </w:r>
          </w:p>
        </w:tc>
        <w:tc>
          <w:tcPr>
            <w:tcW w:w="1559" w:type="dxa"/>
          </w:tcPr>
          <w:p w14:paraId="5FD493B2" w14:textId="1D78087D"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-0.044</w:t>
            </w:r>
          </w:p>
        </w:tc>
      </w:tr>
      <w:tr w:rsidR="00F05A97" w:rsidRPr="001256B1" w14:paraId="1D4FA457" w14:textId="77777777" w:rsidTr="00A34FC8">
        <w:trPr>
          <w:trHeight w:val="229"/>
        </w:trPr>
        <w:tc>
          <w:tcPr>
            <w:tcW w:w="1986" w:type="dxa"/>
            <w:vMerge w:val="restart"/>
          </w:tcPr>
          <w:p w14:paraId="357D151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w:t>
            </w:r>
          </w:p>
        </w:tc>
        <w:tc>
          <w:tcPr>
            <w:tcW w:w="2420" w:type="dxa"/>
          </w:tcPr>
          <w:p w14:paraId="1A9FF073"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G2</w:t>
            </w:r>
          </w:p>
        </w:tc>
        <w:tc>
          <w:tcPr>
            <w:tcW w:w="1401" w:type="dxa"/>
          </w:tcPr>
          <w:p w14:paraId="04D8295F"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84</w:t>
            </w:r>
          </w:p>
        </w:tc>
        <w:tc>
          <w:tcPr>
            <w:tcW w:w="1571" w:type="dxa"/>
          </w:tcPr>
          <w:p w14:paraId="73B7E0D3" w14:textId="7E729591"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Pr>
          <w:p w14:paraId="7038EB25" w14:textId="43933B10"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0.523</w:t>
            </w:r>
            <w:r w:rsidR="0056477C" w:rsidRPr="001256B1">
              <w:rPr>
                <w:rFonts w:ascii="Book Antiqua" w:hAnsi="Book Antiqua"/>
                <w:color w:val="000000"/>
                <w:vertAlign w:val="superscript"/>
                <w:lang w:val="en-US"/>
              </w:rPr>
              <w:t>a</w:t>
            </w:r>
          </w:p>
        </w:tc>
        <w:tc>
          <w:tcPr>
            <w:tcW w:w="1431" w:type="dxa"/>
          </w:tcPr>
          <w:p w14:paraId="52A1EB3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83</w:t>
            </w:r>
          </w:p>
        </w:tc>
        <w:tc>
          <w:tcPr>
            <w:tcW w:w="1437" w:type="dxa"/>
          </w:tcPr>
          <w:p w14:paraId="28CA8CA8"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0.006</w:t>
            </w:r>
          </w:p>
        </w:tc>
        <w:tc>
          <w:tcPr>
            <w:tcW w:w="1559" w:type="dxa"/>
          </w:tcPr>
          <w:p w14:paraId="7D82C86B" w14:textId="326D866D"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0.300</w:t>
            </w:r>
            <w:r w:rsidR="0056477C" w:rsidRPr="001256B1">
              <w:rPr>
                <w:rFonts w:ascii="Book Antiqua" w:hAnsi="Book Antiqua"/>
                <w:color w:val="000000"/>
                <w:vertAlign w:val="superscript"/>
                <w:lang w:val="en-US"/>
              </w:rPr>
              <w:t>a</w:t>
            </w:r>
          </w:p>
        </w:tc>
      </w:tr>
      <w:tr w:rsidR="00F05A97" w:rsidRPr="001256B1" w14:paraId="050972D7" w14:textId="77777777" w:rsidTr="00A34FC8">
        <w:trPr>
          <w:trHeight w:val="215"/>
        </w:trPr>
        <w:tc>
          <w:tcPr>
            <w:tcW w:w="1986" w:type="dxa"/>
            <w:vMerge/>
          </w:tcPr>
          <w:p w14:paraId="13604DA3"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2420" w:type="dxa"/>
          </w:tcPr>
          <w:p w14:paraId="708F2A3F"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G3</w:t>
            </w:r>
          </w:p>
        </w:tc>
        <w:tc>
          <w:tcPr>
            <w:tcW w:w="1401" w:type="dxa"/>
          </w:tcPr>
          <w:p w14:paraId="3F54B064"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38</w:t>
            </w:r>
          </w:p>
        </w:tc>
        <w:tc>
          <w:tcPr>
            <w:tcW w:w="1571" w:type="dxa"/>
          </w:tcPr>
          <w:p w14:paraId="2EFFCFC2"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0.263</w:t>
            </w:r>
          </w:p>
        </w:tc>
        <w:tc>
          <w:tcPr>
            <w:tcW w:w="1570" w:type="dxa"/>
          </w:tcPr>
          <w:p w14:paraId="26D220BE" w14:textId="77777777"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0.186</w:t>
            </w:r>
          </w:p>
        </w:tc>
        <w:tc>
          <w:tcPr>
            <w:tcW w:w="1431" w:type="dxa"/>
          </w:tcPr>
          <w:p w14:paraId="663ED5A3"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35</w:t>
            </w:r>
          </w:p>
        </w:tc>
        <w:tc>
          <w:tcPr>
            <w:tcW w:w="1437" w:type="dxa"/>
          </w:tcPr>
          <w:p w14:paraId="1396CC6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0.474</w:t>
            </w:r>
          </w:p>
        </w:tc>
        <w:tc>
          <w:tcPr>
            <w:tcW w:w="1559" w:type="dxa"/>
          </w:tcPr>
          <w:p w14:paraId="1B2C140A"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0.125</w:t>
            </w:r>
          </w:p>
        </w:tc>
      </w:tr>
      <w:tr w:rsidR="00F05A97" w:rsidRPr="001256B1" w14:paraId="75B99640" w14:textId="77777777" w:rsidTr="00A34FC8">
        <w:trPr>
          <w:trHeight w:val="215"/>
        </w:trPr>
        <w:tc>
          <w:tcPr>
            <w:tcW w:w="1986" w:type="dxa"/>
            <w:vMerge w:val="restart"/>
          </w:tcPr>
          <w:p w14:paraId="56876637"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T</w:t>
            </w:r>
          </w:p>
        </w:tc>
        <w:tc>
          <w:tcPr>
            <w:tcW w:w="2420" w:type="dxa"/>
          </w:tcPr>
          <w:p w14:paraId="23692A18" w14:textId="671BE79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pT1</w:t>
            </w:r>
            <w:r w:rsidR="005161A7"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r w:rsidR="005161A7" w:rsidRPr="001256B1">
              <w:rPr>
                <w:rFonts w:ascii="Book Antiqua" w:hAnsi="Book Antiqua"/>
                <w:color w:val="000000" w:themeColor="text1"/>
                <w:lang w:val="en-US"/>
              </w:rPr>
              <w:t xml:space="preserve"> </w:t>
            </w:r>
            <w:r w:rsidRPr="001256B1">
              <w:rPr>
                <w:rFonts w:ascii="Book Antiqua" w:hAnsi="Book Antiqua"/>
                <w:color w:val="000000" w:themeColor="text1"/>
                <w:lang w:val="en-US"/>
              </w:rPr>
              <w:t>pT2</w:t>
            </w:r>
          </w:p>
        </w:tc>
        <w:tc>
          <w:tcPr>
            <w:tcW w:w="1401" w:type="dxa"/>
          </w:tcPr>
          <w:p w14:paraId="14809398"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10</w:t>
            </w:r>
          </w:p>
        </w:tc>
        <w:tc>
          <w:tcPr>
            <w:tcW w:w="1571" w:type="dxa"/>
          </w:tcPr>
          <w:p w14:paraId="23AADC87"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0.455</w:t>
            </w:r>
          </w:p>
        </w:tc>
        <w:tc>
          <w:tcPr>
            <w:tcW w:w="1570" w:type="dxa"/>
          </w:tcPr>
          <w:p w14:paraId="6CDAE442" w14:textId="77777777"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0.268</w:t>
            </w:r>
          </w:p>
        </w:tc>
        <w:tc>
          <w:tcPr>
            <w:tcW w:w="1431" w:type="dxa"/>
          </w:tcPr>
          <w:p w14:paraId="2473A12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11</w:t>
            </w:r>
          </w:p>
        </w:tc>
        <w:tc>
          <w:tcPr>
            <w:tcW w:w="1437" w:type="dxa"/>
          </w:tcPr>
          <w:p w14:paraId="02FB1617"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0.005</w:t>
            </w:r>
          </w:p>
        </w:tc>
        <w:tc>
          <w:tcPr>
            <w:tcW w:w="1559" w:type="dxa"/>
          </w:tcPr>
          <w:p w14:paraId="758B228E" w14:textId="2F7484E0"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0.772</w:t>
            </w:r>
            <w:r w:rsidR="0056477C" w:rsidRPr="001256B1">
              <w:rPr>
                <w:rFonts w:ascii="Book Antiqua" w:hAnsi="Book Antiqua"/>
                <w:color w:val="000000"/>
                <w:vertAlign w:val="superscript"/>
                <w:lang w:val="en-US"/>
              </w:rPr>
              <w:t>a</w:t>
            </w:r>
          </w:p>
        </w:tc>
      </w:tr>
      <w:tr w:rsidR="00F05A97" w:rsidRPr="001256B1" w14:paraId="1253441C" w14:textId="77777777" w:rsidTr="00A34FC8">
        <w:trPr>
          <w:trHeight w:val="229"/>
        </w:trPr>
        <w:tc>
          <w:tcPr>
            <w:tcW w:w="1986" w:type="dxa"/>
            <w:vMerge/>
          </w:tcPr>
          <w:p w14:paraId="6BC5FEF9"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2420" w:type="dxa"/>
          </w:tcPr>
          <w:p w14:paraId="25D37BB0" w14:textId="2665C3A0"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pT3</w:t>
            </w:r>
            <w:r w:rsidR="005161A7"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r w:rsidR="005161A7" w:rsidRPr="001256B1">
              <w:rPr>
                <w:rFonts w:ascii="Book Antiqua" w:hAnsi="Book Antiqua"/>
                <w:color w:val="000000" w:themeColor="text1"/>
                <w:lang w:val="en-US"/>
              </w:rPr>
              <w:t xml:space="preserve"> </w:t>
            </w:r>
            <w:r w:rsidRPr="001256B1">
              <w:rPr>
                <w:rFonts w:ascii="Book Antiqua" w:hAnsi="Book Antiqua"/>
                <w:color w:val="000000" w:themeColor="text1"/>
                <w:lang w:val="en-US"/>
              </w:rPr>
              <w:t>pT4</w:t>
            </w:r>
          </w:p>
        </w:tc>
        <w:tc>
          <w:tcPr>
            <w:tcW w:w="1401" w:type="dxa"/>
          </w:tcPr>
          <w:p w14:paraId="3D3CD1B3"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113</w:t>
            </w:r>
          </w:p>
        </w:tc>
        <w:tc>
          <w:tcPr>
            <w:tcW w:w="1571" w:type="dxa"/>
          </w:tcPr>
          <w:p w14:paraId="614593CC" w14:textId="0CE0CD7F"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Pr>
          <w:p w14:paraId="4543D5CC" w14:textId="00A96410"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0.529</w:t>
            </w:r>
            <w:r w:rsidR="0056477C" w:rsidRPr="001256B1">
              <w:rPr>
                <w:rFonts w:ascii="Book Antiqua" w:hAnsi="Book Antiqua"/>
                <w:color w:val="000000"/>
                <w:vertAlign w:val="superscript"/>
                <w:lang w:val="en-US"/>
              </w:rPr>
              <w:t>a</w:t>
            </w:r>
          </w:p>
        </w:tc>
        <w:tc>
          <w:tcPr>
            <w:tcW w:w="1431" w:type="dxa"/>
          </w:tcPr>
          <w:p w14:paraId="566DC109"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108</w:t>
            </w:r>
          </w:p>
        </w:tc>
        <w:tc>
          <w:tcPr>
            <w:tcW w:w="1437" w:type="dxa"/>
          </w:tcPr>
          <w:p w14:paraId="4B934C83"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0.001</w:t>
            </w:r>
          </w:p>
        </w:tc>
        <w:tc>
          <w:tcPr>
            <w:tcW w:w="1559" w:type="dxa"/>
          </w:tcPr>
          <w:p w14:paraId="6CEB1A0D" w14:textId="30B9E450"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0.302</w:t>
            </w:r>
            <w:r w:rsidR="0056477C" w:rsidRPr="001256B1">
              <w:rPr>
                <w:rFonts w:ascii="Book Antiqua" w:hAnsi="Book Antiqua"/>
                <w:color w:val="000000"/>
                <w:vertAlign w:val="superscript"/>
                <w:lang w:val="en-US"/>
              </w:rPr>
              <w:t>a</w:t>
            </w:r>
          </w:p>
        </w:tc>
      </w:tr>
      <w:tr w:rsidR="00F05A97" w:rsidRPr="001256B1" w14:paraId="3EF8DCFE" w14:textId="77777777" w:rsidTr="00A34FC8">
        <w:trPr>
          <w:trHeight w:val="215"/>
        </w:trPr>
        <w:tc>
          <w:tcPr>
            <w:tcW w:w="1986" w:type="dxa"/>
            <w:vMerge w:val="restart"/>
          </w:tcPr>
          <w:p w14:paraId="1F68A27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N</w:t>
            </w:r>
          </w:p>
        </w:tc>
        <w:tc>
          <w:tcPr>
            <w:tcW w:w="2420" w:type="dxa"/>
          </w:tcPr>
          <w:p w14:paraId="0C2E77B8" w14:textId="290E9EAD" w:rsidR="00F05A97" w:rsidRPr="001256B1" w:rsidRDefault="00F05A97" w:rsidP="00F55750">
            <w:pPr>
              <w:snapToGrid w:val="0"/>
              <w:spacing w:line="360" w:lineRule="auto"/>
              <w:jc w:val="both"/>
              <w:textAlignment w:val="baseline"/>
              <w:rPr>
                <w:rFonts w:ascii="Book Antiqua" w:hAnsi="Book Antiqua"/>
                <w:color w:val="000000" w:themeColor="text1"/>
                <w:lang w:val="en-US"/>
              </w:rPr>
            </w:pPr>
            <w:proofErr w:type="spellStart"/>
            <w:r w:rsidRPr="001256B1">
              <w:rPr>
                <w:rFonts w:ascii="Book Antiqua" w:hAnsi="Book Antiqua"/>
                <w:color w:val="000000" w:themeColor="text1"/>
                <w:lang w:val="en-US"/>
              </w:rPr>
              <w:t>pN</w:t>
            </w:r>
            <w:proofErr w:type="spellEnd"/>
            <w:r w:rsidR="005161A7"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p>
        </w:tc>
        <w:tc>
          <w:tcPr>
            <w:tcW w:w="1401" w:type="dxa"/>
          </w:tcPr>
          <w:p w14:paraId="6DB38D4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58</w:t>
            </w:r>
          </w:p>
        </w:tc>
        <w:tc>
          <w:tcPr>
            <w:tcW w:w="1571" w:type="dxa"/>
          </w:tcPr>
          <w:p w14:paraId="1C40E3C5" w14:textId="27383151"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Pr>
          <w:p w14:paraId="006ECEEB" w14:textId="7B4D0033"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0.507</w:t>
            </w:r>
            <w:r w:rsidR="0056477C" w:rsidRPr="001256B1">
              <w:rPr>
                <w:rFonts w:ascii="Book Antiqua" w:hAnsi="Book Antiqua"/>
                <w:color w:val="000000"/>
                <w:vertAlign w:val="superscript"/>
                <w:lang w:val="en-US"/>
              </w:rPr>
              <w:t>a</w:t>
            </w:r>
          </w:p>
        </w:tc>
        <w:tc>
          <w:tcPr>
            <w:tcW w:w="1431" w:type="dxa"/>
          </w:tcPr>
          <w:p w14:paraId="3604B263"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57</w:t>
            </w:r>
          </w:p>
        </w:tc>
        <w:tc>
          <w:tcPr>
            <w:tcW w:w="1437" w:type="dxa"/>
          </w:tcPr>
          <w:p w14:paraId="6D3C4F7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0.007</w:t>
            </w:r>
          </w:p>
        </w:tc>
        <w:tc>
          <w:tcPr>
            <w:tcW w:w="1559" w:type="dxa"/>
          </w:tcPr>
          <w:p w14:paraId="3DC162D2" w14:textId="683D6585"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0.351</w:t>
            </w:r>
            <w:r w:rsidR="0056477C" w:rsidRPr="001256B1">
              <w:rPr>
                <w:rFonts w:ascii="Book Antiqua" w:hAnsi="Book Antiqua"/>
                <w:color w:val="000000"/>
                <w:vertAlign w:val="superscript"/>
                <w:lang w:val="en-US"/>
              </w:rPr>
              <w:t>a</w:t>
            </w:r>
          </w:p>
        </w:tc>
      </w:tr>
      <w:tr w:rsidR="00F05A97" w:rsidRPr="001256B1" w14:paraId="00B080DC" w14:textId="77777777" w:rsidTr="00A34FC8">
        <w:trPr>
          <w:trHeight w:val="215"/>
        </w:trPr>
        <w:tc>
          <w:tcPr>
            <w:tcW w:w="1986" w:type="dxa"/>
            <w:vMerge/>
            <w:tcBorders>
              <w:bottom w:val="single" w:sz="4" w:space="0" w:color="auto"/>
            </w:tcBorders>
          </w:tcPr>
          <w:p w14:paraId="6C42D9C8"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2420" w:type="dxa"/>
            <w:tcBorders>
              <w:bottom w:val="single" w:sz="4" w:space="0" w:color="auto"/>
            </w:tcBorders>
          </w:tcPr>
          <w:p w14:paraId="5BA9C1DE" w14:textId="30EA2C9D" w:rsidR="00F05A97" w:rsidRPr="001256B1" w:rsidRDefault="00F05A97" w:rsidP="00F55750">
            <w:pPr>
              <w:snapToGrid w:val="0"/>
              <w:spacing w:line="360" w:lineRule="auto"/>
              <w:jc w:val="both"/>
              <w:textAlignment w:val="baseline"/>
              <w:rPr>
                <w:rFonts w:ascii="Book Antiqua" w:hAnsi="Book Antiqua"/>
                <w:color w:val="000000" w:themeColor="text1"/>
                <w:lang w:val="en-US"/>
              </w:rPr>
            </w:pPr>
            <w:proofErr w:type="spellStart"/>
            <w:r w:rsidRPr="001256B1">
              <w:rPr>
                <w:rFonts w:ascii="Book Antiqua" w:hAnsi="Book Antiqua"/>
                <w:color w:val="000000" w:themeColor="text1"/>
                <w:lang w:val="en-US"/>
              </w:rPr>
              <w:t>pN</w:t>
            </w:r>
            <w:proofErr w:type="spellEnd"/>
            <w:r w:rsidR="005161A7"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p>
        </w:tc>
        <w:tc>
          <w:tcPr>
            <w:tcW w:w="1401" w:type="dxa"/>
            <w:tcBorders>
              <w:bottom w:val="single" w:sz="4" w:space="0" w:color="auto"/>
            </w:tcBorders>
          </w:tcPr>
          <w:p w14:paraId="1A7F575D"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65</w:t>
            </w:r>
          </w:p>
        </w:tc>
        <w:tc>
          <w:tcPr>
            <w:tcW w:w="1571" w:type="dxa"/>
            <w:tcBorders>
              <w:bottom w:val="single" w:sz="4" w:space="0" w:color="auto"/>
            </w:tcBorders>
          </w:tcPr>
          <w:p w14:paraId="22474BFA" w14:textId="31C8C266"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257BD0" w:rsidRPr="001256B1">
              <w:rPr>
                <w:rFonts w:ascii="Book Antiqua" w:hAnsi="Book Antiqua"/>
                <w:color w:val="000000"/>
                <w:lang w:val="en-US"/>
              </w:rPr>
              <w:t xml:space="preserve"> </w:t>
            </w:r>
            <w:r w:rsidRPr="001256B1">
              <w:rPr>
                <w:rFonts w:ascii="Book Antiqua" w:hAnsi="Book Antiqua"/>
                <w:color w:val="000000"/>
                <w:lang w:val="en-US"/>
              </w:rPr>
              <w:t>0.001</w:t>
            </w:r>
          </w:p>
        </w:tc>
        <w:tc>
          <w:tcPr>
            <w:tcW w:w="1570" w:type="dxa"/>
            <w:tcBorders>
              <w:bottom w:val="single" w:sz="4" w:space="0" w:color="auto"/>
            </w:tcBorders>
          </w:tcPr>
          <w:p w14:paraId="243A6A59" w14:textId="01B89C5C" w:rsidR="00F05A97" w:rsidRPr="001256B1" w:rsidRDefault="00F05A97" w:rsidP="00F55750">
            <w:pPr>
              <w:snapToGrid w:val="0"/>
              <w:spacing w:line="360" w:lineRule="auto"/>
              <w:jc w:val="both"/>
              <w:textAlignment w:val="baseline"/>
              <w:rPr>
                <w:rFonts w:ascii="Book Antiqua" w:hAnsi="Book Antiqua"/>
                <w:lang w:val="en-US"/>
              </w:rPr>
            </w:pPr>
            <w:r w:rsidRPr="001256B1">
              <w:rPr>
                <w:rFonts w:ascii="Book Antiqua" w:hAnsi="Book Antiqua"/>
                <w:lang w:val="en-US"/>
              </w:rPr>
              <w:t>0.493</w:t>
            </w:r>
            <w:r w:rsidR="0056477C" w:rsidRPr="001256B1">
              <w:rPr>
                <w:rFonts w:ascii="Book Antiqua" w:hAnsi="Book Antiqua"/>
                <w:color w:val="000000"/>
                <w:vertAlign w:val="superscript"/>
                <w:lang w:val="en-US"/>
              </w:rPr>
              <w:t>a</w:t>
            </w:r>
          </w:p>
        </w:tc>
        <w:tc>
          <w:tcPr>
            <w:tcW w:w="1431" w:type="dxa"/>
            <w:tcBorders>
              <w:bottom w:val="single" w:sz="4" w:space="0" w:color="auto"/>
            </w:tcBorders>
          </w:tcPr>
          <w:p w14:paraId="700E9878"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62</w:t>
            </w:r>
          </w:p>
        </w:tc>
        <w:tc>
          <w:tcPr>
            <w:tcW w:w="1437" w:type="dxa"/>
            <w:tcBorders>
              <w:bottom w:val="single" w:sz="4" w:space="0" w:color="auto"/>
            </w:tcBorders>
          </w:tcPr>
          <w:p w14:paraId="7AFC2003"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0.007</w:t>
            </w:r>
          </w:p>
        </w:tc>
        <w:tc>
          <w:tcPr>
            <w:tcW w:w="1559" w:type="dxa"/>
            <w:tcBorders>
              <w:bottom w:val="single" w:sz="4" w:space="0" w:color="auto"/>
            </w:tcBorders>
          </w:tcPr>
          <w:p w14:paraId="35650D00" w14:textId="13093FA8"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0.336</w:t>
            </w:r>
            <w:r w:rsidR="0056477C" w:rsidRPr="001256B1">
              <w:rPr>
                <w:rFonts w:ascii="Book Antiqua" w:hAnsi="Book Antiqua"/>
                <w:color w:val="000000"/>
                <w:vertAlign w:val="superscript"/>
                <w:lang w:val="en-US"/>
              </w:rPr>
              <w:t>a</w:t>
            </w:r>
          </w:p>
        </w:tc>
      </w:tr>
    </w:tbl>
    <w:p w14:paraId="3416A3A2" w14:textId="77777777" w:rsidR="008A72E2" w:rsidRPr="008A72E2" w:rsidRDefault="00F05A97" w:rsidP="00F55750">
      <w:pPr>
        <w:spacing w:line="360" w:lineRule="auto"/>
        <w:rPr>
          <w:rFonts w:ascii="Book Antiqua" w:hAnsi="Book Antiqua"/>
          <w:color w:val="000000" w:themeColor="text1"/>
          <w:lang w:val="en-US"/>
        </w:rPr>
      </w:pPr>
      <w:r w:rsidRPr="001256B1">
        <w:rPr>
          <w:rFonts w:ascii="Book Antiqua" w:hAnsi="Book Antiqua"/>
          <w:color w:val="000000" w:themeColor="text1"/>
          <w:lang w:val="en-US"/>
        </w:rPr>
        <w:br w:type="page"/>
      </w:r>
      <w:r w:rsidR="008A72E2" w:rsidRPr="008A72E2">
        <w:rPr>
          <w:rFonts w:ascii="Book Antiqua" w:hAnsi="Book Antiqua"/>
          <w:color w:val="000000" w:themeColor="text1"/>
          <w:lang w:val="en-US"/>
        </w:rPr>
        <w:lastRenderedPageBreak/>
        <w:t xml:space="preserve">Associations analyzed by Spearman's correlation rank test. </w:t>
      </w:r>
      <w:proofErr w:type="spellStart"/>
      <w:r w:rsidR="008A72E2" w:rsidRPr="008A72E2">
        <w:rPr>
          <w:rFonts w:ascii="Book Antiqua" w:hAnsi="Book Antiqua"/>
          <w:color w:val="000000" w:themeColor="text1"/>
          <w:vertAlign w:val="superscript"/>
          <w:lang w:val="en-US"/>
        </w:rPr>
        <w:t>a</w:t>
      </w:r>
      <w:r w:rsidR="008A72E2" w:rsidRPr="008A72E2">
        <w:rPr>
          <w:rFonts w:ascii="Book Antiqua" w:hAnsi="Book Antiqua"/>
          <w:i/>
          <w:color w:val="000000" w:themeColor="text1"/>
          <w:lang w:val="en-US"/>
        </w:rPr>
        <w:t>P</w:t>
      </w:r>
      <w:proofErr w:type="spellEnd"/>
      <w:r w:rsidR="008A72E2" w:rsidRPr="008A72E2">
        <w:rPr>
          <w:rFonts w:ascii="Book Antiqua" w:hAnsi="Book Antiqua"/>
          <w:color w:val="000000" w:themeColor="text1"/>
          <w:lang w:val="en-US"/>
        </w:rPr>
        <w:t xml:space="preserve"> &lt; 0.05; </w:t>
      </w:r>
      <w:r w:rsidR="008A72E2" w:rsidRPr="008A72E2">
        <w:rPr>
          <w:rFonts w:ascii="Book Antiqua" w:hAnsi="Book Antiqua"/>
          <w:i/>
          <w:color w:val="000000" w:themeColor="text1"/>
          <w:lang w:val="en-US"/>
        </w:rPr>
        <w:t>n</w:t>
      </w:r>
      <w:r w:rsidR="008A72E2" w:rsidRPr="008A72E2">
        <w:rPr>
          <w:rFonts w:ascii="Book Antiqua" w:hAnsi="Book Antiqua"/>
          <w:color w:val="000000" w:themeColor="text1"/>
          <w:lang w:val="en-US"/>
        </w:rPr>
        <w:t xml:space="preserve">: Number of cases; </w:t>
      </w:r>
      <w:r w:rsidR="008A72E2" w:rsidRPr="008A72E2">
        <w:rPr>
          <w:rFonts w:ascii="Book Antiqua" w:hAnsi="Book Antiqua"/>
          <w:i/>
          <w:color w:val="000000" w:themeColor="text1"/>
          <w:lang w:val="en-US"/>
        </w:rPr>
        <w:t>r</w:t>
      </w:r>
      <w:r w:rsidR="008A72E2" w:rsidRPr="008A72E2">
        <w:rPr>
          <w:rFonts w:ascii="Book Antiqua" w:hAnsi="Book Antiqua"/>
          <w:color w:val="000000" w:themeColor="text1"/>
          <w:lang w:val="en-US"/>
        </w:rPr>
        <w:t xml:space="preserve">: Correlation coefficient; A: Adenocarcinoma; MA: Mucinous adenocarcinoma; G2: Moderately differentiated; G3: Poorly differentiated; N (-): Negative lymph node invasion; N (+): Positive lymph node invasion. </w:t>
      </w:r>
    </w:p>
    <w:p w14:paraId="2F22C548" w14:textId="77777777" w:rsidR="008A72E2" w:rsidRDefault="008A72E2" w:rsidP="00F55750">
      <w:pPr>
        <w:spacing w:line="360" w:lineRule="auto"/>
        <w:rPr>
          <w:rFonts w:ascii="Book Antiqua" w:hAnsi="Book Antiqua"/>
          <w:color w:val="000000" w:themeColor="text1"/>
          <w:lang w:val="en-US"/>
        </w:rPr>
      </w:pPr>
      <w:r>
        <w:rPr>
          <w:rFonts w:ascii="Book Antiqua" w:hAnsi="Book Antiqua"/>
          <w:color w:val="000000" w:themeColor="text1"/>
          <w:lang w:val="en-US"/>
        </w:rPr>
        <w:br w:type="page"/>
      </w:r>
    </w:p>
    <w:p w14:paraId="514FE22B" w14:textId="63903A8B" w:rsidR="00DE23EA" w:rsidRPr="001256B1" w:rsidRDefault="00DE23EA" w:rsidP="00F55750">
      <w:pPr>
        <w:snapToGrid w:val="0"/>
        <w:spacing w:line="360" w:lineRule="auto"/>
        <w:jc w:val="both"/>
        <w:rPr>
          <w:rFonts w:ascii="Book Antiqua" w:hAnsi="Book Antiqua"/>
          <w:b/>
          <w:bCs/>
          <w:color w:val="000000" w:themeColor="text1"/>
          <w:lang w:val="en-US" w:eastAsia="zh-CN"/>
        </w:rPr>
      </w:pPr>
      <w:r w:rsidRPr="001256B1">
        <w:rPr>
          <w:rFonts w:ascii="Book Antiqua" w:hAnsi="Book Antiqua"/>
          <w:b/>
          <w:bCs/>
          <w:color w:val="000000" w:themeColor="text1"/>
          <w:lang w:val="en-US" w:eastAsia="zh-CN"/>
        </w:rPr>
        <w:lastRenderedPageBreak/>
        <w:t>Table 3 Analysis of correlations between Insulin receptor substrate 1 and Ki-67 expression in primary colorectal cancer</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4226"/>
        <w:gridCol w:w="1377"/>
        <w:gridCol w:w="2296"/>
        <w:gridCol w:w="2306"/>
      </w:tblGrid>
      <w:tr w:rsidR="00DE23EA" w:rsidRPr="001256B1" w14:paraId="2EF32E51" w14:textId="77777777" w:rsidTr="00F55750">
        <w:trPr>
          <w:trHeight w:val="213"/>
        </w:trPr>
        <w:tc>
          <w:tcPr>
            <w:tcW w:w="2742" w:type="pct"/>
            <w:gridSpan w:val="2"/>
            <w:vMerge w:val="restart"/>
            <w:tcBorders>
              <w:top w:val="single" w:sz="4" w:space="0" w:color="auto"/>
              <w:bottom w:val="nil"/>
            </w:tcBorders>
          </w:tcPr>
          <w:p w14:paraId="00A463F7" w14:textId="77777777" w:rsidR="00DE23EA" w:rsidRPr="001256B1" w:rsidRDefault="00DE23EA" w:rsidP="00F55750">
            <w:pPr>
              <w:snapToGrid w:val="0"/>
              <w:spacing w:line="360" w:lineRule="auto"/>
              <w:jc w:val="both"/>
              <w:textAlignment w:val="baseline"/>
              <w:rPr>
                <w:rFonts w:ascii="Book Antiqua" w:hAnsi="Book Antiqua"/>
                <w:b/>
                <w:bCs/>
                <w:color w:val="000000" w:themeColor="text1"/>
                <w:lang w:val="en-US"/>
              </w:rPr>
            </w:pPr>
            <w:r w:rsidRPr="001256B1">
              <w:rPr>
                <w:rFonts w:ascii="Book Antiqua" w:hAnsi="Book Antiqua"/>
                <w:b/>
                <w:bCs/>
                <w:color w:val="000000" w:themeColor="text1"/>
                <w:lang w:val="en-US"/>
              </w:rPr>
              <w:t>Groups of patients</w:t>
            </w:r>
          </w:p>
        </w:tc>
        <w:tc>
          <w:tcPr>
            <w:tcW w:w="520" w:type="pct"/>
            <w:tcBorders>
              <w:top w:val="single" w:sz="4" w:space="0" w:color="auto"/>
              <w:bottom w:val="single" w:sz="4" w:space="0" w:color="auto"/>
            </w:tcBorders>
          </w:tcPr>
          <w:p w14:paraId="3D9BB420" w14:textId="77777777" w:rsidR="00DE23EA" w:rsidRPr="001256B1" w:rsidRDefault="00DE23EA" w:rsidP="00F55750">
            <w:pPr>
              <w:snapToGrid w:val="0"/>
              <w:spacing w:line="360" w:lineRule="auto"/>
              <w:jc w:val="both"/>
              <w:textAlignment w:val="baseline"/>
              <w:rPr>
                <w:rFonts w:ascii="Book Antiqua" w:hAnsi="Book Antiqua"/>
                <w:b/>
                <w:bCs/>
                <w:color w:val="000000" w:themeColor="text1"/>
                <w:lang w:val="en-US"/>
              </w:rPr>
            </w:pPr>
          </w:p>
        </w:tc>
        <w:tc>
          <w:tcPr>
            <w:tcW w:w="1738" w:type="pct"/>
            <w:gridSpan w:val="2"/>
            <w:tcBorders>
              <w:top w:val="single" w:sz="4" w:space="0" w:color="auto"/>
              <w:bottom w:val="single" w:sz="4" w:space="0" w:color="auto"/>
            </w:tcBorders>
          </w:tcPr>
          <w:p w14:paraId="195A0EB6" w14:textId="77777777" w:rsidR="00DE23EA" w:rsidRPr="001256B1" w:rsidRDefault="00DE23EA" w:rsidP="00F55750">
            <w:pPr>
              <w:snapToGrid w:val="0"/>
              <w:spacing w:line="360" w:lineRule="auto"/>
              <w:jc w:val="both"/>
              <w:textAlignment w:val="baseline"/>
              <w:rPr>
                <w:rFonts w:ascii="Book Antiqua" w:hAnsi="Book Antiqua"/>
                <w:b/>
                <w:bCs/>
                <w:color w:val="000000" w:themeColor="text1"/>
                <w:lang w:val="en-US"/>
              </w:rPr>
            </w:pPr>
            <w:r w:rsidRPr="001256B1">
              <w:rPr>
                <w:rFonts w:ascii="Book Antiqua" w:hAnsi="Book Antiqua"/>
                <w:b/>
                <w:bCs/>
                <w:color w:val="000000" w:themeColor="text1"/>
                <w:lang w:val="en-US"/>
              </w:rPr>
              <w:t>IRS-1 – Ki-67</w:t>
            </w:r>
          </w:p>
        </w:tc>
      </w:tr>
      <w:tr w:rsidR="00DE23EA" w:rsidRPr="001256B1" w14:paraId="78EC2C5C" w14:textId="77777777" w:rsidTr="00F55750">
        <w:trPr>
          <w:trHeight w:val="227"/>
        </w:trPr>
        <w:tc>
          <w:tcPr>
            <w:tcW w:w="2742" w:type="pct"/>
            <w:gridSpan w:val="2"/>
            <w:vMerge/>
            <w:tcBorders>
              <w:top w:val="nil"/>
              <w:bottom w:val="single" w:sz="4" w:space="0" w:color="auto"/>
            </w:tcBorders>
          </w:tcPr>
          <w:p w14:paraId="424496DE" w14:textId="77777777" w:rsidR="00DE23EA" w:rsidRPr="001256B1" w:rsidRDefault="00DE23EA" w:rsidP="00F55750">
            <w:pPr>
              <w:snapToGrid w:val="0"/>
              <w:spacing w:line="360" w:lineRule="auto"/>
              <w:jc w:val="both"/>
              <w:textAlignment w:val="baseline"/>
              <w:rPr>
                <w:rFonts w:ascii="Book Antiqua" w:hAnsi="Book Antiqua"/>
                <w:b/>
                <w:bCs/>
                <w:color w:val="000000" w:themeColor="text1"/>
                <w:lang w:val="en-US"/>
              </w:rPr>
            </w:pPr>
          </w:p>
        </w:tc>
        <w:tc>
          <w:tcPr>
            <w:tcW w:w="520" w:type="pct"/>
            <w:tcBorders>
              <w:top w:val="single" w:sz="4" w:space="0" w:color="auto"/>
              <w:bottom w:val="single" w:sz="4" w:space="0" w:color="auto"/>
            </w:tcBorders>
          </w:tcPr>
          <w:p w14:paraId="5C5C9A63" w14:textId="77777777" w:rsidR="00DE23EA" w:rsidRPr="001256B1" w:rsidRDefault="00DE23EA" w:rsidP="00F55750">
            <w:pPr>
              <w:snapToGrid w:val="0"/>
              <w:spacing w:line="360" w:lineRule="auto"/>
              <w:jc w:val="both"/>
              <w:textAlignment w:val="baseline"/>
              <w:rPr>
                <w:rFonts w:ascii="Book Antiqua" w:hAnsi="Book Antiqua"/>
                <w:b/>
                <w:bCs/>
                <w:i/>
                <w:iCs/>
                <w:color w:val="000000" w:themeColor="text1"/>
                <w:lang w:val="en-US"/>
              </w:rPr>
            </w:pPr>
            <w:r w:rsidRPr="001256B1">
              <w:rPr>
                <w:rFonts w:ascii="Book Antiqua" w:hAnsi="Book Antiqua"/>
                <w:b/>
                <w:bCs/>
                <w:i/>
                <w:iCs/>
                <w:color w:val="000000" w:themeColor="text1"/>
                <w:lang w:val="en-US"/>
              </w:rPr>
              <w:t>n</w:t>
            </w:r>
          </w:p>
        </w:tc>
        <w:tc>
          <w:tcPr>
            <w:tcW w:w="867" w:type="pct"/>
            <w:tcBorders>
              <w:top w:val="single" w:sz="4" w:space="0" w:color="auto"/>
              <w:bottom w:val="single" w:sz="4" w:space="0" w:color="auto"/>
            </w:tcBorders>
          </w:tcPr>
          <w:p w14:paraId="679BBCB3" w14:textId="19449804" w:rsidR="00DE23EA" w:rsidRPr="001256B1" w:rsidRDefault="00DE23EA" w:rsidP="00F55750">
            <w:pPr>
              <w:snapToGrid w:val="0"/>
              <w:spacing w:line="360" w:lineRule="auto"/>
              <w:jc w:val="both"/>
              <w:textAlignment w:val="baseline"/>
              <w:rPr>
                <w:rFonts w:ascii="Book Antiqua" w:hAnsi="Book Antiqua"/>
                <w:b/>
                <w:bCs/>
                <w:i/>
                <w:iCs/>
                <w:color w:val="000000" w:themeColor="text1"/>
                <w:lang w:val="en-US"/>
              </w:rPr>
            </w:pPr>
            <w:r w:rsidRPr="001256B1">
              <w:rPr>
                <w:rFonts w:ascii="Book Antiqua" w:hAnsi="Book Antiqua"/>
                <w:b/>
                <w:bCs/>
                <w:i/>
                <w:iCs/>
                <w:color w:val="000000" w:themeColor="text1"/>
                <w:lang w:val="en-US"/>
              </w:rPr>
              <w:t>P</w:t>
            </w:r>
            <w:r w:rsidR="00F55750">
              <w:rPr>
                <w:rFonts w:ascii="Book Antiqua" w:hAnsi="Book Antiqua"/>
                <w:b/>
                <w:bCs/>
                <w:i/>
                <w:iCs/>
                <w:color w:val="000000" w:themeColor="text1"/>
                <w:lang w:val="en-US"/>
              </w:rPr>
              <w:t xml:space="preserve"> </w:t>
            </w:r>
            <w:r w:rsidR="00F55750" w:rsidRPr="00F55750">
              <w:rPr>
                <w:rFonts w:ascii="Book Antiqua" w:hAnsi="Book Antiqua"/>
                <w:b/>
                <w:bCs/>
                <w:iCs/>
                <w:color w:val="000000" w:themeColor="text1"/>
                <w:lang w:val="en-US"/>
              </w:rPr>
              <w:t>value</w:t>
            </w:r>
          </w:p>
        </w:tc>
        <w:tc>
          <w:tcPr>
            <w:tcW w:w="871" w:type="pct"/>
            <w:tcBorders>
              <w:top w:val="single" w:sz="4" w:space="0" w:color="auto"/>
              <w:bottom w:val="single" w:sz="4" w:space="0" w:color="auto"/>
            </w:tcBorders>
          </w:tcPr>
          <w:p w14:paraId="5CA31F14" w14:textId="77777777" w:rsidR="00DE23EA" w:rsidRPr="00A95385" w:rsidRDefault="00DE23EA" w:rsidP="00F55750">
            <w:pPr>
              <w:snapToGrid w:val="0"/>
              <w:spacing w:line="360" w:lineRule="auto"/>
              <w:jc w:val="both"/>
              <w:textAlignment w:val="baseline"/>
              <w:rPr>
                <w:rFonts w:ascii="Book Antiqua" w:hAnsi="Book Antiqua"/>
                <w:b/>
                <w:bCs/>
                <w:i/>
                <w:iCs/>
                <w:color w:val="000000" w:themeColor="text1"/>
                <w:lang w:val="en-US"/>
              </w:rPr>
            </w:pPr>
            <w:r w:rsidRPr="00A95385">
              <w:rPr>
                <w:rFonts w:ascii="Book Antiqua" w:hAnsi="Book Antiqua"/>
                <w:b/>
                <w:bCs/>
                <w:i/>
                <w:iCs/>
                <w:color w:val="000000" w:themeColor="text1"/>
                <w:lang w:val="en-US"/>
              </w:rPr>
              <w:t>r</w:t>
            </w:r>
          </w:p>
        </w:tc>
      </w:tr>
      <w:tr w:rsidR="00DE23EA" w:rsidRPr="001256B1" w14:paraId="4AF66FC5" w14:textId="77777777" w:rsidTr="00F55750">
        <w:trPr>
          <w:trHeight w:val="213"/>
        </w:trPr>
        <w:tc>
          <w:tcPr>
            <w:tcW w:w="1146" w:type="pct"/>
            <w:tcBorders>
              <w:top w:val="single" w:sz="4" w:space="0" w:color="auto"/>
            </w:tcBorders>
          </w:tcPr>
          <w:p w14:paraId="176ECD6B" w14:textId="77777777" w:rsidR="00DE23EA" w:rsidRPr="00F55750" w:rsidRDefault="00DE23EA" w:rsidP="00F55750">
            <w:pPr>
              <w:snapToGrid w:val="0"/>
              <w:spacing w:line="360" w:lineRule="auto"/>
              <w:jc w:val="both"/>
              <w:textAlignment w:val="baseline"/>
              <w:rPr>
                <w:rFonts w:ascii="Book Antiqua" w:hAnsi="Book Antiqua"/>
                <w:bCs/>
                <w:color w:val="000000" w:themeColor="text1"/>
                <w:lang w:val="en-US"/>
              </w:rPr>
            </w:pPr>
            <w:r w:rsidRPr="00F55750">
              <w:rPr>
                <w:rFonts w:ascii="Book Antiqua" w:hAnsi="Book Antiqua"/>
                <w:bCs/>
                <w:color w:val="000000" w:themeColor="text1"/>
                <w:lang w:val="en-US"/>
              </w:rPr>
              <w:t>All</w:t>
            </w:r>
          </w:p>
        </w:tc>
        <w:tc>
          <w:tcPr>
            <w:tcW w:w="1596" w:type="pct"/>
            <w:tcBorders>
              <w:top w:val="single" w:sz="4" w:space="0" w:color="auto"/>
            </w:tcBorders>
          </w:tcPr>
          <w:p w14:paraId="10CB4F6D" w14:textId="77777777" w:rsidR="00DE23EA" w:rsidRPr="001256B1" w:rsidRDefault="00DE23EA" w:rsidP="00F55750">
            <w:pPr>
              <w:snapToGrid w:val="0"/>
              <w:spacing w:line="360" w:lineRule="auto"/>
              <w:jc w:val="both"/>
              <w:textAlignment w:val="baseline"/>
              <w:rPr>
                <w:rFonts w:ascii="Book Antiqua" w:hAnsi="Book Antiqua"/>
                <w:b/>
                <w:bCs/>
                <w:color w:val="000000" w:themeColor="text1"/>
                <w:lang w:val="en-US"/>
              </w:rPr>
            </w:pPr>
          </w:p>
        </w:tc>
        <w:tc>
          <w:tcPr>
            <w:tcW w:w="520" w:type="pct"/>
            <w:tcBorders>
              <w:top w:val="single" w:sz="4" w:space="0" w:color="auto"/>
            </w:tcBorders>
          </w:tcPr>
          <w:p w14:paraId="62B2BBFF"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102</w:t>
            </w:r>
          </w:p>
        </w:tc>
        <w:tc>
          <w:tcPr>
            <w:tcW w:w="867" w:type="pct"/>
            <w:tcBorders>
              <w:top w:val="single" w:sz="4" w:space="0" w:color="auto"/>
            </w:tcBorders>
          </w:tcPr>
          <w:p w14:paraId="7DE316B3"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0.589</w:t>
            </w:r>
          </w:p>
        </w:tc>
        <w:tc>
          <w:tcPr>
            <w:tcW w:w="871" w:type="pct"/>
            <w:tcBorders>
              <w:top w:val="single" w:sz="4" w:space="0" w:color="auto"/>
            </w:tcBorders>
          </w:tcPr>
          <w:p w14:paraId="0BEAD4E8"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themeColor="text1"/>
                <w:lang w:val="en-US"/>
              </w:rPr>
              <w:t>0.054</w:t>
            </w:r>
          </w:p>
        </w:tc>
      </w:tr>
      <w:tr w:rsidR="00DE23EA" w:rsidRPr="001256B1" w14:paraId="3C90F5AE" w14:textId="77777777" w:rsidTr="00F55750">
        <w:trPr>
          <w:trHeight w:val="227"/>
        </w:trPr>
        <w:tc>
          <w:tcPr>
            <w:tcW w:w="1146" w:type="pct"/>
            <w:vMerge w:val="restart"/>
          </w:tcPr>
          <w:p w14:paraId="6B2AA7D7" w14:textId="7788999B"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Age</w:t>
            </w:r>
            <w:r w:rsidR="00F55750">
              <w:rPr>
                <w:rFonts w:ascii="Book Antiqua" w:hAnsi="Book Antiqua"/>
                <w:color w:val="000000" w:themeColor="text1"/>
                <w:lang w:val="en-US"/>
              </w:rPr>
              <w:t xml:space="preserve"> </w:t>
            </w:r>
            <w:r w:rsidR="00000AD0" w:rsidRPr="001256B1">
              <w:rPr>
                <w:rFonts w:ascii="Book Antiqua" w:hAnsi="Book Antiqua"/>
                <w:color w:val="000000" w:themeColor="text1"/>
                <w:lang w:val="en-US"/>
              </w:rPr>
              <w:t>(</w:t>
            </w:r>
            <w:proofErr w:type="spellStart"/>
            <w:r w:rsidR="00000AD0" w:rsidRPr="001256B1">
              <w:rPr>
                <w:rFonts w:ascii="Book Antiqua" w:hAnsi="Book Antiqua"/>
                <w:color w:val="000000" w:themeColor="text1"/>
                <w:lang w:val="en-US"/>
              </w:rPr>
              <w:t>yr</w:t>
            </w:r>
            <w:proofErr w:type="spellEnd"/>
            <w:r w:rsidR="00000AD0" w:rsidRPr="001256B1">
              <w:rPr>
                <w:rFonts w:ascii="Book Antiqua" w:hAnsi="Book Antiqua"/>
                <w:color w:val="000000" w:themeColor="text1"/>
                <w:lang w:val="en-US"/>
              </w:rPr>
              <w:t>)</w:t>
            </w:r>
          </w:p>
        </w:tc>
        <w:tc>
          <w:tcPr>
            <w:tcW w:w="1596" w:type="pct"/>
          </w:tcPr>
          <w:p w14:paraId="5E75C3B0"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sym w:font="Symbol" w:char="F0A3"/>
            </w:r>
            <w:r w:rsidRPr="001256B1">
              <w:rPr>
                <w:rFonts w:ascii="Book Antiqua" w:hAnsi="Book Antiqua"/>
                <w:color w:val="000000" w:themeColor="text1"/>
                <w:lang w:val="en-US"/>
              </w:rPr>
              <w:t xml:space="preserve"> 60</w:t>
            </w:r>
          </w:p>
        </w:tc>
        <w:tc>
          <w:tcPr>
            <w:tcW w:w="520" w:type="pct"/>
          </w:tcPr>
          <w:p w14:paraId="66E11605"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32</w:t>
            </w:r>
          </w:p>
        </w:tc>
        <w:tc>
          <w:tcPr>
            <w:tcW w:w="867" w:type="pct"/>
          </w:tcPr>
          <w:p w14:paraId="6416AAE9"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0.291</w:t>
            </w:r>
          </w:p>
        </w:tc>
        <w:tc>
          <w:tcPr>
            <w:tcW w:w="871" w:type="pct"/>
          </w:tcPr>
          <w:p w14:paraId="54A79877" w14:textId="31A4CBB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-0.193</w:t>
            </w:r>
          </w:p>
        </w:tc>
      </w:tr>
      <w:tr w:rsidR="00DE23EA" w:rsidRPr="001256B1" w14:paraId="76E0971F" w14:textId="77777777" w:rsidTr="00F55750">
        <w:trPr>
          <w:trHeight w:val="213"/>
        </w:trPr>
        <w:tc>
          <w:tcPr>
            <w:tcW w:w="1146" w:type="pct"/>
            <w:vMerge/>
          </w:tcPr>
          <w:p w14:paraId="202DF5FF"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p>
        </w:tc>
        <w:tc>
          <w:tcPr>
            <w:tcW w:w="1596" w:type="pct"/>
          </w:tcPr>
          <w:p w14:paraId="1E42ECB0" w14:textId="309E3A6D"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&gt;</w:t>
            </w:r>
            <w:r w:rsidR="00000AD0" w:rsidRPr="001256B1">
              <w:rPr>
                <w:rFonts w:ascii="Book Antiqua" w:hAnsi="Book Antiqua"/>
                <w:color w:val="000000" w:themeColor="text1"/>
                <w:lang w:val="en-US"/>
              </w:rPr>
              <w:t xml:space="preserve"> </w:t>
            </w:r>
            <w:r w:rsidRPr="001256B1">
              <w:rPr>
                <w:rFonts w:ascii="Book Antiqua" w:hAnsi="Book Antiqua"/>
                <w:color w:val="000000" w:themeColor="text1"/>
                <w:lang w:val="en-US"/>
              </w:rPr>
              <w:t>60</w:t>
            </w:r>
          </w:p>
        </w:tc>
        <w:tc>
          <w:tcPr>
            <w:tcW w:w="520" w:type="pct"/>
          </w:tcPr>
          <w:p w14:paraId="087EE67F"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68</w:t>
            </w:r>
          </w:p>
        </w:tc>
        <w:tc>
          <w:tcPr>
            <w:tcW w:w="867" w:type="pct"/>
          </w:tcPr>
          <w:p w14:paraId="075D3F5A"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0.147</w:t>
            </w:r>
          </w:p>
        </w:tc>
        <w:tc>
          <w:tcPr>
            <w:tcW w:w="871" w:type="pct"/>
          </w:tcPr>
          <w:p w14:paraId="1F540F6D"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0.178</w:t>
            </w:r>
          </w:p>
        </w:tc>
      </w:tr>
      <w:tr w:rsidR="00DE23EA" w:rsidRPr="001256B1" w14:paraId="5D51653A" w14:textId="77777777" w:rsidTr="00F55750">
        <w:trPr>
          <w:trHeight w:val="227"/>
        </w:trPr>
        <w:tc>
          <w:tcPr>
            <w:tcW w:w="1146" w:type="pct"/>
            <w:vMerge w:val="restart"/>
          </w:tcPr>
          <w:p w14:paraId="211267E4"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Sex</w:t>
            </w:r>
          </w:p>
        </w:tc>
        <w:tc>
          <w:tcPr>
            <w:tcW w:w="1596" w:type="pct"/>
          </w:tcPr>
          <w:p w14:paraId="5A285165" w14:textId="20B15E81" w:rsidR="00DE23EA" w:rsidRPr="001256B1" w:rsidRDefault="00C656DD"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Male</w:t>
            </w:r>
          </w:p>
        </w:tc>
        <w:tc>
          <w:tcPr>
            <w:tcW w:w="520" w:type="pct"/>
          </w:tcPr>
          <w:p w14:paraId="57C7790A"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55</w:t>
            </w:r>
          </w:p>
        </w:tc>
        <w:tc>
          <w:tcPr>
            <w:tcW w:w="867" w:type="pct"/>
          </w:tcPr>
          <w:p w14:paraId="1A7B5D4F"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0.893</w:t>
            </w:r>
          </w:p>
        </w:tc>
        <w:tc>
          <w:tcPr>
            <w:tcW w:w="871" w:type="pct"/>
          </w:tcPr>
          <w:p w14:paraId="09B77007"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0.018</w:t>
            </w:r>
          </w:p>
        </w:tc>
      </w:tr>
      <w:tr w:rsidR="00DE23EA" w:rsidRPr="001256B1" w14:paraId="66BAD25C" w14:textId="77777777" w:rsidTr="00F55750">
        <w:trPr>
          <w:trHeight w:val="213"/>
        </w:trPr>
        <w:tc>
          <w:tcPr>
            <w:tcW w:w="1146" w:type="pct"/>
            <w:vMerge/>
          </w:tcPr>
          <w:p w14:paraId="16A5541D"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p>
        </w:tc>
        <w:tc>
          <w:tcPr>
            <w:tcW w:w="1596" w:type="pct"/>
          </w:tcPr>
          <w:p w14:paraId="5F98A18B" w14:textId="77E02267" w:rsidR="00DE23EA" w:rsidRPr="001256B1" w:rsidRDefault="00C656DD"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Female</w:t>
            </w:r>
          </w:p>
        </w:tc>
        <w:tc>
          <w:tcPr>
            <w:tcW w:w="520" w:type="pct"/>
          </w:tcPr>
          <w:p w14:paraId="7D7A367F"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46</w:t>
            </w:r>
          </w:p>
        </w:tc>
        <w:tc>
          <w:tcPr>
            <w:tcW w:w="867" w:type="pct"/>
          </w:tcPr>
          <w:p w14:paraId="5489A0A5"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0.517</w:t>
            </w:r>
          </w:p>
        </w:tc>
        <w:tc>
          <w:tcPr>
            <w:tcW w:w="871" w:type="pct"/>
          </w:tcPr>
          <w:p w14:paraId="3EE4B32E"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0.098</w:t>
            </w:r>
          </w:p>
        </w:tc>
      </w:tr>
      <w:tr w:rsidR="00DE23EA" w:rsidRPr="001256B1" w14:paraId="29B03D6E" w14:textId="77777777" w:rsidTr="00F55750">
        <w:trPr>
          <w:trHeight w:val="213"/>
        </w:trPr>
        <w:tc>
          <w:tcPr>
            <w:tcW w:w="1146" w:type="pct"/>
            <w:vMerge w:val="restart"/>
          </w:tcPr>
          <w:p w14:paraId="28250DC8"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Localization</w:t>
            </w:r>
          </w:p>
        </w:tc>
        <w:tc>
          <w:tcPr>
            <w:tcW w:w="1596" w:type="pct"/>
          </w:tcPr>
          <w:p w14:paraId="308E7CE3" w14:textId="20EE229F" w:rsidR="00DE23EA" w:rsidRPr="001256B1" w:rsidRDefault="00C656DD"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Rectum</w:t>
            </w:r>
          </w:p>
        </w:tc>
        <w:tc>
          <w:tcPr>
            <w:tcW w:w="520" w:type="pct"/>
          </w:tcPr>
          <w:p w14:paraId="6559D206"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45</w:t>
            </w:r>
          </w:p>
        </w:tc>
        <w:tc>
          <w:tcPr>
            <w:tcW w:w="867" w:type="pct"/>
          </w:tcPr>
          <w:p w14:paraId="41DB2DE9"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0.662</w:t>
            </w:r>
          </w:p>
        </w:tc>
        <w:tc>
          <w:tcPr>
            <w:tcW w:w="871" w:type="pct"/>
          </w:tcPr>
          <w:p w14:paraId="107D158B" w14:textId="4E79CC70"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-0.067</w:t>
            </w:r>
          </w:p>
        </w:tc>
      </w:tr>
      <w:tr w:rsidR="00DE23EA" w:rsidRPr="001256B1" w14:paraId="55CF42BA" w14:textId="77777777" w:rsidTr="00F55750">
        <w:trPr>
          <w:trHeight w:val="227"/>
        </w:trPr>
        <w:tc>
          <w:tcPr>
            <w:tcW w:w="1146" w:type="pct"/>
            <w:vMerge/>
          </w:tcPr>
          <w:p w14:paraId="693166D2"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p>
        </w:tc>
        <w:tc>
          <w:tcPr>
            <w:tcW w:w="1596" w:type="pct"/>
          </w:tcPr>
          <w:p w14:paraId="27427988" w14:textId="6BEAADA8" w:rsidR="00DE23EA" w:rsidRPr="001256B1" w:rsidRDefault="00C656DD"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Colon</w:t>
            </w:r>
          </w:p>
        </w:tc>
        <w:tc>
          <w:tcPr>
            <w:tcW w:w="520" w:type="pct"/>
          </w:tcPr>
          <w:p w14:paraId="3C3D17D2"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56</w:t>
            </w:r>
          </w:p>
        </w:tc>
        <w:tc>
          <w:tcPr>
            <w:tcW w:w="867" w:type="pct"/>
          </w:tcPr>
          <w:p w14:paraId="0EC79CB9"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0.285</w:t>
            </w:r>
          </w:p>
        </w:tc>
        <w:tc>
          <w:tcPr>
            <w:tcW w:w="871" w:type="pct"/>
          </w:tcPr>
          <w:p w14:paraId="1AD418FC"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0.145</w:t>
            </w:r>
          </w:p>
        </w:tc>
      </w:tr>
      <w:tr w:rsidR="00DE23EA" w:rsidRPr="001256B1" w14:paraId="0BB2E875" w14:textId="77777777" w:rsidTr="00F55750">
        <w:trPr>
          <w:trHeight w:val="213"/>
        </w:trPr>
        <w:tc>
          <w:tcPr>
            <w:tcW w:w="1146" w:type="pct"/>
            <w:vMerge w:val="restart"/>
          </w:tcPr>
          <w:p w14:paraId="0B3FC8D8" w14:textId="4ACAA8C1"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HP–type</w:t>
            </w:r>
          </w:p>
        </w:tc>
        <w:tc>
          <w:tcPr>
            <w:tcW w:w="1596" w:type="pct"/>
          </w:tcPr>
          <w:p w14:paraId="2908AFD5"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A</w:t>
            </w:r>
          </w:p>
        </w:tc>
        <w:tc>
          <w:tcPr>
            <w:tcW w:w="520" w:type="pct"/>
          </w:tcPr>
          <w:p w14:paraId="4D4E3C0B"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85</w:t>
            </w:r>
          </w:p>
        </w:tc>
        <w:tc>
          <w:tcPr>
            <w:tcW w:w="867" w:type="pct"/>
          </w:tcPr>
          <w:p w14:paraId="4D625EA4"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0.751</w:t>
            </w:r>
          </w:p>
        </w:tc>
        <w:tc>
          <w:tcPr>
            <w:tcW w:w="871" w:type="pct"/>
          </w:tcPr>
          <w:p w14:paraId="51D5A1F4"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0.035</w:t>
            </w:r>
          </w:p>
        </w:tc>
      </w:tr>
      <w:tr w:rsidR="00DE23EA" w:rsidRPr="001256B1" w14:paraId="33545544" w14:textId="77777777" w:rsidTr="00F55750">
        <w:trPr>
          <w:trHeight w:val="213"/>
        </w:trPr>
        <w:tc>
          <w:tcPr>
            <w:tcW w:w="1146" w:type="pct"/>
            <w:vMerge/>
          </w:tcPr>
          <w:p w14:paraId="698C89AC"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p>
        </w:tc>
        <w:tc>
          <w:tcPr>
            <w:tcW w:w="1596" w:type="pct"/>
          </w:tcPr>
          <w:p w14:paraId="4F8A7C07"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MA</w:t>
            </w:r>
          </w:p>
        </w:tc>
        <w:tc>
          <w:tcPr>
            <w:tcW w:w="520" w:type="pct"/>
          </w:tcPr>
          <w:p w14:paraId="0EC4EBA4"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17</w:t>
            </w:r>
          </w:p>
        </w:tc>
        <w:tc>
          <w:tcPr>
            <w:tcW w:w="867" w:type="pct"/>
          </w:tcPr>
          <w:p w14:paraId="3390B6EA"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0.239</w:t>
            </w:r>
          </w:p>
        </w:tc>
        <w:tc>
          <w:tcPr>
            <w:tcW w:w="871" w:type="pct"/>
          </w:tcPr>
          <w:p w14:paraId="51C5FBA9" w14:textId="1A27FBF5"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-0.302</w:t>
            </w:r>
          </w:p>
        </w:tc>
      </w:tr>
      <w:tr w:rsidR="00DE23EA" w:rsidRPr="001256B1" w14:paraId="3EA2FBBE" w14:textId="77777777" w:rsidTr="00F55750">
        <w:trPr>
          <w:trHeight w:val="227"/>
        </w:trPr>
        <w:tc>
          <w:tcPr>
            <w:tcW w:w="1146" w:type="pct"/>
            <w:vMerge w:val="restart"/>
          </w:tcPr>
          <w:p w14:paraId="4557E77F"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w:t>
            </w:r>
          </w:p>
        </w:tc>
        <w:tc>
          <w:tcPr>
            <w:tcW w:w="1596" w:type="pct"/>
          </w:tcPr>
          <w:p w14:paraId="5858CC26"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G2</w:t>
            </w:r>
          </w:p>
        </w:tc>
        <w:tc>
          <w:tcPr>
            <w:tcW w:w="520" w:type="pct"/>
          </w:tcPr>
          <w:p w14:paraId="619CC5EA"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71</w:t>
            </w:r>
          </w:p>
        </w:tc>
        <w:tc>
          <w:tcPr>
            <w:tcW w:w="867" w:type="pct"/>
          </w:tcPr>
          <w:p w14:paraId="5661825D"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0.845</w:t>
            </w:r>
          </w:p>
        </w:tc>
        <w:tc>
          <w:tcPr>
            <w:tcW w:w="871" w:type="pct"/>
          </w:tcPr>
          <w:p w14:paraId="75D31A40"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0.024</w:t>
            </w:r>
          </w:p>
        </w:tc>
      </w:tr>
      <w:tr w:rsidR="00DE23EA" w:rsidRPr="001256B1" w14:paraId="1EDBD84F" w14:textId="77777777" w:rsidTr="00F55750">
        <w:trPr>
          <w:trHeight w:val="213"/>
        </w:trPr>
        <w:tc>
          <w:tcPr>
            <w:tcW w:w="1146" w:type="pct"/>
            <w:vMerge/>
          </w:tcPr>
          <w:p w14:paraId="0DA0707C"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p>
        </w:tc>
        <w:tc>
          <w:tcPr>
            <w:tcW w:w="1596" w:type="pct"/>
          </w:tcPr>
          <w:p w14:paraId="5F07EAF6"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G3</w:t>
            </w:r>
          </w:p>
        </w:tc>
        <w:tc>
          <w:tcPr>
            <w:tcW w:w="520" w:type="pct"/>
          </w:tcPr>
          <w:p w14:paraId="4DCDB5C2"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30</w:t>
            </w:r>
          </w:p>
        </w:tc>
        <w:tc>
          <w:tcPr>
            <w:tcW w:w="867" w:type="pct"/>
          </w:tcPr>
          <w:p w14:paraId="67C2BDDF"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0.714</w:t>
            </w:r>
          </w:p>
        </w:tc>
        <w:tc>
          <w:tcPr>
            <w:tcW w:w="871" w:type="pct"/>
          </w:tcPr>
          <w:p w14:paraId="34FB1185"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0.070</w:t>
            </w:r>
          </w:p>
        </w:tc>
      </w:tr>
      <w:tr w:rsidR="00DE23EA" w:rsidRPr="001256B1" w14:paraId="0A117DB0" w14:textId="77777777" w:rsidTr="00F55750">
        <w:trPr>
          <w:trHeight w:val="213"/>
        </w:trPr>
        <w:tc>
          <w:tcPr>
            <w:tcW w:w="1146" w:type="pct"/>
            <w:vMerge w:val="restart"/>
          </w:tcPr>
          <w:p w14:paraId="730622FE"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T</w:t>
            </w:r>
          </w:p>
        </w:tc>
        <w:tc>
          <w:tcPr>
            <w:tcW w:w="1596" w:type="pct"/>
          </w:tcPr>
          <w:p w14:paraId="4D795160" w14:textId="375754C1"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pT1</w:t>
            </w:r>
            <w:r w:rsidR="009561D0"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r w:rsidR="009561D0" w:rsidRPr="001256B1">
              <w:rPr>
                <w:rFonts w:ascii="Book Antiqua" w:hAnsi="Book Antiqua"/>
                <w:color w:val="000000" w:themeColor="text1"/>
                <w:lang w:val="en-US"/>
              </w:rPr>
              <w:t xml:space="preserve"> </w:t>
            </w:r>
            <w:r w:rsidRPr="001256B1">
              <w:rPr>
                <w:rFonts w:ascii="Book Antiqua" w:hAnsi="Book Antiqua"/>
                <w:color w:val="000000" w:themeColor="text1"/>
                <w:lang w:val="en-US"/>
              </w:rPr>
              <w:t>pT2</w:t>
            </w:r>
          </w:p>
        </w:tc>
        <w:tc>
          <w:tcPr>
            <w:tcW w:w="520" w:type="pct"/>
          </w:tcPr>
          <w:p w14:paraId="4233A751"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8</w:t>
            </w:r>
          </w:p>
        </w:tc>
        <w:tc>
          <w:tcPr>
            <w:tcW w:w="867" w:type="pct"/>
          </w:tcPr>
          <w:p w14:paraId="52A6A74A"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0.043</w:t>
            </w:r>
          </w:p>
        </w:tc>
        <w:tc>
          <w:tcPr>
            <w:tcW w:w="871" w:type="pct"/>
          </w:tcPr>
          <w:p w14:paraId="5E6CAC0E"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0.723</w:t>
            </w:r>
            <w:r w:rsidRPr="001256B1">
              <w:rPr>
                <w:rFonts w:ascii="Book Antiqua" w:hAnsi="Book Antiqua"/>
                <w:color w:val="000000"/>
                <w:vertAlign w:val="superscript"/>
                <w:lang w:val="en-US"/>
              </w:rPr>
              <w:t>a</w:t>
            </w:r>
          </w:p>
        </w:tc>
      </w:tr>
      <w:tr w:rsidR="00DE23EA" w:rsidRPr="001256B1" w14:paraId="05C04BD3" w14:textId="77777777" w:rsidTr="00F55750">
        <w:trPr>
          <w:trHeight w:val="227"/>
        </w:trPr>
        <w:tc>
          <w:tcPr>
            <w:tcW w:w="1146" w:type="pct"/>
            <w:vMerge/>
          </w:tcPr>
          <w:p w14:paraId="5C0F924A"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p>
        </w:tc>
        <w:tc>
          <w:tcPr>
            <w:tcW w:w="1596" w:type="pct"/>
          </w:tcPr>
          <w:p w14:paraId="5C6C1A6A" w14:textId="4492CE6D"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pT3</w:t>
            </w:r>
            <w:r w:rsidR="009561D0"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r w:rsidR="009561D0" w:rsidRPr="001256B1">
              <w:rPr>
                <w:rFonts w:ascii="Book Antiqua" w:hAnsi="Book Antiqua"/>
                <w:color w:val="000000" w:themeColor="text1"/>
                <w:lang w:val="en-US"/>
              </w:rPr>
              <w:t xml:space="preserve"> </w:t>
            </w:r>
            <w:r w:rsidRPr="001256B1">
              <w:rPr>
                <w:rFonts w:ascii="Book Antiqua" w:hAnsi="Book Antiqua"/>
                <w:color w:val="000000" w:themeColor="text1"/>
                <w:lang w:val="en-US"/>
              </w:rPr>
              <w:t>pT4</w:t>
            </w:r>
          </w:p>
        </w:tc>
        <w:tc>
          <w:tcPr>
            <w:tcW w:w="520" w:type="pct"/>
          </w:tcPr>
          <w:p w14:paraId="3A3E462D"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94</w:t>
            </w:r>
          </w:p>
        </w:tc>
        <w:tc>
          <w:tcPr>
            <w:tcW w:w="867" w:type="pct"/>
          </w:tcPr>
          <w:p w14:paraId="0216F4E2"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0.973</w:t>
            </w:r>
          </w:p>
        </w:tc>
        <w:tc>
          <w:tcPr>
            <w:tcW w:w="871" w:type="pct"/>
          </w:tcPr>
          <w:p w14:paraId="45BD2EFC" w14:textId="0AF99CA1"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-0.004</w:t>
            </w:r>
          </w:p>
        </w:tc>
      </w:tr>
      <w:tr w:rsidR="00DE23EA" w:rsidRPr="001256B1" w14:paraId="55C9DD85" w14:textId="77777777" w:rsidTr="00F55750">
        <w:trPr>
          <w:trHeight w:val="213"/>
        </w:trPr>
        <w:tc>
          <w:tcPr>
            <w:tcW w:w="1146" w:type="pct"/>
            <w:vMerge w:val="restart"/>
          </w:tcPr>
          <w:p w14:paraId="3D2992B4"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N</w:t>
            </w:r>
          </w:p>
        </w:tc>
        <w:tc>
          <w:tcPr>
            <w:tcW w:w="1596" w:type="pct"/>
          </w:tcPr>
          <w:p w14:paraId="7EEDCDF1" w14:textId="7B9B6E03" w:rsidR="00DE23EA" w:rsidRPr="001256B1" w:rsidRDefault="00DE23EA" w:rsidP="00F55750">
            <w:pPr>
              <w:snapToGrid w:val="0"/>
              <w:spacing w:line="360" w:lineRule="auto"/>
              <w:jc w:val="both"/>
              <w:textAlignment w:val="baseline"/>
              <w:rPr>
                <w:rFonts w:ascii="Book Antiqua" w:hAnsi="Book Antiqua"/>
                <w:color w:val="000000" w:themeColor="text1"/>
                <w:lang w:val="en-US"/>
              </w:rPr>
            </w:pPr>
            <w:proofErr w:type="spellStart"/>
            <w:r w:rsidRPr="001256B1">
              <w:rPr>
                <w:rFonts w:ascii="Book Antiqua" w:hAnsi="Book Antiqua"/>
                <w:color w:val="000000" w:themeColor="text1"/>
                <w:lang w:val="en-US"/>
              </w:rPr>
              <w:t>pN</w:t>
            </w:r>
            <w:proofErr w:type="spellEnd"/>
            <w:r w:rsidR="00A601E9"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p>
        </w:tc>
        <w:tc>
          <w:tcPr>
            <w:tcW w:w="520" w:type="pct"/>
          </w:tcPr>
          <w:p w14:paraId="04028C7E"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49</w:t>
            </w:r>
          </w:p>
        </w:tc>
        <w:tc>
          <w:tcPr>
            <w:tcW w:w="867" w:type="pct"/>
          </w:tcPr>
          <w:p w14:paraId="70D46DA6"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0.471</w:t>
            </w:r>
          </w:p>
        </w:tc>
        <w:tc>
          <w:tcPr>
            <w:tcW w:w="871" w:type="pct"/>
          </w:tcPr>
          <w:p w14:paraId="207F7C22"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0.105</w:t>
            </w:r>
          </w:p>
        </w:tc>
      </w:tr>
      <w:tr w:rsidR="00DE23EA" w:rsidRPr="001256B1" w14:paraId="27327EB1" w14:textId="77777777" w:rsidTr="00F55750">
        <w:trPr>
          <w:trHeight w:val="213"/>
        </w:trPr>
        <w:tc>
          <w:tcPr>
            <w:tcW w:w="1146" w:type="pct"/>
            <w:vMerge/>
          </w:tcPr>
          <w:p w14:paraId="3C4427DC"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p>
        </w:tc>
        <w:tc>
          <w:tcPr>
            <w:tcW w:w="1596" w:type="pct"/>
          </w:tcPr>
          <w:p w14:paraId="1DB9F605" w14:textId="14D872F7" w:rsidR="00DE23EA" w:rsidRPr="001256B1" w:rsidRDefault="00DE23EA" w:rsidP="00F55750">
            <w:pPr>
              <w:snapToGrid w:val="0"/>
              <w:spacing w:line="360" w:lineRule="auto"/>
              <w:jc w:val="both"/>
              <w:textAlignment w:val="baseline"/>
              <w:rPr>
                <w:rFonts w:ascii="Book Antiqua" w:hAnsi="Book Antiqua"/>
                <w:color w:val="000000" w:themeColor="text1"/>
                <w:lang w:val="en-US"/>
              </w:rPr>
            </w:pPr>
            <w:proofErr w:type="spellStart"/>
            <w:r w:rsidRPr="001256B1">
              <w:rPr>
                <w:rFonts w:ascii="Book Antiqua" w:hAnsi="Book Antiqua"/>
                <w:color w:val="000000" w:themeColor="text1"/>
                <w:lang w:val="en-US"/>
              </w:rPr>
              <w:t>pN</w:t>
            </w:r>
            <w:proofErr w:type="spellEnd"/>
            <w:r w:rsidR="00A601E9"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p>
        </w:tc>
        <w:tc>
          <w:tcPr>
            <w:tcW w:w="520" w:type="pct"/>
          </w:tcPr>
          <w:p w14:paraId="021FE228"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53</w:t>
            </w:r>
          </w:p>
        </w:tc>
        <w:tc>
          <w:tcPr>
            <w:tcW w:w="867" w:type="pct"/>
          </w:tcPr>
          <w:p w14:paraId="1C33BED2" w14:textId="77777777" w:rsidR="00DE23EA" w:rsidRPr="001256B1" w:rsidRDefault="00DE23EA"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0.999</w:t>
            </w:r>
          </w:p>
        </w:tc>
        <w:tc>
          <w:tcPr>
            <w:tcW w:w="871" w:type="pct"/>
          </w:tcPr>
          <w:p w14:paraId="082C512A" w14:textId="77777777" w:rsidR="00DE23EA" w:rsidRPr="001256B1" w:rsidRDefault="00DE23EA"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0.000</w:t>
            </w:r>
          </w:p>
        </w:tc>
      </w:tr>
    </w:tbl>
    <w:p w14:paraId="2658D3FE" w14:textId="0E1E6E9E" w:rsidR="00DE23EA" w:rsidRPr="001256B1" w:rsidRDefault="00F55750" w:rsidP="00F55750">
      <w:pPr>
        <w:snapToGrid w:val="0"/>
        <w:spacing w:line="360" w:lineRule="auto"/>
        <w:jc w:val="both"/>
        <w:rPr>
          <w:rFonts w:ascii="Book Antiqua" w:hAnsi="Book Antiqua"/>
          <w:color w:val="000000" w:themeColor="text1"/>
          <w:lang w:val="en-US" w:eastAsia="zh-CN"/>
        </w:rPr>
      </w:pPr>
      <w:r w:rsidRPr="001256B1">
        <w:rPr>
          <w:rFonts w:ascii="Book Antiqua" w:hAnsi="Book Antiqua"/>
          <w:lang w:val="en-US"/>
        </w:rPr>
        <w:lastRenderedPageBreak/>
        <w:t xml:space="preserve">Associations were analyzed by Spearman's correlation rank test. </w:t>
      </w:r>
      <w:proofErr w:type="spellStart"/>
      <w:r w:rsidRPr="001256B1">
        <w:rPr>
          <w:rFonts w:ascii="Book Antiqua" w:hAnsi="Book Antiqua"/>
          <w:vertAlign w:val="superscript"/>
          <w:lang w:val="en-US"/>
        </w:rPr>
        <w:t>a</w:t>
      </w:r>
      <w:r w:rsidRPr="001256B1">
        <w:rPr>
          <w:rFonts w:ascii="Book Antiqua" w:hAnsi="Book Antiqua"/>
          <w:i/>
          <w:iCs/>
          <w:lang w:val="en-US"/>
        </w:rPr>
        <w:t>P</w:t>
      </w:r>
      <w:proofErr w:type="spellEnd"/>
      <w:r w:rsidRPr="001256B1">
        <w:rPr>
          <w:rFonts w:ascii="Book Antiqua" w:hAnsi="Book Antiqua"/>
          <w:i/>
          <w:iCs/>
          <w:lang w:val="en-US"/>
        </w:rPr>
        <w:t xml:space="preserve"> </w:t>
      </w:r>
      <w:r w:rsidRPr="001256B1">
        <w:rPr>
          <w:rFonts w:ascii="Book Antiqua" w:hAnsi="Book Antiqua"/>
          <w:lang w:val="en-US"/>
        </w:rPr>
        <w:t xml:space="preserve">&lt; 0.05; </w:t>
      </w:r>
      <w:r w:rsidRPr="001256B1">
        <w:rPr>
          <w:rFonts w:ascii="Book Antiqua" w:hAnsi="Book Antiqua"/>
          <w:i/>
          <w:iCs/>
          <w:lang w:val="en-US"/>
        </w:rPr>
        <w:t>n</w:t>
      </w:r>
      <w:r w:rsidRPr="001256B1">
        <w:rPr>
          <w:rFonts w:ascii="Book Antiqua" w:hAnsi="Book Antiqua"/>
          <w:lang w:val="en-US"/>
        </w:rPr>
        <w:t xml:space="preserve">: Number of cases; </w:t>
      </w:r>
      <w:r w:rsidRPr="00E463BA">
        <w:rPr>
          <w:rFonts w:ascii="Book Antiqua" w:hAnsi="Book Antiqua"/>
          <w:i/>
          <w:iCs/>
          <w:lang w:val="en-US"/>
        </w:rPr>
        <w:t>r</w:t>
      </w:r>
      <w:r w:rsidRPr="001256B1">
        <w:rPr>
          <w:rFonts w:ascii="Book Antiqua" w:hAnsi="Book Antiqua"/>
          <w:lang w:val="en-US"/>
        </w:rPr>
        <w:t>: Correlation coefficient; A: Adenocarcinoma; MA: Mucinous adenocarcinoma; G2: Moderately differentiated; G3: Poorly differentiated; N</w:t>
      </w:r>
      <w:r>
        <w:rPr>
          <w:rFonts w:ascii="Book Antiqua" w:hAnsi="Book Antiqua"/>
          <w:lang w:val="en-US"/>
        </w:rPr>
        <w:t xml:space="preserve"> </w:t>
      </w:r>
      <w:r w:rsidRPr="001256B1">
        <w:rPr>
          <w:rFonts w:ascii="Book Antiqua" w:hAnsi="Book Antiqua"/>
          <w:lang w:val="en-US"/>
        </w:rPr>
        <w:t>(-): Negative lymph node invasion; N</w:t>
      </w:r>
      <w:r>
        <w:rPr>
          <w:rFonts w:ascii="Book Antiqua" w:hAnsi="Book Antiqua"/>
          <w:lang w:val="en-US"/>
        </w:rPr>
        <w:t xml:space="preserve"> </w:t>
      </w:r>
      <w:r w:rsidRPr="001256B1">
        <w:rPr>
          <w:rFonts w:ascii="Book Antiqua" w:hAnsi="Book Antiqua"/>
          <w:lang w:val="en-US"/>
        </w:rPr>
        <w:t>(+): Positive lymph node invasion.</w:t>
      </w:r>
    </w:p>
    <w:p w14:paraId="27AB78E4" w14:textId="77777777" w:rsidR="00DE23EA" w:rsidRPr="001256B1" w:rsidRDefault="00DE23EA" w:rsidP="00F55750">
      <w:pPr>
        <w:snapToGrid w:val="0"/>
        <w:spacing w:line="360" w:lineRule="auto"/>
        <w:jc w:val="both"/>
        <w:rPr>
          <w:rFonts w:ascii="Book Antiqua" w:hAnsi="Book Antiqua"/>
          <w:color w:val="000000" w:themeColor="text1"/>
          <w:lang w:val="en-US"/>
        </w:rPr>
      </w:pPr>
    </w:p>
    <w:p w14:paraId="07FDD83C" w14:textId="3FD93D1F" w:rsidR="00F05A97" w:rsidRPr="001256B1" w:rsidRDefault="00F05A97" w:rsidP="00F55750">
      <w:pPr>
        <w:snapToGrid w:val="0"/>
        <w:spacing w:line="360" w:lineRule="auto"/>
        <w:jc w:val="both"/>
        <w:rPr>
          <w:rFonts w:ascii="Book Antiqua" w:hAnsi="Book Antiqua"/>
          <w:b/>
          <w:bCs/>
          <w:color w:val="000000" w:themeColor="text1"/>
          <w:lang w:val="en-US"/>
        </w:rPr>
      </w:pPr>
      <w:r w:rsidRPr="001256B1">
        <w:rPr>
          <w:rFonts w:ascii="Book Antiqua" w:hAnsi="Book Antiqua"/>
          <w:color w:val="000000" w:themeColor="text1"/>
          <w:lang w:val="en-US"/>
        </w:rPr>
        <w:br w:type="page"/>
      </w:r>
      <w:r w:rsidR="00342BCE" w:rsidRPr="001256B1">
        <w:rPr>
          <w:rFonts w:ascii="Book Antiqua" w:hAnsi="Book Antiqua"/>
          <w:b/>
          <w:bCs/>
          <w:color w:val="000000" w:themeColor="text1"/>
          <w:lang w:val="en-US"/>
        </w:rPr>
        <w:lastRenderedPageBreak/>
        <w:t xml:space="preserve">Table 4 Analysis of correlations between </w:t>
      </w:r>
      <w:proofErr w:type="spellStart"/>
      <w:r w:rsidR="00342BCE" w:rsidRPr="001256B1">
        <w:rPr>
          <w:rFonts w:ascii="Book Antiqua" w:hAnsi="Book Antiqua"/>
          <w:b/>
          <w:bCs/>
          <w:color w:val="000000" w:themeColor="text1"/>
          <w:lang w:val="en-US"/>
        </w:rPr>
        <w:t>Bax</w:t>
      </w:r>
      <w:proofErr w:type="spellEnd"/>
      <w:r w:rsidR="00342BCE" w:rsidRPr="001256B1">
        <w:rPr>
          <w:rFonts w:ascii="Book Antiqua" w:hAnsi="Book Antiqua"/>
          <w:b/>
          <w:bCs/>
          <w:color w:val="000000" w:themeColor="text1"/>
          <w:lang w:val="en-US"/>
        </w:rPr>
        <w:t xml:space="preserve"> and </w:t>
      </w:r>
      <w:proofErr w:type="spellStart"/>
      <w:r w:rsidR="00342BCE" w:rsidRPr="001256B1">
        <w:rPr>
          <w:rFonts w:ascii="Book Antiqua" w:hAnsi="Book Antiqua"/>
          <w:b/>
          <w:bCs/>
          <w:color w:val="000000" w:themeColor="text1"/>
          <w:lang w:val="en-US"/>
        </w:rPr>
        <w:t>Bcl-xL</w:t>
      </w:r>
      <w:proofErr w:type="spellEnd"/>
      <w:r w:rsidR="00342BCE" w:rsidRPr="001256B1">
        <w:rPr>
          <w:rFonts w:ascii="Book Antiqua" w:hAnsi="Book Antiqua"/>
          <w:b/>
          <w:bCs/>
          <w:color w:val="000000" w:themeColor="text1"/>
          <w:lang w:val="en-US"/>
        </w:rPr>
        <w:t xml:space="preserve"> expression in primary colorectal cancer</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3580"/>
        <w:gridCol w:w="2065"/>
        <w:gridCol w:w="2325"/>
        <w:gridCol w:w="2320"/>
      </w:tblGrid>
      <w:tr w:rsidR="00F05A97" w:rsidRPr="001256B1" w14:paraId="5D9D0223" w14:textId="77777777" w:rsidTr="00F55750">
        <w:trPr>
          <w:trHeight w:val="213"/>
        </w:trPr>
        <w:tc>
          <w:tcPr>
            <w:tcW w:w="2466" w:type="pct"/>
            <w:gridSpan w:val="2"/>
            <w:vMerge w:val="restart"/>
            <w:tcBorders>
              <w:top w:val="single" w:sz="4" w:space="0" w:color="auto"/>
              <w:bottom w:val="nil"/>
            </w:tcBorders>
          </w:tcPr>
          <w:p w14:paraId="2AAB965C"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r w:rsidRPr="001256B1">
              <w:rPr>
                <w:rFonts w:ascii="Book Antiqua" w:hAnsi="Book Antiqua"/>
                <w:b/>
                <w:bCs/>
                <w:color w:val="000000" w:themeColor="text1"/>
                <w:lang w:val="en-US"/>
              </w:rPr>
              <w:t>Groups of patients</w:t>
            </w:r>
          </w:p>
        </w:tc>
        <w:tc>
          <w:tcPr>
            <w:tcW w:w="780" w:type="pct"/>
            <w:tcBorders>
              <w:top w:val="single" w:sz="4" w:space="0" w:color="auto"/>
              <w:bottom w:val="single" w:sz="4" w:space="0" w:color="auto"/>
            </w:tcBorders>
          </w:tcPr>
          <w:p w14:paraId="13B40983"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p>
        </w:tc>
        <w:tc>
          <w:tcPr>
            <w:tcW w:w="1754" w:type="pct"/>
            <w:gridSpan w:val="2"/>
            <w:tcBorders>
              <w:top w:val="single" w:sz="4" w:space="0" w:color="auto"/>
              <w:bottom w:val="single" w:sz="4" w:space="0" w:color="auto"/>
            </w:tcBorders>
          </w:tcPr>
          <w:p w14:paraId="7CDDA201" w14:textId="6AB52D3E"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proofErr w:type="spellStart"/>
            <w:r w:rsidRPr="001256B1">
              <w:rPr>
                <w:rFonts w:ascii="Book Antiqua" w:hAnsi="Book Antiqua"/>
                <w:b/>
                <w:bCs/>
                <w:color w:val="000000" w:themeColor="text1"/>
                <w:lang w:val="en-US"/>
              </w:rPr>
              <w:t>Bax</w:t>
            </w:r>
            <w:proofErr w:type="spellEnd"/>
            <w:r w:rsidRPr="001256B1">
              <w:rPr>
                <w:rFonts w:ascii="Book Antiqua" w:hAnsi="Book Antiqua"/>
                <w:b/>
                <w:bCs/>
                <w:color w:val="000000" w:themeColor="text1"/>
                <w:lang w:val="en-US"/>
              </w:rPr>
              <w:t>–</w:t>
            </w:r>
            <w:proofErr w:type="spellStart"/>
            <w:r w:rsidRPr="001256B1">
              <w:rPr>
                <w:rFonts w:ascii="Book Antiqua" w:hAnsi="Book Antiqua"/>
                <w:b/>
                <w:bCs/>
                <w:color w:val="000000" w:themeColor="text1"/>
                <w:lang w:val="en-US"/>
              </w:rPr>
              <w:t>Bcl-xL</w:t>
            </w:r>
            <w:proofErr w:type="spellEnd"/>
          </w:p>
        </w:tc>
      </w:tr>
      <w:tr w:rsidR="00F05A97" w:rsidRPr="001256B1" w14:paraId="549E480F" w14:textId="77777777" w:rsidTr="00F55750">
        <w:trPr>
          <w:trHeight w:val="227"/>
        </w:trPr>
        <w:tc>
          <w:tcPr>
            <w:tcW w:w="2466" w:type="pct"/>
            <w:gridSpan w:val="2"/>
            <w:vMerge/>
            <w:tcBorders>
              <w:top w:val="nil"/>
              <w:bottom w:val="single" w:sz="4" w:space="0" w:color="auto"/>
            </w:tcBorders>
          </w:tcPr>
          <w:p w14:paraId="6B67E9A1"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p>
        </w:tc>
        <w:tc>
          <w:tcPr>
            <w:tcW w:w="780" w:type="pct"/>
            <w:tcBorders>
              <w:top w:val="single" w:sz="4" w:space="0" w:color="auto"/>
              <w:bottom w:val="single" w:sz="4" w:space="0" w:color="auto"/>
            </w:tcBorders>
          </w:tcPr>
          <w:p w14:paraId="0C7ABB6E" w14:textId="77777777" w:rsidR="00F05A97" w:rsidRPr="001256B1" w:rsidRDefault="00F05A97" w:rsidP="00F55750">
            <w:pPr>
              <w:snapToGrid w:val="0"/>
              <w:spacing w:line="360" w:lineRule="auto"/>
              <w:jc w:val="both"/>
              <w:textAlignment w:val="baseline"/>
              <w:rPr>
                <w:rFonts w:ascii="Book Antiqua" w:hAnsi="Book Antiqua"/>
                <w:b/>
                <w:bCs/>
                <w:i/>
                <w:iCs/>
                <w:color w:val="000000" w:themeColor="text1"/>
                <w:lang w:val="en-US"/>
              </w:rPr>
            </w:pPr>
            <w:r w:rsidRPr="001256B1">
              <w:rPr>
                <w:rFonts w:ascii="Book Antiqua" w:hAnsi="Book Antiqua"/>
                <w:b/>
                <w:bCs/>
                <w:i/>
                <w:iCs/>
                <w:color w:val="000000" w:themeColor="text1"/>
                <w:lang w:val="en-US"/>
              </w:rPr>
              <w:t>n</w:t>
            </w:r>
          </w:p>
        </w:tc>
        <w:tc>
          <w:tcPr>
            <w:tcW w:w="878" w:type="pct"/>
            <w:tcBorders>
              <w:top w:val="single" w:sz="4" w:space="0" w:color="auto"/>
              <w:bottom w:val="single" w:sz="4" w:space="0" w:color="auto"/>
            </w:tcBorders>
          </w:tcPr>
          <w:p w14:paraId="5B751AD7" w14:textId="52D8C253" w:rsidR="00F05A97" w:rsidRPr="001256B1" w:rsidRDefault="003B7C8E" w:rsidP="00F55750">
            <w:pPr>
              <w:snapToGrid w:val="0"/>
              <w:spacing w:line="360" w:lineRule="auto"/>
              <w:jc w:val="both"/>
              <w:textAlignment w:val="baseline"/>
              <w:rPr>
                <w:rFonts w:ascii="Book Antiqua" w:hAnsi="Book Antiqua"/>
                <w:b/>
                <w:bCs/>
                <w:i/>
                <w:iCs/>
                <w:color w:val="000000" w:themeColor="text1"/>
                <w:lang w:val="en-US"/>
              </w:rPr>
            </w:pPr>
            <w:r w:rsidRPr="001256B1">
              <w:rPr>
                <w:rFonts w:ascii="Book Antiqua" w:hAnsi="Book Antiqua"/>
                <w:b/>
                <w:bCs/>
                <w:i/>
                <w:iCs/>
                <w:color w:val="000000" w:themeColor="text1"/>
                <w:lang w:val="en-US"/>
              </w:rPr>
              <w:t>P</w:t>
            </w:r>
            <w:r w:rsidR="00F55750">
              <w:rPr>
                <w:rFonts w:ascii="Book Antiqua" w:hAnsi="Book Antiqua"/>
                <w:b/>
                <w:bCs/>
                <w:i/>
                <w:iCs/>
                <w:color w:val="000000" w:themeColor="text1"/>
                <w:lang w:val="en-US"/>
              </w:rPr>
              <w:t xml:space="preserve"> </w:t>
            </w:r>
            <w:r w:rsidR="00F55750" w:rsidRPr="00F55750">
              <w:rPr>
                <w:rFonts w:ascii="Book Antiqua" w:hAnsi="Book Antiqua"/>
                <w:b/>
                <w:bCs/>
                <w:iCs/>
                <w:color w:val="000000" w:themeColor="text1"/>
                <w:lang w:val="en-US"/>
              </w:rPr>
              <w:t>value</w:t>
            </w:r>
          </w:p>
        </w:tc>
        <w:tc>
          <w:tcPr>
            <w:tcW w:w="876" w:type="pct"/>
            <w:tcBorders>
              <w:top w:val="single" w:sz="4" w:space="0" w:color="auto"/>
              <w:bottom w:val="single" w:sz="4" w:space="0" w:color="auto"/>
            </w:tcBorders>
          </w:tcPr>
          <w:p w14:paraId="36938691" w14:textId="77777777" w:rsidR="00F05A97" w:rsidRPr="00E52851" w:rsidRDefault="00F05A97" w:rsidP="00F55750">
            <w:pPr>
              <w:snapToGrid w:val="0"/>
              <w:spacing w:line="360" w:lineRule="auto"/>
              <w:jc w:val="both"/>
              <w:textAlignment w:val="baseline"/>
              <w:rPr>
                <w:rFonts w:ascii="Book Antiqua" w:hAnsi="Book Antiqua"/>
                <w:b/>
                <w:bCs/>
                <w:i/>
                <w:iCs/>
                <w:color w:val="000000" w:themeColor="text1"/>
                <w:lang w:val="en-US"/>
              </w:rPr>
            </w:pPr>
            <w:r w:rsidRPr="00E52851">
              <w:rPr>
                <w:rFonts w:ascii="Book Antiqua" w:hAnsi="Book Antiqua"/>
                <w:b/>
                <w:bCs/>
                <w:i/>
                <w:iCs/>
                <w:color w:val="000000" w:themeColor="text1"/>
                <w:lang w:val="en-US"/>
              </w:rPr>
              <w:t>r</w:t>
            </w:r>
          </w:p>
        </w:tc>
      </w:tr>
      <w:tr w:rsidR="00F05A97" w:rsidRPr="001256B1" w14:paraId="57E65291" w14:textId="77777777" w:rsidTr="00F55750">
        <w:trPr>
          <w:trHeight w:val="213"/>
        </w:trPr>
        <w:tc>
          <w:tcPr>
            <w:tcW w:w="1114" w:type="pct"/>
            <w:tcBorders>
              <w:top w:val="single" w:sz="4" w:space="0" w:color="auto"/>
            </w:tcBorders>
          </w:tcPr>
          <w:p w14:paraId="573F4A0E" w14:textId="77777777" w:rsidR="00F05A97" w:rsidRPr="00F55750" w:rsidRDefault="00F05A97" w:rsidP="00F55750">
            <w:pPr>
              <w:snapToGrid w:val="0"/>
              <w:spacing w:line="360" w:lineRule="auto"/>
              <w:jc w:val="both"/>
              <w:textAlignment w:val="baseline"/>
              <w:rPr>
                <w:rFonts w:ascii="Book Antiqua" w:hAnsi="Book Antiqua"/>
                <w:bCs/>
                <w:color w:val="000000" w:themeColor="text1"/>
                <w:lang w:val="en-US"/>
              </w:rPr>
            </w:pPr>
            <w:r w:rsidRPr="00F55750">
              <w:rPr>
                <w:rFonts w:ascii="Book Antiqua" w:hAnsi="Book Antiqua"/>
                <w:bCs/>
                <w:color w:val="000000" w:themeColor="text1"/>
                <w:lang w:val="en-US"/>
              </w:rPr>
              <w:t>All</w:t>
            </w:r>
          </w:p>
        </w:tc>
        <w:tc>
          <w:tcPr>
            <w:tcW w:w="1352" w:type="pct"/>
            <w:tcBorders>
              <w:top w:val="single" w:sz="4" w:space="0" w:color="auto"/>
            </w:tcBorders>
          </w:tcPr>
          <w:p w14:paraId="3208D66D" w14:textId="77777777" w:rsidR="00F05A97" w:rsidRPr="001256B1" w:rsidRDefault="00F05A97" w:rsidP="00F55750">
            <w:pPr>
              <w:snapToGrid w:val="0"/>
              <w:spacing w:line="360" w:lineRule="auto"/>
              <w:jc w:val="both"/>
              <w:textAlignment w:val="baseline"/>
              <w:rPr>
                <w:rFonts w:ascii="Book Antiqua" w:hAnsi="Book Antiqua"/>
                <w:b/>
                <w:bCs/>
                <w:color w:val="000000" w:themeColor="text1"/>
                <w:lang w:val="en-US"/>
              </w:rPr>
            </w:pPr>
          </w:p>
        </w:tc>
        <w:tc>
          <w:tcPr>
            <w:tcW w:w="780" w:type="pct"/>
            <w:tcBorders>
              <w:top w:val="single" w:sz="4" w:space="0" w:color="auto"/>
            </w:tcBorders>
          </w:tcPr>
          <w:p w14:paraId="1816D730" w14:textId="77777777"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115</w:t>
            </w:r>
          </w:p>
        </w:tc>
        <w:tc>
          <w:tcPr>
            <w:tcW w:w="878" w:type="pct"/>
            <w:tcBorders>
              <w:top w:val="single" w:sz="4" w:space="0" w:color="auto"/>
            </w:tcBorders>
          </w:tcPr>
          <w:p w14:paraId="3F49F9C5" w14:textId="7C491E9A"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342BCE"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Borders>
              <w:top w:val="single" w:sz="4" w:space="0" w:color="auto"/>
            </w:tcBorders>
          </w:tcPr>
          <w:p w14:paraId="13FFD04A" w14:textId="174544F1" w:rsidR="00F05A97" w:rsidRPr="001256B1" w:rsidRDefault="00F05A97" w:rsidP="00F55750">
            <w:pPr>
              <w:snapToGrid w:val="0"/>
              <w:spacing w:line="360" w:lineRule="auto"/>
              <w:jc w:val="both"/>
              <w:rPr>
                <w:rFonts w:ascii="Book Antiqua" w:hAnsi="Book Antiqua"/>
                <w:color w:val="000000"/>
                <w:vertAlign w:val="superscript"/>
                <w:lang w:val="en-US"/>
              </w:rPr>
            </w:pPr>
            <w:r w:rsidRPr="001256B1">
              <w:rPr>
                <w:rFonts w:ascii="Book Antiqua" w:hAnsi="Book Antiqua"/>
                <w:color w:val="000000"/>
                <w:lang w:val="en-US"/>
              </w:rPr>
              <w:t>0.556</w:t>
            </w:r>
            <w:r w:rsidR="0056477C" w:rsidRPr="001256B1">
              <w:rPr>
                <w:rFonts w:ascii="Book Antiqua" w:hAnsi="Book Antiqua"/>
                <w:color w:val="000000"/>
                <w:vertAlign w:val="superscript"/>
                <w:lang w:val="en-US"/>
              </w:rPr>
              <w:t>a</w:t>
            </w:r>
          </w:p>
        </w:tc>
      </w:tr>
      <w:tr w:rsidR="00F05A97" w:rsidRPr="001256B1" w14:paraId="2C1D6B1D" w14:textId="77777777" w:rsidTr="00F55750">
        <w:trPr>
          <w:trHeight w:val="227"/>
        </w:trPr>
        <w:tc>
          <w:tcPr>
            <w:tcW w:w="1114" w:type="pct"/>
            <w:vMerge w:val="restart"/>
          </w:tcPr>
          <w:p w14:paraId="39FA5A8B" w14:textId="2577825F" w:rsidR="00F05A97" w:rsidRPr="001256B1" w:rsidRDefault="00342BCE"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Age(</w:t>
            </w:r>
            <w:proofErr w:type="spellStart"/>
            <w:r w:rsidRPr="001256B1">
              <w:rPr>
                <w:rFonts w:ascii="Book Antiqua" w:hAnsi="Book Antiqua"/>
                <w:color w:val="000000" w:themeColor="text1"/>
                <w:lang w:val="en-US"/>
              </w:rPr>
              <w:t>yr</w:t>
            </w:r>
            <w:proofErr w:type="spellEnd"/>
            <w:r w:rsidRPr="001256B1">
              <w:rPr>
                <w:rFonts w:ascii="Book Antiqua" w:hAnsi="Book Antiqua"/>
                <w:color w:val="000000" w:themeColor="text1"/>
                <w:lang w:val="en-US"/>
              </w:rPr>
              <w:t>)</w:t>
            </w:r>
          </w:p>
        </w:tc>
        <w:tc>
          <w:tcPr>
            <w:tcW w:w="1352" w:type="pct"/>
          </w:tcPr>
          <w:p w14:paraId="5470667A"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sym w:font="Symbol" w:char="F0A3"/>
            </w:r>
            <w:r w:rsidRPr="001256B1">
              <w:rPr>
                <w:rFonts w:ascii="Book Antiqua" w:hAnsi="Book Antiqua"/>
                <w:color w:val="000000" w:themeColor="text1"/>
                <w:lang w:val="en-US"/>
              </w:rPr>
              <w:t xml:space="preserve"> 60</w:t>
            </w:r>
          </w:p>
        </w:tc>
        <w:tc>
          <w:tcPr>
            <w:tcW w:w="780" w:type="pct"/>
          </w:tcPr>
          <w:p w14:paraId="77184A4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39</w:t>
            </w:r>
          </w:p>
        </w:tc>
        <w:tc>
          <w:tcPr>
            <w:tcW w:w="878" w:type="pct"/>
          </w:tcPr>
          <w:p w14:paraId="79E7996E" w14:textId="17C9BD65"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44F5FDFB" w14:textId="577293F0" w:rsidR="00F05A97" w:rsidRPr="001256B1" w:rsidRDefault="00F05A97" w:rsidP="00F55750">
            <w:pPr>
              <w:snapToGrid w:val="0"/>
              <w:spacing w:line="360" w:lineRule="auto"/>
              <w:jc w:val="both"/>
              <w:textAlignment w:val="baseline"/>
              <w:rPr>
                <w:rFonts w:ascii="Book Antiqua" w:hAnsi="Book Antiqua"/>
                <w:color w:val="000000" w:themeColor="text1"/>
                <w:vertAlign w:val="superscript"/>
                <w:lang w:val="en-US"/>
              </w:rPr>
            </w:pPr>
            <w:r w:rsidRPr="001256B1">
              <w:rPr>
                <w:rFonts w:ascii="Book Antiqua" w:hAnsi="Book Antiqua"/>
                <w:color w:val="000000" w:themeColor="text1"/>
                <w:lang w:val="en-US"/>
              </w:rPr>
              <w:t>0.575</w:t>
            </w:r>
            <w:r w:rsidR="0056477C" w:rsidRPr="001256B1">
              <w:rPr>
                <w:rFonts w:ascii="Book Antiqua" w:hAnsi="Book Antiqua"/>
                <w:color w:val="000000" w:themeColor="text1"/>
                <w:vertAlign w:val="superscript"/>
                <w:lang w:val="en-US"/>
              </w:rPr>
              <w:t>a</w:t>
            </w:r>
          </w:p>
        </w:tc>
      </w:tr>
      <w:tr w:rsidR="00F05A97" w:rsidRPr="001256B1" w14:paraId="2F1FAFE5" w14:textId="77777777" w:rsidTr="00F55750">
        <w:trPr>
          <w:trHeight w:val="213"/>
        </w:trPr>
        <w:tc>
          <w:tcPr>
            <w:tcW w:w="1114" w:type="pct"/>
            <w:vMerge/>
          </w:tcPr>
          <w:p w14:paraId="7FA304B5"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2BF89768" w14:textId="1C27F44E"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&gt; 60</w:t>
            </w:r>
          </w:p>
        </w:tc>
        <w:tc>
          <w:tcPr>
            <w:tcW w:w="780" w:type="pct"/>
          </w:tcPr>
          <w:p w14:paraId="7AD529CC"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74</w:t>
            </w:r>
          </w:p>
        </w:tc>
        <w:tc>
          <w:tcPr>
            <w:tcW w:w="878" w:type="pct"/>
          </w:tcPr>
          <w:p w14:paraId="5EB18014" w14:textId="317386E3"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5A8B5A9A" w14:textId="655242DD"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0.530</w:t>
            </w:r>
            <w:r w:rsidR="0056477C" w:rsidRPr="001256B1">
              <w:rPr>
                <w:rFonts w:ascii="Book Antiqua" w:hAnsi="Book Antiqua"/>
                <w:color w:val="000000"/>
                <w:vertAlign w:val="superscript"/>
                <w:lang w:val="en-US"/>
              </w:rPr>
              <w:t>a</w:t>
            </w:r>
          </w:p>
        </w:tc>
      </w:tr>
      <w:tr w:rsidR="00F05A97" w:rsidRPr="001256B1" w14:paraId="73DDBDF8" w14:textId="77777777" w:rsidTr="00F55750">
        <w:trPr>
          <w:trHeight w:val="227"/>
        </w:trPr>
        <w:tc>
          <w:tcPr>
            <w:tcW w:w="1114" w:type="pct"/>
            <w:vMerge w:val="restart"/>
          </w:tcPr>
          <w:p w14:paraId="6DABB7E2"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Sex</w:t>
            </w:r>
          </w:p>
        </w:tc>
        <w:tc>
          <w:tcPr>
            <w:tcW w:w="1352" w:type="pct"/>
          </w:tcPr>
          <w:p w14:paraId="6FBA552E" w14:textId="3EA7AFA7" w:rsidR="00F05A97" w:rsidRPr="001256B1" w:rsidRDefault="00010FE5"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Male</w:t>
            </w:r>
          </w:p>
        </w:tc>
        <w:tc>
          <w:tcPr>
            <w:tcW w:w="780" w:type="pct"/>
          </w:tcPr>
          <w:p w14:paraId="5A62BE1F"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60</w:t>
            </w:r>
          </w:p>
        </w:tc>
        <w:tc>
          <w:tcPr>
            <w:tcW w:w="878" w:type="pct"/>
          </w:tcPr>
          <w:p w14:paraId="19248135" w14:textId="380A78F9"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287D8ED8" w14:textId="15F3F799"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0.453</w:t>
            </w:r>
            <w:r w:rsidR="0056477C" w:rsidRPr="001256B1">
              <w:rPr>
                <w:rFonts w:ascii="Book Antiqua" w:hAnsi="Book Antiqua"/>
                <w:color w:val="000000"/>
                <w:vertAlign w:val="superscript"/>
                <w:lang w:val="en-US"/>
              </w:rPr>
              <w:t>a</w:t>
            </w:r>
          </w:p>
        </w:tc>
      </w:tr>
      <w:tr w:rsidR="00F05A97" w:rsidRPr="001256B1" w14:paraId="077BBC4B" w14:textId="77777777" w:rsidTr="00F55750">
        <w:trPr>
          <w:trHeight w:val="213"/>
        </w:trPr>
        <w:tc>
          <w:tcPr>
            <w:tcW w:w="1114" w:type="pct"/>
            <w:vMerge/>
          </w:tcPr>
          <w:p w14:paraId="1CCDDA91"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2046AFBD" w14:textId="277982D4" w:rsidR="00F05A97" w:rsidRPr="001256B1" w:rsidRDefault="00010FE5"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Female</w:t>
            </w:r>
          </w:p>
        </w:tc>
        <w:tc>
          <w:tcPr>
            <w:tcW w:w="780" w:type="pct"/>
          </w:tcPr>
          <w:p w14:paraId="52D0AEF0"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54</w:t>
            </w:r>
          </w:p>
        </w:tc>
        <w:tc>
          <w:tcPr>
            <w:tcW w:w="878" w:type="pct"/>
          </w:tcPr>
          <w:p w14:paraId="2AD41FC1" w14:textId="04CFBF61"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26D2FE8A" w14:textId="73B1187F"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0.643</w:t>
            </w:r>
            <w:r w:rsidR="0056477C" w:rsidRPr="001256B1">
              <w:rPr>
                <w:rFonts w:ascii="Book Antiqua" w:hAnsi="Book Antiqua"/>
                <w:color w:val="000000"/>
                <w:vertAlign w:val="superscript"/>
                <w:lang w:val="en-US"/>
              </w:rPr>
              <w:t>a</w:t>
            </w:r>
          </w:p>
        </w:tc>
      </w:tr>
      <w:tr w:rsidR="00F05A97" w:rsidRPr="001256B1" w14:paraId="7580511B" w14:textId="77777777" w:rsidTr="00F55750">
        <w:trPr>
          <w:trHeight w:val="213"/>
        </w:trPr>
        <w:tc>
          <w:tcPr>
            <w:tcW w:w="1114" w:type="pct"/>
            <w:vMerge w:val="restart"/>
          </w:tcPr>
          <w:p w14:paraId="30F339A7"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Localization</w:t>
            </w:r>
          </w:p>
        </w:tc>
        <w:tc>
          <w:tcPr>
            <w:tcW w:w="1352" w:type="pct"/>
          </w:tcPr>
          <w:p w14:paraId="7DF77C2E" w14:textId="4A1E67E7" w:rsidR="00F05A97" w:rsidRPr="001256B1" w:rsidRDefault="00010FE5"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Rectum</w:t>
            </w:r>
          </w:p>
        </w:tc>
        <w:tc>
          <w:tcPr>
            <w:tcW w:w="780" w:type="pct"/>
          </w:tcPr>
          <w:p w14:paraId="1A63D99D"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48</w:t>
            </w:r>
          </w:p>
        </w:tc>
        <w:tc>
          <w:tcPr>
            <w:tcW w:w="878" w:type="pct"/>
          </w:tcPr>
          <w:p w14:paraId="03A01AE7" w14:textId="30ED9453"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3034D29B" w14:textId="78189B29"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0.490</w:t>
            </w:r>
            <w:r w:rsidR="0056477C" w:rsidRPr="001256B1">
              <w:rPr>
                <w:rFonts w:ascii="Book Antiqua" w:hAnsi="Book Antiqua"/>
                <w:color w:val="000000"/>
                <w:vertAlign w:val="superscript"/>
                <w:lang w:val="en-US"/>
              </w:rPr>
              <w:t>a</w:t>
            </w:r>
          </w:p>
        </w:tc>
      </w:tr>
      <w:tr w:rsidR="00F05A97" w:rsidRPr="001256B1" w14:paraId="7B7E7F14" w14:textId="77777777" w:rsidTr="00F55750">
        <w:trPr>
          <w:trHeight w:val="227"/>
        </w:trPr>
        <w:tc>
          <w:tcPr>
            <w:tcW w:w="1114" w:type="pct"/>
            <w:vMerge/>
          </w:tcPr>
          <w:p w14:paraId="56B47FFA"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659E8DBB" w14:textId="06F2DC03" w:rsidR="00F05A97" w:rsidRPr="001256B1" w:rsidRDefault="00010FE5"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Colon</w:t>
            </w:r>
          </w:p>
        </w:tc>
        <w:tc>
          <w:tcPr>
            <w:tcW w:w="780" w:type="pct"/>
          </w:tcPr>
          <w:p w14:paraId="0EB03F10"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66</w:t>
            </w:r>
          </w:p>
        </w:tc>
        <w:tc>
          <w:tcPr>
            <w:tcW w:w="878" w:type="pct"/>
          </w:tcPr>
          <w:p w14:paraId="1A701385" w14:textId="77777777"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&lt;0.001</w:t>
            </w:r>
          </w:p>
        </w:tc>
        <w:tc>
          <w:tcPr>
            <w:tcW w:w="876" w:type="pct"/>
          </w:tcPr>
          <w:p w14:paraId="58A98C76" w14:textId="13ED9FEC"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0.594</w:t>
            </w:r>
            <w:r w:rsidR="0056477C" w:rsidRPr="001256B1">
              <w:rPr>
                <w:rFonts w:ascii="Book Antiqua" w:hAnsi="Book Antiqua"/>
                <w:color w:val="000000"/>
                <w:vertAlign w:val="superscript"/>
                <w:lang w:val="en-US"/>
              </w:rPr>
              <w:t>a</w:t>
            </w:r>
          </w:p>
        </w:tc>
      </w:tr>
      <w:tr w:rsidR="00F05A97" w:rsidRPr="001256B1" w14:paraId="44D0D307" w14:textId="77777777" w:rsidTr="00F55750">
        <w:trPr>
          <w:trHeight w:val="213"/>
        </w:trPr>
        <w:tc>
          <w:tcPr>
            <w:tcW w:w="1114" w:type="pct"/>
            <w:vMerge w:val="restart"/>
          </w:tcPr>
          <w:p w14:paraId="3EDE17E7" w14:textId="4585EEEB"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HP–type</w:t>
            </w:r>
          </w:p>
        </w:tc>
        <w:tc>
          <w:tcPr>
            <w:tcW w:w="1352" w:type="pct"/>
          </w:tcPr>
          <w:p w14:paraId="6947D9A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A</w:t>
            </w:r>
          </w:p>
        </w:tc>
        <w:tc>
          <w:tcPr>
            <w:tcW w:w="780" w:type="pct"/>
          </w:tcPr>
          <w:p w14:paraId="0475A241"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93</w:t>
            </w:r>
          </w:p>
        </w:tc>
        <w:tc>
          <w:tcPr>
            <w:tcW w:w="878" w:type="pct"/>
          </w:tcPr>
          <w:p w14:paraId="2FDE4F23" w14:textId="256014D0"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7E8EBC0A" w14:textId="4CADFD9E"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0.546</w:t>
            </w:r>
            <w:r w:rsidR="0056477C" w:rsidRPr="001256B1">
              <w:rPr>
                <w:rFonts w:ascii="Book Antiqua" w:hAnsi="Book Antiqua"/>
                <w:color w:val="000000"/>
                <w:vertAlign w:val="superscript"/>
                <w:lang w:val="en-US"/>
              </w:rPr>
              <w:t>a</w:t>
            </w:r>
          </w:p>
        </w:tc>
      </w:tr>
      <w:tr w:rsidR="00F05A97" w:rsidRPr="001256B1" w14:paraId="683138E1" w14:textId="77777777" w:rsidTr="00F55750">
        <w:trPr>
          <w:trHeight w:val="213"/>
        </w:trPr>
        <w:tc>
          <w:tcPr>
            <w:tcW w:w="1114" w:type="pct"/>
            <w:vMerge/>
          </w:tcPr>
          <w:p w14:paraId="1A3C9614"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21562B4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MA</w:t>
            </w:r>
          </w:p>
        </w:tc>
        <w:tc>
          <w:tcPr>
            <w:tcW w:w="780" w:type="pct"/>
          </w:tcPr>
          <w:p w14:paraId="01C6E424"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22</w:t>
            </w:r>
          </w:p>
        </w:tc>
        <w:tc>
          <w:tcPr>
            <w:tcW w:w="878" w:type="pct"/>
          </w:tcPr>
          <w:p w14:paraId="462AE609"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0.013</w:t>
            </w:r>
          </w:p>
        </w:tc>
        <w:tc>
          <w:tcPr>
            <w:tcW w:w="876" w:type="pct"/>
          </w:tcPr>
          <w:p w14:paraId="76C7C082" w14:textId="2B66A062"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0.519</w:t>
            </w:r>
            <w:r w:rsidR="0056477C" w:rsidRPr="001256B1">
              <w:rPr>
                <w:rFonts w:ascii="Book Antiqua" w:hAnsi="Book Antiqua"/>
                <w:color w:val="000000"/>
                <w:vertAlign w:val="superscript"/>
                <w:lang w:val="en-US"/>
              </w:rPr>
              <w:t xml:space="preserve">a </w:t>
            </w:r>
          </w:p>
        </w:tc>
      </w:tr>
      <w:tr w:rsidR="00F05A97" w:rsidRPr="001256B1" w14:paraId="50BBB362" w14:textId="77777777" w:rsidTr="00F55750">
        <w:trPr>
          <w:trHeight w:val="227"/>
        </w:trPr>
        <w:tc>
          <w:tcPr>
            <w:tcW w:w="1114" w:type="pct"/>
            <w:vMerge w:val="restart"/>
          </w:tcPr>
          <w:p w14:paraId="4360011B"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w:t>
            </w:r>
          </w:p>
        </w:tc>
        <w:tc>
          <w:tcPr>
            <w:tcW w:w="1352" w:type="pct"/>
          </w:tcPr>
          <w:p w14:paraId="55173BD4"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G2</w:t>
            </w:r>
          </w:p>
        </w:tc>
        <w:tc>
          <w:tcPr>
            <w:tcW w:w="780" w:type="pct"/>
          </w:tcPr>
          <w:p w14:paraId="775F17B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80</w:t>
            </w:r>
          </w:p>
        </w:tc>
        <w:tc>
          <w:tcPr>
            <w:tcW w:w="878" w:type="pct"/>
          </w:tcPr>
          <w:p w14:paraId="161ECB2A" w14:textId="720B2F2D"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3664B68B" w14:textId="1B22E7AA"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0.523</w:t>
            </w:r>
            <w:r w:rsidR="0056477C" w:rsidRPr="001256B1">
              <w:rPr>
                <w:rFonts w:ascii="Book Antiqua" w:hAnsi="Book Antiqua"/>
                <w:color w:val="000000"/>
                <w:vertAlign w:val="superscript"/>
                <w:lang w:val="en-US"/>
              </w:rPr>
              <w:t>a</w:t>
            </w:r>
          </w:p>
        </w:tc>
      </w:tr>
      <w:tr w:rsidR="00F05A97" w:rsidRPr="001256B1" w14:paraId="3ADFE936" w14:textId="77777777" w:rsidTr="00F55750">
        <w:trPr>
          <w:trHeight w:val="213"/>
        </w:trPr>
        <w:tc>
          <w:tcPr>
            <w:tcW w:w="1114" w:type="pct"/>
            <w:vMerge/>
          </w:tcPr>
          <w:p w14:paraId="4BDD9BFB"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0FB5BCCF"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G3</w:t>
            </w:r>
          </w:p>
        </w:tc>
        <w:tc>
          <w:tcPr>
            <w:tcW w:w="780" w:type="pct"/>
          </w:tcPr>
          <w:p w14:paraId="4A1915C2"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34</w:t>
            </w:r>
          </w:p>
        </w:tc>
        <w:tc>
          <w:tcPr>
            <w:tcW w:w="878" w:type="pct"/>
          </w:tcPr>
          <w:p w14:paraId="3F649509" w14:textId="321DB35B"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&lt;</w:t>
            </w:r>
            <w:r w:rsidR="00EA1FC8" w:rsidRPr="001256B1">
              <w:rPr>
                <w:rFonts w:ascii="Book Antiqua" w:hAnsi="Book Antiqua"/>
                <w:color w:val="000000" w:themeColor="text1"/>
                <w:lang w:val="en-US"/>
              </w:rPr>
              <w:t xml:space="preserve"> </w:t>
            </w:r>
            <w:r w:rsidRPr="001256B1">
              <w:rPr>
                <w:rFonts w:ascii="Book Antiqua" w:hAnsi="Book Antiqua"/>
                <w:color w:val="000000" w:themeColor="text1"/>
                <w:lang w:val="en-US"/>
              </w:rPr>
              <w:t>0.001</w:t>
            </w:r>
          </w:p>
        </w:tc>
        <w:tc>
          <w:tcPr>
            <w:tcW w:w="876" w:type="pct"/>
          </w:tcPr>
          <w:p w14:paraId="10B640C8" w14:textId="37FE3740"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0.543</w:t>
            </w:r>
            <w:r w:rsidR="0056477C" w:rsidRPr="001256B1">
              <w:rPr>
                <w:rFonts w:ascii="Book Antiqua" w:hAnsi="Book Antiqua"/>
                <w:color w:val="000000"/>
                <w:vertAlign w:val="superscript"/>
                <w:lang w:val="en-US"/>
              </w:rPr>
              <w:t>a</w:t>
            </w:r>
          </w:p>
        </w:tc>
      </w:tr>
      <w:tr w:rsidR="00F05A97" w:rsidRPr="001256B1" w14:paraId="4F53DB6F" w14:textId="77777777" w:rsidTr="00F55750">
        <w:trPr>
          <w:trHeight w:val="213"/>
        </w:trPr>
        <w:tc>
          <w:tcPr>
            <w:tcW w:w="1114" w:type="pct"/>
            <w:vMerge w:val="restart"/>
          </w:tcPr>
          <w:p w14:paraId="3B028B11"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T</w:t>
            </w:r>
          </w:p>
        </w:tc>
        <w:tc>
          <w:tcPr>
            <w:tcW w:w="1352" w:type="pct"/>
          </w:tcPr>
          <w:p w14:paraId="6B9DEBD5" w14:textId="65EEBF12"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pT1</w:t>
            </w:r>
            <w:r w:rsidR="00EA1FC8"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r w:rsidR="00EA1FC8" w:rsidRPr="001256B1">
              <w:rPr>
                <w:rFonts w:ascii="Book Antiqua" w:hAnsi="Book Antiqua"/>
                <w:color w:val="000000" w:themeColor="text1"/>
                <w:lang w:val="en-US"/>
              </w:rPr>
              <w:t xml:space="preserve"> </w:t>
            </w:r>
            <w:r w:rsidRPr="001256B1">
              <w:rPr>
                <w:rFonts w:ascii="Book Antiqua" w:hAnsi="Book Antiqua"/>
                <w:color w:val="000000" w:themeColor="text1"/>
                <w:lang w:val="en-US"/>
              </w:rPr>
              <w:t>pT2</w:t>
            </w:r>
          </w:p>
        </w:tc>
        <w:tc>
          <w:tcPr>
            <w:tcW w:w="780" w:type="pct"/>
          </w:tcPr>
          <w:p w14:paraId="246D305C"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10</w:t>
            </w:r>
          </w:p>
        </w:tc>
        <w:tc>
          <w:tcPr>
            <w:tcW w:w="878" w:type="pct"/>
          </w:tcPr>
          <w:p w14:paraId="0BE4F525"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0.537</w:t>
            </w:r>
          </w:p>
        </w:tc>
        <w:tc>
          <w:tcPr>
            <w:tcW w:w="876" w:type="pct"/>
          </w:tcPr>
          <w:p w14:paraId="699D3700"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0.222</w:t>
            </w:r>
          </w:p>
        </w:tc>
      </w:tr>
      <w:tr w:rsidR="00F05A97" w:rsidRPr="001256B1" w14:paraId="3EC68ED6" w14:textId="77777777" w:rsidTr="00F55750">
        <w:trPr>
          <w:trHeight w:val="227"/>
        </w:trPr>
        <w:tc>
          <w:tcPr>
            <w:tcW w:w="1114" w:type="pct"/>
            <w:vMerge/>
          </w:tcPr>
          <w:p w14:paraId="5F160265"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6A66CB0F" w14:textId="0FABF81D"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pT3</w:t>
            </w:r>
            <w:r w:rsidR="00EA1FC8"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r w:rsidR="00EA1FC8" w:rsidRPr="001256B1">
              <w:rPr>
                <w:rFonts w:ascii="Book Antiqua" w:hAnsi="Book Antiqua"/>
                <w:color w:val="000000" w:themeColor="text1"/>
                <w:lang w:val="en-US"/>
              </w:rPr>
              <w:t xml:space="preserve"> </w:t>
            </w:r>
            <w:r w:rsidRPr="001256B1">
              <w:rPr>
                <w:rFonts w:ascii="Book Antiqua" w:hAnsi="Book Antiqua"/>
                <w:color w:val="000000" w:themeColor="text1"/>
                <w:lang w:val="en-US"/>
              </w:rPr>
              <w:t>pT4</w:t>
            </w:r>
          </w:p>
        </w:tc>
        <w:tc>
          <w:tcPr>
            <w:tcW w:w="780" w:type="pct"/>
          </w:tcPr>
          <w:p w14:paraId="0488EDA6"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105</w:t>
            </w:r>
          </w:p>
        </w:tc>
        <w:tc>
          <w:tcPr>
            <w:tcW w:w="878" w:type="pct"/>
          </w:tcPr>
          <w:p w14:paraId="14119BB3" w14:textId="38767403"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028EE3D2" w14:textId="1AC8FD3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0.577</w:t>
            </w:r>
            <w:r w:rsidR="0056477C" w:rsidRPr="001256B1">
              <w:rPr>
                <w:rFonts w:ascii="Book Antiqua" w:hAnsi="Book Antiqua"/>
                <w:color w:val="000000"/>
                <w:vertAlign w:val="superscript"/>
                <w:lang w:val="en-US"/>
              </w:rPr>
              <w:t>a</w:t>
            </w:r>
          </w:p>
        </w:tc>
      </w:tr>
      <w:tr w:rsidR="00F05A97" w:rsidRPr="001256B1" w14:paraId="6EE53478" w14:textId="77777777" w:rsidTr="00F55750">
        <w:trPr>
          <w:trHeight w:val="213"/>
        </w:trPr>
        <w:tc>
          <w:tcPr>
            <w:tcW w:w="1114" w:type="pct"/>
            <w:vMerge w:val="restart"/>
          </w:tcPr>
          <w:p w14:paraId="62626D47"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N</w:t>
            </w:r>
          </w:p>
        </w:tc>
        <w:tc>
          <w:tcPr>
            <w:tcW w:w="1352" w:type="pct"/>
          </w:tcPr>
          <w:p w14:paraId="75071CD9" w14:textId="535A2F8D" w:rsidR="00F05A97" w:rsidRPr="001256B1" w:rsidRDefault="00F05A97" w:rsidP="00F55750">
            <w:pPr>
              <w:snapToGrid w:val="0"/>
              <w:spacing w:line="360" w:lineRule="auto"/>
              <w:jc w:val="both"/>
              <w:textAlignment w:val="baseline"/>
              <w:rPr>
                <w:rFonts w:ascii="Book Antiqua" w:hAnsi="Book Antiqua"/>
                <w:color w:val="000000" w:themeColor="text1"/>
                <w:lang w:val="en-US"/>
              </w:rPr>
            </w:pPr>
            <w:proofErr w:type="spellStart"/>
            <w:r w:rsidRPr="001256B1">
              <w:rPr>
                <w:rFonts w:ascii="Book Antiqua" w:hAnsi="Book Antiqua"/>
                <w:color w:val="000000" w:themeColor="text1"/>
                <w:lang w:val="en-US"/>
              </w:rPr>
              <w:t>pN</w:t>
            </w:r>
            <w:proofErr w:type="spellEnd"/>
            <w:r w:rsidR="00EA1FC8"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p>
        </w:tc>
        <w:tc>
          <w:tcPr>
            <w:tcW w:w="780" w:type="pct"/>
          </w:tcPr>
          <w:p w14:paraId="2CEAABCA"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55</w:t>
            </w:r>
          </w:p>
        </w:tc>
        <w:tc>
          <w:tcPr>
            <w:tcW w:w="878" w:type="pct"/>
          </w:tcPr>
          <w:p w14:paraId="41CD4112" w14:textId="334D7BA5"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7A461D76" w14:textId="2A9F7CFF"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0.509</w:t>
            </w:r>
            <w:r w:rsidR="0056477C" w:rsidRPr="001256B1">
              <w:rPr>
                <w:rFonts w:ascii="Book Antiqua" w:hAnsi="Book Antiqua"/>
                <w:color w:val="000000"/>
                <w:vertAlign w:val="superscript"/>
                <w:lang w:val="en-US"/>
              </w:rPr>
              <w:t>a</w:t>
            </w:r>
          </w:p>
        </w:tc>
      </w:tr>
      <w:tr w:rsidR="00F05A97" w:rsidRPr="001256B1" w14:paraId="724414BC" w14:textId="77777777" w:rsidTr="00F55750">
        <w:trPr>
          <w:trHeight w:val="213"/>
        </w:trPr>
        <w:tc>
          <w:tcPr>
            <w:tcW w:w="1114" w:type="pct"/>
            <w:vMerge/>
          </w:tcPr>
          <w:p w14:paraId="6A1AE27E"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246FE234" w14:textId="45DF04D8" w:rsidR="00F05A97" w:rsidRPr="001256B1" w:rsidRDefault="00F05A97" w:rsidP="00F55750">
            <w:pPr>
              <w:snapToGrid w:val="0"/>
              <w:spacing w:line="360" w:lineRule="auto"/>
              <w:jc w:val="both"/>
              <w:textAlignment w:val="baseline"/>
              <w:rPr>
                <w:rFonts w:ascii="Book Antiqua" w:hAnsi="Book Antiqua"/>
                <w:color w:val="000000" w:themeColor="text1"/>
                <w:lang w:val="en-US"/>
              </w:rPr>
            </w:pPr>
            <w:proofErr w:type="spellStart"/>
            <w:r w:rsidRPr="001256B1">
              <w:rPr>
                <w:rFonts w:ascii="Book Antiqua" w:hAnsi="Book Antiqua"/>
                <w:color w:val="000000" w:themeColor="text1"/>
                <w:lang w:val="en-US"/>
              </w:rPr>
              <w:t>pN</w:t>
            </w:r>
            <w:proofErr w:type="spellEnd"/>
            <w:r w:rsidR="00EA1FC8" w:rsidRPr="001256B1">
              <w:rPr>
                <w:rFonts w:ascii="Book Antiqua" w:hAnsi="Book Antiqua"/>
                <w:color w:val="000000" w:themeColor="text1"/>
                <w:lang w:val="en-US"/>
              </w:rPr>
              <w:t xml:space="preserve"> </w:t>
            </w:r>
            <w:r w:rsidRPr="001256B1">
              <w:rPr>
                <w:rFonts w:ascii="Book Antiqua" w:hAnsi="Book Antiqua"/>
                <w:color w:val="000000" w:themeColor="text1"/>
                <w:lang w:val="en-US"/>
              </w:rPr>
              <w:t>(+)</w:t>
            </w:r>
          </w:p>
        </w:tc>
        <w:tc>
          <w:tcPr>
            <w:tcW w:w="780" w:type="pct"/>
          </w:tcPr>
          <w:p w14:paraId="7345A3FA" w14:textId="77777777"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60</w:t>
            </w:r>
          </w:p>
        </w:tc>
        <w:tc>
          <w:tcPr>
            <w:tcW w:w="878" w:type="pct"/>
          </w:tcPr>
          <w:p w14:paraId="51B0ABC6" w14:textId="3E8D39A4" w:rsidR="00F05A97" w:rsidRPr="001256B1" w:rsidRDefault="00F05A97" w:rsidP="00F55750">
            <w:pPr>
              <w:snapToGrid w:val="0"/>
              <w:spacing w:line="360" w:lineRule="auto"/>
              <w:jc w:val="both"/>
              <w:rPr>
                <w:rFonts w:ascii="Book Antiqua" w:hAnsi="Book Antiqua"/>
                <w:color w:val="000000"/>
                <w:lang w:val="en-US"/>
              </w:rPr>
            </w:pPr>
            <w:r w:rsidRPr="001256B1">
              <w:rPr>
                <w:rFonts w:ascii="Book Antiqua" w:hAnsi="Book Antiqua"/>
                <w:color w:val="000000"/>
                <w:lang w:val="en-US"/>
              </w:rPr>
              <w:t>&lt;</w:t>
            </w:r>
            <w:r w:rsidR="00EA1FC8" w:rsidRPr="001256B1">
              <w:rPr>
                <w:rFonts w:ascii="Book Antiqua" w:hAnsi="Book Antiqua"/>
                <w:color w:val="000000"/>
                <w:lang w:val="en-US"/>
              </w:rPr>
              <w:t xml:space="preserve"> </w:t>
            </w:r>
            <w:r w:rsidRPr="001256B1">
              <w:rPr>
                <w:rFonts w:ascii="Book Antiqua" w:hAnsi="Book Antiqua"/>
                <w:color w:val="000000"/>
                <w:lang w:val="en-US"/>
              </w:rPr>
              <w:t>0.001</w:t>
            </w:r>
          </w:p>
        </w:tc>
        <w:tc>
          <w:tcPr>
            <w:tcW w:w="876" w:type="pct"/>
          </w:tcPr>
          <w:p w14:paraId="01BAB1CF" w14:textId="52DE7BDC" w:rsidR="00F05A97" w:rsidRPr="001256B1" w:rsidRDefault="00F05A97" w:rsidP="00F55750">
            <w:pPr>
              <w:snapToGrid w:val="0"/>
              <w:spacing w:line="360" w:lineRule="auto"/>
              <w:jc w:val="both"/>
              <w:textAlignment w:val="baseline"/>
              <w:rPr>
                <w:rFonts w:ascii="Book Antiqua" w:hAnsi="Book Antiqua"/>
                <w:color w:val="000000" w:themeColor="text1"/>
                <w:lang w:val="en-US"/>
              </w:rPr>
            </w:pPr>
            <w:r w:rsidRPr="001256B1">
              <w:rPr>
                <w:rFonts w:ascii="Book Antiqua" w:hAnsi="Book Antiqua"/>
                <w:color w:val="000000" w:themeColor="text1"/>
                <w:lang w:val="en-US"/>
              </w:rPr>
              <w:t>0.582</w:t>
            </w:r>
            <w:r w:rsidR="0056477C" w:rsidRPr="001256B1">
              <w:rPr>
                <w:rFonts w:ascii="Book Antiqua" w:hAnsi="Book Antiqua"/>
                <w:color w:val="000000"/>
                <w:vertAlign w:val="superscript"/>
                <w:lang w:val="en-US"/>
              </w:rPr>
              <w:t>a</w:t>
            </w:r>
          </w:p>
        </w:tc>
      </w:tr>
    </w:tbl>
    <w:p w14:paraId="19E4F109" w14:textId="621B13D1" w:rsidR="008F5A7C" w:rsidRPr="001256B1" w:rsidRDefault="00F55750" w:rsidP="00F55750">
      <w:pPr>
        <w:snapToGrid w:val="0"/>
        <w:spacing w:line="360" w:lineRule="auto"/>
        <w:jc w:val="both"/>
        <w:rPr>
          <w:rFonts w:ascii="Book Antiqua" w:hAnsi="Book Antiqua"/>
          <w:color w:val="000000" w:themeColor="text1"/>
          <w:lang w:val="en-US"/>
        </w:rPr>
      </w:pPr>
      <w:r w:rsidRPr="001256B1">
        <w:rPr>
          <w:rFonts w:ascii="Book Antiqua" w:hAnsi="Book Antiqua"/>
          <w:lang w:val="en-US"/>
        </w:rPr>
        <w:lastRenderedPageBreak/>
        <w:t xml:space="preserve">Associations were analyzed by Spearman's correlation rank test. </w:t>
      </w:r>
      <w:proofErr w:type="spellStart"/>
      <w:r w:rsidRPr="001256B1">
        <w:rPr>
          <w:rFonts w:ascii="Book Antiqua" w:hAnsi="Book Antiqua"/>
          <w:vertAlign w:val="superscript"/>
          <w:lang w:val="en-US"/>
        </w:rPr>
        <w:t>a</w:t>
      </w:r>
      <w:r w:rsidRPr="001256B1">
        <w:rPr>
          <w:rFonts w:ascii="Book Antiqua" w:hAnsi="Book Antiqua"/>
          <w:i/>
          <w:iCs/>
          <w:lang w:val="en-US"/>
        </w:rPr>
        <w:t>P</w:t>
      </w:r>
      <w:proofErr w:type="spellEnd"/>
      <w:r w:rsidRPr="001256B1">
        <w:rPr>
          <w:rFonts w:ascii="Book Antiqua" w:hAnsi="Book Antiqua"/>
          <w:i/>
          <w:iCs/>
          <w:lang w:val="en-US"/>
        </w:rPr>
        <w:t xml:space="preserve"> </w:t>
      </w:r>
      <w:r w:rsidRPr="001256B1">
        <w:rPr>
          <w:rFonts w:ascii="Book Antiqua" w:hAnsi="Book Antiqua"/>
          <w:lang w:val="en-US"/>
        </w:rPr>
        <w:t xml:space="preserve">&lt; 0.05; </w:t>
      </w:r>
      <w:r w:rsidRPr="001256B1">
        <w:rPr>
          <w:rFonts w:ascii="Book Antiqua" w:hAnsi="Book Antiqua"/>
          <w:i/>
          <w:iCs/>
          <w:lang w:val="en-US"/>
        </w:rPr>
        <w:t>n</w:t>
      </w:r>
      <w:r w:rsidRPr="001256B1">
        <w:rPr>
          <w:rFonts w:ascii="Book Antiqua" w:hAnsi="Book Antiqua"/>
          <w:lang w:val="en-US"/>
        </w:rPr>
        <w:t xml:space="preserve">: Number of cases; </w:t>
      </w:r>
      <w:r w:rsidRPr="00330603">
        <w:rPr>
          <w:rFonts w:ascii="Book Antiqua" w:hAnsi="Book Antiqua"/>
          <w:i/>
          <w:iCs/>
          <w:lang w:val="en-US"/>
        </w:rPr>
        <w:t>r</w:t>
      </w:r>
      <w:r w:rsidRPr="001256B1">
        <w:rPr>
          <w:rFonts w:ascii="Book Antiqua" w:hAnsi="Book Antiqua"/>
          <w:lang w:val="en-US"/>
        </w:rPr>
        <w:t>: Correlation coefficient; A: Adenocarcinoma; MA: Mucinous adenocarcinoma; G2: Moderately differentiated; G3: Poorly differentiated; N (-): Negative lymph node invasion; N (+): Positive lymph node invasion.</w:t>
      </w:r>
    </w:p>
    <w:sectPr w:rsidR="008F5A7C" w:rsidRPr="001256B1" w:rsidSect="00D47EE1">
      <w:type w:val="continuous"/>
      <w:pgSz w:w="16840" w:h="11900"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BBDE2" w14:textId="77777777" w:rsidR="00831D88" w:rsidRDefault="00831D88" w:rsidP="00165452">
      <w:r>
        <w:separator/>
      </w:r>
    </w:p>
  </w:endnote>
  <w:endnote w:type="continuationSeparator" w:id="0">
    <w:p w14:paraId="28DCF59E" w14:textId="77777777" w:rsidR="00831D88" w:rsidRDefault="00831D88" w:rsidP="0016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Mincho">
    <w:altName w:val="MS Gothic"/>
    <w:charset w:val="80"/>
    <w:family w:val="roman"/>
    <w:pitch w:val="variable"/>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079922"/>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7E5A8731" w14:textId="3B09260F" w:rsidR="007A76F0" w:rsidRPr="007A76F0" w:rsidRDefault="007A76F0" w:rsidP="007A76F0">
            <w:pPr>
              <w:pStyle w:val="af0"/>
              <w:jc w:val="right"/>
              <w:rPr>
                <w:sz w:val="24"/>
                <w:szCs w:val="24"/>
              </w:rPr>
            </w:pPr>
            <w:r w:rsidRPr="007A76F0">
              <w:rPr>
                <w:sz w:val="24"/>
                <w:szCs w:val="24"/>
                <w:lang w:val="zh-CN" w:eastAsia="zh-CN"/>
              </w:rPr>
              <w:t xml:space="preserve"> </w:t>
            </w:r>
            <w:r w:rsidRPr="007A76F0">
              <w:rPr>
                <w:bCs/>
                <w:sz w:val="24"/>
                <w:szCs w:val="24"/>
              </w:rPr>
              <w:fldChar w:fldCharType="begin"/>
            </w:r>
            <w:r w:rsidRPr="007A76F0">
              <w:rPr>
                <w:bCs/>
                <w:sz w:val="24"/>
                <w:szCs w:val="24"/>
              </w:rPr>
              <w:instrText>PAGE</w:instrText>
            </w:r>
            <w:r w:rsidRPr="007A76F0">
              <w:rPr>
                <w:bCs/>
                <w:sz w:val="24"/>
                <w:szCs w:val="24"/>
              </w:rPr>
              <w:fldChar w:fldCharType="separate"/>
            </w:r>
            <w:r w:rsidR="00A34FC8">
              <w:rPr>
                <w:bCs/>
                <w:noProof/>
                <w:sz w:val="24"/>
                <w:szCs w:val="24"/>
              </w:rPr>
              <w:t>27</w:t>
            </w:r>
            <w:r w:rsidRPr="007A76F0">
              <w:rPr>
                <w:bCs/>
                <w:sz w:val="24"/>
                <w:szCs w:val="24"/>
              </w:rPr>
              <w:fldChar w:fldCharType="end"/>
            </w:r>
            <w:r w:rsidRPr="007A76F0">
              <w:rPr>
                <w:sz w:val="24"/>
                <w:szCs w:val="24"/>
                <w:lang w:val="zh-CN" w:eastAsia="zh-CN"/>
              </w:rPr>
              <w:t xml:space="preserve"> / </w:t>
            </w:r>
            <w:r w:rsidRPr="007A76F0">
              <w:rPr>
                <w:bCs/>
                <w:sz w:val="24"/>
                <w:szCs w:val="24"/>
              </w:rPr>
              <w:fldChar w:fldCharType="begin"/>
            </w:r>
            <w:r w:rsidRPr="007A76F0">
              <w:rPr>
                <w:bCs/>
                <w:sz w:val="24"/>
                <w:szCs w:val="24"/>
              </w:rPr>
              <w:instrText>NUMPAGES</w:instrText>
            </w:r>
            <w:r w:rsidRPr="007A76F0">
              <w:rPr>
                <w:bCs/>
                <w:sz w:val="24"/>
                <w:szCs w:val="24"/>
              </w:rPr>
              <w:fldChar w:fldCharType="separate"/>
            </w:r>
            <w:r w:rsidR="00A34FC8">
              <w:rPr>
                <w:bCs/>
                <w:noProof/>
                <w:sz w:val="24"/>
                <w:szCs w:val="24"/>
              </w:rPr>
              <w:t>31</w:t>
            </w:r>
            <w:r w:rsidRPr="007A76F0">
              <w:rPr>
                <w:bCs/>
                <w:sz w:val="24"/>
                <w:szCs w:val="24"/>
              </w:rPr>
              <w:fldChar w:fldCharType="end"/>
            </w:r>
          </w:p>
        </w:sdtContent>
      </w:sdt>
    </w:sdtContent>
  </w:sdt>
  <w:p w14:paraId="3CC1796B" w14:textId="77777777" w:rsidR="007A76F0" w:rsidRDefault="007A76F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2074F" w14:textId="77777777" w:rsidR="00831D88" w:rsidRDefault="00831D88" w:rsidP="00165452">
      <w:r>
        <w:separator/>
      </w:r>
    </w:p>
  </w:footnote>
  <w:footnote w:type="continuationSeparator" w:id="0">
    <w:p w14:paraId="1F4E11FC" w14:textId="77777777" w:rsidR="00831D88" w:rsidRDefault="00831D88" w:rsidP="0016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60F8" w14:textId="35C46935" w:rsidR="000166A1" w:rsidRDefault="000166A1" w:rsidP="007A76F0">
    <w:pPr>
      <w:pStyle w:val="a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DD"/>
    <w:rsid w:val="00000AD0"/>
    <w:rsid w:val="000014DE"/>
    <w:rsid w:val="00010FE5"/>
    <w:rsid w:val="00011BF0"/>
    <w:rsid w:val="000166A1"/>
    <w:rsid w:val="00025055"/>
    <w:rsid w:val="00051DBC"/>
    <w:rsid w:val="00057C55"/>
    <w:rsid w:val="0006376E"/>
    <w:rsid w:val="0007457F"/>
    <w:rsid w:val="00075D3B"/>
    <w:rsid w:val="00084499"/>
    <w:rsid w:val="000A47D6"/>
    <w:rsid w:val="000B05A8"/>
    <w:rsid w:val="000D53CA"/>
    <w:rsid w:val="000E0194"/>
    <w:rsid w:val="000F576C"/>
    <w:rsid w:val="00102570"/>
    <w:rsid w:val="0011655C"/>
    <w:rsid w:val="00117CE1"/>
    <w:rsid w:val="00117D31"/>
    <w:rsid w:val="001206AC"/>
    <w:rsid w:val="0012454D"/>
    <w:rsid w:val="001256B1"/>
    <w:rsid w:val="00126427"/>
    <w:rsid w:val="00131487"/>
    <w:rsid w:val="00145840"/>
    <w:rsid w:val="00151C13"/>
    <w:rsid w:val="00163278"/>
    <w:rsid w:val="001639BF"/>
    <w:rsid w:val="00165452"/>
    <w:rsid w:val="00182867"/>
    <w:rsid w:val="001870B2"/>
    <w:rsid w:val="001914B6"/>
    <w:rsid w:val="001927AC"/>
    <w:rsid w:val="00194FAA"/>
    <w:rsid w:val="00197CE0"/>
    <w:rsid w:val="001A1F24"/>
    <w:rsid w:val="001B2DB3"/>
    <w:rsid w:val="001E0C2C"/>
    <w:rsid w:val="001E313F"/>
    <w:rsid w:val="001F1DAA"/>
    <w:rsid w:val="001F2CF9"/>
    <w:rsid w:val="001F52A0"/>
    <w:rsid w:val="00207C67"/>
    <w:rsid w:val="00217FB9"/>
    <w:rsid w:val="00230F4F"/>
    <w:rsid w:val="00237892"/>
    <w:rsid w:val="00237A5E"/>
    <w:rsid w:val="00252618"/>
    <w:rsid w:val="00257BD0"/>
    <w:rsid w:val="002607A1"/>
    <w:rsid w:val="00266E13"/>
    <w:rsid w:val="00271A53"/>
    <w:rsid w:val="00275E05"/>
    <w:rsid w:val="00284075"/>
    <w:rsid w:val="00284F14"/>
    <w:rsid w:val="00286A34"/>
    <w:rsid w:val="0028782E"/>
    <w:rsid w:val="00290DE2"/>
    <w:rsid w:val="002A5F08"/>
    <w:rsid w:val="002A77A4"/>
    <w:rsid w:val="002B6E9A"/>
    <w:rsid w:val="002C473E"/>
    <w:rsid w:val="002E0E08"/>
    <w:rsid w:val="002E11B1"/>
    <w:rsid w:val="002E4AB8"/>
    <w:rsid w:val="002E6647"/>
    <w:rsid w:val="002F410A"/>
    <w:rsid w:val="003068CE"/>
    <w:rsid w:val="00307258"/>
    <w:rsid w:val="00313429"/>
    <w:rsid w:val="00325838"/>
    <w:rsid w:val="00330603"/>
    <w:rsid w:val="00336A72"/>
    <w:rsid w:val="00342BCE"/>
    <w:rsid w:val="0034327C"/>
    <w:rsid w:val="00363E11"/>
    <w:rsid w:val="00364E48"/>
    <w:rsid w:val="00384E0A"/>
    <w:rsid w:val="00385325"/>
    <w:rsid w:val="003856E3"/>
    <w:rsid w:val="00395C3A"/>
    <w:rsid w:val="003B7C8E"/>
    <w:rsid w:val="003D0970"/>
    <w:rsid w:val="003D5968"/>
    <w:rsid w:val="003E2701"/>
    <w:rsid w:val="003F77FC"/>
    <w:rsid w:val="00417275"/>
    <w:rsid w:val="00417E91"/>
    <w:rsid w:val="00420FF3"/>
    <w:rsid w:val="0042379E"/>
    <w:rsid w:val="004237D7"/>
    <w:rsid w:val="004438EC"/>
    <w:rsid w:val="00467FEE"/>
    <w:rsid w:val="00476F5A"/>
    <w:rsid w:val="004810F4"/>
    <w:rsid w:val="00481C5D"/>
    <w:rsid w:val="00484DE3"/>
    <w:rsid w:val="00495735"/>
    <w:rsid w:val="004B0865"/>
    <w:rsid w:val="004B3F46"/>
    <w:rsid w:val="004B713A"/>
    <w:rsid w:val="004C3EB2"/>
    <w:rsid w:val="004E1BA6"/>
    <w:rsid w:val="004F3E5C"/>
    <w:rsid w:val="0050402B"/>
    <w:rsid w:val="005059C4"/>
    <w:rsid w:val="00507E37"/>
    <w:rsid w:val="005161A7"/>
    <w:rsid w:val="005248FB"/>
    <w:rsid w:val="0053228E"/>
    <w:rsid w:val="00532888"/>
    <w:rsid w:val="00553F6D"/>
    <w:rsid w:val="00554E6C"/>
    <w:rsid w:val="0056477C"/>
    <w:rsid w:val="005947DB"/>
    <w:rsid w:val="005B4007"/>
    <w:rsid w:val="005C158B"/>
    <w:rsid w:val="005D324F"/>
    <w:rsid w:val="005D43A8"/>
    <w:rsid w:val="005F592F"/>
    <w:rsid w:val="006057B3"/>
    <w:rsid w:val="006110F5"/>
    <w:rsid w:val="00611CD7"/>
    <w:rsid w:val="00622682"/>
    <w:rsid w:val="00623F88"/>
    <w:rsid w:val="00637E48"/>
    <w:rsid w:val="006445AF"/>
    <w:rsid w:val="00664226"/>
    <w:rsid w:val="006719D7"/>
    <w:rsid w:val="00680D96"/>
    <w:rsid w:val="006A41D4"/>
    <w:rsid w:val="006B499F"/>
    <w:rsid w:val="006C187D"/>
    <w:rsid w:val="006C76DC"/>
    <w:rsid w:val="006D0F7C"/>
    <w:rsid w:val="006D138E"/>
    <w:rsid w:val="006E6664"/>
    <w:rsid w:val="006F5411"/>
    <w:rsid w:val="00705E94"/>
    <w:rsid w:val="00707557"/>
    <w:rsid w:val="0072364E"/>
    <w:rsid w:val="00725CE3"/>
    <w:rsid w:val="00734F0C"/>
    <w:rsid w:val="00746665"/>
    <w:rsid w:val="007557D6"/>
    <w:rsid w:val="0075647E"/>
    <w:rsid w:val="00761F26"/>
    <w:rsid w:val="00790DED"/>
    <w:rsid w:val="00797D34"/>
    <w:rsid w:val="007A4296"/>
    <w:rsid w:val="007A478C"/>
    <w:rsid w:val="007A76F0"/>
    <w:rsid w:val="007B036A"/>
    <w:rsid w:val="007D4A8A"/>
    <w:rsid w:val="007D4F97"/>
    <w:rsid w:val="007D7D15"/>
    <w:rsid w:val="00805FB6"/>
    <w:rsid w:val="00812DDE"/>
    <w:rsid w:val="00827CA1"/>
    <w:rsid w:val="008303E3"/>
    <w:rsid w:val="00831D88"/>
    <w:rsid w:val="00833CF3"/>
    <w:rsid w:val="0085325C"/>
    <w:rsid w:val="00864072"/>
    <w:rsid w:val="008717D7"/>
    <w:rsid w:val="008864C3"/>
    <w:rsid w:val="00887167"/>
    <w:rsid w:val="00893F59"/>
    <w:rsid w:val="00897AD3"/>
    <w:rsid w:val="008A2C61"/>
    <w:rsid w:val="008A6A36"/>
    <w:rsid w:val="008A72E2"/>
    <w:rsid w:val="008B6D9A"/>
    <w:rsid w:val="008C0F80"/>
    <w:rsid w:val="008D7DD2"/>
    <w:rsid w:val="008E5B0C"/>
    <w:rsid w:val="008F5A7C"/>
    <w:rsid w:val="00901E25"/>
    <w:rsid w:val="009063BB"/>
    <w:rsid w:val="00910683"/>
    <w:rsid w:val="00923D30"/>
    <w:rsid w:val="00925962"/>
    <w:rsid w:val="00942F28"/>
    <w:rsid w:val="00950D77"/>
    <w:rsid w:val="0095452A"/>
    <w:rsid w:val="009561D0"/>
    <w:rsid w:val="0096051E"/>
    <w:rsid w:val="00974112"/>
    <w:rsid w:val="00987343"/>
    <w:rsid w:val="00994D33"/>
    <w:rsid w:val="009C2E99"/>
    <w:rsid w:val="009C545C"/>
    <w:rsid w:val="009C736C"/>
    <w:rsid w:val="009C7C20"/>
    <w:rsid w:val="009D27D4"/>
    <w:rsid w:val="009D37FB"/>
    <w:rsid w:val="009D6413"/>
    <w:rsid w:val="009E154E"/>
    <w:rsid w:val="009E1D6C"/>
    <w:rsid w:val="009E4843"/>
    <w:rsid w:val="009E6D9E"/>
    <w:rsid w:val="009F209F"/>
    <w:rsid w:val="009F33E4"/>
    <w:rsid w:val="009F558B"/>
    <w:rsid w:val="00A02B66"/>
    <w:rsid w:val="00A051EB"/>
    <w:rsid w:val="00A34FC8"/>
    <w:rsid w:val="00A43655"/>
    <w:rsid w:val="00A50945"/>
    <w:rsid w:val="00A55BA0"/>
    <w:rsid w:val="00A601E9"/>
    <w:rsid w:val="00A60AFA"/>
    <w:rsid w:val="00A63328"/>
    <w:rsid w:val="00A77E2D"/>
    <w:rsid w:val="00A8176D"/>
    <w:rsid w:val="00A83672"/>
    <w:rsid w:val="00A94653"/>
    <w:rsid w:val="00A95385"/>
    <w:rsid w:val="00AB2294"/>
    <w:rsid w:val="00AB48FA"/>
    <w:rsid w:val="00AC6ACA"/>
    <w:rsid w:val="00AF007E"/>
    <w:rsid w:val="00AF20D2"/>
    <w:rsid w:val="00AF27DD"/>
    <w:rsid w:val="00B02A54"/>
    <w:rsid w:val="00B11928"/>
    <w:rsid w:val="00B11E26"/>
    <w:rsid w:val="00B2040B"/>
    <w:rsid w:val="00B2141A"/>
    <w:rsid w:val="00B22FAD"/>
    <w:rsid w:val="00B242BD"/>
    <w:rsid w:val="00B25287"/>
    <w:rsid w:val="00B34511"/>
    <w:rsid w:val="00B34C97"/>
    <w:rsid w:val="00B40BAA"/>
    <w:rsid w:val="00B547F8"/>
    <w:rsid w:val="00B6617B"/>
    <w:rsid w:val="00B6789D"/>
    <w:rsid w:val="00B8464E"/>
    <w:rsid w:val="00B84A6A"/>
    <w:rsid w:val="00B8561F"/>
    <w:rsid w:val="00BA2905"/>
    <w:rsid w:val="00BB20B6"/>
    <w:rsid w:val="00BC73DB"/>
    <w:rsid w:val="00BF6E66"/>
    <w:rsid w:val="00C13E19"/>
    <w:rsid w:val="00C21894"/>
    <w:rsid w:val="00C22ADD"/>
    <w:rsid w:val="00C2577F"/>
    <w:rsid w:val="00C258B6"/>
    <w:rsid w:val="00C3356E"/>
    <w:rsid w:val="00C5003D"/>
    <w:rsid w:val="00C52270"/>
    <w:rsid w:val="00C5231C"/>
    <w:rsid w:val="00C57D4A"/>
    <w:rsid w:val="00C64718"/>
    <w:rsid w:val="00C64BD1"/>
    <w:rsid w:val="00C656DD"/>
    <w:rsid w:val="00C85C4B"/>
    <w:rsid w:val="00C878E7"/>
    <w:rsid w:val="00C91BB8"/>
    <w:rsid w:val="00C96AE1"/>
    <w:rsid w:val="00CA29FD"/>
    <w:rsid w:val="00CA3F6F"/>
    <w:rsid w:val="00CB332F"/>
    <w:rsid w:val="00CB40F7"/>
    <w:rsid w:val="00CB49A6"/>
    <w:rsid w:val="00CC5028"/>
    <w:rsid w:val="00CD1047"/>
    <w:rsid w:val="00CD1493"/>
    <w:rsid w:val="00CE0435"/>
    <w:rsid w:val="00CE0913"/>
    <w:rsid w:val="00CE1E7E"/>
    <w:rsid w:val="00CE2037"/>
    <w:rsid w:val="00CE64A9"/>
    <w:rsid w:val="00D00BD2"/>
    <w:rsid w:val="00D145C1"/>
    <w:rsid w:val="00D1626B"/>
    <w:rsid w:val="00D20349"/>
    <w:rsid w:val="00D32120"/>
    <w:rsid w:val="00D33DDE"/>
    <w:rsid w:val="00D3416A"/>
    <w:rsid w:val="00D3495A"/>
    <w:rsid w:val="00D35E95"/>
    <w:rsid w:val="00D47238"/>
    <w:rsid w:val="00D47EE1"/>
    <w:rsid w:val="00D50754"/>
    <w:rsid w:val="00D60284"/>
    <w:rsid w:val="00D73508"/>
    <w:rsid w:val="00D76406"/>
    <w:rsid w:val="00D77088"/>
    <w:rsid w:val="00D81EDF"/>
    <w:rsid w:val="00D92485"/>
    <w:rsid w:val="00DA1869"/>
    <w:rsid w:val="00DB3D87"/>
    <w:rsid w:val="00DB5558"/>
    <w:rsid w:val="00DE1C3B"/>
    <w:rsid w:val="00DE23EA"/>
    <w:rsid w:val="00DE76F8"/>
    <w:rsid w:val="00DF1519"/>
    <w:rsid w:val="00DF2E98"/>
    <w:rsid w:val="00E141C3"/>
    <w:rsid w:val="00E2044F"/>
    <w:rsid w:val="00E26D7D"/>
    <w:rsid w:val="00E36041"/>
    <w:rsid w:val="00E374EF"/>
    <w:rsid w:val="00E4597A"/>
    <w:rsid w:val="00E45F0D"/>
    <w:rsid w:val="00E463BA"/>
    <w:rsid w:val="00E52851"/>
    <w:rsid w:val="00E53CDE"/>
    <w:rsid w:val="00E542EF"/>
    <w:rsid w:val="00E7477C"/>
    <w:rsid w:val="00E777EA"/>
    <w:rsid w:val="00E945E9"/>
    <w:rsid w:val="00EA1FC8"/>
    <w:rsid w:val="00EC7BCD"/>
    <w:rsid w:val="00ED0E34"/>
    <w:rsid w:val="00EF2F28"/>
    <w:rsid w:val="00F005AB"/>
    <w:rsid w:val="00F01009"/>
    <w:rsid w:val="00F01A73"/>
    <w:rsid w:val="00F03D3E"/>
    <w:rsid w:val="00F04BB1"/>
    <w:rsid w:val="00F05A97"/>
    <w:rsid w:val="00F07646"/>
    <w:rsid w:val="00F07D81"/>
    <w:rsid w:val="00F2257C"/>
    <w:rsid w:val="00F23B2E"/>
    <w:rsid w:val="00F37E12"/>
    <w:rsid w:val="00F41112"/>
    <w:rsid w:val="00F433C3"/>
    <w:rsid w:val="00F43DD7"/>
    <w:rsid w:val="00F50DE5"/>
    <w:rsid w:val="00F55750"/>
    <w:rsid w:val="00F74EE3"/>
    <w:rsid w:val="00F947A6"/>
    <w:rsid w:val="00FC77A0"/>
    <w:rsid w:val="00FE0B72"/>
    <w:rsid w:val="00FE3351"/>
    <w:rsid w:val="00FE5F5E"/>
    <w:rsid w:val="00FE7201"/>
    <w:rsid w:val="00FF160E"/>
    <w:rsid w:val="00FF5E06"/>
    <w:rsid w:val="00FF6F9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00B"/>
  <w15:chartTrackingRefBased/>
  <w15:docId w15:val="{AF49AAB6-DD3D-FB4B-A0E5-2C79A5B4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655"/>
    <w:rPr>
      <w:rFonts w:ascii="Times New Roman" w:hAnsi="Times New Roman" w:cs="Times New Roman"/>
      <w:sz w:val="18"/>
      <w:szCs w:val="18"/>
    </w:rPr>
  </w:style>
  <w:style w:type="character" w:customStyle="1" w:styleId="a4">
    <w:name w:val="批注框文本 字符"/>
    <w:basedOn w:val="a0"/>
    <w:link w:val="a3"/>
    <w:uiPriority w:val="99"/>
    <w:semiHidden/>
    <w:rsid w:val="00A43655"/>
    <w:rPr>
      <w:rFonts w:ascii="Times New Roman" w:hAnsi="Times New Roman" w:cs="Times New Roman"/>
      <w:sz w:val="18"/>
      <w:szCs w:val="18"/>
    </w:rPr>
  </w:style>
  <w:style w:type="character" w:styleId="a5">
    <w:name w:val="annotation reference"/>
    <w:basedOn w:val="a0"/>
    <w:uiPriority w:val="99"/>
    <w:semiHidden/>
    <w:unhideWhenUsed/>
    <w:rsid w:val="00A43655"/>
    <w:rPr>
      <w:sz w:val="16"/>
      <w:szCs w:val="16"/>
    </w:rPr>
  </w:style>
  <w:style w:type="paragraph" w:styleId="a6">
    <w:name w:val="annotation text"/>
    <w:basedOn w:val="a"/>
    <w:link w:val="a7"/>
    <w:uiPriority w:val="99"/>
    <w:semiHidden/>
    <w:unhideWhenUsed/>
    <w:rsid w:val="00A43655"/>
    <w:rPr>
      <w:rFonts w:ascii="Times New Roman" w:eastAsia="Times New Roman" w:hAnsi="Times New Roman" w:cs="Times New Roman"/>
      <w:sz w:val="20"/>
      <w:szCs w:val="20"/>
      <w:lang w:eastAsia="pl-PL"/>
    </w:rPr>
  </w:style>
  <w:style w:type="character" w:customStyle="1" w:styleId="a7">
    <w:name w:val="批注文字 字符"/>
    <w:basedOn w:val="a0"/>
    <w:link w:val="a6"/>
    <w:uiPriority w:val="99"/>
    <w:semiHidden/>
    <w:rsid w:val="00A43655"/>
    <w:rPr>
      <w:rFonts w:ascii="Times New Roman" w:eastAsia="Times New Roman" w:hAnsi="Times New Roman" w:cs="Times New Roman"/>
      <w:sz w:val="20"/>
      <w:szCs w:val="20"/>
      <w:lang w:eastAsia="pl-PL"/>
    </w:rPr>
  </w:style>
  <w:style w:type="paragraph" w:styleId="a8">
    <w:name w:val="Normal (Web)"/>
    <w:basedOn w:val="a"/>
    <w:uiPriority w:val="99"/>
    <w:unhideWhenUsed/>
    <w:rsid w:val="00A43655"/>
    <w:pPr>
      <w:spacing w:before="100" w:beforeAutospacing="1" w:after="100" w:afterAutospacing="1"/>
    </w:pPr>
    <w:rPr>
      <w:rFonts w:ascii="Times New Roman" w:eastAsia="Times New Roman" w:hAnsi="Times New Roman" w:cs="Times New Roman"/>
      <w:lang w:eastAsia="pl-PL"/>
    </w:rPr>
  </w:style>
  <w:style w:type="character" w:customStyle="1" w:styleId="orcid-id-https">
    <w:name w:val="orcid-id-https"/>
    <w:basedOn w:val="a0"/>
    <w:rsid w:val="00FE7201"/>
  </w:style>
  <w:style w:type="character" w:styleId="a9">
    <w:name w:val="Hyperlink"/>
    <w:basedOn w:val="a0"/>
    <w:uiPriority w:val="99"/>
    <w:unhideWhenUsed/>
    <w:rsid w:val="00FE7201"/>
    <w:rPr>
      <w:color w:val="0563C1" w:themeColor="hyperlink"/>
      <w:u w:val="single"/>
    </w:rPr>
  </w:style>
  <w:style w:type="character" w:customStyle="1" w:styleId="1">
    <w:name w:val="未处理的提及1"/>
    <w:basedOn w:val="a0"/>
    <w:uiPriority w:val="99"/>
    <w:semiHidden/>
    <w:unhideWhenUsed/>
    <w:rsid w:val="00FE7201"/>
    <w:rPr>
      <w:color w:val="605E5C"/>
      <w:shd w:val="clear" w:color="auto" w:fill="E1DFDD"/>
    </w:rPr>
  </w:style>
  <w:style w:type="character" w:styleId="aa">
    <w:name w:val="FollowedHyperlink"/>
    <w:basedOn w:val="a0"/>
    <w:uiPriority w:val="99"/>
    <w:semiHidden/>
    <w:unhideWhenUsed/>
    <w:rsid w:val="00FE7201"/>
    <w:rPr>
      <w:color w:val="954F72" w:themeColor="followedHyperlink"/>
      <w:u w:val="single"/>
    </w:rPr>
  </w:style>
  <w:style w:type="paragraph" w:customStyle="1" w:styleId="Default">
    <w:name w:val="Default"/>
    <w:rsid w:val="008F5A7C"/>
    <w:pPr>
      <w:autoSpaceDE w:val="0"/>
      <w:autoSpaceDN w:val="0"/>
      <w:adjustRightInd w:val="0"/>
    </w:pPr>
    <w:rPr>
      <w:rFonts w:ascii="Book Antiqua" w:hAnsi="Book Antiqua" w:cs="Book Antiqua"/>
      <w:color w:val="000000"/>
    </w:rPr>
  </w:style>
  <w:style w:type="table" w:styleId="ab">
    <w:name w:val="Table Grid"/>
    <w:basedOn w:val="a1"/>
    <w:uiPriority w:val="59"/>
    <w:rsid w:val="00F05A97"/>
    <w:rPr>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6"/>
    <w:next w:val="a6"/>
    <w:link w:val="ad"/>
    <w:uiPriority w:val="99"/>
    <w:semiHidden/>
    <w:unhideWhenUsed/>
    <w:rsid w:val="00C2577F"/>
    <w:rPr>
      <w:rFonts w:asciiTheme="minorHAnsi" w:eastAsiaTheme="minorHAnsi" w:hAnsiTheme="minorHAnsi" w:cstheme="minorBidi"/>
      <w:b/>
      <w:bCs/>
      <w:lang w:eastAsia="en-US"/>
    </w:rPr>
  </w:style>
  <w:style w:type="character" w:customStyle="1" w:styleId="ad">
    <w:name w:val="批注主题 字符"/>
    <w:basedOn w:val="a7"/>
    <w:link w:val="ac"/>
    <w:uiPriority w:val="99"/>
    <w:semiHidden/>
    <w:rsid w:val="00C2577F"/>
    <w:rPr>
      <w:rFonts w:ascii="Times New Roman" w:eastAsia="Times New Roman" w:hAnsi="Times New Roman" w:cs="Times New Roman"/>
      <w:b/>
      <w:bCs/>
      <w:sz w:val="20"/>
      <w:szCs w:val="20"/>
      <w:lang w:eastAsia="pl-PL"/>
    </w:rPr>
  </w:style>
  <w:style w:type="paragraph" w:styleId="ae">
    <w:name w:val="header"/>
    <w:basedOn w:val="a"/>
    <w:link w:val="af"/>
    <w:uiPriority w:val="99"/>
    <w:unhideWhenUsed/>
    <w:rsid w:val="00165452"/>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165452"/>
    <w:rPr>
      <w:sz w:val="18"/>
      <w:szCs w:val="18"/>
    </w:rPr>
  </w:style>
  <w:style w:type="paragraph" w:styleId="af0">
    <w:name w:val="footer"/>
    <w:basedOn w:val="a"/>
    <w:link w:val="af1"/>
    <w:uiPriority w:val="99"/>
    <w:unhideWhenUsed/>
    <w:rsid w:val="00165452"/>
    <w:pPr>
      <w:tabs>
        <w:tab w:val="center" w:pos="4153"/>
        <w:tab w:val="right" w:pos="8306"/>
      </w:tabs>
      <w:snapToGrid w:val="0"/>
    </w:pPr>
    <w:rPr>
      <w:sz w:val="18"/>
      <w:szCs w:val="18"/>
    </w:rPr>
  </w:style>
  <w:style w:type="character" w:customStyle="1" w:styleId="af1">
    <w:name w:val="页脚 字符"/>
    <w:basedOn w:val="a0"/>
    <w:link w:val="af0"/>
    <w:uiPriority w:val="99"/>
    <w:rsid w:val="00165452"/>
    <w:rPr>
      <w:sz w:val="18"/>
      <w:szCs w:val="18"/>
    </w:rPr>
  </w:style>
  <w:style w:type="paragraph" w:styleId="af2">
    <w:name w:val="List Paragraph"/>
    <w:basedOn w:val="a"/>
    <w:uiPriority w:val="34"/>
    <w:qFormat/>
    <w:rsid w:val="002E4A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1521">
      <w:bodyDiv w:val="1"/>
      <w:marLeft w:val="0"/>
      <w:marRight w:val="0"/>
      <w:marTop w:val="0"/>
      <w:marBottom w:val="0"/>
      <w:divBdr>
        <w:top w:val="none" w:sz="0" w:space="0" w:color="auto"/>
        <w:left w:val="none" w:sz="0" w:space="0" w:color="auto"/>
        <w:bottom w:val="none" w:sz="0" w:space="0" w:color="auto"/>
        <w:right w:val="none" w:sz="0" w:space="0" w:color="auto"/>
      </w:divBdr>
    </w:div>
    <w:div w:id="93282693">
      <w:bodyDiv w:val="1"/>
      <w:marLeft w:val="0"/>
      <w:marRight w:val="0"/>
      <w:marTop w:val="0"/>
      <w:marBottom w:val="0"/>
      <w:divBdr>
        <w:top w:val="none" w:sz="0" w:space="0" w:color="auto"/>
        <w:left w:val="none" w:sz="0" w:space="0" w:color="auto"/>
        <w:bottom w:val="none" w:sz="0" w:space="0" w:color="auto"/>
        <w:right w:val="none" w:sz="0" w:space="0" w:color="auto"/>
      </w:divBdr>
    </w:div>
    <w:div w:id="182742094">
      <w:bodyDiv w:val="1"/>
      <w:marLeft w:val="0"/>
      <w:marRight w:val="0"/>
      <w:marTop w:val="0"/>
      <w:marBottom w:val="0"/>
      <w:divBdr>
        <w:top w:val="none" w:sz="0" w:space="0" w:color="auto"/>
        <w:left w:val="none" w:sz="0" w:space="0" w:color="auto"/>
        <w:bottom w:val="none" w:sz="0" w:space="0" w:color="auto"/>
        <w:right w:val="none" w:sz="0" w:space="0" w:color="auto"/>
      </w:divBdr>
      <w:divsChild>
        <w:div w:id="1751847631">
          <w:marLeft w:val="0"/>
          <w:marRight w:val="0"/>
          <w:marTop w:val="0"/>
          <w:marBottom w:val="0"/>
          <w:divBdr>
            <w:top w:val="none" w:sz="0" w:space="0" w:color="auto"/>
            <w:left w:val="none" w:sz="0" w:space="0" w:color="auto"/>
            <w:bottom w:val="none" w:sz="0" w:space="0" w:color="auto"/>
            <w:right w:val="none" w:sz="0" w:space="0" w:color="auto"/>
          </w:divBdr>
          <w:divsChild>
            <w:div w:id="852034910">
              <w:marLeft w:val="0"/>
              <w:marRight w:val="0"/>
              <w:marTop w:val="0"/>
              <w:marBottom w:val="0"/>
              <w:divBdr>
                <w:top w:val="none" w:sz="0" w:space="0" w:color="auto"/>
                <w:left w:val="none" w:sz="0" w:space="0" w:color="auto"/>
                <w:bottom w:val="none" w:sz="0" w:space="0" w:color="auto"/>
                <w:right w:val="none" w:sz="0" w:space="0" w:color="auto"/>
              </w:divBdr>
              <w:divsChild>
                <w:div w:id="824707010">
                  <w:marLeft w:val="0"/>
                  <w:marRight w:val="0"/>
                  <w:marTop w:val="0"/>
                  <w:marBottom w:val="0"/>
                  <w:divBdr>
                    <w:top w:val="none" w:sz="0" w:space="0" w:color="auto"/>
                    <w:left w:val="none" w:sz="0" w:space="0" w:color="auto"/>
                    <w:bottom w:val="none" w:sz="0" w:space="0" w:color="auto"/>
                    <w:right w:val="none" w:sz="0" w:space="0" w:color="auto"/>
                  </w:divBdr>
                  <w:divsChild>
                    <w:div w:id="21324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4729">
      <w:bodyDiv w:val="1"/>
      <w:marLeft w:val="0"/>
      <w:marRight w:val="0"/>
      <w:marTop w:val="0"/>
      <w:marBottom w:val="0"/>
      <w:divBdr>
        <w:top w:val="none" w:sz="0" w:space="0" w:color="auto"/>
        <w:left w:val="none" w:sz="0" w:space="0" w:color="auto"/>
        <w:bottom w:val="none" w:sz="0" w:space="0" w:color="auto"/>
        <w:right w:val="none" w:sz="0" w:space="0" w:color="auto"/>
      </w:divBdr>
    </w:div>
    <w:div w:id="202135861">
      <w:bodyDiv w:val="1"/>
      <w:marLeft w:val="0"/>
      <w:marRight w:val="0"/>
      <w:marTop w:val="0"/>
      <w:marBottom w:val="0"/>
      <w:divBdr>
        <w:top w:val="none" w:sz="0" w:space="0" w:color="auto"/>
        <w:left w:val="none" w:sz="0" w:space="0" w:color="auto"/>
        <w:bottom w:val="none" w:sz="0" w:space="0" w:color="auto"/>
        <w:right w:val="none" w:sz="0" w:space="0" w:color="auto"/>
      </w:divBdr>
    </w:div>
    <w:div w:id="221141758">
      <w:bodyDiv w:val="1"/>
      <w:marLeft w:val="0"/>
      <w:marRight w:val="0"/>
      <w:marTop w:val="0"/>
      <w:marBottom w:val="0"/>
      <w:divBdr>
        <w:top w:val="none" w:sz="0" w:space="0" w:color="auto"/>
        <w:left w:val="none" w:sz="0" w:space="0" w:color="auto"/>
        <w:bottom w:val="none" w:sz="0" w:space="0" w:color="auto"/>
        <w:right w:val="none" w:sz="0" w:space="0" w:color="auto"/>
      </w:divBdr>
    </w:div>
    <w:div w:id="233586412">
      <w:bodyDiv w:val="1"/>
      <w:marLeft w:val="0"/>
      <w:marRight w:val="0"/>
      <w:marTop w:val="0"/>
      <w:marBottom w:val="0"/>
      <w:divBdr>
        <w:top w:val="none" w:sz="0" w:space="0" w:color="auto"/>
        <w:left w:val="none" w:sz="0" w:space="0" w:color="auto"/>
        <w:bottom w:val="none" w:sz="0" w:space="0" w:color="auto"/>
        <w:right w:val="none" w:sz="0" w:space="0" w:color="auto"/>
      </w:divBdr>
    </w:div>
    <w:div w:id="265230519">
      <w:bodyDiv w:val="1"/>
      <w:marLeft w:val="0"/>
      <w:marRight w:val="0"/>
      <w:marTop w:val="0"/>
      <w:marBottom w:val="0"/>
      <w:divBdr>
        <w:top w:val="none" w:sz="0" w:space="0" w:color="auto"/>
        <w:left w:val="none" w:sz="0" w:space="0" w:color="auto"/>
        <w:bottom w:val="none" w:sz="0" w:space="0" w:color="auto"/>
        <w:right w:val="none" w:sz="0" w:space="0" w:color="auto"/>
      </w:divBdr>
    </w:div>
    <w:div w:id="274680696">
      <w:bodyDiv w:val="1"/>
      <w:marLeft w:val="0"/>
      <w:marRight w:val="0"/>
      <w:marTop w:val="0"/>
      <w:marBottom w:val="0"/>
      <w:divBdr>
        <w:top w:val="none" w:sz="0" w:space="0" w:color="auto"/>
        <w:left w:val="none" w:sz="0" w:space="0" w:color="auto"/>
        <w:bottom w:val="none" w:sz="0" w:space="0" w:color="auto"/>
        <w:right w:val="none" w:sz="0" w:space="0" w:color="auto"/>
      </w:divBdr>
    </w:div>
    <w:div w:id="305280675">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34960401">
      <w:bodyDiv w:val="1"/>
      <w:marLeft w:val="0"/>
      <w:marRight w:val="0"/>
      <w:marTop w:val="0"/>
      <w:marBottom w:val="0"/>
      <w:divBdr>
        <w:top w:val="none" w:sz="0" w:space="0" w:color="auto"/>
        <w:left w:val="none" w:sz="0" w:space="0" w:color="auto"/>
        <w:bottom w:val="none" w:sz="0" w:space="0" w:color="auto"/>
        <w:right w:val="none" w:sz="0" w:space="0" w:color="auto"/>
      </w:divBdr>
    </w:div>
    <w:div w:id="361708809">
      <w:bodyDiv w:val="1"/>
      <w:marLeft w:val="0"/>
      <w:marRight w:val="0"/>
      <w:marTop w:val="0"/>
      <w:marBottom w:val="0"/>
      <w:divBdr>
        <w:top w:val="none" w:sz="0" w:space="0" w:color="auto"/>
        <w:left w:val="none" w:sz="0" w:space="0" w:color="auto"/>
        <w:bottom w:val="none" w:sz="0" w:space="0" w:color="auto"/>
        <w:right w:val="none" w:sz="0" w:space="0" w:color="auto"/>
      </w:divBdr>
    </w:div>
    <w:div w:id="367268637">
      <w:bodyDiv w:val="1"/>
      <w:marLeft w:val="0"/>
      <w:marRight w:val="0"/>
      <w:marTop w:val="0"/>
      <w:marBottom w:val="0"/>
      <w:divBdr>
        <w:top w:val="none" w:sz="0" w:space="0" w:color="auto"/>
        <w:left w:val="none" w:sz="0" w:space="0" w:color="auto"/>
        <w:bottom w:val="none" w:sz="0" w:space="0" w:color="auto"/>
        <w:right w:val="none" w:sz="0" w:space="0" w:color="auto"/>
      </w:divBdr>
    </w:div>
    <w:div w:id="371999579">
      <w:bodyDiv w:val="1"/>
      <w:marLeft w:val="0"/>
      <w:marRight w:val="0"/>
      <w:marTop w:val="0"/>
      <w:marBottom w:val="0"/>
      <w:divBdr>
        <w:top w:val="none" w:sz="0" w:space="0" w:color="auto"/>
        <w:left w:val="none" w:sz="0" w:space="0" w:color="auto"/>
        <w:bottom w:val="none" w:sz="0" w:space="0" w:color="auto"/>
        <w:right w:val="none" w:sz="0" w:space="0" w:color="auto"/>
      </w:divBdr>
    </w:div>
    <w:div w:id="418865693">
      <w:bodyDiv w:val="1"/>
      <w:marLeft w:val="0"/>
      <w:marRight w:val="0"/>
      <w:marTop w:val="0"/>
      <w:marBottom w:val="0"/>
      <w:divBdr>
        <w:top w:val="none" w:sz="0" w:space="0" w:color="auto"/>
        <w:left w:val="none" w:sz="0" w:space="0" w:color="auto"/>
        <w:bottom w:val="none" w:sz="0" w:space="0" w:color="auto"/>
        <w:right w:val="none" w:sz="0" w:space="0" w:color="auto"/>
      </w:divBdr>
    </w:div>
    <w:div w:id="494763059">
      <w:bodyDiv w:val="1"/>
      <w:marLeft w:val="0"/>
      <w:marRight w:val="0"/>
      <w:marTop w:val="0"/>
      <w:marBottom w:val="0"/>
      <w:divBdr>
        <w:top w:val="none" w:sz="0" w:space="0" w:color="auto"/>
        <w:left w:val="none" w:sz="0" w:space="0" w:color="auto"/>
        <w:bottom w:val="none" w:sz="0" w:space="0" w:color="auto"/>
        <w:right w:val="none" w:sz="0" w:space="0" w:color="auto"/>
      </w:divBdr>
    </w:div>
    <w:div w:id="613443628">
      <w:bodyDiv w:val="1"/>
      <w:marLeft w:val="0"/>
      <w:marRight w:val="0"/>
      <w:marTop w:val="0"/>
      <w:marBottom w:val="0"/>
      <w:divBdr>
        <w:top w:val="none" w:sz="0" w:space="0" w:color="auto"/>
        <w:left w:val="none" w:sz="0" w:space="0" w:color="auto"/>
        <w:bottom w:val="none" w:sz="0" w:space="0" w:color="auto"/>
        <w:right w:val="none" w:sz="0" w:space="0" w:color="auto"/>
      </w:divBdr>
      <w:divsChild>
        <w:div w:id="1032538114">
          <w:marLeft w:val="0"/>
          <w:marRight w:val="0"/>
          <w:marTop w:val="0"/>
          <w:marBottom w:val="0"/>
          <w:divBdr>
            <w:top w:val="none" w:sz="0" w:space="0" w:color="auto"/>
            <w:left w:val="none" w:sz="0" w:space="0" w:color="auto"/>
            <w:bottom w:val="none" w:sz="0" w:space="0" w:color="auto"/>
            <w:right w:val="none" w:sz="0" w:space="0" w:color="auto"/>
          </w:divBdr>
          <w:divsChild>
            <w:div w:id="1872836680">
              <w:marLeft w:val="0"/>
              <w:marRight w:val="0"/>
              <w:marTop w:val="0"/>
              <w:marBottom w:val="0"/>
              <w:divBdr>
                <w:top w:val="none" w:sz="0" w:space="0" w:color="auto"/>
                <w:left w:val="none" w:sz="0" w:space="0" w:color="auto"/>
                <w:bottom w:val="none" w:sz="0" w:space="0" w:color="auto"/>
                <w:right w:val="none" w:sz="0" w:space="0" w:color="auto"/>
              </w:divBdr>
              <w:divsChild>
                <w:div w:id="1908683743">
                  <w:marLeft w:val="0"/>
                  <w:marRight w:val="0"/>
                  <w:marTop w:val="0"/>
                  <w:marBottom w:val="0"/>
                  <w:divBdr>
                    <w:top w:val="none" w:sz="0" w:space="0" w:color="auto"/>
                    <w:left w:val="none" w:sz="0" w:space="0" w:color="auto"/>
                    <w:bottom w:val="none" w:sz="0" w:space="0" w:color="auto"/>
                    <w:right w:val="none" w:sz="0" w:space="0" w:color="auto"/>
                  </w:divBdr>
                  <w:divsChild>
                    <w:div w:id="2134665023">
                      <w:marLeft w:val="0"/>
                      <w:marRight w:val="0"/>
                      <w:marTop w:val="0"/>
                      <w:marBottom w:val="0"/>
                      <w:divBdr>
                        <w:top w:val="none" w:sz="0" w:space="0" w:color="auto"/>
                        <w:left w:val="none" w:sz="0" w:space="0" w:color="auto"/>
                        <w:bottom w:val="none" w:sz="0" w:space="0" w:color="auto"/>
                        <w:right w:val="none" w:sz="0" w:space="0" w:color="auto"/>
                      </w:divBdr>
                    </w:div>
                  </w:divsChild>
                </w:div>
                <w:div w:id="532546613">
                  <w:marLeft w:val="0"/>
                  <w:marRight w:val="0"/>
                  <w:marTop w:val="0"/>
                  <w:marBottom w:val="0"/>
                  <w:divBdr>
                    <w:top w:val="none" w:sz="0" w:space="0" w:color="auto"/>
                    <w:left w:val="none" w:sz="0" w:space="0" w:color="auto"/>
                    <w:bottom w:val="none" w:sz="0" w:space="0" w:color="auto"/>
                    <w:right w:val="none" w:sz="0" w:space="0" w:color="auto"/>
                  </w:divBdr>
                  <w:divsChild>
                    <w:div w:id="105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3410">
      <w:bodyDiv w:val="1"/>
      <w:marLeft w:val="0"/>
      <w:marRight w:val="0"/>
      <w:marTop w:val="0"/>
      <w:marBottom w:val="0"/>
      <w:divBdr>
        <w:top w:val="none" w:sz="0" w:space="0" w:color="auto"/>
        <w:left w:val="none" w:sz="0" w:space="0" w:color="auto"/>
        <w:bottom w:val="none" w:sz="0" w:space="0" w:color="auto"/>
        <w:right w:val="none" w:sz="0" w:space="0" w:color="auto"/>
      </w:divBdr>
    </w:div>
    <w:div w:id="666443806">
      <w:bodyDiv w:val="1"/>
      <w:marLeft w:val="0"/>
      <w:marRight w:val="0"/>
      <w:marTop w:val="0"/>
      <w:marBottom w:val="0"/>
      <w:divBdr>
        <w:top w:val="none" w:sz="0" w:space="0" w:color="auto"/>
        <w:left w:val="none" w:sz="0" w:space="0" w:color="auto"/>
        <w:bottom w:val="none" w:sz="0" w:space="0" w:color="auto"/>
        <w:right w:val="none" w:sz="0" w:space="0" w:color="auto"/>
      </w:divBdr>
    </w:div>
    <w:div w:id="667320106">
      <w:bodyDiv w:val="1"/>
      <w:marLeft w:val="0"/>
      <w:marRight w:val="0"/>
      <w:marTop w:val="0"/>
      <w:marBottom w:val="0"/>
      <w:divBdr>
        <w:top w:val="none" w:sz="0" w:space="0" w:color="auto"/>
        <w:left w:val="none" w:sz="0" w:space="0" w:color="auto"/>
        <w:bottom w:val="none" w:sz="0" w:space="0" w:color="auto"/>
        <w:right w:val="none" w:sz="0" w:space="0" w:color="auto"/>
      </w:divBdr>
    </w:div>
    <w:div w:id="700939437">
      <w:bodyDiv w:val="1"/>
      <w:marLeft w:val="0"/>
      <w:marRight w:val="0"/>
      <w:marTop w:val="0"/>
      <w:marBottom w:val="0"/>
      <w:divBdr>
        <w:top w:val="none" w:sz="0" w:space="0" w:color="auto"/>
        <w:left w:val="none" w:sz="0" w:space="0" w:color="auto"/>
        <w:bottom w:val="none" w:sz="0" w:space="0" w:color="auto"/>
        <w:right w:val="none" w:sz="0" w:space="0" w:color="auto"/>
      </w:divBdr>
    </w:div>
    <w:div w:id="714618607">
      <w:bodyDiv w:val="1"/>
      <w:marLeft w:val="0"/>
      <w:marRight w:val="0"/>
      <w:marTop w:val="0"/>
      <w:marBottom w:val="0"/>
      <w:divBdr>
        <w:top w:val="none" w:sz="0" w:space="0" w:color="auto"/>
        <w:left w:val="none" w:sz="0" w:space="0" w:color="auto"/>
        <w:bottom w:val="none" w:sz="0" w:space="0" w:color="auto"/>
        <w:right w:val="none" w:sz="0" w:space="0" w:color="auto"/>
      </w:divBdr>
    </w:div>
    <w:div w:id="716050412">
      <w:bodyDiv w:val="1"/>
      <w:marLeft w:val="0"/>
      <w:marRight w:val="0"/>
      <w:marTop w:val="0"/>
      <w:marBottom w:val="0"/>
      <w:divBdr>
        <w:top w:val="none" w:sz="0" w:space="0" w:color="auto"/>
        <w:left w:val="none" w:sz="0" w:space="0" w:color="auto"/>
        <w:bottom w:val="none" w:sz="0" w:space="0" w:color="auto"/>
        <w:right w:val="none" w:sz="0" w:space="0" w:color="auto"/>
      </w:divBdr>
    </w:div>
    <w:div w:id="723912130">
      <w:bodyDiv w:val="1"/>
      <w:marLeft w:val="0"/>
      <w:marRight w:val="0"/>
      <w:marTop w:val="0"/>
      <w:marBottom w:val="0"/>
      <w:divBdr>
        <w:top w:val="none" w:sz="0" w:space="0" w:color="auto"/>
        <w:left w:val="none" w:sz="0" w:space="0" w:color="auto"/>
        <w:bottom w:val="none" w:sz="0" w:space="0" w:color="auto"/>
        <w:right w:val="none" w:sz="0" w:space="0" w:color="auto"/>
      </w:divBdr>
    </w:div>
    <w:div w:id="726146755">
      <w:bodyDiv w:val="1"/>
      <w:marLeft w:val="0"/>
      <w:marRight w:val="0"/>
      <w:marTop w:val="0"/>
      <w:marBottom w:val="0"/>
      <w:divBdr>
        <w:top w:val="none" w:sz="0" w:space="0" w:color="auto"/>
        <w:left w:val="none" w:sz="0" w:space="0" w:color="auto"/>
        <w:bottom w:val="none" w:sz="0" w:space="0" w:color="auto"/>
        <w:right w:val="none" w:sz="0" w:space="0" w:color="auto"/>
      </w:divBdr>
    </w:div>
    <w:div w:id="763184089">
      <w:bodyDiv w:val="1"/>
      <w:marLeft w:val="0"/>
      <w:marRight w:val="0"/>
      <w:marTop w:val="0"/>
      <w:marBottom w:val="0"/>
      <w:divBdr>
        <w:top w:val="none" w:sz="0" w:space="0" w:color="auto"/>
        <w:left w:val="none" w:sz="0" w:space="0" w:color="auto"/>
        <w:bottom w:val="none" w:sz="0" w:space="0" w:color="auto"/>
        <w:right w:val="none" w:sz="0" w:space="0" w:color="auto"/>
      </w:divBdr>
    </w:div>
    <w:div w:id="814109074">
      <w:bodyDiv w:val="1"/>
      <w:marLeft w:val="0"/>
      <w:marRight w:val="0"/>
      <w:marTop w:val="0"/>
      <w:marBottom w:val="0"/>
      <w:divBdr>
        <w:top w:val="none" w:sz="0" w:space="0" w:color="auto"/>
        <w:left w:val="none" w:sz="0" w:space="0" w:color="auto"/>
        <w:bottom w:val="none" w:sz="0" w:space="0" w:color="auto"/>
        <w:right w:val="none" w:sz="0" w:space="0" w:color="auto"/>
      </w:divBdr>
    </w:div>
    <w:div w:id="826286142">
      <w:bodyDiv w:val="1"/>
      <w:marLeft w:val="0"/>
      <w:marRight w:val="0"/>
      <w:marTop w:val="0"/>
      <w:marBottom w:val="0"/>
      <w:divBdr>
        <w:top w:val="none" w:sz="0" w:space="0" w:color="auto"/>
        <w:left w:val="none" w:sz="0" w:space="0" w:color="auto"/>
        <w:bottom w:val="none" w:sz="0" w:space="0" w:color="auto"/>
        <w:right w:val="none" w:sz="0" w:space="0" w:color="auto"/>
      </w:divBdr>
    </w:div>
    <w:div w:id="893352771">
      <w:bodyDiv w:val="1"/>
      <w:marLeft w:val="0"/>
      <w:marRight w:val="0"/>
      <w:marTop w:val="0"/>
      <w:marBottom w:val="0"/>
      <w:divBdr>
        <w:top w:val="none" w:sz="0" w:space="0" w:color="auto"/>
        <w:left w:val="none" w:sz="0" w:space="0" w:color="auto"/>
        <w:bottom w:val="none" w:sz="0" w:space="0" w:color="auto"/>
        <w:right w:val="none" w:sz="0" w:space="0" w:color="auto"/>
      </w:divBdr>
    </w:div>
    <w:div w:id="923998297">
      <w:bodyDiv w:val="1"/>
      <w:marLeft w:val="0"/>
      <w:marRight w:val="0"/>
      <w:marTop w:val="0"/>
      <w:marBottom w:val="0"/>
      <w:divBdr>
        <w:top w:val="none" w:sz="0" w:space="0" w:color="auto"/>
        <w:left w:val="none" w:sz="0" w:space="0" w:color="auto"/>
        <w:bottom w:val="none" w:sz="0" w:space="0" w:color="auto"/>
        <w:right w:val="none" w:sz="0" w:space="0" w:color="auto"/>
      </w:divBdr>
    </w:div>
    <w:div w:id="926303213">
      <w:bodyDiv w:val="1"/>
      <w:marLeft w:val="0"/>
      <w:marRight w:val="0"/>
      <w:marTop w:val="0"/>
      <w:marBottom w:val="0"/>
      <w:divBdr>
        <w:top w:val="none" w:sz="0" w:space="0" w:color="auto"/>
        <w:left w:val="none" w:sz="0" w:space="0" w:color="auto"/>
        <w:bottom w:val="none" w:sz="0" w:space="0" w:color="auto"/>
        <w:right w:val="none" w:sz="0" w:space="0" w:color="auto"/>
      </w:divBdr>
    </w:div>
    <w:div w:id="948314483">
      <w:bodyDiv w:val="1"/>
      <w:marLeft w:val="0"/>
      <w:marRight w:val="0"/>
      <w:marTop w:val="0"/>
      <w:marBottom w:val="0"/>
      <w:divBdr>
        <w:top w:val="none" w:sz="0" w:space="0" w:color="auto"/>
        <w:left w:val="none" w:sz="0" w:space="0" w:color="auto"/>
        <w:bottom w:val="none" w:sz="0" w:space="0" w:color="auto"/>
        <w:right w:val="none" w:sz="0" w:space="0" w:color="auto"/>
      </w:divBdr>
    </w:div>
    <w:div w:id="967977649">
      <w:bodyDiv w:val="1"/>
      <w:marLeft w:val="0"/>
      <w:marRight w:val="0"/>
      <w:marTop w:val="0"/>
      <w:marBottom w:val="0"/>
      <w:divBdr>
        <w:top w:val="none" w:sz="0" w:space="0" w:color="auto"/>
        <w:left w:val="none" w:sz="0" w:space="0" w:color="auto"/>
        <w:bottom w:val="none" w:sz="0" w:space="0" w:color="auto"/>
        <w:right w:val="none" w:sz="0" w:space="0" w:color="auto"/>
      </w:divBdr>
    </w:div>
    <w:div w:id="987176133">
      <w:bodyDiv w:val="1"/>
      <w:marLeft w:val="0"/>
      <w:marRight w:val="0"/>
      <w:marTop w:val="0"/>
      <w:marBottom w:val="0"/>
      <w:divBdr>
        <w:top w:val="none" w:sz="0" w:space="0" w:color="auto"/>
        <w:left w:val="none" w:sz="0" w:space="0" w:color="auto"/>
        <w:bottom w:val="none" w:sz="0" w:space="0" w:color="auto"/>
        <w:right w:val="none" w:sz="0" w:space="0" w:color="auto"/>
      </w:divBdr>
      <w:divsChild>
        <w:div w:id="893392338">
          <w:marLeft w:val="0"/>
          <w:marRight w:val="0"/>
          <w:marTop w:val="0"/>
          <w:marBottom w:val="0"/>
          <w:divBdr>
            <w:top w:val="none" w:sz="0" w:space="0" w:color="auto"/>
            <w:left w:val="none" w:sz="0" w:space="0" w:color="auto"/>
            <w:bottom w:val="none" w:sz="0" w:space="0" w:color="auto"/>
            <w:right w:val="none" w:sz="0" w:space="0" w:color="auto"/>
          </w:divBdr>
          <w:divsChild>
            <w:div w:id="1295869080">
              <w:marLeft w:val="0"/>
              <w:marRight w:val="0"/>
              <w:marTop w:val="0"/>
              <w:marBottom w:val="0"/>
              <w:divBdr>
                <w:top w:val="none" w:sz="0" w:space="0" w:color="auto"/>
                <w:left w:val="none" w:sz="0" w:space="0" w:color="auto"/>
                <w:bottom w:val="none" w:sz="0" w:space="0" w:color="auto"/>
                <w:right w:val="none" w:sz="0" w:space="0" w:color="auto"/>
              </w:divBdr>
              <w:divsChild>
                <w:div w:id="653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7185">
      <w:bodyDiv w:val="1"/>
      <w:marLeft w:val="0"/>
      <w:marRight w:val="0"/>
      <w:marTop w:val="0"/>
      <w:marBottom w:val="0"/>
      <w:divBdr>
        <w:top w:val="none" w:sz="0" w:space="0" w:color="auto"/>
        <w:left w:val="none" w:sz="0" w:space="0" w:color="auto"/>
        <w:bottom w:val="none" w:sz="0" w:space="0" w:color="auto"/>
        <w:right w:val="none" w:sz="0" w:space="0" w:color="auto"/>
      </w:divBdr>
    </w:div>
    <w:div w:id="995574765">
      <w:bodyDiv w:val="1"/>
      <w:marLeft w:val="0"/>
      <w:marRight w:val="0"/>
      <w:marTop w:val="0"/>
      <w:marBottom w:val="0"/>
      <w:divBdr>
        <w:top w:val="none" w:sz="0" w:space="0" w:color="auto"/>
        <w:left w:val="none" w:sz="0" w:space="0" w:color="auto"/>
        <w:bottom w:val="none" w:sz="0" w:space="0" w:color="auto"/>
        <w:right w:val="none" w:sz="0" w:space="0" w:color="auto"/>
      </w:divBdr>
    </w:div>
    <w:div w:id="1057556067">
      <w:bodyDiv w:val="1"/>
      <w:marLeft w:val="0"/>
      <w:marRight w:val="0"/>
      <w:marTop w:val="0"/>
      <w:marBottom w:val="0"/>
      <w:divBdr>
        <w:top w:val="none" w:sz="0" w:space="0" w:color="auto"/>
        <w:left w:val="none" w:sz="0" w:space="0" w:color="auto"/>
        <w:bottom w:val="none" w:sz="0" w:space="0" w:color="auto"/>
        <w:right w:val="none" w:sz="0" w:space="0" w:color="auto"/>
      </w:divBdr>
      <w:divsChild>
        <w:div w:id="560286467">
          <w:marLeft w:val="0"/>
          <w:marRight w:val="0"/>
          <w:marTop w:val="0"/>
          <w:marBottom w:val="0"/>
          <w:divBdr>
            <w:top w:val="none" w:sz="0" w:space="0" w:color="auto"/>
            <w:left w:val="none" w:sz="0" w:space="0" w:color="auto"/>
            <w:bottom w:val="none" w:sz="0" w:space="0" w:color="auto"/>
            <w:right w:val="none" w:sz="0" w:space="0" w:color="auto"/>
          </w:divBdr>
          <w:divsChild>
            <w:div w:id="386880989">
              <w:marLeft w:val="0"/>
              <w:marRight w:val="0"/>
              <w:marTop w:val="0"/>
              <w:marBottom w:val="0"/>
              <w:divBdr>
                <w:top w:val="none" w:sz="0" w:space="0" w:color="auto"/>
                <w:left w:val="none" w:sz="0" w:space="0" w:color="auto"/>
                <w:bottom w:val="none" w:sz="0" w:space="0" w:color="auto"/>
                <w:right w:val="none" w:sz="0" w:space="0" w:color="auto"/>
              </w:divBdr>
              <w:divsChild>
                <w:div w:id="519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7670">
      <w:bodyDiv w:val="1"/>
      <w:marLeft w:val="0"/>
      <w:marRight w:val="0"/>
      <w:marTop w:val="0"/>
      <w:marBottom w:val="0"/>
      <w:divBdr>
        <w:top w:val="none" w:sz="0" w:space="0" w:color="auto"/>
        <w:left w:val="none" w:sz="0" w:space="0" w:color="auto"/>
        <w:bottom w:val="none" w:sz="0" w:space="0" w:color="auto"/>
        <w:right w:val="none" w:sz="0" w:space="0" w:color="auto"/>
      </w:divBdr>
      <w:divsChild>
        <w:div w:id="2019312309">
          <w:marLeft w:val="0"/>
          <w:marRight w:val="0"/>
          <w:marTop w:val="0"/>
          <w:marBottom w:val="0"/>
          <w:divBdr>
            <w:top w:val="none" w:sz="0" w:space="0" w:color="auto"/>
            <w:left w:val="none" w:sz="0" w:space="0" w:color="auto"/>
            <w:bottom w:val="none" w:sz="0" w:space="0" w:color="auto"/>
            <w:right w:val="none" w:sz="0" w:space="0" w:color="auto"/>
          </w:divBdr>
          <w:divsChild>
            <w:div w:id="1983192189">
              <w:marLeft w:val="0"/>
              <w:marRight w:val="0"/>
              <w:marTop w:val="0"/>
              <w:marBottom w:val="0"/>
              <w:divBdr>
                <w:top w:val="none" w:sz="0" w:space="0" w:color="auto"/>
                <w:left w:val="none" w:sz="0" w:space="0" w:color="auto"/>
                <w:bottom w:val="none" w:sz="0" w:space="0" w:color="auto"/>
                <w:right w:val="none" w:sz="0" w:space="0" w:color="auto"/>
              </w:divBdr>
              <w:divsChild>
                <w:div w:id="624703029">
                  <w:marLeft w:val="0"/>
                  <w:marRight w:val="0"/>
                  <w:marTop w:val="0"/>
                  <w:marBottom w:val="0"/>
                  <w:divBdr>
                    <w:top w:val="none" w:sz="0" w:space="0" w:color="auto"/>
                    <w:left w:val="none" w:sz="0" w:space="0" w:color="auto"/>
                    <w:bottom w:val="none" w:sz="0" w:space="0" w:color="auto"/>
                    <w:right w:val="none" w:sz="0" w:space="0" w:color="auto"/>
                  </w:divBdr>
                  <w:divsChild>
                    <w:div w:id="478113997">
                      <w:marLeft w:val="0"/>
                      <w:marRight w:val="0"/>
                      <w:marTop w:val="0"/>
                      <w:marBottom w:val="0"/>
                      <w:divBdr>
                        <w:top w:val="none" w:sz="0" w:space="0" w:color="auto"/>
                        <w:left w:val="none" w:sz="0" w:space="0" w:color="auto"/>
                        <w:bottom w:val="none" w:sz="0" w:space="0" w:color="auto"/>
                        <w:right w:val="none" w:sz="0" w:space="0" w:color="auto"/>
                      </w:divBdr>
                    </w:div>
                  </w:divsChild>
                </w:div>
                <w:div w:id="1919903868">
                  <w:marLeft w:val="0"/>
                  <w:marRight w:val="0"/>
                  <w:marTop w:val="0"/>
                  <w:marBottom w:val="0"/>
                  <w:divBdr>
                    <w:top w:val="none" w:sz="0" w:space="0" w:color="auto"/>
                    <w:left w:val="none" w:sz="0" w:space="0" w:color="auto"/>
                    <w:bottom w:val="none" w:sz="0" w:space="0" w:color="auto"/>
                    <w:right w:val="none" w:sz="0" w:space="0" w:color="auto"/>
                  </w:divBdr>
                  <w:divsChild>
                    <w:div w:id="8078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38225">
      <w:bodyDiv w:val="1"/>
      <w:marLeft w:val="0"/>
      <w:marRight w:val="0"/>
      <w:marTop w:val="0"/>
      <w:marBottom w:val="0"/>
      <w:divBdr>
        <w:top w:val="none" w:sz="0" w:space="0" w:color="auto"/>
        <w:left w:val="none" w:sz="0" w:space="0" w:color="auto"/>
        <w:bottom w:val="none" w:sz="0" w:space="0" w:color="auto"/>
        <w:right w:val="none" w:sz="0" w:space="0" w:color="auto"/>
      </w:divBdr>
    </w:div>
    <w:div w:id="1139492766">
      <w:bodyDiv w:val="1"/>
      <w:marLeft w:val="0"/>
      <w:marRight w:val="0"/>
      <w:marTop w:val="0"/>
      <w:marBottom w:val="0"/>
      <w:divBdr>
        <w:top w:val="none" w:sz="0" w:space="0" w:color="auto"/>
        <w:left w:val="none" w:sz="0" w:space="0" w:color="auto"/>
        <w:bottom w:val="none" w:sz="0" w:space="0" w:color="auto"/>
        <w:right w:val="none" w:sz="0" w:space="0" w:color="auto"/>
      </w:divBdr>
      <w:divsChild>
        <w:div w:id="1044716818">
          <w:marLeft w:val="0"/>
          <w:marRight w:val="0"/>
          <w:marTop w:val="0"/>
          <w:marBottom w:val="0"/>
          <w:divBdr>
            <w:top w:val="none" w:sz="0" w:space="0" w:color="auto"/>
            <w:left w:val="none" w:sz="0" w:space="0" w:color="auto"/>
            <w:bottom w:val="none" w:sz="0" w:space="0" w:color="auto"/>
            <w:right w:val="none" w:sz="0" w:space="0" w:color="auto"/>
          </w:divBdr>
          <w:divsChild>
            <w:div w:id="1113600165">
              <w:marLeft w:val="0"/>
              <w:marRight w:val="0"/>
              <w:marTop w:val="0"/>
              <w:marBottom w:val="0"/>
              <w:divBdr>
                <w:top w:val="none" w:sz="0" w:space="0" w:color="auto"/>
                <w:left w:val="none" w:sz="0" w:space="0" w:color="auto"/>
                <w:bottom w:val="none" w:sz="0" w:space="0" w:color="auto"/>
                <w:right w:val="none" w:sz="0" w:space="0" w:color="auto"/>
              </w:divBdr>
              <w:divsChild>
                <w:div w:id="581525382">
                  <w:marLeft w:val="0"/>
                  <w:marRight w:val="0"/>
                  <w:marTop w:val="0"/>
                  <w:marBottom w:val="0"/>
                  <w:divBdr>
                    <w:top w:val="none" w:sz="0" w:space="0" w:color="auto"/>
                    <w:left w:val="none" w:sz="0" w:space="0" w:color="auto"/>
                    <w:bottom w:val="none" w:sz="0" w:space="0" w:color="auto"/>
                    <w:right w:val="none" w:sz="0" w:space="0" w:color="auto"/>
                  </w:divBdr>
                  <w:divsChild>
                    <w:div w:id="13266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035">
      <w:bodyDiv w:val="1"/>
      <w:marLeft w:val="0"/>
      <w:marRight w:val="0"/>
      <w:marTop w:val="0"/>
      <w:marBottom w:val="0"/>
      <w:divBdr>
        <w:top w:val="none" w:sz="0" w:space="0" w:color="auto"/>
        <w:left w:val="none" w:sz="0" w:space="0" w:color="auto"/>
        <w:bottom w:val="none" w:sz="0" w:space="0" w:color="auto"/>
        <w:right w:val="none" w:sz="0" w:space="0" w:color="auto"/>
      </w:divBdr>
    </w:div>
    <w:div w:id="1156611727">
      <w:bodyDiv w:val="1"/>
      <w:marLeft w:val="0"/>
      <w:marRight w:val="0"/>
      <w:marTop w:val="0"/>
      <w:marBottom w:val="0"/>
      <w:divBdr>
        <w:top w:val="none" w:sz="0" w:space="0" w:color="auto"/>
        <w:left w:val="none" w:sz="0" w:space="0" w:color="auto"/>
        <w:bottom w:val="none" w:sz="0" w:space="0" w:color="auto"/>
        <w:right w:val="none" w:sz="0" w:space="0" w:color="auto"/>
      </w:divBdr>
    </w:div>
    <w:div w:id="1158114769">
      <w:bodyDiv w:val="1"/>
      <w:marLeft w:val="0"/>
      <w:marRight w:val="0"/>
      <w:marTop w:val="0"/>
      <w:marBottom w:val="0"/>
      <w:divBdr>
        <w:top w:val="none" w:sz="0" w:space="0" w:color="auto"/>
        <w:left w:val="none" w:sz="0" w:space="0" w:color="auto"/>
        <w:bottom w:val="none" w:sz="0" w:space="0" w:color="auto"/>
        <w:right w:val="none" w:sz="0" w:space="0" w:color="auto"/>
      </w:divBdr>
    </w:div>
    <w:div w:id="1175076300">
      <w:bodyDiv w:val="1"/>
      <w:marLeft w:val="0"/>
      <w:marRight w:val="0"/>
      <w:marTop w:val="0"/>
      <w:marBottom w:val="0"/>
      <w:divBdr>
        <w:top w:val="none" w:sz="0" w:space="0" w:color="auto"/>
        <w:left w:val="none" w:sz="0" w:space="0" w:color="auto"/>
        <w:bottom w:val="none" w:sz="0" w:space="0" w:color="auto"/>
        <w:right w:val="none" w:sz="0" w:space="0" w:color="auto"/>
      </w:divBdr>
    </w:div>
    <w:div w:id="1195848611">
      <w:bodyDiv w:val="1"/>
      <w:marLeft w:val="0"/>
      <w:marRight w:val="0"/>
      <w:marTop w:val="0"/>
      <w:marBottom w:val="0"/>
      <w:divBdr>
        <w:top w:val="none" w:sz="0" w:space="0" w:color="auto"/>
        <w:left w:val="none" w:sz="0" w:space="0" w:color="auto"/>
        <w:bottom w:val="none" w:sz="0" w:space="0" w:color="auto"/>
        <w:right w:val="none" w:sz="0" w:space="0" w:color="auto"/>
      </w:divBdr>
    </w:div>
    <w:div w:id="1243222465">
      <w:bodyDiv w:val="1"/>
      <w:marLeft w:val="0"/>
      <w:marRight w:val="0"/>
      <w:marTop w:val="0"/>
      <w:marBottom w:val="0"/>
      <w:divBdr>
        <w:top w:val="none" w:sz="0" w:space="0" w:color="auto"/>
        <w:left w:val="none" w:sz="0" w:space="0" w:color="auto"/>
        <w:bottom w:val="none" w:sz="0" w:space="0" w:color="auto"/>
        <w:right w:val="none" w:sz="0" w:space="0" w:color="auto"/>
      </w:divBdr>
    </w:div>
    <w:div w:id="1251160160">
      <w:bodyDiv w:val="1"/>
      <w:marLeft w:val="0"/>
      <w:marRight w:val="0"/>
      <w:marTop w:val="0"/>
      <w:marBottom w:val="0"/>
      <w:divBdr>
        <w:top w:val="none" w:sz="0" w:space="0" w:color="auto"/>
        <w:left w:val="none" w:sz="0" w:space="0" w:color="auto"/>
        <w:bottom w:val="none" w:sz="0" w:space="0" w:color="auto"/>
        <w:right w:val="none" w:sz="0" w:space="0" w:color="auto"/>
      </w:divBdr>
    </w:div>
    <w:div w:id="1292439106">
      <w:bodyDiv w:val="1"/>
      <w:marLeft w:val="0"/>
      <w:marRight w:val="0"/>
      <w:marTop w:val="0"/>
      <w:marBottom w:val="0"/>
      <w:divBdr>
        <w:top w:val="none" w:sz="0" w:space="0" w:color="auto"/>
        <w:left w:val="none" w:sz="0" w:space="0" w:color="auto"/>
        <w:bottom w:val="none" w:sz="0" w:space="0" w:color="auto"/>
        <w:right w:val="none" w:sz="0" w:space="0" w:color="auto"/>
      </w:divBdr>
    </w:div>
    <w:div w:id="1379933226">
      <w:bodyDiv w:val="1"/>
      <w:marLeft w:val="0"/>
      <w:marRight w:val="0"/>
      <w:marTop w:val="0"/>
      <w:marBottom w:val="0"/>
      <w:divBdr>
        <w:top w:val="none" w:sz="0" w:space="0" w:color="auto"/>
        <w:left w:val="none" w:sz="0" w:space="0" w:color="auto"/>
        <w:bottom w:val="none" w:sz="0" w:space="0" w:color="auto"/>
        <w:right w:val="none" w:sz="0" w:space="0" w:color="auto"/>
      </w:divBdr>
      <w:divsChild>
        <w:div w:id="84349725">
          <w:marLeft w:val="0"/>
          <w:marRight w:val="0"/>
          <w:marTop w:val="0"/>
          <w:marBottom w:val="0"/>
          <w:divBdr>
            <w:top w:val="none" w:sz="0" w:space="0" w:color="auto"/>
            <w:left w:val="none" w:sz="0" w:space="0" w:color="auto"/>
            <w:bottom w:val="none" w:sz="0" w:space="0" w:color="auto"/>
            <w:right w:val="none" w:sz="0" w:space="0" w:color="auto"/>
          </w:divBdr>
          <w:divsChild>
            <w:div w:id="1793354356">
              <w:marLeft w:val="0"/>
              <w:marRight w:val="0"/>
              <w:marTop w:val="0"/>
              <w:marBottom w:val="0"/>
              <w:divBdr>
                <w:top w:val="none" w:sz="0" w:space="0" w:color="auto"/>
                <w:left w:val="none" w:sz="0" w:space="0" w:color="auto"/>
                <w:bottom w:val="none" w:sz="0" w:space="0" w:color="auto"/>
                <w:right w:val="none" w:sz="0" w:space="0" w:color="auto"/>
              </w:divBdr>
              <w:divsChild>
                <w:div w:id="5635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1816">
      <w:bodyDiv w:val="1"/>
      <w:marLeft w:val="0"/>
      <w:marRight w:val="0"/>
      <w:marTop w:val="0"/>
      <w:marBottom w:val="0"/>
      <w:divBdr>
        <w:top w:val="none" w:sz="0" w:space="0" w:color="auto"/>
        <w:left w:val="none" w:sz="0" w:space="0" w:color="auto"/>
        <w:bottom w:val="none" w:sz="0" w:space="0" w:color="auto"/>
        <w:right w:val="none" w:sz="0" w:space="0" w:color="auto"/>
      </w:divBdr>
    </w:div>
    <w:div w:id="1394158530">
      <w:bodyDiv w:val="1"/>
      <w:marLeft w:val="0"/>
      <w:marRight w:val="0"/>
      <w:marTop w:val="0"/>
      <w:marBottom w:val="0"/>
      <w:divBdr>
        <w:top w:val="none" w:sz="0" w:space="0" w:color="auto"/>
        <w:left w:val="none" w:sz="0" w:space="0" w:color="auto"/>
        <w:bottom w:val="none" w:sz="0" w:space="0" w:color="auto"/>
        <w:right w:val="none" w:sz="0" w:space="0" w:color="auto"/>
      </w:divBdr>
    </w:div>
    <w:div w:id="1399784801">
      <w:bodyDiv w:val="1"/>
      <w:marLeft w:val="0"/>
      <w:marRight w:val="0"/>
      <w:marTop w:val="0"/>
      <w:marBottom w:val="0"/>
      <w:divBdr>
        <w:top w:val="none" w:sz="0" w:space="0" w:color="auto"/>
        <w:left w:val="none" w:sz="0" w:space="0" w:color="auto"/>
        <w:bottom w:val="none" w:sz="0" w:space="0" w:color="auto"/>
        <w:right w:val="none" w:sz="0" w:space="0" w:color="auto"/>
      </w:divBdr>
    </w:div>
    <w:div w:id="1406340126">
      <w:bodyDiv w:val="1"/>
      <w:marLeft w:val="0"/>
      <w:marRight w:val="0"/>
      <w:marTop w:val="0"/>
      <w:marBottom w:val="0"/>
      <w:divBdr>
        <w:top w:val="none" w:sz="0" w:space="0" w:color="auto"/>
        <w:left w:val="none" w:sz="0" w:space="0" w:color="auto"/>
        <w:bottom w:val="none" w:sz="0" w:space="0" w:color="auto"/>
        <w:right w:val="none" w:sz="0" w:space="0" w:color="auto"/>
      </w:divBdr>
    </w:div>
    <w:div w:id="1414889246">
      <w:bodyDiv w:val="1"/>
      <w:marLeft w:val="0"/>
      <w:marRight w:val="0"/>
      <w:marTop w:val="0"/>
      <w:marBottom w:val="0"/>
      <w:divBdr>
        <w:top w:val="none" w:sz="0" w:space="0" w:color="auto"/>
        <w:left w:val="none" w:sz="0" w:space="0" w:color="auto"/>
        <w:bottom w:val="none" w:sz="0" w:space="0" w:color="auto"/>
        <w:right w:val="none" w:sz="0" w:space="0" w:color="auto"/>
      </w:divBdr>
    </w:div>
    <w:div w:id="1484735319">
      <w:bodyDiv w:val="1"/>
      <w:marLeft w:val="0"/>
      <w:marRight w:val="0"/>
      <w:marTop w:val="0"/>
      <w:marBottom w:val="0"/>
      <w:divBdr>
        <w:top w:val="none" w:sz="0" w:space="0" w:color="auto"/>
        <w:left w:val="none" w:sz="0" w:space="0" w:color="auto"/>
        <w:bottom w:val="none" w:sz="0" w:space="0" w:color="auto"/>
        <w:right w:val="none" w:sz="0" w:space="0" w:color="auto"/>
      </w:divBdr>
    </w:div>
    <w:div w:id="1524248025">
      <w:bodyDiv w:val="1"/>
      <w:marLeft w:val="0"/>
      <w:marRight w:val="0"/>
      <w:marTop w:val="0"/>
      <w:marBottom w:val="0"/>
      <w:divBdr>
        <w:top w:val="none" w:sz="0" w:space="0" w:color="auto"/>
        <w:left w:val="none" w:sz="0" w:space="0" w:color="auto"/>
        <w:bottom w:val="none" w:sz="0" w:space="0" w:color="auto"/>
        <w:right w:val="none" w:sz="0" w:space="0" w:color="auto"/>
      </w:divBdr>
    </w:div>
    <w:div w:id="1565144862">
      <w:bodyDiv w:val="1"/>
      <w:marLeft w:val="0"/>
      <w:marRight w:val="0"/>
      <w:marTop w:val="0"/>
      <w:marBottom w:val="0"/>
      <w:divBdr>
        <w:top w:val="none" w:sz="0" w:space="0" w:color="auto"/>
        <w:left w:val="none" w:sz="0" w:space="0" w:color="auto"/>
        <w:bottom w:val="none" w:sz="0" w:space="0" w:color="auto"/>
        <w:right w:val="none" w:sz="0" w:space="0" w:color="auto"/>
      </w:divBdr>
    </w:div>
    <w:div w:id="1580019184">
      <w:bodyDiv w:val="1"/>
      <w:marLeft w:val="0"/>
      <w:marRight w:val="0"/>
      <w:marTop w:val="0"/>
      <w:marBottom w:val="0"/>
      <w:divBdr>
        <w:top w:val="none" w:sz="0" w:space="0" w:color="auto"/>
        <w:left w:val="none" w:sz="0" w:space="0" w:color="auto"/>
        <w:bottom w:val="none" w:sz="0" w:space="0" w:color="auto"/>
        <w:right w:val="none" w:sz="0" w:space="0" w:color="auto"/>
      </w:divBdr>
    </w:div>
    <w:div w:id="1588072834">
      <w:bodyDiv w:val="1"/>
      <w:marLeft w:val="0"/>
      <w:marRight w:val="0"/>
      <w:marTop w:val="0"/>
      <w:marBottom w:val="0"/>
      <w:divBdr>
        <w:top w:val="none" w:sz="0" w:space="0" w:color="auto"/>
        <w:left w:val="none" w:sz="0" w:space="0" w:color="auto"/>
        <w:bottom w:val="none" w:sz="0" w:space="0" w:color="auto"/>
        <w:right w:val="none" w:sz="0" w:space="0" w:color="auto"/>
      </w:divBdr>
    </w:div>
    <w:div w:id="1645235023">
      <w:bodyDiv w:val="1"/>
      <w:marLeft w:val="0"/>
      <w:marRight w:val="0"/>
      <w:marTop w:val="0"/>
      <w:marBottom w:val="0"/>
      <w:divBdr>
        <w:top w:val="none" w:sz="0" w:space="0" w:color="auto"/>
        <w:left w:val="none" w:sz="0" w:space="0" w:color="auto"/>
        <w:bottom w:val="none" w:sz="0" w:space="0" w:color="auto"/>
        <w:right w:val="none" w:sz="0" w:space="0" w:color="auto"/>
      </w:divBdr>
    </w:div>
    <w:div w:id="1666742968">
      <w:bodyDiv w:val="1"/>
      <w:marLeft w:val="0"/>
      <w:marRight w:val="0"/>
      <w:marTop w:val="0"/>
      <w:marBottom w:val="0"/>
      <w:divBdr>
        <w:top w:val="none" w:sz="0" w:space="0" w:color="auto"/>
        <w:left w:val="none" w:sz="0" w:space="0" w:color="auto"/>
        <w:bottom w:val="none" w:sz="0" w:space="0" w:color="auto"/>
        <w:right w:val="none" w:sz="0" w:space="0" w:color="auto"/>
      </w:divBdr>
    </w:div>
    <w:div w:id="1677071674">
      <w:bodyDiv w:val="1"/>
      <w:marLeft w:val="0"/>
      <w:marRight w:val="0"/>
      <w:marTop w:val="0"/>
      <w:marBottom w:val="0"/>
      <w:divBdr>
        <w:top w:val="none" w:sz="0" w:space="0" w:color="auto"/>
        <w:left w:val="none" w:sz="0" w:space="0" w:color="auto"/>
        <w:bottom w:val="none" w:sz="0" w:space="0" w:color="auto"/>
        <w:right w:val="none" w:sz="0" w:space="0" w:color="auto"/>
      </w:divBdr>
    </w:div>
    <w:div w:id="1686785840">
      <w:bodyDiv w:val="1"/>
      <w:marLeft w:val="0"/>
      <w:marRight w:val="0"/>
      <w:marTop w:val="0"/>
      <w:marBottom w:val="0"/>
      <w:divBdr>
        <w:top w:val="none" w:sz="0" w:space="0" w:color="auto"/>
        <w:left w:val="none" w:sz="0" w:space="0" w:color="auto"/>
        <w:bottom w:val="none" w:sz="0" w:space="0" w:color="auto"/>
        <w:right w:val="none" w:sz="0" w:space="0" w:color="auto"/>
      </w:divBdr>
    </w:div>
    <w:div w:id="1695879412">
      <w:bodyDiv w:val="1"/>
      <w:marLeft w:val="0"/>
      <w:marRight w:val="0"/>
      <w:marTop w:val="0"/>
      <w:marBottom w:val="0"/>
      <w:divBdr>
        <w:top w:val="none" w:sz="0" w:space="0" w:color="auto"/>
        <w:left w:val="none" w:sz="0" w:space="0" w:color="auto"/>
        <w:bottom w:val="none" w:sz="0" w:space="0" w:color="auto"/>
        <w:right w:val="none" w:sz="0" w:space="0" w:color="auto"/>
      </w:divBdr>
    </w:div>
    <w:div w:id="1733771589">
      <w:bodyDiv w:val="1"/>
      <w:marLeft w:val="0"/>
      <w:marRight w:val="0"/>
      <w:marTop w:val="0"/>
      <w:marBottom w:val="0"/>
      <w:divBdr>
        <w:top w:val="none" w:sz="0" w:space="0" w:color="auto"/>
        <w:left w:val="none" w:sz="0" w:space="0" w:color="auto"/>
        <w:bottom w:val="none" w:sz="0" w:space="0" w:color="auto"/>
        <w:right w:val="none" w:sz="0" w:space="0" w:color="auto"/>
      </w:divBdr>
    </w:div>
    <w:div w:id="1754428129">
      <w:bodyDiv w:val="1"/>
      <w:marLeft w:val="0"/>
      <w:marRight w:val="0"/>
      <w:marTop w:val="0"/>
      <w:marBottom w:val="0"/>
      <w:divBdr>
        <w:top w:val="none" w:sz="0" w:space="0" w:color="auto"/>
        <w:left w:val="none" w:sz="0" w:space="0" w:color="auto"/>
        <w:bottom w:val="none" w:sz="0" w:space="0" w:color="auto"/>
        <w:right w:val="none" w:sz="0" w:space="0" w:color="auto"/>
      </w:divBdr>
    </w:div>
    <w:div w:id="1778334703">
      <w:bodyDiv w:val="1"/>
      <w:marLeft w:val="0"/>
      <w:marRight w:val="0"/>
      <w:marTop w:val="0"/>
      <w:marBottom w:val="0"/>
      <w:divBdr>
        <w:top w:val="none" w:sz="0" w:space="0" w:color="auto"/>
        <w:left w:val="none" w:sz="0" w:space="0" w:color="auto"/>
        <w:bottom w:val="none" w:sz="0" w:space="0" w:color="auto"/>
        <w:right w:val="none" w:sz="0" w:space="0" w:color="auto"/>
      </w:divBdr>
    </w:div>
    <w:div w:id="1795556988">
      <w:bodyDiv w:val="1"/>
      <w:marLeft w:val="0"/>
      <w:marRight w:val="0"/>
      <w:marTop w:val="0"/>
      <w:marBottom w:val="0"/>
      <w:divBdr>
        <w:top w:val="none" w:sz="0" w:space="0" w:color="auto"/>
        <w:left w:val="none" w:sz="0" w:space="0" w:color="auto"/>
        <w:bottom w:val="none" w:sz="0" w:space="0" w:color="auto"/>
        <w:right w:val="none" w:sz="0" w:space="0" w:color="auto"/>
      </w:divBdr>
    </w:div>
    <w:div w:id="1872835229">
      <w:bodyDiv w:val="1"/>
      <w:marLeft w:val="0"/>
      <w:marRight w:val="0"/>
      <w:marTop w:val="0"/>
      <w:marBottom w:val="0"/>
      <w:divBdr>
        <w:top w:val="none" w:sz="0" w:space="0" w:color="auto"/>
        <w:left w:val="none" w:sz="0" w:space="0" w:color="auto"/>
        <w:bottom w:val="none" w:sz="0" w:space="0" w:color="auto"/>
        <w:right w:val="none" w:sz="0" w:space="0" w:color="auto"/>
      </w:divBdr>
      <w:divsChild>
        <w:div w:id="232199359">
          <w:marLeft w:val="0"/>
          <w:marRight w:val="0"/>
          <w:marTop w:val="0"/>
          <w:marBottom w:val="0"/>
          <w:divBdr>
            <w:top w:val="none" w:sz="0" w:space="0" w:color="auto"/>
            <w:left w:val="none" w:sz="0" w:space="0" w:color="auto"/>
            <w:bottom w:val="none" w:sz="0" w:space="0" w:color="auto"/>
            <w:right w:val="none" w:sz="0" w:space="0" w:color="auto"/>
          </w:divBdr>
          <w:divsChild>
            <w:div w:id="1236625446">
              <w:marLeft w:val="0"/>
              <w:marRight w:val="0"/>
              <w:marTop w:val="0"/>
              <w:marBottom w:val="0"/>
              <w:divBdr>
                <w:top w:val="none" w:sz="0" w:space="0" w:color="auto"/>
                <w:left w:val="none" w:sz="0" w:space="0" w:color="auto"/>
                <w:bottom w:val="none" w:sz="0" w:space="0" w:color="auto"/>
                <w:right w:val="none" w:sz="0" w:space="0" w:color="auto"/>
              </w:divBdr>
              <w:divsChild>
                <w:div w:id="267659606">
                  <w:marLeft w:val="0"/>
                  <w:marRight w:val="0"/>
                  <w:marTop w:val="0"/>
                  <w:marBottom w:val="0"/>
                  <w:divBdr>
                    <w:top w:val="none" w:sz="0" w:space="0" w:color="auto"/>
                    <w:left w:val="none" w:sz="0" w:space="0" w:color="auto"/>
                    <w:bottom w:val="none" w:sz="0" w:space="0" w:color="auto"/>
                    <w:right w:val="none" w:sz="0" w:space="0" w:color="auto"/>
                  </w:divBdr>
                  <w:divsChild>
                    <w:div w:id="2092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6064">
      <w:bodyDiv w:val="1"/>
      <w:marLeft w:val="0"/>
      <w:marRight w:val="0"/>
      <w:marTop w:val="0"/>
      <w:marBottom w:val="0"/>
      <w:divBdr>
        <w:top w:val="none" w:sz="0" w:space="0" w:color="auto"/>
        <w:left w:val="none" w:sz="0" w:space="0" w:color="auto"/>
        <w:bottom w:val="none" w:sz="0" w:space="0" w:color="auto"/>
        <w:right w:val="none" w:sz="0" w:space="0" w:color="auto"/>
      </w:divBdr>
    </w:div>
    <w:div w:id="1896352112">
      <w:bodyDiv w:val="1"/>
      <w:marLeft w:val="0"/>
      <w:marRight w:val="0"/>
      <w:marTop w:val="0"/>
      <w:marBottom w:val="0"/>
      <w:divBdr>
        <w:top w:val="none" w:sz="0" w:space="0" w:color="auto"/>
        <w:left w:val="none" w:sz="0" w:space="0" w:color="auto"/>
        <w:bottom w:val="none" w:sz="0" w:space="0" w:color="auto"/>
        <w:right w:val="none" w:sz="0" w:space="0" w:color="auto"/>
      </w:divBdr>
    </w:div>
    <w:div w:id="1915624763">
      <w:bodyDiv w:val="1"/>
      <w:marLeft w:val="0"/>
      <w:marRight w:val="0"/>
      <w:marTop w:val="0"/>
      <w:marBottom w:val="0"/>
      <w:divBdr>
        <w:top w:val="none" w:sz="0" w:space="0" w:color="auto"/>
        <w:left w:val="none" w:sz="0" w:space="0" w:color="auto"/>
        <w:bottom w:val="none" w:sz="0" w:space="0" w:color="auto"/>
        <w:right w:val="none" w:sz="0" w:space="0" w:color="auto"/>
      </w:divBdr>
    </w:div>
    <w:div w:id="1939823169">
      <w:bodyDiv w:val="1"/>
      <w:marLeft w:val="0"/>
      <w:marRight w:val="0"/>
      <w:marTop w:val="0"/>
      <w:marBottom w:val="0"/>
      <w:divBdr>
        <w:top w:val="none" w:sz="0" w:space="0" w:color="auto"/>
        <w:left w:val="none" w:sz="0" w:space="0" w:color="auto"/>
        <w:bottom w:val="none" w:sz="0" w:space="0" w:color="auto"/>
        <w:right w:val="none" w:sz="0" w:space="0" w:color="auto"/>
      </w:divBdr>
    </w:div>
    <w:div w:id="1950893316">
      <w:bodyDiv w:val="1"/>
      <w:marLeft w:val="0"/>
      <w:marRight w:val="0"/>
      <w:marTop w:val="0"/>
      <w:marBottom w:val="0"/>
      <w:divBdr>
        <w:top w:val="none" w:sz="0" w:space="0" w:color="auto"/>
        <w:left w:val="none" w:sz="0" w:space="0" w:color="auto"/>
        <w:bottom w:val="none" w:sz="0" w:space="0" w:color="auto"/>
        <w:right w:val="none" w:sz="0" w:space="0" w:color="auto"/>
      </w:divBdr>
    </w:div>
    <w:div w:id="1953972503">
      <w:bodyDiv w:val="1"/>
      <w:marLeft w:val="0"/>
      <w:marRight w:val="0"/>
      <w:marTop w:val="0"/>
      <w:marBottom w:val="0"/>
      <w:divBdr>
        <w:top w:val="none" w:sz="0" w:space="0" w:color="auto"/>
        <w:left w:val="none" w:sz="0" w:space="0" w:color="auto"/>
        <w:bottom w:val="none" w:sz="0" w:space="0" w:color="auto"/>
        <w:right w:val="none" w:sz="0" w:space="0" w:color="auto"/>
      </w:divBdr>
      <w:divsChild>
        <w:div w:id="971010906">
          <w:marLeft w:val="0"/>
          <w:marRight w:val="0"/>
          <w:marTop w:val="0"/>
          <w:marBottom w:val="0"/>
          <w:divBdr>
            <w:top w:val="none" w:sz="0" w:space="0" w:color="auto"/>
            <w:left w:val="none" w:sz="0" w:space="0" w:color="auto"/>
            <w:bottom w:val="none" w:sz="0" w:space="0" w:color="auto"/>
            <w:right w:val="none" w:sz="0" w:space="0" w:color="auto"/>
          </w:divBdr>
          <w:divsChild>
            <w:div w:id="1820611201">
              <w:marLeft w:val="0"/>
              <w:marRight w:val="0"/>
              <w:marTop w:val="0"/>
              <w:marBottom w:val="0"/>
              <w:divBdr>
                <w:top w:val="none" w:sz="0" w:space="0" w:color="auto"/>
                <w:left w:val="none" w:sz="0" w:space="0" w:color="auto"/>
                <w:bottom w:val="none" w:sz="0" w:space="0" w:color="auto"/>
                <w:right w:val="none" w:sz="0" w:space="0" w:color="auto"/>
              </w:divBdr>
              <w:divsChild>
                <w:div w:id="1750690242">
                  <w:marLeft w:val="0"/>
                  <w:marRight w:val="0"/>
                  <w:marTop w:val="0"/>
                  <w:marBottom w:val="0"/>
                  <w:divBdr>
                    <w:top w:val="none" w:sz="0" w:space="0" w:color="auto"/>
                    <w:left w:val="none" w:sz="0" w:space="0" w:color="auto"/>
                    <w:bottom w:val="none" w:sz="0" w:space="0" w:color="auto"/>
                    <w:right w:val="none" w:sz="0" w:space="0" w:color="auto"/>
                  </w:divBdr>
                  <w:divsChild>
                    <w:div w:id="21435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8317">
      <w:bodyDiv w:val="1"/>
      <w:marLeft w:val="0"/>
      <w:marRight w:val="0"/>
      <w:marTop w:val="0"/>
      <w:marBottom w:val="0"/>
      <w:divBdr>
        <w:top w:val="none" w:sz="0" w:space="0" w:color="auto"/>
        <w:left w:val="none" w:sz="0" w:space="0" w:color="auto"/>
        <w:bottom w:val="none" w:sz="0" w:space="0" w:color="auto"/>
        <w:right w:val="none" w:sz="0" w:space="0" w:color="auto"/>
      </w:divBdr>
    </w:div>
    <w:div w:id="1974290040">
      <w:bodyDiv w:val="1"/>
      <w:marLeft w:val="0"/>
      <w:marRight w:val="0"/>
      <w:marTop w:val="0"/>
      <w:marBottom w:val="0"/>
      <w:divBdr>
        <w:top w:val="none" w:sz="0" w:space="0" w:color="auto"/>
        <w:left w:val="none" w:sz="0" w:space="0" w:color="auto"/>
        <w:bottom w:val="none" w:sz="0" w:space="0" w:color="auto"/>
        <w:right w:val="none" w:sz="0" w:space="0" w:color="auto"/>
      </w:divBdr>
    </w:div>
    <w:div w:id="1981686238">
      <w:bodyDiv w:val="1"/>
      <w:marLeft w:val="0"/>
      <w:marRight w:val="0"/>
      <w:marTop w:val="0"/>
      <w:marBottom w:val="0"/>
      <w:divBdr>
        <w:top w:val="none" w:sz="0" w:space="0" w:color="auto"/>
        <w:left w:val="none" w:sz="0" w:space="0" w:color="auto"/>
        <w:bottom w:val="none" w:sz="0" w:space="0" w:color="auto"/>
        <w:right w:val="none" w:sz="0" w:space="0" w:color="auto"/>
      </w:divBdr>
    </w:div>
    <w:div w:id="2010058945">
      <w:bodyDiv w:val="1"/>
      <w:marLeft w:val="0"/>
      <w:marRight w:val="0"/>
      <w:marTop w:val="0"/>
      <w:marBottom w:val="0"/>
      <w:divBdr>
        <w:top w:val="none" w:sz="0" w:space="0" w:color="auto"/>
        <w:left w:val="none" w:sz="0" w:space="0" w:color="auto"/>
        <w:bottom w:val="none" w:sz="0" w:space="0" w:color="auto"/>
        <w:right w:val="none" w:sz="0" w:space="0" w:color="auto"/>
      </w:divBdr>
    </w:div>
    <w:div w:id="2017345334">
      <w:bodyDiv w:val="1"/>
      <w:marLeft w:val="0"/>
      <w:marRight w:val="0"/>
      <w:marTop w:val="0"/>
      <w:marBottom w:val="0"/>
      <w:divBdr>
        <w:top w:val="none" w:sz="0" w:space="0" w:color="auto"/>
        <w:left w:val="none" w:sz="0" w:space="0" w:color="auto"/>
        <w:bottom w:val="none" w:sz="0" w:space="0" w:color="auto"/>
        <w:right w:val="none" w:sz="0" w:space="0" w:color="auto"/>
      </w:divBdr>
    </w:div>
    <w:div w:id="2028945401">
      <w:bodyDiv w:val="1"/>
      <w:marLeft w:val="0"/>
      <w:marRight w:val="0"/>
      <w:marTop w:val="0"/>
      <w:marBottom w:val="0"/>
      <w:divBdr>
        <w:top w:val="none" w:sz="0" w:space="0" w:color="auto"/>
        <w:left w:val="none" w:sz="0" w:space="0" w:color="auto"/>
        <w:bottom w:val="none" w:sz="0" w:space="0" w:color="auto"/>
        <w:right w:val="none" w:sz="0" w:space="0" w:color="auto"/>
      </w:divBdr>
      <w:divsChild>
        <w:div w:id="2079588578">
          <w:marLeft w:val="0"/>
          <w:marRight w:val="0"/>
          <w:marTop w:val="0"/>
          <w:marBottom w:val="0"/>
          <w:divBdr>
            <w:top w:val="none" w:sz="0" w:space="0" w:color="auto"/>
            <w:left w:val="none" w:sz="0" w:space="0" w:color="auto"/>
            <w:bottom w:val="none" w:sz="0" w:space="0" w:color="auto"/>
            <w:right w:val="none" w:sz="0" w:space="0" w:color="auto"/>
          </w:divBdr>
          <w:divsChild>
            <w:div w:id="1813019947">
              <w:marLeft w:val="0"/>
              <w:marRight w:val="0"/>
              <w:marTop w:val="0"/>
              <w:marBottom w:val="0"/>
              <w:divBdr>
                <w:top w:val="none" w:sz="0" w:space="0" w:color="auto"/>
                <w:left w:val="none" w:sz="0" w:space="0" w:color="auto"/>
                <w:bottom w:val="none" w:sz="0" w:space="0" w:color="auto"/>
                <w:right w:val="none" w:sz="0" w:space="0" w:color="auto"/>
              </w:divBdr>
              <w:divsChild>
                <w:div w:id="817764923">
                  <w:marLeft w:val="0"/>
                  <w:marRight w:val="0"/>
                  <w:marTop w:val="0"/>
                  <w:marBottom w:val="0"/>
                  <w:divBdr>
                    <w:top w:val="none" w:sz="0" w:space="0" w:color="auto"/>
                    <w:left w:val="none" w:sz="0" w:space="0" w:color="auto"/>
                    <w:bottom w:val="none" w:sz="0" w:space="0" w:color="auto"/>
                    <w:right w:val="none" w:sz="0" w:space="0" w:color="auto"/>
                  </w:divBdr>
                  <w:divsChild>
                    <w:div w:id="1158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6458">
      <w:bodyDiv w:val="1"/>
      <w:marLeft w:val="0"/>
      <w:marRight w:val="0"/>
      <w:marTop w:val="0"/>
      <w:marBottom w:val="0"/>
      <w:divBdr>
        <w:top w:val="none" w:sz="0" w:space="0" w:color="auto"/>
        <w:left w:val="none" w:sz="0" w:space="0" w:color="auto"/>
        <w:bottom w:val="none" w:sz="0" w:space="0" w:color="auto"/>
        <w:right w:val="none" w:sz="0" w:space="0" w:color="auto"/>
      </w:divBdr>
    </w:div>
    <w:div w:id="2062514342">
      <w:bodyDiv w:val="1"/>
      <w:marLeft w:val="0"/>
      <w:marRight w:val="0"/>
      <w:marTop w:val="0"/>
      <w:marBottom w:val="0"/>
      <w:divBdr>
        <w:top w:val="none" w:sz="0" w:space="0" w:color="auto"/>
        <w:left w:val="none" w:sz="0" w:space="0" w:color="auto"/>
        <w:bottom w:val="none" w:sz="0" w:space="0" w:color="auto"/>
        <w:right w:val="none" w:sz="0" w:space="0" w:color="auto"/>
      </w:divBdr>
      <w:divsChild>
        <w:div w:id="1212309577">
          <w:marLeft w:val="0"/>
          <w:marRight w:val="0"/>
          <w:marTop w:val="0"/>
          <w:marBottom w:val="0"/>
          <w:divBdr>
            <w:top w:val="none" w:sz="0" w:space="0" w:color="auto"/>
            <w:left w:val="none" w:sz="0" w:space="0" w:color="auto"/>
            <w:bottom w:val="none" w:sz="0" w:space="0" w:color="auto"/>
            <w:right w:val="none" w:sz="0" w:space="0" w:color="auto"/>
          </w:divBdr>
          <w:divsChild>
            <w:div w:id="663433388">
              <w:marLeft w:val="0"/>
              <w:marRight w:val="0"/>
              <w:marTop w:val="0"/>
              <w:marBottom w:val="0"/>
              <w:divBdr>
                <w:top w:val="none" w:sz="0" w:space="0" w:color="auto"/>
                <w:left w:val="none" w:sz="0" w:space="0" w:color="auto"/>
                <w:bottom w:val="none" w:sz="0" w:space="0" w:color="auto"/>
                <w:right w:val="none" w:sz="0" w:space="0" w:color="auto"/>
              </w:divBdr>
              <w:divsChild>
                <w:div w:id="13866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718">
      <w:bodyDiv w:val="1"/>
      <w:marLeft w:val="0"/>
      <w:marRight w:val="0"/>
      <w:marTop w:val="0"/>
      <w:marBottom w:val="0"/>
      <w:divBdr>
        <w:top w:val="none" w:sz="0" w:space="0" w:color="auto"/>
        <w:left w:val="none" w:sz="0" w:space="0" w:color="auto"/>
        <w:bottom w:val="none" w:sz="0" w:space="0" w:color="auto"/>
        <w:right w:val="none" w:sz="0" w:space="0" w:color="auto"/>
      </w:divBdr>
      <w:divsChild>
        <w:div w:id="321735158">
          <w:marLeft w:val="0"/>
          <w:marRight w:val="0"/>
          <w:marTop w:val="0"/>
          <w:marBottom w:val="0"/>
          <w:divBdr>
            <w:top w:val="none" w:sz="0" w:space="0" w:color="auto"/>
            <w:left w:val="none" w:sz="0" w:space="0" w:color="auto"/>
            <w:bottom w:val="none" w:sz="0" w:space="0" w:color="auto"/>
            <w:right w:val="none" w:sz="0" w:space="0" w:color="auto"/>
          </w:divBdr>
          <w:divsChild>
            <w:div w:id="1928072854">
              <w:marLeft w:val="0"/>
              <w:marRight w:val="0"/>
              <w:marTop w:val="0"/>
              <w:marBottom w:val="0"/>
              <w:divBdr>
                <w:top w:val="none" w:sz="0" w:space="0" w:color="auto"/>
                <w:left w:val="none" w:sz="0" w:space="0" w:color="auto"/>
                <w:bottom w:val="none" w:sz="0" w:space="0" w:color="auto"/>
                <w:right w:val="none" w:sz="0" w:space="0" w:color="auto"/>
              </w:divBdr>
              <w:divsChild>
                <w:div w:id="19554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93746">
      <w:bodyDiv w:val="1"/>
      <w:marLeft w:val="0"/>
      <w:marRight w:val="0"/>
      <w:marTop w:val="0"/>
      <w:marBottom w:val="0"/>
      <w:divBdr>
        <w:top w:val="none" w:sz="0" w:space="0" w:color="auto"/>
        <w:left w:val="none" w:sz="0" w:space="0" w:color="auto"/>
        <w:bottom w:val="none" w:sz="0" w:space="0" w:color="auto"/>
        <w:right w:val="none" w:sz="0" w:space="0" w:color="auto"/>
      </w:divBdr>
    </w:div>
    <w:div w:id="2127890385">
      <w:bodyDiv w:val="1"/>
      <w:marLeft w:val="0"/>
      <w:marRight w:val="0"/>
      <w:marTop w:val="0"/>
      <w:marBottom w:val="0"/>
      <w:divBdr>
        <w:top w:val="none" w:sz="0" w:space="0" w:color="auto"/>
        <w:left w:val="none" w:sz="0" w:space="0" w:color="auto"/>
        <w:bottom w:val="none" w:sz="0" w:space="0" w:color="auto"/>
        <w:right w:val="none" w:sz="0" w:space="0" w:color="auto"/>
      </w:divBdr>
      <w:divsChild>
        <w:div w:id="515727563">
          <w:marLeft w:val="0"/>
          <w:marRight w:val="0"/>
          <w:marTop w:val="0"/>
          <w:marBottom w:val="0"/>
          <w:divBdr>
            <w:top w:val="none" w:sz="0" w:space="0" w:color="auto"/>
            <w:left w:val="none" w:sz="0" w:space="0" w:color="auto"/>
            <w:bottom w:val="none" w:sz="0" w:space="0" w:color="auto"/>
            <w:right w:val="none" w:sz="0" w:space="0" w:color="auto"/>
          </w:divBdr>
          <w:divsChild>
            <w:div w:id="499854380">
              <w:marLeft w:val="0"/>
              <w:marRight w:val="0"/>
              <w:marTop w:val="0"/>
              <w:marBottom w:val="0"/>
              <w:divBdr>
                <w:top w:val="none" w:sz="0" w:space="0" w:color="auto"/>
                <w:left w:val="none" w:sz="0" w:space="0" w:color="auto"/>
                <w:bottom w:val="none" w:sz="0" w:space="0" w:color="auto"/>
                <w:right w:val="none" w:sz="0" w:space="0" w:color="auto"/>
              </w:divBdr>
              <w:divsChild>
                <w:div w:id="10949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D154-747D-469D-ACFD-A454B272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16423</Words>
  <Characters>93612</Characters>
  <Application>Microsoft Office Word</Application>
  <DocSecurity>0</DocSecurity>
  <Lines>780</Lines>
  <Paragraphs>219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Lomperta</dc:creator>
  <cp:keywords/>
  <dc:description/>
  <cp:lastModifiedBy>Liansheng Ma</cp:lastModifiedBy>
  <cp:revision>2</cp:revision>
  <cp:lastPrinted>2020-05-17T06:35:00Z</cp:lastPrinted>
  <dcterms:created xsi:type="dcterms:W3CDTF">2020-07-16T23:12:00Z</dcterms:created>
  <dcterms:modified xsi:type="dcterms:W3CDTF">2020-07-16T23:12:00Z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http://csl.mendeley.com/styles/517714001/vancouver</vt:lpwstr>
  </property>
  <property fmtid="{D5CDD505-2E9C-101B-9397-08002B2CF9AE}" pid="21" name="Mendeley Recent Style Name 9_1">
    <vt:lpwstr>Vancouver - Karolina Lomperta</vt:lpwstr>
  </property>
  <property fmtid="{D5CDD505-2E9C-101B-9397-08002B2CF9AE}" pid="22" name="Mendeley Document_1">
    <vt:lpwstr>True</vt:lpwstr>
  </property>
  <property fmtid="{D5CDD505-2E9C-101B-9397-08002B2CF9AE}" pid="23" name="Mendeley Unique User Id_1">
    <vt:lpwstr>0dcbbd04-594e-3eab-8e8d-715dc57a5c83</vt:lpwstr>
  </property>
  <property fmtid="{D5CDD505-2E9C-101B-9397-08002B2CF9AE}" pid="24" name="Mendeley Citation Style_1">
    <vt:lpwstr>http://csl.mendeley.com/styles/517714001/vancouver</vt:lpwstr>
  </property>
</Properties>
</file>