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063FC"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Name of Journal: </w:t>
      </w:r>
      <w:r w:rsidRPr="00B15071">
        <w:rPr>
          <w:rFonts w:ascii="Book Antiqua" w:eastAsia="Book Antiqua" w:hAnsi="Book Antiqua" w:cs="Book Antiqua"/>
          <w:i/>
          <w:color w:val="000000"/>
        </w:rPr>
        <w:t>World Journal of Gastrointestinal Endoscopy</w:t>
      </w:r>
    </w:p>
    <w:p w14:paraId="5E38A8D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Manuscript NO: </w:t>
      </w:r>
      <w:r w:rsidRPr="00B15071">
        <w:rPr>
          <w:rFonts w:ascii="Book Antiqua" w:eastAsia="Book Antiqua" w:hAnsi="Book Antiqua" w:cs="Book Antiqua"/>
          <w:color w:val="000000"/>
        </w:rPr>
        <w:t>56454</w:t>
      </w:r>
    </w:p>
    <w:p w14:paraId="3EB2285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Manuscript Type: </w:t>
      </w:r>
      <w:r w:rsidRPr="00B15071">
        <w:rPr>
          <w:rFonts w:ascii="Book Antiqua" w:eastAsia="Book Antiqua" w:hAnsi="Book Antiqua" w:cs="Book Antiqua"/>
          <w:color w:val="000000"/>
        </w:rPr>
        <w:t>CASE REPORT</w:t>
      </w:r>
    </w:p>
    <w:p w14:paraId="53C211C1" w14:textId="77777777" w:rsidR="00A77B3E" w:rsidRPr="00B15071" w:rsidRDefault="00A77B3E" w:rsidP="00B15071">
      <w:pPr>
        <w:snapToGrid w:val="0"/>
        <w:spacing w:line="360" w:lineRule="auto"/>
        <w:jc w:val="both"/>
        <w:rPr>
          <w:rFonts w:ascii="Book Antiqua" w:hAnsi="Book Antiqua"/>
        </w:rPr>
      </w:pPr>
    </w:p>
    <w:p w14:paraId="573000E3" w14:textId="77777777" w:rsidR="00A77B3E" w:rsidRPr="00B15071" w:rsidRDefault="00A51EA4" w:rsidP="00B15071">
      <w:pPr>
        <w:snapToGrid w:val="0"/>
        <w:spacing w:line="360" w:lineRule="auto"/>
        <w:jc w:val="both"/>
        <w:rPr>
          <w:rFonts w:ascii="Book Antiqua" w:hAnsi="Book Antiqua"/>
        </w:rPr>
      </w:pPr>
      <w:bookmarkStart w:id="0" w:name="OLE_LINK17"/>
      <w:bookmarkStart w:id="1" w:name="OLE_LINK20"/>
      <w:r w:rsidRPr="00B15071">
        <w:rPr>
          <w:rFonts w:ascii="Book Antiqua" w:eastAsia="Book Antiqua" w:hAnsi="Book Antiqua" w:cs="Book Antiqua"/>
          <w:b/>
          <w:bCs/>
          <w:color w:val="000000"/>
          <w:shd w:val="clear" w:color="auto" w:fill="FFFFFF"/>
        </w:rPr>
        <w:t>Endoscopic approach to gastric remnant outlet obstruction after gastric bypass: A case report</w:t>
      </w:r>
    </w:p>
    <w:bookmarkEnd w:id="0"/>
    <w:bookmarkEnd w:id="1"/>
    <w:p w14:paraId="679EF441" w14:textId="77777777" w:rsidR="00A77B3E" w:rsidRPr="00B15071" w:rsidRDefault="00A77B3E" w:rsidP="00B15071">
      <w:pPr>
        <w:snapToGrid w:val="0"/>
        <w:spacing w:line="360" w:lineRule="auto"/>
        <w:jc w:val="both"/>
        <w:rPr>
          <w:rFonts w:ascii="Book Antiqua" w:hAnsi="Book Antiqua"/>
        </w:rPr>
      </w:pPr>
    </w:p>
    <w:p w14:paraId="580D621D" w14:textId="4EFCF0C2" w:rsidR="00A77B3E" w:rsidRPr="00B15071" w:rsidRDefault="007D235E" w:rsidP="00B15071">
      <w:pPr>
        <w:snapToGrid w:val="0"/>
        <w:spacing w:line="360" w:lineRule="auto"/>
        <w:jc w:val="both"/>
        <w:rPr>
          <w:rFonts w:ascii="Book Antiqua" w:hAnsi="Book Antiqua"/>
        </w:rPr>
      </w:pPr>
      <w:proofErr w:type="spellStart"/>
      <w:r w:rsidRPr="00B15071">
        <w:rPr>
          <w:rFonts w:ascii="Book Antiqua" w:eastAsia="Book Antiqua" w:hAnsi="Book Antiqua" w:cs="Book Antiqua"/>
          <w:color w:val="000000"/>
        </w:rPr>
        <w:t>Zarrin</w:t>
      </w:r>
      <w:proofErr w:type="spellEnd"/>
      <w:r w:rsidRPr="00B15071">
        <w:rPr>
          <w:rFonts w:ascii="Book Antiqua" w:eastAsia="Book Antiqua" w:hAnsi="Book Antiqua" w:cs="Book Antiqua"/>
          <w:color w:val="000000"/>
          <w:shd w:val="clear" w:color="auto" w:fill="FFFFFF"/>
        </w:rPr>
        <w:t xml:space="preserve"> A </w:t>
      </w:r>
      <w:r w:rsidRPr="00B15071">
        <w:rPr>
          <w:rFonts w:ascii="Book Antiqua" w:eastAsia="Book Antiqua" w:hAnsi="Book Antiqua" w:cs="Book Antiqua"/>
          <w:i/>
          <w:iCs/>
          <w:color w:val="000000"/>
          <w:shd w:val="clear" w:color="auto" w:fill="FFFFFF"/>
        </w:rPr>
        <w:t>et al.</w:t>
      </w:r>
      <w:r w:rsidRPr="00B15071">
        <w:rPr>
          <w:rFonts w:ascii="Book Antiqua" w:eastAsia="Book Antiqua" w:hAnsi="Book Antiqua" w:cs="Book Antiqua"/>
          <w:color w:val="000000"/>
          <w:shd w:val="clear" w:color="auto" w:fill="FFFFFF"/>
        </w:rPr>
        <w:t xml:space="preserve"> </w:t>
      </w:r>
      <w:bookmarkStart w:id="2" w:name="OLE_LINK18"/>
      <w:r w:rsidR="00A51EA4" w:rsidRPr="00B15071">
        <w:rPr>
          <w:rFonts w:ascii="Book Antiqua" w:eastAsia="Book Antiqua" w:hAnsi="Book Antiqua" w:cs="Book Antiqua"/>
          <w:color w:val="000000"/>
          <w:shd w:val="clear" w:color="auto" w:fill="FFFFFF"/>
        </w:rPr>
        <w:t>Endoscopic approach to gastric remnant outlet obstruction</w:t>
      </w:r>
      <w:bookmarkEnd w:id="2"/>
    </w:p>
    <w:p w14:paraId="1479E015" w14:textId="77777777" w:rsidR="00A77B3E" w:rsidRPr="00B15071" w:rsidRDefault="00A77B3E" w:rsidP="00B15071">
      <w:pPr>
        <w:snapToGrid w:val="0"/>
        <w:spacing w:line="360" w:lineRule="auto"/>
        <w:jc w:val="both"/>
        <w:rPr>
          <w:rFonts w:ascii="Book Antiqua" w:hAnsi="Book Antiqua"/>
        </w:rPr>
      </w:pPr>
    </w:p>
    <w:p w14:paraId="22964E89" w14:textId="77777777" w:rsidR="00A77B3E" w:rsidRPr="00B15071" w:rsidRDefault="00A51EA4" w:rsidP="00B15071">
      <w:pPr>
        <w:snapToGrid w:val="0"/>
        <w:spacing w:line="360" w:lineRule="auto"/>
        <w:jc w:val="both"/>
        <w:rPr>
          <w:rFonts w:ascii="Book Antiqua" w:hAnsi="Book Antiqua"/>
        </w:rPr>
      </w:pPr>
      <w:proofErr w:type="spellStart"/>
      <w:r w:rsidRPr="00B15071">
        <w:rPr>
          <w:rFonts w:ascii="Book Antiqua" w:eastAsia="Book Antiqua" w:hAnsi="Book Antiqua" w:cs="Book Antiqua"/>
          <w:color w:val="000000"/>
        </w:rPr>
        <w:t>Arash</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Zarrin</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Sufian</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Sorathia</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Vivek</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Choksi</w:t>
      </w:r>
      <w:proofErr w:type="spellEnd"/>
      <w:r w:rsidRPr="00B15071">
        <w:rPr>
          <w:rFonts w:ascii="Book Antiqua" w:eastAsia="Book Antiqua" w:hAnsi="Book Antiqua" w:cs="Book Antiqua"/>
          <w:color w:val="000000"/>
        </w:rPr>
        <w:t xml:space="preserve">, Steven Robert Kaplan, Franklin </w:t>
      </w:r>
      <w:proofErr w:type="spellStart"/>
      <w:r w:rsidRPr="00B15071">
        <w:rPr>
          <w:rFonts w:ascii="Book Antiqua" w:eastAsia="Book Antiqua" w:hAnsi="Book Antiqua" w:cs="Book Antiqua"/>
          <w:color w:val="000000"/>
        </w:rPr>
        <w:t>Kasmin</w:t>
      </w:r>
      <w:proofErr w:type="spellEnd"/>
    </w:p>
    <w:p w14:paraId="7B4FAD7D" w14:textId="77777777" w:rsidR="00A77B3E" w:rsidRPr="00B15071" w:rsidRDefault="00A77B3E" w:rsidP="00B15071">
      <w:pPr>
        <w:snapToGrid w:val="0"/>
        <w:spacing w:line="360" w:lineRule="auto"/>
        <w:jc w:val="both"/>
        <w:rPr>
          <w:rFonts w:ascii="Book Antiqua" w:hAnsi="Book Antiqua"/>
        </w:rPr>
      </w:pPr>
    </w:p>
    <w:p w14:paraId="3ABF9ECE" w14:textId="77777777" w:rsidR="00A77B3E" w:rsidRPr="00B15071" w:rsidRDefault="00A51EA4" w:rsidP="00B15071">
      <w:pPr>
        <w:snapToGrid w:val="0"/>
        <w:spacing w:line="360" w:lineRule="auto"/>
        <w:jc w:val="both"/>
        <w:rPr>
          <w:rFonts w:ascii="Book Antiqua" w:hAnsi="Book Antiqua"/>
        </w:rPr>
      </w:pPr>
      <w:proofErr w:type="spellStart"/>
      <w:r w:rsidRPr="00B15071">
        <w:rPr>
          <w:rFonts w:ascii="Book Antiqua" w:eastAsia="Book Antiqua" w:hAnsi="Book Antiqua" w:cs="Book Antiqua"/>
          <w:b/>
          <w:bCs/>
          <w:color w:val="000000"/>
        </w:rPr>
        <w:t>Arash</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Zarrin</w:t>
      </w:r>
      <w:proofErr w:type="spellEnd"/>
      <w:r w:rsidRPr="00B15071">
        <w:rPr>
          <w:rFonts w:ascii="Book Antiqua" w:eastAsia="Book Antiqua" w:hAnsi="Book Antiqua" w:cs="Book Antiqua"/>
          <w:b/>
          <w:bCs/>
          <w:color w:val="000000"/>
        </w:rPr>
        <w:t xml:space="preserve">, </w:t>
      </w:r>
      <w:r w:rsidRPr="00B15071">
        <w:rPr>
          <w:rFonts w:ascii="Book Antiqua" w:eastAsia="Book Antiqua" w:hAnsi="Book Antiqua" w:cs="Book Antiqua"/>
          <w:color w:val="000000"/>
        </w:rPr>
        <w:t>Department of Internal Medicine, Aventura Hospital and Medical Center, Miami, FL 33180, United States</w:t>
      </w:r>
    </w:p>
    <w:p w14:paraId="643C0B31" w14:textId="77777777" w:rsidR="00A77B3E" w:rsidRPr="00B15071" w:rsidRDefault="00A77B3E" w:rsidP="00B15071">
      <w:pPr>
        <w:snapToGrid w:val="0"/>
        <w:spacing w:line="360" w:lineRule="auto"/>
        <w:jc w:val="both"/>
        <w:rPr>
          <w:rFonts w:ascii="Book Antiqua" w:hAnsi="Book Antiqua"/>
        </w:rPr>
      </w:pPr>
    </w:p>
    <w:p w14:paraId="6E864624" w14:textId="77777777" w:rsidR="00A77B3E" w:rsidRPr="00B15071" w:rsidRDefault="00A51EA4" w:rsidP="00B15071">
      <w:pPr>
        <w:snapToGrid w:val="0"/>
        <w:spacing w:line="360" w:lineRule="auto"/>
        <w:jc w:val="both"/>
        <w:rPr>
          <w:rFonts w:ascii="Book Antiqua" w:hAnsi="Book Antiqua"/>
        </w:rPr>
      </w:pPr>
      <w:proofErr w:type="spellStart"/>
      <w:r w:rsidRPr="00B15071">
        <w:rPr>
          <w:rFonts w:ascii="Book Antiqua" w:eastAsia="Book Antiqua" w:hAnsi="Book Antiqua" w:cs="Book Antiqua"/>
          <w:b/>
          <w:bCs/>
          <w:color w:val="000000"/>
        </w:rPr>
        <w:t>Sufian</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Sorathia</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Vivek</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Choksi</w:t>
      </w:r>
      <w:proofErr w:type="spellEnd"/>
      <w:r w:rsidRPr="00B15071">
        <w:rPr>
          <w:rFonts w:ascii="Book Antiqua" w:eastAsia="Book Antiqua" w:hAnsi="Book Antiqua" w:cs="Book Antiqua"/>
          <w:b/>
          <w:bCs/>
          <w:color w:val="000000"/>
        </w:rPr>
        <w:t xml:space="preserve">, Steven Robert Kaplan, Franklin </w:t>
      </w:r>
      <w:proofErr w:type="spellStart"/>
      <w:r w:rsidRPr="00B15071">
        <w:rPr>
          <w:rFonts w:ascii="Book Antiqua" w:eastAsia="Book Antiqua" w:hAnsi="Book Antiqua" w:cs="Book Antiqua"/>
          <w:b/>
          <w:bCs/>
          <w:color w:val="000000"/>
        </w:rPr>
        <w:t>Kasmin</w:t>
      </w:r>
      <w:proofErr w:type="spellEnd"/>
      <w:r w:rsidRPr="00B15071">
        <w:rPr>
          <w:rFonts w:ascii="Book Antiqua" w:eastAsia="Book Antiqua" w:hAnsi="Book Antiqua" w:cs="Book Antiqua"/>
          <w:b/>
          <w:bCs/>
          <w:color w:val="000000"/>
        </w:rPr>
        <w:t xml:space="preserve">, </w:t>
      </w:r>
      <w:r w:rsidRPr="00B15071">
        <w:rPr>
          <w:rFonts w:ascii="Book Antiqua" w:eastAsia="Book Antiqua" w:hAnsi="Book Antiqua" w:cs="Book Antiqua"/>
          <w:color w:val="000000"/>
        </w:rPr>
        <w:t>Department of Gastroenterology, Aventura Hospital and Medical Center, Miami, FL 33180, United States</w:t>
      </w:r>
    </w:p>
    <w:p w14:paraId="303DD022" w14:textId="77777777" w:rsidR="00A77B3E" w:rsidRPr="00B15071" w:rsidRDefault="00A77B3E" w:rsidP="00B15071">
      <w:pPr>
        <w:snapToGrid w:val="0"/>
        <w:spacing w:line="360" w:lineRule="auto"/>
        <w:jc w:val="both"/>
        <w:rPr>
          <w:rFonts w:ascii="Book Antiqua" w:hAnsi="Book Antiqua"/>
        </w:rPr>
      </w:pPr>
    </w:p>
    <w:p w14:paraId="4E668856" w14:textId="044C701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Author contributions: </w:t>
      </w:r>
      <w:proofErr w:type="spellStart"/>
      <w:r w:rsidRPr="00B15071">
        <w:rPr>
          <w:rFonts w:ascii="Book Antiqua" w:eastAsia="Book Antiqua" w:hAnsi="Book Antiqua" w:cs="Book Antiqua"/>
          <w:color w:val="000000"/>
        </w:rPr>
        <w:t>Zarrin</w:t>
      </w:r>
      <w:proofErr w:type="spellEnd"/>
      <w:r w:rsidR="00753E7A" w:rsidRPr="00B15071">
        <w:rPr>
          <w:rFonts w:ascii="Book Antiqua" w:eastAsia="Book Antiqua" w:hAnsi="Book Antiqua" w:cs="Book Antiqua"/>
          <w:color w:val="000000"/>
        </w:rPr>
        <w:t xml:space="preserve"> A</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Sorathia</w:t>
      </w:r>
      <w:proofErr w:type="spellEnd"/>
      <w:r w:rsidR="00753E7A" w:rsidRPr="00B15071">
        <w:rPr>
          <w:rFonts w:ascii="Book Antiqua" w:eastAsia="Book Antiqua" w:hAnsi="Book Antiqua" w:cs="Book Antiqua"/>
          <w:color w:val="000000"/>
        </w:rPr>
        <w:t xml:space="preserve"> S</w:t>
      </w:r>
      <w:r w:rsidRPr="00B15071">
        <w:rPr>
          <w:rFonts w:ascii="Book Antiqua" w:eastAsia="Book Antiqua" w:hAnsi="Book Antiqua" w:cs="Book Antiqua"/>
          <w:color w:val="000000"/>
        </w:rPr>
        <w:t xml:space="preserve"> and </w:t>
      </w:r>
      <w:proofErr w:type="spellStart"/>
      <w:r w:rsidRPr="00B15071">
        <w:rPr>
          <w:rFonts w:ascii="Book Antiqua" w:eastAsia="Book Antiqua" w:hAnsi="Book Antiqua" w:cs="Book Antiqua"/>
          <w:color w:val="000000"/>
        </w:rPr>
        <w:t>Choksi</w:t>
      </w:r>
      <w:proofErr w:type="spellEnd"/>
      <w:r w:rsidR="00753E7A" w:rsidRPr="00B15071">
        <w:rPr>
          <w:rFonts w:ascii="Book Antiqua" w:eastAsia="Book Antiqua" w:hAnsi="Book Antiqua" w:cs="Book Antiqua"/>
          <w:color w:val="000000"/>
        </w:rPr>
        <w:t xml:space="preserve"> V</w:t>
      </w:r>
      <w:r w:rsidRPr="00B15071">
        <w:rPr>
          <w:rFonts w:ascii="Book Antiqua" w:eastAsia="Book Antiqua" w:hAnsi="Book Antiqua" w:cs="Book Antiqua"/>
          <w:color w:val="000000"/>
        </w:rPr>
        <w:t xml:space="preserve"> reviewed the literature and contributed to manuscript drafting</w:t>
      </w:r>
      <w:r w:rsidR="000E0C5A" w:rsidRPr="00B15071">
        <w:rPr>
          <w:rFonts w:ascii="Book Antiqua" w:eastAsia="Book Antiqua" w:hAnsi="Book Antiqua" w:cs="Book Antiqua"/>
          <w:color w:val="000000"/>
        </w:rPr>
        <w:t>;</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Zarrin</w:t>
      </w:r>
      <w:proofErr w:type="spellEnd"/>
      <w:r w:rsidR="00753E7A" w:rsidRPr="00B15071">
        <w:rPr>
          <w:rFonts w:ascii="Book Antiqua" w:eastAsia="Book Antiqua" w:hAnsi="Book Antiqua" w:cs="Book Antiqua"/>
          <w:color w:val="000000"/>
        </w:rPr>
        <w:t xml:space="preserve"> A</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Sorathia</w:t>
      </w:r>
      <w:proofErr w:type="spellEnd"/>
      <w:r w:rsidR="00753E7A" w:rsidRPr="00B15071">
        <w:rPr>
          <w:rFonts w:ascii="Book Antiqua" w:eastAsia="Book Antiqua" w:hAnsi="Book Antiqua" w:cs="Book Antiqua"/>
          <w:color w:val="000000"/>
        </w:rPr>
        <w:t xml:space="preserve"> S</w:t>
      </w:r>
      <w:r w:rsidRPr="00B15071">
        <w:rPr>
          <w:rFonts w:ascii="Book Antiqua" w:eastAsia="Book Antiqua" w:hAnsi="Book Antiqua" w:cs="Book Antiqua"/>
          <w:color w:val="000000"/>
        </w:rPr>
        <w:t xml:space="preserve"> and </w:t>
      </w:r>
      <w:proofErr w:type="spellStart"/>
      <w:r w:rsidRPr="00B15071">
        <w:rPr>
          <w:rFonts w:ascii="Book Antiqua" w:eastAsia="Book Antiqua" w:hAnsi="Book Antiqua" w:cs="Book Antiqua"/>
          <w:color w:val="000000"/>
        </w:rPr>
        <w:t>Kasmin</w:t>
      </w:r>
      <w:proofErr w:type="spellEnd"/>
      <w:r w:rsidRPr="00B15071">
        <w:rPr>
          <w:rFonts w:ascii="Book Antiqua" w:eastAsia="Book Antiqua" w:hAnsi="Book Antiqua" w:cs="Book Antiqua"/>
          <w:color w:val="000000"/>
        </w:rPr>
        <w:t xml:space="preserve"> </w:t>
      </w:r>
      <w:r w:rsidR="00753E7A" w:rsidRPr="00B15071">
        <w:rPr>
          <w:rFonts w:ascii="Book Antiqua" w:eastAsia="Book Antiqua" w:hAnsi="Book Antiqua" w:cs="Book Antiqua"/>
          <w:color w:val="000000"/>
        </w:rPr>
        <w:t xml:space="preserve">F </w:t>
      </w:r>
      <w:r w:rsidRPr="00B15071">
        <w:rPr>
          <w:rFonts w:ascii="Book Antiqua" w:eastAsia="Book Antiqua" w:hAnsi="Book Antiqua" w:cs="Book Antiqua"/>
          <w:color w:val="000000"/>
        </w:rPr>
        <w:t>performed the Gastroenterology consultation</w:t>
      </w:r>
      <w:r w:rsidR="000E0C5A" w:rsidRPr="00B15071">
        <w:rPr>
          <w:rFonts w:ascii="Book Antiqua" w:eastAsia="Book Antiqua" w:hAnsi="Book Antiqua" w:cs="Book Antiqua"/>
          <w:color w:val="000000"/>
        </w:rPr>
        <w:t>;</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Kasmin</w:t>
      </w:r>
      <w:proofErr w:type="spellEnd"/>
      <w:r w:rsidR="00753E7A" w:rsidRPr="00B15071">
        <w:rPr>
          <w:rFonts w:ascii="Book Antiqua" w:eastAsia="Book Antiqua" w:hAnsi="Book Antiqua" w:cs="Book Antiqua"/>
          <w:color w:val="000000"/>
        </w:rPr>
        <w:t xml:space="preserve"> F</w:t>
      </w:r>
      <w:r w:rsidRPr="00B15071">
        <w:rPr>
          <w:rFonts w:ascii="Book Antiqua" w:eastAsia="Book Antiqua" w:hAnsi="Book Antiqua" w:cs="Book Antiqua"/>
          <w:color w:val="000000"/>
        </w:rPr>
        <w:t xml:space="preserve"> performed the endoscopy</w:t>
      </w:r>
      <w:r w:rsidR="000E0C5A" w:rsidRPr="00B15071">
        <w:rPr>
          <w:rFonts w:ascii="Book Antiqua" w:eastAsia="Book Antiqua" w:hAnsi="Book Antiqua" w:cs="Book Antiqua"/>
          <w:color w:val="000000"/>
        </w:rPr>
        <w:t>;</w:t>
      </w:r>
      <w:r w:rsidRPr="00B15071">
        <w:rPr>
          <w:rFonts w:ascii="Book Antiqua" w:eastAsia="Book Antiqua" w:hAnsi="Book Antiqua" w:cs="Book Antiqua"/>
          <w:color w:val="000000"/>
        </w:rPr>
        <w:t xml:space="preserve"> Kaplan</w:t>
      </w:r>
      <w:r w:rsidR="00753E7A" w:rsidRPr="00B15071">
        <w:rPr>
          <w:rFonts w:ascii="Book Antiqua" w:eastAsia="Book Antiqua" w:hAnsi="Book Antiqua" w:cs="Book Antiqua"/>
          <w:color w:val="000000"/>
        </w:rPr>
        <w:t xml:space="preserve"> S</w:t>
      </w:r>
      <w:r w:rsidRPr="00B15071">
        <w:rPr>
          <w:rFonts w:ascii="Book Antiqua" w:eastAsia="Book Antiqua" w:hAnsi="Book Antiqua" w:cs="Book Antiqua"/>
          <w:color w:val="000000"/>
        </w:rPr>
        <w:t xml:space="preserve"> and </w:t>
      </w:r>
      <w:proofErr w:type="spellStart"/>
      <w:r w:rsidRPr="00B15071">
        <w:rPr>
          <w:rFonts w:ascii="Book Antiqua" w:eastAsia="Book Antiqua" w:hAnsi="Book Antiqua" w:cs="Book Antiqua"/>
          <w:color w:val="000000"/>
        </w:rPr>
        <w:t>Kasmin</w:t>
      </w:r>
      <w:proofErr w:type="spellEnd"/>
      <w:r w:rsidR="00753E7A" w:rsidRPr="00B15071">
        <w:rPr>
          <w:rFonts w:ascii="Book Antiqua" w:eastAsia="Book Antiqua" w:hAnsi="Book Antiqua" w:cs="Book Antiqua"/>
          <w:color w:val="000000"/>
        </w:rPr>
        <w:t xml:space="preserve"> F</w:t>
      </w:r>
      <w:r w:rsidRPr="00B15071">
        <w:rPr>
          <w:rFonts w:ascii="Book Antiqua" w:eastAsia="Book Antiqua" w:hAnsi="Book Antiqua" w:cs="Book Antiqua"/>
          <w:color w:val="000000"/>
        </w:rPr>
        <w:t xml:space="preserve"> were responsible for the revision of the manuscript for important intellectual content; all authors issued final approval for the version to be submitted.</w:t>
      </w:r>
    </w:p>
    <w:p w14:paraId="4E8918DE" w14:textId="77777777" w:rsidR="00A77B3E" w:rsidRPr="00B15071" w:rsidRDefault="00A77B3E" w:rsidP="00B15071">
      <w:pPr>
        <w:snapToGrid w:val="0"/>
        <w:spacing w:line="360" w:lineRule="auto"/>
        <w:jc w:val="both"/>
        <w:rPr>
          <w:rFonts w:ascii="Book Antiqua" w:hAnsi="Book Antiqua"/>
        </w:rPr>
      </w:pPr>
    </w:p>
    <w:p w14:paraId="7C8BDD61" w14:textId="20C91D99" w:rsidR="00A77B3E" w:rsidRPr="00B15071" w:rsidRDefault="00A51EA4" w:rsidP="00B15071">
      <w:pPr>
        <w:snapToGrid w:val="0"/>
        <w:spacing w:line="360" w:lineRule="auto"/>
        <w:jc w:val="both"/>
        <w:rPr>
          <w:rFonts w:ascii="Book Antiqua" w:eastAsia="Book Antiqua" w:hAnsi="Book Antiqua" w:cs="Book Antiqua"/>
          <w:color w:val="000000"/>
          <w:u w:val="single"/>
        </w:rPr>
      </w:pPr>
      <w:r w:rsidRPr="00B15071">
        <w:rPr>
          <w:rFonts w:ascii="Book Antiqua" w:eastAsia="Book Antiqua" w:hAnsi="Book Antiqua" w:cs="Book Antiqua"/>
          <w:b/>
          <w:bCs/>
          <w:color w:val="000000"/>
        </w:rPr>
        <w:t xml:space="preserve">Corresponding author: </w:t>
      </w:r>
      <w:proofErr w:type="spellStart"/>
      <w:r w:rsidRPr="00B15071">
        <w:rPr>
          <w:rFonts w:ascii="Book Antiqua" w:eastAsia="Book Antiqua" w:hAnsi="Book Antiqua" w:cs="Book Antiqua"/>
          <w:b/>
          <w:bCs/>
          <w:color w:val="000000"/>
        </w:rPr>
        <w:t>Arash</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Zarrin</w:t>
      </w:r>
      <w:proofErr w:type="spellEnd"/>
      <w:r w:rsidRPr="00B15071">
        <w:rPr>
          <w:rFonts w:ascii="Book Antiqua" w:eastAsia="Book Antiqua" w:hAnsi="Book Antiqua" w:cs="Book Antiqua"/>
          <w:b/>
          <w:bCs/>
          <w:color w:val="000000"/>
        </w:rPr>
        <w:t xml:space="preserve">, </w:t>
      </w:r>
      <w:r w:rsidR="00B329CF">
        <w:rPr>
          <w:rFonts w:ascii="Book Antiqua" w:eastAsia="Book Antiqua" w:hAnsi="Book Antiqua" w:cs="Book Antiqua"/>
          <w:b/>
          <w:bCs/>
          <w:color w:val="000000"/>
        </w:rPr>
        <w:t>DO</w:t>
      </w:r>
      <w:r w:rsidRPr="00B15071">
        <w:rPr>
          <w:rFonts w:ascii="Book Antiqua" w:eastAsia="Book Antiqua" w:hAnsi="Book Antiqua" w:cs="Book Antiqua"/>
          <w:b/>
          <w:bCs/>
          <w:color w:val="000000"/>
        </w:rPr>
        <w:t xml:space="preserve">, Doctor, </w:t>
      </w:r>
      <w:r w:rsidRPr="00B15071">
        <w:rPr>
          <w:rFonts w:ascii="Book Antiqua" w:eastAsia="Book Antiqua" w:hAnsi="Book Antiqua" w:cs="Book Antiqua"/>
          <w:color w:val="000000"/>
        </w:rPr>
        <w:t xml:space="preserve">Department of Internal Medicine, Aventura Hospital and Medical Center, 20900 Biscayne BLVD, Miami, FL 33180, United States. </w:t>
      </w:r>
      <w:hyperlink r:id="rId6" w:history="1">
        <w:r w:rsidR="0044640E" w:rsidRPr="00B15071">
          <w:rPr>
            <w:rStyle w:val="Hyperlink"/>
            <w:rFonts w:ascii="Book Antiqua" w:eastAsia="Book Antiqua" w:hAnsi="Book Antiqua" w:cs="Book Antiqua"/>
          </w:rPr>
          <w:t>arash.zarrin@hcahealthcare.com</w:t>
        </w:r>
      </w:hyperlink>
    </w:p>
    <w:p w14:paraId="1CB8BF30" w14:textId="77777777" w:rsidR="00A77B3E" w:rsidRPr="00B15071" w:rsidRDefault="00A77B3E" w:rsidP="00B15071">
      <w:pPr>
        <w:snapToGrid w:val="0"/>
        <w:spacing w:line="360" w:lineRule="auto"/>
        <w:jc w:val="both"/>
        <w:rPr>
          <w:rFonts w:ascii="Book Antiqua" w:hAnsi="Book Antiqua"/>
        </w:rPr>
      </w:pPr>
    </w:p>
    <w:p w14:paraId="768B4C1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lastRenderedPageBreak/>
        <w:t xml:space="preserve">Received: </w:t>
      </w:r>
      <w:r w:rsidRPr="00B15071">
        <w:rPr>
          <w:rFonts w:ascii="Book Antiqua" w:eastAsia="Book Antiqua" w:hAnsi="Book Antiqua" w:cs="Book Antiqua"/>
          <w:color w:val="000000"/>
        </w:rPr>
        <w:t>May 12, 2020</w:t>
      </w:r>
    </w:p>
    <w:p w14:paraId="58F3A67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Revised: </w:t>
      </w:r>
      <w:r w:rsidRPr="00B15071">
        <w:rPr>
          <w:rFonts w:ascii="Book Antiqua" w:eastAsia="Book Antiqua" w:hAnsi="Book Antiqua" w:cs="Book Antiqua"/>
          <w:color w:val="000000"/>
        </w:rPr>
        <w:t>June 4, 2020</w:t>
      </w:r>
    </w:p>
    <w:p w14:paraId="1644EFA1" w14:textId="6A6DE960"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Accepted:</w:t>
      </w:r>
      <w:r w:rsidR="00577462">
        <w:rPr>
          <w:rFonts w:ascii="Book Antiqua" w:eastAsia="Book Antiqua" w:hAnsi="Book Antiqua" w:cs="Book Antiqua"/>
          <w:b/>
          <w:bCs/>
          <w:color w:val="000000"/>
        </w:rPr>
        <w:t xml:space="preserve"> </w:t>
      </w:r>
      <w:r w:rsidR="00577462" w:rsidRPr="00577462">
        <w:rPr>
          <w:rFonts w:ascii="Book Antiqua" w:eastAsia="Book Antiqua" w:hAnsi="Book Antiqua" w:cs="Book Antiqua"/>
          <w:bCs/>
          <w:color w:val="000000"/>
        </w:rPr>
        <w:t>August 15, 2020</w:t>
      </w:r>
    </w:p>
    <w:p w14:paraId="6DA9BE44" w14:textId="2E4B9351"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Published online:</w:t>
      </w:r>
    </w:p>
    <w:p w14:paraId="23F51B2F" w14:textId="77777777" w:rsidR="00A77B3E" w:rsidRPr="00B15071" w:rsidRDefault="00A77B3E" w:rsidP="00B15071">
      <w:pPr>
        <w:snapToGrid w:val="0"/>
        <w:spacing w:line="360" w:lineRule="auto"/>
        <w:jc w:val="both"/>
        <w:rPr>
          <w:rFonts w:ascii="Book Antiqua" w:hAnsi="Book Antiqua"/>
        </w:rPr>
        <w:sectPr w:rsidR="00A77B3E" w:rsidRPr="00B15071" w:rsidSect="001F7323">
          <w:footerReference w:type="default" r:id="rId7"/>
          <w:pgSz w:w="12240" w:h="15840"/>
          <w:pgMar w:top="1440" w:right="1800" w:bottom="1440" w:left="1800" w:header="720" w:footer="720" w:gutter="0"/>
          <w:cols w:space="720"/>
          <w:docGrid w:linePitch="360"/>
        </w:sectPr>
      </w:pPr>
      <w:bookmarkStart w:id="3" w:name="_GoBack"/>
      <w:bookmarkEnd w:id="3"/>
    </w:p>
    <w:p w14:paraId="0D20A3E2"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lastRenderedPageBreak/>
        <w:t>Abstract</w:t>
      </w:r>
    </w:p>
    <w:p w14:paraId="383BC55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BACKGROUND</w:t>
      </w:r>
    </w:p>
    <w:p w14:paraId="680F0CFF"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Acute gastric remnant bleeding is a rare complication of bariatric surgery. Furthermore, acute bleeding from the gastric remnant resulting in gastric remnant outlet obstruction has not been described previously. Endoscopic management of gastric remnant bleed has been challenging due to difficulty accessing the excluded stomach. Traditionally, this necessitates surgical intervention. Recently, however, the adoption of endoscopic ultrasound-directed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intervention provides an alternative approach to management.</w:t>
      </w:r>
    </w:p>
    <w:p w14:paraId="247283C8" w14:textId="77777777" w:rsidR="00A77B3E" w:rsidRPr="00B15071" w:rsidRDefault="00A77B3E" w:rsidP="00B15071">
      <w:pPr>
        <w:snapToGrid w:val="0"/>
        <w:spacing w:line="360" w:lineRule="auto"/>
        <w:jc w:val="both"/>
        <w:rPr>
          <w:rFonts w:ascii="Book Antiqua" w:hAnsi="Book Antiqua"/>
        </w:rPr>
      </w:pPr>
    </w:p>
    <w:p w14:paraId="58364DC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CASE SUMMARY</w:t>
      </w:r>
    </w:p>
    <w:p w14:paraId="36526EA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A 65-year-old male with a prior gastric bypass presented with the sudden onset of progressive abdominal distension, nausea, and melena of two days duration. His imaging illustrated a massively distended stomach. A nasogastric tube did not result in drainage of fluid or decompression of his abdomen. His endoscopy revealed a normal-appearing gastro-jejunal anastomosis </w:t>
      </w:r>
      <w:r w:rsidRPr="00B15071">
        <w:rPr>
          <w:rFonts w:ascii="Book Antiqua" w:eastAsia="Book Antiqua" w:hAnsi="Book Antiqua" w:cs="Book Antiqua"/>
          <w:color w:val="000000"/>
        </w:rPr>
        <w:t xml:space="preserve">and </w:t>
      </w:r>
      <w:r w:rsidRPr="00B15071">
        <w:rPr>
          <w:rFonts w:ascii="Book Antiqua" w:eastAsia="Book Antiqua" w:hAnsi="Book Antiqua" w:cs="Book Antiqua"/>
          <w:color w:val="000000"/>
          <w:shd w:val="clear" w:color="auto" w:fill="FFFFFF"/>
        </w:rPr>
        <w:t xml:space="preserve">confirmed the distended "fluid"-filled gastric remnant. An endoscopic ultrasound-directed </w:t>
      </w:r>
      <w:proofErr w:type="spellStart"/>
      <w:r w:rsidRPr="00B15071">
        <w:rPr>
          <w:rFonts w:ascii="Book Antiqua" w:eastAsia="Book Antiqua" w:hAnsi="Book Antiqua" w:cs="Book Antiqua"/>
          <w:color w:val="000000"/>
          <w:shd w:val="clear" w:color="auto" w:fill="FFFFFF"/>
        </w:rPr>
        <w:t>gastrogastrostomy</w:t>
      </w:r>
      <w:proofErr w:type="spellEnd"/>
      <w:r w:rsidRPr="00B15071">
        <w:rPr>
          <w:rFonts w:ascii="Book Antiqua" w:eastAsia="Book Antiqua" w:hAnsi="Book Antiqua" w:cs="Book Antiqua"/>
          <w:color w:val="000000"/>
          <w:shd w:val="clear" w:color="auto" w:fill="FFFFFF"/>
        </w:rPr>
        <w:t xml:space="preserve"> was created to decompress the gastric remnant. Two liters of blood was suctioned before a large adherent clot was visualized in the gastric antrum. The patient underwent emergent angiography with embolization of the gastroduodenal artery. He was discharged with a stable hemoglobin level and resolution of symptoms. Healing superficial gastric ulcers were visualized on a follow-up endoscopy. Gastric biopsies were consistent with Helicobacter pylori infection for which the patient was treated, and successful eradication was achieved.</w:t>
      </w:r>
    </w:p>
    <w:p w14:paraId="136C190C" w14:textId="77777777" w:rsidR="00A77B3E" w:rsidRPr="00B15071" w:rsidRDefault="00A77B3E" w:rsidP="00B15071">
      <w:pPr>
        <w:snapToGrid w:val="0"/>
        <w:spacing w:line="360" w:lineRule="auto"/>
        <w:jc w:val="both"/>
        <w:rPr>
          <w:rFonts w:ascii="Book Antiqua" w:hAnsi="Book Antiqua"/>
        </w:rPr>
      </w:pPr>
    </w:p>
    <w:p w14:paraId="3509980F"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CONCLUSION</w:t>
      </w:r>
    </w:p>
    <w:p w14:paraId="4C1B41DA"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This patient benefited from a timely diagnosis and effective therapy of an acute gastric remnant obstruction from a bleeding ulcer with endoscopic ultrasound-directed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intervention.</w:t>
      </w:r>
    </w:p>
    <w:p w14:paraId="4CBA3032" w14:textId="77777777" w:rsidR="00A77B3E" w:rsidRPr="00B15071" w:rsidRDefault="00A77B3E" w:rsidP="00B15071">
      <w:pPr>
        <w:snapToGrid w:val="0"/>
        <w:spacing w:line="360" w:lineRule="auto"/>
        <w:jc w:val="both"/>
        <w:rPr>
          <w:rFonts w:ascii="Book Antiqua" w:hAnsi="Book Antiqua"/>
        </w:rPr>
      </w:pPr>
    </w:p>
    <w:p w14:paraId="1DD7CC8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Key words: </w:t>
      </w:r>
      <w:bookmarkStart w:id="4" w:name="OLE_LINK19"/>
      <w:r w:rsidRPr="00B15071">
        <w:rPr>
          <w:rFonts w:ascii="Book Antiqua" w:eastAsia="Book Antiqua" w:hAnsi="Book Antiqua" w:cs="Book Antiqua"/>
          <w:color w:val="000000"/>
        </w:rPr>
        <w:t xml:space="preserve">Gastrointestinal bleeding; Gastric outlet obstruction; Gastric remnant; Endoscopic ultrasound 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intervention; </w:t>
      </w:r>
      <w:proofErr w:type="spellStart"/>
      <w:r w:rsidRPr="00B15071">
        <w:rPr>
          <w:rFonts w:ascii="Book Antiqua" w:eastAsia="Book Antiqua" w:hAnsi="Book Antiqua" w:cs="Book Antiqua"/>
          <w:color w:val="000000"/>
        </w:rPr>
        <w:t>Gastrogastrostomy</w:t>
      </w:r>
      <w:proofErr w:type="spellEnd"/>
      <w:r w:rsidRPr="00B15071">
        <w:rPr>
          <w:rFonts w:ascii="Book Antiqua" w:eastAsia="Book Antiqua" w:hAnsi="Book Antiqua" w:cs="Book Antiqua"/>
          <w:color w:val="000000"/>
        </w:rPr>
        <w:t>; Case report</w:t>
      </w:r>
    </w:p>
    <w:bookmarkEnd w:id="4"/>
    <w:p w14:paraId="7ACD1846" w14:textId="77777777" w:rsidR="00A77B3E" w:rsidRPr="00B15071" w:rsidRDefault="00A77B3E" w:rsidP="00B15071">
      <w:pPr>
        <w:snapToGrid w:val="0"/>
        <w:spacing w:line="360" w:lineRule="auto"/>
        <w:jc w:val="both"/>
        <w:rPr>
          <w:rFonts w:ascii="Book Antiqua" w:hAnsi="Book Antiqua"/>
        </w:rPr>
      </w:pPr>
    </w:p>
    <w:p w14:paraId="2929241A" w14:textId="77777777" w:rsidR="00A77B3E" w:rsidRPr="00B15071" w:rsidRDefault="00A51EA4" w:rsidP="00B15071">
      <w:pPr>
        <w:snapToGrid w:val="0"/>
        <w:spacing w:line="360" w:lineRule="auto"/>
        <w:jc w:val="both"/>
        <w:rPr>
          <w:rFonts w:ascii="Book Antiqua" w:hAnsi="Book Antiqua"/>
        </w:rPr>
      </w:pPr>
      <w:proofErr w:type="spellStart"/>
      <w:r w:rsidRPr="00B15071">
        <w:rPr>
          <w:rFonts w:ascii="Book Antiqua" w:eastAsia="Book Antiqua" w:hAnsi="Book Antiqua" w:cs="Book Antiqua"/>
          <w:color w:val="000000"/>
        </w:rPr>
        <w:t>Zarrin</w:t>
      </w:r>
      <w:proofErr w:type="spellEnd"/>
      <w:r w:rsidRPr="00B15071">
        <w:rPr>
          <w:rFonts w:ascii="Book Antiqua" w:eastAsia="Book Antiqua" w:hAnsi="Book Antiqua" w:cs="Book Antiqua"/>
          <w:color w:val="000000"/>
        </w:rPr>
        <w:t xml:space="preserve"> A, </w:t>
      </w:r>
      <w:proofErr w:type="spellStart"/>
      <w:r w:rsidRPr="00B15071">
        <w:rPr>
          <w:rFonts w:ascii="Book Antiqua" w:eastAsia="Book Antiqua" w:hAnsi="Book Antiqua" w:cs="Book Antiqua"/>
          <w:color w:val="000000"/>
        </w:rPr>
        <w:t>Sorathia</w:t>
      </w:r>
      <w:proofErr w:type="spellEnd"/>
      <w:r w:rsidRPr="00B15071">
        <w:rPr>
          <w:rFonts w:ascii="Book Antiqua" w:eastAsia="Book Antiqua" w:hAnsi="Book Antiqua" w:cs="Book Antiqua"/>
          <w:color w:val="000000"/>
        </w:rPr>
        <w:t xml:space="preserve"> S, </w:t>
      </w:r>
      <w:proofErr w:type="spellStart"/>
      <w:r w:rsidRPr="00B15071">
        <w:rPr>
          <w:rFonts w:ascii="Book Antiqua" w:eastAsia="Book Antiqua" w:hAnsi="Book Antiqua" w:cs="Book Antiqua"/>
          <w:color w:val="000000"/>
        </w:rPr>
        <w:t>Choksi</w:t>
      </w:r>
      <w:proofErr w:type="spellEnd"/>
      <w:r w:rsidRPr="00B15071">
        <w:rPr>
          <w:rFonts w:ascii="Book Antiqua" w:eastAsia="Book Antiqua" w:hAnsi="Book Antiqua" w:cs="Book Antiqua"/>
          <w:color w:val="000000"/>
        </w:rPr>
        <w:t xml:space="preserve"> V, Kaplan SR, </w:t>
      </w:r>
      <w:proofErr w:type="spellStart"/>
      <w:r w:rsidRPr="00B15071">
        <w:rPr>
          <w:rFonts w:ascii="Book Antiqua" w:eastAsia="Book Antiqua" w:hAnsi="Book Antiqua" w:cs="Book Antiqua"/>
          <w:color w:val="000000"/>
        </w:rPr>
        <w:t>Kasmin</w:t>
      </w:r>
      <w:proofErr w:type="spellEnd"/>
      <w:r w:rsidRPr="00B15071">
        <w:rPr>
          <w:rFonts w:ascii="Book Antiqua" w:eastAsia="Book Antiqua" w:hAnsi="Book Antiqua" w:cs="Book Antiqua"/>
          <w:color w:val="000000"/>
        </w:rPr>
        <w:t xml:space="preserve"> F. Endoscopic approach to gastric remnant outlet obstruction after gastric bypass: A case report. </w:t>
      </w:r>
      <w:r w:rsidRPr="00B15071">
        <w:rPr>
          <w:rFonts w:ascii="Book Antiqua" w:eastAsia="Book Antiqua" w:hAnsi="Book Antiqua" w:cs="Book Antiqua"/>
          <w:i/>
          <w:iCs/>
          <w:color w:val="000000"/>
        </w:rPr>
        <w:t xml:space="preserve">World J </w:t>
      </w:r>
      <w:proofErr w:type="spellStart"/>
      <w:r w:rsidRPr="00B15071">
        <w:rPr>
          <w:rFonts w:ascii="Book Antiqua" w:eastAsia="Book Antiqua" w:hAnsi="Book Antiqua" w:cs="Book Antiqua"/>
          <w:i/>
          <w:iCs/>
          <w:color w:val="000000"/>
        </w:rPr>
        <w:t>Gastrointest</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color w:val="000000"/>
        </w:rPr>
        <w:t xml:space="preserve"> 2020; In press</w:t>
      </w:r>
    </w:p>
    <w:p w14:paraId="2A5AB7DD" w14:textId="77777777" w:rsidR="00A77B3E" w:rsidRPr="00B15071" w:rsidRDefault="00A77B3E" w:rsidP="00B15071">
      <w:pPr>
        <w:snapToGrid w:val="0"/>
        <w:spacing w:line="360" w:lineRule="auto"/>
        <w:jc w:val="both"/>
        <w:rPr>
          <w:rFonts w:ascii="Book Antiqua" w:hAnsi="Book Antiqua"/>
        </w:rPr>
      </w:pPr>
    </w:p>
    <w:p w14:paraId="754C588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Core tip: </w:t>
      </w:r>
      <w:bookmarkStart w:id="5" w:name="OLE_LINK1"/>
      <w:bookmarkStart w:id="6" w:name="OLE_LINK2"/>
      <w:r w:rsidRPr="00B15071">
        <w:rPr>
          <w:rFonts w:ascii="Book Antiqua" w:eastAsia="Book Antiqua" w:hAnsi="Book Antiqua" w:cs="Book Antiqua"/>
          <w:color w:val="000000"/>
        </w:rPr>
        <w:t xml:space="preserve">The gastric remnant can be safely and effectively accessed by endoscopic ultrasound-directed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intervention by the formation of a </w:t>
      </w:r>
      <w:proofErr w:type="spellStart"/>
      <w:r w:rsidRPr="00B15071">
        <w:rPr>
          <w:rFonts w:ascii="Book Antiqua" w:eastAsia="Book Antiqua" w:hAnsi="Book Antiqua" w:cs="Book Antiqua"/>
          <w:color w:val="000000"/>
        </w:rPr>
        <w:t>gastrogastrostomy</w:t>
      </w:r>
      <w:proofErr w:type="spellEnd"/>
      <w:r w:rsidRPr="00B15071">
        <w:rPr>
          <w:rFonts w:ascii="Book Antiqua" w:eastAsia="Book Antiqua" w:hAnsi="Book Antiqua" w:cs="Book Antiqua"/>
          <w:color w:val="000000"/>
        </w:rPr>
        <w:t xml:space="preserve"> using a lumen apposing metal stent to treat several conditions, including but not limited to bleeding gastric ulcers and gastric outlet obstruction among patients who have previously undergone Roux-en-Y gastric bypass. This method is an effective, safe, and less invasive alternative to surgery.</w:t>
      </w:r>
    </w:p>
    <w:bookmarkEnd w:id="5"/>
    <w:bookmarkEnd w:id="6"/>
    <w:p w14:paraId="0CECF236" w14:textId="77777777" w:rsidR="00A77B3E" w:rsidRPr="00B15071" w:rsidRDefault="00A77B3E" w:rsidP="00B15071">
      <w:pPr>
        <w:snapToGrid w:val="0"/>
        <w:spacing w:line="360" w:lineRule="auto"/>
        <w:jc w:val="both"/>
        <w:rPr>
          <w:rFonts w:ascii="Book Antiqua" w:hAnsi="Book Antiqua"/>
        </w:rPr>
      </w:pPr>
    </w:p>
    <w:p w14:paraId="7914B9E3" w14:textId="1DD7763D" w:rsidR="00A77B3E" w:rsidRPr="00B15071" w:rsidRDefault="007864D8"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br w:type="page"/>
      </w:r>
      <w:r w:rsidR="00A51EA4" w:rsidRPr="00B15071">
        <w:rPr>
          <w:rFonts w:ascii="Book Antiqua" w:eastAsia="Book Antiqua" w:hAnsi="Book Antiqua" w:cs="Book Antiqua"/>
          <w:b/>
          <w:color w:val="000000"/>
          <w:u w:val="single"/>
        </w:rPr>
        <w:lastRenderedPageBreak/>
        <w:t>INTRODUCTION</w:t>
      </w:r>
    </w:p>
    <w:p w14:paraId="2B2C231E"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Complications following Roux-en-Y gastric bypass (RYGB) can be acute or chronic and can be potentially life-threatening if not immediately recognized and treated. Complications of the </w:t>
      </w:r>
      <w:proofErr w:type="spellStart"/>
      <w:r w:rsidRPr="00B15071">
        <w:rPr>
          <w:rFonts w:ascii="Book Antiqua" w:eastAsia="Book Antiqua" w:hAnsi="Book Antiqua" w:cs="Book Antiqua"/>
          <w:color w:val="000000"/>
          <w:shd w:val="clear" w:color="auto" w:fill="FFFFFF"/>
        </w:rPr>
        <w:t>pancreatobiliary</w:t>
      </w:r>
      <w:proofErr w:type="spellEnd"/>
      <w:r w:rsidRPr="00B15071">
        <w:rPr>
          <w:rFonts w:ascii="Book Antiqua" w:eastAsia="Book Antiqua" w:hAnsi="Book Antiqua" w:cs="Book Antiqua"/>
          <w:color w:val="000000"/>
          <w:shd w:val="clear" w:color="auto" w:fill="FFFFFF"/>
        </w:rPr>
        <w:t xml:space="preserve"> limb (PBL) and the excluded stomach after RYGB have been reported. However, acute gastric remnant bleeding is an infrequent complication of bariatric surgery. Endoscopic management with either push or balloon </w:t>
      </w:r>
      <w:proofErr w:type="spellStart"/>
      <w:r w:rsidRPr="00B15071">
        <w:rPr>
          <w:rFonts w:ascii="Book Antiqua" w:eastAsia="Book Antiqua" w:hAnsi="Book Antiqua" w:cs="Book Antiqua"/>
          <w:color w:val="000000"/>
          <w:shd w:val="clear" w:color="auto" w:fill="FFFFFF"/>
        </w:rPr>
        <w:t>enteroscopy</w:t>
      </w:r>
      <w:proofErr w:type="spellEnd"/>
      <w:r w:rsidRPr="00B15071">
        <w:rPr>
          <w:rFonts w:ascii="Book Antiqua" w:eastAsia="Book Antiqua" w:hAnsi="Book Antiqua" w:cs="Book Antiqua"/>
          <w:color w:val="000000"/>
          <w:shd w:val="clear" w:color="auto" w:fill="FFFFFF"/>
        </w:rPr>
        <w:t xml:space="preserve"> is challenging due to technical difficulties in accessing the excluded stomach. In most cases, surgical intervention is necessary and is the standard approach</w:t>
      </w:r>
      <w:r w:rsidRPr="00B15071">
        <w:rPr>
          <w:rFonts w:ascii="Book Antiqua" w:eastAsia="Book Antiqua" w:hAnsi="Book Antiqua" w:cs="Book Antiqua"/>
          <w:color w:val="000000"/>
          <w:shd w:val="clear" w:color="auto" w:fill="FFFFFF"/>
          <w:vertAlign w:val="superscript"/>
        </w:rPr>
        <w:t>[1,2]</w:t>
      </w:r>
      <w:r w:rsidRPr="00B15071">
        <w:rPr>
          <w:rFonts w:ascii="Book Antiqua" w:eastAsia="Book Antiqua" w:hAnsi="Book Antiqua" w:cs="Book Antiqua"/>
          <w:color w:val="000000"/>
          <w:shd w:val="clear" w:color="auto" w:fill="FFFFFF"/>
        </w:rPr>
        <w:t>.</w:t>
      </w:r>
    </w:p>
    <w:p w14:paraId="574BEDDE" w14:textId="77777777" w:rsidR="00A77B3E" w:rsidRPr="00B15071" w:rsidRDefault="00A51EA4" w:rsidP="00B15071">
      <w:pPr>
        <w:snapToGrid w:val="0"/>
        <w:spacing w:line="360" w:lineRule="auto"/>
        <w:ind w:firstLine="240"/>
        <w:jc w:val="both"/>
        <w:rPr>
          <w:rFonts w:ascii="Book Antiqua" w:hAnsi="Book Antiqua"/>
        </w:rPr>
      </w:pPr>
      <w:r w:rsidRPr="00B15071">
        <w:rPr>
          <w:rFonts w:ascii="Book Antiqua" w:eastAsia="Book Antiqua" w:hAnsi="Book Antiqua" w:cs="Book Antiqua"/>
          <w:color w:val="000000"/>
          <w:shd w:val="clear" w:color="auto" w:fill="FFFFFF"/>
        </w:rPr>
        <w:t xml:space="preserve">We present a patient who had a timely diagnosis and successful treatment with endoscopic decompression using a lumen-apposing metal stent (LAMS). This approach is more recently described under the spectrum of endoscopic ultrasound (EUS) directed </w:t>
      </w:r>
      <w:proofErr w:type="spellStart"/>
      <w:r w:rsidRPr="00B15071">
        <w:rPr>
          <w:rFonts w:ascii="Book Antiqua" w:eastAsia="Book Antiqua" w:hAnsi="Book Antiqua" w:cs="Book Antiqua"/>
          <w:color w:val="000000"/>
          <w:shd w:val="clear" w:color="auto" w:fill="FFFFFF"/>
        </w:rPr>
        <w:t>transgastric</w:t>
      </w:r>
      <w:proofErr w:type="spellEnd"/>
      <w:r w:rsidRPr="00B15071">
        <w:rPr>
          <w:rFonts w:ascii="Book Antiqua" w:eastAsia="Book Antiqua" w:hAnsi="Book Antiqua" w:cs="Book Antiqua"/>
          <w:color w:val="000000"/>
          <w:shd w:val="clear" w:color="auto" w:fill="FFFFFF"/>
        </w:rPr>
        <w:t xml:space="preserve"> intervention (EDGI). EDGI defines any EUS-directed procedure requiring </w:t>
      </w:r>
      <w:proofErr w:type="spellStart"/>
      <w:r w:rsidRPr="00B15071">
        <w:rPr>
          <w:rFonts w:ascii="Book Antiqua" w:eastAsia="Book Antiqua" w:hAnsi="Book Antiqua" w:cs="Book Antiqua"/>
          <w:color w:val="000000"/>
          <w:shd w:val="clear" w:color="auto" w:fill="FFFFFF"/>
        </w:rPr>
        <w:t>transgastric</w:t>
      </w:r>
      <w:proofErr w:type="spellEnd"/>
      <w:r w:rsidRPr="00B15071">
        <w:rPr>
          <w:rFonts w:ascii="Book Antiqua" w:eastAsia="Book Antiqua" w:hAnsi="Book Antiqua" w:cs="Book Antiqua"/>
          <w:color w:val="000000"/>
          <w:shd w:val="clear" w:color="auto" w:fill="FFFFFF"/>
        </w:rPr>
        <w:t xml:space="preserve"> intervention to adjacent luminal structures, including the gastric remnant among RYGB patients</w:t>
      </w:r>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 xml:space="preserve">. Several studies have shown EDGI to be more effective than balloon </w:t>
      </w:r>
      <w:proofErr w:type="spellStart"/>
      <w:r w:rsidRPr="00B15071">
        <w:rPr>
          <w:rFonts w:ascii="Book Antiqua" w:eastAsia="Book Antiqua" w:hAnsi="Book Antiqua" w:cs="Book Antiqua"/>
          <w:color w:val="000000"/>
          <w:shd w:val="clear" w:color="auto" w:fill="FFFFFF"/>
        </w:rPr>
        <w:t>enteroscopy</w:t>
      </w:r>
      <w:proofErr w:type="spellEnd"/>
      <w:r w:rsidRPr="00B15071">
        <w:rPr>
          <w:rFonts w:ascii="Book Antiqua" w:eastAsia="Book Antiqua" w:hAnsi="Book Antiqua" w:cs="Book Antiqua"/>
          <w:color w:val="000000"/>
          <w:shd w:val="clear" w:color="auto" w:fill="FFFFFF"/>
        </w:rPr>
        <w:t>, and equally as effective as a surgical intervention with fewer complications.</w:t>
      </w:r>
    </w:p>
    <w:p w14:paraId="16F151CA" w14:textId="77777777" w:rsidR="00A77B3E" w:rsidRPr="00B15071" w:rsidRDefault="00A77B3E" w:rsidP="00B15071">
      <w:pPr>
        <w:snapToGrid w:val="0"/>
        <w:spacing w:line="360" w:lineRule="auto"/>
        <w:jc w:val="both"/>
        <w:rPr>
          <w:rFonts w:ascii="Book Antiqua" w:hAnsi="Book Antiqua"/>
        </w:rPr>
      </w:pPr>
    </w:p>
    <w:p w14:paraId="42DB7AB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CASE PRESENTATION</w:t>
      </w:r>
    </w:p>
    <w:p w14:paraId="78FE96A3"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Chief complaints</w:t>
      </w:r>
    </w:p>
    <w:p w14:paraId="59E5F03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A 65-year-old male presented with the sudden onset of progressive abdominal distension.</w:t>
      </w:r>
    </w:p>
    <w:p w14:paraId="653D3157" w14:textId="77777777" w:rsidR="00A77B3E" w:rsidRPr="00B15071" w:rsidRDefault="00A77B3E" w:rsidP="00B15071">
      <w:pPr>
        <w:snapToGrid w:val="0"/>
        <w:spacing w:line="360" w:lineRule="auto"/>
        <w:jc w:val="both"/>
        <w:rPr>
          <w:rFonts w:ascii="Book Antiqua" w:hAnsi="Book Antiqua"/>
        </w:rPr>
      </w:pPr>
    </w:p>
    <w:p w14:paraId="779ABBC1"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History of present illness</w:t>
      </w:r>
    </w:p>
    <w:p w14:paraId="0621E39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The patient’s symptoms started two days prior and included associated nausea, dry-heaves, lightheadedness, and melena.</w:t>
      </w:r>
    </w:p>
    <w:p w14:paraId="5D23B5F2" w14:textId="77777777" w:rsidR="00A77B3E" w:rsidRPr="00B15071" w:rsidRDefault="00A77B3E" w:rsidP="00B15071">
      <w:pPr>
        <w:snapToGrid w:val="0"/>
        <w:spacing w:line="360" w:lineRule="auto"/>
        <w:jc w:val="both"/>
        <w:rPr>
          <w:rFonts w:ascii="Book Antiqua" w:hAnsi="Book Antiqua"/>
        </w:rPr>
      </w:pPr>
    </w:p>
    <w:p w14:paraId="3E07EC51"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History of past illness</w:t>
      </w:r>
    </w:p>
    <w:p w14:paraId="5101AC6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His only medical history is a remote RYGB eight years prior for weight loss.</w:t>
      </w:r>
    </w:p>
    <w:p w14:paraId="483ECD9E" w14:textId="77777777" w:rsidR="00A77B3E" w:rsidRPr="00B15071" w:rsidRDefault="00A77B3E" w:rsidP="00B15071">
      <w:pPr>
        <w:snapToGrid w:val="0"/>
        <w:spacing w:line="360" w:lineRule="auto"/>
        <w:jc w:val="both"/>
        <w:rPr>
          <w:rFonts w:ascii="Book Antiqua" w:hAnsi="Book Antiqua"/>
        </w:rPr>
      </w:pPr>
    </w:p>
    <w:p w14:paraId="2CB0E551" w14:textId="4E30D71D" w:rsidR="00EA5BA1" w:rsidRPr="00B15071" w:rsidRDefault="00EA5BA1" w:rsidP="00B15071">
      <w:pPr>
        <w:snapToGrid w:val="0"/>
        <w:spacing w:line="360" w:lineRule="auto"/>
        <w:jc w:val="both"/>
        <w:rPr>
          <w:rFonts w:ascii="Book Antiqua" w:eastAsia="Book Antiqua" w:hAnsi="Book Antiqua" w:cs="Book Antiqua"/>
          <w:b/>
          <w:i/>
          <w:color w:val="000000"/>
        </w:rPr>
      </w:pPr>
      <w:r w:rsidRPr="00B15071">
        <w:rPr>
          <w:rFonts w:ascii="Book Antiqua" w:eastAsia="Book Antiqua" w:hAnsi="Book Antiqua" w:cs="Book Antiqua"/>
          <w:b/>
          <w:i/>
          <w:color w:val="000000"/>
        </w:rPr>
        <w:lastRenderedPageBreak/>
        <w:t>Personal and family history</w:t>
      </w:r>
    </w:p>
    <w:p w14:paraId="1101F29E" w14:textId="195A182A" w:rsidR="00EA5BA1" w:rsidRPr="00B15071" w:rsidRDefault="00EA5BA1" w:rsidP="00B15071">
      <w:pPr>
        <w:snapToGrid w:val="0"/>
        <w:spacing w:line="360" w:lineRule="auto"/>
        <w:jc w:val="both"/>
        <w:rPr>
          <w:rFonts w:ascii="Book Antiqua" w:eastAsia="Book Antiqua" w:hAnsi="Book Antiqua" w:cs="Book Antiqua"/>
          <w:color w:val="000000"/>
        </w:rPr>
      </w:pPr>
      <w:r w:rsidRPr="00B15071">
        <w:rPr>
          <w:rFonts w:ascii="Book Antiqua" w:eastAsia="Book Antiqua" w:hAnsi="Book Antiqua" w:cs="Book Antiqua"/>
          <w:color w:val="000000"/>
        </w:rPr>
        <w:t>The patient denied further medical history. He also denied a history of tobacco, alcohol, and NSAID use. His father died of myocardial infarction at age 70 and his mother was diabetic. He denied a family history of gastrointestinal malignancy.</w:t>
      </w:r>
    </w:p>
    <w:p w14:paraId="305DBE87" w14:textId="77777777" w:rsidR="00EA5BA1" w:rsidRPr="00B15071" w:rsidRDefault="00EA5BA1" w:rsidP="00B15071">
      <w:pPr>
        <w:snapToGrid w:val="0"/>
        <w:spacing w:line="360" w:lineRule="auto"/>
        <w:jc w:val="both"/>
        <w:rPr>
          <w:rFonts w:ascii="Book Antiqua" w:eastAsia="Book Antiqua" w:hAnsi="Book Antiqua" w:cs="Book Antiqua"/>
          <w:b/>
          <w:i/>
          <w:color w:val="000000"/>
        </w:rPr>
      </w:pPr>
    </w:p>
    <w:p w14:paraId="2C631212"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Physical examination</w:t>
      </w:r>
    </w:p>
    <w:p w14:paraId="6FB9170D"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On presentation, he was afebrile and hemodynamically stable. However, he appeared pale with conjunctival pallor. The abdomen was distended but non-tender with normal bowel sounds. The rectal exam exhibited melena.</w:t>
      </w:r>
    </w:p>
    <w:p w14:paraId="2AB637BF" w14:textId="77777777" w:rsidR="00A77B3E" w:rsidRPr="00B15071" w:rsidRDefault="00A77B3E" w:rsidP="00B15071">
      <w:pPr>
        <w:snapToGrid w:val="0"/>
        <w:spacing w:line="360" w:lineRule="auto"/>
        <w:jc w:val="both"/>
        <w:rPr>
          <w:rFonts w:ascii="Book Antiqua" w:hAnsi="Book Antiqua"/>
        </w:rPr>
      </w:pPr>
    </w:p>
    <w:p w14:paraId="2B85752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Laboratory examinations</w:t>
      </w:r>
    </w:p>
    <w:p w14:paraId="39EB2531" w14:textId="0A1D4A1D"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Complete blood count and complete metabolic panel were notable for a hemoglobin of</w:t>
      </w:r>
      <w:r w:rsidR="00003D61">
        <w:rPr>
          <w:rFonts w:ascii="Book Antiqua" w:eastAsia="Book Antiqua" w:hAnsi="Book Antiqua" w:cs="Book Antiqua"/>
          <w:color w:val="000000"/>
          <w:shd w:val="clear" w:color="auto" w:fill="FFFFFF"/>
        </w:rPr>
        <w:t xml:space="preserve"> 12 g/</w:t>
      </w:r>
      <w:proofErr w:type="spellStart"/>
      <w:r w:rsidR="00003D61">
        <w:rPr>
          <w:rFonts w:ascii="Book Antiqua" w:eastAsia="Book Antiqua" w:hAnsi="Book Antiqua" w:cs="Book Antiqua"/>
          <w:color w:val="000000"/>
          <w:shd w:val="clear" w:color="auto" w:fill="FFFFFF"/>
        </w:rPr>
        <w:t>dL</w:t>
      </w:r>
      <w:proofErr w:type="spellEnd"/>
      <w:r w:rsidR="00003D61">
        <w:rPr>
          <w:rFonts w:ascii="Book Antiqua" w:eastAsia="Book Antiqua" w:hAnsi="Book Antiqua" w:cs="Book Antiqua"/>
          <w:color w:val="000000"/>
          <w:shd w:val="clear" w:color="auto" w:fill="FFFFFF"/>
        </w:rPr>
        <w:t xml:space="preserve"> and hematocrit of 35.8</w:t>
      </w:r>
      <w:r w:rsidR="00B329CF">
        <w:rPr>
          <w:rFonts w:ascii="Book Antiqua" w:eastAsia="Book Antiqua" w:hAnsi="Book Antiqua" w:cs="Book Antiqua"/>
          <w:color w:val="000000"/>
          <w:shd w:val="clear" w:color="auto" w:fill="FFFFFF"/>
        </w:rPr>
        <w:t>%</w:t>
      </w:r>
      <w:r w:rsidRPr="00B15071">
        <w:rPr>
          <w:rFonts w:ascii="Book Antiqua" w:eastAsia="Book Antiqua" w:hAnsi="Book Antiqua" w:cs="Book Antiqua"/>
          <w:color w:val="000000"/>
          <w:shd w:val="clear" w:color="auto" w:fill="FFFFFF"/>
        </w:rPr>
        <w:t>, which were near his baseline. His blood urea nitrogen was 23 mg/</w:t>
      </w:r>
      <w:proofErr w:type="spellStart"/>
      <w:r w:rsidRPr="00B15071">
        <w:rPr>
          <w:rFonts w:ascii="Book Antiqua" w:eastAsia="Book Antiqua" w:hAnsi="Book Antiqua" w:cs="Book Antiqua"/>
          <w:color w:val="000000"/>
          <w:shd w:val="clear" w:color="auto" w:fill="FFFFFF"/>
        </w:rPr>
        <w:t>dL</w:t>
      </w:r>
      <w:proofErr w:type="spellEnd"/>
      <w:r w:rsidRPr="00B15071">
        <w:rPr>
          <w:rFonts w:ascii="Book Antiqua" w:eastAsia="Book Antiqua" w:hAnsi="Book Antiqua" w:cs="Book Antiqua"/>
          <w:color w:val="000000"/>
          <w:shd w:val="clear" w:color="auto" w:fill="FFFFFF"/>
        </w:rPr>
        <w:t xml:space="preserve"> and his creatinine was 0.8 mg/</w:t>
      </w:r>
      <w:proofErr w:type="spellStart"/>
      <w:r w:rsidRPr="00B15071">
        <w:rPr>
          <w:rFonts w:ascii="Book Antiqua" w:eastAsia="Book Antiqua" w:hAnsi="Book Antiqua" w:cs="Book Antiqua"/>
          <w:color w:val="000000"/>
          <w:shd w:val="clear" w:color="auto" w:fill="FFFFFF"/>
        </w:rPr>
        <w:t>dL</w:t>
      </w:r>
      <w:proofErr w:type="spellEnd"/>
      <w:r w:rsidRPr="00B15071">
        <w:rPr>
          <w:rFonts w:ascii="Book Antiqua" w:eastAsia="Book Antiqua" w:hAnsi="Book Antiqua" w:cs="Book Antiqua"/>
          <w:color w:val="000000"/>
          <w:shd w:val="clear" w:color="auto" w:fill="FFFFFF"/>
        </w:rPr>
        <w:t>. The remainder of these laboratory examinations, including liver enzymes and coagulation studies, were within normal limits.</w:t>
      </w:r>
    </w:p>
    <w:p w14:paraId="0CFE971B" w14:textId="77777777" w:rsidR="00A77B3E" w:rsidRPr="00B15071" w:rsidRDefault="00A77B3E" w:rsidP="00B15071">
      <w:pPr>
        <w:snapToGrid w:val="0"/>
        <w:spacing w:line="360" w:lineRule="auto"/>
        <w:jc w:val="both"/>
        <w:rPr>
          <w:rFonts w:ascii="Book Antiqua" w:hAnsi="Book Antiqua"/>
        </w:rPr>
      </w:pPr>
    </w:p>
    <w:p w14:paraId="1DF7932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Imaging examinations</w:t>
      </w:r>
    </w:p>
    <w:p w14:paraId="3DD5A07A" w14:textId="1A490F62"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Chest </w:t>
      </w:r>
      <w:r w:rsidR="00753E7A" w:rsidRPr="00B15071">
        <w:rPr>
          <w:rFonts w:ascii="Book Antiqua" w:eastAsia="Book Antiqua" w:hAnsi="Book Antiqua" w:cs="Book Antiqua"/>
          <w:color w:val="000000"/>
          <w:shd w:val="clear" w:color="auto" w:fill="FFFFFF"/>
        </w:rPr>
        <w:t>X</w:t>
      </w:r>
      <w:r w:rsidRPr="00B15071">
        <w:rPr>
          <w:rFonts w:ascii="Book Antiqua" w:eastAsia="Book Antiqua" w:hAnsi="Book Antiqua" w:cs="Book Antiqua"/>
          <w:color w:val="000000"/>
          <w:shd w:val="clear" w:color="auto" w:fill="FFFFFF"/>
        </w:rPr>
        <w:t xml:space="preserve">-ray was normal. A subsequent </w:t>
      </w:r>
      <w:r w:rsidR="00753E7A" w:rsidRPr="00B15071">
        <w:rPr>
          <w:rFonts w:ascii="Book Antiqua" w:eastAsia="Book Antiqua" w:hAnsi="Book Antiqua" w:cs="Book Antiqua"/>
          <w:color w:val="000000"/>
          <w:shd w:val="clear" w:color="auto" w:fill="FFFFFF"/>
        </w:rPr>
        <w:t xml:space="preserve">computerized tomography </w:t>
      </w:r>
      <w:r w:rsidRPr="00B15071">
        <w:rPr>
          <w:rFonts w:ascii="Book Antiqua" w:eastAsia="Book Antiqua" w:hAnsi="Book Antiqua" w:cs="Book Antiqua"/>
          <w:color w:val="000000"/>
          <w:shd w:val="clear" w:color="auto" w:fill="FFFFFF"/>
        </w:rPr>
        <w:t>scan with intravenous contrast illustrated a massively distended stomach, which was "fluid"-filled (Figure 1).</w:t>
      </w:r>
    </w:p>
    <w:p w14:paraId="477A4994" w14:textId="77777777" w:rsidR="00A77B3E" w:rsidRPr="00B15071" w:rsidRDefault="00A77B3E" w:rsidP="00B15071">
      <w:pPr>
        <w:snapToGrid w:val="0"/>
        <w:spacing w:line="360" w:lineRule="auto"/>
        <w:jc w:val="both"/>
        <w:rPr>
          <w:rFonts w:ascii="Book Antiqua" w:hAnsi="Book Antiqua"/>
        </w:rPr>
      </w:pPr>
    </w:p>
    <w:p w14:paraId="46E57985" w14:textId="7707FE56" w:rsidR="00EA5BA1" w:rsidRPr="00B15071" w:rsidRDefault="00EA5BA1" w:rsidP="00B15071">
      <w:pPr>
        <w:pStyle w:val="NoSpacing"/>
        <w:snapToGrid w:val="0"/>
        <w:spacing w:line="360" w:lineRule="auto"/>
        <w:jc w:val="both"/>
        <w:rPr>
          <w:rFonts w:ascii="Book Antiqua" w:hAnsi="Book Antiqua" w:cs="Times New Roman"/>
          <w:b/>
          <w:i/>
          <w:iCs/>
          <w:sz w:val="24"/>
          <w:szCs w:val="24"/>
          <w:shd w:val="clear" w:color="auto" w:fill="FFFFFF"/>
        </w:rPr>
      </w:pPr>
      <w:r w:rsidRPr="00B15071">
        <w:rPr>
          <w:rFonts w:ascii="Book Antiqua" w:hAnsi="Book Antiqua" w:cs="Times New Roman"/>
          <w:b/>
          <w:i/>
          <w:iCs/>
          <w:sz w:val="24"/>
          <w:szCs w:val="24"/>
          <w:shd w:val="clear" w:color="auto" w:fill="FFFFFF"/>
        </w:rPr>
        <w:t>Further hospital course</w:t>
      </w:r>
    </w:p>
    <w:p w14:paraId="2D9A0B4F" w14:textId="08B52F11" w:rsidR="00EA5BA1" w:rsidRPr="00B15071" w:rsidRDefault="00EA5BA1" w:rsidP="00B15071">
      <w:pPr>
        <w:pStyle w:val="NoSpacing"/>
        <w:snapToGrid w:val="0"/>
        <w:spacing w:line="360" w:lineRule="auto"/>
        <w:jc w:val="both"/>
        <w:rPr>
          <w:rFonts w:ascii="Book Antiqua" w:hAnsi="Book Antiqua" w:cs="Times New Roman"/>
          <w:sz w:val="24"/>
          <w:szCs w:val="24"/>
          <w:shd w:val="clear" w:color="auto" w:fill="FFFFFF"/>
        </w:rPr>
      </w:pPr>
      <w:r w:rsidRPr="00B15071">
        <w:rPr>
          <w:rFonts w:ascii="Book Antiqua" w:hAnsi="Book Antiqua" w:cs="Times New Roman"/>
          <w:sz w:val="24"/>
          <w:szCs w:val="24"/>
          <w:shd w:val="clear" w:color="auto" w:fill="FFFFFF"/>
        </w:rPr>
        <w:t>A nasogastric tube was inserted, which did not result in any immediate drainage of fluid or decompression of his abdomen.</w:t>
      </w:r>
    </w:p>
    <w:p w14:paraId="5A7910BC" w14:textId="2AB50C8B" w:rsidR="00EA5BA1" w:rsidRPr="00B15071" w:rsidRDefault="00EA5BA1" w:rsidP="00B15071">
      <w:pPr>
        <w:pStyle w:val="NoSpacing"/>
        <w:snapToGrid w:val="0"/>
        <w:spacing w:line="360" w:lineRule="auto"/>
        <w:ind w:firstLineChars="100" w:firstLine="240"/>
        <w:jc w:val="both"/>
        <w:rPr>
          <w:rFonts w:ascii="Book Antiqua" w:hAnsi="Book Antiqua" w:cs="Times New Roman"/>
          <w:sz w:val="24"/>
          <w:szCs w:val="24"/>
          <w:shd w:val="clear" w:color="auto" w:fill="FFFFFF"/>
        </w:rPr>
      </w:pPr>
      <w:r w:rsidRPr="00B15071">
        <w:rPr>
          <w:rFonts w:ascii="Book Antiqua" w:hAnsi="Book Antiqua" w:cs="Times New Roman"/>
          <w:sz w:val="24"/>
          <w:szCs w:val="24"/>
          <w:shd w:val="clear" w:color="auto" w:fill="FFFFFF"/>
        </w:rPr>
        <w:t>He immediately underwent an emergent upper endoscopy and EUS for decompression of the gastric remnant. The endoscopy revealed a normal-appearing gastro-jejunal anastomosis without marginal ulceration or evidence of active or recent bleeding in either limb. EUS confirmed the distended "fluid"-</w:t>
      </w:r>
      <w:r w:rsidRPr="00B15071">
        <w:rPr>
          <w:rFonts w:ascii="Book Antiqua" w:hAnsi="Book Antiqua" w:cs="Times New Roman"/>
          <w:sz w:val="24"/>
          <w:szCs w:val="24"/>
          <w:shd w:val="clear" w:color="auto" w:fill="FFFFFF"/>
        </w:rPr>
        <w:lastRenderedPageBreak/>
        <w:t xml:space="preserve">filled gastric remnant. We then proceeded to decompress the gastric remnant by creating a gastro-gastrostomy using a Hot </w:t>
      </w:r>
      <w:bookmarkStart w:id="7" w:name="_Hlk41572325"/>
      <w:r w:rsidRPr="00B15071">
        <w:rPr>
          <w:rFonts w:ascii="Book Antiqua" w:hAnsi="Book Antiqua" w:cs="Times New Roman"/>
          <w:sz w:val="24"/>
          <w:szCs w:val="24"/>
          <w:shd w:val="clear" w:color="auto" w:fill="FFFFFF"/>
        </w:rPr>
        <w:t>AXIOS</w:t>
      </w:r>
      <w:r w:rsidRPr="00B15071">
        <w:rPr>
          <w:rFonts w:ascii="Book Antiqua" w:hAnsi="Book Antiqua" w:cs="Times New Roman"/>
          <w:sz w:val="24"/>
          <w:szCs w:val="24"/>
          <w:shd w:val="clear" w:color="auto" w:fill="FFFFFF"/>
          <w:vertAlign w:val="superscript"/>
        </w:rPr>
        <w:t>TM</w:t>
      </w:r>
      <w:bookmarkEnd w:id="7"/>
      <w:r w:rsidRPr="00B15071">
        <w:rPr>
          <w:rFonts w:ascii="Book Antiqua" w:hAnsi="Book Antiqua" w:cs="Times New Roman"/>
          <w:sz w:val="24"/>
          <w:szCs w:val="24"/>
          <w:shd w:val="clear" w:color="auto" w:fill="FFFFFF"/>
        </w:rPr>
        <w:t xml:space="preserve"> LAMS delivery system. Fine needle aspiration with a 19-gauge needle into the "fluid"-filled gastric remnant revealed maroon aspirate. A safe window for stent placement was found using doppler guidance. A 15 mm × 10 mm AXIOS</w:t>
      </w:r>
      <w:r w:rsidRPr="00B15071">
        <w:rPr>
          <w:rFonts w:ascii="Book Antiqua" w:hAnsi="Book Antiqua" w:cs="Times New Roman"/>
          <w:sz w:val="24"/>
          <w:szCs w:val="24"/>
          <w:shd w:val="clear" w:color="auto" w:fill="FFFFFF"/>
          <w:vertAlign w:val="superscript"/>
        </w:rPr>
        <w:t>TM</w:t>
      </w:r>
      <w:r w:rsidRPr="00B15071">
        <w:rPr>
          <w:rFonts w:ascii="Book Antiqua" w:hAnsi="Book Antiqua" w:cs="Times New Roman"/>
          <w:sz w:val="24"/>
          <w:szCs w:val="24"/>
          <w:shd w:val="clear" w:color="auto" w:fill="FFFFFF"/>
        </w:rPr>
        <w:t xml:space="preserve"> stent was deployed, first by rapidly puncturing the fluid cavity under doppler guidance with the AXIOS</w:t>
      </w:r>
      <w:r w:rsidRPr="00B15071">
        <w:rPr>
          <w:rFonts w:ascii="Book Antiqua" w:hAnsi="Book Antiqua" w:cs="Times New Roman"/>
          <w:sz w:val="24"/>
          <w:szCs w:val="24"/>
          <w:shd w:val="clear" w:color="auto" w:fill="FFFFFF"/>
          <w:vertAlign w:val="superscript"/>
        </w:rPr>
        <w:t>TM</w:t>
      </w:r>
      <w:r w:rsidRPr="00B15071">
        <w:rPr>
          <w:rFonts w:ascii="Book Antiqua" w:hAnsi="Book Antiqua" w:cs="Times New Roman"/>
          <w:sz w:val="24"/>
          <w:szCs w:val="24"/>
          <w:shd w:val="clear" w:color="auto" w:fill="FFFFFF"/>
        </w:rPr>
        <w:t xml:space="preserve"> tip electrified at 90 Watts, then by the ultrasound-controlled deployment of the inner phalange of the stent, and then finally by the endoscopy-controlled deployment of the outer phalange in the lumen of the gastric pouch. Upon deployment, maroon-colored blood immediately started draining. After extensive suctioning, the gastric remnant was decompressed (Figure 2).</w:t>
      </w:r>
    </w:p>
    <w:p w14:paraId="7183E079" w14:textId="6FF8555C" w:rsidR="00EA5BA1" w:rsidRPr="00B15071" w:rsidRDefault="00EA5BA1" w:rsidP="00B15071">
      <w:pPr>
        <w:pStyle w:val="NoSpacing"/>
        <w:snapToGrid w:val="0"/>
        <w:spacing w:line="360" w:lineRule="auto"/>
        <w:ind w:firstLineChars="100" w:firstLine="240"/>
        <w:jc w:val="both"/>
        <w:rPr>
          <w:rFonts w:ascii="Book Antiqua" w:hAnsi="Book Antiqua" w:cs="Times New Roman"/>
          <w:sz w:val="24"/>
          <w:szCs w:val="24"/>
        </w:rPr>
      </w:pPr>
      <w:r w:rsidRPr="00B15071">
        <w:rPr>
          <w:rFonts w:ascii="Book Antiqua" w:hAnsi="Book Antiqua" w:cs="Times New Roman"/>
          <w:sz w:val="24"/>
          <w:szCs w:val="24"/>
          <w:shd w:val="clear" w:color="auto" w:fill="FFFFFF"/>
        </w:rPr>
        <w:t xml:space="preserve">Next, balloon dilatation of the stent allowed a gastroscope to access the gastric remnant. Approximately two liters of blood was suctioned before a large adherent clot was visualized in the gastric antrum. Fresh blood was observed oozing around the clot (Figure 3). Endoscopic therapy was not pursued due to the sheer size of the clot and concern of stent dislodgement. The patient was sent for emergent angiography with embolization of the gastroduodenal artery (Figure 4). He remained hospitalized for two additional days. He was discharged with a stable hemoglobin level and resolution of abdominal distension and bleeding. After a three-week interval, a repeat endoscopy for evaluation of the gastric remnant through the </w:t>
      </w:r>
      <w:proofErr w:type="spellStart"/>
      <w:r w:rsidRPr="00B15071">
        <w:rPr>
          <w:rFonts w:ascii="Book Antiqua" w:hAnsi="Book Antiqua" w:cs="Times New Roman"/>
          <w:sz w:val="24"/>
          <w:szCs w:val="24"/>
          <w:shd w:val="clear" w:color="auto" w:fill="FFFFFF"/>
        </w:rPr>
        <w:t>gastrogastric</w:t>
      </w:r>
      <w:proofErr w:type="spellEnd"/>
      <w:r w:rsidRPr="00B15071">
        <w:rPr>
          <w:rFonts w:ascii="Book Antiqua" w:hAnsi="Book Antiqua" w:cs="Times New Roman"/>
          <w:sz w:val="24"/>
          <w:szCs w:val="24"/>
          <w:shd w:val="clear" w:color="auto" w:fill="FFFFFF"/>
        </w:rPr>
        <w:t xml:space="preserve"> fistula was performed. Healing superficial gastric ulcers were visualized (Figure 5). The LAMS was left in place with plans for removal at an interval date. Gastric biopsies were consistent with Helicobacter pylori infection for which the patient was treated, and successful eradication was achieved. </w:t>
      </w:r>
    </w:p>
    <w:p w14:paraId="7803DA95" w14:textId="77777777" w:rsidR="00EA5BA1" w:rsidRPr="00B15071" w:rsidRDefault="00EA5BA1" w:rsidP="00B15071">
      <w:pPr>
        <w:snapToGrid w:val="0"/>
        <w:spacing w:line="360" w:lineRule="auto"/>
        <w:jc w:val="both"/>
        <w:rPr>
          <w:rFonts w:ascii="Book Antiqua" w:eastAsia="Book Antiqua" w:hAnsi="Book Antiqua" w:cs="Book Antiqua"/>
          <w:b/>
          <w:color w:val="000000"/>
          <w:u w:val="single"/>
        </w:rPr>
      </w:pPr>
    </w:p>
    <w:p w14:paraId="798E927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FINAL DIAGNOSIS</w:t>
      </w:r>
    </w:p>
    <w:p w14:paraId="6D961AB3"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i/>
          <w:iCs/>
          <w:color w:val="000000"/>
          <w:shd w:val="clear" w:color="auto" w:fill="FFFFFF"/>
        </w:rPr>
        <w:t>Helicobacter Pylori</w:t>
      </w:r>
      <w:r w:rsidRPr="00B15071">
        <w:rPr>
          <w:rFonts w:ascii="Book Antiqua" w:eastAsia="Book Antiqua" w:hAnsi="Book Antiqua" w:cs="Book Antiqua"/>
          <w:color w:val="000000"/>
          <w:shd w:val="clear" w:color="auto" w:fill="FFFFFF"/>
        </w:rPr>
        <w:t xml:space="preserve"> infection-induced gastric remnant ulcer bleeding causing outlet obstruction.</w:t>
      </w:r>
    </w:p>
    <w:p w14:paraId="328B30DA" w14:textId="77777777" w:rsidR="00A77B3E" w:rsidRPr="00B15071" w:rsidRDefault="00A77B3E" w:rsidP="00B15071">
      <w:pPr>
        <w:snapToGrid w:val="0"/>
        <w:spacing w:line="360" w:lineRule="auto"/>
        <w:jc w:val="both"/>
        <w:rPr>
          <w:rFonts w:ascii="Book Antiqua" w:hAnsi="Book Antiqua"/>
        </w:rPr>
      </w:pPr>
    </w:p>
    <w:p w14:paraId="20DDDD5C"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lastRenderedPageBreak/>
        <w:t>TREATMENT</w:t>
      </w:r>
    </w:p>
    <w:p w14:paraId="7A81D4CE"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Endoscopic ultrasound-directed </w:t>
      </w:r>
      <w:proofErr w:type="spellStart"/>
      <w:r w:rsidRPr="00B15071">
        <w:rPr>
          <w:rFonts w:ascii="Book Antiqua" w:eastAsia="Book Antiqua" w:hAnsi="Book Antiqua" w:cs="Book Antiqua"/>
          <w:color w:val="000000"/>
          <w:shd w:val="clear" w:color="auto" w:fill="FFFFFF"/>
        </w:rPr>
        <w:t>transgastric</w:t>
      </w:r>
      <w:proofErr w:type="spellEnd"/>
      <w:r w:rsidRPr="00B15071">
        <w:rPr>
          <w:rFonts w:ascii="Book Antiqua" w:eastAsia="Book Antiqua" w:hAnsi="Book Antiqua" w:cs="Book Antiqua"/>
          <w:color w:val="000000"/>
          <w:shd w:val="clear" w:color="auto" w:fill="FFFFFF"/>
        </w:rPr>
        <w:t xml:space="preserve"> intervention, gastroduodenal artery embolization, and triple therapy including Clarithromycin, Amoxicillin, and Pantoprazole dosed twice daily for a duration of 14 d. This was the treatment of choice given low rates of Clarithromycin resistance in our area and lack of patient risk factors for Clarithromycin resistance.</w:t>
      </w:r>
    </w:p>
    <w:p w14:paraId="61CDE07D" w14:textId="77777777" w:rsidR="00A77B3E" w:rsidRPr="00B15071" w:rsidRDefault="00A77B3E" w:rsidP="00B15071">
      <w:pPr>
        <w:snapToGrid w:val="0"/>
        <w:spacing w:line="360" w:lineRule="auto"/>
        <w:jc w:val="both"/>
        <w:rPr>
          <w:rFonts w:ascii="Book Antiqua" w:hAnsi="Book Antiqua"/>
        </w:rPr>
      </w:pPr>
    </w:p>
    <w:p w14:paraId="322A0CC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OUTCOME AND FOLLOW-UP</w:t>
      </w:r>
    </w:p>
    <w:p w14:paraId="12390151"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The patient recovered well without complications or weight gain. He completed the course of triple therapy and has not had a recurrence of symptoms. Successful eradication was achieved. He is scheduled for retrieval of his lumen apposing metal stent.</w:t>
      </w:r>
    </w:p>
    <w:p w14:paraId="2FF43DCB" w14:textId="77777777" w:rsidR="00A77B3E" w:rsidRPr="00B15071" w:rsidRDefault="00A77B3E" w:rsidP="00B15071">
      <w:pPr>
        <w:snapToGrid w:val="0"/>
        <w:spacing w:line="360" w:lineRule="auto"/>
        <w:jc w:val="both"/>
        <w:rPr>
          <w:rFonts w:ascii="Book Antiqua" w:hAnsi="Book Antiqua"/>
        </w:rPr>
      </w:pPr>
    </w:p>
    <w:p w14:paraId="47F3658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DISCUSSION</w:t>
      </w:r>
    </w:p>
    <w:p w14:paraId="5F8A71D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Marginal ulcers comprise the vast majority of gastrointestinal bleeding complications in patients who have undergone a RYGB, with an estimated incidence of 0.6%-16%</w:t>
      </w:r>
      <w:r w:rsidRPr="00B15071">
        <w:rPr>
          <w:rFonts w:ascii="Book Antiqua" w:eastAsia="Book Antiqua" w:hAnsi="Book Antiqua" w:cs="Book Antiqua"/>
          <w:color w:val="000000"/>
          <w:vertAlign w:val="superscript"/>
        </w:rPr>
        <w:t>[4]</w:t>
      </w:r>
      <w:r w:rsidRPr="00B15071">
        <w:rPr>
          <w:rFonts w:ascii="Book Antiqua" w:eastAsia="Book Antiqua" w:hAnsi="Book Antiqua" w:cs="Book Antiqua"/>
          <w:color w:val="000000"/>
        </w:rPr>
        <w:t>. Marginal ulcers are easily diagnosed and treated with conventional upper endoscopy. However, ulceration of the gastric remnant or duodenum is rare, with approximately 25 reported cases in the literature</w:t>
      </w:r>
      <w:r w:rsidRPr="00B15071">
        <w:rPr>
          <w:rFonts w:ascii="Book Antiqua" w:eastAsia="Book Antiqua" w:hAnsi="Book Antiqua" w:cs="Book Antiqua"/>
          <w:color w:val="000000"/>
          <w:vertAlign w:val="superscript"/>
        </w:rPr>
        <w:t>[5-10]</w:t>
      </w:r>
      <w:r w:rsidRPr="00B15071">
        <w:rPr>
          <w:rFonts w:ascii="Book Antiqua" w:eastAsia="Book Antiqua" w:hAnsi="Book Antiqua" w:cs="Book Antiqua"/>
          <w:color w:val="000000"/>
        </w:rPr>
        <w:t xml:space="preserve">. Risk factors for developing such ulcers include hyperacidity of the gastric remnant without the buffering effect of ingested food, bile acid reflux, NSAIDs use, and </w:t>
      </w:r>
      <w:r w:rsidRPr="00B15071">
        <w:rPr>
          <w:rFonts w:ascii="Book Antiqua" w:eastAsia="Book Antiqua" w:hAnsi="Book Antiqua" w:cs="Book Antiqua"/>
          <w:i/>
          <w:iCs/>
          <w:color w:val="000000"/>
        </w:rPr>
        <w:t>Helicobacter pylori</w:t>
      </w:r>
      <w:r w:rsidRPr="00B15071">
        <w:rPr>
          <w:rFonts w:ascii="Book Antiqua" w:eastAsia="Book Antiqua" w:hAnsi="Book Antiqua" w:cs="Book Antiqua"/>
          <w:color w:val="000000"/>
        </w:rPr>
        <w:t xml:space="preserve"> infection</w:t>
      </w:r>
      <w:r w:rsidRPr="00B15071">
        <w:rPr>
          <w:rFonts w:ascii="Book Antiqua" w:eastAsia="Book Antiqua" w:hAnsi="Book Antiqua" w:cs="Book Antiqua"/>
          <w:color w:val="000000"/>
          <w:vertAlign w:val="superscript"/>
        </w:rPr>
        <w:t>[9]</w:t>
      </w:r>
      <w:r w:rsidRPr="00B15071">
        <w:rPr>
          <w:rFonts w:ascii="Book Antiqua" w:eastAsia="Book Antiqua" w:hAnsi="Book Antiqua" w:cs="Book Antiqua"/>
          <w:color w:val="000000"/>
        </w:rPr>
        <w:t>. Most instances of obstruction of the gastric remnant were due to malignancy. Pyloric stenosis was reported as a benign etiology in only one case study</w:t>
      </w:r>
      <w:r w:rsidRPr="00B15071">
        <w:rPr>
          <w:rFonts w:ascii="Book Antiqua" w:eastAsia="Book Antiqua" w:hAnsi="Book Antiqua" w:cs="Book Antiqua"/>
          <w:color w:val="000000"/>
          <w:vertAlign w:val="superscript"/>
        </w:rPr>
        <w:t>[11]</w:t>
      </w:r>
      <w:r w:rsidRPr="00B15071">
        <w:rPr>
          <w:rFonts w:ascii="Book Antiqua" w:eastAsia="Book Antiqua" w:hAnsi="Book Antiqua" w:cs="Book Antiqua"/>
          <w:color w:val="000000"/>
        </w:rPr>
        <w:t>. We were unable to uncover any instances of outlet obstruction of the gastric remnant caused by bleeding ulcers.</w:t>
      </w:r>
    </w:p>
    <w:p w14:paraId="5D3D11E0" w14:textId="77777777" w:rsidR="00A77B3E" w:rsidRPr="00B15071" w:rsidRDefault="00A51EA4" w:rsidP="00B15071">
      <w:pPr>
        <w:snapToGrid w:val="0"/>
        <w:spacing w:line="360" w:lineRule="auto"/>
        <w:ind w:firstLine="240"/>
        <w:jc w:val="both"/>
        <w:rPr>
          <w:rFonts w:ascii="Book Antiqua" w:hAnsi="Book Antiqua"/>
        </w:rPr>
      </w:pPr>
      <w:r w:rsidRPr="00B15071">
        <w:rPr>
          <w:rFonts w:ascii="Book Antiqua" w:eastAsia="Book Antiqua" w:hAnsi="Book Antiqua" w:cs="Book Antiqua"/>
          <w:color w:val="000000"/>
        </w:rPr>
        <w:t xml:space="preserve">Historically, ulceration of the gastric remnant and duodenum has been treated by laparotomy and endoscopy through either a surgical gastrostomy or by </w:t>
      </w:r>
      <w:proofErr w:type="spellStart"/>
      <w:r w:rsidRPr="00B15071">
        <w:rPr>
          <w:rFonts w:ascii="Book Antiqua" w:eastAsia="Book Antiqua" w:hAnsi="Book Antiqua" w:cs="Book Antiqua"/>
          <w:color w:val="000000"/>
        </w:rPr>
        <w:t>enteroscopy</w:t>
      </w:r>
      <w:proofErr w:type="spellEnd"/>
      <w:r w:rsidRPr="00B15071">
        <w:rPr>
          <w:rFonts w:ascii="Book Antiqua" w:eastAsia="Book Antiqua" w:hAnsi="Book Antiqua" w:cs="Book Antiqua"/>
          <w:color w:val="000000"/>
        </w:rPr>
        <w:t xml:space="preserve">. Hakim </w:t>
      </w:r>
      <w:r w:rsidRPr="00B15071">
        <w:rPr>
          <w:rFonts w:ascii="Book Antiqua" w:eastAsia="Book Antiqua" w:hAnsi="Book Antiqua" w:cs="Book Antiqua"/>
          <w:i/>
          <w:iCs/>
          <w:color w:val="000000"/>
        </w:rPr>
        <w:t>et al</w:t>
      </w:r>
      <w:r w:rsidRPr="00B15071">
        <w:rPr>
          <w:rFonts w:ascii="Book Antiqua" w:eastAsia="Book Antiqua" w:hAnsi="Book Antiqua" w:cs="Book Antiqua"/>
          <w:color w:val="000000"/>
          <w:vertAlign w:val="superscript"/>
        </w:rPr>
        <w:t>[9]</w:t>
      </w:r>
      <w:r w:rsidRPr="00B15071">
        <w:rPr>
          <w:rFonts w:ascii="Book Antiqua" w:eastAsia="Book Antiqua" w:hAnsi="Book Antiqua" w:cs="Book Antiqua"/>
          <w:color w:val="000000"/>
        </w:rPr>
        <w:t xml:space="preserve"> describe two cases of afferent limb bleeding with successful exploration and treatment by push </w:t>
      </w:r>
      <w:proofErr w:type="spellStart"/>
      <w:r w:rsidRPr="00B15071">
        <w:rPr>
          <w:rFonts w:ascii="Book Antiqua" w:eastAsia="Book Antiqua" w:hAnsi="Book Antiqua" w:cs="Book Antiqua"/>
          <w:color w:val="000000"/>
        </w:rPr>
        <w:t>enteroscopy</w:t>
      </w:r>
      <w:proofErr w:type="spellEnd"/>
      <w:r w:rsidRPr="00B15071">
        <w:rPr>
          <w:rFonts w:ascii="Book Antiqua" w:eastAsia="Book Antiqua" w:hAnsi="Book Antiqua" w:cs="Book Antiqua"/>
          <w:color w:val="000000"/>
        </w:rPr>
        <w:t xml:space="preserve"> or single-balloon </w:t>
      </w:r>
      <w:proofErr w:type="spellStart"/>
      <w:r w:rsidRPr="00B15071">
        <w:rPr>
          <w:rFonts w:ascii="Book Antiqua" w:eastAsia="Book Antiqua" w:hAnsi="Book Antiqua" w:cs="Book Antiqua"/>
          <w:color w:val="000000"/>
        </w:rPr>
        <w:t>enteroscopy</w:t>
      </w:r>
      <w:proofErr w:type="spellEnd"/>
      <w:r w:rsidRPr="00B15071">
        <w:rPr>
          <w:rFonts w:ascii="Book Antiqua" w:eastAsia="Book Antiqua" w:hAnsi="Book Antiqua" w:cs="Book Antiqua"/>
          <w:color w:val="000000"/>
          <w:vertAlign w:val="superscript"/>
        </w:rPr>
        <w:t>[9]</w:t>
      </w:r>
      <w:r w:rsidRPr="00B15071">
        <w:rPr>
          <w:rFonts w:ascii="Book Antiqua" w:eastAsia="Book Antiqua" w:hAnsi="Book Antiqua" w:cs="Book Antiqua"/>
          <w:color w:val="000000"/>
        </w:rPr>
        <w:t xml:space="preserve">. However, this method is not always successful due to difficulty </w:t>
      </w:r>
      <w:r w:rsidRPr="00B15071">
        <w:rPr>
          <w:rFonts w:ascii="Book Antiqua" w:eastAsia="Book Antiqua" w:hAnsi="Book Antiqua" w:cs="Book Antiqua"/>
          <w:color w:val="000000"/>
        </w:rPr>
        <w:lastRenderedPageBreak/>
        <w:t>intubating the excluded segment. The low success rate is due to difficulty reaching the duodenum and gastric remnant</w:t>
      </w:r>
      <w:r w:rsidRPr="00B15071">
        <w:rPr>
          <w:rFonts w:ascii="Book Antiqua" w:eastAsia="Book Antiqua" w:hAnsi="Book Antiqua" w:cs="Book Antiqua"/>
          <w:color w:val="000000"/>
          <w:vertAlign w:val="superscript"/>
        </w:rPr>
        <w:t>[1,2]</w:t>
      </w:r>
      <w:r w:rsidRPr="00B15071">
        <w:rPr>
          <w:rFonts w:ascii="Book Antiqua" w:eastAsia="Book Antiqua" w:hAnsi="Book Antiqua" w:cs="Book Antiqua"/>
          <w:color w:val="000000"/>
        </w:rPr>
        <w:t>.</w:t>
      </w:r>
    </w:p>
    <w:p w14:paraId="0AE3AC00" w14:textId="77777777" w:rsidR="00A77B3E" w:rsidRPr="00B15071" w:rsidRDefault="00A51EA4" w:rsidP="00B15071">
      <w:pPr>
        <w:snapToGrid w:val="0"/>
        <w:spacing w:line="360" w:lineRule="auto"/>
        <w:ind w:firstLine="240"/>
        <w:jc w:val="both"/>
        <w:rPr>
          <w:rFonts w:ascii="Book Antiqua" w:hAnsi="Book Antiqua"/>
        </w:rPr>
      </w:pPr>
      <w:r w:rsidRPr="00B15071">
        <w:rPr>
          <w:rFonts w:ascii="Book Antiqua" w:eastAsia="Book Antiqua" w:hAnsi="Book Antiqua" w:cs="Book Antiqua"/>
          <w:color w:val="000000"/>
        </w:rPr>
        <w:t xml:space="preserve">Our case supports the use of an alternative and less invasive approach to gastric outlet obstruction of the gastric remnant through EUS-directed creation of </w:t>
      </w:r>
      <w:proofErr w:type="spellStart"/>
      <w:r w:rsidRPr="00B15071">
        <w:rPr>
          <w:rFonts w:ascii="Book Antiqua" w:eastAsia="Book Antiqua" w:hAnsi="Book Antiqua" w:cs="Book Antiqua"/>
          <w:color w:val="000000"/>
        </w:rPr>
        <w:t>gastrogastrostomy</w:t>
      </w:r>
      <w:proofErr w:type="spellEnd"/>
      <w:r w:rsidRPr="00B15071">
        <w:rPr>
          <w:rFonts w:ascii="Book Antiqua" w:eastAsia="Book Antiqua" w:hAnsi="Book Antiqua" w:cs="Book Antiqua"/>
          <w:color w:val="000000"/>
        </w:rPr>
        <w:t xml:space="preserve"> with a LAMS. This method is diagnostic, giving the operator the ability to visualize the pathological process by an antegrade approach. It is also therapeutic, forming a conduit by which built up secretions and blood can drain into the patent roux limb, as well as allowing for endoscopic hemostasis to be attempted. </w:t>
      </w:r>
      <w:r w:rsidRPr="00B15071">
        <w:rPr>
          <w:rFonts w:ascii="Book Antiqua" w:eastAsia="Book Antiqua" w:hAnsi="Book Antiqua" w:cs="Book Antiqua"/>
          <w:color w:val="000000"/>
          <w:shd w:val="clear" w:color="auto" w:fill="FFFFFF"/>
        </w:rPr>
        <w:t xml:space="preserve">The necessity to treat pancreaticobiliary disease with ERCP following a RYGB has resulted in the advent of EUS-directed </w:t>
      </w:r>
      <w:proofErr w:type="spellStart"/>
      <w:r w:rsidRPr="00B15071">
        <w:rPr>
          <w:rFonts w:ascii="Book Antiqua" w:eastAsia="Book Antiqua" w:hAnsi="Book Antiqua" w:cs="Book Antiqua"/>
          <w:color w:val="000000"/>
          <w:shd w:val="clear" w:color="auto" w:fill="FFFFFF"/>
        </w:rPr>
        <w:t>transgastric</w:t>
      </w:r>
      <w:proofErr w:type="spellEnd"/>
      <w:r w:rsidRPr="00B15071">
        <w:rPr>
          <w:rFonts w:ascii="Book Antiqua" w:eastAsia="Book Antiqua" w:hAnsi="Book Antiqua" w:cs="Book Antiqua"/>
          <w:color w:val="000000"/>
          <w:shd w:val="clear" w:color="auto" w:fill="FFFFFF"/>
        </w:rPr>
        <w:t xml:space="preserve"> ERCP (EDGE). More recently, this method has been grouped under the umbrella term "EDGI", a phrase coined by </w:t>
      </w:r>
      <w:proofErr w:type="spellStart"/>
      <w:r w:rsidRPr="00B15071">
        <w:rPr>
          <w:rFonts w:ascii="Book Antiqua" w:eastAsia="Book Antiqua" w:hAnsi="Book Antiqua" w:cs="Book Antiqua"/>
          <w:color w:val="000000"/>
          <w:shd w:val="clear" w:color="auto" w:fill="FFFFFF"/>
        </w:rPr>
        <w:t>Krafft</w:t>
      </w:r>
      <w:proofErr w:type="spellEnd"/>
      <w:r w:rsidRPr="00B15071">
        <w:rPr>
          <w:rFonts w:ascii="Book Antiqua" w:eastAsia="Book Antiqua" w:hAnsi="Book Antiqua" w:cs="Book Antiqua"/>
          <w:color w:val="000000"/>
          <w:shd w:val="clear" w:color="auto" w:fill="FFFFFF"/>
        </w:rPr>
        <w:t xml:space="preserve"> </w:t>
      </w:r>
      <w:r w:rsidRPr="00B15071">
        <w:rPr>
          <w:rFonts w:ascii="Book Antiqua" w:eastAsia="Book Antiqua" w:hAnsi="Book Antiqua" w:cs="Book Antiqua"/>
          <w:i/>
          <w:iCs/>
          <w:color w:val="000000"/>
          <w:shd w:val="clear" w:color="auto" w:fill="FFFFFF"/>
        </w:rPr>
        <w:t>et al</w:t>
      </w:r>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 xml:space="preserve"> to highlight the increasing use of this method for accessing the PBL for other diagnostic and therapeutic interventions in addition to ERCP</w:t>
      </w:r>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w:t>
      </w:r>
    </w:p>
    <w:p w14:paraId="5B4A2582" w14:textId="0FCBEE7C" w:rsidR="00A77B3E" w:rsidRPr="00B15071" w:rsidRDefault="00A51EA4" w:rsidP="00B15071">
      <w:pPr>
        <w:snapToGrid w:val="0"/>
        <w:spacing w:line="360" w:lineRule="auto"/>
        <w:ind w:firstLine="240"/>
        <w:jc w:val="both"/>
        <w:rPr>
          <w:rFonts w:ascii="Book Antiqua" w:hAnsi="Book Antiqua"/>
        </w:rPr>
      </w:pPr>
      <w:r w:rsidRPr="00B15071">
        <w:rPr>
          <w:rFonts w:ascii="Book Antiqua" w:eastAsia="Book Antiqua" w:hAnsi="Book Antiqua" w:cs="Book Antiqua"/>
          <w:color w:val="000000"/>
          <w:shd w:val="clear" w:color="auto" w:fill="FFFFFF"/>
        </w:rPr>
        <w:t xml:space="preserve">Studies on EDGE have shown EUS-directed access of the gastric remnant to be clinically safe and effective. Xu </w:t>
      </w:r>
      <w:r w:rsidRPr="00B15071">
        <w:rPr>
          <w:rFonts w:ascii="Book Antiqua" w:eastAsia="Book Antiqua" w:hAnsi="Book Antiqua" w:cs="Book Antiqua"/>
          <w:i/>
          <w:iCs/>
          <w:color w:val="000000"/>
          <w:shd w:val="clear" w:color="auto" w:fill="FFFFFF"/>
        </w:rPr>
        <w:t>et al</w:t>
      </w:r>
      <w:r w:rsidRPr="00B15071">
        <w:rPr>
          <w:rFonts w:ascii="Book Antiqua" w:eastAsia="Book Antiqua" w:hAnsi="Book Antiqua" w:cs="Book Antiqua"/>
          <w:color w:val="000000"/>
          <w:shd w:val="clear" w:color="auto" w:fill="FFFFFF"/>
          <w:vertAlign w:val="superscript"/>
        </w:rPr>
        <w:t>[12]</w:t>
      </w:r>
      <w:r w:rsidRPr="00B15071">
        <w:rPr>
          <w:rFonts w:ascii="Book Antiqua" w:eastAsia="Book Antiqua" w:hAnsi="Book Antiqua" w:cs="Book Antiqua"/>
          <w:color w:val="000000"/>
          <w:shd w:val="clear" w:color="auto" w:fill="FFFFFF"/>
        </w:rPr>
        <w:t xml:space="preserve"> describe a case of bile leak that was successfully treated with ERCP performed through a </w:t>
      </w:r>
      <w:proofErr w:type="spellStart"/>
      <w:r w:rsidRPr="00B15071">
        <w:rPr>
          <w:rFonts w:ascii="Book Antiqua" w:eastAsia="Book Antiqua" w:hAnsi="Book Antiqua" w:cs="Book Antiqua"/>
          <w:color w:val="000000"/>
          <w:shd w:val="clear" w:color="auto" w:fill="FFFFFF"/>
        </w:rPr>
        <w:t>gastrogastrostomy</w:t>
      </w:r>
      <w:proofErr w:type="spellEnd"/>
      <w:r w:rsidRPr="00B15071">
        <w:rPr>
          <w:rFonts w:ascii="Book Antiqua" w:eastAsia="Book Antiqua" w:hAnsi="Book Antiqua" w:cs="Book Antiqua"/>
          <w:color w:val="000000"/>
          <w:shd w:val="clear" w:color="auto" w:fill="FFFFFF"/>
        </w:rPr>
        <w:t xml:space="preserve"> formed by EUS-directed LAMS placement</w:t>
      </w:r>
      <w:r w:rsidRPr="00B15071">
        <w:rPr>
          <w:rFonts w:ascii="Book Antiqua" w:eastAsia="Book Antiqua" w:hAnsi="Book Antiqua" w:cs="Book Antiqua"/>
          <w:color w:val="000000"/>
          <w:shd w:val="clear" w:color="auto" w:fill="FFFFFF"/>
          <w:vertAlign w:val="superscript"/>
        </w:rPr>
        <w:t>[12]</w:t>
      </w:r>
      <w:r w:rsidRPr="00B15071">
        <w:rPr>
          <w:rFonts w:ascii="Book Antiqua" w:eastAsia="Book Antiqua" w:hAnsi="Book Antiqua" w:cs="Book Antiqua"/>
          <w:color w:val="000000"/>
          <w:shd w:val="clear" w:color="auto" w:fill="FFFFFF"/>
        </w:rPr>
        <w:t xml:space="preserve">. The high success rate of accessing the PBL by EUS guidance is highlighted by </w:t>
      </w:r>
      <w:proofErr w:type="spellStart"/>
      <w:r w:rsidRPr="00B15071">
        <w:rPr>
          <w:rFonts w:ascii="Book Antiqua" w:eastAsia="Book Antiqua" w:hAnsi="Book Antiqua" w:cs="Book Antiqua"/>
          <w:color w:val="000000"/>
          <w:shd w:val="clear" w:color="auto" w:fill="FFFFFF"/>
        </w:rPr>
        <w:t>Kedia</w:t>
      </w:r>
      <w:proofErr w:type="spellEnd"/>
      <w:r w:rsidRPr="00B15071">
        <w:rPr>
          <w:rFonts w:ascii="Book Antiqua" w:eastAsia="Book Antiqua" w:hAnsi="Book Antiqua" w:cs="Book Antiqua"/>
          <w:color w:val="000000"/>
          <w:shd w:val="clear" w:color="auto" w:fill="FFFFFF"/>
        </w:rPr>
        <w:t xml:space="preserve"> </w:t>
      </w:r>
      <w:r w:rsidRPr="00B15071">
        <w:rPr>
          <w:rFonts w:ascii="Book Antiqua" w:eastAsia="Book Antiqua" w:hAnsi="Book Antiqua" w:cs="Book Antiqua"/>
          <w:i/>
          <w:iCs/>
          <w:color w:val="000000"/>
          <w:shd w:val="clear" w:color="auto" w:fill="FFFFFF"/>
        </w:rPr>
        <w:t>et al</w:t>
      </w:r>
      <w:r w:rsidR="00753E7A" w:rsidRPr="00B15071">
        <w:rPr>
          <w:rFonts w:ascii="Book Antiqua" w:eastAsia="Book Antiqua" w:hAnsi="Book Antiqua" w:cs="Book Antiqua"/>
          <w:color w:val="000000"/>
          <w:shd w:val="clear" w:color="auto" w:fill="FFFFFF"/>
          <w:vertAlign w:val="superscript"/>
        </w:rPr>
        <w:t>[13</w:t>
      </w:r>
      <w:r w:rsidRPr="00B15071">
        <w:rPr>
          <w:rFonts w:ascii="Book Antiqua" w:eastAsia="Book Antiqua" w:hAnsi="Book Antiqua" w:cs="Book Antiqua"/>
          <w:color w:val="000000"/>
          <w:shd w:val="clear" w:color="auto" w:fill="FFFFFF"/>
          <w:vertAlign w:val="superscript"/>
        </w:rPr>
        <w:t>]</w:t>
      </w:r>
      <w:r w:rsidRPr="00B15071">
        <w:rPr>
          <w:rFonts w:ascii="Book Antiqua" w:eastAsia="Book Antiqua" w:hAnsi="Book Antiqua" w:cs="Book Antiqua"/>
          <w:color w:val="000000"/>
          <w:shd w:val="clear" w:color="auto" w:fill="FFFFFF"/>
        </w:rPr>
        <w:t xml:space="preserve">. In their study, technical success, which was defined as successful deployment of LAMS to form either </w:t>
      </w:r>
      <w:proofErr w:type="spellStart"/>
      <w:r w:rsidRPr="00B15071">
        <w:rPr>
          <w:rFonts w:ascii="Book Antiqua" w:eastAsia="Book Antiqua" w:hAnsi="Book Antiqua" w:cs="Book Antiqua"/>
          <w:color w:val="000000"/>
          <w:shd w:val="clear" w:color="auto" w:fill="FFFFFF"/>
        </w:rPr>
        <w:t>gastrogastrostomy</w:t>
      </w:r>
      <w:proofErr w:type="spellEnd"/>
      <w:r w:rsidRPr="00B15071">
        <w:rPr>
          <w:rFonts w:ascii="Book Antiqua" w:eastAsia="Book Antiqua" w:hAnsi="Book Antiqua" w:cs="Book Antiqua"/>
          <w:color w:val="000000"/>
          <w:shd w:val="clear" w:color="auto" w:fill="FFFFFF"/>
        </w:rPr>
        <w:t xml:space="preserve"> or </w:t>
      </w:r>
      <w:proofErr w:type="spellStart"/>
      <w:r w:rsidRPr="00B15071">
        <w:rPr>
          <w:rFonts w:ascii="Book Antiqua" w:eastAsia="Book Antiqua" w:hAnsi="Book Antiqua" w:cs="Book Antiqua"/>
          <w:color w:val="000000"/>
          <w:shd w:val="clear" w:color="auto" w:fill="FFFFFF"/>
        </w:rPr>
        <w:t>jejunogastrostomy</w:t>
      </w:r>
      <w:proofErr w:type="spellEnd"/>
      <w:r w:rsidRPr="00B15071">
        <w:rPr>
          <w:rFonts w:ascii="Book Antiqua" w:eastAsia="Book Antiqua" w:hAnsi="Book Antiqua" w:cs="Book Antiqua"/>
          <w:color w:val="000000"/>
          <w:shd w:val="clear" w:color="auto" w:fill="FFFFFF"/>
        </w:rPr>
        <w:t xml:space="preserve">, was 100%. Clinical success, which was defined as successful endoscopy through the LAMS, was 90%. Complications included LAMS migration at the index procedure in three patients and jejunal perforation with the insertion of the </w:t>
      </w:r>
      <w:proofErr w:type="spellStart"/>
      <w:r w:rsidRPr="00B15071">
        <w:rPr>
          <w:rFonts w:ascii="Book Antiqua" w:eastAsia="Book Antiqua" w:hAnsi="Book Antiqua" w:cs="Book Antiqua"/>
          <w:color w:val="000000"/>
          <w:shd w:val="clear" w:color="auto" w:fill="FFFFFF"/>
        </w:rPr>
        <w:t>duodenoscope</w:t>
      </w:r>
      <w:proofErr w:type="spellEnd"/>
      <w:r w:rsidRPr="00B15071">
        <w:rPr>
          <w:rFonts w:ascii="Book Antiqua" w:eastAsia="Book Antiqua" w:hAnsi="Book Antiqua" w:cs="Book Antiqua"/>
          <w:color w:val="000000"/>
          <w:shd w:val="clear" w:color="auto" w:fill="FFFFFF"/>
        </w:rPr>
        <w:t xml:space="preserve"> through the LAMS in one patient. Importantly, none of these patients suffered from clinical sequelae or necessitated surgical intervention</w:t>
      </w:r>
      <w:r w:rsidRPr="00B15071">
        <w:rPr>
          <w:rFonts w:ascii="Book Antiqua" w:eastAsia="Book Antiqua" w:hAnsi="Book Antiqua" w:cs="Book Antiqua"/>
          <w:color w:val="000000"/>
          <w:shd w:val="clear" w:color="auto" w:fill="FFFFFF"/>
          <w:vertAlign w:val="superscript"/>
        </w:rPr>
        <w:t>[13,14]</w:t>
      </w:r>
      <w:r w:rsidRPr="00B15071">
        <w:rPr>
          <w:rFonts w:ascii="Book Antiqua" w:eastAsia="Book Antiqua" w:hAnsi="Book Antiqua" w:cs="Book Antiqua"/>
          <w:color w:val="000000"/>
          <w:shd w:val="clear" w:color="auto" w:fill="FFFFFF"/>
        </w:rPr>
        <w:t>.</w:t>
      </w:r>
    </w:p>
    <w:p w14:paraId="468DDE31" w14:textId="0F4C877B" w:rsidR="00A77B3E" w:rsidRPr="00B15071" w:rsidRDefault="002E7E61" w:rsidP="00B15071">
      <w:pPr>
        <w:snapToGrid w:val="0"/>
        <w:spacing w:line="360" w:lineRule="auto"/>
        <w:ind w:firstLine="240"/>
        <w:jc w:val="both"/>
        <w:rPr>
          <w:rFonts w:ascii="Book Antiqua" w:hAnsi="Book Antiqua"/>
        </w:rPr>
      </w:pPr>
      <w:r w:rsidRPr="00B15071">
        <w:rPr>
          <w:rFonts w:ascii="Book Antiqua" w:eastAsia="Book Antiqua" w:hAnsi="Book Antiqua" w:cs="Book Antiqua"/>
          <w:color w:val="000000"/>
          <w:shd w:val="clear" w:color="auto" w:fill="FFFFFF"/>
        </w:rPr>
        <w:t xml:space="preserve">An </w:t>
      </w:r>
      <w:r w:rsidR="00A51EA4" w:rsidRPr="00B15071">
        <w:rPr>
          <w:rFonts w:ascii="Book Antiqua" w:eastAsia="Book Antiqua" w:hAnsi="Book Antiqua" w:cs="Book Antiqua"/>
          <w:color w:val="000000"/>
          <w:shd w:val="clear" w:color="auto" w:fill="FFFFFF"/>
        </w:rPr>
        <w:t xml:space="preserve">international, multicenter study of patients who demonstrated the safety and efficacy of EDGI for either benign or malignant gastric outlet obstruction. Not only was the success rate comparable to the surgical approach, but it also was successful as salvage therapy for patients who failed surgery. Adverse </w:t>
      </w:r>
      <w:r w:rsidR="00A51EA4" w:rsidRPr="00B15071">
        <w:rPr>
          <w:rFonts w:ascii="Book Antiqua" w:eastAsia="Book Antiqua" w:hAnsi="Book Antiqua" w:cs="Book Antiqua"/>
          <w:color w:val="000000"/>
          <w:shd w:val="clear" w:color="auto" w:fill="FFFFFF"/>
        </w:rPr>
        <w:lastRenderedPageBreak/>
        <w:t>events occurred in 11.5%. In comparison, the complication rate of surgical gastrojejunostomy has been reported to be as high as 40%</w:t>
      </w:r>
      <w:r w:rsidR="00A51EA4" w:rsidRPr="00B15071">
        <w:rPr>
          <w:rFonts w:ascii="Book Antiqua" w:eastAsia="Book Antiqua" w:hAnsi="Book Antiqua" w:cs="Book Antiqua"/>
          <w:color w:val="000000"/>
          <w:shd w:val="clear" w:color="auto" w:fill="FFFFFF"/>
          <w:vertAlign w:val="superscript"/>
        </w:rPr>
        <w:t>[15]</w:t>
      </w:r>
      <w:r w:rsidR="00A51EA4" w:rsidRPr="00B15071">
        <w:rPr>
          <w:rFonts w:ascii="Book Antiqua" w:eastAsia="Book Antiqua" w:hAnsi="Book Antiqua" w:cs="Book Antiqua"/>
          <w:color w:val="000000"/>
          <w:shd w:val="clear" w:color="auto" w:fill="FFFFFF"/>
        </w:rPr>
        <w:t xml:space="preserve">. Follow-up data after EDGE for these patients revealed no symptom recurrence after a mean follow-up of 7.9 </w:t>
      </w:r>
      <w:proofErr w:type="spellStart"/>
      <w:r w:rsidR="00A51EA4" w:rsidRPr="00B15071">
        <w:rPr>
          <w:rFonts w:ascii="Book Antiqua" w:eastAsia="Book Antiqua" w:hAnsi="Book Antiqua" w:cs="Book Antiqua"/>
          <w:color w:val="000000"/>
          <w:shd w:val="clear" w:color="auto" w:fill="FFFFFF"/>
        </w:rPr>
        <w:t>wk</w:t>
      </w:r>
      <w:proofErr w:type="spellEnd"/>
      <w:r w:rsidR="00A51EA4" w:rsidRPr="00B15071">
        <w:rPr>
          <w:rFonts w:ascii="Book Antiqua" w:eastAsia="Book Antiqua" w:hAnsi="Book Antiqua" w:cs="Book Antiqua"/>
          <w:color w:val="000000"/>
          <w:shd w:val="clear" w:color="auto" w:fill="FFFFFF"/>
        </w:rPr>
        <w:t xml:space="preserve"> in the clinically successful cases</w:t>
      </w:r>
      <w:r w:rsidR="00A51EA4" w:rsidRPr="00B15071">
        <w:rPr>
          <w:rFonts w:ascii="Book Antiqua" w:eastAsia="Book Antiqua" w:hAnsi="Book Antiqua" w:cs="Book Antiqua"/>
          <w:color w:val="000000"/>
          <w:shd w:val="clear" w:color="auto" w:fill="FFFFFF"/>
          <w:vertAlign w:val="superscript"/>
        </w:rPr>
        <w:t>[16]</w:t>
      </w:r>
      <w:r w:rsidR="00A51EA4" w:rsidRPr="00B15071">
        <w:rPr>
          <w:rFonts w:ascii="Book Antiqua" w:eastAsia="Book Antiqua" w:hAnsi="Book Antiqua" w:cs="Book Antiqua"/>
          <w:color w:val="000000"/>
          <w:shd w:val="clear" w:color="auto" w:fill="FFFFFF"/>
        </w:rPr>
        <w:t xml:space="preserve">. Though none of these patients presented with bleeding ulcers causing outlet obstruction of the gastric remnant, as in our case, these studies provide evidence for the safety and efficacy of EUS-directed </w:t>
      </w:r>
      <w:proofErr w:type="spellStart"/>
      <w:r w:rsidR="00A51EA4" w:rsidRPr="00B15071">
        <w:rPr>
          <w:rFonts w:ascii="Book Antiqua" w:eastAsia="Book Antiqua" w:hAnsi="Book Antiqua" w:cs="Book Antiqua"/>
          <w:color w:val="000000"/>
          <w:shd w:val="clear" w:color="auto" w:fill="FFFFFF"/>
        </w:rPr>
        <w:t>gastrogastrostomy</w:t>
      </w:r>
      <w:proofErr w:type="spellEnd"/>
      <w:r w:rsidR="00A51EA4" w:rsidRPr="00B15071">
        <w:rPr>
          <w:rFonts w:ascii="Book Antiqua" w:eastAsia="Book Antiqua" w:hAnsi="Book Antiqua" w:cs="Book Antiqua"/>
          <w:color w:val="000000"/>
          <w:shd w:val="clear" w:color="auto" w:fill="FFFFFF"/>
        </w:rPr>
        <w:t xml:space="preserve"> formation with LAMS.</w:t>
      </w:r>
    </w:p>
    <w:p w14:paraId="4B91E234" w14:textId="77777777" w:rsidR="00A77B3E" w:rsidRPr="00B15071" w:rsidRDefault="00A51EA4" w:rsidP="00B15071">
      <w:pPr>
        <w:snapToGrid w:val="0"/>
        <w:spacing w:line="360" w:lineRule="auto"/>
        <w:ind w:firstLine="240"/>
        <w:jc w:val="both"/>
        <w:rPr>
          <w:rFonts w:ascii="Book Antiqua" w:hAnsi="Book Antiqua"/>
        </w:rPr>
      </w:pPr>
      <w:proofErr w:type="spellStart"/>
      <w:r w:rsidRPr="00B15071">
        <w:rPr>
          <w:rFonts w:ascii="Book Antiqua" w:eastAsia="Book Antiqua" w:hAnsi="Book Antiqua" w:cs="Book Antiqua"/>
          <w:color w:val="000000"/>
          <w:shd w:val="clear" w:color="auto" w:fill="FFFFFF"/>
        </w:rPr>
        <w:t>Krafft</w:t>
      </w:r>
      <w:proofErr w:type="spellEnd"/>
      <w:r w:rsidRPr="00B15071">
        <w:rPr>
          <w:rFonts w:ascii="Book Antiqua" w:eastAsia="Book Antiqua" w:hAnsi="Book Antiqua" w:cs="Book Antiqua"/>
          <w:color w:val="000000"/>
          <w:shd w:val="clear" w:color="auto" w:fill="FFFFFF"/>
        </w:rPr>
        <w:t xml:space="preserve"> </w:t>
      </w:r>
      <w:r w:rsidRPr="00B15071">
        <w:rPr>
          <w:rFonts w:ascii="Book Antiqua" w:eastAsia="Book Antiqua" w:hAnsi="Book Antiqua" w:cs="Book Antiqua"/>
          <w:i/>
          <w:iCs/>
          <w:color w:val="000000"/>
          <w:shd w:val="clear" w:color="auto" w:fill="FFFFFF"/>
        </w:rPr>
        <w:t>et al</w:t>
      </w:r>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 xml:space="preserve"> provide direct evidence for clinical and technical effectiveness, as well as safety for EDGI in cases with indications other than ERCP. Their multicenter, retrospective analysis included patients with RYGB who underwent EDGI for indications including gastroduodenal mass, duodenal ulcer perforation, biopsy of pancreatic mass, drainage of pancreatic fluid collections, and common bile duct dilation. Technical success, defined as successful transmural fistula creation using LAMS, and clinical success, defined as the attainment of diagnosis and partial or complete symptom relief, each showed rates of 100% in this small study</w:t>
      </w:r>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w:t>
      </w:r>
    </w:p>
    <w:p w14:paraId="369FCE04" w14:textId="77777777" w:rsidR="00A77B3E" w:rsidRPr="00B15071" w:rsidRDefault="00A77B3E" w:rsidP="00B15071">
      <w:pPr>
        <w:snapToGrid w:val="0"/>
        <w:spacing w:line="360" w:lineRule="auto"/>
        <w:jc w:val="both"/>
        <w:rPr>
          <w:rFonts w:ascii="Book Antiqua" w:hAnsi="Book Antiqua"/>
        </w:rPr>
      </w:pPr>
    </w:p>
    <w:p w14:paraId="2BAF433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CONCLUSION</w:t>
      </w:r>
    </w:p>
    <w:p w14:paraId="7DB2BE64"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Based on our literature review, this is the first described case of an outlet obstruction of the gastric remnant caused by a bleeding ulcer. This case was successfully managed by the creation of a </w:t>
      </w:r>
      <w:proofErr w:type="spellStart"/>
      <w:r w:rsidRPr="00B15071">
        <w:rPr>
          <w:rFonts w:ascii="Book Antiqua" w:eastAsia="Book Antiqua" w:hAnsi="Book Antiqua" w:cs="Book Antiqua"/>
          <w:color w:val="000000"/>
          <w:shd w:val="clear" w:color="auto" w:fill="FFFFFF"/>
        </w:rPr>
        <w:t>gastrogastrostomy</w:t>
      </w:r>
      <w:proofErr w:type="spellEnd"/>
      <w:r w:rsidRPr="00B15071">
        <w:rPr>
          <w:rFonts w:ascii="Book Antiqua" w:eastAsia="Book Antiqua" w:hAnsi="Book Antiqua" w:cs="Book Antiqua"/>
          <w:color w:val="000000"/>
          <w:shd w:val="clear" w:color="auto" w:fill="FFFFFF"/>
        </w:rPr>
        <w:t xml:space="preserve"> using a lumen-apposing metal stent. Our case adds to the literature evidence for safe and efficacious access to the gastric remnant by EDGI. It sets a precedent for the use of this technique in treating similar clinical scenarios.</w:t>
      </w:r>
      <w:r w:rsidRPr="00B15071">
        <w:rPr>
          <w:rFonts w:ascii="Book Antiqua" w:eastAsia="Book Antiqua" w:hAnsi="Book Antiqua" w:cs="Book Antiqua"/>
          <w:color w:val="000000"/>
        </w:rPr>
        <w:t xml:space="preserve"> </w:t>
      </w:r>
      <w:r w:rsidRPr="00B15071">
        <w:rPr>
          <w:rFonts w:ascii="Book Antiqua" w:eastAsia="Book Antiqua" w:hAnsi="Book Antiqua" w:cs="Book Antiqua"/>
          <w:color w:val="000000"/>
          <w:shd w:val="clear" w:color="auto" w:fill="FFFFFF"/>
        </w:rPr>
        <w:t>This method is an effective, safe, and less invasive alternative to surgery.</w:t>
      </w:r>
    </w:p>
    <w:p w14:paraId="4D3EF69E" w14:textId="77777777" w:rsidR="00A77B3E" w:rsidRPr="00B15071" w:rsidRDefault="00A77B3E" w:rsidP="00B15071">
      <w:pPr>
        <w:snapToGrid w:val="0"/>
        <w:spacing w:line="360" w:lineRule="auto"/>
        <w:jc w:val="both"/>
        <w:rPr>
          <w:rFonts w:ascii="Book Antiqua" w:hAnsi="Book Antiqua"/>
        </w:rPr>
      </w:pPr>
    </w:p>
    <w:p w14:paraId="0387E1A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REFERENCES</w:t>
      </w:r>
    </w:p>
    <w:p w14:paraId="0EE82D0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 </w:t>
      </w:r>
      <w:proofErr w:type="spellStart"/>
      <w:r w:rsidRPr="00B15071">
        <w:rPr>
          <w:rFonts w:ascii="Book Antiqua" w:eastAsia="Book Antiqua" w:hAnsi="Book Antiqua" w:cs="Book Antiqua"/>
          <w:b/>
          <w:bCs/>
          <w:color w:val="000000"/>
        </w:rPr>
        <w:t>Tagaya</w:t>
      </w:r>
      <w:proofErr w:type="spellEnd"/>
      <w:r w:rsidRPr="00B15071">
        <w:rPr>
          <w:rFonts w:ascii="Book Antiqua" w:eastAsia="Book Antiqua" w:hAnsi="Book Antiqua" w:cs="Book Antiqua"/>
          <w:b/>
          <w:bCs/>
          <w:color w:val="000000"/>
        </w:rPr>
        <w:t xml:space="preserve"> N</w:t>
      </w:r>
      <w:r w:rsidRPr="00B15071">
        <w:rPr>
          <w:rFonts w:ascii="Book Antiqua" w:eastAsia="Book Antiqua" w:hAnsi="Book Antiqua" w:cs="Book Antiqua"/>
          <w:color w:val="000000"/>
        </w:rPr>
        <w:t xml:space="preserve">, Kasama K, </w:t>
      </w:r>
      <w:proofErr w:type="spellStart"/>
      <w:r w:rsidRPr="00B15071">
        <w:rPr>
          <w:rFonts w:ascii="Book Antiqua" w:eastAsia="Book Antiqua" w:hAnsi="Book Antiqua" w:cs="Book Antiqua"/>
          <w:color w:val="000000"/>
        </w:rPr>
        <w:t>Inamine</w:t>
      </w:r>
      <w:proofErr w:type="spellEnd"/>
      <w:r w:rsidRPr="00B15071">
        <w:rPr>
          <w:rFonts w:ascii="Book Antiqua" w:eastAsia="Book Antiqua" w:hAnsi="Book Antiqua" w:cs="Book Antiqua"/>
          <w:color w:val="000000"/>
        </w:rPr>
        <w:t xml:space="preserve"> S, Zaha O, </w:t>
      </w:r>
      <w:proofErr w:type="spellStart"/>
      <w:r w:rsidRPr="00B15071">
        <w:rPr>
          <w:rFonts w:ascii="Book Antiqua" w:eastAsia="Book Antiqua" w:hAnsi="Book Antiqua" w:cs="Book Antiqua"/>
          <w:color w:val="000000"/>
        </w:rPr>
        <w:t>Kanke</w:t>
      </w:r>
      <w:proofErr w:type="spellEnd"/>
      <w:r w:rsidRPr="00B15071">
        <w:rPr>
          <w:rFonts w:ascii="Book Antiqua" w:eastAsia="Book Antiqua" w:hAnsi="Book Antiqua" w:cs="Book Antiqua"/>
          <w:color w:val="000000"/>
        </w:rPr>
        <w:t xml:space="preserve"> K, </w:t>
      </w:r>
      <w:proofErr w:type="spellStart"/>
      <w:r w:rsidRPr="00B15071">
        <w:rPr>
          <w:rFonts w:ascii="Book Antiqua" w:eastAsia="Book Antiqua" w:hAnsi="Book Antiqua" w:cs="Book Antiqua"/>
          <w:color w:val="000000"/>
        </w:rPr>
        <w:t>Fujii</w:t>
      </w:r>
      <w:proofErr w:type="spellEnd"/>
      <w:r w:rsidRPr="00B15071">
        <w:rPr>
          <w:rFonts w:ascii="Book Antiqua" w:eastAsia="Book Antiqua" w:hAnsi="Book Antiqua" w:cs="Book Antiqua"/>
          <w:color w:val="000000"/>
        </w:rPr>
        <w:t xml:space="preserve"> Y, </w:t>
      </w:r>
      <w:proofErr w:type="spellStart"/>
      <w:r w:rsidRPr="00B15071">
        <w:rPr>
          <w:rFonts w:ascii="Book Antiqua" w:eastAsia="Book Antiqua" w:hAnsi="Book Antiqua" w:cs="Book Antiqua"/>
          <w:color w:val="000000"/>
        </w:rPr>
        <w:t>Kanehira</w:t>
      </w:r>
      <w:proofErr w:type="spellEnd"/>
      <w:r w:rsidRPr="00B15071">
        <w:rPr>
          <w:rFonts w:ascii="Book Antiqua" w:eastAsia="Book Antiqua" w:hAnsi="Book Antiqua" w:cs="Book Antiqua"/>
          <w:color w:val="000000"/>
        </w:rPr>
        <w:t xml:space="preserve"> E, </w:t>
      </w:r>
      <w:proofErr w:type="spellStart"/>
      <w:r w:rsidRPr="00B15071">
        <w:rPr>
          <w:rFonts w:ascii="Book Antiqua" w:eastAsia="Book Antiqua" w:hAnsi="Book Antiqua" w:cs="Book Antiqua"/>
          <w:color w:val="000000"/>
        </w:rPr>
        <w:t>Hiraishi</w:t>
      </w:r>
      <w:proofErr w:type="spellEnd"/>
      <w:r w:rsidRPr="00B15071">
        <w:rPr>
          <w:rFonts w:ascii="Book Antiqua" w:eastAsia="Book Antiqua" w:hAnsi="Book Antiqua" w:cs="Book Antiqua"/>
          <w:color w:val="000000"/>
        </w:rPr>
        <w:t xml:space="preserve"> H, Kubota K. Evaluation of the excluded stomach by double-balloon </w:t>
      </w:r>
      <w:r w:rsidRPr="00B15071">
        <w:rPr>
          <w:rFonts w:ascii="Book Antiqua" w:eastAsia="Book Antiqua" w:hAnsi="Book Antiqua" w:cs="Book Antiqua"/>
          <w:color w:val="000000"/>
        </w:rPr>
        <w:lastRenderedPageBreak/>
        <w:t xml:space="preserve">endoscopy after laparoscopic Roux-en-Y gastric bypass. </w:t>
      </w:r>
      <w:proofErr w:type="spellStart"/>
      <w:r w:rsidRPr="00B15071">
        <w:rPr>
          <w:rFonts w:ascii="Book Antiqua" w:eastAsia="Book Antiqua" w:hAnsi="Book Antiqua" w:cs="Book Antiqua"/>
          <w:i/>
          <w:iCs/>
          <w:color w:val="000000"/>
        </w:rPr>
        <w:t>Obes</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color w:val="000000"/>
        </w:rPr>
        <w:t xml:space="preserve"> 2007; </w:t>
      </w:r>
      <w:r w:rsidRPr="00B15071">
        <w:rPr>
          <w:rFonts w:ascii="Book Antiqua" w:eastAsia="Book Antiqua" w:hAnsi="Book Antiqua" w:cs="Book Antiqua"/>
          <w:b/>
          <w:bCs/>
          <w:color w:val="000000"/>
        </w:rPr>
        <w:t>17</w:t>
      </w:r>
      <w:r w:rsidRPr="00B15071">
        <w:rPr>
          <w:rFonts w:ascii="Book Antiqua" w:eastAsia="Book Antiqua" w:hAnsi="Book Antiqua" w:cs="Book Antiqua"/>
          <w:color w:val="000000"/>
        </w:rPr>
        <w:t>: 1165-1170 [PMID: 18074489 DOI: 10.1007/s11695-007-9198-8]</w:t>
      </w:r>
    </w:p>
    <w:p w14:paraId="7C14B803"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2 </w:t>
      </w:r>
      <w:r w:rsidRPr="00B15071">
        <w:rPr>
          <w:rFonts w:ascii="Book Antiqua" w:eastAsia="Book Antiqua" w:hAnsi="Book Antiqua" w:cs="Book Antiqua"/>
          <w:b/>
          <w:bCs/>
          <w:color w:val="000000"/>
        </w:rPr>
        <w:t>Sakai P</w:t>
      </w:r>
      <w:r w:rsidRPr="00B15071">
        <w:rPr>
          <w:rFonts w:ascii="Book Antiqua" w:eastAsia="Book Antiqua" w:hAnsi="Book Antiqua" w:cs="Book Antiqua"/>
          <w:color w:val="000000"/>
        </w:rPr>
        <w:t xml:space="preserve">, Kuga R, </w:t>
      </w:r>
      <w:proofErr w:type="spellStart"/>
      <w:r w:rsidRPr="00B15071">
        <w:rPr>
          <w:rFonts w:ascii="Book Antiqua" w:eastAsia="Book Antiqua" w:hAnsi="Book Antiqua" w:cs="Book Antiqua"/>
          <w:color w:val="000000"/>
        </w:rPr>
        <w:t>Safatle</w:t>
      </w:r>
      <w:proofErr w:type="spellEnd"/>
      <w:r w:rsidRPr="00B15071">
        <w:rPr>
          <w:rFonts w:ascii="Book Antiqua" w:eastAsia="Book Antiqua" w:hAnsi="Book Antiqua" w:cs="Book Antiqua"/>
          <w:color w:val="000000"/>
        </w:rPr>
        <w:t xml:space="preserve">-Ribeiro AV, </w:t>
      </w:r>
      <w:proofErr w:type="spellStart"/>
      <w:r w:rsidRPr="00B15071">
        <w:rPr>
          <w:rFonts w:ascii="Book Antiqua" w:eastAsia="Book Antiqua" w:hAnsi="Book Antiqua" w:cs="Book Antiqua"/>
          <w:color w:val="000000"/>
        </w:rPr>
        <w:t>Faintuch</w:t>
      </w:r>
      <w:proofErr w:type="spellEnd"/>
      <w:r w:rsidRPr="00B15071">
        <w:rPr>
          <w:rFonts w:ascii="Book Antiqua" w:eastAsia="Book Antiqua" w:hAnsi="Book Antiqua" w:cs="Book Antiqua"/>
          <w:color w:val="000000"/>
        </w:rPr>
        <w:t xml:space="preserve"> J, Gama-Rodrigues JJ, Ishida RK, </w:t>
      </w:r>
      <w:proofErr w:type="spellStart"/>
      <w:r w:rsidRPr="00B15071">
        <w:rPr>
          <w:rFonts w:ascii="Book Antiqua" w:eastAsia="Book Antiqua" w:hAnsi="Book Antiqua" w:cs="Book Antiqua"/>
          <w:color w:val="000000"/>
        </w:rPr>
        <w:t>Furuya</w:t>
      </w:r>
      <w:proofErr w:type="spellEnd"/>
      <w:r w:rsidRPr="00B15071">
        <w:rPr>
          <w:rFonts w:ascii="Book Antiqua" w:eastAsia="Book Antiqua" w:hAnsi="Book Antiqua" w:cs="Book Antiqua"/>
          <w:color w:val="000000"/>
        </w:rPr>
        <w:t xml:space="preserve"> CK Jr, Yamamoto H, </w:t>
      </w:r>
      <w:proofErr w:type="spellStart"/>
      <w:r w:rsidRPr="00B15071">
        <w:rPr>
          <w:rFonts w:ascii="Book Antiqua" w:eastAsia="Book Antiqua" w:hAnsi="Book Antiqua" w:cs="Book Antiqua"/>
          <w:color w:val="000000"/>
        </w:rPr>
        <w:t>Ishioka</w:t>
      </w:r>
      <w:proofErr w:type="spellEnd"/>
      <w:r w:rsidRPr="00B15071">
        <w:rPr>
          <w:rFonts w:ascii="Book Antiqua" w:eastAsia="Book Antiqua" w:hAnsi="Book Antiqua" w:cs="Book Antiqua"/>
          <w:color w:val="000000"/>
        </w:rPr>
        <w:t xml:space="preserve"> S. Is it feasible to reach the bypassed stomach after Roux-en-Y gastric bypass for morbid obesity? The use of the double-balloon </w:t>
      </w:r>
      <w:proofErr w:type="spellStart"/>
      <w:r w:rsidRPr="00B15071">
        <w:rPr>
          <w:rFonts w:ascii="Book Antiqua" w:eastAsia="Book Antiqua" w:hAnsi="Book Antiqua" w:cs="Book Antiqua"/>
          <w:color w:val="000000"/>
        </w:rPr>
        <w:t>enteroscope</w:t>
      </w:r>
      <w:proofErr w:type="spellEnd"/>
      <w:r w:rsidRPr="00B15071">
        <w:rPr>
          <w:rFonts w:ascii="Book Antiqua" w:eastAsia="Book Antiqua" w:hAnsi="Book Antiqua" w:cs="Book Antiqua"/>
          <w:color w:val="000000"/>
        </w:rPr>
        <w:t xml:space="preserve">. </w:t>
      </w:r>
      <w:r w:rsidRPr="00B15071">
        <w:rPr>
          <w:rFonts w:ascii="Book Antiqua" w:eastAsia="Book Antiqua" w:hAnsi="Book Antiqua" w:cs="Book Antiqua"/>
          <w:i/>
          <w:iCs/>
          <w:color w:val="000000"/>
        </w:rPr>
        <w:t>Endoscopy</w:t>
      </w:r>
      <w:r w:rsidRPr="00B15071">
        <w:rPr>
          <w:rFonts w:ascii="Book Antiqua" w:eastAsia="Book Antiqua" w:hAnsi="Book Antiqua" w:cs="Book Antiqua"/>
          <w:color w:val="000000"/>
        </w:rPr>
        <w:t xml:space="preserve"> 2005; </w:t>
      </w:r>
      <w:r w:rsidRPr="00B15071">
        <w:rPr>
          <w:rFonts w:ascii="Book Antiqua" w:eastAsia="Book Antiqua" w:hAnsi="Book Antiqua" w:cs="Book Antiqua"/>
          <w:b/>
          <w:bCs/>
          <w:color w:val="000000"/>
        </w:rPr>
        <w:t>37</w:t>
      </w:r>
      <w:r w:rsidRPr="00B15071">
        <w:rPr>
          <w:rFonts w:ascii="Book Antiqua" w:eastAsia="Book Antiqua" w:hAnsi="Book Antiqua" w:cs="Book Antiqua"/>
          <w:color w:val="000000"/>
        </w:rPr>
        <w:t>: 566-569 [PMID: 15933931 DOI: 10.1055/s-2005-861444]</w:t>
      </w:r>
    </w:p>
    <w:p w14:paraId="41E4540F"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3 </w:t>
      </w:r>
      <w:proofErr w:type="spellStart"/>
      <w:r w:rsidRPr="00B15071">
        <w:rPr>
          <w:rFonts w:ascii="Book Antiqua" w:eastAsia="Book Antiqua" w:hAnsi="Book Antiqua" w:cs="Book Antiqua"/>
          <w:b/>
          <w:bCs/>
          <w:color w:val="000000"/>
        </w:rPr>
        <w:t>Krafft</w:t>
      </w:r>
      <w:proofErr w:type="spellEnd"/>
      <w:r w:rsidRPr="00B15071">
        <w:rPr>
          <w:rFonts w:ascii="Book Antiqua" w:eastAsia="Book Antiqua" w:hAnsi="Book Antiqua" w:cs="Book Antiqua"/>
          <w:b/>
          <w:bCs/>
          <w:color w:val="000000"/>
        </w:rPr>
        <w:t xml:space="preserve"> MR</w:t>
      </w:r>
      <w:r w:rsidRPr="00B15071">
        <w:rPr>
          <w:rFonts w:ascii="Book Antiqua" w:eastAsia="Book Antiqua" w:hAnsi="Book Antiqua" w:cs="Book Antiqua"/>
          <w:color w:val="000000"/>
        </w:rPr>
        <w:t xml:space="preserve">, Hsueh W, James TW, Runge TM, Baron TH, </w:t>
      </w:r>
      <w:proofErr w:type="spellStart"/>
      <w:r w:rsidRPr="00B15071">
        <w:rPr>
          <w:rFonts w:ascii="Book Antiqua" w:eastAsia="Book Antiqua" w:hAnsi="Book Antiqua" w:cs="Book Antiqua"/>
          <w:color w:val="000000"/>
        </w:rPr>
        <w:t>Khashab</w:t>
      </w:r>
      <w:proofErr w:type="spellEnd"/>
      <w:r w:rsidRPr="00B15071">
        <w:rPr>
          <w:rFonts w:ascii="Book Antiqua" w:eastAsia="Book Antiqua" w:hAnsi="Book Antiqua" w:cs="Book Antiqua"/>
          <w:color w:val="000000"/>
        </w:rPr>
        <w:t xml:space="preserve"> MA, </w:t>
      </w:r>
      <w:proofErr w:type="spellStart"/>
      <w:r w:rsidRPr="00B15071">
        <w:rPr>
          <w:rFonts w:ascii="Book Antiqua" w:eastAsia="Book Antiqua" w:hAnsi="Book Antiqua" w:cs="Book Antiqua"/>
          <w:color w:val="000000"/>
        </w:rPr>
        <w:t>Irani</w:t>
      </w:r>
      <w:proofErr w:type="spellEnd"/>
      <w:r w:rsidRPr="00B15071">
        <w:rPr>
          <w:rFonts w:ascii="Book Antiqua" w:eastAsia="Book Antiqua" w:hAnsi="Book Antiqua" w:cs="Book Antiqua"/>
          <w:color w:val="000000"/>
        </w:rPr>
        <w:t xml:space="preserve"> SS, Nasr JY. The EDGI new take on EDGE: EUS-directed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intervention (EDGI), other than ERCP, for Roux-en-Y gastric bypass anatomy: a multicenter study.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Int</w:t>
      </w:r>
      <w:proofErr w:type="spellEnd"/>
      <w:r w:rsidRPr="00B15071">
        <w:rPr>
          <w:rFonts w:ascii="Book Antiqua" w:eastAsia="Book Antiqua" w:hAnsi="Book Antiqua" w:cs="Book Antiqua"/>
          <w:i/>
          <w:iCs/>
          <w:color w:val="000000"/>
        </w:rPr>
        <w:t xml:space="preserve"> Open</w:t>
      </w:r>
      <w:r w:rsidRPr="00B15071">
        <w:rPr>
          <w:rFonts w:ascii="Book Antiqua" w:eastAsia="Book Antiqua" w:hAnsi="Book Antiqua" w:cs="Book Antiqua"/>
          <w:color w:val="000000"/>
        </w:rPr>
        <w:t xml:space="preserve"> 2019; </w:t>
      </w:r>
      <w:r w:rsidRPr="00B15071">
        <w:rPr>
          <w:rFonts w:ascii="Book Antiqua" w:eastAsia="Book Antiqua" w:hAnsi="Book Antiqua" w:cs="Book Antiqua"/>
          <w:b/>
          <w:bCs/>
          <w:color w:val="000000"/>
        </w:rPr>
        <w:t>7</w:t>
      </w:r>
      <w:r w:rsidRPr="00B15071">
        <w:rPr>
          <w:rFonts w:ascii="Book Antiqua" w:eastAsia="Book Antiqua" w:hAnsi="Book Antiqua" w:cs="Book Antiqua"/>
          <w:color w:val="000000"/>
        </w:rPr>
        <w:t>: E1231-E1240 [PMID: 31579704 DOI: 10.1055/a-0915-2192]</w:t>
      </w:r>
    </w:p>
    <w:p w14:paraId="6F799EC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4 </w:t>
      </w:r>
      <w:proofErr w:type="spellStart"/>
      <w:r w:rsidRPr="00B15071">
        <w:rPr>
          <w:rFonts w:ascii="Book Antiqua" w:eastAsia="Book Antiqua" w:hAnsi="Book Antiqua" w:cs="Book Antiqua"/>
          <w:b/>
          <w:bCs/>
          <w:color w:val="000000"/>
        </w:rPr>
        <w:t>Coblijn</w:t>
      </w:r>
      <w:proofErr w:type="spellEnd"/>
      <w:r w:rsidRPr="00B15071">
        <w:rPr>
          <w:rFonts w:ascii="Book Antiqua" w:eastAsia="Book Antiqua" w:hAnsi="Book Antiqua" w:cs="Book Antiqua"/>
          <w:b/>
          <w:bCs/>
          <w:color w:val="000000"/>
        </w:rPr>
        <w:t xml:space="preserve"> UK</w:t>
      </w:r>
      <w:r w:rsidRPr="00B15071">
        <w:rPr>
          <w:rFonts w:ascii="Book Antiqua" w:eastAsia="Book Antiqua" w:hAnsi="Book Antiqua" w:cs="Book Antiqua"/>
          <w:color w:val="000000"/>
        </w:rPr>
        <w:t xml:space="preserve">, Lagarde SM, </w:t>
      </w:r>
      <w:proofErr w:type="spellStart"/>
      <w:r w:rsidRPr="00B15071">
        <w:rPr>
          <w:rFonts w:ascii="Book Antiqua" w:eastAsia="Book Antiqua" w:hAnsi="Book Antiqua" w:cs="Book Antiqua"/>
          <w:color w:val="000000"/>
        </w:rPr>
        <w:t>Tuynman</w:t>
      </w:r>
      <w:proofErr w:type="spellEnd"/>
      <w:r w:rsidRPr="00B15071">
        <w:rPr>
          <w:rFonts w:ascii="Book Antiqua" w:eastAsia="Book Antiqua" w:hAnsi="Book Antiqua" w:cs="Book Antiqua"/>
          <w:color w:val="000000"/>
        </w:rPr>
        <w:t xml:space="preserve"> JB, van </w:t>
      </w:r>
      <w:proofErr w:type="spellStart"/>
      <w:r w:rsidRPr="00B15071">
        <w:rPr>
          <w:rFonts w:ascii="Book Antiqua" w:eastAsia="Book Antiqua" w:hAnsi="Book Antiqua" w:cs="Book Antiqua"/>
          <w:color w:val="000000"/>
        </w:rPr>
        <w:t>Meyel</w:t>
      </w:r>
      <w:proofErr w:type="spellEnd"/>
      <w:r w:rsidRPr="00B15071">
        <w:rPr>
          <w:rFonts w:ascii="Book Antiqua" w:eastAsia="Book Antiqua" w:hAnsi="Book Antiqua" w:cs="Book Antiqua"/>
          <w:color w:val="000000"/>
        </w:rPr>
        <w:t xml:space="preserve"> JJ, van </w:t>
      </w:r>
      <w:proofErr w:type="spellStart"/>
      <w:r w:rsidRPr="00B15071">
        <w:rPr>
          <w:rFonts w:ascii="Book Antiqua" w:eastAsia="Book Antiqua" w:hAnsi="Book Antiqua" w:cs="Book Antiqua"/>
          <w:color w:val="000000"/>
        </w:rPr>
        <w:t>Wagensveld</w:t>
      </w:r>
      <w:proofErr w:type="spellEnd"/>
      <w:r w:rsidRPr="00B15071">
        <w:rPr>
          <w:rFonts w:ascii="Book Antiqua" w:eastAsia="Book Antiqua" w:hAnsi="Book Antiqua" w:cs="Book Antiqua"/>
          <w:color w:val="000000"/>
        </w:rPr>
        <w:t xml:space="preserve"> BA. Delayed massive bleeding two years after Roux-en-Y gastric bypass. </w:t>
      </w:r>
      <w:r w:rsidRPr="00B15071">
        <w:rPr>
          <w:rFonts w:ascii="Book Antiqua" w:eastAsia="Book Antiqua" w:hAnsi="Book Antiqua" w:cs="Book Antiqua"/>
          <w:i/>
          <w:iCs/>
          <w:color w:val="000000"/>
        </w:rPr>
        <w:t>JSLS</w:t>
      </w:r>
      <w:r w:rsidRPr="00B15071">
        <w:rPr>
          <w:rFonts w:ascii="Book Antiqua" w:eastAsia="Book Antiqua" w:hAnsi="Book Antiqua" w:cs="Book Antiqua"/>
          <w:color w:val="000000"/>
        </w:rPr>
        <w:t xml:space="preserve"> 2013; </w:t>
      </w:r>
      <w:r w:rsidRPr="00B15071">
        <w:rPr>
          <w:rFonts w:ascii="Book Antiqua" w:eastAsia="Book Antiqua" w:hAnsi="Book Antiqua" w:cs="Book Antiqua"/>
          <w:b/>
          <w:bCs/>
          <w:color w:val="000000"/>
        </w:rPr>
        <w:t>17</w:t>
      </w:r>
      <w:r w:rsidRPr="00B15071">
        <w:rPr>
          <w:rFonts w:ascii="Book Antiqua" w:eastAsia="Book Antiqua" w:hAnsi="Book Antiqua" w:cs="Book Antiqua"/>
          <w:color w:val="000000"/>
        </w:rPr>
        <w:t>: 476-480 [PMID: 24018091 DOI: 10.4293/108680813x13693422518470]</w:t>
      </w:r>
    </w:p>
    <w:p w14:paraId="27CD6EF8"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5 </w:t>
      </w:r>
      <w:r w:rsidRPr="00B15071">
        <w:rPr>
          <w:rFonts w:ascii="Book Antiqua" w:eastAsia="Book Antiqua" w:hAnsi="Book Antiqua" w:cs="Book Antiqua"/>
          <w:b/>
          <w:bCs/>
          <w:color w:val="000000"/>
        </w:rPr>
        <w:t>Iskandar ME</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Chory</w:t>
      </w:r>
      <w:proofErr w:type="spellEnd"/>
      <w:r w:rsidRPr="00B15071">
        <w:rPr>
          <w:rFonts w:ascii="Book Antiqua" w:eastAsia="Book Antiqua" w:hAnsi="Book Antiqua" w:cs="Book Antiqua"/>
          <w:color w:val="000000"/>
        </w:rPr>
        <w:t xml:space="preserve"> FM, Goodman ER, </w:t>
      </w:r>
      <w:proofErr w:type="spellStart"/>
      <w:r w:rsidRPr="00B15071">
        <w:rPr>
          <w:rFonts w:ascii="Book Antiqua" w:eastAsia="Book Antiqua" w:hAnsi="Book Antiqua" w:cs="Book Antiqua"/>
          <w:color w:val="000000"/>
        </w:rPr>
        <w:t>Surick</w:t>
      </w:r>
      <w:proofErr w:type="spellEnd"/>
      <w:r w:rsidRPr="00B15071">
        <w:rPr>
          <w:rFonts w:ascii="Book Antiqua" w:eastAsia="Book Antiqua" w:hAnsi="Book Antiqua" w:cs="Book Antiqua"/>
          <w:color w:val="000000"/>
        </w:rPr>
        <w:t xml:space="preserve"> BG. Diagnosis and Management of Perforated Duodenal Ulcers following Roux-En-Y Gastric Bypass: A Report of Two Cases and a Review of the Literature. </w:t>
      </w:r>
      <w:r w:rsidRPr="00B15071">
        <w:rPr>
          <w:rFonts w:ascii="Book Antiqua" w:eastAsia="Book Antiqua" w:hAnsi="Book Antiqua" w:cs="Book Antiqua"/>
          <w:i/>
          <w:iCs/>
          <w:color w:val="000000"/>
        </w:rPr>
        <w:t xml:space="preserve">Case Rep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color w:val="000000"/>
        </w:rPr>
        <w:t xml:space="preserve"> 2015; </w:t>
      </w:r>
      <w:r w:rsidRPr="00B15071">
        <w:rPr>
          <w:rFonts w:ascii="Book Antiqua" w:eastAsia="Book Antiqua" w:hAnsi="Book Antiqua" w:cs="Book Antiqua"/>
          <w:b/>
          <w:bCs/>
          <w:color w:val="000000"/>
        </w:rPr>
        <w:t>2015</w:t>
      </w:r>
      <w:r w:rsidRPr="00B15071">
        <w:rPr>
          <w:rFonts w:ascii="Book Antiqua" w:eastAsia="Book Antiqua" w:hAnsi="Book Antiqua" w:cs="Book Antiqua"/>
          <w:color w:val="000000"/>
        </w:rPr>
        <w:t>: 353468 [PMID: 25949843 DOI: 10.1155/2015/353468]</w:t>
      </w:r>
    </w:p>
    <w:p w14:paraId="0F26F3F1"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6 </w:t>
      </w:r>
      <w:proofErr w:type="spellStart"/>
      <w:r w:rsidRPr="00B15071">
        <w:rPr>
          <w:rFonts w:ascii="Book Antiqua" w:eastAsia="Book Antiqua" w:hAnsi="Book Antiqua" w:cs="Book Antiqua"/>
          <w:b/>
          <w:bCs/>
          <w:color w:val="000000"/>
        </w:rPr>
        <w:t>Ivanecz</w:t>
      </w:r>
      <w:proofErr w:type="spellEnd"/>
      <w:r w:rsidRPr="00B15071">
        <w:rPr>
          <w:rFonts w:ascii="Book Antiqua" w:eastAsia="Book Antiqua" w:hAnsi="Book Antiqua" w:cs="Book Antiqua"/>
          <w:b/>
          <w:bCs/>
          <w:color w:val="000000"/>
        </w:rPr>
        <w:t xml:space="preserve"> A</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Sremec</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CeraniÄ</w:t>
      </w:r>
      <w:proofErr w:type="spellEnd"/>
      <w:r w:rsidRPr="00B15071">
        <w:rPr>
          <w:rFonts w:ascii="Book Antiqua" w:eastAsia="Book Antiqua" w:hAnsi="Book Antiqua" w:cs="Book Antiqua"/>
          <w:color w:val="000000"/>
        </w:rPr>
        <w:t xml:space="preserve">‡ D, </w:t>
      </w:r>
      <w:proofErr w:type="spellStart"/>
      <w:r w:rsidRPr="00B15071">
        <w:rPr>
          <w:rFonts w:ascii="Book Antiqua" w:eastAsia="Book Antiqua" w:hAnsi="Book Antiqua" w:cs="Book Antiqua"/>
          <w:color w:val="000000"/>
        </w:rPr>
        <w:t>PotrÄ</w:t>
      </w:r>
      <w:proofErr w:type="spellEnd"/>
      <w:r w:rsidRPr="00B15071">
        <w:rPr>
          <w:rFonts w:ascii="Book Antiqua" w:eastAsia="Book Antiqua" w:hAnsi="Book Antiqua" w:cs="Book Antiqua"/>
          <w:color w:val="000000"/>
        </w:rPr>
        <w:t xml:space="preserve"> S, </w:t>
      </w:r>
      <w:proofErr w:type="spellStart"/>
      <w:r w:rsidRPr="00B15071">
        <w:rPr>
          <w:rFonts w:ascii="Book Antiqua" w:eastAsia="Book Antiqua" w:hAnsi="Book Antiqua" w:cs="Book Antiqua"/>
          <w:color w:val="000000"/>
        </w:rPr>
        <w:t>Skok</w:t>
      </w:r>
      <w:proofErr w:type="spellEnd"/>
      <w:r w:rsidRPr="00B15071">
        <w:rPr>
          <w:rFonts w:ascii="Book Antiqua" w:eastAsia="Book Antiqua" w:hAnsi="Book Antiqua" w:cs="Book Antiqua"/>
          <w:color w:val="000000"/>
        </w:rPr>
        <w:t xml:space="preserve"> P. Life threatening bleeding from duodenal ulcer after Roux-en-Y gastric bypass: Case report and review of the literature. </w:t>
      </w:r>
      <w:r w:rsidRPr="00B15071">
        <w:rPr>
          <w:rFonts w:ascii="Book Antiqua" w:eastAsia="Book Antiqua" w:hAnsi="Book Antiqua" w:cs="Book Antiqua"/>
          <w:i/>
          <w:iCs/>
          <w:color w:val="000000"/>
        </w:rPr>
        <w:t xml:space="preserve">World J </w:t>
      </w:r>
      <w:proofErr w:type="spellStart"/>
      <w:r w:rsidRPr="00B15071">
        <w:rPr>
          <w:rFonts w:ascii="Book Antiqua" w:eastAsia="Book Antiqua" w:hAnsi="Book Antiqua" w:cs="Book Antiqua"/>
          <w:i/>
          <w:iCs/>
          <w:color w:val="000000"/>
        </w:rPr>
        <w:t>Gastrointest</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color w:val="000000"/>
        </w:rPr>
        <w:t xml:space="preserve"> 2014; </w:t>
      </w:r>
      <w:r w:rsidRPr="00B15071">
        <w:rPr>
          <w:rFonts w:ascii="Book Antiqua" w:eastAsia="Book Antiqua" w:hAnsi="Book Antiqua" w:cs="Book Antiqua"/>
          <w:b/>
          <w:bCs/>
          <w:color w:val="000000"/>
        </w:rPr>
        <w:t>6</w:t>
      </w:r>
      <w:r w:rsidRPr="00B15071">
        <w:rPr>
          <w:rFonts w:ascii="Book Antiqua" w:eastAsia="Book Antiqua" w:hAnsi="Book Antiqua" w:cs="Book Antiqua"/>
          <w:color w:val="000000"/>
        </w:rPr>
        <w:t>: 625-629 [PMID: 25512773 DOI: 10.4253/wjge.v6.i12.625]</w:t>
      </w:r>
    </w:p>
    <w:p w14:paraId="646921D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7 </w:t>
      </w:r>
      <w:proofErr w:type="spellStart"/>
      <w:r w:rsidRPr="00B15071">
        <w:rPr>
          <w:rFonts w:ascii="Book Antiqua" w:eastAsia="Book Antiqua" w:hAnsi="Book Antiqua" w:cs="Book Antiqua"/>
          <w:b/>
          <w:bCs/>
          <w:color w:val="000000"/>
        </w:rPr>
        <w:t>Ovaere</w:t>
      </w:r>
      <w:proofErr w:type="spellEnd"/>
      <w:r w:rsidRPr="00B15071">
        <w:rPr>
          <w:rFonts w:ascii="Book Antiqua" w:eastAsia="Book Antiqua" w:hAnsi="Book Antiqua" w:cs="Book Antiqua"/>
          <w:b/>
          <w:bCs/>
          <w:color w:val="000000"/>
        </w:rPr>
        <w:t xml:space="preserve"> S</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Tse</w:t>
      </w:r>
      <w:proofErr w:type="spellEnd"/>
      <w:r w:rsidRPr="00B15071">
        <w:rPr>
          <w:rFonts w:ascii="Book Antiqua" w:eastAsia="Book Antiqua" w:hAnsi="Book Antiqua" w:cs="Book Antiqua"/>
          <w:color w:val="000000"/>
        </w:rPr>
        <w:t xml:space="preserve"> WH, Schipper EE, </w:t>
      </w:r>
      <w:proofErr w:type="spellStart"/>
      <w:r w:rsidRPr="00B15071">
        <w:rPr>
          <w:rFonts w:ascii="Book Antiqua" w:eastAsia="Book Antiqua" w:hAnsi="Book Antiqua" w:cs="Book Antiqua"/>
          <w:color w:val="000000"/>
        </w:rPr>
        <w:t>Spanjersberg</w:t>
      </w:r>
      <w:proofErr w:type="spellEnd"/>
      <w:r w:rsidRPr="00B15071">
        <w:rPr>
          <w:rFonts w:ascii="Book Antiqua" w:eastAsia="Book Antiqua" w:hAnsi="Book Antiqua" w:cs="Book Antiqua"/>
          <w:color w:val="000000"/>
        </w:rPr>
        <w:t xml:space="preserve"> WR. Perforation of the gastric remnant in a patient post-Roux-en-Y gastric bypass. </w:t>
      </w:r>
      <w:r w:rsidRPr="00B15071">
        <w:rPr>
          <w:rFonts w:ascii="Book Antiqua" w:eastAsia="Book Antiqua" w:hAnsi="Book Antiqua" w:cs="Book Antiqua"/>
          <w:i/>
          <w:iCs/>
          <w:color w:val="000000"/>
        </w:rPr>
        <w:t>BMJ Case Rep</w:t>
      </w:r>
      <w:r w:rsidRPr="00B15071">
        <w:rPr>
          <w:rFonts w:ascii="Book Antiqua" w:eastAsia="Book Antiqua" w:hAnsi="Book Antiqua" w:cs="Book Antiqua"/>
          <w:color w:val="000000"/>
        </w:rPr>
        <w:t xml:space="preserve"> 2016; </w:t>
      </w:r>
      <w:r w:rsidRPr="00B15071">
        <w:rPr>
          <w:rFonts w:ascii="Book Antiqua" w:eastAsia="Book Antiqua" w:hAnsi="Book Antiqua" w:cs="Book Antiqua"/>
          <w:b/>
          <w:bCs/>
          <w:color w:val="000000"/>
        </w:rPr>
        <w:t>2016</w:t>
      </w:r>
      <w:r w:rsidRPr="00B15071">
        <w:rPr>
          <w:rFonts w:ascii="Book Antiqua" w:eastAsia="Book Antiqua" w:hAnsi="Book Antiqua" w:cs="Book Antiqua"/>
          <w:color w:val="000000"/>
        </w:rPr>
        <w:t>: [PMID: 26929225 DOI: 10.1136/bcr-2015-213862]</w:t>
      </w:r>
    </w:p>
    <w:p w14:paraId="3044254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8 </w:t>
      </w:r>
      <w:r w:rsidRPr="00B15071">
        <w:rPr>
          <w:rFonts w:ascii="Book Antiqua" w:eastAsia="Book Antiqua" w:hAnsi="Book Antiqua" w:cs="Book Antiqua"/>
          <w:b/>
          <w:bCs/>
          <w:color w:val="000000"/>
        </w:rPr>
        <w:t>Macgregor AM</w:t>
      </w:r>
      <w:r w:rsidRPr="00B15071">
        <w:rPr>
          <w:rFonts w:ascii="Book Antiqua" w:eastAsia="Book Antiqua" w:hAnsi="Book Antiqua" w:cs="Book Antiqua"/>
          <w:color w:val="000000"/>
        </w:rPr>
        <w:t xml:space="preserve">, Pickens NE, Thoburn EK. Perforated peptic ulcer following gastric bypass for obesity. </w:t>
      </w:r>
      <w:r w:rsidRPr="00B15071">
        <w:rPr>
          <w:rFonts w:ascii="Book Antiqua" w:eastAsia="Book Antiqua" w:hAnsi="Book Antiqua" w:cs="Book Antiqua"/>
          <w:i/>
          <w:iCs/>
          <w:color w:val="000000"/>
        </w:rPr>
        <w:t xml:space="preserve">Am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color w:val="000000"/>
        </w:rPr>
        <w:t xml:space="preserve"> 1999; </w:t>
      </w:r>
      <w:r w:rsidRPr="00B15071">
        <w:rPr>
          <w:rFonts w:ascii="Book Antiqua" w:eastAsia="Book Antiqua" w:hAnsi="Book Antiqua" w:cs="Book Antiqua"/>
          <w:b/>
          <w:bCs/>
          <w:color w:val="000000"/>
        </w:rPr>
        <w:t>65</w:t>
      </w:r>
      <w:r w:rsidRPr="00B15071">
        <w:rPr>
          <w:rFonts w:ascii="Book Antiqua" w:eastAsia="Book Antiqua" w:hAnsi="Book Antiqua" w:cs="Book Antiqua"/>
          <w:color w:val="000000"/>
        </w:rPr>
        <w:t>: 222-225 [PMID: 10075296]</w:t>
      </w:r>
    </w:p>
    <w:p w14:paraId="4156C50C"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9 </w:t>
      </w:r>
      <w:r w:rsidRPr="00B15071">
        <w:rPr>
          <w:rFonts w:ascii="Book Antiqua" w:eastAsia="Book Antiqua" w:hAnsi="Book Antiqua" w:cs="Book Antiqua"/>
          <w:b/>
          <w:bCs/>
          <w:color w:val="000000"/>
        </w:rPr>
        <w:t>Hakim S</w:t>
      </w:r>
      <w:r w:rsidRPr="00B15071">
        <w:rPr>
          <w:rFonts w:ascii="Book Antiqua" w:eastAsia="Book Antiqua" w:hAnsi="Book Antiqua" w:cs="Book Antiqua"/>
          <w:color w:val="000000"/>
        </w:rPr>
        <w:t xml:space="preserve">, Reddy SRR, </w:t>
      </w:r>
      <w:proofErr w:type="spellStart"/>
      <w:r w:rsidRPr="00B15071">
        <w:rPr>
          <w:rFonts w:ascii="Book Antiqua" w:eastAsia="Book Antiqua" w:hAnsi="Book Antiqua" w:cs="Book Antiqua"/>
          <w:color w:val="000000"/>
        </w:rPr>
        <w:t>Batke</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Polidori</w:t>
      </w:r>
      <w:proofErr w:type="spellEnd"/>
      <w:r w:rsidRPr="00B15071">
        <w:rPr>
          <w:rFonts w:ascii="Book Antiqua" w:eastAsia="Book Antiqua" w:hAnsi="Book Antiqua" w:cs="Book Antiqua"/>
          <w:color w:val="000000"/>
        </w:rPr>
        <w:t xml:space="preserve"> G, </w:t>
      </w:r>
      <w:proofErr w:type="spellStart"/>
      <w:r w:rsidRPr="00B15071">
        <w:rPr>
          <w:rFonts w:ascii="Book Antiqua" w:eastAsia="Book Antiqua" w:hAnsi="Book Antiqua" w:cs="Book Antiqua"/>
          <w:color w:val="000000"/>
        </w:rPr>
        <w:t>Cappell</w:t>
      </w:r>
      <w:proofErr w:type="spellEnd"/>
      <w:r w:rsidRPr="00B15071">
        <w:rPr>
          <w:rFonts w:ascii="Book Antiqua" w:eastAsia="Book Antiqua" w:hAnsi="Book Antiqua" w:cs="Book Antiqua"/>
          <w:color w:val="000000"/>
        </w:rPr>
        <w:t xml:space="preserve"> MS. Two case reports of acute upper gastrointestinal bleeding from duodenal ulcers after Roux-en-Y </w:t>
      </w:r>
      <w:r w:rsidRPr="00B15071">
        <w:rPr>
          <w:rFonts w:ascii="Book Antiqua" w:eastAsia="Book Antiqua" w:hAnsi="Book Antiqua" w:cs="Book Antiqua"/>
          <w:color w:val="000000"/>
        </w:rPr>
        <w:lastRenderedPageBreak/>
        <w:t xml:space="preserve">gastric bypass surgery: Endoscopic diagnosis and therapy by single balloon or push </w:t>
      </w:r>
      <w:proofErr w:type="spellStart"/>
      <w:r w:rsidRPr="00B15071">
        <w:rPr>
          <w:rFonts w:ascii="Book Antiqua" w:eastAsia="Book Antiqua" w:hAnsi="Book Antiqua" w:cs="Book Antiqua"/>
          <w:color w:val="000000"/>
        </w:rPr>
        <w:t>enteroscopy</w:t>
      </w:r>
      <w:proofErr w:type="spellEnd"/>
      <w:r w:rsidRPr="00B15071">
        <w:rPr>
          <w:rFonts w:ascii="Book Antiqua" w:eastAsia="Book Antiqua" w:hAnsi="Book Antiqua" w:cs="Book Antiqua"/>
          <w:color w:val="000000"/>
        </w:rPr>
        <w:t xml:space="preserve"> after missed diagnosis by standard esophagogastroduodenoscopy. </w:t>
      </w:r>
      <w:r w:rsidRPr="00B15071">
        <w:rPr>
          <w:rFonts w:ascii="Book Antiqua" w:eastAsia="Book Antiqua" w:hAnsi="Book Antiqua" w:cs="Book Antiqua"/>
          <w:i/>
          <w:iCs/>
          <w:color w:val="000000"/>
        </w:rPr>
        <w:t xml:space="preserve">World J </w:t>
      </w:r>
      <w:proofErr w:type="spellStart"/>
      <w:r w:rsidRPr="00B15071">
        <w:rPr>
          <w:rFonts w:ascii="Book Antiqua" w:eastAsia="Book Antiqua" w:hAnsi="Book Antiqua" w:cs="Book Antiqua"/>
          <w:i/>
          <w:iCs/>
          <w:color w:val="000000"/>
        </w:rPr>
        <w:t>Gastrointest</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color w:val="000000"/>
        </w:rPr>
        <w:t xml:space="preserve"> 2017; </w:t>
      </w:r>
      <w:r w:rsidRPr="00B15071">
        <w:rPr>
          <w:rFonts w:ascii="Book Antiqua" w:eastAsia="Book Antiqua" w:hAnsi="Book Antiqua" w:cs="Book Antiqua"/>
          <w:b/>
          <w:bCs/>
          <w:color w:val="000000"/>
        </w:rPr>
        <w:t>9</w:t>
      </w:r>
      <w:r w:rsidRPr="00B15071">
        <w:rPr>
          <w:rFonts w:ascii="Book Antiqua" w:eastAsia="Book Antiqua" w:hAnsi="Book Antiqua" w:cs="Book Antiqua"/>
          <w:color w:val="000000"/>
        </w:rPr>
        <w:t>: 521-528 [PMID: 29085563 DOI: 10.4253/wjge.v9.i10.521]</w:t>
      </w:r>
    </w:p>
    <w:p w14:paraId="38D2364D" w14:textId="2278ED8E"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10 </w:t>
      </w:r>
      <w:r w:rsidRPr="00B15071">
        <w:rPr>
          <w:rFonts w:ascii="Book Antiqua" w:eastAsia="Book Antiqua" w:hAnsi="Book Antiqua" w:cs="Book Antiqua"/>
          <w:b/>
          <w:bCs/>
          <w:color w:val="000000"/>
        </w:rPr>
        <w:t>Pan A,</w:t>
      </w:r>
      <w:r w:rsidR="00003D6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Sahni</w:t>
      </w:r>
      <w:proofErr w:type="spellEnd"/>
      <w:r w:rsidRPr="00B15071">
        <w:rPr>
          <w:rFonts w:ascii="Book Antiqua" w:eastAsia="Book Antiqua" w:hAnsi="Book Antiqua" w:cs="Book Antiqua"/>
          <w:color w:val="000000"/>
        </w:rPr>
        <w:t xml:space="preserve"> S, Khan R, Boulay B. "A Rare Cause of Bleeding After Roux-en-Y Gastric Bypass: 2020." </w:t>
      </w:r>
      <w:r w:rsidRPr="00B15071">
        <w:rPr>
          <w:rFonts w:ascii="Book Antiqua" w:eastAsia="Book Antiqua" w:hAnsi="Book Antiqua" w:cs="Book Antiqua"/>
          <w:i/>
          <w:color w:val="000000"/>
        </w:rPr>
        <w:t>Am</w:t>
      </w:r>
      <w:r w:rsidR="00D43306">
        <w:rPr>
          <w:rFonts w:ascii="Book Antiqua" w:eastAsia="Book Antiqua" w:hAnsi="Book Antiqua" w:cs="Book Antiqua"/>
          <w:i/>
          <w:color w:val="000000"/>
        </w:rPr>
        <w:t xml:space="preserve"> </w:t>
      </w:r>
      <w:r w:rsidRPr="00B15071">
        <w:rPr>
          <w:rFonts w:ascii="Book Antiqua" w:eastAsia="Book Antiqua" w:hAnsi="Book Antiqua" w:cs="Book Antiqua"/>
          <w:i/>
          <w:color w:val="000000"/>
        </w:rPr>
        <w:t>J</w:t>
      </w:r>
      <w:r w:rsidR="00D43306">
        <w:rPr>
          <w:rFonts w:ascii="Book Antiqua" w:eastAsia="Book Antiqua" w:hAnsi="Book Antiqua" w:cs="Book Antiqua"/>
          <w:i/>
          <w:color w:val="000000"/>
        </w:rPr>
        <w:t xml:space="preserve"> </w:t>
      </w:r>
      <w:r w:rsidRPr="00B15071">
        <w:rPr>
          <w:rFonts w:ascii="Book Antiqua" w:eastAsia="Book Antiqua" w:hAnsi="Book Antiqua" w:cs="Book Antiqua"/>
          <w:i/>
          <w:color w:val="000000"/>
        </w:rPr>
        <w:t>Gastroenterol</w:t>
      </w:r>
      <w:r w:rsidR="00D43306">
        <w:rPr>
          <w:rFonts w:ascii="Book Antiqua" w:eastAsia="Book Antiqua" w:hAnsi="Book Antiqua" w:cs="Book Antiqua"/>
          <w:i/>
          <w:color w:val="000000"/>
        </w:rPr>
        <w:t xml:space="preserve"> </w:t>
      </w:r>
      <w:r w:rsidR="00753E7A" w:rsidRPr="00B15071">
        <w:rPr>
          <w:rFonts w:ascii="Book Antiqua" w:eastAsia="Book Antiqua" w:hAnsi="Book Antiqua" w:cs="Book Antiqua"/>
          <w:color w:val="000000"/>
        </w:rPr>
        <w:t xml:space="preserve">2018; </w:t>
      </w:r>
      <w:r w:rsidR="00753E7A" w:rsidRPr="00B15071">
        <w:rPr>
          <w:rFonts w:ascii="Book Antiqua" w:eastAsia="Book Antiqua" w:hAnsi="Book Antiqua" w:cs="Book Antiqua"/>
          <w:b/>
          <w:color w:val="000000"/>
        </w:rPr>
        <w:t>113</w:t>
      </w:r>
      <w:r w:rsidR="00753E7A" w:rsidRPr="00B15071">
        <w:rPr>
          <w:rFonts w:ascii="Book Antiqua" w:eastAsia="Book Antiqua" w:hAnsi="Book Antiqua" w:cs="Book Antiqua"/>
          <w:color w:val="000000"/>
        </w:rPr>
        <w:t>:</w:t>
      </w:r>
      <w:r w:rsidRPr="00B15071">
        <w:rPr>
          <w:rFonts w:ascii="Book Antiqua" w:eastAsia="Book Antiqua" w:hAnsi="Book Antiqua" w:cs="Book Antiqua"/>
          <w:color w:val="000000"/>
        </w:rPr>
        <w:t xml:space="preserve"> S1151-S1152 [</w:t>
      </w:r>
      <w:r w:rsidRPr="00B15071">
        <w:rPr>
          <w:rFonts w:ascii="Book Antiqua" w:eastAsia="Book Antiqua" w:hAnsi="Book Antiqua" w:cs="Book Antiqua"/>
          <w:caps/>
          <w:color w:val="000000"/>
        </w:rPr>
        <w:t>doi</w:t>
      </w:r>
      <w:r w:rsidRPr="00B15071">
        <w:rPr>
          <w:rFonts w:ascii="Book Antiqua" w:eastAsia="Book Antiqua" w:hAnsi="Book Antiqua" w:cs="Book Antiqua"/>
          <w:color w:val="000000"/>
        </w:rPr>
        <w:t>:</w:t>
      </w:r>
      <w:r w:rsidR="00753E7A" w:rsidRPr="00B15071">
        <w:rPr>
          <w:rFonts w:ascii="Book Antiqua" w:eastAsia="Book Antiqua" w:hAnsi="Book Antiqua" w:cs="Book Antiqua"/>
          <w:color w:val="000000"/>
        </w:rPr>
        <w:t xml:space="preserve"> </w:t>
      </w:r>
      <w:r w:rsidRPr="00B15071">
        <w:rPr>
          <w:rFonts w:ascii="Book Antiqua" w:eastAsia="Book Antiqua" w:hAnsi="Book Antiqua" w:cs="Book Antiqua"/>
          <w:color w:val="000000"/>
        </w:rPr>
        <w:t>10.14309/00000434-201810001-02020]</w:t>
      </w:r>
    </w:p>
    <w:p w14:paraId="7379F2C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11 </w:t>
      </w:r>
      <w:r w:rsidRPr="00B15071">
        <w:rPr>
          <w:rFonts w:ascii="Book Antiqua" w:eastAsia="Book Antiqua" w:hAnsi="Book Antiqua" w:cs="Book Antiqua"/>
          <w:b/>
          <w:bCs/>
          <w:color w:val="000000"/>
        </w:rPr>
        <w:t>Painter TJ</w:t>
      </w:r>
      <w:r w:rsidRPr="00B15071">
        <w:rPr>
          <w:rFonts w:ascii="Book Antiqua" w:eastAsia="Book Antiqua" w:hAnsi="Book Antiqua" w:cs="Book Antiqua"/>
          <w:color w:val="000000"/>
        </w:rPr>
        <w:t xml:space="preserve">, Teixeira AF, Jawad MA. Pyloric stenosis after a Roux-en-Y gastric bypass: a case report.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Obes</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Relat</w:t>
      </w:r>
      <w:proofErr w:type="spellEnd"/>
      <w:r w:rsidRPr="00B15071">
        <w:rPr>
          <w:rFonts w:ascii="Book Antiqua" w:eastAsia="Book Antiqua" w:hAnsi="Book Antiqua" w:cs="Book Antiqua"/>
          <w:i/>
          <w:iCs/>
          <w:color w:val="000000"/>
        </w:rPr>
        <w:t xml:space="preserve"> Dis</w:t>
      </w:r>
      <w:r w:rsidRPr="00B15071">
        <w:rPr>
          <w:rFonts w:ascii="Book Antiqua" w:eastAsia="Book Antiqua" w:hAnsi="Book Antiqua" w:cs="Book Antiqua"/>
          <w:color w:val="000000"/>
        </w:rPr>
        <w:t xml:space="preserve"> 2015; </w:t>
      </w:r>
      <w:r w:rsidRPr="00B15071">
        <w:rPr>
          <w:rFonts w:ascii="Book Antiqua" w:eastAsia="Book Antiqua" w:hAnsi="Book Antiqua" w:cs="Book Antiqua"/>
          <w:b/>
          <w:bCs/>
          <w:color w:val="000000"/>
        </w:rPr>
        <w:t>11</w:t>
      </w:r>
      <w:r w:rsidRPr="00B15071">
        <w:rPr>
          <w:rFonts w:ascii="Book Antiqua" w:eastAsia="Book Antiqua" w:hAnsi="Book Antiqua" w:cs="Book Antiqua"/>
          <w:color w:val="000000"/>
        </w:rPr>
        <w:t>: e9-10 [PMID: 25541110 DOI: 10.1016/j.soard.2014.09.009]</w:t>
      </w:r>
    </w:p>
    <w:p w14:paraId="2862943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12 </w:t>
      </w:r>
      <w:r w:rsidRPr="00B15071">
        <w:rPr>
          <w:rFonts w:ascii="Book Antiqua" w:eastAsia="Book Antiqua" w:hAnsi="Book Antiqua" w:cs="Book Antiqua"/>
          <w:b/>
          <w:bCs/>
          <w:color w:val="000000"/>
        </w:rPr>
        <w:t>Xu MM</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Carames</w:t>
      </w:r>
      <w:proofErr w:type="spellEnd"/>
      <w:r w:rsidRPr="00B15071">
        <w:rPr>
          <w:rFonts w:ascii="Book Antiqua" w:eastAsia="Book Antiqua" w:hAnsi="Book Antiqua" w:cs="Book Antiqua"/>
          <w:color w:val="000000"/>
        </w:rPr>
        <w:t xml:space="preserve"> C, Novikov A, </w:t>
      </w:r>
      <w:proofErr w:type="spellStart"/>
      <w:r w:rsidRPr="00B15071">
        <w:rPr>
          <w:rFonts w:ascii="Book Antiqua" w:eastAsia="Book Antiqua" w:hAnsi="Book Antiqua" w:cs="Book Antiqua"/>
          <w:color w:val="000000"/>
        </w:rPr>
        <w:t>Saumoy</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Afaneh</w:t>
      </w:r>
      <w:proofErr w:type="spellEnd"/>
      <w:r w:rsidRPr="00B15071">
        <w:rPr>
          <w:rFonts w:ascii="Book Antiqua" w:eastAsia="Book Antiqua" w:hAnsi="Book Antiqua" w:cs="Book Antiqua"/>
          <w:color w:val="000000"/>
        </w:rPr>
        <w:t xml:space="preserve"> C, </w:t>
      </w:r>
      <w:proofErr w:type="spellStart"/>
      <w:r w:rsidRPr="00B15071">
        <w:rPr>
          <w:rFonts w:ascii="Book Antiqua" w:eastAsia="Book Antiqua" w:hAnsi="Book Antiqua" w:cs="Book Antiqua"/>
          <w:color w:val="000000"/>
        </w:rPr>
        <w:t>Kahaleh</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Sharaiha</w:t>
      </w:r>
      <w:proofErr w:type="spellEnd"/>
      <w:r w:rsidRPr="00B15071">
        <w:rPr>
          <w:rFonts w:ascii="Book Antiqua" w:eastAsia="Book Antiqua" w:hAnsi="Book Antiqua" w:cs="Book Antiqua"/>
          <w:color w:val="000000"/>
        </w:rPr>
        <w:t xml:space="preserve"> RZ. One-step endoscopic ultrasound-directed gastro-gastrostomy ERCP for treatment of bile leak. </w:t>
      </w:r>
      <w:r w:rsidRPr="00B15071">
        <w:rPr>
          <w:rFonts w:ascii="Book Antiqua" w:eastAsia="Book Antiqua" w:hAnsi="Book Antiqua" w:cs="Book Antiqua"/>
          <w:i/>
          <w:iCs/>
          <w:color w:val="000000"/>
        </w:rPr>
        <w:t>Endoscopy</w:t>
      </w:r>
      <w:r w:rsidRPr="00B15071">
        <w:rPr>
          <w:rFonts w:ascii="Book Antiqua" w:eastAsia="Book Antiqua" w:hAnsi="Book Antiqua" w:cs="Book Antiqua"/>
          <w:color w:val="000000"/>
        </w:rPr>
        <w:t xml:space="preserve"> 2017; </w:t>
      </w:r>
      <w:r w:rsidRPr="00B15071">
        <w:rPr>
          <w:rFonts w:ascii="Book Antiqua" w:eastAsia="Book Antiqua" w:hAnsi="Book Antiqua" w:cs="Book Antiqua"/>
          <w:b/>
          <w:bCs/>
          <w:color w:val="000000"/>
        </w:rPr>
        <w:t>49</w:t>
      </w:r>
      <w:r w:rsidRPr="00B15071">
        <w:rPr>
          <w:rFonts w:ascii="Book Antiqua" w:eastAsia="Book Antiqua" w:hAnsi="Book Antiqua" w:cs="Book Antiqua"/>
          <w:color w:val="000000"/>
        </w:rPr>
        <w:t>: 715-716 [PMID: 28525933 DOI: 10.1055/s-0043-104524]</w:t>
      </w:r>
    </w:p>
    <w:p w14:paraId="68DD653C"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13 </w:t>
      </w:r>
      <w:proofErr w:type="spellStart"/>
      <w:r w:rsidRPr="00B15071">
        <w:rPr>
          <w:rFonts w:ascii="Book Antiqua" w:eastAsia="Book Antiqua" w:hAnsi="Book Antiqua" w:cs="Book Antiqua"/>
          <w:b/>
          <w:bCs/>
          <w:color w:val="000000"/>
        </w:rPr>
        <w:t>Kedia</w:t>
      </w:r>
      <w:proofErr w:type="spellEnd"/>
      <w:r w:rsidRPr="00B15071">
        <w:rPr>
          <w:rFonts w:ascii="Book Antiqua" w:eastAsia="Book Antiqua" w:hAnsi="Book Antiqua" w:cs="Book Antiqua"/>
          <w:b/>
          <w:bCs/>
          <w:color w:val="000000"/>
        </w:rPr>
        <w:t xml:space="preserve"> P</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Tarnasky</w:t>
      </w:r>
      <w:proofErr w:type="spellEnd"/>
      <w:r w:rsidRPr="00B15071">
        <w:rPr>
          <w:rFonts w:ascii="Book Antiqua" w:eastAsia="Book Antiqua" w:hAnsi="Book Antiqua" w:cs="Book Antiqua"/>
          <w:color w:val="000000"/>
        </w:rPr>
        <w:t xml:space="preserve"> PR, Nieto J, Steele SL, Siddiqui A, Xu MM, </w:t>
      </w:r>
      <w:proofErr w:type="spellStart"/>
      <w:r w:rsidRPr="00B15071">
        <w:rPr>
          <w:rFonts w:ascii="Book Antiqua" w:eastAsia="Book Antiqua" w:hAnsi="Book Antiqua" w:cs="Book Antiqua"/>
          <w:color w:val="000000"/>
        </w:rPr>
        <w:t>Tyberg</w:t>
      </w:r>
      <w:proofErr w:type="spellEnd"/>
      <w:r w:rsidRPr="00B15071">
        <w:rPr>
          <w:rFonts w:ascii="Book Antiqua" w:eastAsia="Book Antiqua" w:hAnsi="Book Antiqua" w:cs="Book Antiqua"/>
          <w:color w:val="000000"/>
        </w:rPr>
        <w:t xml:space="preserve"> A, </w:t>
      </w:r>
      <w:proofErr w:type="spellStart"/>
      <w:r w:rsidRPr="00B15071">
        <w:rPr>
          <w:rFonts w:ascii="Book Antiqua" w:eastAsia="Book Antiqua" w:hAnsi="Book Antiqua" w:cs="Book Antiqua"/>
          <w:color w:val="000000"/>
        </w:rPr>
        <w:t>Gaidhane</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Kahaleh</w:t>
      </w:r>
      <w:proofErr w:type="spellEnd"/>
      <w:r w:rsidRPr="00B15071">
        <w:rPr>
          <w:rFonts w:ascii="Book Antiqua" w:eastAsia="Book Antiqua" w:hAnsi="Book Antiqua" w:cs="Book Antiqua"/>
          <w:color w:val="000000"/>
        </w:rPr>
        <w:t xml:space="preserve"> M. EUS-directed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ERCP (EDGE) Versus Laparoscopy-assisted ERCP (LA-ERCP) for Roux-en-Y Gastric Bypass (RYGB) Anatomy: A Multicenter Early Comparative Experience of Clinical Outcomes. </w:t>
      </w:r>
      <w:r w:rsidRPr="00B15071">
        <w:rPr>
          <w:rFonts w:ascii="Book Antiqua" w:eastAsia="Book Antiqua" w:hAnsi="Book Antiqua" w:cs="Book Antiqua"/>
          <w:i/>
          <w:iCs/>
          <w:color w:val="000000"/>
        </w:rPr>
        <w:t xml:space="preserve">J </w:t>
      </w:r>
      <w:proofErr w:type="spellStart"/>
      <w:r w:rsidRPr="00B15071">
        <w:rPr>
          <w:rFonts w:ascii="Book Antiqua" w:eastAsia="Book Antiqua" w:hAnsi="Book Antiqua" w:cs="Book Antiqua"/>
          <w:i/>
          <w:iCs/>
          <w:color w:val="000000"/>
        </w:rPr>
        <w:t>Clin</w:t>
      </w:r>
      <w:proofErr w:type="spellEnd"/>
      <w:r w:rsidRPr="00B15071">
        <w:rPr>
          <w:rFonts w:ascii="Book Antiqua" w:eastAsia="Book Antiqua" w:hAnsi="Book Antiqua" w:cs="Book Antiqua"/>
          <w:i/>
          <w:iCs/>
          <w:color w:val="000000"/>
        </w:rPr>
        <w:t xml:space="preserve"> Gastroenterol</w:t>
      </w:r>
      <w:r w:rsidRPr="00B15071">
        <w:rPr>
          <w:rFonts w:ascii="Book Antiqua" w:eastAsia="Book Antiqua" w:hAnsi="Book Antiqua" w:cs="Book Antiqua"/>
          <w:color w:val="000000"/>
        </w:rPr>
        <w:t xml:space="preserve"> 2019; </w:t>
      </w:r>
      <w:r w:rsidRPr="00B15071">
        <w:rPr>
          <w:rFonts w:ascii="Book Antiqua" w:eastAsia="Book Antiqua" w:hAnsi="Book Antiqua" w:cs="Book Antiqua"/>
          <w:b/>
          <w:bCs/>
          <w:color w:val="000000"/>
        </w:rPr>
        <w:t>53</w:t>
      </w:r>
      <w:r w:rsidRPr="00B15071">
        <w:rPr>
          <w:rFonts w:ascii="Book Antiqua" w:eastAsia="Book Antiqua" w:hAnsi="Book Antiqua" w:cs="Book Antiqua"/>
          <w:color w:val="000000"/>
        </w:rPr>
        <w:t>: 304-308 [PMID: 29668560 DOI: 10.1097/MCG.0000000000001037]</w:t>
      </w:r>
    </w:p>
    <w:p w14:paraId="1081ABC8"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14 </w:t>
      </w:r>
      <w:proofErr w:type="spellStart"/>
      <w:r w:rsidRPr="00B15071">
        <w:rPr>
          <w:rFonts w:ascii="Book Antiqua" w:eastAsia="Book Antiqua" w:hAnsi="Book Antiqua" w:cs="Book Antiqua"/>
          <w:b/>
          <w:bCs/>
          <w:color w:val="000000"/>
        </w:rPr>
        <w:t>Tyberg</w:t>
      </w:r>
      <w:proofErr w:type="spellEnd"/>
      <w:r w:rsidRPr="00B15071">
        <w:rPr>
          <w:rFonts w:ascii="Book Antiqua" w:eastAsia="Book Antiqua" w:hAnsi="Book Antiqua" w:cs="Book Antiqua"/>
          <w:b/>
          <w:bCs/>
          <w:color w:val="000000"/>
        </w:rPr>
        <w:t xml:space="preserve"> A</w:t>
      </w:r>
      <w:r w:rsidRPr="00B15071">
        <w:rPr>
          <w:rFonts w:ascii="Book Antiqua" w:eastAsia="Book Antiqua" w:hAnsi="Book Antiqua" w:cs="Book Antiqua"/>
          <w:color w:val="000000"/>
        </w:rPr>
        <w:t xml:space="preserve">, Nieto J, Salgado S, Weaver K, </w:t>
      </w:r>
      <w:proofErr w:type="spellStart"/>
      <w:r w:rsidRPr="00B15071">
        <w:rPr>
          <w:rFonts w:ascii="Book Antiqua" w:eastAsia="Book Antiqua" w:hAnsi="Book Antiqua" w:cs="Book Antiqua"/>
          <w:color w:val="000000"/>
        </w:rPr>
        <w:t>Kedia</w:t>
      </w:r>
      <w:proofErr w:type="spellEnd"/>
      <w:r w:rsidRPr="00B15071">
        <w:rPr>
          <w:rFonts w:ascii="Book Antiqua" w:eastAsia="Book Antiqua" w:hAnsi="Book Antiqua" w:cs="Book Antiqua"/>
          <w:color w:val="000000"/>
        </w:rPr>
        <w:t xml:space="preserve"> P, </w:t>
      </w:r>
      <w:proofErr w:type="spellStart"/>
      <w:r w:rsidRPr="00B15071">
        <w:rPr>
          <w:rFonts w:ascii="Book Antiqua" w:eastAsia="Book Antiqua" w:hAnsi="Book Antiqua" w:cs="Book Antiqua"/>
          <w:color w:val="000000"/>
        </w:rPr>
        <w:t>Sharaiha</w:t>
      </w:r>
      <w:proofErr w:type="spellEnd"/>
      <w:r w:rsidRPr="00B15071">
        <w:rPr>
          <w:rFonts w:ascii="Book Antiqua" w:eastAsia="Book Antiqua" w:hAnsi="Book Antiqua" w:cs="Book Antiqua"/>
          <w:color w:val="000000"/>
        </w:rPr>
        <w:t xml:space="preserve"> RZ, </w:t>
      </w:r>
      <w:proofErr w:type="spellStart"/>
      <w:r w:rsidRPr="00B15071">
        <w:rPr>
          <w:rFonts w:ascii="Book Antiqua" w:eastAsia="Book Antiqua" w:hAnsi="Book Antiqua" w:cs="Book Antiqua"/>
          <w:color w:val="000000"/>
        </w:rPr>
        <w:t>Gaidhane</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Kahaleh</w:t>
      </w:r>
      <w:proofErr w:type="spellEnd"/>
      <w:r w:rsidRPr="00B15071">
        <w:rPr>
          <w:rFonts w:ascii="Book Antiqua" w:eastAsia="Book Antiqua" w:hAnsi="Book Antiqua" w:cs="Book Antiqua"/>
          <w:color w:val="000000"/>
        </w:rPr>
        <w:t xml:space="preserve"> M. Endoscopic Ultrasound (EUS)-Directed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Endoscopic Retrograde Cholangiopancreatography or EUS: Mid-Term Analysis of an Emerging Procedure. </w:t>
      </w:r>
      <w:proofErr w:type="spellStart"/>
      <w:r w:rsidRPr="00B15071">
        <w:rPr>
          <w:rFonts w:ascii="Book Antiqua" w:eastAsia="Book Antiqua" w:hAnsi="Book Antiqua" w:cs="Book Antiqua"/>
          <w:i/>
          <w:iCs/>
          <w:color w:val="000000"/>
        </w:rPr>
        <w:t>Clin</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color w:val="000000"/>
        </w:rPr>
        <w:t xml:space="preserve"> 2017; </w:t>
      </w:r>
      <w:r w:rsidRPr="00B15071">
        <w:rPr>
          <w:rFonts w:ascii="Book Antiqua" w:eastAsia="Book Antiqua" w:hAnsi="Book Antiqua" w:cs="Book Antiqua"/>
          <w:b/>
          <w:bCs/>
          <w:color w:val="000000"/>
        </w:rPr>
        <w:t>50</w:t>
      </w:r>
      <w:r w:rsidRPr="00B15071">
        <w:rPr>
          <w:rFonts w:ascii="Book Antiqua" w:eastAsia="Book Antiqua" w:hAnsi="Book Antiqua" w:cs="Book Antiqua"/>
          <w:color w:val="000000"/>
        </w:rPr>
        <w:t>: 185-190 [PMID: 27642849 DOI: 10.5946/ce.2016.030]</w:t>
      </w:r>
    </w:p>
    <w:p w14:paraId="59A7CA3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15 </w:t>
      </w:r>
      <w:r w:rsidRPr="00B15071">
        <w:rPr>
          <w:rFonts w:ascii="Book Antiqua" w:eastAsia="Book Antiqua" w:hAnsi="Book Antiqua" w:cs="Book Antiqua"/>
          <w:b/>
          <w:bCs/>
          <w:color w:val="000000"/>
        </w:rPr>
        <w:t>Medina-Franco H</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Abarca</w:t>
      </w:r>
      <w:proofErr w:type="spellEnd"/>
      <w:r w:rsidRPr="00B15071">
        <w:rPr>
          <w:rFonts w:ascii="Book Antiqua" w:eastAsia="Book Antiqua" w:hAnsi="Book Antiqua" w:cs="Book Antiqua"/>
          <w:color w:val="000000"/>
        </w:rPr>
        <w:t xml:space="preserve">-Pérez L, </w:t>
      </w:r>
      <w:proofErr w:type="spellStart"/>
      <w:r w:rsidRPr="00B15071">
        <w:rPr>
          <w:rFonts w:ascii="Book Antiqua" w:eastAsia="Book Antiqua" w:hAnsi="Book Antiqua" w:cs="Book Antiqua"/>
          <w:color w:val="000000"/>
        </w:rPr>
        <w:t>España</w:t>
      </w:r>
      <w:proofErr w:type="spellEnd"/>
      <w:r w:rsidRPr="00B15071">
        <w:rPr>
          <w:rFonts w:ascii="Book Antiqua" w:eastAsia="Book Antiqua" w:hAnsi="Book Antiqua" w:cs="Book Antiqua"/>
          <w:color w:val="000000"/>
        </w:rPr>
        <w:t>-Gómez N, Salgado-</w:t>
      </w:r>
      <w:proofErr w:type="spellStart"/>
      <w:r w:rsidRPr="00B15071">
        <w:rPr>
          <w:rFonts w:ascii="Book Antiqua" w:eastAsia="Book Antiqua" w:hAnsi="Book Antiqua" w:cs="Book Antiqua"/>
          <w:color w:val="000000"/>
        </w:rPr>
        <w:t>Nesme</w:t>
      </w:r>
      <w:proofErr w:type="spellEnd"/>
      <w:r w:rsidRPr="00B15071">
        <w:rPr>
          <w:rFonts w:ascii="Book Antiqua" w:eastAsia="Book Antiqua" w:hAnsi="Book Antiqua" w:cs="Book Antiqua"/>
          <w:color w:val="000000"/>
        </w:rPr>
        <w:t xml:space="preserve"> N, Ortiz-López LJ, García-Alvarez MN. Morbidity-associated factors after gastrojejunostomy for malignant gastric outlet obstruction. </w:t>
      </w:r>
      <w:r w:rsidRPr="00B15071">
        <w:rPr>
          <w:rFonts w:ascii="Book Antiqua" w:eastAsia="Book Antiqua" w:hAnsi="Book Antiqua" w:cs="Book Antiqua"/>
          <w:i/>
          <w:iCs/>
          <w:color w:val="000000"/>
        </w:rPr>
        <w:t xml:space="preserve">Am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color w:val="000000"/>
        </w:rPr>
        <w:t xml:space="preserve"> 2007; </w:t>
      </w:r>
      <w:r w:rsidRPr="00B15071">
        <w:rPr>
          <w:rFonts w:ascii="Book Antiqua" w:eastAsia="Book Antiqua" w:hAnsi="Book Antiqua" w:cs="Book Antiqua"/>
          <w:b/>
          <w:bCs/>
          <w:color w:val="000000"/>
        </w:rPr>
        <w:t>73</w:t>
      </w:r>
      <w:r w:rsidRPr="00B15071">
        <w:rPr>
          <w:rFonts w:ascii="Book Antiqua" w:eastAsia="Book Antiqua" w:hAnsi="Book Antiqua" w:cs="Book Antiqua"/>
          <w:color w:val="000000"/>
        </w:rPr>
        <w:t>: 871-875 [PMID: 17939415 DOI: 10.2753/CSA0009-4625390103]</w:t>
      </w:r>
    </w:p>
    <w:p w14:paraId="15062A94"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lastRenderedPageBreak/>
        <w:t xml:space="preserve">16 </w:t>
      </w:r>
      <w:proofErr w:type="spellStart"/>
      <w:r w:rsidRPr="00B15071">
        <w:rPr>
          <w:rFonts w:ascii="Book Antiqua" w:eastAsia="Book Antiqua" w:hAnsi="Book Antiqua" w:cs="Book Antiqua"/>
          <w:b/>
          <w:bCs/>
          <w:color w:val="000000"/>
        </w:rPr>
        <w:t>Tyberg</w:t>
      </w:r>
      <w:proofErr w:type="spellEnd"/>
      <w:r w:rsidRPr="00B15071">
        <w:rPr>
          <w:rFonts w:ascii="Book Antiqua" w:eastAsia="Book Antiqua" w:hAnsi="Book Antiqua" w:cs="Book Antiqua"/>
          <w:b/>
          <w:bCs/>
          <w:color w:val="000000"/>
        </w:rPr>
        <w:t xml:space="preserve"> A</w:t>
      </w:r>
      <w:r w:rsidRPr="00B15071">
        <w:rPr>
          <w:rFonts w:ascii="Book Antiqua" w:eastAsia="Book Antiqua" w:hAnsi="Book Antiqua" w:cs="Book Antiqua"/>
          <w:color w:val="000000"/>
        </w:rPr>
        <w:t>, Perez-Miranda M, Sanchez-</w:t>
      </w:r>
      <w:proofErr w:type="spellStart"/>
      <w:r w:rsidRPr="00B15071">
        <w:rPr>
          <w:rFonts w:ascii="Book Antiqua" w:eastAsia="Book Antiqua" w:hAnsi="Book Antiqua" w:cs="Book Antiqua"/>
          <w:color w:val="000000"/>
        </w:rPr>
        <w:t>Ocaña</w:t>
      </w:r>
      <w:proofErr w:type="spellEnd"/>
      <w:r w:rsidRPr="00B15071">
        <w:rPr>
          <w:rFonts w:ascii="Book Antiqua" w:eastAsia="Book Antiqua" w:hAnsi="Book Antiqua" w:cs="Book Antiqua"/>
          <w:color w:val="000000"/>
        </w:rPr>
        <w:t xml:space="preserve"> R, </w:t>
      </w:r>
      <w:proofErr w:type="spellStart"/>
      <w:r w:rsidRPr="00B15071">
        <w:rPr>
          <w:rFonts w:ascii="Book Antiqua" w:eastAsia="Book Antiqua" w:hAnsi="Book Antiqua" w:cs="Book Antiqua"/>
          <w:color w:val="000000"/>
        </w:rPr>
        <w:t>Peñas</w:t>
      </w:r>
      <w:proofErr w:type="spellEnd"/>
      <w:r w:rsidRPr="00B15071">
        <w:rPr>
          <w:rFonts w:ascii="Book Antiqua" w:eastAsia="Book Antiqua" w:hAnsi="Book Antiqua" w:cs="Book Antiqua"/>
          <w:color w:val="000000"/>
        </w:rPr>
        <w:t xml:space="preserve"> I, de la Serna C, Shah J, </w:t>
      </w:r>
      <w:proofErr w:type="spellStart"/>
      <w:r w:rsidRPr="00B15071">
        <w:rPr>
          <w:rFonts w:ascii="Book Antiqua" w:eastAsia="Book Antiqua" w:hAnsi="Book Antiqua" w:cs="Book Antiqua"/>
          <w:color w:val="000000"/>
        </w:rPr>
        <w:t>Binmoeller</w:t>
      </w:r>
      <w:proofErr w:type="spellEnd"/>
      <w:r w:rsidRPr="00B15071">
        <w:rPr>
          <w:rFonts w:ascii="Book Antiqua" w:eastAsia="Book Antiqua" w:hAnsi="Book Antiqua" w:cs="Book Antiqua"/>
          <w:color w:val="000000"/>
        </w:rPr>
        <w:t xml:space="preserve"> K, </w:t>
      </w:r>
      <w:proofErr w:type="spellStart"/>
      <w:r w:rsidRPr="00B15071">
        <w:rPr>
          <w:rFonts w:ascii="Book Antiqua" w:eastAsia="Book Antiqua" w:hAnsi="Book Antiqua" w:cs="Book Antiqua"/>
          <w:color w:val="000000"/>
        </w:rPr>
        <w:t>Gaidhane</w:t>
      </w:r>
      <w:proofErr w:type="spellEnd"/>
      <w:r w:rsidRPr="00B15071">
        <w:rPr>
          <w:rFonts w:ascii="Book Antiqua" w:eastAsia="Book Antiqua" w:hAnsi="Book Antiqua" w:cs="Book Antiqua"/>
          <w:color w:val="000000"/>
        </w:rPr>
        <w:t xml:space="preserve"> M, Grimm I, Baron T, </w:t>
      </w:r>
      <w:proofErr w:type="spellStart"/>
      <w:r w:rsidRPr="00B15071">
        <w:rPr>
          <w:rFonts w:ascii="Book Antiqua" w:eastAsia="Book Antiqua" w:hAnsi="Book Antiqua" w:cs="Book Antiqua"/>
          <w:color w:val="000000"/>
        </w:rPr>
        <w:t>Kahaleh</w:t>
      </w:r>
      <w:proofErr w:type="spellEnd"/>
      <w:r w:rsidRPr="00B15071">
        <w:rPr>
          <w:rFonts w:ascii="Book Antiqua" w:eastAsia="Book Antiqua" w:hAnsi="Book Antiqua" w:cs="Book Antiqua"/>
          <w:color w:val="000000"/>
        </w:rPr>
        <w:t xml:space="preserve"> M. Endoscopic ultrasound-guided gastrojejunostomy with a lumen-apposing metal stent: a multicenter, international experience.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Int</w:t>
      </w:r>
      <w:proofErr w:type="spellEnd"/>
      <w:r w:rsidRPr="00B15071">
        <w:rPr>
          <w:rFonts w:ascii="Book Antiqua" w:eastAsia="Book Antiqua" w:hAnsi="Book Antiqua" w:cs="Book Antiqua"/>
          <w:i/>
          <w:iCs/>
          <w:color w:val="000000"/>
        </w:rPr>
        <w:t xml:space="preserve"> Open</w:t>
      </w:r>
      <w:r w:rsidRPr="00B15071">
        <w:rPr>
          <w:rFonts w:ascii="Book Antiqua" w:eastAsia="Book Antiqua" w:hAnsi="Book Antiqua" w:cs="Book Antiqua"/>
          <w:color w:val="000000"/>
        </w:rPr>
        <w:t xml:space="preserve"> 2016; </w:t>
      </w:r>
      <w:r w:rsidRPr="00B15071">
        <w:rPr>
          <w:rFonts w:ascii="Book Antiqua" w:eastAsia="Book Antiqua" w:hAnsi="Book Antiqua" w:cs="Book Antiqua"/>
          <w:b/>
          <w:bCs/>
          <w:color w:val="000000"/>
        </w:rPr>
        <w:t>4</w:t>
      </w:r>
      <w:r w:rsidRPr="00B15071">
        <w:rPr>
          <w:rFonts w:ascii="Book Antiqua" w:eastAsia="Book Antiqua" w:hAnsi="Book Antiqua" w:cs="Book Antiqua"/>
          <w:color w:val="000000"/>
        </w:rPr>
        <w:t>: E276-E281 [PMID: 27004243 DOI: 10.1055/s-0042-101789]</w:t>
      </w:r>
    </w:p>
    <w:p w14:paraId="289C2DE2" w14:textId="77777777" w:rsidR="00A77B3E" w:rsidRPr="00B15071" w:rsidRDefault="00A77B3E" w:rsidP="00B15071">
      <w:pPr>
        <w:snapToGrid w:val="0"/>
        <w:spacing w:line="360" w:lineRule="auto"/>
        <w:jc w:val="both"/>
        <w:rPr>
          <w:rFonts w:ascii="Book Antiqua" w:hAnsi="Book Antiqua"/>
        </w:rPr>
        <w:sectPr w:rsidR="00A77B3E" w:rsidRPr="00B15071" w:rsidSect="001F7323">
          <w:pgSz w:w="12240" w:h="15840"/>
          <w:pgMar w:top="1440" w:right="1800" w:bottom="1440" w:left="1800" w:header="720" w:footer="720" w:gutter="0"/>
          <w:cols w:space="720"/>
          <w:docGrid w:linePitch="360"/>
        </w:sectPr>
      </w:pPr>
    </w:p>
    <w:p w14:paraId="0A9900D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lastRenderedPageBreak/>
        <w:t>Footnotes</w:t>
      </w:r>
    </w:p>
    <w:p w14:paraId="2AC1BB08"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Informed consent statement: </w:t>
      </w:r>
      <w:r w:rsidRPr="00B15071">
        <w:rPr>
          <w:rFonts w:ascii="Book Antiqua" w:eastAsia="Book Antiqua" w:hAnsi="Book Antiqua" w:cs="Book Antiqua"/>
          <w:color w:val="000000"/>
        </w:rPr>
        <w:t>Informed written consent was obtained from the patient for publication of this report and any accompanying images.</w:t>
      </w:r>
    </w:p>
    <w:p w14:paraId="6530D89A" w14:textId="77777777" w:rsidR="00A77B3E" w:rsidRPr="00B15071" w:rsidRDefault="00A77B3E" w:rsidP="00B15071">
      <w:pPr>
        <w:snapToGrid w:val="0"/>
        <w:spacing w:line="360" w:lineRule="auto"/>
        <w:jc w:val="both"/>
        <w:rPr>
          <w:rFonts w:ascii="Book Antiqua" w:hAnsi="Book Antiqua"/>
        </w:rPr>
      </w:pPr>
    </w:p>
    <w:p w14:paraId="1DF27CB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Conflict-of-interest statement: </w:t>
      </w:r>
      <w:r w:rsidRPr="00B15071">
        <w:rPr>
          <w:rFonts w:ascii="Book Antiqua" w:eastAsia="Book Antiqua" w:hAnsi="Book Antiqua" w:cs="Book Antiqua"/>
          <w:color w:val="000000"/>
        </w:rPr>
        <w:t>No conflicts of interest declared.</w:t>
      </w:r>
    </w:p>
    <w:p w14:paraId="7AA73A1D" w14:textId="77777777" w:rsidR="00A77B3E" w:rsidRPr="00B15071" w:rsidRDefault="00A77B3E" w:rsidP="00B15071">
      <w:pPr>
        <w:snapToGrid w:val="0"/>
        <w:spacing w:line="360" w:lineRule="auto"/>
        <w:jc w:val="both"/>
        <w:rPr>
          <w:rFonts w:ascii="Book Antiqua" w:hAnsi="Book Antiqua"/>
        </w:rPr>
      </w:pPr>
    </w:p>
    <w:p w14:paraId="7C6D6F3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CARE Checklist (2016) statement: </w:t>
      </w:r>
      <w:r w:rsidRPr="00B15071">
        <w:rPr>
          <w:rFonts w:ascii="Book Antiqua" w:eastAsia="Book Antiqua" w:hAnsi="Book Antiqua" w:cs="Book Antiqua"/>
          <w:color w:val="000000"/>
        </w:rPr>
        <w:t>The authors have read the CARE Checklist (2016), and the manuscript was prepared and revised according to the CARE Checklist (2016).</w:t>
      </w:r>
    </w:p>
    <w:p w14:paraId="0D511EA7" w14:textId="77777777" w:rsidR="00A77B3E" w:rsidRPr="00B15071" w:rsidRDefault="00A77B3E" w:rsidP="00B15071">
      <w:pPr>
        <w:snapToGrid w:val="0"/>
        <w:spacing w:line="360" w:lineRule="auto"/>
        <w:jc w:val="both"/>
        <w:rPr>
          <w:rFonts w:ascii="Book Antiqua" w:hAnsi="Book Antiqua"/>
        </w:rPr>
      </w:pPr>
    </w:p>
    <w:p w14:paraId="7C1195A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Open-Access: </w:t>
      </w:r>
      <w:r w:rsidRPr="00B1507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15071">
        <w:rPr>
          <w:rFonts w:ascii="Book Antiqua" w:eastAsia="Book Antiqua" w:hAnsi="Book Antiqua" w:cs="Book Antiqua"/>
          <w:color w:val="000000"/>
        </w:rPr>
        <w:t>NonCommercial</w:t>
      </w:r>
      <w:proofErr w:type="spellEnd"/>
      <w:r w:rsidRPr="00B1507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A70F38" w14:textId="77777777" w:rsidR="00A77B3E" w:rsidRPr="00B15071" w:rsidRDefault="00A77B3E" w:rsidP="00B15071">
      <w:pPr>
        <w:snapToGrid w:val="0"/>
        <w:spacing w:line="360" w:lineRule="auto"/>
        <w:jc w:val="both"/>
        <w:rPr>
          <w:rFonts w:ascii="Book Antiqua" w:hAnsi="Book Antiqua"/>
        </w:rPr>
      </w:pPr>
    </w:p>
    <w:p w14:paraId="28FFB262" w14:textId="2899A997" w:rsidR="00A77B3E" w:rsidRPr="00B15071" w:rsidRDefault="00A51EA4" w:rsidP="00B15071">
      <w:pPr>
        <w:snapToGrid w:val="0"/>
        <w:spacing w:line="360" w:lineRule="auto"/>
        <w:jc w:val="both"/>
        <w:rPr>
          <w:rFonts w:ascii="Book Antiqua" w:eastAsia="Book Antiqua" w:hAnsi="Book Antiqua" w:cs="Book Antiqua"/>
          <w:color w:val="000000"/>
        </w:rPr>
      </w:pPr>
      <w:r w:rsidRPr="00B15071">
        <w:rPr>
          <w:rFonts w:ascii="Book Antiqua" w:eastAsia="Book Antiqua" w:hAnsi="Book Antiqua" w:cs="Book Antiqua"/>
          <w:b/>
          <w:color w:val="000000"/>
        </w:rPr>
        <w:t xml:space="preserve">Manuscript source: </w:t>
      </w:r>
      <w:r w:rsidRPr="00B15071">
        <w:rPr>
          <w:rFonts w:ascii="Book Antiqua" w:eastAsia="Book Antiqua" w:hAnsi="Book Antiqua" w:cs="Book Antiqua"/>
          <w:color w:val="000000"/>
        </w:rPr>
        <w:t xml:space="preserve">Unsolicited </w:t>
      </w:r>
      <w:r w:rsidR="007D235E" w:rsidRPr="00B15071">
        <w:rPr>
          <w:rFonts w:ascii="Book Antiqua" w:eastAsia="Book Antiqua" w:hAnsi="Book Antiqua" w:cs="Book Antiqua"/>
          <w:color w:val="000000"/>
        </w:rPr>
        <w:t>manuscript</w:t>
      </w:r>
    </w:p>
    <w:p w14:paraId="6BF02A97" w14:textId="77777777" w:rsidR="00753E7A" w:rsidRPr="00B15071" w:rsidRDefault="00753E7A" w:rsidP="00B15071">
      <w:pPr>
        <w:snapToGrid w:val="0"/>
        <w:spacing w:line="360" w:lineRule="auto"/>
        <w:jc w:val="both"/>
        <w:rPr>
          <w:rFonts w:ascii="Book Antiqua" w:hAnsi="Book Antiqua"/>
        </w:rPr>
      </w:pPr>
    </w:p>
    <w:p w14:paraId="746B27AD" w14:textId="036B7801"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Corresponding Author's Membership in Professional Societies: </w:t>
      </w:r>
      <w:r w:rsidR="00753E7A" w:rsidRPr="00B15071">
        <w:rPr>
          <w:rFonts w:ascii="Book Antiqua" w:eastAsia="Book Antiqua" w:hAnsi="Book Antiqua" w:cs="Book Antiqua"/>
          <w:color w:val="000000"/>
        </w:rPr>
        <w:t>American College of Physicians</w:t>
      </w:r>
      <w:r w:rsidR="00B15071">
        <w:rPr>
          <w:rFonts w:ascii="Book Antiqua" w:eastAsia="Book Antiqua" w:hAnsi="Book Antiqua" w:cs="Book Antiqua"/>
          <w:color w:val="000000"/>
        </w:rPr>
        <w:t xml:space="preserve">, No. </w:t>
      </w:r>
      <w:r w:rsidR="00B15071" w:rsidRPr="00B15071">
        <w:rPr>
          <w:rFonts w:ascii="Book Antiqua" w:eastAsia="Book Antiqua" w:hAnsi="Book Antiqua" w:cs="Book Antiqua"/>
          <w:color w:val="000000"/>
        </w:rPr>
        <w:t>03425464</w:t>
      </w:r>
      <w:r w:rsidR="00B15071">
        <w:rPr>
          <w:rFonts w:ascii="Book Antiqua" w:eastAsia="Book Antiqua" w:hAnsi="Book Antiqua" w:cs="Book Antiqua"/>
          <w:color w:val="000000"/>
        </w:rPr>
        <w:t>.</w:t>
      </w:r>
    </w:p>
    <w:p w14:paraId="4DDDFC07" w14:textId="77777777" w:rsidR="00A77B3E" w:rsidRPr="00B15071" w:rsidRDefault="00A77B3E" w:rsidP="00B15071">
      <w:pPr>
        <w:snapToGrid w:val="0"/>
        <w:spacing w:line="360" w:lineRule="auto"/>
        <w:jc w:val="both"/>
        <w:rPr>
          <w:rFonts w:ascii="Book Antiqua" w:hAnsi="Book Antiqua"/>
        </w:rPr>
      </w:pPr>
    </w:p>
    <w:p w14:paraId="581A6CD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Peer-review started: </w:t>
      </w:r>
      <w:r w:rsidRPr="00B15071">
        <w:rPr>
          <w:rFonts w:ascii="Book Antiqua" w:eastAsia="Book Antiqua" w:hAnsi="Book Antiqua" w:cs="Book Antiqua"/>
          <w:color w:val="000000"/>
        </w:rPr>
        <w:t>May 8, 2020</w:t>
      </w:r>
    </w:p>
    <w:p w14:paraId="08CE34D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First decision: </w:t>
      </w:r>
      <w:r w:rsidRPr="00B15071">
        <w:rPr>
          <w:rFonts w:ascii="Book Antiqua" w:eastAsia="Book Antiqua" w:hAnsi="Book Antiqua" w:cs="Book Antiqua"/>
          <w:color w:val="000000"/>
        </w:rPr>
        <w:t>May 26, 2020</w:t>
      </w:r>
    </w:p>
    <w:p w14:paraId="69CE19E8" w14:textId="0AC95D8C"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Article in press:</w:t>
      </w:r>
    </w:p>
    <w:p w14:paraId="22C4D883" w14:textId="77777777" w:rsidR="00A77B3E" w:rsidRPr="00B15071" w:rsidRDefault="00A77B3E" w:rsidP="00B15071">
      <w:pPr>
        <w:snapToGrid w:val="0"/>
        <w:spacing w:line="360" w:lineRule="auto"/>
        <w:jc w:val="both"/>
        <w:rPr>
          <w:rFonts w:ascii="Book Antiqua" w:hAnsi="Book Antiqua"/>
        </w:rPr>
      </w:pPr>
    </w:p>
    <w:p w14:paraId="74B2DD66" w14:textId="0608E2E8"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Specialty type: </w:t>
      </w:r>
      <w:r w:rsidRPr="00B15071">
        <w:rPr>
          <w:rFonts w:ascii="Book Antiqua" w:eastAsia="Book Antiqua" w:hAnsi="Book Antiqua" w:cs="Book Antiqua"/>
          <w:color w:val="000000"/>
        </w:rPr>
        <w:t xml:space="preserve">Gastroenterology and </w:t>
      </w:r>
      <w:r w:rsidR="00753E7A" w:rsidRPr="00B15071">
        <w:rPr>
          <w:rFonts w:ascii="Book Antiqua" w:eastAsia="Book Antiqua" w:hAnsi="Book Antiqua" w:cs="Book Antiqua"/>
          <w:color w:val="000000"/>
        </w:rPr>
        <w:t>hepatology</w:t>
      </w:r>
    </w:p>
    <w:p w14:paraId="0CE47AA8"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Country/Territory of origin: </w:t>
      </w:r>
      <w:r w:rsidRPr="00B15071">
        <w:rPr>
          <w:rFonts w:ascii="Book Antiqua" w:eastAsia="Book Antiqua" w:hAnsi="Book Antiqua" w:cs="Book Antiqua"/>
          <w:color w:val="000000"/>
        </w:rPr>
        <w:t>United States</w:t>
      </w:r>
    </w:p>
    <w:p w14:paraId="34424863"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Peer-review report’s scientific quality classification</w:t>
      </w:r>
    </w:p>
    <w:p w14:paraId="6DDFD122"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lastRenderedPageBreak/>
        <w:t>Grade A (Excellent): 0</w:t>
      </w:r>
    </w:p>
    <w:p w14:paraId="3E66F70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Grade B (Very good): B</w:t>
      </w:r>
    </w:p>
    <w:p w14:paraId="0F1F436D"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Grade C (Good): 0</w:t>
      </w:r>
    </w:p>
    <w:p w14:paraId="3D6A6073"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Grade D (Fair): 0</w:t>
      </w:r>
    </w:p>
    <w:p w14:paraId="3502E9EE"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Grade E (Poor): 0</w:t>
      </w:r>
    </w:p>
    <w:p w14:paraId="4BD5143F" w14:textId="77777777" w:rsidR="00A77B3E" w:rsidRPr="00B15071" w:rsidRDefault="00A77B3E" w:rsidP="00B15071">
      <w:pPr>
        <w:snapToGrid w:val="0"/>
        <w:spacing w:line="360" w:lineRule="auto"/>
        <w:jc w:val="both"/>
        <w:rPr>
          <w:rFonts w:ascii="Book Antiqua" w:hAnsi="Book Antiqua"/>
        </w:rPr>
      </w:pPr>
    </w:p>
    <w:p w14:paraId="487684FC" w14:textId="55DA741D" w:rsidR="00A77B3E" w:rsidRPr="00B15071" w:rsidRDefault="00A51EA4" w:rsidP="00B15071">
      <w:pPr>
        <w:snapToGrid w:val="0"/>
        <w:spacing w:line="360" w:lineRule="auto"/>
        <w:jc w:val="both"/>
        <w:rPr>
          <w:rFonts w:ascii="Book Antiqua" w:eastAsia="Book Antiqua" w:hAnsi="Book Antiqua" w:cs="Book Antiqua"/>
          <w:b/>
          <w:color w:val="000000"/>
        </w:rPr>
      </w:pPr>
      <w:r w:rsidRPr="00B15071">
        <w:rPr>
          <w:rFonts w:ascii="Book Antiqua" w:eastAsia="Book Antiqua" w:hAnsi="Book Antiqua" w:cs="Book Antiqua"/>
          <w:b/>
          <w:color w:val="000000"/>
        </w:rPr>
        <w:t xml:space="preserve">P-Reviewer: </w:t>
      </w:r>
      <w:proofErr w:type="spellStart"/>
      <w:r w:rsidRPr="00B15071">
        <w:rPr>
          <w:rFonts w:ascii="Book Antiqua" w:eastAsia="Book Antiqua" w:hAnsi="Book Antiqua" w:cs="Book Antiqua"/>
          <w:color w:val="000000"/>
        </w:rPr>
        <w:t>Goenka</w:t>
      </w:r>
      <w:proofErr w:type="spellEnd"/>
      <w:r w:rsidRPr="00B15071">
        <w:rPr>
          <w:rFonts w:ascii="Book Antiqua" w:eastAsia="Book Antiqua" w:hAnsi="Book Antiqua" w:cs="Book Antiqua"/>
          <w:color w:val="000000"/>
        </w:rPr>
        <w:t xml:space="preserve"> MK</w:t>
      </w:r>
      <w:r w:rsidRPr="00B15071">
        <w:rPr>
          <w:rFonts w:ascii="Book Antiqua" w:eastAsia="Book Antiqua" w:hAnsi="Book Antiqua" w:cs="Book Antiqua"/>
          <w:b/>
          <w:color w:val="000000"/>
        </w:rPr>
        <w:t xml:space="preserve"> S-Editor: </w:t>
      </w:r>
      <w:r w:rsidRPr="00B15071">
        <w:rPr>
          <w:rFonts w:ascii="Book Antiqua" w:eastAsia="Book Antiqua" w:hAnsi="Book Antiqua" w:cs="Book Antiqua"/>
          <w:color w:val="000000"/>
        </w:rPr>
        <w:t>Zhang L</w:t>
      </w:r>
      <w:r w:rsidRPr="00B15071">
        <w:rPr>
          <w:rFonts w:ascii="Book Antiqua" w:eastAsia="Book Antiqua" w:hAnsi="Book Antiqua" w:cs="Book Antiqua"/>
          <w:b/>
          <w:color w:val="000000"/>
        </w:rPr>
        <w:t xml:space="preserve"> L-Editor: </w:t>
      </w:r>
      <w:r w:rsidR="00C87835">
        <w:rPr>
          <w:rFonts w:ascii="Book Antiqua" w:eastAsia="Book Antiqua" w:hAnsi="Book Antiqua" w:cs="Book Antiqua"/>
          <w:b/>
          <w:color w:val="000000"/>
        </w:rPr>
        <w:t>P</w:t>
      </w:r>
      <w:r w:rsidRPr="00B15071">
        <w:rPr>
          <w:rFonts w:ascii="Book Antiqua" w:eastAsia="Book Antiqua" w:hAnsi="Book Antiqua" w:cs="Book Antiqua"/>
          <w:b/>
          <w:color w:val="000000"/>
        </w:rPr>
        <w:t xml:space="preserve">-Editor: </w:t>
      </w:r>
    </w:p>
    <w:p w14:paraId="1DF59714" w14:textId="77777777" w:rsidR="00753E7A" w:rsidRPr="00B15071" w:rsidRDefault="00753E7A" w:rsidP="00B15071">
      <w:pPr>
        <w:snapToGrid w:val="0"/>
        <w:spacing w:line="360" w:lineRule="auto"/>
        <w:jc w:val="both"/>
        <w:rPr>
          <w:rFonts w:ascii="Book Antiqua" w:hAnsi="Book Antiqua"/>
        </w:rPr>
        <w:sectPr w:rsidR="00753E7A" w:rsidRPr="00B15071" w:rsidSect="001F7323">
          <w:pgSz w:w="12240" w:h="15840"/>
          <w:pgMar w:top="1440" w:right="1800" w:bottom="1440" w:left="1800" w:header="720" w:footer="720" w:gutter="0"/>
          <w:cols w:space="720"/>
          <w:docGrid w:linePitch="360"/>
        </w:sectPr>
      </w:pPr>
    </w:p>
    <w:p w14:paraId="05D8980F"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lastRenderedPageBreak/>
        <w:t>Figure Legends</w:t>
      </w:r>
    </w:p>
    <w:p w14:paraId="55689DEA" w14:textId="77777777" w:rsidR="009A0118" w:rsidRPr="00B15071" w:rsidRDefault="009A0118" w:rsidP="00B15071">
      <w:pPr>
        <w:snapToGrid w:val="0"/>
        <w:spacing w:line="360" w:lineRule="auto"/>
        <w:jc w:val="both"/>
        <w:rPr>
          <w:rFonts w:ascii="Book Antiqua" w:eastAsia="Book Antiqua" w:hAnsi="Book Antiqua" w:cs="Book Antiqua"/>
          <w:b/>
          <w:bCs/>
          <w:color w:val="000000"/>
        </w:rPr>
      </w:pPr>
      <w:r w:rsidRPr="00B15071">
        <w:rPr>
          <w:rFonts w:ascii="Book Antiqua" w:hAnsi="Book Antiqua"/>
          <w:noProof/>
          <w:u w:val="single"/>
          <w:lang w:eastAsia="zh-CN"/>
        </w:rPr>
        <w:drawing>
          <wp:inline distT="0" distB="0" distL="0" distR="0" wp14:anchorId="5BD5C5F0" wp14:editId="579776C1">
            <wp:extent cx="2918129" cy="2383486"/>
            <wp:effectExtent l="0" t="0" r="0" b="0"/>
            <wp:docPr id="16" name="Content Placeholder 15" descr="A picture containing indoor, table, sitting, photo&#10;&#10;Description automatically generated">
              <a:extLst xmlns:a="http://schemas.openxmlformats.org/drawingml/2006/main">
                <a:ext uri="{FF2B5EF4-FFF2-40B4-BE49-F238E27FC236}">
                  <a16:creationId xmlns:a16="http://schemas.microsoft.com/office/drawing/2014/main" id="{58622FDE-94FC-C64D-8977-98903D2E6E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descr="A picture containing indoor, table, sitting, photo&#10;&#10;Description automatically generated">
                      <a:extLst>
                        <a:ext uri="{FF2B5EF4-FFF2-40B4-BE49-F238E27FC236}">
                          <a16:creationId xmlns:a16="http://schemas.microsoft.com/office/drawing/2014/main" id="{58622FDE-94FC-C64D-8977-98903D2E6E8B}"/>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1430" cy="2386182"/>
                    </a:xfrm>
                    <a:prstGeom prst="rect">
                      <a:avLst/>
                    </a:prstGeom>
                  </pic:spPr>
                </pic:pic>
              </a:graphicData>
            </a:graphic>
          </wp:inline>
        </w:drawing>
      </w:r>
    </w:p>
    <w:p w14:paraId="614E2920" w14:textId="194D296B"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Figure 1 </w:t>
      </w:r>
      <w:r w:rsidR="00753E7A" w:rsidRPr="00B15071">
        <w:rPr>
          <w:rFonts w:ascii="Book Antiqua" w:eastAsia="Book Antiqua" w:hAnsi="Book Antiqua" w:cs="Book Antiqua"/>
          <w:b/>
          <w:bCs/>
          <w:color w:val="000000"/>
        </w:rPr>
        <w:t>Computerized tomography</w:t>
      </w:r>
      <w:r w:rsidRPr="00B15071">
        <w:rPr>
          <w:rFonts w:ascii="Book Antiqua" w:eastAsia="Book Antiqua" w:hAnsi="Book Antiqua" w:cs="Book Antiqua"/>
          <w:b/>
          <w:bCs/>
          <w:color w:val="000000"/>
        </w:rPr>
        <w:t xml:space="preserve"> scan revealing gastric remnant outlet obstruction.</w:t>
      </w:r>
    </w:p>
    <w:p w14:paraId="44AFF891" w14:textId="5D4B494B" w:rsidR="004264C2" w:rsidRPr="00B15071" w:rsidRDefault="009A0118" w:rsidP="00B15071">
      <w:pPr>
        <w:snapToGrid w:val="0"/>
        <w:spacing w:line="360" w:lineRule="auto"/>
        <w:jc w:val="both"/>
        <w:rPr>
          <w:rFonts w:ascii="Book Antiqua" w:eastAsia="Book Antiqua" w:hAnsi="Book Antiqua" w:cs="Book Antiqua"/>
          <w:b/>
          <w:bCs/>
          <w:color w:val="000000"/>
        </w:rPr>
      </w:pPr>
      <w:r w:rsidRPr="00B15071">
        <w:rPr>
          <w:rFonts w:ascii="Book Antiqua" w:eastAsia="Book Antiqua" w:hAnsi="Book Antiqua" w:cs="Book Antiqua"/>
          <w:b/>
          <w:bCs/>
          <w:color w:val="000000"/>
        </w:rPr>
        <w:br w:type="page"/>
      </w:r>
      <w:r w:rsidR="00D141CD">
        <w:rPr>
          <w:noProof/>
          <w:lang w:eastAsia="zh-CN"/>
        </w:rPr>
        <w:lastRenderedPageBreak/>
        <w:drawing>
          <wp:inline distT="0" distB="0" distL="0" distR="0" wp14:anchorId="2C47B9D5" wp14:editId="65D15F3A">
            <wp:extent cx="5486400" cy="3059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059430"/>
                    </a:xfrm>
                    <a:prstGeom prst="rect">
                      <a:avLst/>
                    </a:prstGeom>
                  </pic:spPr>
                </pic:pic>
              </a:graphicData>
            </a:graphic>
          </wp:inline>
        </w:drawing>
      </w:r>
    </w:p>
    <w:p w14:paraId="050C51EF" w14:textId="36D7BA3E" w:rsidR="004264C2" w:rsidRPr="00B15071" w:rsidRDefault="00A51EA4" w:rsidP="00B15071">
      <w:pPr>
        <w:snapToGrid w:val="0"/>
        <w:spacing w:line="360" w:lineRule="auto"/>
        <w:jc w:val="both"/>
        <w:rPr>
          <w:rFonts w:ascii="Book Antiqua" w:eastAsia="Book Antiqua" w:hAnsi="Book Antiqua" w:cs="Book Antiqua"/>
          <w:bCs/>
          <w:color w:val="000000"/>
        </w:rPr>
      </w:pPr>
      <w:r w:rsidRPr="00B15071">
        <w:rPr>
          <w:rFonts w:ascii="Book Antiqua" w:eastAsia="Book Antiqua" w:hAnsi="Book Antiqua" w:cs="Book Antiqua"/>
          <w:b/>
          <w:bCs/>
          <w:color w:val="000000"/>
        </w:rPr>
        <w:t>Figure 2 Endoscopy.</w:t>
      </w:r>
      <w:r w:rsidRPr="00B15071">
        <w:rPr>
          <w:rFonts w:ascii="Book Antiqua" w:eastAsia="Book Antiqua" w:hAnsi="Book Antiqua" w:cs="Book Antiqua"/>
          <w:bCs/>
          <w:color w:val="000000"/>
        </w:rPr>
        <w:t xml:space="preserve"> </w:t>
      </w:r>
      <w:r w:rsidR="004264C2" w:rsidRPr="00B15071">
        <w:rPr>
          <w:rFonts w:ascii="Book Antiqua" w:eastAsia="Book Antiqua" w:hAnsi="Book Antiqua" w:cs="Book Antiqua"/>
          <w:bCs/>
          <w:color w:val="000000"/>
        </w:rPr>
        <w:t xml:space="preserve">A: Healthy-appearing mucosa of Roux-en-Y; B: Gastric distension visualized on </w:t>
      </w:r>
      <w:r w:rsidR="004264C2" w:rsidRPr="00B15071">
        <w:rPr>
          <w:rFonts w:ascii="Book Antiqua" w:eastAsia="Book Antiqua" w:hAnsi="Book Antiqua" w:cs="Book Antiqua"/>
          <w:color w:val="000000"/>
        </w:rPr>
        <w:t>Endoscopic ultrasound</w:t>
      </w:r>
      <w:r w:rsidR="004264C2" w:rsidRPr="00B15071">
        <w:rPr>
          <w:rFonts w:ascii="Book Antiqua" w:eastAsia="Book Antiqua" w:hAnsi="Book Antiqua" w:cs="Book Antiqua"/>
          <w:bCs/>
          <w:color w:val="000000"/>
        </w:rPr>
        <w:t xml:space="preserve">; C: Introduction of Lumen-Apposing Metal Stent; D: Endoscopic view of Lumen-Apposing Metal Stent placement; E: Immediate decompression with flow of blood through stent; and F: Successful </w:t>
      </w:r>
      <w:r w:rsidR="00235339" w:rsidRPr="00B15071">
        <w:rPr>
          <w:rFonts w:ascii="Book Antiqua" w:eastAsia="Book Antiqua" w:hAnsi="Book Antiqua" w:cs="Book Antiqua"/>
          <w:color w:val="000000"/>
        </w:rPr>
        <w:t>e</w:t>
      </w:r>
      <w:r w:rsidR="004264C2" w:rsidRPr="00B15071">
        <w:rPr>
          <w:rFonts w:ascii="Book Antiqua" w:eastAsia="Book Antiqua" w:hAnsi="Book Antiqua" w:cs="Book Antiqua"/>
          <w:color w:val="000000"/>
        </w:rPr>
        <w:t>ndoscopic ultrasound</w:t>
      </w:r>
      <w:r w:rsidR="004264C2" w:rsidRPr="00B15071">
        <w:rPr>
          <w:rFonts w:ascii="Book Antiqua" w:eastAsia="Book Antiqua" w:hAnsi="Book Antiqua" w:cs="Book Antiqua"/>
          <w:bCs/>
          <w:color w:val="000000"/>
        </w:rPr>
        <w:t xml:space="preserve"> guided gastro-gastrostomy</w:t>
      </w:r>
      <w:r w:rsidR="004264C2" w:rsidRPr="00B15071">
        <w:rPr>
          <w:rFonts w:ascii="Book Antiqua" w:hAnsi="Book Antiqua" w:cs="Book Antiqua"/>
          <w:bCs/>
          <w:color w:val="000000"/>
          <w:lang w:eastAsia="zh-CN"/>
        </w:rPr>
        <w:t xml:space="preserve"> </w:t>
      </w:r>
      <w:r w:rsidR="004264C2" w:rsidRPr="00B15071">
        <w:rPr>
          <w:rFonts w:ascii="Book Antiqua" w:eastAsia="Book Antiqua" w:hAnsi="Book Antiqua" w:cs="Book Antiqua"/>
          <w:bCs/>
          <w:color w:val="000000"/>
        </w:rPr>
        <w:t>using Lumen-Apposing Metal Stent.</w:t>
      </w:r>
    </w:p>
    <w:p w14:paraId="316C6F23" w14:textId="77777777" w:rsidR="009A0118" w:rsidRPr="00B15071" w:rsidRDefault="009A0118" w:rsidP="00B15071">
      <w:pPr>
        <w:snapToGrid w:val="0"/>
        <w:spacing w:line="360" w:lineRule="auto"/>
        <w:jc w:val="both"/>
        <w:rPr>
          <w:rFonts w:ascii="Book Antiqua" w:eastAsia="Book Antiqua" w:hAnsi="Book Antiqua" w:cs="Book Antiqua"/>
          <w:b/>
          <w:bCs/>
          <w:color w:val="000000"/>
        </w:rPr>
      </w:pPr>
      <w:r w:rsidRPr="00B15071">
        <w:rPr>
          <w:rFonts w:ascii="Book Antiqua" w:eastAsia="Book Antiqua" w:hAnsi="Book Antiqua" w:cs="Book Antiqua"/>
          <w:b/>
          <w:bCs/>
          <w:color w:val="000000"/>
        </w:rPr>
        <w:br w:type="page"/>
      </w:r>
      <w:r w:rsidRPr="00B15071">
        <w:rPr>
          <w:rFonts w:ascii="Book Antiqua" w:hAnsi="Book Antiqua"/>
          <w:noProof/>
          <w:lang w:eastAsia="zh-CN"/>
        </w:rPr>
        <w:lastRenderedPageBreak/>
        <w:drawing>
          <wp:inline distT="0" distB="0" distL="0" distR="0" wp14:anchorId="2A88076D" wp14:editId="6B2C35F1">
            <wp:extent cx="3012106" cy="2433099"/>
            <wp:effectExtent l="0" t="0" r="0" b="0"/>
            <wp:docPr id="10" name="Content Placeholder 9" descr="A picture containing indoor, sitting, food, table&#10;&#10;Description automatically generated">
              <a:extLst xmlns:a="http://schemas.openxmlformats.org/drawingml/2006/main">
                <a:ext uri="{FF2B5EF4-FFF2-40B4-BE49-F238E27FC236}">
                  <a16:creationId xmlns:a16="http://schemas.microsoft.com/office/drawing/2014/main" id="{5F3140FD-7261-A94A-9637-C7095AA9B8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picture containing indoor, sitting, food, table&#10;&#10;Description automatically generated">
                      <a:extLst>
                        <a:ext uri="{FF2B5EF4-FFF2-40B4-BE49-F238E27FC236}">
                          <a16:creationId xmlns:a16="http://schemas.microsoft.com/office/drawing/2014/main" id="{5F3140FD-7261-A94A-9637-C7095AA9B8C5}"/>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7267" cy="2461501"/>
                    </a:xfrm>
                    <a:prstGeom prst="rect">
                      <a:avLst/>
                    </a:prstGeom>
                  </pic:spPr>
                </pic:pic>
              </a:graphicData>
            </a:graphic>
          </wp:inline>
        </w:drawing>
      </w:r>
    </w:p>
    <w:p w14:paraId="431E4C95" w14:textId="53319D4D"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Figure 3 A large clot in gastric antrum of the excluded stomach</w:t>
      </w:r>
      <w:r w:rsidRPr="00B15071">
        <w:rPr>
          <w:rFonts w:ascii="Book Antiqua" w:eastAsia="Book Antiqua" w:hAnsi="Book Antiqua" w:cs="Book Antiqua"/>
          <w:color w:val="000000"/>
        </w:rPr>
        <w:t>.</w:t>
      </w:r>
    </w:p>
    <w:p w14:paraId="33A41E7B" w14:textId="04D91FB8" w:rsidR="009A0118" w:rsidRPr="00B15071" w:rsidRDefault="009A0118" w:rsidP="00B15071">
      <w:pPr>
        <w:pStyle w:val="NoSpacing"/>
        <w:snapToGrid w:val="0"/>
        <w:spacing w:line="360" w:lineRule="auto"/>
        <w:jc w:val="both"/>
        <w:rPr>
          <w:rFonts w:ascii="Book Antiqua" w:hAnsi="Book Antiqua" w:cs="Times New Roman"/>
          <w:b/>
          <w:sz w:val="24"/>
          <w:szCs w:val="24"/>
        </w:rPr>
      </w:pPr>
      <w:r w:rsidRPr="00B15071">
        <w:rPr>
          <w:rFonts w:ascii="Book Antiqua" w:eastAsia="Book Antiqua" w:hAnsi="Book Antiqua" w:cs="Book Antiqua"/>
          <w:b/>
          <w:bCs/>
          <w:color w:val="000000"/>
          <w:sz w:val="24"/>
          <w:szCs w:val="24"/>
        </w:rPr>
        <w:br w:type="page"/>
      </w:r>
      <w:r w:rsidRPr="00B15071">
        <w:rPr>
          <w:rFonts w:ascii="Book Antiqua" w:hAnsi="Book Antiqua" w:cs="Times New Roman"/>
          <w:b/>
          <w:noProof/>
          <w:sz w:val="24"/>
          <w:szCs w:val="24"/>
          <w:lang w:eastAsia="zh-CN"/>
        </w:rPr>
        <w:lastRenderedPageBreak/>
        <w:drawing>
          <wp:inline distT="0" distB="0" distL="0" distR="0" wp14:anchorId="329F79F9" wp14:editId="2B170A78">
            <wp:extent cx="2864393" cy="2646450"/>
            <wp:effectExtent l="0" t="0" r="6350" b="0"/>
            <wp:docPr id="11" name="Content Placeholder 10" descr="A picture containing photo, sitting, old, white&#10;&#10;Description automatically generated">
              <a:extLst xmlns:a="http://schemas.openxmlformats.org/drawingml/2006/main">
                <a:ext uri="{FF2B5EF4-FFF2-40B4-BE49-F238E27FC236}">
                  <a16:creationId xmlns:a16="http://schemas.microsoft.com/office/drawing/2014/main" id="{F83DE6F8-43A5-E143-BE1A-5392FE5A5A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picture containing photo, sitting, old, white&#10;&#10;Description automatically generated">
                      <a:extLst>
                        <a:ext uri="{FF2B5EF4-FFF2-40B4-BE49-F238E27FC236}">
                          <a16:creationId xmlns:a16="http://schemas.microsoft.com/office/drawing/2014/main" id="{F83DE6F8-43A5-E143-BE1A-5392FE5A5A11}"/>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8035" cy="2696011"/>
                    </a:xfrm>
                    <a:prstGeom prst="rect">
                      <a:avLst/>
                    </a:prstGeom>
                  </pic:spPr>
                </pic:pic>
              </a:graphicData>
            </a:graphic>
          </wp:inline>
        </w:drawing>
      </w:r>
      <w:r w:rsidRPr="00B15071">
        <w:rPr>
          <w:rFonts w:ascii="Book Antiqua" w:hAnsi="Book Antiqua"/>
          <w:noProof/>
          <w:sz w:val="24"/>
          <w:szCs w:val="24"/>
        </w:rPr>
        <w:t xml:space="preserve"> </w:t>
      </w:r>
      <w:r w:rsidRPr="00B15071">
        <w:rPr>
          <w:rFonts w:ascii="Book Antiqua" w:hAnsi="Book Antiqua" w:cs="Times New Roman"/>
          <w:b/>
          <w:noProof/>
          <w:sz w:val="24"/>
          <w:szCs w:val="24"/>
          <w:lang w:eastAsia="zh-CN"/>
        </w:rPr>
        <w:drawing>
          <wp:inline distT="0" distB="0" distL="0" distR="0" wp14:anchorId="2DF95C3C" wp14:editId="52543DF1">
            <wp:extent cx="2854142" cy="2638487"/>
            <wp:effectExtent l="0" t="0" r="3810" b="3175"/>
            <wp:docPr id="15" name="Content Placeholder 14" descr="A close up of a rock&#10;&#10;Description automatically generated">
              <a:extLst xmlns:a="http://schemas.openxmlformats.org/drawingml/2006/main">
                <a:ext uri="{FF2B5EF4-FFF2-40B4-BE49-F238E27FC236}">
                  <a16:creationId xmlns:a16="http://schemas.microsoft.com/office/drawing/2014/main" id="{3845D83A-945B-1443-8D64-1FC621EBD8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descr="A close up of a rock&#10;&#10;Description automatically generated">
                      <a:extLst>
                        <a:ext uri="{FF2B5EF4-FFF2-40B4-BE49-F238E27FC236}">
                          <a16:creationId xmlns:a16="http://schemas.microsoft.com/office/drawing/2014/main" id="{3845D83A-945B-1443-8D64-1FC621EBD827}"/>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2364" cy="2683065"/>
                    </a:xfrm>
                    <a:prstGeom prst="rect">
                      <a:avLst/>
                    </a:prstGeom>
                  </pic:spPr>
                </pic:pic>
              </a:graphicData>
            </a:graphic>
          </wp:inline>
        </w:drawing>
      </w:r>
    </w:p>
    <w:p w14:paraId="7C6CB55C" w14:textId="2637542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Figure 4 Angiography and embolization of gastroduodenal artery.</w:t>
      </w:r>
    </w:p>
    <w:p w14:paraId="60256D0B" w14:textId="16D52952" w:rsidR="009A0118" w:rsidRPr="00B15071" w:rsidRDefault="009A0118" w:rsidP="00B15071">
      <w:pPr>
        <w:snapToGrid w:val="0"/>
        <w:spacing w:line="360" w:lineRule="auto"/>
        <w:jc w:val="both"/>
        <w:rPr>
          <w:rFonts w:ascii="Book Antiqua" w:eastAsia="Book Antiqua" w:hAnsi="Book Antiqua" w:cs="Book Antiqua"/>
          <w:b/>
          <w:bCs/>
          <w:color w:val="000000"/>
        </w:rPr>
      </w:pPr>
      <w:r w:rsidRPr="00B15071">
        <w:rPr>
          <w:rFonts w:ascii="Book Antiqua" w:eastAsia="Book Antiqua" w:hAnsi="Book Antiqua" w:cs="Book Antiqua"/>
          <w:b/>
          <w:bCs/>
          <w:color w:val="000000"/>
        </w:rPr>
        <w:br w:type="page"/>
      </w:r>
      <w:r w:rsidRPr="00B15071">
        <w:rPr>
          <w:rFonts w:ascii="Book Antiqua" w:hAnsi="Book Antiqua"/>
          <w:noProof/>
          <w:lang w:eastAsia="zh-CN"/>
        </w:rPr>
        <w:lastRenderedPageBreak/>
        <w:drawing>
          <wp:inline distT="0" distB="0" distL="0" distR="0" wp14:anchorId="0A9EFEF7" wp14:editId="10ED2514">
            <wp:extent cx="3141065" cy="2910177"/>
            <wp:effectExtent l="0" t="0" r="0" b="0"/>
            <wp:docPr id="7" name="Content Placeholder 9" descr="A picture containing indoor, sitting, table, white&#10;&#10;Description automatically generated">
              <a:extLst xmlns:a="http://schemas.openxmlformats.org/drawingml/2006/main">
                <a:ext uri="{FF2B5EF4-FFF2-40B4-BE49-F238E27FC236}">
                  <a16:creationId xmlns:a16="http://schemas.microsoft.com/office/drawing/2014/main" id="{9C0E7DE8-394A-E049-9213-697662926F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picture containing indoor, sitting, table, white&#10;&#10;Description automatically generated">
                      <a:extLst>
                        <a:ext uri="{FF2B5EF4-FFF2-40B4-BE49-F238E27FC236}">
                          <a16:creationId xmlns:a16="http://schemas.microsoft.com/office/drawing/2014/main" id="{9C0E7DE8-394A-E049-9213-697662926FA1}"/>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0359" cy="2918788"/>
                    </a:xfrm>
                    <a:prstGeom prst="rect">
                      <a:avLst/>
                    </a:prstGeom>
                  </pic:spPr>
                </pic:pic>
              </a:graphicData>
            </a:graphic>
          </wp:inline>
        </w:drawing>
      </w:r>
    </w:p>
    <w:p w14:paraId="71768454" w14:textId="453367E4"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Figure 5 Healing gastric ulcers on follow up endoscopy</w:t>
      </w:r>
      <w:r w:rsidRPr="00B15071">
        <w:rPr>
          <w:rFonts w:ascii="Book Antiqua" w:eastAsia="Book Antiqua" w:hAnsi="Book Antiqua" w:cs="Book Antiqua"/>
          <w:color w:val="000000"/>
        </w:rPr>
        <w:t>.</w:t>
      </w:r>
    </w:p>
    <w:sectPr w:rsidR="00A77B3E" w:rsidRPr="00B15071" w:rsidSect="001F73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1F286" w14:textId="77777777" w:rsidR="00701680" w:rsidRDefault="00701680" w:rsidP="00753E7A">
      <w:r>
        <w:separator/>
      </w:r>
    </w:p>
  </w:endnote>
  <w:endnote w:type="continuationSeparator" w:id="0">
    <w:p w14:paraId="1761F195" w14:textId="77777777" w:rsidR="00701680" w:rsidRDefault="00701680" w:rsidP="00753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949805"/>
      <w:docPartObj>
        <w:docPartGallery w:val="Page Numbers (Bottom of Page)"/>
        <w:docPartUnique/>
      </w:docPartObj>
    </w:sdtPr>
    <w:sdtEndPr/>
    <w:sdtContent>
      <w:sdt>
        <w:sdtPr>
          <w:id w:val="-1769616900"/>
          <w:docPartObj>
            <w:docPartGallery w:val="Page Numbers (Top of Page)"/>
            <w:docPartUnique/>
          </w:docPartObj>
        </w:sdtPr>
        <w:sdtEndPr/>
        <w:sdtContent>
          <w:p w14:paraId="0EF71BF3" w14:textId="1AD7F310" w:rsidR="00753E7A" w:rsidRDefault="00753E7A">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74950">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74950">
              <w:rPr>
                <w:b/>
                <w:bCs/>
                <w:noProof/>
              </w:rPr>
              <w:t>20</w:t>
            </w:r>
            <w:r>
              <w:rPr>
                <w:b/>
                <w:bCs/>
                <w:sz w:val="24"/>
                <w:szCs w:val="24"/>
              </w:rPr>
              <w:fldChar w:fldCharType="end"/>
            </w:r>
          </w:p>
        </w:sdtContent>
      </w:sdt>
    </w:sdtContent>
  </w:sdt>
  <w:p w14:paraId="77F9EB92" w14:textId="77777777" w:rsidR="00753E7A" w:rsidRDefault="00753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54CE2" w14:textId="77777777" w:rsidR="00701680" w:rsidRDefault="00701680" w:rsidP="00753E7A">
      <w:r>
        <w:separator/>
      </w:r>
    </w:p>
  </w:footnote>
  <w:footnote w:type="continuationSeparator" w:id="0">
    <w:p w14:paraId="063BD83A" w14:textId="77777777" w:rsidR="00701680" w:rsidRDefault="00701680" w:rsidP="00753E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61"/>
    <w:rsid w:val="000E0C5A"/>
    <w:rsid w:val="001F7323"/>
    <w:rsid w:val="00235339"/>
    <w:rsid w:val="002E7E61"/>
    <w:rsid w:val="00352D0C"/>
    <w:rsid w:val="003D6746"/>
    <w:rsid w:val="00424293"/>
    <w:rsid w:val="004264C2"/>
    <w:rsid w:val="0044640E"/>
    <w:rsid w:val="00577462"/>
    <w:rsid w:val="005A0694"/>
    <w:rsid w:val="00612E56"/>
    <w:rsid w:val="006C03CF"/>
    <w:rsid w:val="00701680"/>
    <w:rsid w:val="00753E7A"/>
    <w:rsid w:val="007769C9"/>
    <w:rsid w:val="007864D8"/>
    <w:rsid w:val="007D235E"/>
    <w:rsid w:val="009A0118"/>
    <w:rsid w:val="00A51EA4"/>
    <w:rsid w:val="00A74950"/>
    <w:rsid w:val="00A77B3E"/>
    <w:rsid w:val="00A81828"/>
    <w:rsid w:val="00AC0D2E"/>
    <w:rsid w:val="00B15071"/>
    <w:rsid w:val="00B22E41"/>
    <w:rsid w:val="00B329CF"/>
    <w:rsid w:val="00BA3D96"/>
    <w:rsid w:val="00BD5EC0"/>
    <w:rsid w:val="00C042FC"/>
    <w:rsid w:val="00C87835"/>
    <w:rsid w:val="00CA2A55"/>
    <w:rsid w:val="00CD0874"/>
    <w:rsid w:val="00D141CD"/>
    <w:rsid w:val="00D43306"/>
    <w:rsid w:val="00EA5BA1"/>
    <w:rsid w:val="00EB62B2"/>
    <w:rsid w:val="00EF46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87A5A1"/>
  <w15:docId w15:val="{BBAE4E5E-D538-49DF-9497-1DF064EB6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D235E"/>
    <w:rPr>
      <w:sz w:val="18"/>
      <w:szCs w:val="18"/>
    </w:rPr>
  </w:style>
  <w:style w:type="character" w:customStyle="1" w:styleId="BalloonTextChar">
    <w:name w:val="Balloon Text Char"/>
    <w:basedOn w:val="DefaultParagraphFont"/>
    <w:link w:val="BalloonText"/>
    <w:rsid w:val="007D235E"/>
    <w:rPr>
      <w:sz w:val="18"/>
      <w:szCs w:val="18"/>
    </w:rPr>
  </w:style>
  <w:style w:type="paragraph" w:styleId="NoSpacing">
    <w:name w:val="No Spacing"/>
    <w:uiPriority w:val="1"/>
    <w:qFormat/>
    <w:rsid w:val="009A0118"/>
    <w:rPr>
      <w:rFonts w:asciiTheme="minorHAnsi" w:hAnsiTheme="minorHAnsi" w:cstheme="minorBidi"/>
      <w:sz w:val="22"/>
      <w:szCs w:val="22"/>
    </w:rPr>
  </w:style>
  <w:style w:type="character" w:styleId="Hyperlink">
    <w:name w:val="Hyperlink"/>
    <w:basedOn w:val="DefaultParagraphFont"/>
    <w:unhideWhenUsed/>
    <w:rsid w:val="0044640E"/>
    <w:rPr>
      <w:color w:val="0000FF" w:themeColor="hyperlink"/>
      <w:u w:val="single"/>
    </w:rPr>
  </w:style>
  <w:style w:type="character" w:customStyle="1" w:styleId="UnresolvedMention1">
    <w:name w:val="Unresolved Mention1"/>
    <w:basedOn w:val="DefaultParagraphFont"/>
    <w:uiPriority w:val="99"/>
    <w:semiHidden/>
    <w:unhideWhenUsed/>
    <w:rsid w:val="0044640E"/>
    <w:rPr>
      <w:color w:val="605E5C"/>
      <w:shd w:val="clear" w:color="auto" w:fill="E1DFDD"/>
    </w:rPr>
  </w:style>
  <w:style w:type="paragraph" w:styleId="Header">
    <w:name w:val="header"/>
    <w:basedOn w:val="Normal"/>
    <w:link w:val="HeaderChar"/>
    <w:unhideWhenUsed/>
    <w:rsid w:val="00753E7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53E7A"/>
    <w:rPr>
      <w:sz w:val="18"/>
      <w:szCs w:val="18"/>
    </w:rPr>
  </w:style>
  <w:style w:type="paragraph" w:styleId="Footer">
    <w:name w:val="footer"/>
    <w:basedOn w:val="Normal"/>
    <w:link w:val="FooterChar"/>
    <w:uiPriority w:val="99"/>
    <w:unhideWhenUsed/>
    <w:rsid w:val="00753E7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53E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rash.zarrin@hcahealthcare.co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3192</Words>
  <Characters>18198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2020-08-15T21:32:00Z</dcterms:created>
  <dcterms:modified xsi:type="dcterms:W3CDTF">2020-08-15T21:32:00Z</dcterms:modified>
</cp:coreProperties>
</file>