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441C" w14:textId="636C928E" w:rsidR="0054047D" w:rsidRPr="00F469F1" w:rsidRDefault="00A20265" w:rsidP="00F469F1">
      <w:pPr>
        <w:snapToGrid w:val="0"/>
        <w:spacing w:line="360" w:lineRule="auto"/>
        <w:rPr>
          <w:rStyle w:val="fontstyle21"/>
          <w:rFonts w:cs="Times New Roman"/>
          <w:color w:val="auto"/>
        </w:rPr>
      </w:pPr>
      <w:r w:rsidRPr="00F469F1">
        <w:rPr>
          <w:rFonts w:ascii="Book Antiqua" w:hAnsi="Book Antiqua"/>
          <w:b/>
          <w:bCs/>
          <w:sz w:val="24"/>
          <w:szCs w:val="24"/>
        </w:rPr>
        <w:t xml:space="preserve">Name of Journal: </w:t>
      </w:r>
      <w:r w:rsidR="00804ED4" w:rsidRPr="00F469F1">
        <w:rPr>
          <w:rStyle w:val="fontstyle21"/>
          <w:rFonts w:cs="Times New Roman"/>
          <w:color w:val="auto"/>
        </w:rPr>
        <w:t xml:space="preserve">World Journal of </w:t>
      </w:r>
      <w:r w:rsidR="0054047D" w:rsidRPr="00F469F1">
        <w:rPr>
          <w:rStyle w:val="fontstyle21"/>
          <w:rFonts w:cs="Times New Roman"/>
          <w:color w:val="auto"/>
        </w:rPr>
        <w:t>Gastrointestinal</w:t>
      </w:r>
      <w:r w:rsidR="00804ED4" w:rsidRPr="00F469F1">
        <w:rPr>
          <w:rStyle w:val="fontstyle21"/>
          <w:rFonts w:cs="Times New Roman"/>
          <w:color w:val="auto"/>
        </w:rPr>
        <w:t xml:space="preserve"> Oncology</w:t>
      </w:r>
    </w:p>
    <w:p w14:paraId="2F7A208F" w14:textId="28914089" w:rsidR="00AE2FCC" w:rsidRPr="00F469F1" w:rsidRDefault="00A20265" w:rsidP="00F469F1">
      <w:pPr>
        <w:adjustRightInd w:val="0"/>
        <w:snapToGrid w:val="0"/>
        <w:spacing w:line="360" w:lineRule="auto"/>
        <w:rPr>
          <w:rStyle w:val="fontstyle01"/>
          <w:color w:val="auto"/>
        </w:rPr>
      </w:pPr>
      <w:r w:rsidRPr="00F469F1">
        <w:rPr>
          <w:rFonts w:ascii="Book Antiqua" w:eastAsia="Times New Roman" w:hAnsi="Book Antiqua"/>
          <w:b/>
          <w:bCs/>
          <w:sz w:val="24"/>
          <w:szCs w:val="24"/>
          <w:lang w:val="hu-HU"/>
        </w:rPr>
        <w:t>Manuscript NO</w:t>
      </w:r>
      <w:r w:rsidRPr="00F469F1">
        <w:rPr>
          <w:rFonts w:ascii="Book Antiqua" w:hAnsi="Book Antiqua" w:cs="Arial"/>
          <w:b/>
          <w:sz w:val="24"/>
          <w:szCs w:val="24"/>
          <w:lang w:val="en"/>
        </w:rPr>
        <w:t xml:space="preserve">: </w:t>
      </w:r>
      <w:r w:rsidR="00B66857" w:rsidRPr="00F469F1">
        <w:rPr>
          <w:rStyle w:val="fontstyle01"/>
          <w:rFonts w:cs="Times New Roman"/>
          <w:b w:val="0"/>
          <w:color w:val="auto"/>
        </w:rPr>
        <w:t>56484</w:t>
      </w:r>
    </w:p>
    <w:p w14:paraId="5F012BD4" w14:textId="77777777" w:rsidR="00A20265" w:rsidRPr="00F469F1" w:rsidRDefault="00A20265" w:rsidP="00F469F1">
      <w:pPr>
        <w:adjustRightInd w:val="0"/>
        <w:snapToGrid w:val="0"/>
        <w:spacing w:line="360" w:lineRule="auto"/>
        <w:rPr>
          <w:rFonts w:ascii="Book Antiqua" w:hAnsi="Book Antiqua"/>
          <w:bCs/>
          <w:sz w:val="24"/>
          <w:szCs w:val="24"/>
        </w:rPr>
      </w:pPr>
      <w:r w:rsidRPr="00F469F1">
        <w:rPr>
          <w:rFonts w:ascii="Book Antiqua" w:hAnsi="Book Antiqua"/>
          <w:b/>
          <w:bCs/>
          <w:sz w:val="24"/>
          <w:szCs w:val="24"/>
        </w:rPr>
        <w:t xml:space="preserve">Manuscript Type: </w:t>
      </w:r>
      <w:r w:rsidRPr="00F469F1">
        <w:rPr>
          <w:rFonts w:ascii="Book Antiqua" w:hAnsi="Book Antiqua"/>
          <w:sz w:val="24"/>
          <w:szCs w:val="24"/>
        </w:rPr>
        <w:t>ORIGINAL ARTICLE</w:t>
      </w:r>
    </w:p>
    <w:p w14:paraId="180C0BCF" w14:textId="212DCE01" w:rsidR="00804ED4" w:rsidRPr="00F469F1" w:rsidRDefault="00804ED4" w:rsidP="00F469F1">
      <w:pPr>
        <w:snapToGrid w:val="0"/>
        <w:spacing w:line="360" w:lineRule="auto"/>
        <w:rPr>
          <w:rFonts w:ascii="Book Antiqua" w:eastAsia="等线" w:hAnsi="Book Antiqua" w:cs="Times New Roman"/>
          <w:b/>
          <w:sz w:val="24"/>
          <w:szCs w:val="24"/>
        </w:rPr>
      </w:pPr>
    </w:p>
    <w:p w14:paraId="467FEBA5" w14:textId="77777777" w:rsidR="00A20265" w:rsidRPr="00F469F1" w:rsidRDefault="00A20265" w:rsidP="00F469F1">
      <w:pPr>
        <w:adjustRightInd w:val="0"/>
        <w:snapToGrid w:val="0"/>
        <w:spacing w:line="360" w:lineRule="auto"/>
        <w:rPr>
          <w:rFonts w:ascii="Book Antiqua" w:eastAsia="幼圆" w:hAnsi="Book Antiqua"/>
          <w:b/>
          <w:i/>
          <w:sz w:val="24"/>
          <w:szCs w:val="24"/>
        </w:rPr>
      </w:pPr>
      <w:r w:rsidRPr="00F469F1">
        <w:rPr>
          <w:rFonts w:ascii="Book Antiqua" w:eastAsia="幼圆" w:hAnsi="Book Antiqua"/>
          <w:b/>
          <w:i/>
          <w:sz w:val="24"/>
          <w:szCs w:val="24"/>
        </w:rPr>
        <w:t>Retrospective Study</w:t>
      </w:r>
    </w:p>
    <w:p w14:paraId="1B9ACBF2" w14:textId="5441F81D" w:rsidR="00804ED4" w:rsidRPr="00F469F1" w:rsidRDefault="00E63E0E" w:rsidP="00F469F1">
      <w:pPr>
        <w:snapToGrid w:val="0"/>
        <w:spacing w:line="360" w:lineRule="auto"/>
        <w:rPr>
          <w:rStyle w:val="fontstyle01"/>
          <w:rFonts w:cs="Times New Roman"/>
          <w:color w:val="auto"/>
        </w:rPr>
      </w:pPr>
      <w:bookmarkStart w:id="0" w:name="OLE_LINK1"/>
      <w:bookmarkStart w:id="1" w:name="OLE_LINK2"/>
      <w:bookmarkStart w:id="2" w:name="OLE_LINK8"/>
      <w:proofErr w:type="gramStart"/>
      <w:r w:rsidRPr="00F469F1">
        <w:rPr>
          <w:rStyle w:val="fontstyle01"/>
          <w:rFonts w:cs="Times New Roman"/>
          <w:color w:val="auto"/>
        </w:rPr>
        <w:t>γ-</w:t>
      </w:r>
      <w:proofErr w:type="spellStart"/>
      <w:r w:rsidR="00F90B62" w:rsidRPr="00F469F1">
        <w:rPr>
          <w:rStyle w:val="fontstyle01"/>
          <w:rFonts w:cs="Times New Roman"/>
          <w:color w:val="auto"/>
        </w:rPr>
        <w:t>g</w:t>
      </w:r>
      <w:r w:rsidR="00173C68" w:rsidRPr="00F469F1">
        <w:rPr>
          <w:rStyle w:val="fontstyle01"/>
          <w:rFonts w:cs="Times New Roman"/>
          <w:color w:val="auto"/>
        </w:rPr>
        <w:t>lutamyl</w:t>
      </w:r>
      <w:proofErr w:type="spellEnd"/>
      <w:proofErr w:type="gramEnd"/>
      <w:r w:rsidR="00350F47">
        <w:rPr>
          <w:rStyle w:val="fontstyle01"/>
          <w:rFonts w:cs="Times New Roman"/>
          <w:color w:val="auto"/>
        </w:rPr>
        <w:t xml:space="preserve"> </w:t>
      </w:r>
      <w:r w:rsidRPr="00F469F1">
        <w:rPr>
          <w:rStyle w:val="fontstyle01"/>
          <w:rFonts w:cs="Times New Roman"/>
          <w:color w:val="auto"/>
        </w:rPr>
        <w:t>transferase</w:t>
      </w:r>
      <w:r w:rsidR="00325F66" w:rsidRPr="00F469F1">
        <w:rPr>
          <w:rStyle w:val="fontstyle01"/>
          <w:rFonts w:cs="Times New Roman"/>
          <w:color w:val="auto"/>
        </w:rPr>
        <w:t>-</w:t>
      </w:r>
      <w:r w:rsidRPr="00F469F1">
        <w:rPr>
          <w:rStyle w:val="fontstyle01"/>
          <w:rFonts w:cs="Times New Roman"/>
          <w:color w:val="auto"/>
        </w:rPr>
        <w:t>to</w:t>
      </w:r>
      <w:r w:rsidR="00325F66" w:rsidRPr="00F469F1">
        <w:rPr>
          <w:rStyle w:val="fontstyle01"/>
          <w:rFonts w:cs="Times New Roman"/>
          <w:color w:val="auto"/>
        </w:rPr>
        <w:t>-</w:t>
      </w:r>
      <w:r w:rsidRPr="00F469F1">
        <w:rPr>
          <w:rStyle w:val="fontstyle01"/>
          <w:rFonts w:cs="Times New Roman"/>
          <w:color w:val="auto"/>
        </w:rPr>
        <w:t>platelet</w:t>
      </w:r>
      <w:r w:rsidR="00350F47">
        <w:rPr>
          <w:rStyle w:val="fontstyle01"/>
          <w:rFonts w:cs="Times New Roman"/>
          <w:color w:val="auto"/>
        </w:rPr>
        <w:t xml:space="preserve"> </w:t>
      </w:r>
      <w:r w:rsidRPr="00F469F1">
        <w:rPr>
          <w:rStyle w:val="fontstyle01"/>
          <w:rFonts w:cs="Times New Roman"/>
          <w:color w:val="auto"/>
        </w:rPr>
        <w:t>ratio</w:t>
      </w:r>
      <w:r w:rsidR="00AD46CF" w:rsidRPr="00F469F1">
        <w:rPr>
          <w:rStyle w:val="fontstyle01"/>
          <w:rFonts w:cs="Times New Roman"/>
          <w:color w:val="auto"/>
        </w:rPr>
        <w:t xml:space="preserve"> </w:t>
      </w:r>
      <w:r w:rsidR="00325F66" w:rsidRPr="00F469F1">
        <w:rPr>
          <w:rStyle w:val="fontstyle01"/>
          <w:rFonts w:cs="Times New Roman"/>
          <w:color w:val="auto"/>
        </w:rPr>
        <w:t>based</w:t>
      </w:r>
      <w:r w:rsidR="00AD46CF" w:rsidRPr="00F469F1">
        <w:rPr>
          <w:rStyle w:val="fontstyle01"/>
          <w:rFonts w:cs="Times New Roman"/>
          <w:color w:val="auto"/>
        </w:rPr>
        <w:t xml:space="preserve"> </w:t>
      </w:r>
      <w:r w:rsidR="00325F66" w:rsidRPr="00F469F1">
        <w:rPr>
          <w:rStyle w:val="fontstyle01"/>
          <w:rFonts w:cs="Times New Roman"/>
          <w:color w:val="auto"/>
        </w:rPr>
        <w:t>nomogram</w:t>
      </w:r>
      <w:r w:rsidRPr="00F469F1">
        <w:rPr>
          <w:rStyle w:val="fontstyle01"/>
          <w:rFonts w:cs="Times New Roman"/>
          <w:color w:val="auto"/>
        </w:rPr>
        <w:t xml:space="preserve"> </w:t>
      </w:r>
      <w:r w:rsidR="00732759" w:rsidRPr="00F469F1">
        <w:rPr>
          <w:rStyle w:val="fontstyle01"/>
          <w:rFonts w:cs="Times New Roman"/>
          <w:color w:val="auto"/>
        </w:rPr>
        <w:t xml:space="preserve">predicting overall survival </w:t>
      </w:r>
      <w:r w:rsidR="00AD46CF" w:rsidRPr="00F469F1">
        <w:rPr>
          <w:rStyle w:val="fontstyle01"/>
          <w:rFonts w:cs="Times New Roman"/>
          <w:color w:val="auto"/>
        </w:rPr>
        <w:t xml:space="preserve">of </w:t>
      </w:r>
      <w:r w:rsidRPr="00F469F1">
        <w:rPr>
          <w:rStyle w:val="fontstyle01"/>
          <w:rFonts w:cs="Times New Roman"/>
          <w:color w:val="auto"/>
        </w:rPr>
        <w:t>gallbladder carcinoma</w:t>
      </w:r>
    </w:p>
    <w:bookmarkEnd w:id="0"/>
    <w:bookmarkEnd w:id="1"/>
    <w:bookmarkEnd w:id="2"/>
    <w:p w14:paraId="7BC64EFE" w14:textId="77777777" w:rsidR="00D43C3D" w:rsidRPr="00F469F1" w:rsidRDefault="00D43C3D" w:rsidP="00F469F1">
      <w:pPr>
        <w:snapToGrid w:val="0"/>
        <w:spacing w:line="360" w:lineRule="auto"/>
        <w:rPr>
          <w:rFonts w:ascii="Book Antiqua" w:hAnsi="Book Antiqua" w:cs="Times New Roman"/>
          <w:b/>
          <w:bCs/>
          <w:sz w:val="24"/>
          <w:szCs w:val="24"/>
        </w:rPr>
      </w:pPr>
    </w:p>
    <w:p w14:paraId="19CCB749" w14:textId="12EA8A2C" w:rsidR="00804ED4" w:rsidRPr="00F469F1" w:rsidRDefault="00804ED4"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sz w:val="24"/>
          <w:szCs w:val="24"/>
        </w:rPr>
        <w:t>Sun</w:t>
      </w:r>
      <w:r w:rsidR="006871AE" w:rsidRPr="00F469F1">
        <w:rPr>
          <w:rFonts w:ascii="Book Antiqua" w:eastAsia="等线" w:hAnsi="Book Antiqua" w:cs="Times New Roman"/>
          <w:sz w:val="24"/>
          <w:szCs w:val="24"/>
        </w:rPr>
        <w:t xml:space="preserve"> </w:t>
      </w:r>
      <w:r w:rsidR="00B82619" w:rsidRPr="00F469F1">
        <w:rPr>
          <w:rFonts w:ascii="Book Antiqua" w:eastAsia="等线" w:hAnsi="Book Antiqua" w:cs="Times New Roman"/>
          <w:sz w:val="24"/>
          <w:szCs w:val="24"/>
        </w:rPr>
        <w:t>L</w:t>
      </w:r>
      <w:r w:rsidR="0057780E" w:rsidRPr="00F469F1">
        <w:rPr>
          <w:rFonts w:ascii="Book Antiqua" w:eastAsia="等线" w:hAnsi="Book Antiqua" w:cs="Times New Roman"/>
          <w:sz w:val="24"/>
          <w:szCs w:val="24"/>
        </w:rPr>
        <w:t>J</w:t>
      </w:r>
      <w:r w:rsidR="00B82619" w:rsidRPr="00F469F1">
        <w:rPr>
          <w:rFonts w:ascii="Book Antiqua" w:eastAsia="等线" w:hAnsi="Book Antiqua" w:cs="Times New Roman"/>
          <w:sz w:val="24"/>
          <w:szCs w:val="24"/>
        </w:rPr>
        <w:t xml:space="preserve"> </w:t>
      </w:r>
      <w:r w:rsidR="006871AE" w:rsidRPr="00F469F1">
        <w:rPr>
          <w:rFonts w:ascii="Book Antiqua" w:eastAsia="等线" w:hAnsi="Book Antiqua" w:cs="Times New Roman"/>
          <w:i/>
          <w:sz w:val="24"/>
          <w:szCs w:val="24"/>
        </w:rPr>
        <w:t>et al.</w:t>
      </w:r>
      <w:r w:rsidR="008663A0" w:rsidRPr="00F469F1">
        <w:rPr>
          <w:rFonts w:ascii="Book Antiqua" w:eastAsia="等线" w:hAnsi="Book Antiqua" w:cs="Times New Roman"/>
          <w:i/>
          <w:sz w:val="24"/>
          <w:szCs w:val="24"/>
        </w:rPr>
        <w:t xml:space="preserve"> </w:t>
      </w:r>
      <w:bookmarkStart w:id="3" w:name="OLE_LINK3"/>
      <w:bookmarkStart w:id="4" w:name="OLE_LINK4"/>
      <w:r w:rsidR="008663A0" w:rsidRPr="00F469F1">
        <w:rPr>
          <w:rFonts w:ascii="Book Antiqua" w:eastAsia="等线" w:hAnsi="Book Antiqua" w:cs="Times New Roman"/>
          <w:sz w:val="24"/>
          <w:szCs w:val="24"/>
        </w:rPr>
        <w:t xml:space="preserve">Nomogram for </w:t>
      </w:r>
      <w:r w:rsidR="00F1424D" w:rsidRPr="00F469F1">
        <w:rPr>
          <w:rFonts w:ascii="Book Antiqua" w:eastAsia="等线" w:hAnsi="Book Antiqua" w:cs="Times New Roman"/>
          <w:sz w:val="24"/>
          <w:szCs w:val="24"/>
        </w:rPr>
        <w:t>GBC</w:t>
      </w:r>
      <w:r w:rsidR="008663A0" w:rsidRPr="00F469F1">
        <w:rPr>
          <w:rFonts w:ascii="Book Antiqua" w:eastAsia="等线" w:hAnsi="Book Antiqua" w:cs="Times New Roman"/>
          <w:sz w:val="24"/>
          <w:szCs w:val="24"/>
        </w:rPr>
        <w:t xml:space="preserve"> survival</w:t>
      </w:r>
    </w:p>
    <w:bookmarkEnd w:id="3"/>
    <w:bookmarkEnd w:id="4"/>
    <w:p w14:paraId="1200CF87" w14:textId="44261FDF" w:rsidR="006871AE" w:rsidRPr="00F469F1" w:rsidRDefault="006871AE" w:rsidP="00F469F1">
      <w:pPr>
        <w:snapToGrid w:val="0"/>
        <w:spacing w:line="360" w:lineRule="auto"/>
        <w:rPr>
          <w:rFonts w:ascii="Book Antiqua" w:eastAsia="等线" w:hAnsi="Book Antiqua" w:cs="Times New Roman"/>
          <w:b/>
          <w:sz w:val="24"/>
          <w:szCs w:val="24"/>
        </w:rPr>
      </w:pPr>
    </w:p>
    <w:p w14:paraId="05A17FD6" w14:textId="7848EF19" w:rsidR="006871AE" w:rsidRPr="00F469F1" w:rsidRDefault="006871AE"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sz w:val="24"/>
          <w:szCs w:val="24"/>
        </w:rPr>
        <w:t>Le</w:t>
      </w:r>
      <w:r w:rsidR="00B82619" w:rsidRPr="00F469F1">
        <w:rPr>
          <w:rFonts w:ascii="Book Antiqua" w:eastAsia="等线" w:hAnsi="Book Antiqua" w:cs="Times New Roman"/>
          <w:sz w:val="24"/>
          <w:szCs w:val="24"/>
        </w:rPr>
        <w:t>-</w:t>
      </w:r>
      <w:proofErr w:type="spellStart"/>
      <w:r w:rsidR="00B82619" w:rsidRPr="00F469F1">
        <w:rPr>
          <w:rFonts w:ascii="Book Antiqua" w:eastAsia="等线" w:hAnsi="Book Antiqua" w:cs="Times New Roman"/>
          <w:sz w:val="24"/>
          <w:szCs w:val="24"/>
        </w:rPr>
        <w:t>J</w:t>
      </w:r>
      <w:r w:rsidRPr="00F469F1">
        <w:rPr>
          <w:rFonts w:ascii="Book Antiqua" w:eastAsia="等线" w:hAnsi="Book Antiqua" w:cs="Times New Roman"/>
          <w:sz w:val="24"/>
          <w:szCs w:val="24"/>
        </w:rPr>
        <w:t>ia</w:t>
      </w:r>
      <w:proofErr w:type="spellEnd"/>
      <w:r w:rsidRPr="00F469F1">
        <w:rPr>
          <w:rFonts w:ascii="Book Antiqua" w:eastAsia="等线" w:hAnsi="Book Antiqua" w:cs="Times New Roman"/>
          <w:sz w:val="24"/>
          <w:szCs w:val="24"/>
        </w:rPr>
        <w:t xml:space="preserve"> Sun, Ai Guan, Wei</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u Xu, Mei</w:t>
      </w:r>
      <w:r w:rsidR="00B82619" w:rsidRPr="00F469F1">
        <w:rPr>
          <w:rFonts w:ascii="Book Antiqua" w:eastAsia="等线" w:hAnsi="Book Antiqua" w:cs="Times New Roman"/>
          <w:sz w:val="24"/>
          <w:szCs w:val="24"/>
        </w:rPr>
        <w:t>-X</w:t>
      </w:r>
      <w:r w:rsidRPr="00F469F1">
        <w:rPr>
          <w:rFonts w:ascii="Book Antiqua" w:eastAsia="等线" w:hAnsi="Book Antiqua" w:cs="Times New Roman"/>
          <w:sz w:val="24"/>
          <w:szCs w:val="24"/>
        </w:rPr>
        <w:t xml:space="preserve">i Liu, </w:t>
      </w:r>
      <w:proofErr w:type="spellStart"/>
      <w:r w:rsidRPr="00F469F1">
        <w:rPr>
          <w:rFonts w:ascii="Book Antiqua" w:eastAsia="等线" w:hAnsi="Book Antiqua" w:cs="Times New Roman"/>
          <w:sz w:val="24"/>
          <w:szCs w:val="24"/>
        </w:rPr>
        <w:t>Huan</w:t>
      </w:r>
      <w:r w:rsidR="00B82619" w:rsidRPr="00F469F1">
        <w:rPr>
          <w:rFonts w:ascii="Book Antiqua" w:eastAsia="等线" w:hAnsi="Book Antiqua" w:cs="Times New Roman"/>
          <w:sz w:val="24"/>
          <w:szCs w:val="24"/>
        </w:rPr>
        <w:t>-H</w:t>
      </w:r>
      <w:r w:rsidRPr="00F469F1">
        <w:rPr>
          <w:rFonts w:ascii="Book Antiqua" w:eastAsia="等线" w:hAnsi="Book Antiqua" w:cs="Times New Roman"/>
          <w:sz w:val="24"/>
          <w:szCs w:val="24"/>
        </w:rPr>
        <w:t>uan</w:t>
      </w:r>
      <w:proofErr w:type="spellEnd"/>
      <w:r w:rsidRPr="00F469F1">
        <w:rPr>
          <w:rFonts w:ascii="Book Antiqua" w:eastAsia="等线" w:hAnsi="Book Antiqua" w:cs="Times New Roman"/>
          <w:sz w:val="24"/>
          <w:szCs w:val="24"/>
        </w:rPr>
        <w:t xml:space="preserve"> Yin, </w:t>
      </w:r>
      <w:proofErr w:type="spellStart"/>
      <w:r w:rsidRPr="00F469F1">
        <w:rPr>
          <w:rFonts w:ascii="Book Antiqua" w:eastAsia="等线" w:hAnsi="Book Antiqua" w:cs="Times New Roman"/>
          <w:sz w:val="24"/>
          <w:szCs w:val="24"/>
        </w:rPr>
        <w:t>Bao</w:t>
      </w:r>
      <w:proofErr w:type="spellEnd"/>
      <w:r w:rsidRPr="00F469F1">
        <w:rPr>
          <w:rFonts w:ascii="Book Antiqua" w:eastAsia="等线" w:hAnsi="Book Antiqua" w:cs="Times New Roman"/>
          <w:sz w:val="24"/>
          <w:szCs w:val="24"/>
        </w:rPr>
        <w:t xml:space="preserve"> </w:t>
      </w:r>
      <w:proofErr w:type="spellStart"/>
      <w:r w:rsidRPr="00F469F1">
        <w:rPr>
          <w:rFonts w:ascii="Book Antiqua" w:eastAsia="等线" w:hAnsi="Book Antiqua" w:cs="Times New Roman"/>
          <w:sz w:val="24"/>
          <w:szCs w:val="24"/>
        </w:rPr>
        <w:t>Jin</w:t>
      </w:r>
      <w:proofErr w:type="spellEnd"/>
      <w:r w:rsidRPr="00F469F1">
        <w:rPr>
          <w:rFonts w:ascii="Book Antiqua" w:eastAsia="等线" w:hAnsi="Book Antiqua" w:cs="Times New Roman"/>
          <w:sz w:val="24"/>
          <w:szCs w:val="24"/>
        </w:rPr>
        <w:t xml:space="preserve">, Gang Xu, </w:t>
      </w:r>
      <w:proofErr w:type="spellStart"/>
      <w:r w:rsidRPr="00F469F1">
        <w:rPr>
          <w:rFonts w:ascii="Book Antiqua" w:eastAsia="等线" w:hAnsi="Book Antiqua" w:cs="Times New Roman"/>
          <w:sz w:val="24"/>
          <w:szCs w:val="24"/>
        </w:rPr>
        <w:t>Fei</w:t>
      </w:r>
      <w:proofErr w:type="spellEnd"/>
      <w:r w:rsidR="00B82619" w:rsidRPr="00F469F1">
        <w:rPr>
          <w:rFonts w:ascii="Book Antiqua" w:eastAsia="等线" w:hAnsi="Book Antiqua" w:cs="Times New Roman"/>
          <w:sz w:val="24"/>
          <w:szCs w:val="24"/>
        </w:rPr>
        <w:t>-H</w:t>
      </w:r>
      <w:r w:rsidRPr="00F469F1">
        <w:rPr>
          <w:rFonts w:ascii="Book Antiqua" w:eastAsia="等线" w:hAnsi="Book Antiqua" w:cs="Times New Roman"/>
          <w:sz w:val="24"/>
          <w:szCs w:val="24"/>
        </w:rPr>
        <w:t xml:space="preserve">u </w:t>
      </w:r>
      <w:proofErr w:type="spellStart"/>
      <w:r w:rsidRPr="00F469F1">
        <w:rPr>
          <w:rFonts w:ascii="Book Antiqua" w:eastAsia="等线" w:hAnsi="Book Antiqua" w:cs="Times New Roman"/>
          <w:sz w:val="24"/>
          <w:szCs w:val="24"/>
        </w:rPr>
        <w:t>Xie</w:t>
      </w:r>
      <w:proofErr w:type="spellEnd"/>
      <w:r w:rsidRPr="00F469F1">
        <w:rPr>
          <w:rFonts w:ascii="Book Antiqua" w:eastAsia="等线" w:hAnsi="Book Antiqua" w:cs="Times New Roman"/>
          <w:sz w:val="24"/>
          <w:szCs w:val="24"/>
        </w:rPr>
        <w:t>, Hai</w:t>
      </w:r>
      <w:r w:rsidR="00B82619" w:rsidRPr="00F469F1">
        <w:rPr>
          <w:rFonts w:ascii="Book Antiqua" w:eastAsia="等线" w:hAnsi="Book Antiqua" w:cs="Times New Roman"/>
          <w:sz w:val="24"/>
          <w:szCs w:val="24"/>
        </w:rPr>
        <w:t>-F</w:t>
      </w:r>
      <w:r w:rsidRPr="00F469F1">
        <w:rPr>
          <w:rFonts w:ascii="Book Antiqua" w:eastAsia="等线" w:hAnsi="Book Antiqua" w:cs="Times New Roman"/>
          <w:sz w:val="24"/>
          <w:szCs w:val="24"/>
        </w:rPr>
        <w:t>eng Xu, Shun</w:t>
      </w:r>
      <w:r w:rsidR="00B82619" w:rsidRPr="00F469F1">
        <w:rPr>
          <w:rFonts w:ascii="Book Antiqua" w:eastAsia="等线" w:hAnsi="Book Antiqua" w:cs="Times New Roman"/>
          <w:sz w:val="24"/>
          <w:szCs w:val="24"/>
        </w:rPr>
        <w:t>-D</w:t>
      </w:r>
      <w:r w:rsidRPr="00F469F1">
        <w:rPr>
          <w:rFonts w:ascii="Book Antiqua" w:eastAsia="等线" w:hAnsi="Book Antiqua" w:cs="Times New Roman"/>
          <w:sz w:val="24"/>
          <w:szCs w:val="24"/>
        </w:rPr>
        <w:t>a Du, Yi</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ao Xu, Hai</w:t>
      </w:r>
      <w:r w:rsidR="00B82619" w:rsidRPr="00F469F1">
        <w:rPr>
          <w:rFonts w:ascii="Book Antiqua" w:eastAsia="等线" w:hAnsi="Book Antiqua" w:cs="Times New Roman"/>
          <w:sz w:val="24"/>
          <w:szCs w:val="24"/>
        </w:rPr>
        <w:t>-T</w:t>
      </w:r>
      <w:r w:rsidRPr="00F469F1">
        <w:rPr>
          <w:rFonts w:ascii="Book Antiqua" w:eastAsia="等线" w:hAnsi="Book Antiqua" w:cs="Times New Roman"/>
          <w:sz w:val="24"/>
          <w:szCs w:val="24"/>
        </w:rPr>
        <w:t>ao Zhao, Xin Lu, Xin</w:t>
      </w:r>
      <w:r w:rsidR="00B82619" w:rsidRPr="00F469F1">
        <w:rPr>
          <w:rFonts w:ascii="Book Antiqua" w:eastAsia="等线" w:hAnsi="Book Antiqua" w:cs="Times New Roman"/>
          <w:sz w:val="24"/>
          <w:szCs w:val="24"/>
        </w:rPr>
        <w:t>-T</w:t>
      </w:r>
      <w:r w:rsidRPr="00F469F1">
        <w:rPr>
          <w:rFonts w:ascii="Book Antiqua" w:eastAsia="等线" w:hAnsi="Book Antiqua" w:cs="Times New Roman"/>
          <w:sz w:val="24"/>
          <w:szCs w:val="24"/>
        </w:rPr>
        <w:t>ing Sang, Hua</w:t>
      </w:r>
      <w:r w:rsidR="00B82619" w:rsidRPr="00F469F1">
        <w:rPr>
          <w:rFonts w:ascii="Book Antiqua" w:eastAsia="等线" w:hAnsi="Book Antiqua" w:cs="Times New Roman"/>
          <w:sz w:val="24"/>
          <w:szCs w:val="24"/>
        </w:rPr>
        <w:t>-Y</w:t>
      </w:r>
      <w:r w:rsidRPr="00F469F1">
        <w:rPr>
          <w:rFonts w:ascii="Book Antiqua" w:eastAsia="等线" w:hAnsi="Book Antiqua" w:cs="Times New Roman"/>
          <w:sz w:val="24"/>
          <w:szCs w:val="24"/>
        </w:rPr>
        <w:t>u Yang, Yi</w:t>
      </w:r>
      <w:r w:rsidR="00B82619" w:rsidRPr="00F469F1">
        <w:rPr>
          <w:rFonts w:ascii="Book Antiqua" w:eastAsia="等线" w:hAnsi="Book Antiqua" w:cs="Times New Roman"/>
          <w:sz w:val="24"/>
          <w:szCs w:val="24"/>
        </w:rPr>
        <w:t>-L</w:t>
      </w:r>
      <w:r w:rsidRPr="00F469F1">
        <w:rPr>
          <w:rFonts w:ascii="Book Antiqua" w:eastAsia="等线" w:hAnsi="Book Antiqua" w:cs="Times New Roman"/>
          <w:sz w:val="24"/>
          <w:szCs w:val="24"/>
        </w:rPr>
        <w:t>ei Mao</w:t>
      </w:r>
    </w:p>
    <w:p w14:paraId="28B9732E" w14:textId="77777777" w:rsidR="006871AE" w:rsidRPr="00F469F1" w:rsidRDefault="006871AE" w:rsidP="00F469F1">
      <w:pPr>
        <w:snapToGrid w:val="0"/>
        <w:spacing w:line="360" w:lineRule="auto"/>
        <w:rPr>
          <w:rFonts w:ascii="Book Antiqua" w:eastAsia="等线" w:hAnsi="Book Antiqua" w:cs="Times New Roman"/>
          <w:b/>
          <w:sz w:val="24"/>
          <w:szCs w:val="24"/>
        </w:rPr>
      </w:pPr>
    </w:p>
    <w:p w14:paraId="5DA030FA" w14:textId="69B47E14"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Le</w:t>
      </w:r>
      <w:r w:rsidR="00E9481E" w:rsidRPr="00F469F1">
        <w:rPr>
          <w:rFonts w:ascii="Book Antiqua" w:eastAsia="等线" w:hAnsi="Book Antiqua" w:cs="Times New Roman"/>
          <w:b/>
          <w:sz w:val="24"/>
          <w:szCs w:val="24"/>
        </w:rPr>
        <w:t>-</w:t>
      </w:r>
      <w:proofErr w:type="spellStart"/>
      <w:r w:rsidR="00E9481E" w:rsidRPr="00F469F1">
        <w:rPr>
          <w:rFonts w:ascii="Book Antiqua" w:eastAsia="等线" w:hAnsi="Book Antiqua" w:cs="Times New Roman"/>
          <w:b/>
          <w:sz w:val="24"/>
          <w:szCs w:val="24"/>
        </w:rPr>
        <w:t>J</w:t>
      </w:r>
      <w:r w:rsidRPr="00F469F1">
        <w:rPr>
          <w:rFonts w:ascii="Book Antiqua" w:eastAsia="等线" w:hAnsi="Book Antiqua" w:cs="Times New Roman"/>
          <w:b/>
          <w:sz w:val="24"/>
          <w:szCs w:val="24"/>
        </w:rPr>
        <w:t>ia</w:t>
      </w:r>
      <w:proofErr w:type="spellEnd"/>
      <w:r w:rsidRPr="00F469F1">
        <w:rPr>
          <w:rFonts w:ascii="Book Antiqua" w:eastAsia="等线" w:hAnsi="Book Antiqua" w:cs="Times New Roman"/>
          <w:b/>
          <w:sz w:val="24"/>
          <w:szCs w:val="24"/>
        </w:rPr>
        <w:t xml:space="preserve"> Sun, </w:t>
      </w:r>
      <w:proofErr w:type="spellStart"/>
      <w:r w:rsidRPr="00F469F1">
        <w:rPr>
          <w:rFonts w:ascii="Book Antiqua" w:eastAsia="等线" w:hAnsi="Book Antiqua" w:cs="Times New Roman"/>
          <w:b/>
          <w:sz w:val="24"/>
          <w:szCs w:val="24"/>
        </w:rPr>
        <w:t>Bao</w:t>
      </w:r>
      <w:proofErr w:type="spellEnd"/>
      <w:r w:rsidRPr="00F469F1">
        <w:rPr>
          <w:rFonts w:ascii="Book Antiqua" w:eastAsia="等线" w:hAnsi="Book Antiqua" w:cs="Times New Roman"/>
          <w:b/>
          <w:sz w:val="24"/>
          <w:szCs w:val="24"/>
        </w:rPr>
        <w:t xml:space="preserve"> </w:t>
      </w:r>
      <w:proofErr w:type="spellStart"/>
      <w:r w:rsidRPr="00F469F1">
        <w:rPr>
          <w:rFonts w:ascii="Book Antiqua" w:eastAsia="等线" w:hAnsi="Book Antiqua" w:cs="Times New Roman"/>
          <w:b/>
          <w:sz w:val="24"/>
          <w:szCs w:val="24"/>
        </w:rPr>
        <w:t>Jin</w:t>
      </w:r>
      <w:proofErr w:type="spellEnd"/>
      <w:r w:rsidRPr="00F469F1">
        <w:rPr>
          <w:rFonts w:ascii="Book Antiqua" w:eastAsia="等线" w:hAnsi="Book Antiqua" w:cs="Times New Roman"/>
          <w:b/>
          <w:sz w:val="24"/>
          <w:szCs w:val="24"/>
        </w:rPr>
        <w:t>, Gang</w:t>
      </w:r>
      <w:r w:rsidR="006B7D7C" w:rsidRPr="00F469F1">
        <w:rPr>
          <w:rFonts w:ascii="Book Antiqua" w:eastAsia="等线" w:hAnsi="Book Antiqua" w:cs="Times New Roman"/>
          <w:b/>
          <w:sz w:val="24"/>
          <w:szCs w:val="24"/>
        </w:rPr>
        <w:t xml:space="preserve"> </w:t>
      </w:r>
      <w:r w:rsidRPr="00F469F1">
        <w:rPr>
          <w:rFonts w:ascii="Book Antiqua" w:eastAsia="等线" w:hAnsi="Book Antiqua" w:cs="Times New Roman"/>
          <w:b/>
          <w:sz w:val="24"/>
          <w:szCs w:val="24"/>
        </w:rPr>
        <w:t xml:space="preserve">Xu, </w:t>
      </w:r>
      <w:proofErr w:type="spellStart"/>
      <w:r w:rsidRPr="00F469F1">
        <w:rPr>
          <w:rFonts w:ascii="Book Antiqua" w:eastAsia="等线" w:hAnsi="Book Antiqua" w:cs="Times New Roman"/>
          <w:b/>
          <w:sz w:val="24"/>
          <w:szCs w:val="24"/>
        </w:rPr>
        <w:t>Fei</w:t>
      </w:r>
      <w:proofErr w:type="spellEnd"/>
      <w:r w:rsidR="006B7D7C" w:rsidRPr="00F469F1">
        <w:rPr>
          <w:rFonts w:ascii="Book Antiqua" w:eastAsia="等线" w:hAnsi="Book Antiqua" w:cs="Times New Roman"/>
          <w:b/>
          <w:sz w:val="24"/>
          <w:szCs w:val="24"/>
        </w:rPr>
        <w:t>-H</w:t>
      </w:r>
      <w:r w:rsidRPr="00F469F1">
        <w:rPr>
          <w:rFonts w:ascii="Book Antiqua" w:eastAsia="等线" w:hAnsi="Book Antiqua" w:cs="Times New Roman"/>
          <w:b/>
          <w:sz w:val="24"/>
          <w:szCs w:val="24"/>
        </w:rPr>
        <w:t xml:space="preserve">u </w:t>
      </w:r>
      <w:proofErr w:type="spellStart"/>
      <w:r w:rsidRPr="00F469F1">
        <w:rPr>
          <w:rFonts w:ascii="Book Antiqua" w:eastAsia="等线" w:hAnsi="Book Antiqua" w:cs="Times New Roman"/>
          <w:b/>
          <w:sz w:val="24"/>
          <w:szCs w:val="24"/>
        </w:rPr>
        <w:t>Xie</w:t>
      </w:r>
      <w:proofErr w:type="spellEnd"/>
      <w:r w:rsidRPr="00F469F1">
        <w:rPr>
          <w:rFonts w:ascii="Book Antiqua" w:eastAsia="等线" w:hAnsi="Book Antiqua" w:cs="Times New Roman"/>
          <w:b/>
          <w:sz w:val="24"/>
          <w:szCs w:val="24"/>
        </w:rPr>
        <w:t>, Hai</w:t>
      </w:r>
      <w:r w:rsidR="00E9481E" w:rsidRPr="00F469F1">
        <w:rPr>
          <w:rFonts w:ascii="Book Antiqua" w:eastAsia="等线" w:hAnsi="Book Antiqua" w:cs="Times New Roman"/>
          <w:b/>
          <w:sz w:val="24"/>
          <w:szCs w:val="24"/>
        </w:rPr>
        <w:t>-</w:t>
      </w:r>
      <w:proofErr w:type="spellStart"/>
      <w:r w:rsidRPr="00F469F1">
        <w:rPr>
          <w:rFonts w:ascii="Book Antiqua" w:eastAsia="等线" w:hAnsi="Book Antiqua" w:cs="Times New Roman"/>
          <w:b/>
          <w:sz w:val="24"/>
          <w:szCs w:val="24"/>
        </w:rPr>
        <w:t>feng</w:t>
      </w:r>
      <w:proofErr w:type="spellEnd"/>
      <w:r w:rsidRPr="00F469F1">
        <w:rPr>
          <w:rFonts w:ascii="Book Antiqua" w:eastAsia="等线" w:hAnsi="Book Antiqua" w:cs="Times New Roman"/>
          <w:b/>
          <w:sz w:val="24"/>
          <w:szCs w:val="24"/>
        </w:rPr>
        <w:t xml:space="preserve"> Xu, Shun</w:t>
      </w:r>
      <w:r w:rsidR="00E9481E" w:rsidRPr="00F469F1">
        <w:rPr>
          <w:rFonts w:ascii="Book Antiqua" w:eastAsia="等线" w:hAnsi="Book Antiqua" w:cs="Times New Roman"/>
          <w:b/>
          <w:sz w:val="24"/>
          <w:szCs w:val="24"/>
        </w:rPr>
        <w:t>-D</w:t>
      </w:r>
      <w:r w:rsidRPr="00F469F1">
        <w:rPr>
          <w:rFonts w:ascii="Book Antiqua" w:eastAsia="等线" w:hAnsi="Book Antiqua" w:cs="Times New Roman"/>
          <w:b/>
          <w:sz w:val="24"/>
          <w:szCs w:val="24"/>
        </w:rPr>
        <w:t>a Du, Yi</w:t>
      </w:r>
      <w:r w:rsidR="00E9481E"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ao Xu, Hai</w:t>
      </w:r>
      <w:r w:rsidR="00E9481E" w:rsidRPr="00F469F1">
        <w:rPr>
          <w:rFonts w:ascii="Book Antiqua" w:eastAsia="等线" w:hAnsi="Book Antiqua" w:cs="Times New Roman"/>
          <w:b/>
          <w:sz w:val="24"/>
          <w:szCs w:val="24"/>
        </w:rPr>
        <w:t>-T</w:t>
      </w:r>
      <w:r w:rsidRPr="00F469F1">
        <w:rPr>
          <w:rFonts w:ascii="Book Antiqua" w:eastAsia="等线" w:hAnsi="Book Antiqua" w:cs="Times New Roman"/>
          <w:b/>
          <w:sz w:val="24"/>
          <w:szCs w:val="24"/>
        </w:rPr>
        <w:t>ao Zhao, Xin Lu, Xin</w:t>
      </w:r>
      <w:r w:rsidR="00E9481E" w:rsidRPr="00F469F1">
        <w:rPr>
          <w:rFonts w:ascii="Book Antiqua" w:eastAsia="等线" w:hAnsi="Book Antiqua" w:cs="Times New Roman"/>
          <w:b/>
          <w:sz w:val="24"/>
          <w:szCs w:val="24"/>
        </w:rPr>
        <w:t>-T</w:t>
      </w:r>
      <w:r w:rsidRPr="00F469F1">
        <w:rPr>
          <w:rFonts w:ascii="Book Antiqua" w:eastAsia="等线" w:hAnsi="Book Antiqua" w:cs="Times New Roman"/>
          <w:b/>
          <w:sz w:val="24"/>
          <w:szCs w:val="24"/>
        </w:rPr>
        <w:t>ing Sang, Hua</w:t>
      </w:r>
      <w:r w:rsidR="00E9481E"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u Yang, Yi</w:t>
      </w:r>
      <w:r w:rsidR="00E9481E" w:rsidRPr="00F469F1">
        <w:rPr>
          <w:rFonts w:ascii="Book Antiqua" w:eastAsia="等线" w:hAnsi="Book Antiqua" w:cs="Times New Roman"/>
          <w:b/>
          <w:sz w:val="24"/>
          <w:szCs w:val="24"/>
        </w:rPr>
        <w:t>-L</w:t>
      </w:r>
      <w:r w:rsidRPr="00F469F1">
        <w:rPr>
          <w:rFonts w:ascii="Book Antiqua" w:eastAsia="等线" w:hAnsi="Book Antiqua" w:cs="Times New Roman"/>
          <w:b/>
          <w:sz w:val="24"/>
          <w:szCs w:val="24"/>
        </w:rPr>
        <w:t xml:space="preserve">ei Mao, </w:t>
      </w:r>
      <w:r w:rsidR="00804ED4" w:rsidRPr="00F469F1">
        <w:rPr>
          <w:rFonts w:ascii="Book Antiqua" w:eastAsia="等线" w:hAnsi="Book Antiqua" w:cs="Times New Roman"/>
          <w:sz w:val="24"/>
          <w:szCs w:val="24"/>
        </w:rPr>
        <w:t>Department of Liver Surger</w:t>
      </w:r>
      <w:r w:rsidR="00B43B4E" w:rsidRPr="00F469F1">
        <w:rPr>
          <w:rFonts w:ascii="Book Antiqua" w:eastAsia="等线" w:hAnsi="Book Antiqua" w:cs="Times New Roman"/>
          <w:sz w:val="24"/>
          <w:szCs w:val="24"/>
        </w:rPr>
        <w:t>y, Peking Union Medical College</w:t>
      </w:r>
      <w:r w:rsidR="00804ED4" w:rsidRPr="00F469F1">
        <w:rPr>
          <w:rFonts w:ascii="Book Antiqua" w:eastAsia="等线" w:hAnsi="Book Antiqua" w:cs="Times New Roman"/>
          <w:sz w:val="24"/>
          <w:szCs w:val="24"/>
        </w:rPr>
        <w:t xml:space="preserve"> Hospital, </w:t>
      </w:r>
      <w:r w:rsidR="00350F47" w:rsidRPr="00F469F1">
        <w:rPr>
          <w:rFonts w:ascii="Book Antiqua" w:eastAsia="等线" w:hAnsi="Book Antiqua" w:cs="Times New Roman"/>
          <w:sz w:val="24"/>
          <w:szCs w:val="24"/>
        </w:rPr>
        <w:t>Peking Union Medical College</w:t>
      </w:r>
      <w:r w:rsidR="00350F47" w:rsidRPr="00F469F1" w:rsidDel="00350F47">
        <w:rPr>
          <w:rFonts w:ascii="Book Antiqua" w:eastAsia="等线" w:hAnsi="Book Antiqua" w:cs="Times New Roman"/>
          <w:sz w:val="24"/>
          <w:szCs w:val="24"/>
        </w:rPr>
        <w:t xml:space="preserve"> </w:t>
      </w:r>
      <w:r w:rsidR="00E9481E" w:rsidRPr="00F469F1">
        <w:rPr>
          <w:rFonts w:ascii="Book Antiqua" w:eastAsia="等线" w:hAnsi="Book Antiqua" w:cs="Times New Roman"/>
          <w:sz w:val="24"/>
          <w:szCs w:val="24"/>
        </w:rPr>
        <w:t>and</w:t>
      </w:r>
      <w:r w:rsidR="00804ED4" w:rsidRPr="00F469F1">
        <w:rPr>
          <w:rFonts w:ascii="Book Antiqua" w:eastAsia="等线" w:hAnsi="Book Antiqua" w:cs="Times New Roman"/>
          <w:sz w:val="24"/>
          <w:szCs w:val="24"/>
        </w:rPr>
        <w:t xml:space="preserve"> Chinese Academy of Medical Sciences,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804ED4" w:rsidRPr="00F469F1">
        <w:rPr>
          <w:rFonts w:ascii="Book Antiqua" w:eastAsia="等线" w:hAnsi="Book Antiqua" w:cs="Times New Roman"/>
          <w:sz w:val="24"/>
          <w:szCs w:val="24"/>
        </w:rPr>
        <w:t>,</w:t>
      </w:r>
      <w:r w:rsidR="00F722C3" w:rsidRPr="00F469F1">
        <w:rPr>
          <w:rFonts w:ascii="Book Antiqua" w:eastAsia="等线" w:hAnsi="Book Antiqua" w:cs="Times New Roman"/>
          <w:sz w:val="24"/>
          <w:szCs w:val="24"/>
        </w:rPr>
        <w:t xml:space="preserve"> </w:t>
      </w:r>
      <w:r w:rsidR="00804ED4" w:rsidRPr="00F469F1">
        <w:rPr>
          <w:rFonts w:ascii="Book Antiqua" w:eastAsia="等线" w:hAnsi="Book Antiqua" w:cs="Times New Roman"/>
          <w:sz w:val="24"/>
          <w:szCs w:val="24"/>
        </w:rPr>
        <w:t>China</w:t>
      </w:r>
    </w:p>
    <w:p w14:paraId="5CAE9BD2" w14:textId="77777777" w:rsidR="00704BD2" w:rsidRPr="00F469F1" w:rsidRDefault="00704BD2" w:rsidP="00F469F1">
      <w:pPr>
        <w:snapToGrid w:val="0"/>
        <w:spacing w:line="360" w:lineRule="auto"/>
        <w:rPr>
          <w:rFonts w:ascii="Book Antiqua" w:eastAsia="等线" w:hAnsi="Book Antiqua" w:cs="Times New Roman"/>
          <w:b/>
          <w:sz w:val="24"/>
          <w:szCs w:val="24"/>
        </w:rPr>
      </w:pPr>
    </w:p>
    <w:p w14:paraId="6583CF45" w14:textId="1D01EE1C"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Ai Guan, Mei</w:t>
      </w:r>
      <w:r w:rsidR="006B7D7C" w:rsidRPr="00F469F1">
        <w:rPr>
          <w:rFonts w:ascii="Book Antiqua" w:eastAsia="等线" w:hAnsi="Book Antiqua" w:cs="Times New Roman"/>
          <w:b/>
          <w:sz w:val="24"/>
          <w:szCs w:val="24"/>
        </w:rPr>
        <w:t>-X</w:t>
      </w:r>
      <w:r w:rsidRPr="00F469F1">
        <w:rPr>
          <w:rFonts w:ascii="Book Antiqua" w:eastAsia="等线" w:hAnsi="Book Antiqua" w:cs="Times New Roman"/>
          <w:b/>
          <w:sz w:val="24"/>
          <w:szCs w:val="24"/>
        </w:rPr>
        <w:t>i Liu,</w:t>
      </w:r>
      <w:r w:rsidR="00804ED4" w:rsidRPr="00F469F1">
        <w:rPr>
          <w:rFonts w:ascii="Book Antiqua" w:eastAsia="等线" w:hAnsi="Book Antiqua" w:cs="Times New Roman"/>
          <w:b/>
          <w:sz w:val="24"/>
          <w:szCs w:val="24"/>
        </w:rPr>
        <w:t xml:space="preserve"> </w:t>
      </w:r>
      <w:proofErr w:type="spellStart"/>
      <w:r w:rsidR="00D50296" w:rsidRPr="00F469F1">
        <w:rPr>
          <w:rFonts w:ascii="Book Antiqua" w:eastAsia="等线" w:hAnsi="Book Antiqua" w:cs="Times New Roman"/>
          <w:b/>
          <w:sz w:val="24"/>
          <w:szCs w:val="24"/>
        </w:rPr>
        <w:t>Huan</w:t>
      </w:r>
      <w:r w:rsidR="006B7D7C" w:rsidRPr="00F469F1">
        <w:rPr>
          <w:rFonts w:ascii="Book Antiqua" w:eastAsia="等线" w:hAnsi="Book Antiqua" w:cs="Times New Roman"/>
          <w:b/>
          <w:sz w:val="24"/>
          <w:szCs w:val="24"/>
        </w:rPr>
        <w:t>-H</w:t>
      </w:r>
      <w:r w:rsidR="00D50296" w:rsidRPr="00F469F1">
        <w:rPr>
          <w:rFonts w:ascii="Book Antiqua" w:eastAsia="等线" w:hAnsi="Book Antiqua" w:cs="Times New Roman"/>
          <w:b/>
          <w:sz w:val="24"/>
          <w:szCs w:val="24"/>
        </w:rPr>
        <w:t>uan</w:t>
      </w:r>
      <w:proofErr w:type="spellEnd"/>
      <w:r w:rsidR="00D50296" w:rsidRPr="00F469F1">
        <w:rPr>
          <w:rFonts w:ascii="Book Antiqua" w:eastAsia="等线" w:hAnsi="Book Antiqua" w:cs="Times New Roman"/>
          <w:b/>
          <w:sz w:val="24"/>
          <w:szCs w:val="24"/>
        </w:rPr>
        <w:t xml:space="preserve"> Yin, </w:t>
      </w:r>
      <w:r w:rsidR="00B43B4E" w:rsidRPr="00F469F1">
        <w:rPr>
          <w:rFonts w:ascii="Book Antiqua" w:eastAsia="等线" w:hAnsi="Book Antiqua" w:cs="Times New Roman"/>
          <w:sz w:val="24"/>
          <w:szCs w:val="24"/>
        </w:rPr>
        <w:t xml:space="preserve">Department of Clinical Medicine, </w:t>
      </w:r>
      <w:r w:rsidR="00804ED4" w:rsidRPr="00F469F1">
        <w:rPr>
          <w:rFonts w:ascii="Book Antiqua" w:eastAsia="等线" w:hAnsi="Book Antiqua" w:cs="Times New Roman"/>
          <w:sz w:val="24"/>
          <w:szCs w:val="24"/>
        </w:rPr>
        <w:t xml:space="preserve">Peking Union Medical College </w:t>
      </w:r>
      <w:r w:rsidR="00E9481E" w:rsidRPr="00F469F1">
        <w:rPr>
          <w:rFonts w:ascii="Book Antiqua" w:eastAsia="等线" w:hAnsi="Book Antiqua" w:cs="Times New Roman"/>
          <w:sz w:val="24"/>
          <w:szCs w:val="24"/>
        </w:rPr>
        <w:t>and</w:t>
      </w:r>
      <w:r w:rsidR="00804ED4" w:rsidRPr="00F469F1">
        <w:rPr>
          <w:rFonts w:ascii="Book Antiqua" w:eastAsia="等线" w:hAnsi="Book Antiqua" w:cs="Times New Roman"/>
          <w:sz w:val="24"/>
          <w:szCs w:val="24"/>
        </w:rPr>
        <w:t xml:space="preserve"> Chinese Academy of Medical Sciences,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804ED4" w:rsidRPr="00F469F1">
        <w:rPr>
          <w:rFonts w:ascii="Book Antiqua" w:eastAsia="等线" w:hAnsi="Book Antiqua" w:cs="Times New Roman"/>
          <w:sz w:val="24"/>
          <w:szCs w:val="24"/>
        </w:rPr>
        <w:t>, China</w:t>
      </w:r>
    </w:p>
    <w:p w14:paraId="625C8F75" w14:textId="77777777" w:rsidR="00704BD2" w:rsidRPr="00F469F1" w:rsidRDefault="00704BD2" w:rsidP="00F469F1">
      <w:pPr>
        <w:snapToGrid w:val="0"/>
        <w:spacing w:line="360" w:lineRule="auto"/>
        <w:rPr>
          <w:rFonts w:ascii="Book Antiqua" w:eastAsia="等线" w:hAnsi="Book Antiqua" w:cs="Times New Roman"/>
          <w:b/>
          <w:sz w:val="24"/>
          <w:szCs w:val="24"/>
        </w:rPr>
      </w:pPr>
    </w:p>
    <w:p w14:paraId="0CB36BDA" w14:textId="3D1A9033" w:rsidR="00804ED4" w:rsidRPr="00F469F1" w:rsidRDefault="00704BD2"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Wei</w:t>
      </w:r>
      <w:r w:rsidR="006B7D7C" w:rsidRPr="00F469F1">
        <w:rPr>
          <w:rFonts w:ascii="Book Antiqua" w:eastAsia="等线" w:hAnsi="Book Antiqua" w:cs="Times New Roman"/>
          <w:b/>
          <w:sz w:val="24"/>
          <w:szCs w:val="24"/>
        </w:rPr>
        <w:t>-Y</w:t>
      </w:r>
      <w:r w:rsidRPr="00F469F1">
        <w:rPr>
          <w:rFonts w:ascii="Book Antiqua" w:eastAsia="等线" w:hAnsi="Book Antiqua" w:cs="Times New Roman"/>
          <w:b/>
          <w:sz w:val="24"/>
          <w:szCs w:val="24"/>
        </w:rPr>
        <w:t xml:space="preserve">u Xu, </w:t>
      </w:r>
      <w:r w:rsidR="00804ED4" w:rsidRPr="00F469F1">
        <w:rPr>
          <w:rFonts w:ascii="Book Antiqua" w:eastAsia="等线" w:hAnsi="Book Antiqua" w:cs="Times New Roman"/>
          <w:sz w:val="24"/>
          <w:szCs w:val="24"/>
        </w:rPr>
        <w:t>Department of General Surgery, Beijing Friendship Hospital, Capital Medical University, Beijing</w:t>
      </w:r>
      <w:r w:rsidR="00E9481E" w:rsidRPr="00F469F1">
        <w:rPr>
          <w:rFonts w:ascii="Book Antiqua" w:hAnsi="Book Antiqua"/>
          <w:sz w:val="24"/>
          <w:szCs w:val="24"/>
        </w:rPr>
        <w:t xml:space="preserve"> </w:t>
      </w:r>
      <w:r w:rsidR="00E9481E" w:rsidRPr="00F469F1">
        <w:rPr>
          <w:rFonts w:ascii="Book Antiqua" w:eastAsia="等线" w:hAnsi="Book Antiqua" w:cs="Times New Roman"/>
          <w:sz w:val="24"/>
          <w:szCs w:val="24"/>
        </w:rPr>
        <w:t>100730</w:t>
      </w:r>
      <w:r w:rsidR="00D50296" w:rsidRPr="00F469F1">
        <w:rPr>
          <w:rFonts w:ascii="Book Antiqua" w:eastAsia="等线" w:hAnsi="Book Antiqua" w:cs="Times New Roman"/>
          <w:sz w:val="24"/>
          <w:szCs w:val="24"/>
        </w:rPr>
        <w:t>,</w:t>
      </w:r>
      <w:r w:rsidR="00804ED4" w:rsidRPr="00F469F1">
        <w:rPr>
          <w:rFonts w:ascii="Book Antiqua" w:eastAsia="等线" w:hAnsi="Book Antiqua" w:cs="Times New Roman"/>
          <w:sz w:val="24"/>
          <w:szCs w:val="24"/>
        </w:rPr>
        <w:t xml:space="preserve"> China</w:t>
      </w:r>
    </w:p>
    <w:p w14:paraId="2A50A30B" w14:textId="728BA5E6" w:rsidR="00F722C3" w:rsidRPr="00F469F1" w:rsidRDefault="00F722C3" w:rsidP="00F469F1">
      <w:pPr>
        <w:snapToGrid w:val="0"/>
        <w:spacing w:line="360" w:lineRule="auto"/>
        <w:rPr>
          <w:rFonts w:ascii="Book Antiqua" w:eastAsia="等线" w:hAnsi="Book Antiqua" w:cs="Times New Roman"/>
          <w:sz w:val="24"/>
          <w:szCs w:val="24"/>
        </w:rPr>
      </w:pPr>
    </w:p>
    <w:p w14:paraId="26A1C1D4" w14:textId="4C55AB78" w:rsidR="00F722C3" w:rsidRPr="00F469F1" w:rsidRDefault="00F722C3"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 xml:space="preserve">Author contributions: </w:t>
      </w:r>
      <w:r w:rsidR="0065128D" w:rsidRPr="00D30331">
        <w:rPr>
          <w:rFonts w:ascii="Book Antiqua" w:eastAsia="等线" w:hAnsi="Book Antiqua" w:cs="Times New Roman"/>
          <w:sz w:val="24"/>
          <w:szCs w:val="24"/>
        </w:rPr>
        <w:t>Sun LJ, Guan A</w:t>
      </w:r>
      <w:r w:rsidR="00350F47">
        <w:rPr>
          <w:rFonts w:ascii="Book Antiqua" w:eastAsia="等线" w:hAnsi="Book Antiqua" w:cs="Times New Roman"/>
          <w:sz w:val="24"/>
          <w:szCs w:val="24"/>
        </w:rPr>
        <w:t>,</w:t>
      </w:r>
      <w:r w:rsidR="0065128D" w:rsidRPr="00D30331">
        <w:rPr>
          <w:rFonts w:ascii="Book Antiqua" w:eastAsia="等线" w:hAnsi="Book Antiqua" w:cs="Times New Roman"/>
          <w:sz w:val="24"/>
          <w:szCs w:val="24"/>
        </w:rPr>
        <w:t xml:space="preserve"> </w:t>
      </w:r>
      <w:r w:rsidR="0065128D" w:rsidRPr="00D30331">
        <w:rPr>
          <w:rFonts w:ascii="Book Antiqua" w:eastAsia="等线" w:hAnsi="Book Antiqua" w:cs="Times New Roman" w:hint="eastAsia"/>
          <w:sz w:val="24"/>
          <w:szCs w:val="24"/>
        </w:rPr>
        <w:t>and</w:t>
      </w:r>
      <w:r w:rsidR="0065128D" w:rsidRPr="00D30331">
        <w:rPr>
          <w:rFonts w:ascii="Book Antiqua" w:eastAsia="等线" w:hAnsi="Book Antiqua" w:cs="Times New Roman"/>
          <w:sz w:val="24"/>
          <w:szCs w:val="24"/>
        </w:rPr>
        <w:t xml:space="preserve"> Xu WY contributed equally to this work; </w:t>
      </w:r>
      <w:r w:rsidR="00A36617" w:rsidRPr="00F469F1">
        <w:rPr>
          <w:rFonts w:ascii="Book Antiqua" w:eastAsia="等线" w:hAnsi="Book Antiqua" w:cs="Times New Roman"/>
          <w:sz w:val="24"/>
          <w:szCs w:val="24"/>
        </w:rPr>
        <w:t>Sun LJ</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Guan A</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Xu</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WY</w:t>
      </w:r>
      <w:r w:rsidR="00350F47">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w:t>
      </w:r>
      <w:r w:rsidRPr="00F469F1">
        <w:rPr>
          <w:rFonts w:ascii="Book Antiqua" w:eastAsia="等线" w:hAnsi="Book Antiqua" w:cs="Times New Roman"/>
          <w:sz w:val="24"/>
          <w:szCs w:val="24"/>
        </w:rPr>
        <w:t>and</w:t>
      </w:r>
      <w:r w:rsidR="00A36617" w:rsidRPr="00F469F1">
        <w:rPr>
          <w:rFonts w:ascii="Book Antiqua" w:eastAsia="等线" w:hAnsi="Book Antiqua" w:cs="Times New Roman"/>
          <w:sz w:val="24"/>
          <w:szCs w:val="24"/>
        </w:rPr>
        <w:t xml:space="preserve"> Mao YL</w:t>
      </w:r>
      <w:r w:rsidR="00B546B7" w:rsidRPr="00F469F1">
        <w:rPr>
          <w:rFonts w:ascii="Book Antiqua" w:hAnsi="Book Antiqua" w:cstheme="minorHAnsi"/>
          <w:sz w:val="24"/>
          <w:szCs w:val="24"/>
        </w:rPr>
        <w:t xml:space="preserve"> designed and coordinated the study</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Yin HH</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Liu MX</w:t>
      </w:r>
      <w:r w:rsidRPr="00F469F1">
        <w:rPr>
          <w:rFonts w:ascii="Book Antiqua" w:eastAsia="等线" w:hAnsi="Book Antiqua" w:cs="Times New Roman"/>
          <w:sz w:val="24"/>
          <w:szCs w:val="24"/>
        </w:rPr>
        <w:t xml:space="preserve">, </w:t>
      </w:r>
      <w:proofErr w:type="spellStart"/>
      <w:r w:rsidR="00A36617" w:rsidRPr="00F469F1">
        <w:rPr>
          <w:rFonts w:ascii="Book Antiqua" w:eastAsia="等线" w:hAnsi="Book Antiqua" w:cs="Times New Roman"/>
          <w:sz w:val="24"/>
          <w:szCs w:val="24"/>
        </w:rPr>
        <w:t>Jin</w:t>
      </w:r>
      <w:proofErr w:type="spellEnd"/>
      <w:r w:rsidR="00A36617" w:rsidRPr="00F469F1">
        <w:rPr>
          <w:rFonts w:ascii="Book Antiqua" w:eastAsia="等线" w:hAnsi="Book Antiqua" w:cs="Times New Roman"/>
          <w:sz w:val="24"/>
          <w:szCs w:val="24"/>
        </w:rPr>
        <w:t xml:space="preserve"> B</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Xu G</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w:t>
      </w:r>
      <w:proofErr w:type="spellStart"/>
      <w:r w:rsidR="00A36617" w:rsidRPr="00F469F1">
        <w:rPr>
          <w:rFonts w:ascii="Book Antiqua" w:eastAsia="等线" w:hAnsi="Book Antiqua" w:cs="Times New Roman"/>
          <w:sz w:val="24"/>
          <w:szCs w:val="24"/>
        </w:rPr>
        <w:t>Xie</w:t>
      </w:r>
      <w:proofErr w:type="spellEnd"/>
      <w:r w:rsidR="00A36617" w:rsidRPr="00F469F1">
        <w:rPr>
          <w:rFonts w:ascii="Book Antiqua" w:eastAsia="等线" w:hAnsi="Book Antiqua" w:cs="Times New Roman"/>
          <w:sz w:val="24"/>
          <w:szCs w:val="24"/>
        </w:rPr>
        <w:t xml:space="preserve"> FH</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Xu HF</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Du SD</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Xu YY</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Zhao HT</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Lu X</w:t>
      </w:r>
      <w:r w:rsidRPr="00F469F1">
        <w:rPr>
          <w:rFonts w:ascii="Book Antiqua" w:eastAsia="等线" w:hAnsi="Book Antiqua" w:cs="Times New Roman"/>
          <w:sz w:val="24"/>
          <w:szCs w:val="24"/>
        </w:rPr>
        <w:t>,</w:t>
      </w:r>
      <w:r w:rsidR="00A36617" w:rsidRPr="00F469F1">
        <w:rPr>
          <w:rFonts w:ascii="Book Antiqua" w:eastAsia="等线" w:hAnsi="Book Antiqua" w:cs="Times New Roman"/>
          <w:sz w:val="24"/>
          <w:szCs w:val="24"/>
        </w:rPr>
        <w:t xml:space="preserve"> Sang XT</w:t>
      </w:r>
      <w:r w:rsidR="00350F47">
        <w:rPr>
          <w:rFonts w:ascii="Book Antiqua" w:eastAsia="等线" w:hAnsi="Book Antiqua" w:cs="Times New Roman"/>
          <w:sz w:val="24"/>
          <w:szCs w:val="24"/>
        </w:rPr>
        <w:t>,</w:t>
      </w:r>
      <w:r w:rsidR="008D57C5" w:rsidRPr="00F469F1">
        <w:rPr>
          <w:rFonts w:ascii="Book Antiqua" w:eastAsia="等线" w:hAnsi="Book Antiqua" w:cs="Times New Roman"/>
          <w:sz w:val="24"/>
          <w:szCs w:val="24"/>
        </w:rPr>
        <w:t xml:space="preserve"> and </w:t>
      </w:r>
      <w:r w:rsidR="00A36617" w:rsidRPr="00F469F1">
        <w:rPr>
          <w:rFonts w:ascii="Book Antiqua" w:eastAsia="等线" w:hAnsi="Book Antiqua" w:cs="Times New Roman"/>
          <w:sz w:val="24"/>
          <w:szCs w:val="24"/>
        </w:rPr>
        <w:t>Yang HY</w:t>
      </w:r>
      <w:r w:rsidR="00B546B7" w:rsidRPr="00F469F1">
        <w:rPr>
          <w:rFonts w:ascii="Book Antiqua" w:hAnsi="Book Antiqua" w:cstheme="minorHAnsi"/>
          <w:sz w:val="24"/>
          <w:szCs w:val="24"/>
        </w:rPr>
        <w:t xml:space="preserve"> performed the experiments</w:t>
      </w:r>
      <w:r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Guan</w:t>
      </w:r>
      <w:r w:rsidR="006B56CF" w:rsidRPr="00F469F1">
        <w:rPr>
          <w:rFonts w:ascii="Book Antiqua" w:eastAsia="等线" w:hAnsi="Book Antiqua" w:cs="Times New Roman"/>
          <w:sz w:val="24"/>
          <w:szCs w:val="24"/>
        </w:rPr>
        <w:t xml:space="preserve"> A</w:t>
      </w:r>
      <w:r w:rsidR="00B546B7" w:rsidRPr="00F469F1">
        <w:rPr>
          <w:rFonts w:ascii="Book Antiqua" w:eastAsia="等线" w:hAnsi="Book Antiqua" w:cs="Times New Roman"/>
          <w:sz w:val="24"/>
          <w:szCs w:val="24"/>
        </w:rPr>
        <w:t xml:space="preserve"> and </w:t>
      </w:r>
      <w:r w:rsidR="00B546B7" w:rsidRPr="00F469F1">
        <w:rPr>
          <w:rFonts w:ascii="Book Antiqua" w:eastAsia="等线" w:hAnsi="Book Antiqua" w:cs="Times New Roman"/>
          <w:sz w:val="24"/>
          <w:szCs w:val="24"/>
        </w:rPr>
        <w:lastRenderedPageBreak/>
        <w:t xml:space="preserve">Mao YL </w:t>
      </w:r>
      <w:r w:rsidR="00B546B7" w:rsidRPr="00F469F1">
        <w:rPr>
          <w:rFonts w:ascii="Book Antiqua" w:hAnsi="Book Antiqua" w:cstheme="minorHAnsi"/>
          <w:sz w:val="24"/>
          <w:szCs w:val="24"/>
        </w:rPr>
        <w:t xml:space="preserve">acquired and analyzed </w:t>
      </w:r>
      <w:r w:rsidR="00350F47">
        <w:rPr>
          <w:rFonts w:ascii="Book Antiqua" w:hAnsi="Book Antiqua" w:cstheme="minorHAnsi"/>
          <w:sz w:val="24"/>
          <w:szCs w:val="24"/>
        </w:rPr>
        <w:t xml:space="preserve">the </w:t>
      </w:r>
      <w:r w:rsidR="00B546B7" w:rsidRPr="00F469F1">
        <w:rPr>
          <w:rFonts w:ascii="Book Antiqua" w:hAnsi="Book Antiqua" w:cstheme="minorHAnsi"/>
          <w:sz w:val="24"/>
          <w:szCs w:val="24"/>
        </w:rPr>
        <w:t>data;</w:t>
      </w:r>
      <w:r w:rsidR="00B546B7" w:rsidRPr="00F469F1">
        <w:rPr>
          <w:rFonts w:ascii="Book Antiqua" w:eastAsia="等线" w:hAnsi="Book Antiqua" w:cs="Times New Roman"/>
          <w:sz w:val="24"/>
          <w:szCs w:val="24"/>
        </w:rPr>
        <w:t xml:space="preserve"> </w:t>
      </w:r>
      <w:r w:rsidR="00A36617" w:rsidRPr="00F469F1">
        <w:rPr>
          <w:rFonts w:ascii="Book Antiqua" w:eastAsia="等线" w:hAnsi="Book Antiqua" w:cs="Times New Roman"/>
          <w:sz w:val="24"/>
          <w:szCs w:val="24"/>
        </w:rPr>
        <w:t>Sun</w:t>
      </w:r>
      <w:r w:rsidR="006B56CF" w:rsidRPr="00F469F1">
        <w:rPr>
          <w:rFonts w:ascii="Book Antiqua" w:eastAsia="等线" w:hAnsi="Book Antiqua" w:cs="Times New Roman"/>
          <w:sz w:val="24"/>
          <w:szCs w:val="24"/>
        </w:rPr>
        <w:t xml:space="preserve"> LJ</w:t>
      </w:r>
      <w:r w:rsidR="008D57C5" w:rsidRPr="00F469F1">
        <w:rPr>
          <w:rFonts w:ascii="Book Antiqua" w:eastAsia="等线" w:hAnsi="Book Antiqua" w:cs="Times New Roman"/>
          <w:sz w:val="24"/>
          <w:szCs w:val="24"/>
        </w:rPr>
        <w:t xml:space="preserve"> and </w:t>
      </w:r>
      <w:r w:rsidR="00A36617" w:rsidRPr="00F469F1">
        <w:rPr>
          <w:rFonts w:ascii="Book Antiqua" w:eastAsia="等线" w:hAnsi="Book Antiqua" w:cs="Times New Roman"/>
          <w:sz w:val="24"/>
          <w:szCs w:val="24"/>
        </w:rPr>
        <w:t>Guan</w:t>
      </w:r>
      <w:r w:rsidR="006B56CF" w:rsidRPr="00F469F1">
        <w:rPr>
          <w:rFonts w:ascii="Book Antiqua" w:eastAsia="等线" w:hAnsi="Book Antiqua" w:cs="Times New Roman"/>
          <w:sz w:val="24"/>
          <w:szCs w:val="24"/>
        </w:rPr>
        <w:t xml:space="preserve"> A</w:t>
      </w:r>
      <w:r w:rsidR="00B546B7" w:rsidRPr="00F469F1">
        <w:rPr>
          <w:rFonts w:ascii="Book Antiqua" w:eastAsia="等线" w:hAnsi="Book Antiqua" w:cs="Times New Roman"/>
          <w:sz w:val="24"/>
          <w:szCs w:val="24"/>
        </w:rPr>
        <w:t xml:space="preserve"> </w:t>
      </w:r>
      <w:r w:rsidR="003D6C18" w:rsidRPr="00D30331">
        <w:rPr>
          <w:rFonts w:ascii="Book Antiqua" w:eastAsia="等线" w:hAnsi="Book Antiqua" w:cs="Times New Roman"/>
          <w:sz w:val="24"/>
          <w:szCs w:val="24"/>
        </w:rPr>
        <w:t xml:space="preserve">contributed </w:t>
      </w:r>
      <w:r w:rsidR="003D6C18">
        <w:rPr>
          <w:rFonts w:ascii="Book Antiqua" w:eastAsia="等线" w:hAnsi="Book Antiqua" w:cs="Times New Roman"/>
          <w:sz w:val="24"/>
          <w:szCs w:val="24"/>
        </w:rPr>
        <w:t xml:space="preserve">to </w:t>
      </w:r>
      <w:r w:rsidR="00B546B7" w:rsidRPr="00F469F1">
        <w:rPr>
          <w:rFonts w:ascii="Book Antiqua" w:eastAsia="等线" w:hAnsi="Book Antiqua" w:cs="Times New Roman"/>
          <w:sz w:val="24"/>
          <w:szCs w:val="24"/>
        </w:rPr>
        <w:t xml:space="preserve">writing </w:t>
      </w:r>
      <w:r w:rsidR="00350F47">
        <w:rPr>
          <w:rFonts w:ascii="Book Antiqua" w:eastAsia="等线" w:hAnsi="Book Antiqua" w:cs="Times New Roman"/>
          <w:sz w:val="24"/>
          <w:szCs w:val="24"/>
        </w:rPr>
        <w:t xml:space="preserve">the </w:t>
      </w:r>
      <w:r w:rsidR="00B546B7" w:rsidRPr="00F469F1">
        <w:rPr>
          <w:rFonts w:ascii="Book Antiqua" w:eastAsia="等线" w:hAnsi="Book Antiqua" w:cs="Times New Roman"/>
          <w:sz w:val="24"/>
          <w:szCs w:val="24"/>
        </w:rPr>
        <w:t>original draft.</w:t>
      </w:r>
    </w:p>
    <w:p w14:paraId="57046CDF" w14:textId="77777777" w:rsidR="00F722C3" w:rsidRPr="00F469F1" w:rsidRDefault="00F722C3" w:rsidP="00F469F1">
      <w:pPr>
        <w:snapToGrid w:val="0"/>
        <w:spacing w:line="360" w:lineRule="auto"/>
        <w:rPr>
          <w:rFonts w:ascii="Book Antiqua" w:eastAsia="等线" w:hAnsi="Book Antiqua" w:cs="Times New Roman"/>
          <w:b/>
          <w:sz w:val="24"/>
          <w:szCs w:val="24"/>
        </w:rPr>
      </w:pPr>
    </w:p>
    <w:p w14:paraId="1B4687BB" w14:textId="7A9D3F87" w:rsidR="00F722C3" w:rsidRPr="00F469F1" w:rsidRDefault="00F722C3" w:rsidP="00F469F1">
      <w:pPr>
        <w:snapToGrid w:val="0"/>
        <w:spacing w:line="360" w:lineRule="auto"/>
        <w:rPr>
          <w:rFonts w:ascii="Book Antiqua" w:eastAsia="等线" w:hAnsi="Book Antiqua" w:cs="Times New Roman"/>
          <w:b/>
          <w:sz w:val="24"/>
          <w:szCs w:val="24"/>
        </w:rPr>
      </w:pPr>
      <w:r w:rsidRPr="00F469F1">
        <w:rPr>
          <w:rFonts w:ascii="Book Antiqua" w:eastAsia="等线" w:hAnsi="Book Antiqua" w:cs="Times New Roman"/>
          <w:b/>
          <w:sz w:val="24"/>
          <w:szCs w:val="24"/>
        </w:rPr>
        <w:t xml:space="preserve">Supported by </w:t>
      </w:r>
      <w:r w:rsidRPr="00F469F1">
        <w:rPr>
          <w:rFonts w:ascii="Book Antiqua" w:eastAsia="等线" w:hAnsi="Book Antiqua" w:cs="Times New Roman"/>
          <w:sz w:val="24"/>
          <w:szCs w:val="24"/>
        </w:rPr>
        <w:t xml:space="preserve">CAMS Innovation Fund for Medical </w:t>
      </w:r>
      <w:r w:rsidR="00B546B7" w:rsidRPr="00F469F1">
        <w:rPr>
          <w:rFonts w:ascii="Book Antiqua" w:eastAsia="等线" w:hAnsi="Book Antiqua" w:cs="Times New Roman"/>
          <w:sz w:val="24"/>
          <w:szCs w:val="24"/>
        </w:rPr>
        <w:t>Sciences, No.</w:t>
      </w:r>
      <w:r w:rsidR="00350F47">
        <w:rPr>
          <w:rFonts w:ascii="Book Antiqua" w:eastAsia="等线" w:hAnsi="Book Antiqua" w:cs="Times New Roman"/>
          <w:sz w:val="24"/>
          <w:szCs w:val="24"/>
        </w:rPr>
        <w:t xml:space="preserve"> </w:t>
      </w:r>
      <w:r w:rsidR="00B546B7" w:rsidRPr="00F469F1">
        <w:rPr>
          <w:rFonts w:ascii="Book Antiqua" w:eastAsia="等线" w:hAnsi="Book Antiqua" w:cs="Times New Roman"/>
          <w:sz w:val="24"/>
          <w:szCs w:val="24"/>
        </w:rPr>
        <w:t>2016-I2M-1-001;</w:t>
      </w:r>
      <w:r w:rsidRPr="00F469F1">
        <w:rPr>
          <w:rFonts w:ascii="Book Antiqua" w:eastAsia="等线" w:hAnsi="Book Antiqua" w:cs="Times New Roman"/>
          <w:sz w:val="24"/>
          <w:szCs w:val="24"/>
        </w:rPr>
        <w:t xml:space="preserve"> and Tsinghua University-Peking Union Medical Colleg</w:t>
      </w:r>
      <w:r w:rsidR="00B546B7" w:rsidRPr="00F469F1">
        <w:rPr>
          <w:rFonts w:ascii="Book Antiqua" w:eastAsia="等线" w:hAnsi="Book Antiqua" w:cs="Times New Roman"/>
          <w:sz w:val="24"/>
          <w:szCs w:val="24"/>
        </w:rPr>
        <w:t>e Hospital Cooperation Project, No. PTQH201904552</w:t>
      </w:r>
      <w:r w:rsidRPr="00F469F1">
        <w:rPr>
          <w:rFonts w:ascii="Book Antiqua" w:eastAsia="等线" w:hAnsi="Book Antiqua" w:cs="Times New Roman"/>
          <w:sz w:val="24"/>
          <w:szCs w:val="24"/>
        </w:rPr>
        <w:t>.</w:t>
      </w:r>
    </w:p>
    <w:p w14:paraId="72AE61A1" w14:textId="77777777" w:rsidR="00127316" w:rsidRPr="00F469F1" w:rsidRDefault="00127316" w:rsidP="00F469F1">
      <w:pPr>
        <w:snapToGrid w:val="0"/>
        <w:spacing w:line="360" w:lineRule="auto"/>
        <w:rPr>
          <w:rFonts w:ascii="Book Antiqua" w:eastAsia="等线" w:hAnsi="Book Antiqua" w:cs="Times New Roman"/>
          <w:b/>
          <w:sz w:val="24"/>
          <w:szCs w:val="24"/>
        </w:rPr>
      </w:pPr>
    </w:p>
    <w:p w14:paraId="15F60300" w14:textId="0D9FEB25" w:rsidR="00AE3A19" w:rsidRPr="00F469F1" w:rsidRDefault="00804ED4" w:rsidP="00F469F1">
      <w:pPr>
        <w:snapToGrid w:val="0"/>
        <w:spacing w:line="360" w:lineRule="auto"/>
        <w:rPr>
          <w:rFonts w:ascii="Book Antiqua" w:eastAsia="等线" w:hAnsi="Book Antiqua" w:cs="Times New Roman"/>
          <w:sz w:val="24"/>
          <w:szCs w:val="24"/>
        </w:rPr>
      </w:pPr>
      <w:r w:rsidRPr="00F469F1">
        <w:rPr>
          <w:rFonts w:ascii="Book Antiqua" w:eastAsia="等线" w:hAnsi="Book Antiqua" w:cs="Times New Roman"/>
          <w:b/>
          <w:sz w:val="24"/>
          <w:szCs w:val="24"/>
        </w:rPr>
        <w:t>Correspond</w:t>
      </w:r>
      <w:r w:rsidR="00F722C3" w:rsidRPr="00F469F1">
        <w:rPr>
          <w:rFonts w:ascii="Book Antiqua" w:eastAsia="等线" w:hAnsi="Book Antiqua" w:cs="Times New Roman"/>
          <w:b/>
          <w:sz w:val="24"/>
          <w:szCs w:val="24"/>
        </w:rPr>
        <w:t xml:space="preserve">ing author: </w:t>
      </w:r>
      <w:r w:rsidRPr="00F469F1">
        <w:rPr>
          <w:rFonts w:ascii="Book Antiqua" w:eastAsia="等线" w:hAnsi="Book Antiqua" w:cs="Times New Roman"/>
          <w:b/>
          <w:sz w:val="24"/>
          <w:szCs w:val="24"/>
        </w:rPr>
        <w:t>Yi</w:t>
      </w:r>
      <w:r w:rsidR="00B546B7" w:rsidRPr="00F469F1">
        <w:rPr>
          <w:rFonts w:ascii="Book Antiqua" w:eastAsia="等线" w:hAnsi="Book Antiqua" w:cs="Times New Roman"/>
          <w:b/>
          <w:sz w:val="24"/>
          <w:szCs w:val="24"/>
        </w:rPr>
        <w:t xml:space="preserve">-Lei </w:t>
      </w:r>
      <w:r w:rsidRPr="00F469F1">
        <w:rPr>
          <w:rFonts w:ascii="Book Antiqua" w:eastAsia="等线" w:hAnsi="Book Antiqua" w:cs="Times New Roman"/>
          <w:b/>
          <w:sz w:val="24"/>
          <w:szCs w:val="24"/>
        </w:rPr>
        <w:t>Mao</w:t>
      </w:r>
      <w:r w:rsidR="00F722C3" w:rsidRPr="00F469F1">
        <w:rPr>
          <w:rFonts w:ascii="Book Antiqua" w:eastAsia="等线" w:hAnsi="Book Antiqua" w:cs="Times New Roman"/>
          <w:b/>
          <w:sz w:val="24"/>
          <w:szCs w:val="24"/>
        </w:rPr>
        <w:t xml:space="preserve">, MD, PhD, </w:t>
      </w:r>
      <w:r w:rsidR="00B546B7" w:rsidRPr="00F469F1">
        <w:rPr>
          <w:rFonts w:ascii="Book Antiqua" w:eastAsia="等线" w:hAnsi="Book Antiqua" w:cs="Times New Roman"/>
          <w:b/>
          <w:sz w:val="24"/>
          <w:szCs w:val="24"/>
        </w:rPr>
        <w:t>Doctor, Professor</w:t>
      </w:r>
      <w:r w:rsidR="00127316" w:rsidRPr="00F469F1">
        <w:rPr>
          <w:rFonts w:ascii="Book Antiqua" w:eastAsia="等线" w:hAnsi="Book Antiqua" w:cs="Times New Roman"/>
          <w:b/>
          <w:sz w:val="24"/>
          <w:szCs w:val="24"/>
        </w:rPr>
        <w:t xml:space="preserve">, </w:t>
      </w:r>
      <w:r w:rsidR="00127316" w:rsidRPr="00F469F1">
        <w:rPr>
          <w:rFonts w:ascii="Book Antiqua" w:eastAsia="等线" w:hAnsi="Book Antiqua" w:cs="Times New Roman"/>
          <w:sz w:val="24"/>
          <w:szCs w:val="24"/>
        </w:rPr>
        <w:t>Department of Liver Surgery</w:t>
      </w:r>
      <w:r w:rsidRPr="00F469F1">
        <w:rPr>
          <w:rFonts w:ascii="Book Antiqua" w:eastAsia="等线" w:hAnsi="Book Antiqua" w:cs="Times New Roman"/>
          <w:sz w:val="24"/>
          <w:szCs w:val="24"/>
        </w:rPr>
        <w:t xml:space="preserve">, </w:t>
      </w:r>
      <w:r w:rsidR="00127316" w:rsidRPr="00F469F1">
        <w:rPr>
          <w:rFonts w:ascii="Book Antiqua" w:eastAsia="等线" w:hAnsi="Book Antiqua" w:cs="Times New Roman"/>
          <w:sz w:val="24"/>
          <w:szCs w:val="24"/>
        </w:rPr>
        <w:t xml:space="preserve">Peking Union Medical College Hospital, </w:t>
      </w:r>
      <w:r w:rsidR="00426C54" w:rsidRPr="00F469F1">
        <w:rPr>
          <w:rFonts w:ascii="Book Antiqua" w:eastAsia="等线" w:hAnsi="Book Antiqua" w:cs="Times New Roman"/>
          <w:sz w:val="24"/>
          <w:szCs w:val="24"/>
        </w:rPr>
        <w:t>Peking Union Medical College</w:t>
      </w:r>
      <w:r w:rsidR="00426C54" w:rsidRPr="00F469F1" w:rsidDel="00426C54">
        <w:rPr>
          <w:rFonts w:ascii="Book Antiqua" w:eastAsia="等线" w:hAnsi="Book Antiqua" w:cs="Times New Roman"/>
          <w:sz w:val="24"/>
          <w:szCs w:val="24"/>
        </w:rPr>
        <w:t xml:space="preserve"> </w:t>
      </w:r>
      <w:r w:rsidR="00127316" w:rsidRPr="00F469F1">
        <w:rPr>
          <w:rFonts w:ascii="Book Antiqua" w:eastAsia="等线" w:hAnsi="Book Antiqua" w:cs="Times New Roman"/>
          <w:sz w:val="24"/>
          <w:szCs w:val="24"/>
        </w:rPr>
        <w:t>and Chinese Academy of Medical Sciences</w:t>
      </w:r>
      <w:r w:rsidRPr="00F469F1">
        <w:rPr>
          <w:rFonts w:ascii="Book Antiqua" w:eastAsia="等线" w:hAnsi="Book Antiqua" w:cs="Times New Roman"/>
          <w:sz w:val="24"/>
          <w:szCs w:val="24"/>
        </w:rPr>
        <w:t xml:space="preserve">, </w:t>
      </w:r>
      <w:proofErr w:type="spellStart"/>
      <w:r w:rsidR="00127316" w:rsidRPr="00F469F1">
        <w:rPr>
          <w:rFonts w:ascii="Book Antiqua" w:eastAsia="等线" w:hAnsi="Book Antiqua" w:cs="Times New Roman"/>
          <w:sz w:val="24"/>
          <w:szCs w:val="24"/>
        </w:rPr>
        <w:t>Shuaifu</w:t>
      </w:r>
      <w:proofErr w:type="spellEnd"/>
      <w:r w:rsidR="00127316" w:rsidRPr="00F469F1">
        <w:rPr>
          <w:rFonts w:ascii="Book Antiqua" w:eastAsia="等线" w:hAnsi="Book Antiqua" w:cs="Times New Roman"/>
          <w:sz w:val="24"/>
          <w:szCs w:val="24"/>
        </w:rPr>
        <w:t xml:space="preserve"> Street, Beijing</w:t>
      </w:r>
      <w:r w:rsidRPr="00F469F1">
        <w:rPr>
          <w:rFonts w:ascii="Book Antiqua" w:eastAsia="等线" w:hAnsi="Book Antiqua" w:cs="Times New Roman"/>
          <w:sz w:val="24"/>
          <w:szCs w:val="24"/>
        </w:rPr>
        <w:t xml:space="preserve"> 100730, China.</w:t>
      </w:r>
      <w:r w:rsidR="00127316" w:rsidRPr="00F469F1">
        <w:rPr>
          <w:rFonts w:ascii="Book Antiqua" w:eastAsia="等线" w:hAnsi="Book Antiqua" w:cs="Times New Roman"/>
          <w:sz w:val="24"/>
          <w:szCs w:val="24"/>
        </w:rPr>
        <w:t xml:space="preserve"> </w:t>
      </w:r>
      <w:r w:rsidR="00127316" w:rsidRPr="00F469F1">
        <w:rPr>
          <w:rFonts w:ascii="Book Antiqua" w:hAnsi="Book Antiqua"/>
          <w:sz w:val="24"/>
          <w:szCs w:val="24"/>
          <w:u w:val="single"/>
        </w:rPr>
        <w:t>pumch-liver@hotmail.com</w:t>
      </w:r>
    </w:p>
    <w:p w14:paraId="77BB869C" w14:textId="03845B87" w:rsidR="00F722C3" w:rsidRPr="00F469F1" w:rsidRDefault="00F722C3" w:rsidP="00F469F1">
      <w:pPr>
        <w:snapToGrid w:val="0"/>
        <w:spacing w:line="360" w:lineRule="auto"/>
        <w:rPr>
          <w:rFonts w:ascii="Book Antiqua" w:eastAsia="等线" w:hAnsi="Book Antiqua" w:cs="Times New Roman"/>
          <w:b/>
          <w:sz w:val="24"/>
          <w:szCs w:val="24"/>
        </w:rPr>
      </w:pPr>
    </w:p>
    <w:p w14:paraId="4204B03B" w14:textId="19CDCE89"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Received:</w:t>
      </w:r>
      <w:r w:rsidR="007314AE" w:rsidRPr="00F469F1">
        <w:rPr>
          <w:rStyle w:val="fontstyle01"/>
          <w:rFonts w:cs="Times New Roman"/>
          <w:color w:val="auto"/>
        </w:rPr>
        <w:t xml:space="preserve"> </w:t>
      </w:r>
      <w:r w:rsidR="00783ADA" w:rsidRPr="00F469F1">
        <w:rPr>
          <w:rStyle w:val="fontstyle01"/>
          <w:rFonts w:cs="Times New Roman"/>
          <w:b w:val="0"/>
          <w:color w:val="auto"/>
        </w:rPr>
        <w:t xml:space="preserve">May </w:t>
      </w:r>
      <w:r w:rsidR="007314AE" w:rsidRPr="00F469F1">
        <w:rPr>
          <w:rStyle w:val="fontstyle01"/>
          <w:rFonts w:cs="Times New Roman"/>
          <w:b w:val="0"/>
          <w:color w:val="auto"/>
        </w:rPr>
        <w:t>2, 2020</w:t>
      </w:r>
    </w:p>
    <w:p w14:paraId="16E48CD4" w14:textId="56812C33"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Revised:</w:t>
      </w:r>
      <w:r w:rsidR="007314AE" w:rsidRPr="00F469F1">
        <w:rPr>
          <w:rStyle w:val="fontstyle01"/>
          <w:rFonts w:cs="Times New Roman"/>
          <w:color w:val="auto"/>
        </w:rPr>
        <w:t xml:space="preserve"> </w:t>
      </w:r>
      <w:r w:rsidR="007314AE" w:rsidRPr="00F469F1">
        <w:rPr>
          <w:rStyle w:val="fontstyle01"/>
          <w:rFonts w:cs="Times New Roman"/>
          <w:b w:val="0"/>
          <w:color w:val="auto"/>
        </w:rPr>
        <w:t>May 30, 2020</w:t>
      </w:r>
    </w:p>
    <w:p w14:paraId="14C37EB1" w14:textId="261E1D31" w:rsidR="00F049CD" w:rsidRPr="00F469F1" w:rsidRDefault="00F722C3" w:rsidP="00F469F1">
      <w:pPr>
        <w:snapToGrid w:val="0"/>
        <w:spacing w:line="360" w:lineRule="auto"/>
        <w:rPr>
          <w:rStyle w:val="fontstyle01"/>
          <w:rFonts w:cs="Times New Roman"/>
          <w:color w:val="auto"/>
        </w:rPr>
      </w:pPr>
      <w:r w:rsidRPr="00F469F1">
        <w:rPr>
          <w:rStyle w:val="fontstyle01"/>
          <w:rFonts w:cs="Times New Roman"/>
          <w:color w:val="auto"/>
        </w:rPr>
        <w:t>Accepted:</w:t>
      </w:r>
      <w:r w:rsidR="00B41238">
        <w:rPr>
          <w:rStyle w:val="fontstyle01"/>
          <w:rFonts w:cs="Times New Roman"/>
          <w:color w:val="auto"/>
        </w:rPr>
        <w:t xml:space="preserve"> </w:t>
      </w:r>
      <w:r w:rsidR="00B41238" w:rsidRPr="00B41238">
        <w:rPr>
          <w:rStyle w:val="fontstyle01"/>
          <w:rFonts w:cs="Times New Roman"/>
          <w:b w:val="0"/>
          <w:color w:val="auto"/>
        </w:rPr>
        <w:t>August 4, 2020</w:t>
      </w:r>
    </w:p>
    <w:p w14:paraId="07B7F4AE" w14:textId="17EAC48C" w:rsidR="00F722C3" w:rsidRPr="00F469F1" w:rsidRDefault="00F722C3" w:rsidP="00F469F1">
      <w:pPr>
        <w:snapToGrid w:val="0"/>
        <w:spacing w:line="360" w:lineRule="auto"/>
        <w:rPr>
          <w:rFonts w:ascii="Book Antiqua" w:eastAsia="等线" w:hAnsi="Book Antiqua" w:cs="Times New Roman"/>
          <w:b/>
          <w:sz w:val="24"/>
          <w:szCs w:val="24"/>
        </w:rPr>
      </w:pPr>
      <w:r w:rsidRPr="00F469F1">
        <w:rPr>
          <w:rStyle w:val="fontstyle01"/>
          <w:rFonts w:cs="Times New Roman"/>
          <w:color w:val="auto"/>
        </w:rPr>
        <w:t>Published online:</w:t>
      </w:r>
      <w:r w:rsidR="00C34115" w:rsidRPr="00C34115">
        <w:rPr>
          <w:rFonts w:ascii="Book Antiqua" w:eastAsia="Book Antiqua" w:hAnsi="Book Antiqua" w:cs="Book Antiqua"/>
          <w:bCs/>
          <w:color w:val="000000"/>
          <w:kern w:val="0"/>
          <w:sz w:val="24"/>
          <w:szCs w:val="24"/>
          <w:lang w:eastAsia="en-US"/>
        </w:rPr>
        <w:t xml:space="preserve"> September 15</w:t>
      </w:r>
      <w:r w:rsidR="00C34115" w:rsidRPr="00C34115">
        <w:rPr>
          <w:rFonts w:ascii="Book Antiqua" w:eastAsia="宋体" w:hAnsi="Book Antiqua" w:cs="Book Antiqua" w:hint="eastAsia"/>
          <w:bCs/>
          <w:color w:val="000000"/>
          <w:kern w:val="0"/>
          <w:sz w:val="24"/>
          <w:szCs w:val="24"/>
        </w:rPr>
        <w:t>, 2020</w:t>
      </w:r>
    </w:p>
    <w:p w14:paraId="6ACEFD42" w14:textId="712D42E6" w:rsidR="006051C6" w:rsidRPr="00F469F1" w:rsidRDefault="006051C6" w:rsidP="00F469F1">
      <w:pPr>
        <w:snapToGrid w:val="0"/>
        <w:spacing w:line="360" w:lineRule="auto"/>
        <w:rPr>
          <w:rFonts w:ascii="Book Antiqua" w:hAnsi="Book Antiqua" w:cs="Times New Roman"/>
          <w:sz w:val="24"/>
          <w:szCs w:val="24"/>
        </w:rPr>
      </w:pPr>
      <w:r w:rsidRPr="00F469F1">
        <w:rPr>
          <w:rFonts w:ascii="Book Antiqua" w:hAnsi="Book Antiqua" w:cs="Times New Roman"/>
          <w:sz w:val="24"/>
          <w:szCs w:val="24"/>
        </w:rPr>
        <w:br w:type="page"/>
      </w:r>
    </w:p>
    <w:p w14:paraId="10140E1F"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lastRenderedPageBreak/>
        <w:t>Abstract</w:t>
      </w:r>
    </w:p>
    <w:p w14:paraId="6C6E666B" w14:textId="77777777" w:rsidR="00BC42C3" w:rsidRPr="00F469F1" w:rsidRDefault="00BC42C3" w:rsidP="00F469F1">
      <w:pPr>
        <w:adjustRightInd w:val="0"/>
        <w:snapToGrid w:val="0"/>
        <w:spacing w:line="360" w:lineRule="auto"/>
        <w:rPr>
          <w:rFonts w:ascii="Book Antiqua" w:hAnsi="Book Antiqua"/>
          <w:sz w:val="24"/>
          <w:szCs w:val="24"/>
        </w:rPr>
      </w:pPr>
      <w:r w:rsidRPr="00F469F1">
        <w:rPr>
          <w:rFonts w:ascii="Book Antiqua" w:hAnsi="Book Antiqua"/>
          <w:sz w:val="24"/>
          <w:szCs w:val="24"/>
        </w:rPr>
        <w:t>BACKGROUND</w:t>
      </w:r>
    </w:p>
    <w:p w14:paraId="60776DA6" w14:textId="12BB3491"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carcinoma (GBC) carries a poor prognosis and requires a prediction method. Gamma-</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 (GPR) is a recently</w:t>
      </w:r>
      <w:r w:rsidR="00350F47">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reported cancer prognostic factor. </w:t>
      </w:r>
      <w:r w:rsidR="00350F47">
        <w:rPr>
          <w:rFonts w:ascii="Book Antiqua" w:eastAsia="宋体" w:hAnsi="Book Antiqua" w:cs="Times New Roman"/>
          <w:sz w:val="24"/>
          <w:szCs w:val="24"/>
        </w:rPr>
        <w:t>Alt</w:t>
      </w:r>
      <w:r w:rsidR="00350F47" w:rsidRPr="00F469F1">
        <w:rPr>
          <w:rFonts w:ascii="Book Antiqua" w:eastAsia="宋体" w:hAnsi="Book Antiqua" w:cs="Times New Roman"/>
          <w:sz w:val="24"/>
          <w:szCs w:val="24"/>
        </w:rPr>
        <w:t xml:space="preserve">hough </w:t>
      </w:r>
      <w:r w:rsidR="00350F47">
        <w:rPr>
          <w:rFonts w:ascii="Book Antiqua" w:eastAsia="宋体" w:hAnsi="Book Antiqua" w:cs="Times New Roman"/>
          <w:sz w:val="24"/>
          <w:szCs w:val="24"/>
        </w:rPr>
        <w:t xml:space="preserve">the </w:t>
      </w:r>
      <w:r w:rsidRPr="00F469F1">
        <w:rPr>
          <w:rFonts w:ascii="Book Antiqua" w:eastAsia="宋体" w:hAnsi="Book Antiqua" w:cs="Times New Roman"/>
          <w:sz w:val="24"/>
          <w:szCs w:val="24"/>
        </w:rPr>
        <w:t xml:space="preserve">mechanism </w:t>
      </w:r>
      <w:r w:rsidR="00350F47">
        <w:rPr>
          <w:rFonts w:ascii="Book Antiqua" w:eastAsia="宋体" w:hAnsi="Book Antiqua" w:cs="Times New Roman"/>
          <w:sz w:val="24"/>
          <w:szCs w:val="24"/>
        </w:rPr>
        <w:t xml:space="preserve">for the relationship between </w:t>
      </w:r>
      <w:r w:rsidRPr="00F469F1">
        <w:rPr>
          <w:rFonts w:ascii="Book Antiqua" w:eastAsia="宋体" w:hAnsi="Book Antiqua" w:cs="Times New Roman"/>
          <w:sz w:val="24"/>
          <w:szCs w:val="24"/>
        </w:rPr>
        <w:t>GPR</w:t>
      </w:r>
      <w:r w:rsidR="00350F47">
        <w:rPr>
          <w:rFonts w:ascii="Book Antiqua" w:eastAsia="宋体" w:hAnsi="Book Antiqua" w:cs="Times New Roman"/>
          <w:sz w:val="24"/>
          <w:szCs w:val="24"/>
        </w:rPr>
        <w:t xml:space="preserve"> and </w:t>
      </w:r>
      <w:r w:rsidRPr="00F469F1">
        <w:rPr>
          <w:rFonts w:ascii="Book Antiqua" w:eastAsia="宋体" w:hAnsi="Book Antiqua" w:cs="Times New Roman"/>
          <w:sz w:val="24"/>
          <w:szCs w:val="24"/>
        </w:rPr>
        <w:t xml:space="preserve">poor cancer prognosis remains unclear, studies have demonstrated the clinical effect of both </w:t>
      </w:r>
      <w:r w:rsidR="00071919" w:rsidRPr="00F469F1">
        <w:rPr>
          <w:rFonts w:ascii="Book Antiqua" w:eastAsia="宋体" w:hAnsi="Book Antiqua" w:cs="Times New Roman"/>
          <w:sz w:val="24"/>
          <w:szCs w:val="24"/>
        </w:rPr>
        <w:t>gamma-</w:t>
      </w:r>
      <w:proofErr w:type="spellStart"/>
      <w:r w:rsidR="00071919" w:rsidRPr="00F469F1">
        <w:rPr>
          <w:rFonts w:ascii="Book Antiqua" w:eastAsia="宋体" w:hAnsi="Book Antiqua" w:cs="Times New Roman"/>
          <w:sz w:val="24"/>
          <w:szCs w:val="24"/>
        </w:rPr>
        <w:t>glutamyl</w:t>
      </w:r>
      <w:proofErr w:type="spellEnd"/>
      <w:r w:rsidR="00071919" w:rsidRPr="00F469F1">
        <w:rPr>
          <w:rFonts w:ascii="Book Antiqua" w:eastAsia="宋体" w:hAnsi="Book Antiqua" w:cs="Times New Roman"/>
          <w:sz w:val="24"/>
          <w:szCs w:val="24"/>
        </w:rPr>
        <w:t xml:space="preserve"> transferase</w:t>
      </w:r>
      <w:r w:rsidRPr="00F469F1">
        <w:rPr>
          <w:rFonts w:ascii="Book Antiqua" w:eastAsia="宋体" w:hAnsi="Book Antiqua" w:cs="Times New Roman"/>
          <w:sz w:val="24"/>
          <w:szCs w:val="24"/>
        </w:rPr>
        <w:t xml:space="preserve"> and </w:t>
      </w:r>
      <w:r w:rsidR="00071919" w:rsidRPr="00F469F1">
        <w:rPr>
          <w:rFonts w:ascii="Book Antiqua" w:eastAsia="宋体" w:hAnsi="Book Antiqua" w:cs="Times New Roman"/>
          <w:sz w:val="24"/>
          <w:szCs w:val="24"/>
        </w:rPr>
        <w:t>platelet count</w:t>
      </w:r>
      <w:r w:rsidRPr="00F469F1">
        <w:rPr>
          <w:rFonts w:ascii="Book Antiqua" w:eastAsia="宋体" w:hAnsi="Book Antiqua" w:cs="Times New Roman"/>
          <w:sz w:val="24"/>
          <w:szCs w:val="24"/>
        </w:rPr>
        <w:t xml:space="preserve"> on GBC and related gallbladder diseases.</w:t>
      </w:r>
    </w:p>
    <w:p w14:paraId="73C1B53B" w14:textId="77777777" w:rsidR="007E5A8B" w:rsidRPr="00F469F1" w:rsidRDefault="007E5A8B" w:rsidP="00F469F1">
      <w:pPr>
        <w:widowControl/>
        <w:snapToGrid w:val="0"/>
        <w:spacing w:line="360" w:lineRule="auto"/>
        <w:rPr>
          <w:rFonts w:ascii="Book Antiqua" w:eastAsia="宋体" w:hAnsi="Book Antiqua" w:cs="Times New Roman"/>
          <w:b/>
          <w:sz w:val="24"/>
          <w:szCs w:val="24"/>
        </w:rPr>
      </w:pPr>
    </w:p>
    <w:p w14:paraId="7FC61E7A"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AIM</w:t>
      </w:r>
    </w:p>
    <w:p w14:paraId="51B129B4" w14:textId="395693A4" w:rsidR="007E5A8B"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w:t>
      </w:r>
      <w:r w:rsidR="007E5A8B" w:rsidRPr="00F469F1">
        <w:rPr>
          <w:rFonts w:ascii="Book Antiqua" w:eastAsia="宋体" w:hAnsi="Book Antiqua" w:cs="Times New Roman"/>
          <w:sz w:val="24"/>
          <w:szCs w:val="24"/>
        </w:rPr>
        <w:t>o assess the prognostic value of GPR and to design a prognostic nomogram for GBC.</w:t>
      </w:r>
    </w:p>
    <w:p w14:paraId="7E0A9EB2" w14:textId="61CB5D9F" w:rsidR="007E5A8B" w:rsidRPr="00F469F1" w:rsidRDefault="007E5A8B" w:rsidP="00F469F1">
      <w:pPr>
        <w:widowControl/>
        <w:snapToGrid w:val="0"/>
        <w:spacing w:line="360" w:lineRule="auto"/>
        <w:rPr>
          <w:rFonts w:ascii="Book Antiqua" w:eastAsia="宋体" w:hAnsi="Book Antiqua" w:cs="Times New Roman"/>
          <w:b/>
          <w:sz w:val="24"/>
          <w:szCs w:val="24"/>
        </w:rPr>
      </w:pPr>
    </w:p>
    <w:p w14:paraId="218C483F"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METHODS</w:t>
      </w:r>
    </w:p>
    <w:p w14:paraId="68F15035" w14:textId="7765B90B"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The analysis involved 130 GBC patients who underwent surgery at </w:t>
      </w:r>
      <w:r w:rsidR="00B36A94" w:rsidRPr="00F469F1">
        <w:rPr>
          <w:rFonts w:ascii="Book Antiqua" w:eastAsia="宋体" w:hAnsi="Book Antiqua" w:cs="Times New Roman"/>
          <w:sz w:val="24"/>
          <w:szCs w:val="24"/>
        </w:rPr>
        <w:t>Peking Union Medical College Hospital</w:t>
      </w:r>
      <w:r w:rsidRPr="00F469F1">
        <w:rPr>
          <w:rFonts w:ascii="Book Antiqua" w:eastAsia="宋体" w:hAnsi="Book Antiqua" w:cs="Times New Roman"/>
          <w:sz w:val="24"/>
          <w:szCs w:val="24"/>
        </w:rPr>
        <w:t xml:space="preserve"> from December 2003 to April 2017. </w:t>
      </w:r>
      <w:r w:rsidR="00350F47">
        <w:rPr>
          <w:rFonts w:ascii="Book Antiqua" w:eastAsia="宋体" w:hAnsi="Book Antiqua" w:cs="Times New Roman"/>
          <w:sz w:val="24"/>
          <w:szCs w:val="24"/>
        </w:rPr>
        <w:t>The p</w:t>
      </w:r>
      <w:r w:rsidR="00350F47" w:rsidRPr="00F469F1">
        <w:rPr>
          <w:rFonts w:ascii="Book Antiqua" w:eastAsia="宋体" w:hAnsi="Book Antiqua" w:cs="Times New Roman"/>
          <w:sz w:val="24"/>
          <w:szCs w:val="24"/>
        </w:rPr>
        <w:t xml:space="preserve">atients </w:t>
      </w:r>
      <w:r w:rsidR="001A3567" w:rsidRPr="00F469F1">
        <w:rPr>
          <w:rFonts w:ascii="Book Antiqua" w:eastAsia="宋体" w:hAnsi="Book Antiqua" w:cs="Times New Roman"/>
          <w:sz w:val="24"/>
          <w:szCs w:val="24"/>
        </w:rPr>
        <w:t>were stratified into a high-</w:t>
      </w:r>
      <w:r w:rsidR="00350F47">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or low-GPR group. The predictive ability of GPR was evaluated by Kaplan–Meier analysis and a Cox regression model. We developed a nomogram based on GPR, which we verified using calibration curves. The nomogram and other prognosis prediction models were compared </w:t>
      </w:r>
      <w:r w:rsidR="00350F47">
        <w:rPr>
          <w:rFonts w:ascii="Book Antiqua" w:eastAsia="宋体" w:hAnsi="Book Antiqua" w:cs="Times New Roman"/>
          <w:sz w:val="24"/>
          <w:szCs w:val="24"/>
        </w:rPr>
        <w:t>using</w:t>
      </w:r>
      <w:r w:rsidR="00350F4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time-dependent receiver operating characteristic curves and the </w:t>
      </w:r>
      <w:r w:rsidR="00B20D23" w:rsidRPr="00F469F1">
        <w:rPr>
          <w:rFonts w:ascii="Book Antiqua" w:eastAsia="宋体" w:hAnsi="Book Antiqua" w:cs="Times New Roman"/>
          <w:sz w:val="24"/>
          <w:szCs w:val="24"/>
        </w:rPr>
        <w:t>concordance index</w:t>
      </w:r>
      <w:r w:rsidRPr="00F469F1">
        <w:rPr>
          <w:rFonts w:ascii="Book Antiqua" w:eastAsia="宋体" w:hAnsi="Book Antiqua" w:cs="Times New Roman"/>
          <w:sz w:val="24"/>
          <w:szCs w:val="24"/>
        </w:rPr>
        <w:t>.</w:t>
      </w:r>
    </w:p>
    <w:p w14:paraId="03551D98" w14:textId="735D1513" w:rsidR="007E5A8B" w:rsidRPr="00F469F1" w:rsidRDefault="007E5A8B" w:rsidP="00F469F1">
      <w:pPr>
        <w:widowControl/>
        <w:snapToGrid w:val="0"/>
        <w:spacing w:line="360" w:lineRule="auto"/>
        <w:rPr>
          <w:rFonts w:ascii="Book Antiqua" w:eastAsia="宋体" w:hAnsi="Book Antiqua" w:cs="Times New Roman"/>
          <w:b/>
          <w:sz w:val="24"/>
          <w:szCs w:val="24"/>
        </w:rPr>
      </w:pPr>
    </w:p>
    <w:p w14:paraId="5C0C7A7B" w14:textId="777777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RESULTS</w:t>
      </w:r>
    </w:p>
    <w:p w14:paraId="5BCFEDD1" w14:textId="38FAB305" w:rsidR="007E5A8B" w:rsidRPr="00F469F1" w:rsidRDefault="007E5A8B"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Patients in the high-GPR group had a higher risk of jaundice, were older, and had higher carbohydrate antigen 19-9 levels and worse postoperative outcomes. Univariate analysis revealed that GPR, age, body mass index, tumor–node–metastasis (TNM) stage, jaundice, cancer cell differentiation degree, and carcinoembryonic antigen and carbohydrate antigen 19-9 levels were related to overall survival (OS). Multivariate analysis confirmed that GPR, body mass index, age, and TNM stage were independent predictors of </w:t>
      </w:r>
      <w:r w:rsidRPr="00F469F1">
        <w:rPr>
          <w:rFonts w:ascii="Book Antiqua" w:eastAsia="宋体" w:hAnsi="Book Antiqua" w:cs="Times New Roman"/>
          <w:sz w:val="24"/>
          <w:szCs w:val="24"/>
        </w:rPr>
        <w:lastRenderedPageBreak/>
        <w:t xml:space="preserve">poor OS. Calibration curves were highly consistent with actual observations. Comparisons of time-dependent receiver operating characteristic curves and the </w:t>
      </w:r>
      <w:r w:rsidR="00B20D23" w:rsidRPr="00F469F1">
        <w:rPr>
          <w:rFonts w:ascii="Book Antiqua" w:eastAsia="宋体" w:hAnsi="Book Antiqua" w:cs="Times New Roman"/>
          <w:sz w:val="24"/>
          <w:szCs w:val="24"/>
        </w:rPr>
        <w:t>concordance index</w:t>
      </w:r>
      <w:r w:rsidRPr="00F469F1">
        <w:rPr>
          <w:rFonts w:ascii="Book Antiqua" w:eastAsia="宋体" w:hAnsi="Book Antiqua" w:cs="Times New Roman"/>
          <w:sz w:val="24"/>
          <w:szCs w:val="24"/>
        </w:rPr>
        <w:t xml:space="preserve"> showed advantages for the nomogram over TNM staging.</w:t>
      </w:r>
    </w:p>
    <w:p w14:paraId="54FE7755" w14:textId="1AEE2D34" w:rsidR="007E5A8B" w:rsidRPr="00F469F1" w:rsidRDefault="007E5A8B" w:rsidP="00F469F1">
      <w:pPr>
        <w:widowControl/>
        <w:snapToGrid w:val="0"/>
        <w:spacing w:line="360" w:lineRule="auto"/>
        <w:rPr>
          <w:rFonts w:ascii="Book Antiqua" w:eastAsia="宋体" w:hAnsi="Book Antiqua" w:cs="Times New Roman"/>
          <w:b/>
          <w:sz w:val="24"/>
          <w:szCs w:val="24"/>
        </w:rPr>
      </w:pPr>
    </w:p>
    <w:p w14:paraId="1F059615" w14:textId="132F5F77" w:rsidR="00BC42C3" w:rsidRPr="00F469F1" w:rsidRDefault="00BC42C3" w:rsidP="00F469F1">
      <w:pPr>
        <w:adjustRightInd w:val="0"/>
        <w:snapToGrid w:val="0"/>
        <w:spacing w:line="360" w:lineRule="auto"/>
        <w:rPr>
          <w:rFonts w:ascii="Book Antiqua" w:hAnsi="Book Antiqua"/>
          <w:sz w:val="24"/>
          <w:szCs w:val="24"/>
          <w:lang w:val="en"/>
        </w:rPr>
      </w:pPr>
      <w:r w:rsidRPr="00F469F1">
        <w:rPr>
          <w:rFonts w:ascii="Book Antiqua" w:hAnsi="Book Antiqua"/>
          <w:sz w:val="24"/>
          <w:szCs w:val="24"/>
        </w:rPr>
        <w:t>CONCLUSION</w:t>
      </w:r>
    </w:p>
    <w:p w14:paraId="52A09D78" w14:textId="7AE88BFF" w:rsidR="003D5E66" w:rsidRPr="00F469F1" w:rsidRDefault="003D5E6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GPR </w:t>
      </w:r>
      <w:r w:rsidR="00350F47">
        <w:rPr>
          <w:rFonts w:ascii="Book Antiqua" w:eastAsia="宋体" w:hAnsi="Book Antiqua" w:cs="Times New Roman"/>
          <w:sz w:val="24"/>
          <w:szCs w:val="24"/>
        </w:rPr>
        <w:t>i</w:t>
      </w:r>
      <w:r w:rsidR="00350F47" w:rsidRPr="00F469F1">
        <w:rPr>
          <w:rFonts w:ascii="Book Antiqua" w:eastAsia="宋体" w:hAnsi="Book Antiqua" w:cs="Times New Roman"/>
          <w:sz w:val="24"/>
          <w:szCs w:val="24"/>
        </w:rPr>
        <w:t xml:space="preserve">s </w:t>
      </w:r>
      <w:r w:rsidRPr="00F469F1">
        <w:rPr>
          <w:rFonts w:ascii="Book Antiqua" w:eastAsia="宋体" w:hAnsi="Book Antiqua" w:cs="Times New Roman"/>
          <w:sz w:val="24"/>
          <w:szCs w:val="24"/>
        </w:rPr>
        <w:t>an independent predictor of GBC prognosis, and nomogram-integrated GPR is a promising predictive model for OS in GBC.</w:t>
      </w:r>
    </w:p>
    <w:p w14:paraId="21317EB6" w14:textId="40B1DAE4" w:rsidR="006C2786" w:rsidRPr="00350F47" w:rsidRDefault="006C2786" w:rsidP="00F469F1">
      <w:pPr>
        <w:widowControl/>
        <w:snapToGrid w:val="0"/>
        <w:spacing w:line="360" w:lineRule="auto"/>
        <w:rPr>
          <w:rFonts w:ascii="Book Antiqua" w:eastAsia="宋体" w:hAnsi="Book Antiqua" w:cs="Times New Roman"/>
          <w:sz w:val="24"/>
          <w:szCs w:val="24"/>
        </w:rPr>
      </w:pPr>
    </w:p>
    <w:p w14:paraId="022726DD" w14:textId="1E74AF44" w:rsidR="006C2786"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hAnsi="Book Antiqua"/>
          <w:b/>
          <w:sz w:val="24"/>
          <w:szCs w:val="24"/>
        </w:rPr>
        <w:t xml:space="preserve">Key </w:t>
      </w:r>
      <w:r w:rsidR="0086613C">
        <w:rPr>
          <w:rFonts w:ascii="Book Antiqua" w:hAnsi="Book Antiqua" w:hint="eastAsia"/>
          <w:b/>
          <w:sz w:val="24"/>
          <w:szCs w:val="24"/>
        </w:rPr>
        <w:t>W</w:t>
      </w:r>
      <w:r w:rsidRPr="00F469F1">
        <w:rPr>
          <w:rFonts w:ascii="Book Antiqua" w:hAnsi="Book Antiqua"/>
          <w:b/>
          <w:sz w:val="24"/>
          <w:szCs w:val="24"/>
        </w:rPr>
        <w:t>ords:</w:t>
      </w:r>
      <w:r w:rsidR="008663A0" w:rsidRPr="00F469F1">
        <w:rPr>
          <w:rFonts w:ascii="Book Antiqua" w:eastAsia="宋体" w:hAnsi="Book Antiqua" w:cs="Times New Roman"/>
          <w:b/>
          <w:sz w:val="24"/>
          <w:szCs w:val="24"/>
        </w:rPr>
        <w:t xml:space="preserve"> </w:t>
      </w:r>
      <w:bookmarkStart w:id="5" w:name="OLE_LINK5"/>
      <w:r w:rsidR="006C2786" w:rsidRPr="00F469F1">
        <w:rPr>
          <w:rFonts w:ascii="Book Antiqua" w:eastAsia="宋体" w:hAnsi="Book Antiqua" w:cs="Times New Roman"/>
          <w:sz w:val="24"/>
          <w:szCs w:val="24"/>
        </w:rPr>
        <w:t>Gamma-</w:t>
      </w:r>
      <w:proofErr w:type="spellStart"/>
      <w:r w:rsidR="006C2786" w:rsidRPr="00F469F1">
        <w:rPr>
          <w:rFonts w:ascii="Book Antiqua" w:eastAsia="宋体" w:hAnsi="Book Antiqua" w:cs="Times New Roman"/>
          <w:sz w:val="24"/>
          <w:szCs w:val="24"/>
        </w:rPr>
        <w:t>glutamyl</w:t>
      </w:r>
      <w:proofErr w:type="spellEnd"/>
      <w:r w:rsidR="006C2786" w:rsidRPr="00F469F1">
        <w:rPr>
          <w:rFonts w:ascii="Book Antiqua" w:eastAsia="宋体" w:hAnsi="Book Antiqua" w:cs="Times New Roman"/>
          <w:sz w:val="24"/>
          <w:szCs w:val="24"/>
        </w:rPr>
        <w:t xml:space="preserve"> transferase–to–platelet ratio</w:t>
      </w:r>
      <w:r w:rsidR="001A3567" w:rsidRPr="00F469F1">
        <w:rPr>
          <w:rFonts w:ascii="Book Antiqua" w:hAnsi="Book Antiqua"/>
          <w:sz w:val="24"/>
          <w:szCs w:val="24"/>
        </w:rPr>
        <w:t xml:space="preserve">; </w:t>
      </w:r>
      <w:r w:rsidR="001A3567" w:rsidRPr="00F469F1">
        <w:rPr>
          <w:rFonts w:ascii="Book Antiqua" w:eastAsia="宋体" w:hAnsi="Book Antiqua" w:cs="Times New Roman"/>
          <w:sz w:val="24"/>
          <w:szCs w:val="24"/>
        </w:rPr>
        <w:t>G</w:t>
      </w:r>
      <w:r w:rsidR="006C2786" w:rsidRPr="00F469F1">
        <w:rPr>
          <w:rFonts w:ascii="Book Antiqua" w:eastAsia="宋体" w:hAnsi="Book Antiqua" w:cs="Times New Roman"/>
          <w:sz w:val="24"/>
          <w:szCs w:val="24"/>
        </w:rPr>
        <w:t>allbladder carcinoma</w:t>
      </w:r>
      <w:r w:rsidR="001A3567" w:rsidRPr="00F469F1">
        <w:rPr>
          <w:rFonts w:ascii="Book Antiqua" w:hAnsi="Book Antiqua"/>
          <w:sz w:val="24"/>
          <w:szCs w:val="24"/>
        </w:rPr>
        <w:t>;</w:t>
      </w:r>
      <w:r w:rsidR="006C2786" w:rsidRPr="00F469F1">
        <w:rPr>
          <w:rFonts w:ascii="Book Antiqua" w:eastAsia="宋体" w:hAnsi="Book Antiqua" w:cs="Times New Roman"/>
          <w:sz w:val="24"/>
          <w:szCs w:val="24"/>
        </w:rPr>
        <w:t xml:space="preserve"> </w:t>
      </w:r>
      <w:r w:rsidR="006F13A4" w:rsidRPr="00F469F1">
        <w:rPr>
          <w:rFonts w:ascii="Book Antiqua" w:eastAsia="宋体" w:hAnsi="Book Antiqua" w:cs="Times New Roman"/>
          <w:sz w:val="24"/>
          <w:szCs w:val="24"/>
        </w:rPr>
        <w:t>P</w:t>
      </w:r>
      <w:r w:rsidR="006C2786" w:rsidRPr="00F469F1">
        <w:rPr>
          <w:rFonts w:ascii="Book Antiqua" w:eastAsia="宋体" w:hAnsi="Book Antiqua" w:cs="Times New Roman"/>
          <w:sz w:val="24"/>
          <w:szCs w:val="24"/>
        </w:rPr>
        <w:t>rognosis</w:t>
      </w:r>
      <w:r w:rsidR="001A3567" w:rsidRPr="00F469F1">
        <w:rPr>
          <w:rFonts w:ascii="Book Antiqua" w:hAnsi="Book Antiqua"/>
          <w:sz w:val="24"/>
          <w:szCs w:val="24"/>
        </w:rPr>
        <w:t xml:space="preserve">; </w:t>
      </w:r>
      <w:r w:rsidR="006F13A4" w:rsidRPr="00F469F1">
        <w:rPr>
          <w:rFonts w:ascii="Book Antiqua" w:eastAsia="宋体" w:hAnsi="Book Antiqua" w:cs="Times New Roman"/>
          <w:sz w:val="24"/>
          <w:szCs w:val="24"/>
        </w:rPr>
        <w:t>N</w:t>
      </w:r>
      <w:r w:rsidR="006C2786" w:rsidRPr="00F469F1">
        <w:rPr>
          <w:rFonts w:ascii="Book Antiqua" w:eastAsia="宋体" w:hAnsi="Book Antiqua" w:cs="Times New Roman"/>
          <w:sz w:val="24"/>
          <w:szCs w:val="24"/>
        </w:rPr>
        <w:t>omogram</w:t>
      </w:r>
      <w:r w:rsidR="001A3567" w:rsidRPr="00F469F1">
        <w:rPr>
          <w:rFonts w:ascii="Book Antiqua" w:hAnsi="Book Antiqua"/>
          <w:sz w:val="24"/>
          <w:szCs w:val="24"/>
        </w:rPr>
        <w:t xml:space="preserve">; </w:t>
      </w:r>
      <w:r w:rsidR="006F13A4" w:rsidRPr="00F469F1">
        <w:rPr>
          <w:rFonts w:ascii="Book Antiqua" w:eastAsia="宋体" w:hAnsi="Book Antiqua" w:cs="Times New Roman"/>
          <w:sz w:val="24"/>
          <w:szCs w:val="24"/>
        </w:rPr>
        <w:t>T</w:t>
      </w:r>
      <w:r w:rsidR="001A3567" w:rsidRPr="00F469F1">
        <w:rPr>
          <w:rFonts w:ascii="Book Antiqua" w:eastAsia="宋体" w:hAnsi="Book Antiqua" w:cs="Times New Roman"/>
          <w:sz w:val="24"/>
          <w:szCs w:val="24"/>
        </w:rPr>
        <w:t>umor–node–metastasis</w:t>
      </w:r>
      <w:r w:rsidR="00E45EC6" w:rsidRPr="00F469F1">
        <w:rPr>
          <w:rFonts w:ascii="Book Antiqua" w:eastAsia="宋体" w:hAnsi="Book Antiqua" w:cs="Times New Roman"/>
          <w:sz w:val="24"/>
          <w:szCs w:val="24"/>
        </w:rPr>
        <w:t xml:space="preserve">; </w:t>
      </w:r>
      <w:r w:rsidR="00DA5023" w:rsidRPr="00F469F1">
        <w:rPr>
          <w:rFonts w:ascii="Book Antiqua" w:eastAsia="宋体" w:hAnsi="Book Antiqua" w:cs="Times New Roman"/>
          <w:sz w:val="24"/>
          <w:szCs w:val="24"/>
        </w:rPr>
        <w:t>P</w:t>
      </w:r>
      <w:r w:rsidR="00E45EC6" w:rsidRPr="00F469F1">
        <w:rPr>
          <w:rFonts w:ascii="Book Antiqua" w:eastAsia="宋体" w:hAnsi="Book Antiqua" w:cs="Times New Roman"/>
          <w:sz w:val="24"/>
          <w:szCs w:val="24"/>
        </w:rPr>
        <w:t>atient management</w:t>
      </w:r>
    </w:p>
    <w:bookmarkEnd w:id="5"/>
    <w:p w14:paraId="5D7081DE" w14:textId="4032FB1D" w:rsidR="00287CB0" w:rsidRPr="00F469F1" w:rsidRDefault="00287CB0" w:rsidP="00F469F1">
      <w:pPr>
        <w:widowControl/>
        <w:snapToGrid w:val="0"/>
        <w:spacing w:line="360" w:lineRule="auto"/>
        <w:rPr>
          <w:rFonts w:ascii="Book Antiqua" w:eastAsia="宋体" w:hAnsi="Book Antiqua" w:cs="Times New Roman"/>
          <w:sz w:val="24"/>
          <w:szCs w:val="24"/>
        </w:rPr>
      </w:pPr>
    </w:p>
    <w:p w14:paraId="1A9C85D8" w14:textId="5CF5D015" w:rsidR="00DA5023" w:rsidRPr="00F469F1" w:rsidRDefault="0086613C" w:rsidP="00F469F1">
      <w:pPr>
        <w:widowControl/>
        <w:snapToGrid w:val="0"/>
        <w:spacing w:line="360" w:lineRule="auto"/>
        <w:rPr>
          <w:rFonts w:ascii="Book Antiqua" w:eastAsia="等线" w:hAnsi="Book Antiqua" w:cs="Times New Roman"/>
          <w:sz w:val="24"/>
          <w:szCs w:val="24"/>
        </w:rPr>
      </w:pPr>
      <w:bookmarkStart w:id="6" w:name="OLE_LINK9"/>
      <w:bookmarkStart w:id="7" w:name="OLE_LINK10"/>
      <w:r w:rsidRPr="0086613C">
        <w:rPr>
          <w:rFonts w:ascii="Book Antiqua" w:eastAsia="等线" w:hAnsi="Book Antiqua" w:cs="Times New Roman" w:hint="eastAsia"/>
          <w:b/>
          <w:sz w:val="24"/>
          <w:szCs w:val="24"/>
        </w:rPr>
        <w:t>Citation:</w:t>
      </w:r>
      <w:r>
        <w:rPr>
          <w:rFonts w:ascii="Book Antiqua" w:eastAsia="等线" w:hAnsi="Book Antiqua" w:cs="Times New Roman" w:hint="eastAsia"/>
          <w:sz w:val="24"/>
          <w:szCs w:val="24"/>
        </w:rPr>
        <w:t xml:space="preserve"> </w:t>
      </w:r>
      <w:r w:rsidR="00DA5023" w:rsidRPr="00F469F1">
        <w:rPr>
          <w:rFonts w:ascii="Book Antiqua" w:eastAsia="等线" w:hAnsi="Book Antiqua" w:cs="Times New Roman"/>
          <w:sz w:val="24"/>
          <w:szCs w:val="24"/>
        </w:rPr>
        <w:t>Sun</w:t>
      </w:r>
      <w:r w:rsidR="00182394" w:rsidRPr="00F469F1">
        <w:rPr>
          <w:rFonts w:ascii="Book Antiqua" w:eastAsia="等线" w:hAnsi="Book Antiqua" w:cs="Times New Roman"/>
          <w:sz w:val="24"/>
          <w:szCs w:val="24"/>
        </w:rPr>
        <w:t xml:space="preserve"> LJ</w:t>
      </w:r>
      <w:r w:rsidR="00DA5023" w:rsidRPr="00F469F1">
        <w:rPr>
          <w:rFonts w:ascii="Book Antiqua" w:eastAsia="等线" w:hAnsi="Book Antiqua" w:cs="Times New Roman"/>
          <w:sz w:val="24"/>
          <w:szCs w:val="24"/>
        </w:rPr>
        <w:t>, Guan</w:t>
      </w:r>
      <w:r w:rsidR="00182394" w:rsidRPr="00F469F1">
        <w:rPr>
          <w:rFonts w:ascii="Book Antiqua" w:eastAsia="等线" w:hAnsi="Book Antiqua" w:cs="Times New Roman"/>
          <w:sz w:val="24"/>
          <w:szCs w:val="24"/>
        </w:rPr>
        <w:t xml:space="preserve"> A</w:t>
      </w:r>
      <w:r w:rsidR="00DA5023"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WY</w:t>
      </w:r>
      <w:r w:rsidR="00DA5023" w:rsidRPr="00F469F1">
        <w:rPr>
          <w:rFonts w:ascii="Book Antiqua" w:eastAsia="等线" w:hAnsi="Book Antiqua" w:cs="Times New Roman"/>
          <w:sz w:val="24"/>
          <w:szCs w:val="24"/>
        </w:rPr>
        <w:t>, Liu</w:t>
      </w:r>
      <w:r w:rsidR="00182394" w:rsidRPr="00F469F1">
        <w:rPr>
          <w:rFonts w:ascii="Book Antiqua" w:eastAsia="等线" w:hAnsi="Book Antiqua" w:cs="Times New Roman"/>
          <w:sz w:val="24"/>
          <w:szCs w:val="24"/>
        </w:rPr>
        <w:t xml:space="preserve"> MX</w:t>
      </w:r>
      <w:r w:rsidR="00DA5023" w:rsidRPr="00F469F1">
        <w:rPr>
          <w:rFonts w:ascii="Book Antiqua" w:eastAsia="等线" w:hAnsi="Book Antiqua" w:cs="Times New Roman"/>
          <w:sz w:val="24"/>
          <w:szCs w:val="24"/>
        </w:rPr>
        <w:t>, Yin</w:t>
      </w:r>
      <w:r w:rsidR="00182394" w:rsidRPr="00F469F1">
        <w:rPr>
          <w:rFonts w:ascii="Book Antiqua" w:eastAsia="等线" w:hAnsi="Book Antiqua" w:cs="Times New Roman"/>
          <w:sz w:val="24"/>
          <w:szCs w:val="24"/>
        </w:rPr>
        <w:t xml:space="preserve"> HH</w:t>
      </w:r>
      <w:r w:rsidR="00DA5023" w:rsidRPr="00F469F1">
        <w:rPr>
          <w:rFonts w:ascii="Book Antiqua" w:eastAsia="等线" w:hAnsi="Book Antiqua" w:cs="Times New Roman"/>
          <w:sz w:val="24"/>
          <w:szCs w:val="24"/>
        </w:rPr>
        <w:t xml:space="preserve">, </w:t>
      </w:r>
      <w:proofErr w:type="spellStart"/>
      <w:r w:rsidR="00DA5023" w:rsidRPr="00F469F1">
        <w:rPr>
          <w:rFonts w:ascii="Book Antiqua" w:eastAsia="等线" w:hAnsi="Book Antiqua" w:cs="Times New Roman"/>
          <w:sz w:val="24"/>
          <w:szCs w:val="24"/>
        </w:rPr>
        <w:t>Jin</w:t>
      </w:r>
      <w:proofErr w:type="spellEnd"/>
      <w:r w:rsidR="00182394" w:rsidRPr="00F469F1">
        <w:rPr>
          <w:rFonts w:ascii="Book Antiqua" w:eastAsia="等线" w:hAnsi="Book Antiqua" w:cs="Times New Roman"/>
          <w:sz w:val="24"/>
          <w:szCs w:val="24"/>
        </w:rPr>
        <w:t xml:space="preserve"> B</w:t>
      </w:r>
      <w:r w:rsidR="00DA5023"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G</w:t>
      </w:r>
      <w:r w:rsidR="00DA5023" w:rsidRPr="00F469F1">
        <w:rPr>
          <w:rFonts w:ascii="Book Antiqua" w:eastAsia="等线" w:hAnsi="Book Antiqua" w:cs="Times New Roman"/>
          <w:sz w:val="24"/>
          <w:szCs w:val="24"/>
        </w:rPr>
        <w:t xml:space="preserve">, </w:t>
      </w:r>
      <w:proofErr w:type="spellStart"/>
      <w:r w:rsidR="00DA5023" w:rsidRPr="00F469F1">
        <w:rPr>
          <w:rFonts w:ascii="Book Antiqua" w:eastAsia="等线" w:hAnsi="Book Antiqua" w:cs="Times New Roman"/>
          <w:sz w:val="24"/>
          <w:szCs w:val="24"/>
        </w:rPr>
        <w:t>Xie</w:t>
      </w:r>
      <w:proofErr w:type="spellEnd"/>
      <w:r w:rsidR="00182394" w:rsidRPr="00F469F1">
        <w:rPr>
          <w:rFonts w:ascii="Book Antiqua" w:eastAsia="等线" w:hAnsi="Book Antiqua" w:cs="Times New Roman"/>
          <w:sz w:val="24"/>
          <w:szCs w:val="24"/>
        </w:rPr>
        <w:t xml:space="preserve"> FH</w:t>
      </w:r>
      <w:r w:rsidR="00DA5023"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HF</w:t>
      </w:r>
      <w:r w:rsidR="00DA5023" w:rsidRPr="00F469F1">
        <w:rPr>
          <w:rFonts w:ascii="Book Antiqua" w:eastAsia="等线" w:hAnsi="Book Antiqua" w:cs="Times New Roman"/>
          <w:sz w:val="24"/>
          <w:szCs w:val="24"/>
        </w:rPr>
        <w:t>, Du</w:t>
      </w:r>
      <w:r w:rsidR="00182394" w:rsidRPr="00F469F1">
        <w:rPr>
          <w:rFonts w:ascii="Book Antiqua" w:eastAsia="等线" w:hAnsi="Book Antiqua" w:cs="Times New Roman"/>
          <w:sz w:val="24"/>
          <w:szCs w:val="24"/>
        </w:rPr>
        <w:t xml:space="preserve"> SD</w:t>
      </w:r>
      <w:r w:rsidR="00DA5023" w:rsidRPr="00F469F1">
        <w:rPr>
          <w:rFonts w:ascii="Book Antiqua" w:eastAsia="等线" w:hAnsi="Book Antiqua" w:cs="Times New Roman"/>
          <w:sz w:val="24"/>
          <w:szCs w:val="24"/>
        </w:rPr>
        <w:t>, Xu</w:t>
      </w:r>
      <w:r w:rsidR="00182394" w:rsidRPr="00F469F1">
        <w:rPr>
          <w:rFonts w:ascii="Book Antiqua" w:eastAsia="等线" w:hAnsi="Book Antiqua" w:cs="Times New Roman"/>
          <w:sz w:val="24"/>
          <w:szCs w:val="24"/>
        </w:rPr>
        <w:t xml:space="preserve"> YY</w:t>
      </w:r>
      <w:r w:rsidR="00DA5023" w:rsidRPr="00F469F1">
        <w:rPr>
          <w:rFonts w:ascii="Book Antiqua" w:eastAsia="等线" w:hAnsi="Book Antiqua" w:cs="Times New Roman"/>
          <w:sz w:val="24"/>
          <w:szCs w:val="24"/>
        </w:rPr>
        <w:t>, Zhao</w:t>
      </w:r>
      <w:r w:rsidR="00182394" w:rsidRPr="00F469F1">
        <w:rPr>
          <w:rFonts w:ascii="Book Antiqua" w:eastAsia="等线" w:hAnsi="Book Antiqua" w:cs="Times New Roman"/>
          <w:sz w:val="24"/>
          <w:szCs w:val="24"/>
        </w:rPr>
        <w:t xml:space="preserve"> HT</w:t>
      </w:r>
      <w:r w:rsidR="00DA5023" w:rsidRPr="00F469F1">
        <w:rPr>
          <w:rFonts w:ascii="Book Antiqua" w:eastAsia="等线" w:hAnsi="Book Antiqua" w:cs="Times New Roman"/>
          <w:sz w:val="24"/>
          <w:szCs w:val="24"/>
        </w:rPr>
        <w:t>, Lu</w:t>
      </w:r>
      <w:r w:rsidR="00182394" w:rsidRPr="00F469F1">
        <w:rPr>
          <w:rFonts w:ascii="Book Antiqua" w:eastAsia="等线" w:hAnsi="Book Antiqua" w:cs="Times New Roman"/>
          <w:sz w:val="24"/>
          <w:szCs w:val="24"/>
        </w:rPr>
        <w:t xml:space="preserve"> X</w:t>
      </w:r>
      <w:r w:rsidR="00DA5023" w:rsidRPr="00F469F1">
        <w:rPr>
          <w:rFonts w:ascii="Book Antiqua" w:eastAsia="等线" w:hAnsi="Book Antiqua" w:cs="Times New Roman"/>
          <w:sz w:val="24"/>
          <w:szCs w:val="24"/>
        </w:rPr>
        <w:t>, Sang</w:t>
      </w:r>
      <w:r w:rsidR="00182394" w:rsidRPr="00F469F1">
        <w:rPr>
          <w:rFonts w:ascii="Book Antiqua" w:eastAsia="等线" w:hAnsi="Book Antiqua" w:cs="Times New Roman"/>
          <w:sz w:val="24"/>
          <w:szCs w:val="24"/>
        </w:rPr>
        <w:t xml:space="preserve"> XT</w:t>
      </w:r>
      <w:r w:rsidR="00DA5023" w:rsidRPr="00F469F1">
        <w:rPr>
          <w:rFonts w:ascii="Book Antiqua" w:eastAsia="等线" w:hAnsi="Book Antiqua" w:cs="Times New Roman"/>
          <w:sz w:val="24"/>
          <w:szCs w:val="24"/>
        </w:rPr>
        <w:t>, Yang</w:t>
      </w:r>
      <w:r w:rsidR="00182394" w:rsidRPr="00F469F1">
        <w:rPr>
          <w:rFonts w:ascii="Book Antiqua" w:eastAsia="等线" w:hAnsi="Book Antiqua" w:cs="Times New Roman"/>
          <w:sz w:val="24"/>
          <w:szCs w:val="24"/>
        </w:rPr>
        <w:t xml:space="preserve"> HY</w:t>
      </w:r>
      <w:r w:rsidR="00DA5023" w:rsidRPr="00F469F1">
        <w:rPr>
          <w:rFonts w:ascii="Book Antiqua" w:eastAsia="等线" w:hAnsi="Book Antiqua" w:cs="Times New Roman"/>
          <w:sz w:val="24"/>
          <w:szCs w:val="24"/>
        </w:rPr>
        <w:t>, Mao</w:t>
      </w:r>
      <w:r w:rsidR="00182394" w:rsidRPr="00F469F1">
        <w:rPr>
          <w:rFonts w:ascii="Book Antiqua" w:eastAsia="等线" w:hAnsi="Book Antiqua" w:cs="Times New Roman"/>
          <w:sz w:val="24"/>
          <w:szCs w:val="24"/>
        </w:rPr>
        <w:t xml:space="preserve"> YL.</w:t>
      </w:r>
      <w:r w:rsidR="00F51AD3" w:rsidRPr="00F469F1">
        <w:rPr>
          <w:rFonts w:ascii="Book Antiqua" w:hAnsi="Book Antiqua"/>
          <w:sz w:val="24"/>
          <w:szCs w:val="24"/>
        </w:rPr>
        <w:t xml:space="preserve"> </w:t>
      </w:r>
      <w:proofErr w:type="gramStart"/>
      <w:r w:rsidR="00182394" w:rsidRPr="00F469F1">
        <w:rPr>
          <w:rFonts w:ascii="Book Antiqua" w:eastAsia="等线" w:hAnsi="Book Antiqua" w:cs="Times New Roman"/>
          <w:sz w:val="24"/>
          <w:szCs w:val="24"/>
        </w:rPr>
        <w:t>γ-</w:t>
      </w:r>
      <w:proofErr w:type="spellStart"/>
      <w:r w:rsidR="0000137B" w:rsidRPr="00F469F1">
        <w:rPr>
          <w:rFonts w:ascii="Book Antiqua" w:eastAsia="等线" w:hAnsi="Book Antiqua" w:cs="Times New Roman"/>
          <w:sz w:val="24"/>
          <w:szCs w:val="24"/>
        </w:rPr>
        <w:t>g</w:t>
      </w:r>
      <w:r w:rsidR="00F51AD3" w:rsidRPr="00F469F1">
        <w:rPr>
          <w:rFonts w:ascii="Book Antiqua" w:eastAsia="等线" w:hAnsi="Book Antiqua" w:cs="Times New Roman"/>
          <w:sz w:val="24"/>
          <w:szCs w:val="24"/>
        </w:rPr>
        <w:t>lutamyl</w:t>
      </w:r>
      <w:proofErr w:type="spellEnd"/>
      <w:proofErr w:type="gramEnd"/>
      <w:r w:rsidR="00350F47">
        <w:rPr>
          <w:rFonts w:ascii="Book Antiqua" w:eastAsia="等线" w:hAnsi="Book Antiqua" w:cs="Times New Roman"/>
          <w:sz w:val="24"/>
          <w:szCs w:val="24"/>
        </w:rPr>
        <w:t xml:space="preserve"> </w:t>
      </w:r>
      <w:r w:rsidR="00182394" w:rsidRPr="00F469F1">
        <w:rPr>
          <w:rFonts w:ascii="Book Antiqua" w:eastAsia="等线" w:hAnsi="Book Antiqua" w:cs="Times New Roman"/>
          <w:sz w:val="24"/>
          <w:szCs w:val="24"/>
        </w:rPr>
        <w:t>transferase-to-platelet</w:t>
      </w:r>
      <w:r w:rsidR="00350F47">
        <w:rPr>
          <w:rFonts w:ascii="Book Antiqua" w:eastAsia="等线" w:hAnsi="Book Antiqua" w:cs="Times New Roman"/>
          <w:sz w:val="24"/>
          <w:szCs w:val="24"/>
        </w:rPr>
        <w:t xml:space="preserve"> </w:t>
      </w:r>
      <w:r w:rsidR="00182394" w:rsidRPr="00F469F1">
        <w:rPr>
          <w:rFonts w:ascii="Book Antiqua" w:eastAsia="等线" w:hAnsi="Book Antiqua" w:cs="Times New Roman"/>
          <w:sz w:val="24"/>
          <w:szCs w:val="24"/>
        </w:rPr>
        <w:t>ratio based nomogram predicting overall survival of gallbladder carcinoma.</w:t>
      </w:r>
      <w:r w:rsidR="00182394" w:rsidRPr="00F469F1">
        <w:rPr>
          <w:rFonts w:ascii="Book Antiqua" w:hAnsi="Book Antiqua"/>
          <w:sz w:val="24"/>
          <w:szCs w:val="24"/>
        </w:rPr>
        <w:t xml:space="preserve"> </w:t>
      </w:r>
      <w:r w:rsidR="00182394" w:rsidRPr="00F469F1">
        <w:rPr>
          <w:rFonts w:ascii="Book Antiqua" w:eastAsia="等线" w:hAnsi="Book Antiqua" w:cs="Times New Roman"/>
          <w:i/>
          <w:sz w:val="24"/>
          <w:szCs w:val="24"/>
        </w:rPr>
        <w:t xml:space="preserve">World J </w:t>
      </w:r>
      <w:proofErr w:type="spellStart"/>
      <w:r w:rsidR="00182394" w:rsidRPr="00F469F1">
        <w:rPr>
          <w:rFonts w:ascii="Book Antiqua" w:eastAsia="等线" w:hAnsi="Book Antiqua" w:cs="Times New Roman"/>
          <w:i/>
          <w:sz w:val="24"/>
          <w:szCs w:val="24"/>
        </w:rPr>
        <w:t>Gastrointest</w:t>
      </w:r>
      <w:proofErr w:type="spellEnd"/>
      <w:r w:rsidR="00182394" w:rsidRPr="00F469F1">
        <w:rPr>
          <w:rFonts w:ascii="Book Antiqua" w:eastAsia="等线" w:hAnsi="Book Antiqua" w:cs="Times New Roman"/>
          <w:i/>
          <w:sz w:val="24"/>
          <w:szCs w:val="24"/>
        </w:rPr>
        <w:t xml:space="preserve"> </w:t>
      </w:r>
      <w:proofErr w:type="spellStart"/>
      <w:r w:rsidR="00182394" w:rsidRPr="00F469F1">
        <w:rPr>
          <w:rFonts w:ascii="Book Antiqua" w:eastAsia="等线" w:hAnsi="Book Antiqua" w:cs="Times New Roman"/>
          <w:i/>
          <w:sz w:val="24"/>
          <w:szCs w:val="24"/>
        </w:rPr>
        <w:t>Oncol</w:t>
      </w:r>
      <w:proofErr w:type="spellEnd"/>
      <w:r w:rsidR="00182394" w:rsidRPr="00F469F1">
        <w:rPr>
          <w:rFonts w:ascii="Book Antiqua" w:eastAsia="等线" w:hAnsi="Book Antiqua" w:cs="Times New Roman"/>
          <w:i/>
          <w:sz w:val="24"/>
          <w:szCs w:val="24"/>
        </w:rPr>
        <w:t xml:space="preserve"> </w:t>
      </w:r>
      <w:r w:rsidR="00182394" w:rsidRPr="00F469F1">
        <w:rPr>
          <w:rFonts w:ascii="Book Antiqua" w:eastAsia="等线" w:hAnsi="Book Antiqua" w:cs="Times New Roman"/>
          <w:sz w:val="24"/>
          <w:szCs w:val="24"/>
        </w:rPr>
        <w:t xml:space="preserve">2020; </w:t>
      </w:r>
      <w:r w:rsidR="00C34115" w:rsidRPr="00C34115">
        <w:rPr>
          <w:rFonts w:ascii="Book Antiqua" w:eastAsia="Book Antiqua" w:hAnsi="Book Antiqua" w:cs="Book Antiqua"/>
          <w:color w:val="000000"/>
          <w:kern w:val="0"/>
          <w:sz w:val="24"/>
          <w:szCs w:val="24"/>
          <w:lang w:eastAsia="en-US"/>
        </w:rPr>
        <w:t>12(</w:t>
      </w:r>
      <w:r w:rsidR="00C34115" w:rsidRPr="00C34115">
        <w:rPr>
          <w:rFonts w:ascii="Book Antiqua" w:eastAsia="宋体" w:hAnsi="Book Antiqua" w:cs="Book Antiqua" w:hint="eastAsia"/>
          <w:color w:val="000000"/>
          <w:kern w:val="0"/>
          <w:sz w:val="24"/>
          <w:szCs w:val="24"/>
        </w:rPr>
        <w:t>9</w:t>
      </w:r>
      <w:r w:rsidR="00C34115" w:rsidRPr="00C34115">
        <w:rPr>
          <w:rFonts w:ascii="Book Antiqua" w:eastAsia="Book Antiqua" w:hAnsi="Book Antiqua" w:cs="Book Antiqua"/>
          <w:color w:val="000000"/>
          <w:kern w:val="0"/>
          <w:sz w:val="24"/>
          <w:szCs w:val="24"/>
          <w:lang w:eastAsia="en-US"/>
        </w:rPr>
        <w:t xml:space="preserve">): </w:t>
      </w:r>
      <w:r w:rsidRPr="0086613C">
        <w:rPr>
          <w:rFonts w:ascii="Book Antiqua" w:eastAsia="Book Antiqua" w:hAnsi="Book Antiqua" w:cs="Book Antiqua"/>
          <w:color w:val="000000"/>
          <w:kern w:val="0"/>
          <w:sz w:val="24"/>
          <w:szCs w:val="24"/>
          <w:lang w:eastAsia="en-US"/>
        </w:rPr>
        <w:t>1014-1030</w:t>
      </w:r>
      <w:r w:rsidR="00C34115" w:rsidRPr="00C34115">
        <w:rPr>
          <w:rFonts w:ascii="Book Antiqua" w:eastAsia="Book Antiqua" w:hAnsi="Book Antiqua" w:cs="Book Antiqua"/>
          <w:color w:val="000000"/>
          <w:kern w:val="0"/>
          <w:sz w:val="24"/>
          <w:szCs w:val="24"/>
          <w:lang w:eastAsia="en-US"/>
        </w:rPr>
        <w:t xml:space="preserve"> URL: https://www.wjgnet.com/1948-5204/full/v12/i</w:t>
      </w:r>
      <w:r w:rsidR="00C34115" w:rsidRPr="00C34115">
        <w:rPr>
          <w:rFonts w:ascii="Book Antiqua" w:eastAsia="宋体" w:hAnsi="Book Antiqua" w:cs="Book Antiqua" w:hint="eastAsia"/>
          <w:color w:val="000000"/>
          <w:kern w:val="0"/>
          <w:sz w:val="24"/>
          <w:szCs w:val="24"/>
        </w:rPr>
        <w:t>9</w:t>
      </w:r>
      <w:r w:rsidR="00C34115" w:rsidRPr="00C34115">
        <w:rPr>
          <w:rFonts w:ascii="Book Antiqua" w:eastAsia="Book Antiqua" w:hAnsi="Book Antiqua" w:cs="Book Antiqua"/>
          <w:color w:val="000000"/>
          <w:kern w:val="0"/>
          <w:sz w:val="24"/>
          <w:szCs w:val="24"/>
          <w:lang w:eastAsia="en-US"/>
        </w:rPr>
        <w:t>/</w:t>
      </w:r>
      <w:r w:rsidRPr="0086613C">
        <w:rPr>
          <w:rFonts w:ascii="Book Antiqua" w:eastAsia="Book Antiqua" w:hAnsi="Book Antiqua" w:cs="Book Antiqua"/>
          <w:color w:val="000000"/>
          <w:kern w:val="0"/>
          <w:sz w:val="24"/>
          <w:szCs w:val="24"/>
          <w:lang w:eastAsia="en-US"/>
        </w:rPr>
        <w:t>1014</w:t>
      </w:r>
      <w:r w:rsidR="00C34115" w:rsidRPr="00C34115">
        <w:rPr>
          <w:rFonts w:ascii="Book Antiqua" w:eastAsia="Book Antiqua" w:hAnsi="Book Antiqua" w:cs="Book Antiqua"/>
          <w:color w:val="000000"/>
          <w:kern w:val="0"/>
          <w:sz w:val="24"/>
          <w:szCs w:val="24"/>
          <w:lang w:eastAsia="en-US"/>
        </w:rPr>
        <w:t>.htm DOI: https://dx.doi.org/10.4251/wjgo.v12.i</w:t>
      </w:r>
      <w:r w:rsidR="00C34115" w:rsidRPr="00C34115">
        <w:rPr>
          <w:rFonts w:ascii="Book Antiqua" w:eastAsia="宋体" w:hAnsi="Book Antiqua" w:cs="Book Antiqua" w:hint="eastAsia"/>
          <w:color w:val="000000"/>
          <w:kern w:val="0"/>
          <w:sz w:val="24"/>
          <w:szCs w:val="24"/>
        </w:rPr>
        <w:t>9</w:t>
      </w:r>
      <w:r w:rsidR="00C34115" w:rsidRPr="00C34115">
        <w:rPr>
          <w:rFonts w:ascii="Book Antiqua" w:eastAsia="Book Antiqua" w:hAnsi="Book Antiqua" w:cs="Book Antiqua"/>
          <w:color w:val="000000"/>
          <w:kern w:val="0"/>
          <w:sz w:val="24"/>
          <w:szCs w:val="24"/>
          <w:lang w:eastAsia="en-US"/>
        </w:rPr>
        <w:t>.</w:t>
      </w:r>
      <w:r w:rsidRPr="0086613C">
        <w:rPr>
          <w:rFonts w:ascii="Book Antiqua" w:eastAsia="Book Antiqua" w:hAnsi="Book Antiqua" w:cs="Book Antiqua"/>
          <w:color w:val="000000"/>
          <w:kern w:val="0"/>
          <w:sz w:val="24"/>
          <w:szCs w:val="24"/>
          <w:lang w:eastAsia="en-US"/>
        </w:rPr>
        <w:t xml:space="preserve"> </w:t>
      </w:r>
      <w:r w:rsidRPr="0086613C">
        <w:rPr>
          <w:rFonts w:ascii="Book Antiqua" w:eastAsia="Book Antiqua" w:hAnsi="Book Antiqua" w:cs="Book Antiqua"/>
          <w:color w:val="000000"/>
          <w:kern w:val="0"/>
          <w:sz w:val="24"/>
          <w:szCs w:val="24"/>
          <w:lang w:eastAsia="en-US"/>
        </w:rPr>
        <w:t>1014</w:t>
      </w:r>
      <w:bookmarkStart w:id="8" w:name="_GoBack"/>
      <w:bookmarkEnd w:id="8"/>
    </w:p>
    <w:bookmarkEnd w:id="6"/>
    <w:bookmarkEnd w:id="7"/>
    <w:p w14:paraId="74C6BCB3" w14:textId="77777777" w:rsidR="00182394" w:rsidRPr="00F469F1" w:rsidRDefault="00182394" w:rsidP="00F469F1">
      <w:pPr>
        <w:widowControl/>
        <w:snapToGrid w:val="0"/>
        <w:spacing w:line="360" w:lineRule="auto"/>
        <w:rPr>
          <w:rFonts w:ascii="Book Antiqua" w:eastAsia="宋体" w:hAnsi="Book Antiqua" w:cs="Times New Roman"/>
          <w:sz w:val="24"/>
          <w:szCs w:val="24"/>
        </w:rPr>
      </w:pPr>
    </w:p>
    <w:p w14:paraId="46235584" w14:textId="0DFDCFFE" w:rsidR="00A230AF" w:rsidRPr="00F469F1" w:rsidRDefault="00BC42C3" w:rsidP="00F469F1">
      <w:pPr>
        <w:widowControl/>
        <w:snapToGrid w:val="0"/>
        <w:spacing w:line="360" w:lineRule="auto"/>
        <w:rPr>
          <w:rFonts w:ascii="Book Antiqua" w:eastAsia="宋体" w:hAnsi="Book Antiqua" w:cs="Times New Roman"/>
          <w:sz w:val="24"/>
          <w:szCs w:val="24"/>
        </w:rPr>
      </w:pPr>
      <w:r w:rsidRPr="00F469F1">
        <w:rPr>
          <w:rFonts w:ascii="Book Antiqua" w:hAnsi="Book Antiqua"/>
          <w:b/>
          <w:sz w:val="24"/>
          <w:szCs w:val="24"/>
        </w:rPr>
        <w:t xml:space="preserve">Core </w:t>
      </w:r>
      <w:r w:rsidR="0086613C">
        <w:rPr>
          <w:rFonts w:ascii="Book Antiqua" w:hAnsi="Book Antiqua" w:hint="eastAsia"/>
          <w:b/>
          <w:sz w:val="24"/>
          <w:szCs w:val="24"/>
        </w:rPr>
        <w:t>T</w:t>
      </w:r>
      <w:r w:rsidRPr="00F469F1">
        <w:rPr>
          <w:rFonts w:ascii="Book Antiqua" w:hAnsi="Book Antiqua"/>
          <w:b/>
          <w:sz w:val="24"/>
          <w:szCs w:val="24"/>
        </w:rPr>
        <w:t xml:space="preserve">ip: </w:t>
      </w:r>
      <w:bookmarkStart w:id="9" w:name="OLE_LINK11"/>
      <w:bookmarkStart w:id="10" w:name="OLE_LINK12"/>
      <w:bookmarkStart w:id="11" w:name="OLE_LINK6"/>
      <w:bookmarkStart w:id="12" w:name="OLE_LINK7"/>
      <w:r w:rsidR="00A230AF" w:rsidRPr="00F469F1">
        <w:rPr>
          <w:rFonts w:ascii="Book Antiqua" w:eastAsia="宋体" w:hAnsi="Book Antiqua" w:cs="Times New Roman"/>
          <w:sz w:val="24"/>
          <w:szCs w:val="24"/>
        </w:rPr>
        <w:t xml:space="preserve">We </w:t>
      </w:r>
      <w:r w:rsidR="00667941" w:rsidRPr="00F469F1">
        <w:rPr>
          <w:rFonts w:ascii="Book Antiqua" w:eastAsia="宋体" w:hAnsi="Book Antiqua" w:cs="Times New Roman"/>
          <w:sz w:val="24"/>
          <w:szCs w:val="24"/>
        </w:rPr>
        <w:t>assessed</w:t>
      </w:r>
      <w:r w:rsidR="00A230AF" w:rsidRPr="00F469F1">
        <w:rPr>
          <w:rFonts w:ascii="Book Antiqua" w:hAnsi="Book Antiqua" w:cs="Times New Roman"/>
          <w:sz w:val="24"/>
          <w:szCs w:val="24"/>
        </w:rPr>
        <w:t xml:space="preserve"> </w:t>
      </w:r>
      <w:r w:rsidR="00A230AF" w:rsidRPr="00F469F1">
        <w:rPr>
          <w:rFonts w:ascii="Book Antiqua" w:eastAsia="宋体" w:hAnsi="Book Antiqua" w:cs="Times New Roman"/>
          <w:sz w:val="24"/>
          <w:szCs w:val="24"/>
        </w:rPr>
        <w:t>the prognostic value of gamma-</w:t>
      </w:r>
      <w:proofErr w:type="spellStart"/>
      <w:r w:rsidR="00A230AF" w:rsidRPr="00F469F1">
        <w:rPr>
          <w:rFonts w:ascii="Book Antiqua" w:eastAsia="宋体" w:hAnsi="Book Antiqua" w:cs="Times New Roman"/>
          <w:sz w:val="24"/>
          <w:szCs w:val="24"/>
        </w:rPr>
        <w:t>glutamyl</w:t>
      </w:r>
      <w:proofErr w:type="spellEnd"/>
      <w:r w:rsidR="00A230AF" w:rsidRPr="00F469F1">
        <w:rPr>
          <w:rFonts w:ascii="Book Antiqua" w:eastAsia="宋体" w:hAnsi="Book Antiqua" w:cs="Times New Roman"/>
          <w:sz w:val="24"/>
          <w:szCs w:val="24"/>
        </w:rPr>
        <w:t xml:space="preserve"> </w:t>
      </w:r>
      <w:r w:rsidR="00350F47" w:rsidRPr="00F469F1">
        <w:rPr>
          <w:rFonts w:ascii="Book Antiqua" w:eastAsia="宋体" w:hAnsi="Book Antiqua" w:cs="Times New Roman"/>
          <w:sz w:val="24"/>
          <w:szCs w:val="24"/>
        </w:rPr>
        <w:t>transferase</w:t>
      </w:r>
      <w:r w:rsidR="00350F47">
        <w:rPr>
          <w:rFonts w:ascii="Book Antiqua" w:eastAsia="宋体" w:hAnsi="Book Antiqua" w:cs="Times New Roman"/>
          <w:sz w:val="24"/>
          <w:szCs w:val="24"/>
        </w:rPr>
        <w:t>-</w:t>
      </w:r>
      <w:r w:rsidR="00A230AF" w:rsidRPr="00F469F1">
        <w:rPr>
          <w:rFonts w:ascii="Book Antiqua" w:eastAsia="宋体" w:hAnsi="Book Antiqua" w:cs="Times New Roman"/>
          <w:sz w:val="24"/>
          <w:szCs w:val="24"/>
        </w:rPr>
        <w:t>to</w:t>
      </w:r>
      <w:r w:rsidR="00350F47">
        <w:rPr>
          <w:rFonts w:ascii="Book Antiqua" w:eastAsia="宋体" w:hAnsi="Book Antiqua" w:cs="Times New Roman"/>
          <w:sz w:val="24"/>
          <w:szCs w:val="24"/>
        </w:rPr>
        <w:t>-</w:t>
      </w:r>
      <w:r w:rsidR="00A230AF" w:rsidRPr="00F469F1">
        <w:rPr>
          <w:rFonts w:ascii="Book Antiqua" w:eastAsia="宋体" w:hAnsi="Book Antiqua" w:cs="Times New Roman"/>
          <w:sz w:val="24"/>
          <w:szCs w:val="24"/>
        </w:rPr>
        <w:t>platelet ratio (GPR) and designed a prognostic nomogram for gallbladder carcinoma</w:t>
      </w:r>
      <w:r w:rsidR="00E473FB" w:rsidRPr="00F469F1">
        <w:rPr>
          <w:rFonts w:ascii="Book Antiqua" w:eastAsia="宋体" w:hAnsi="Book Antiqua" w:cs="Times New Roman"/>
          <w:sz w:val="24"/>
          <w:szCs w:val="24"/>
        </w:rPr>
        <w:t xml:space="preserve"> (GBC)</w:t>
      </w:r>
      <w:r w:rsidR="00A230AF" w:rsidRPr="00F469F1">
        <w:rPr>
          <w:rFonts w:ascii="Book Antiqua" w:eastAsia="宋体" w:hAnsi="Book Antiqua" w:cs="Times New Roman"/>
          <w:sz w:val="24"/>
          <w:szCs w:val="24"/>
        </w:rPr>
        <w:t>. We retrospective</w:t>
      </w:r>
      <w:r w:rsidR="00130720" w:rsidRPr="00F469F1">
        <w:rPr>
          <w:rFonts w:ascii="Book Antiqua" w:eastAsia="宋体" w:hAnsi="Book Antiqua" w:cs="Times New Roman"/>
          <w:sz w:val="24"/>
          <w:szCs w:val="24"/>
        </w:rPr>
        <w:t>ly</w:t>
      </w:r>
      <w:r w:rsidR="00A230AF" w:rsidRPr="00F469F1">
        <w:rPr>
          <w:rFonts w:ascii="Book Antiqua" w:eastAsia="宋体" w:hAnsi="Book Antiqua" w:cs="Times New Roman"/>
          <w:sz w:val="24"/>
          <w:szCs w:val="24"/>
        </w:rPr>
        <w:t xml:space="preserve"> evaluated a group of 130 patients with </w:t>
      </w:r>
      <w:r w:rsidR="00350F47" w:rsidRPr="00F469F1">
        <w:rPr>
          <w:rFonts w:ascii="Book Antiqua" w:eastAsia="宋体" w:hAnsi="Book Antiqua" w:cs="Times New Roman"/>
          <w:sz w:val="24"/>
          <w:szCs w:val="24"/>
        </w:rPr>
        <w:t>GBC</w:t>
      </w:r>
      <w:r w:rsidR="00350F47" w:rsidRPr="00F469F1" w:rsidDel="00350F47">
        <w:rPr>
          <w:rFonts w:ascii="Book Antiqua" w:eastAsia="宋体" w:hAnsi="Book Antiqua" w:cs="Times New Roman"/>
          <w:sz w:val="24"/>
          <w:szCs w:val="24"/>
        </w:rPr>
        <w:t xml:space="preserve"> </w:t>
      </w:r>
      <w:r w:rsidR="00A230AF" w:rsidRPr="00F469F1">
        <w:rPr>
          <w:rFonts w:ascii="Book Antiqua" w:eastAsia="宋体" w:hAnsi="Book Antiqua" w:cs="Times New Roman"/>
          <w:sz w:val="24"/>
          <w:szCs w:val="24"/>
        </w:rPr>
        <w:t xml:space="preserve">who underwent resection with </w:t>
      </w:r>
      <w:r w:rsidR="001B0684" w:rsidRPr="00F469F1">
        <w:rPr>
          <w:rFonts w:ascii="Book Antiqua" w:eastAsia="宋体" w:hAnsi="Book Antiqua" w:cs="Times New Roman"/>
          <w:sz w:val="24"/>
          <w:szCs w:val="24"/>
        </w:rPr>
        <w:t>e</w:t>
      </w:r>
      <w:r w:rsidR="00A230AF" w:rsidRPr="00F469F1">
        <w:rPr>
          <w:rFonts w:ascii="Book Antiqua" w:eastAsia="宋体" w:hAnsi="Book Antiqua" w:cs="Times New Roman"/>
          <w:sz w:val="24"/>
          <w:szCs w:val="24"/>
        </w:rPr>
        <w:t xml:space="preserve">ither </w:t>
      </w:r>
      <w:r w:rsidR="00350F47">
        <w:rPr>
          <w:rFonts w:ascii="Book Antiqua" w:eastAsia="宋体" w:hAnsi="Book Antiqua" w:cs="Times New Roman"/>
          <w:sz w:val="24"/>
          <w:szCs w:val="24"/>
        </w:rPr>
        <w:t xml:space="preserve">a </w:t>
      </w:r>
      <w:r w:rsidR="00A230AF" w:rsidRPr="00F469F1">
        <w:rPr>
          <w:rFonts w:ascii="Book Antiqua" w:eastAsia="宋体" w:hAnsi="Book Antiqua" w:cs="Times New Roman"/>
          <w:sz w:val="24"/>
          <w:szCs w:val="24"/>
        </w:rPr>
        <w:t xml:space="preserve">high or low level of GPR. We </w:t>
      </w:r>
      <w:r w:rsidR="00667941" w:rsidRPr="00F469F1">
        <w:rPr>
          <w:rFonts w:ascii="Book Antiqua" w:eastAsia="宋体" w:hAnsi="Book Antiqua" w:cs="Times New Roman"/>
          <w:sz w:val="24"/>
          <w:szCs w:val="24"/>
        </w:rPr>
        <w:t>propos</w:t>
      </w:r>
      <w:r w:rsidR="00A230AF" w:rsidRPr="00F469F1">
        <w:rPr>
          <w:rFonts w:ascii="Book Antiqua" w:eastAsia="宋体" w:hAnsi="Book Antiqua" w:cs="Times New Roman"/>
          <w:sz w:val="24"/>
          <w:szCs w:val="24"/>
        </w:rPr>
        <w:t xml:space="preserve">ed that GPR </w:t>
      </w:r>
      <w:r w:rsidR="00350F47">
        <w:rPr>
          <w:rFonts w:ascii="Book Antiqua" w:eastAsia="宋体" w:hAnsi="Book Antiqua" w:cs="Times New Roman"/>
          <w:sz w:val="24"/>
          <w:szCs w:val="24"/>
        </w:rPr>
        <w:t>i</w:t>
      </w:r>
      <w:r w:rsidR="00350F47" w:rsidRPr="00F469F1">
        <w:rPr>
          <w:rFonts w:ascii="Book Antiqua" w:eastAsia="宋体" w:hAnsi="Book Antiqua" w:cs="Times New Roman"/>
          <w:sz w:val="24"/>
          <w:szCs w:val="24"/>
        </w:rPr>
        <w:t xml:space="preserve">s </w:t>
      </w:r>
      <w:r w:rsidR="00A230AF" w:rsidRPr="00F469F1">
        <w:rPr>
          <w:rFonts w:ascii="Book Antiqua" w:eastAsia="宋体" w:hAnsi="Book Antiqua" w:cs="Times New Roman"/>
          <w:sz w:val="24"/>
          <w:szCs w:val="24"/>
        </w:rPr>
        <w:t xml:space="preserve">an independent predictor of GBC prognosis, and nomogram-integrated GPR is a promising predictive model for </w:t>
      </w:r>
      <w:r w:rsidR="00A0392A" w:rsidRPr="00F469F1">
        <w:rPr>
          <w:rFonts w:ascii="Book Antiqua" w:eastAsia="宋体" w:hAnsi="Book Antiqua" w:cs="Times New Roman"/>
          <w:sz w:val="24"/>
          <w:szCs w:val="24"/>
        </w:rPr>
        <w:t>overall survival</w:t>
      </w:r>
      <w:r w:rsidR="00A230AF" w:rsidRPr="00F469F1">
        <w:rPr>
          <w:rFonts w:ascii="Book Antiqua" w:eastAsia="宋体" w:hAnsi="Book Antiqua" w:cs="Times New Roman"/>
          <w:sz w:val="24"/>
          <w:szCs w:val="24"/>
        </w:rPr>
        <w:t xml:space="preserve"> in GBC</w:t>
      </w:r>
      <w:r w:rsidR="004B1D74" w:rsidRPr="00F469F1">
        <w:rPr>
          <w:rFonts w:ascii="Book Antiqua" w:eastAsia="宋体" w:hAnsi="Book Antiqua" w:cs="Times New Roman"/>
          <w:sz w:val="24"/>
          <w:szCs w:val="24"/>
        </w:rPr>
        <w:t xml:space="preserve"> patients</w:t>
      </w:r>
      <w:r w:rsidR="00A230AF" w:rsidRPr="00F469F1">
        <w:rPr>
          <w:rFonts w:ascii="Book Antiqua" w:eastAsia="宋体" w:hAnsi="Book Antiqua" w:cs="Times New Roman"/>
          <w:sz w:val="24"/>
          <w:szCs w:val="24"/>
        </w:rPr>
        <w:t>.</w:t>
      </w:r>
    </w:p>
    <w:bookmarkEnd w:id="9"/>
    <w:bookmarkEnd w:id="10"/>
    <w:p w14:paraId="76C5EFBD" w14:textId="77777777" w:rsidR="000F099D" w:rsidRPr="00F469F1" w:rsidRDefault="000F099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bookmarkEnd w:id="11"/>
    <w:bookmarkEnd w:id="12"/>
    <w:p w14:paraId="4D51D9CA"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lastRenderedPageBreak/>
        <w:t>INTRODUCTION</w:t>
      </w:r>
    </w:p>
    <w:p w14:paraId="4DC2B1D8" w14:textId="6994A706" w:rsidR="00E8236D" w:rsidRPr="00F469F1" w:rsidRDefault="00E8236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Gallbladder carcinoma (GBC) is the most common malignancy of the biliary </w:t>
      </w:r>
      <w:proofErr w:type="gramStart"/>
      <w:r w:rsidRPr="00F469F1">
        <w:rPr>
          <w:rFonts w:ascii="Book Antiqua" w:eastAsia="宋体" w:hAnsi="Book Antiqua" w:cs="Times New Roman"/>
          <w:sz w:val="24"/>
          <w:szCs w:val="24"/>
        </w:rPr>
        <w:t>tract</w:t>
      </w:r>
      <w:r w:rsidR="00534105" w:rsidRPr="00F469F1">
        <w:rPr>
          <w:rFonts w:ascii="Book Antiqua" w:eastAsia="宋体" w:hAnsi="Book Antiqua" w:cs="Times New Roman"/>
          <w:noProof/>
          <w:sz w:val="24"/>
          <w:szCs w:val="24"/>
          <w:vertAlign w:val="superscript"/>
        </w:rPr>
        <w:t>[</w:t>
      </w:r>
      <w:proofErr w:type="gramEnd"/>
      <w:r w:rsidR="00534105" w:rsidRPr="00F469F1">
        <w:rPr>
          <w:rFonts w:ascii="Book Antiqua" w:eastAsia="宋体" w:hAnsi="Book Antiqua" w:cs="Times New Roman"/>
          <w:noProof/>
          <w:sz w:val="24"/>
          <w:szCs w:val="24"/>
          <w:vertAlign w:val="superscript"/>
        </w:rPr>
        <w:t>1,</w:t>
      </w:r>
      <w:r w:rsidR="000A642C" w:rsidRPr="00F469F1">
        <w:rPr>
          <w:rFonts w:ascii="Book Antiqua" w:eastAsia="宋体" w:hAnsi="Book Antiqua" w:cs="Times New Roman"/>
          <w:noProof/>
          <w:sz w:val="24"/>
          <w:szCs w:val="24"/>
          <w:vertAlign w:val="superscript"/>
        </w:rPr>
        <w:t>2]</w:t>
      </w:r>
      <w:r w:rsidRPr="00F469F1">
        <w:rPr>
          <w:rFonts w:ascii="Book Antiqua" w:eastAsia="宋体" w:hAnsi="Book Antiqua" w:cs="Times New Roman"/>
          <w:sz w:val="24"/>
          <w:szCs w:val="24"/>
        </w:rPr>
        <w:t xml:space="preserve">, and accounts for 1% of the cancer incidence in China. The early symptoms of GBC are easily confused with those of chronic cholecystitis and </w:t>
      </w:r>
      <w:proofErr w:type="spellStart"/>
      <w:proofErr w:type="gramStart"/>
      <w:r w:rsidRPr="00F469F1">
        <w:rPr>
          <w:rFonts w:ascii="Book Antiqua" w:eastAsia="宋体" w:hAnsi="Book Antiqua" w:cs="Times New Roman"/>
          <w:sz w:val="24"/>
          <w:szCs w:val="24"/>
        </w:rPr>
        <w:t>cholelithiasis</w:t>
      </w:r>
      <w:proofErr w:type="spellEnd"/>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3]</w:t>
      </w:r>
      <w:r w:rsidRPr="00F469F1">
        <w:rPr>
          <w:rFonts w:ascii="Book Antiqua" w:eastAsia="宋体" w:hAnsi="Book Antiqua" w:cs="Times New Roman"/>
          <w:sz w:val="24"/>
          <w:szCs w:val="24"/>
        </w:rPr>
        <w:t xml:space="preserve">, so patients are likely to have reached the advanced stage of GBC upon diagnosis. Being insensitive to chemotherapy and radiotherapy and with no effective </w:t>
      </w:r>
      <w:proofErr w:type="gramStart"/>
      <w:r w:rsidRPr="00F469F1">
        <w:rPr>
          <w:rFonts w:ascii="Book Antiqua" w:eastAsia="宋体" w:hAnsi="Book Antiqua" w:cs="Times New Roman"/>
          <w:sz w:val="24"/>
          <w:szCs w:val="24"/>
        </w:rPr>
        <w:t>drugs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w:t>
      </w:r>
      <w:r w:rsidRPr="00F469F1">
        <w:rPr>
          <w:rFonts w:ascii="Book Antiqua" w:eastAsia="宋体" w:hAnsi="Book Antiqua" w:cs="Times New Roman"/>
          <w:sz w:val="24"/>
          <w:szCs w:val="24"/>
        </w:rPr>
        <w:t>, the prognostic outcomes of GBC remain poor, and the 5-year survival rate is less than 5%</w:t>
      </w:r>
      <w:r w:rsidR="000A642C" w:rsidRPr="00F469F1">
        <w:rPr>
          <w:rFonts w:ascii="Book Antiqua" w:eastAsia="宋体" w:hAnsi="Book Antiqua" w:cs="Times New Roman"/>
          <w:noProof/>
          <w:sz w:val="24"/>
          <w:szCs w:val="24"/>
          <w:vertAlign w:val="superscript"/>
        </w:rPr>
        <w:t>[4]</w:t>
      </w:r>
      <w:r w:rsidRPr="00F469F1">
        <w:rPr>
          <w:rFonts w:ascii="Book Antiqua" w:eastAsia="宋体" w:hAnsi="Book Antiqua" w:cs="Times New Roman"/>
          <w:sz w:val="24"/>
          <w:szCs w:val="24"/>
        </w:rPr>
        <w:t>. Therefore, there remains an unmet need for a more accurate patient stratification system to inform clinical decision</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making </w:t>
      </w:r>
      <w:r w:rsidR="00125594">
        <w:rPr>
          <w:rFonts w:ascii="Book Antiqua" w:eastAsia="宋体" w:hAnsi="Book Antiqua" w:cs="Times New Roman"/>
          <w:sz w:val="24"/>
          <w:szCs w:val="24"/>
        </w:rPr>
        <w:t xml:space="preserve">and </w:t>
      </w:r>
      <w:r w:rsidR="00125594" w:rsidRPr="00F469F1">
        <w:rPr>
          <w:rFonts w:ascii="Book Antiqua" w:eastAsia="宋体" w:hAnsi="Book Antiqua" w:cs="Times New Roman"/>
          <w:sz w:val="24"/>
          <w:szCs w:val="24"/>
        </w:rPr>
        <w:t>provid</w:t>
      </w:r>
      <w:r w:rsidR="00125594">
        <w:rPr>
          <w:rFonts w:ascii="Book Antiqua" w:eastAsia="宋体" w:hAnsi="Book Antiqua" w:cs="Times New Roman"/>
          <w:sz w:val="24"/>
          <w:szCs w:val="24"/>
        </w:rPr>
        <w:t>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the rationale for designing trials, and this stratification strategy requires a prognosis prediction model as an important reference.</w:t>
      </w:r>
    </w:p>
    <w:p w14:paraId="412D8A7A" w14:textId="11DAD723"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Previously, the most commonly used prognostic factor was tumor–node–metastasis (TNM) staging defined by the American Joint Committee on Cancer (AJCC) (8</w:t>
      </w:r>
      <w:r w:rsidRPr="00F469F1">
        <w:rPr>
          <w:rFonts w:ascii="Book Antiqua" w:eastAsia="宋体" w:hAnsi="Book Antiqua" w:cs="Times New Roman"/>
          <w:sz w:val="24"/>
          <w:szCs w:val="24"/>
          <w:vertAlign w:val="superscript"/>
        </w:rPr>
        <w:t>th</w:t>
      </w:r>
      <w:r w:rsidRPr="00F469F1">
        <w:rPr>
          <w:rFonts w:ascii="Book Antiqua" w:eastAsia="宋体" w:hAnsi="Book Antiqua" w:cs="Times New Roman"/>
          <w:sz w:val="24"/>
          <w:szCs w:val="24"/>
        </w:rPr>
        <w:t xml:space="preserve"> edition</w:t>
      </w:r>
      <w:proofErr w:type="gramStart"/>
      <w:r w:rsidRPr="00F469F1">
        <w:rPr>
          <w:rFonts w:ascii="Book Antiqua" w:eastAsia="宋体" w:hAnsi="Book Antiqua" w:cs="Times New Roman"/>
          <w:sz w:val="24"/>
          <w:szCs w:val="24"/>
        </w:rPr>
        <w:t>)</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5]</w:t>
      </w:r>
      <w:r w:rsidRPr="00F469F1">
        <w:rPr>
          <w:rFonts w:ascii="Book Antiqua" w:eastAsia="宋体" w:hAnsi="Book Antiqua" w:cs="Times New Roman"/>
          <w:sz w:val="24"/>
          <w:szCs w:val="24"/>
        </w:rPr>
        <w:t xml:space="preserve">. TNM staging ranks the degree of cancer by scoring the tumor, involved lymph nodes, and the presence or absence of metastasis. This method was developed for general cancer diagnosis and lacks personalized prediction for individual patients. Other inflammatory markers such as neutrophil–to–lymphocyte ratio (NLR) and monocyte–to–lymphocyte ratio (MLR) have been tested for their predictive value, but these ratios are limited to certain </w:t>
      </w:r>
      <w:proofErr w:type="gramStart"/>
      <w:r w:rsidRPr="00F469F1">
        <w:rPr>
          <w:rFonts w:ascii="Book Antiqua" w:eastAsia="宋体" w:hAnsi="Book Antiqua" w:cs="Times New Roman"/>
          <w:sz w:val="24"/>
          <w:szCs w:val="24"/>
        </w:rPr>
        <w:t>cancers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6]</w:t>
      </w:r>
      <w:r w:rsidRPr="00F469F1">
        <w:rPr>
          <w:rFonts w:ascii="Book Antiqua" w:eastAsia="宋体" w:hAnsi="Book Antiqua" w:cs="Times New Roman"/>
          <w:sz w:val="24"/>
          <w:szCs w:val="24"/>
        </w:rPr>
        <w:t>. There is an urgent need for a cost-effective prognostic prediction method for GBC patients.</w:t>
      </w:r>
    </w:p>
    <w:p w14:paraId="0B265073" w14:textId="09747D8A" w:rsidR="00E8236D" w:rsidRPr="00F469F1" w:rsidRDefault="00F51AD3"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Recently, Wang</w:t>
      </w:r>
      <w:r w:rsidR="00E8236D" w:rsidRPr="00F469F1">
        <w:rPr>
          <w:rFonts w:ascii="Book Antiqua" w:eastAsia="宋体" w:hAnsi="Book Antiqua" w:cs="Times New Roman"/>
          <w:sz w:val="24"/>
          <w:szCs w:val="24"/>
        </w:rPr>
        <w:t xml:space="preserve">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Pr="00F469F1">
        <w:rPr>
          <w:rFonts w:ascii="Book Antiqua" w:eastAsia="宋体" w:hAnsi="Book Antiqua" w:cs="Times New Roman"/>
          <w:sz w:val="24"/>
          <w:szCs w:val="24"/>
          <w:vertAlign w:val="superscript"/>
        </w:rPr>
        <w:t>[</w:t>
      </w:r>
      <w:proofErr w:type="gramEnd"/>
      <w:r w:rsidRPr="00F469F1">
        <w:rPr>
          <w:rFonts w:ascii="Book Antiqua" w:eastAsia="宋体" w:hAnsi="Book Antiqua" w:cs="Times New Roman"/>
          <w:sz w:val="24"/>
          <w:szCs w:val="24"/>
          <w:vertAlign w:val="superscript"/>
        </w:rPr>
        <w:t>8]</w:t>
      </w:r>
      <w:r w:rsidR="00E8236D" w:rsidRPr="00F469F1">
        <w:rPr>
          <w:rFonts w:ascii="Book Antiqua" w:eastAsia="宋体" w:hAnsi="Book Antiqua" w:cs="Times New Roman"/>
          <w:sz w:val="24"/>
          <w:szCs w:val="24"/>
        </w:rPr>
        <w:t xml:space="preserve"> developed a clinical prognostic index for hepatocellular carcinoma (HCC), the gamma-</w:t>
      </w:r>
      <w:proofErr w:type="spellStart"/>
      <w:r w:rsidR="00E8236D" w:rsidRPr="00F469F1">
        <w:rPr>
          <w:rFonts w:ascii="Book Antiqua" w:eastAsia="宋体" w:hAnsi="Book Antiqua" w:cs="Times New Roman"/>
          <w:sz w:val="24"/>
          <w:szCs w:val="24"/>
        </w:rPr>
        <w:t>glutamyl</w:t>
      </w:r>
      <w:proofErr w:type="spellEnd"/>
      <w:r w:rsidR="00E8236D" w:rsidRPr="00F469F1">
        <w:rPr>
          <w:rFonts w:ascii="Book Antiqua" w:eastAsia="宋体" w:hAnsi="Book Antiqua" w:cs="Times New Roman"/>
          <w:sz w:val="24"/>
          <w:szCs w:val="24"/>
        </w:rPr>
        <w:t xml:space="preserve"> transferase–to–platelet ratio (GPR). GPR was first proposed in 2014 as an inflammatory factor influenci</w:t>
      </w:r>
      <w:r w:rsidR="00534105" w:rsidRPr="00F469F1">
        <w:rPr>
          <w:rFonts w:ascii="Book Antiqua" w:eastAsia="宋体" w:hAnsi="Book Antiqua" w:cs="Times New Roman"/>
          <w:sz w:val="24"/>
          <w:szCs w:val="24"/>
        </w:rPr>
        <w:t xml:space="preserve">ng liver fibrosis and </w:t>
      </w:r>
      <w:proofErr w:type="gramStart"/>
      <w:r w:rsidR="00534105" w:rsidRPr="00F469F1">
        <w:rPr>
          <w:rFonts w:ascii="Book Antiqua" w:eastAsia="宋体" w:hAnsi="Book Antiqua" w:cs="Times New Roman"/>
          <w:sz w:val="24"/>
          <w:szCs w:val="24"/>
        </w:rPr>
        <w:t>cirrhosis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7]</w:t>
      </w:r>
      <w:r w:rsidR="00E8236D" w:rsidRPr="00F469F1">
        <w:rPr>
          <w:rFonts w:ascii="Book Antiqua" w:eastAsia="宋体" w:hAnsi="Book Antiqua" w:cs="Times New Roman"/>
          <w:sz w:val="24"/>
          <w:szCs w:val="24"/>
        </w:rPr>
        <w:t xml:space="preserve">, and further studies on GPR indicated ideal predictive ability for HCC. In </w:t>
      </w:r>
      <w:r w:rsidRPr="00F469F1">
        <w:rPr>
          <w:rFonts w:ascii="Book Antiqua" w:eastAsia="宋体" w:hAnsi="Book Antiqua" w:cs="Times New Roman"/>
          <w:sz w:val="24"/>
          <w:szCs w:val="24"/>
        </w:rPr>
        <w:t>2016, Wang</w:t>
      </w:r>
      <w:r w:rsidR="00E8236D" w:rsidRPr="00F469F1">
        <w:rPr>
          <w:rFonts w:ascii="Book Antiqua" w:eastAsia="宋体" w:hAnsi="Book Antiqua" w:cs="Times New Roman"/>
          <w:sz w:val="24"/>
          <w:szCs w:val="24"/>
        </w:rPr>
        <w:t xml:space="preserve"> </w:t>
      </w:r>
      <w:r w:rsidR="00E8236D" w:rsidRPr="00F469F1">
        <w:rPr>
          <w:rFonts w:ascii="Book Antiqua" w:eastAsia="宋体" w:hAnsi="Book Antiqua" w:cs="Times New Roman"/>
          <w:i/>
          <w:sz w:val="24"/>
          <w:szCs w:val="24"/>
        </w:rPr>
        <w:t xml:space="preserve">et </w:t>
      </w:r>
      <w:proofErr w:type="gramStart"/>
      <w:r w:rsidR="00E8236D" w:rsidRPr="00F469F1">
        <w:rPr>
          <w:rFonts w:ascii="Book Antiqua" w:eastAsia="宋体" w:hAnsi="Book Antiqua" w:cs="Times New Roman"/>
          <w:i/>
          <w:sz w:val="24"/>
          <w:szCs w:val="24"/>
        </w:rPr>
        <w:t>al</w:t>
      </w:r>
      <w:r w:rsidR="00534105" w:rsidRPr="00F469F1">
        <w:rPr>
          <w:rFonts w:ascii="Book Antiqua" w:eastAsia="宋体" w:hAnsi="Book Antiqua" w:cs="Times New Roman"/>
          <w:noProof/>
          <w:sz w:val="24"/>
          <w:szCs w:val="24"/>
          <w:vertAlign w:val="superscript"/>
        </w:rPr>
        <w:t>[</w:t>
      </w:r>
      <w:proofErr w:type="gramEnd"/>
      <w:r w:rsidR="00534105" w:rsidRPr="00F469F1">
        <w:rPr>
          <w:rFonts w:ascii="Book Antiqua" w:eastAsia="宋体" w:hAnsi="Book Antiqua" w:cs="Times New Roman"/>
          <w:noProof/>
          <w:sz w:val="24"/>
          <w:szCs w:val="24"/>
          <w:vertAlign w:val="superscript"/>
        </w:rPr>
        <w:t>8]</w:t>
      </w:r>
      <w:r w:rsidR="00E8236D" w:rsidRPr="00F469F1">
        <w:rPr>
          <w:rFonts w:ascii="Book Antiqua" w:eastAsia="宋体" w:hAnsi="Book Antiqua" w:cs="Times New Roman"/>
          <w:sz w:val="24"/>
          <w:szCs w:val="24"/>
        </w:rPr>
        <w:t xml:space="preserve"> proposed the predictive value of GPR in patients with hepatitis B-related HCC after curative hepatic resection</w:t>
      </w:r>
      <w:r w:rsidR="000A642C" w:rsidRPr="00F469F1">
        <w:rPr>
          <w:rFonts w:ascii="Book Antiqua" w:eastAsia="宋体" w:hAnsi="Book Antiqua" w:cs="Times New Roman"/>
          <w:noProof/>
          <w:sz w:val="24"/>
          <w:szCs w:val="24"/>
          <w:vertAlign w:val="superscript"/>
        </w:rPr>
        <w:t>[8]</w:t>
      </w:r>
      <w:r w:rsidR="00E8236D" w:rsidRPr="00F469F1">
        <w:rPr>
          <w:rFonts w:ascii="Book Antiqua" w:eastAsia="宋体" w:hAnsi="Book Antiqua" w:cs="Times New Roman"/>
          <w:sz w:val="24"/>
          <w:szCs w:val="24"/>
        </w:rPr>
        <w:t xml:space="preserve">. Another study performed by Chiu, who developed a quality of life predictive model after surgical resection of HCC, also considered GPR an independent prognostic </w:t>
      </w:r>
      <w:proofErr w:type="gramStart"/>
      <w:r w:rsidR="00E8236D" w:rsidRPr="00F469F1">
        <w:rPr>
          <w:rFonts w:ascii="Book Antiqua" w:eastAsia="宋体" w:hAnsi="Book Antiqua" w:cs="Times New Roman"/>
          <w:sz w:val="24"/>
          <w:szCs w:val="24"/>
        </w:rPr>
        <w:t>factor</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9]</w:t>
      </w:r>
      <w:r w:rsidR="00E8236D" w:rsidRPr="00F469F1">
        <w:rPr>
          <w:rFonts w:ascii="Book Antiqua" w:eastAsia="宋体" w:hAnsi="Book Antiqua" w:cs="Times New Roman"/>
          <w:sz w:val="24"/>
          <w:szCs w:val="24"/>
        </w:rPr>
        <w:t xml:space="preserve">. According to evidence that both </w:t>
      </w:r>
      <w:r w:rsidR="00E8236D" w:rsidRPr="00F469F1">
        <w:rPr>
          <w:rFonts w:ascii="Book Antiqua" w:eastAsia="宋体" w:hAnsi="Book Antiqua" w:cs="Times New Roman"/>
          <w:sz w:val="24"/>
          <w:szCs w:val="24"/>
        </w:rPr>
        <w:lastRenderedPageBreak/>
        <w:t>gamma-</w:t>
      </w:r>
      <w:proofErr w:type="spellStart"/>
      <w:r w:rsidR="00E8236D" w:rsidRPr="00F469F1">
        <w:rPr>
          <w:rFonts w:ascii="Book Antiqua" w:eastAsia="宋体" w:hAnsi="Book Antiqua" w:cs="Times New Roman"/>
          <w:sz w:val="24"/>
          <w:szCs w:val="24"/>
        </w:rPr>
        <w:t>glutamyl</w:t>
      </w:r>
      <w:proofErr w:type="spellEnd"/>
      <w:r w:rsidR="00E8236D" w:rsidRPr="00F469F1">
        <w:rPr>
          <w:rFonts w:ascii="Book Antiqua" w:eastAsia="宋体" w:hAnsi="Book Antiqua" w:cs="Times New Roman"/>
          <w:sz w:val="24"/>
          <w:szCs w:val="24"/>
        </w:rPr>
        <w:t xml:space="preserve"> transferase (GGT</w:t>
      </w:r>
      <w:proofErr w:type="gramStart"/>
      <w:r w:rsidR="00E8236D" w:rsidRPr="00F469F1">
        <w:rPr>
          <w:rFonts w:ascii="Book Antiqua" w:eastAsia="宋体" w:hAnsi="Book Antiqua" w:cs="Times New Roman"/>
          <w:sz w:val="24"/>
          <w:szCs w:val="24"/>
        </w:rPr>
        <w:t>)</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10]</w:t>
      </w:r>
      <w:r w:rsidR="00E8236D" w:rsidRPr="00F469F1">
        <w:rPr>
          <w:rFonts w:ascii="Book Antiqua" w:eastAsia="宋体" w:hAnsi="Book Antiqua" w:cs="Times New Roman"/>
          <w:sz w:val="24"/>
          <w:szCs w:val="24"/>
        </w:rPr>
        <w:t xml:space="preserve"> and platelet count (PLT)</w:t>
      </w:r>
      <w:r w:rsidR="000A642C" w:rsidRPr="00F469F1">
        <w:rPr>
          <w:rFonts w:ascii="Book Antiqua" w:eastAsia="宋体" w:hAnsi="Book Antiqua" w:cs="Times New Roman"/>
          <w:noProof/>
          <w:sz w:val="24"/>
          <w:szCs w:val="24"/>
          <w:vertAlign w:val="superscript"/>
        </w:rPr>
        <w:t>[11]</w:t>
      </w:r>
      <w:r w:rsidR="00E8236D" w:rsidRPr="00F469F1">
        <w:rPr>
          <w:rFonts w:ascii="Book Antiqua" w:eastAsia="宋体" w:hAnsi="Book Antiqua" w:cs="Times New Roman"/>
          <w:sz w:val="24"/>
          <w:szCs w:val="24"/>
        </w:rPr>
        <w:t xml:space="preserve"> are proposed prognostic predictors </w:t>
      </w:r>
      <w:r w:rsidR="00125594">
        <w:rPr>
          <w:rFonts w:ascii="Book Antiqua" w:eastAsia="宋体" w:hAnsi="Book Antiqua" w:cs="Times New Roman"/>
          <w:sz w:val="24"/>
          <w:szCs w:val="24"/>
        </w:rPr>
        <w:t>of</w:t>
      </w:r>
      <w:r w:rsidR="00125594" w:rsidRPr="00F469F1">
        <w:rPr>
          <w:rFonts w:ascii="Book Antiqua" w:eastAsia="宋体" w:hAnsi="Book Antiqua" w:cs="Times New Roman"/>
          <w:sz w:val="24"/>
          <w:szCs w:val="24"/>
        </w:rPr>
        <w:t xml:space="preserve"> </w:t>
      </w:r>
      <w:r w:rsidR="00E8236D" w:rsidRPr="00F469F1">
        <w:rPr>
          <w:rFonts w:ascii="Book Antiqua" w:eastAsia="宋体" w:hAnsi="Book Antiqua" w:cs="Times New Roman"/>
          <w:sz w:val="24"/>
          <w:szCs w:val="24"/>
        </w:rPr>
        <w:t>various cancers, GPR is also a potential clinical predictor</w:t>
      </w:r>
      <w:r w:rsidR="00125594">
        <w:rPr>
          <w:rFonts w:ascii="Book Antiqua" w:eastAsia="宋体" w:hAnsi="Book Antiqua" w:cs="Times New Roman"/>
          <w:sz w:val="24"/>
          <w:szCs w:val="24"/>
        </w:rPr>
        <w:t xml:space="preserve"> of</w:t>
      </w:r>
      <w:r w:rsidR="00E8236D" w:rsidRPr="00F469F1">
        <w:rPr>
          <w:rFonts w:ascii="Book Antiqua" w:eastAsia="宋体" w:hAnsi="Book Antiqua" w:cs="Times New Roman"/>
          <w:sz w:val="24"/>
          <w:szCs w:val="24"/>
        </w:rPr>
        <w:t xml:space="preserve"> GBC; however, the relationship between GPR and prognosis and outcomes in patients with GBC remain</w:t>
      </w:r>
      <w:r w:rsidR="00125594">
        <w:rPr>
          <w:rFonts w:ascii="Book Antiqua" w:eastAsia="宋体" w:hAnsi="Book Antiqua" w:cs="Times New Roman"/>
          <w:sz w:val="24"/>
          <w:szCs w:val="24"/>
        </w:rPr>
        <w:t>s</w:t>
      </w:r>
      <w:r w:rsidR="00E8236D" w:rsidRPr="00F469F1">
        <w:rPr>
          <w:rFonts w:ascii="Book Antiqua" w:eastAsia="宋体" w:hAnsi="Book Antiqua" w:cs="Times New Roman"/>
          <w:sz w:val="24"/>
          <w:szCs w:val="24"/>
        </w:rPr>
        <w:t xml:space="preserve"> unclear.</w:t>
      </w:r>
    </w:p>
    <w:p w14:paraId="57E9155B" w14:textId="77777777"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current study aimed to investigate the prognostic role of GPR in patients with GBC, and to integrate GPR with other clinical variables to develop a nomogram for prognosis prediction in GBC patients.</w:t>
      </w:r>
    </w:p>
    <w:p w14:paraId="23E52C23" w14:textId="77777777" w:rsidR="004E4E31" w:rsidRPr="00F469F1" w:rsidRDefault="004E4E31" w:rsidP="00F469F1">
      <w:pPr>
        <w:widowControl/>
        <w:snapToGrid w:val="0"/>
        <w:spacing w:line="360" w:lineRule="auto"/>
        <w:rPr>
          <w:rFonts w:ascii="Book Antiqua" w:eastAsia="宋体" w:hAnsi="Book Antiqua" w:cs="Times New Roman"/>
          <w:sz w:val="24"/>
          <w:szCs w:val="24"/>
        </w:rPr>
      </w:pPr>
    </w:p>
    <w:p w14:paraId="3835B0E3"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MATERIALS AND METHODS</w:t>
      </w:r>
    </w:p>
    <w:p w14:paraId="50A86BAF" w14:textId="798E3D21" w:rsidR="00E8236D" w:rsidRPr="00F469F1" w:rsidRDefault="00F732F5"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P</w:t>
      </w:r>
      <w:r w:rsidR="00E8236D" w:rsidRPr="00F469F1">
        <w:rPr>
          <w:rFonts w:ascii="Book Antiqua" w:eastAsia="宋体" w:hAnsi="Book Antiqua" w:cs="Times New Roman"/>
          <w:b/>
          <w:i/>
          <w:sz w:val="24"/>
          <w:szCs w:val="24"/>
        </w:rPr>
        <w:t>opulation</w:t>
      </w:r>
    </w:p>
    <w:p w14:paraId="48891995" w14:textId="7FD649B9" w:rsidR="00E8236D" w:rsidRPr="00F469F1" w:rsidRDefault="00E8236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A total of 1</w:t>
      </w:r>
      <w:r w:rsidR="00B10397" w:rsidRPr="00F469F1">
        <w:rPr>
          <w:rFonts w:ascii="Book Antiqua" w:eastAsia="宋体" w:hAnsi="Book Antiqua" w:cs="Times New Roman"/>
          <w:sz w:val="24"/>
          <w:szCs w:val="24"/>
        </w:rPr>
        <w:t>30</w:t>
      </w:r>
      <w:r w:rsidRPr="00F469F1">
        <w:rPr>
          <w:rFonts w:ascii="Book Antiqua" w:eastAsia="宋体" w:hAnsi="Book Antiqua" w:cs="Times New Roman"/>
          <w:sz w:val="24"/>
          <w:szCs w:val="24"/>
        </w:rPr>
        <w:t xml:space="preserve"> patients with gallbladder adenocarcinoma who underwent resection at </w:t>
      </w:r>
      <w:r w:rsidR="00F732F5" w:rsidRPr="00F469F1">
        <w:rPr>
          <w:rFonts w:ascii="Book Antiqua" w:eastAsia="宋体" w:hAnsi="Book Antiqua" w:cs="Times New Roman"/>
          <w:sz w:val="24"/>
          <w:szCs w:val="24"/>
        </w:rPr>
        <w:t>Peking Union Medical College Hospital</w:t>
      </w:r>
      <w:r w:rsidRPr="00F469F1">
        <w:rPr>
          <w:rFonts w:ascii="Book Antiqua" w:eastAsia="宋体" w:hAnsi="Book Antiqua" w:cs="Times New Roman"/>
          <w:sz w:val="24"/>
          <w:szCs w:val="24"/>
        </w:rPr>
        <w:t xml:space="preserve"> from December 2003 to April 2017 were included in this study. The inclusion criteria were: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1) </w:t>
      </w:r>
      <w:proofErr w:type="gramStart"/>
      <w:r w:rsidR="00125594">
        <w:rPr>
          <w:rFonts w:ascii="Book Antiqua" w:eastAsia="宋体" w:hAnsi="Book Antiqua" w:cs="Times New Roman"/>
          <w:sz w:val="24"/>
          <w:szCs w:val="24"/>
        </w:rPr>
        <w:t>H</w:t>
      </w:r>
      <w:r w:rsidR="00125594" w:rsidRPr="00F469F1">
        <w:rPr>
          <w:rFonts w:ascii="Book Antiqua" w:eastAsia="宋体" w:hAnsi="Book Antiqua" w:cs="Times New Roman"/>
          <w:sz w:val="24"/>
          <w:szCs w:val="24"/>
        </w:rPr>
        <w:t>istologically</w:t>
      </w:r>
      <w:proofErr w:type="gramEnd"/>
      <w:r w:rsidR="00426C54">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confirmed gallbladder adenocarcinoma;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2) </w:t>
      </w:r>
      <w:proofErr w:type="spellStart"/>
      <w:r w:rsidR="005B4FCA">
        <w:rPr>
          <w:rFonts w:ascii="Book Antiqua" w:eastAsia="宋体" w:hAnsi="Book Antiqua" w:cs="Times New Roman" w:hint="eastAsia"/>
          <w:sz w:val="24"/>
          <w:szCs w:val="24"/>
        </w:rPr>
        <w:t>R</w:t>
      </w:r>
      <w:r w:rsidRPr="00F469F1">
        <w:rPr>
          <w:rFonts w:ascii="Book Antiqua" w:eastAsia="宋体" w:hAnsi="Book Antiqua" w:cs="Times New Roman"/>
          <w:sz w:val="24"/>
          <w:szCs w:val="24"/>
        </w:rPr>
        <w:t>esectable</w:t>
      </w:r>
      <w:proofErr w:type="spellEnd"/>
      <w:r w:rsidRPr="00F469F1">
        <w:rPr>
          <w:rFonts w:ascii="Book Antiqua" w:eastAsia="宋体" w:hAnsi="Book Antiqua" w:cs="Times New Roman"/>
          <w:sz w:val="24"/>
          <w:szCs w:val="24"/>
        </w:rPr>
        <w:t xml:space="preserve"> gallbladder cancer;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3) </w:t>
      </w:r>
      <w:r w:rsidR="005B4FCA">
        <w:rPr>
          <w:rFonts w:ascii="Book Antiqua" w:eastAsia="宋体" w:hAnsi="Book Antiqua" w:cs="Times New Roman" w:hint="eastAsia"/>
          <w:sz w:val="24"/>
          <w:szCs w:val="24"/>
        </w:rPr>
        <w:t>N</w:t>
      </w:r>
      <w:r w:rsidRPr="00F469F1">
        <w:rPr>
          <w:rFonts w:ascii="Book Antiqua" w:eastAsia="宋体" w:hAnsi="Book Antiqua" w:cs="Times New Roman"/>
          <w:sz w:val="24"/>
          <w:szCs w:val="24"/>
        </w:rPr>
        <w:t xml:space="preserve">o history of other malignancies; and </w:t>
      </w:r>
      <w:r w:rsidR="0083363C"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4) </w:t>
      </w:r>
      <w:r w:rsidR="005B4FCA">
        <w:rPr>
          <w:rFonts w:ascii="Book Antiqua" w:eastAsia="宋体" w:hAnsi="Book Antiqua" w:cs="Times New Roman" w:hint="eastAsia"/>
          <w:sz w:val="24"/>
          <w:szCs w:val="24"/>
        </w:rPr>
        <w:t>A</w:t>
      </w:r>
      <w:r w:rsidRPr="00F469F1">
        <w:rPr>
          <w:rFonts w:ascii="Book Antiqua" w:eastAsia="宋体" w:hAnsi="Book Antiqua" w:cs="Times New Roman"/>
          <w:sz w:val="24"/>
          <w:szCs w:val="24"/>
        </w:rPr>
        <w:t>vailable clinical data at the time of the first diagnosis.</w:t>
      </w:r>
      <w:r w:rsidR="002125C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Patients with missing follow-up data or with other cancers such as </w:t>
      </w:r>
      <w:proofErr w:type="spellStart"/>
      <w:r w:rsidRPr="00F469F1">
        <w:rPr>
          <w:rFonts w:ascii="Book Antiqua" w:eastAsia="宋体" w:hAnsi="Book Antiqua" w:cs="Times New Roman"/>
          <w:sz w:val="24"/>
          <w:szCs w:val="24"/>
        </w:rPr>
        <w:t>adenosquamous</w:t>
      </w:r>
      <w:proofErr w:type="spellEnd"/>
      <w:r w:rsidRPr="00F469F1">
        <w:rPr>
          <w:rFonts w:ascii="Book Antiqua" w:eastAsia="宋体" w:hAnsi="Book Antiqua" w:cs="Times New Roman"/>
          <w:sz w:val="24"/>
          <w:szCs w:val="24"/>
        </w:rPr>
        <w:t xml:space="preserve"> cell carcinoma or papilla carcinoma were excluded from the study.</w:t>
      </w:r>
    </w:p>
    <w:p w14:paraId="4EA73328" w14:textId="325B07E6" w:rsidR="00E8236D" w:rsidRPr="00F469F1" w:rsidRDefault="00E8236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study was approved by </w:t>
      </w:r>
      <w:r w:rsidR="00F732F5" w:rsidRPr="00F469F1">
        <w:rPr>
          <w:rFonts w:ascii="Book Antiqua" w:eastAsia="宋体" w:hAnsi="Book Antiqua" w:cs="Times New Roman"/>
          <w:sz w:val="24"/>
          <w:szCs w:val="24"/>
        </w:rPr>
        <w:t>the Medical Ethics Committee of Peking Union Medical College Hospital of the Chinese Academy of Medical Sciences and Peking Union Medical College</w:t>
      </w:r>
      <w:r w:rsidRPr="00F469F1">
        <w:rPr>
          <w:rFonts w:ascii="Book Antiqua" w:eastAsia="宋体" w:hAnsi="Book Antiqua" w:cs="Times New Roman"/>
          <w:sz w:val="24"/>
          <w:szCs w:val="24"/>
        </w:rPr>
        <w:t xml:space="preserve">, and was performed in accordance with the ethical standards of the World Medical Association Declaration of </w:t>
      </w:r>
      <w:proofErr w:type="gramStart"/>
      <w:r w:rsidRPr="00F469F1">
        <w:rPr>
          <w:rFonts w:ascii="Book Antiqua" w:eastAsia="宋体" w:hAnsi="Book Antiqua" w:cs="Times New Roman"/>
          <w:sz w:val="24"/>
          <w:szCs w:val="24"/>
        </w:rPr>
        <w:t>Helsinki</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12]</w:t>
      </w:r>
      <w:r w:rsidRPr="00F469F1">
        <w:rPr>
          <w:rFonts w:ascii="Book Antiqua" w:eastAsia="宋体" w:hAnsi="Book Antiqua" w:cs="Times New Roman"/>
          <w:sz w:val="24"/>
          <w:szCs w:val="24"/>
        </w:rPr>
        <w:t>.</w:t>
      </w:r>
      <w:r w:rsidR="00F07E08" w:rsidRPr="00F469F1">
        <w:rPr>
          <w:rFonts w:ascii="Book Antiqua" w:eastAsia="宋体" w:hAnsi="Book Antiqua" w:cs="Times New Roman"/>
          <w:sz w:val="24"/>
          <w:szCs w:val="24"/>
        </w:rPr>
        <w:t xml:space="preserve"> </w:t>
      </w:r>
      <w:r w:rsidR="0056502C" w:rsidRPr="00F469F1">
        <w:rPr>
          <w:rFonts w:ascii="Book Antiqua" w:eastAsia="宋体" w:hAnsi="Book Antiqua" w:cs="Times New Roman"/>
          <w:sz w:val="24"/>
          <w:szCs w:val="24"/>
        </w:rPr>
        <w:t>The requirement for informed consent was waived because of the retrospective nature of this study.</w:t>
      </w:r>
    </w:p>
    <w:p w14:paraId="69AC12D4"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3D728065" w14:textId="746139D2" w:rsidR="003C3AA6"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Data collection</w:t>
      </w:r>
    </w:p>
    <w:p w14:paraId="6CB47389" w14:textId="38A192A1" w:rsidR="003C3AA6" w:rsidRPr="00F469F1" w:rsidRDefault="003C3AA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Clinical data including age, sex, jaundice, gallbladder stone, body mass index (BMI), max</w:t>
      </w:r>
      <w:r w:rsidR="00125594">
        <w:rPr>
          <w:rFonts w:ascii="Book Antiqua" w:eastAsia="宋体" w:hAnsi="Book Antiqua" w:cs="Times New Roman"/>
          <w:sz w:val="24"/>
          <w:szCs w:val="24"/>
        </w:rPr>
        <w:t xml:space="preserve">imum </w:t>
      </w:r>
      <w:r w:rsidRPr="00F469F1">
        <w:rPr>
          <w:rFonts w:ascii="Book Antiqua" w:eastAsia="宋体" w:hAnsi="Book Antiqua" w:cs="Times New Roman"/>
          <w:sz w:val="24"/>
          <w:szCs w:val="24"/>
        </w:rPr>
        <w:t>tumor diameter, TNM stage, postoperative complications</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hospitalization days (HOD), and survival time were collected from the medical records. TNM stage was measured based on the 8</w:t>
      </w:r>
      <w:r w:rsidRPr="00F469F1">
        <w:rPr>
          <w:rFonts w:ascii="Book Antiqua" w:eastAsia="宋体" w:hAnsi="Book Antiqua" w:cs="Times New Roman"/>
          <w:sz w:val="24"/>
          <w:szCs w:val="24"/>
          <w:vertAlign w:val="superscript"/>
        </w:rPr>
        <w:t>th</w:t>
      </w:r>
      <w:r w:rsidRPr="00F469F1">
        <w:rPr>
          <w:rFonts w:ascii="Book Antiqua" w:eastAsia="宋体" w:hAnsi="Book Antiqua" w:cs="Times New Roman"/>
          <w:sz w:val="24"/>
          <w:szCs w:val="24"/>
        </w:rPr>
        <w:t xml:space="preserve"> AJCC criteria for GBC.</w:t>
      </w:r>
    </w:p>
    <w:p w14:paraId="61C14E98" w14:textId="53A76FA8"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Laboratory data including carcinoembryonic antigen (CEA), carbohydrate antigen 19-9 (CA 19-9), GGT, and different blood count</w:t>
      </w:r>
      <w:r w:rsidR="00125594">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including platelet, monocyte, neutrophil, and lymphocyte count</w:t>
      </w:r>
      <w:r w:rsidR="00125594">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were also obtained from the examination for cancer diagnosis.</w:t>
      </w:r>
    </w:p>
    <w:p w14:paraId="4FF118ED" w14:textId="77777777"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GPR was defined as GGT divided by PLT. MLR was defined as an absolute monocyte count divided by lymphocyte count. NLR was defined as the ratio of absolute neutrophil count to lymphocyte count.</w:t>
      </w:r>
    </w:p>
    <w:p w14:paraId="6F5611AA" w14:textId="77F3E872"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Differentiation degree of cancer cells was obtained from histological analysis result.</w:t>
      </w:r>
    </w:p>
    <w:p w14:paraId="632965B5"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53F0913B" w14:textId="54044997" w:rsidR="003C3AA6"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Statistical analysis</w:t>
      </w:r>
    </w:p>
    <w:p w14:paraId="4F00629E" w14:textId="238BCDB4" w:rsidR="003C3AA6" w:rsidRPr="00F469F1" w:rsidRDefault="003C3AA6"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Statistical analyses were conducted with R 3.6.2 software (Institute for Statistics and Mathematics, Vienna, Austria) and Statistical Package for Social Sciences version 25.0 (SPSS, Chicago, IL, </w:t>
      </w:r>
      <w:r w:rsidR="00006776" w:rsidRPr="00F469F1">
        <w:rPr>
          <w:rFonts w:ascii="Book Antiqua" w:eastAsia="宋体" w:hAnsi="Book Antiqua" w:cs="Times New Roman"/>
          <w:sz w:val="24"/>
          <w:szCs w:val="24"/>
        </w:rPr>
        <w:t>United States</w:t>
      </w:r>
      <w:r w:rsidRPr="00F469F1">
        <w:rPr>
          <w:rFonts w:ascii="Book Antiqua" w:eastAsia="宋体" w:hAnsi="Book Antiqua" w:cs="Times New Roman"/>
          <w:sz w:val="24"/>
          <w:szCs w:val="24"/>
        </w:rPr>
        <w:t xml:space="preserve">). Continuous variables which conformed to </w:t>
      </w:r>
      <w:r w:rsidR="00125594">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normal distribution </w:t>
      </w:r>
      <w:r w:rsidR="00125594">
        <w:rPr>
          <w:rFonts w:ascii="Book Antiqua" w:eastAsia="宋体" w:hAnsi="Book Antiqua" w:cs="Times New Roman"/>
          <w:sz w:val="24"/>
          <w:szCs w:val="24"/>
        </w:rPr>
        <w:t>are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summarized as the mean ± </w:t>
      </w:r>
      <w:r w:rsidR="00F51AD3" w:rsidRPr="00F469F1">
        <w:rPr>
          <w:rFonts w:ascii="Book Antiqua" w:eastAsia="宋体" w:hAnsi="Book Antiqua" w:cs="Times New Roman"/>
          <w:sz w:val="24"/>
          <w:szCs w:val="24"/>
        </w:rPr>
        <w:t>SD</w:t>
      </w:r>
      <w:r w:rsidRPr="00F469F1">
        <w:rPr>
          <w:rFonts w:ascii="Book Antiqua" w:eastAsia="宋体" w:hAnsi="Book Antiqua" w:cs="Times New Roman"/>
          <w:sz w:val="24"/>
          <w:szCs w:val="24"/>
        </w:rPr>
        <w:t xml:space="preserve">, while others </w:t>
      </w:r>
      <w:r w:rsidR="00125594">
        <w:rPr>
          <w:rFonts w:ascii="Book Antiqua" w:eastAsia="宋体" w:hAnsi="Book Antiqua" w:cs="Times New Roman"/>
          <w:sz w:val="24"/>
          <w:szCs w:val="24"/>
        </w:rPr>
        <w:t>are</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presented as the median and interquartile range. Comparisons of baseline characteristics between groups were performed using Chi-square tests, </w:t>
      </w:r>
      <w:r w:rsidRPr="007B2654">
        <w:rPr>
          <w:rFonts w:ascii="Book Antiqua" w:eastAsia="宋体" w:hAnsi="Book Antiqua" w:cs="Times New Roman"/>
          <w:i/>
          <w:sz w:val="24"/>
          <w:szCs w:val="24"/>
        </w:rPr>
        <w:t>t</w:t>
      </w:r>
      <w:r w:rsidRPr="00F469F1">
        <w:rPr>
          <w:rFonts w:ascii="Book Antiqua" w:eastAsia="宋体" w:hAnsi="Book Antiqua" w:cs="Times New Roman"/>
          <w:sz w:val="24"/>
          <w:szCs w:val="24"/>
        </w:rPr>
        <w:t xml:space="preserve"> test</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w:t>
      </w:r>
      <w:r w:rsidR="00F51AD3" w:rsidRPr="00F469F1">
        <w:rPr>
          <w:rFonts w:ascii="Book Antiqua" w:eastAsia="宋体" w:hAnsi="Book Antiqua" w:cs="Times New Roman"/>
          <w:sz w:val="24"/>
          <w:szCs w:val="24"/>
        </w:rPr>
        <w:t>d rank-sum test as appropriate.</w:t>
      </w:r>
    </w:p>
    <w:p w14:paraId="5CD42D99" w14:textId="455F4A95"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GPR, BMI, CEA, CA19-9, tumor diameter, MLR, and NLR were divided into high and low groups. The optimal cutoff values for these factors were defined by receiver operating characteristic (ROC) analysis. </w:t>
      </w:r>
      <w:proofErr w:type="spellStart"/>
      <w:r w:rsidRPr="00F469F1">
        <w:rPr>
          <w:rFonts w:ascii="Book Antiqua" w:eastAsia="宋体" w:hAnsi="Book Antiqua" w:cs="Times New Roman"/>
          <w:sz w:val="24"/>
          <w:szCs w:val="24"/>
        </w:rPr>
        <w:t>Clinic</w:t>
      </w:r>
      <w:r w:rsidR="00125594">
        <w:rPr>
          <w:rFonts w:ascii="Book Antiqua" w:eastAsia="宋体" w:hAnsi="Book Antiqua" w:cs="Times New Roman"/>
          <w:sz w:val="24"/>
          <w:szCs w:val="24"/>
        </w:rPr>
        <w:t>o</w:t>
      </w:r>
      <w:r w:rsidRPr="00F469F1">
        <w:rPr>
          <w:rFonts w:ascii="Book Antiqua" w:eastAsia="宋体" w:hAnsi="Book Antiqua" w:cs="Times New Roman"/>
          <w:sz w:val="24"/>
          <w:szCs w:val="24"/>
        </w:rPr>
        <w:t>pathological</w:t>
      </w:r>
      <w:proofErr w:type="spellEnd"/>
      <w:r w:rsidRPr="00F469F1">
        <w:rPr>
          <w:rFonts w:ascii="Book Antiqua" w:eastAsia="宋体" w:hAnsi="Book Antiqua" w:cs="Times New Roman"/>
          <w:sz w:val="24"/>
          <w:szCs w:val="24"/>
        </w:rPr>
        <w:t xml:space="preserve"> factors </w:t>
      </w:r>
      <w:r w:rsidR="00125594">
        <w:rPr>
          <w:rFonts w:ascii="Book Antiqua" w:eastAsia="宋体" w:hAnsi="Book Antiqua" w:cs="Times New Roman"/>
          <w:sz w:val="24"/>
          <w:szCs w:val="24"/>
        </w:rPr>
        <w:t xml:space="preserve">that </w:t>
      </w:r>
      <w:r w:rsidRPr="00F469F1">
        <w:rPr>
          <w:rFonts w:ascii="Book Antiqua" w:eastAsia="宋体" w:hAnsi="Book Antiqua" w:cs="Times New Roman"/>
          <w:sz w:val="24"/>
          <w:szCs w:val="24"/>
        </w:rPr>
        <w:t>potentially correlated w</w:t>
      </w:r>
      <w:r w:rsidR="008F6AE4" w:rsidRPr="00F469F1">
        <w:rPr>
          <w:rFonts w:ascii="Book Antiqua" w:eastAsia="宋体" w:hAnsi="Book Antiqua" w:cs="Times New Roman"/>
          <w:sz w:val="24"/>
          <w:szCs w:val="24"/>
        </w:rPr>
        <w:t>ith patients' prognosis were de</w:t>
      </w:r>
      <w:r w:rsidR="000C0D70" w:rsidRPr="00F469F1">
        <w:rPr>
          <w:rFonts w:ascii="Book Antiqua" w:eastAsia="宋体" w:hAnsi="Book Antiqua" w:cs="Times New Roman"/>
          <w:sz w:val="24"/>
          <w:szCs w:val="24"/>
        </w:rPr>
        <w:t>fin</w:t>
      </w:r>
      <w:r w:rsidRPr="00F469F1">
        <w:rPr>
          <w:rFonts w:ascii="Book Antiqua" w:eastAsia="宋体" w:hAnsi="Book Antiqua" w:cs="Times New Roman"/>
          <w:sz w:val="24"/>
          <w:szCs w:val="24"/>
        </w:rPr>
        <w:t>ed by th</w:t>
      </w:r>
      <w:r w:rsidR="001222CA" w:rsidRPr="00F469F1">
        <w:rPr>
          <w:rFonts w:ascii="Book Antiqua" w:eastAsia="宋体" w:hAnsi="Book Antiqua" w:cs="Times New Roman"/>
          <w:sz w:val="24"/>
          <w:szCs w:val="24"/>
        </w:rPr>
        <w:t>e GPR level and were estimated.</w:t>
      </w:r>
    </w:p>
    <w:p w14:paraId="52E63D7E" w14:textId="77777777"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Kaplan-Meier method was used for calculating the long-term overall survival (OS) rates. Chi-square test and rank-sum test were used to estimate the effect of GPR on short-term clinical outcome as postoperative complications and HOD. Univariate and multivariate Cox regression analyses of potential factors affecting patients' outcomes were performed.</w:t>
      </w:r>
    </w:p>
    <w:p w14:paraId="65D1EEBA" w14:textId="35E6DC9B" w:rsidR="003C3AA6" w:rsidRPr="00F469F1" w:rsidRDefault="003C3AA6"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Based on multivariate analysis, </w:t>
      </w:r>
      <w:r w:rsidR="00125594">
        <w:rPr>
          <w:rFonts w:ascii="Book Antiqua" w:eastAsia="宋体" w:hAnsi="Book Antiqua" w:cs="Times New Roman"/>
          <w:sz w:val="24"/>
          <w:szCs w:val="24"/>
        </w:rPr>
        <w:t>a</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nomogram was developed by using the </w:t>
      </w:r>
      <w:proofErr w:type="spellStart"/>
      <w:r w:rsidRPr="00F469F1">
        <w:rPr>
          <w:rFonts w:ascii="Book Antiqua" w:eastAsia="宋体" w:hAnsi="Book Antiqua" w:cs="Times New Roman"/>
          <w:sz w:val="24"/>
          <w:szCs w:val="24"/>
        </w:rPr>
        <w:t>rms</w:t>
      </w:r>
      <w:proofErr w:type="spellEnd"/>
      <w:r w:rsidRPr="00F469F1">
        <w:rPr>
          <w:rFonts w:ascii="Book Antiqua" w:eastAsia="宋体" w:hAnsi="Book Antiqua" w:cs="Times New Roman"/>
          <w:sz w:val="24"/>
          <w:szCs w:val="24"/>
        </w:rPr>
        <w:t xml:space="preserve"> package in R version 3.6.2. The performance of the nomogram was assessed </w:t>
      </w:r>
      <w:r w:rsidR="00125594">
        <w:rPr>
          <w:rFonts w:ascii="Book Antiqua" w:eastAsia="宋体" w:hAnsi="Book Antiqua" w:cs="Times New Roman"/>
          <w:sz w:val="24"/>
          <w:szCs w:val="24"/>
        </w:rPr>
        <w:t>using</w:t>
      </w:r>
      <w:r w:rsidR="00125594"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calibration curve, concordance index (C-index)</w:t>
      </w:r>
      <w:r w:rsidR="00125594">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and decision </w:t>
      </w:r>
      <w:r w:rsidRPr="00F469F1">
        <w:rPr>
          <w:rFonts w:ascii="Book Antiqua" w:eastAsia="宋体" w:hAnsi="Book Antiqua" w:cs="Times New Roman"/>
          <w:sz w:val="24"/>
          <w:szCs w:val="24"/>
        </w:rPr>
        <w:lastRenderedPageBreak/>
        <w:t xml:space="preserve">curve. The prognostic abilities of the nomogram were compared with the TNM stage model, cancer marker CA 19-9, and prediction model from similar research by comparing the areas under the ROC curves (AUC) and C-index. All significance levels were set at 0.05, and all </w:t>
      </w:r>
      <w:r w:rsidR="000E3198" w:rsidRPr="00F469F1">
        <w:rPr>
          <w:rFonts w:ascii="Book Antiqua" w:eastAsia="宋体" w:hAnsi="Book Antiqua" w:cs="Times New Roman"/>
          <w:i/>
          <w:sz w:val="24"/>
          <w:szCs w:val="24"/>
        </w:rPr>
        <w:t>P</w:t>
      </w:r>
      <w:r w:rsidRPr="00F469F1">
        <w:rPr>
          <w:rFonts w:ascii="Book Antiqua" w:eastAsia="宋体" w:hAnsi="Book Antiqua" w:cs="Times New Roman"/>
          <w:sz w:val="24"/>
          <w:szCs w:val="24"/>
        </w:rPr>
        <w:t xml:space="preserve"> values were two-sided.</w:t>
      </w:r>
    </w:p>
    <w:p w14:paraId="2E2EBC2C" w14:textId="77777777" w:rsidR="00E6688E" w:rsidRPr="00F469F1" w:rsidRDefault="00E6688E" w:rsidP="00F469F1">
      <w:pPr>
        <w:widowControl/>
        <w:snapToGrid w:val="0"/>
        <w:spacing w:line="360" w:lineRule="auto"/>
        <w:rPr>
          <w:rFonts w:ascii="Book Antiqua" w:eastAsia="宋体" w:hAnsi="Book Antiqua" w:cs="Times New Roman"/>
          <w:sz w:val="24"/>
          <w:szCs w:val="24"/>
        </w:rPr>
      </w:pPr>
    </w:p>
    <w:p w14:paraId="56960B8C"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RESULTS</w:t>
      </w:r>
    </w:p>
    <w:p w14:paraId="58D1183B" w14:textId="673A008F" w:rsidR="00E6688E" w:rsidRPr="00F469F1" w:rsidRDefault="003C3AA6"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Patients’</w:t>
      </w:r>
      <w:r w:rsidR="00E6688E" w:rsidRPr="00F469F1">
        <w:rPr>
          <w:rFonts w:ascii="Book Antiqua" w:eastAsia="宋体" w:hAnsi="Book Antiqua" w:cs="Times New Roman"/>
          <w:b/>
          <w:i/>
          <w:sz w:val="24"/>
          <w:szCs w:val="24"/>
        </w:rPr>
        <w:t xml:space="preserve"> characteristics</w:t>
      </w:r>
    </w:p>
    <w:p w14:paraId="689B82AC" w14:textId="4B61A01D"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The baseline features of the enrolled patients are provided in Table 1. Patients’ average age was 63.23 ± 1.20 years; 76 (58%) patients were men, and 54 (42%) were women. The mean BMI was 23.97 ± 0.38 kg/m</w:t>
      </w:r>
      <w:r w:rsidRPr="00F469F1">
        <w:rPr>
          <w:rFonts w:ascii="Book Antiqua" w:eastAsia="宋体" w:hAnsi="Book Antiqua" w:cs="Times New Roman"/>
          <w:sz w:val="24"/>
          <w:szCs w:val="24"/>
          <w:vertAlign w:val="superscript"/>
        </w:rPr>
        <w:t>2</w:t>
      </w:r>
      <w:r w:rsidRPr="00F469F1">
        <w:rPr>
          <w:rFonts w:ascii="Book Antiqua" w:eastAsia="宋体" w:hAnsi="Book Antiqua" w:cs="Times New Roman"/>
          <w:sz w:val="24"/>
          <w:szCs w:val="24"/>
        </w:rPr>
        <w:t xml:space="preserve">; 19 patients had jaundice (15%), and 62 patients had gallbladder stones (48%). </w:t>
      </w:r>
      <w:r w:rsidR="000357A6">
        <w:rPr>
          <w:rFonts w:ascii="Book Antiqua" w:eastAsia="宋体" w:hAnsi="Book Antiqua" w:cs="Times New Roman"/>
          <w:sz w:val="24"/>
          <w:szCs w:val="24"/>
        </w:rPr>
        <w:t>Twelve</w:t>
      </w:r>
      <w:r w:rsidR="000D217B" w:rsidRPr="00F469F1">
        <w:rPr>
          <w:rFonts w:ascii="Book Antiqua" w:eastAsia="宋体" w:hAnsi="Book Antiqua" w:cs="Times New Roman"/>
          <w:sz w:val="24"/>
          <w:szCs w:val="24"/>
        </w:rPr>
        <w:t xml:space="preserve"> (9%) </w:t>
      </w:r>
      <w:r w:rsidR="000357A6" w:rsidRPr="00F469F1">
        <w:rPr>
          <w:rFonts w:ascii="Book Antiqua" w:eastAsia="宋体" w:hAnsi="Book Antiqua" w:cs="Times New Roman"/>
          <w:sz w:val="24"/>
          <w:szCs w:val="24"/>
        </w:rPr>
        <w:t xml:space="preserve">patients </w:t>
      </w:r>
      <w:r w:rsidR="000357A6">
        <w:rPr>
          <w:rFonts w:ascii="Book Antiqua" w:eastAsia="宋体" w:hAnsi="Book Antiqua" w:cs="Times New Roman"/>
          <w:sz w:val="24"/>
          <w:szCs w:val="24"/>
        </w:rPr>
        <w:t>had</w:t>
      </w:r>
      <w:r w:rsidR="000357A6" w:rsidRPr="00F469F1">
        <w:rPr>
          <w:rFonts w:ascii="Book Antiqua" w:eastAsia="宋体" w:hAnsi="Book Antiqua" w:cs="Times New Roman"/>
          <w:sz w:val="24"/>
          <w:szCs w:val="24"/>
        </w:rPr>
        <w:t xml:space="preserve"> </w:t>
      </w:r>
      <w:r w:rsidR="000D217B" w:rsidRPr="00F469F1">
        <w:rPr>
          <w:rFonts w:ascii="Book Antiqua" w:eastAsia="宋体" w:hAnsi="Book Antiqua" w:cs="Times New Roman"/>
          <w:sz w:val="24"/>
          <w:szCs w:val="24"/>
        </w:rPr>
        <w:t>liver disease</w:t>
      </w:r>
      <w:r w:rsidR="000357A6">
        <w:rPr>
          <w:rFonts w:ascii="Book Antiqua" w:eastAsia="宋体" w:hAnsi="Book Antiqua" w:cs="Times New Roman"/>
          <w:sz w:val="24"/>
          <w:szCs w:val="24"/>
        </w:rPr>
        <w:t>s</w:t>
      </w:r>
      <w:r w:rsidR="000D217B" w:rsidRPr="00F469F1">
        <w:rPr>
          <w:rFonts w:ascii="Book Antiqua" w:eastAsia="宋体" w:hAnsi="Book Antiqua" w:cs="Times New Roman"/>
          <w:sz w:val="24"/>
          <w:szCs w:val="24"/>
        </w:rPr>
        <w:t xml:space="preserve"> includ</w:t>
      </w:r>
      <w:r w:rsidR="000357A6">
        <w:rPr>
          <w:rFonts w:ascii="Book Antiqua" w:eastAsia="宋体" w:hAnsi="Book Antiqua" w:cs="Times New Roman"/>
          <w:sz w:val="24"/>
          <w:szCs w:val="24"/>
        </w:rPr>
        <w:t>ing</w:t>
      </w:r>
      <w:r w:rsidR="000D217B" w:rsidRPr="00F469F1">
        <w:rPr>
          <w:rFonts w:ascii="Book Antiqua" w:eastAsia="宋体" w:hAnsi="Book Antiqua" w:cs="Times New Roman"/>
          <w:sz w:val="24"/>
          <w:szCs w:val="24"/>
        </w:rPr>
        <w:t xml:space="preserve"> fatty liver disease</w:t>
      </w:r>
      <w:r w:rsidR="000357A6">
        <w:rPr>
          <w:rFonts w:ascii="Book Antiqua" w:eastAsia="宋体" w:hAnsi="Book Antiqua" w:cs="Times New Roman"/>
          <w:sz w:val="24"/>
          <w:szCs w:val="24"/>
        </w:rPr>
        <w:t xml:space="preserve"> (</w:t>
      </w:r>
      <w:r w:rsidR="000357A6" w:rsidRPr="007B2654">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7)</w:t>
      </w:r>
      <w:r w:rsidR="000D217B" w:rsidRPr="00F469F1">
        <w:rPr>
          <w:rFonts w:ascii="Book Antiqua" w:eastAsia="宋体" w:hAnsi="Book Antiqua" w:cs="Times New Roman"/>
          <w:sz w:val="24"/>
          <w:szCs w:val="24"/>
        </w:rPr>
        <w:t>, hepatic cyst</w:t>
      </w:r>
      <w:r w:rsidR="000357A6">
        <w:rPr>
          <w:rFonts w:ascii="Book Antiqua" w:eastAsia="宋体" w:hAnsi="Book Antiqua" w:cs="Times New Roman"/>
          <w:sz w:val="24"/>
          <w:szCs w:val="24"/>
        </w:rPr>
        <w:t xml:space="preserve"> (</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3)</w:t>
      </w:r>
      <w:r w:rsidR="000D217B" w:rsidRPr="00F469F1">
        <w:rPr>
          <w:rFonts w:ascii="Book Antiqua" w:eastAsia="宋体" w:hAnsi="Book Antiqua" w:cs="Times New Roman"/>
          <w:sz w:val="24"/>
          <w:szCs w:val="24"/>
        </w:rPr>
        <w:t>, hemangiomas of</w:t>
      </w:r>
      <w:r w:rsidR="000357A6">
        <w:rPr>
          <w:rFonts w:ascii="Book Antiqua" w:eastAsia="宋体" w:hAnsi="Book Antiqua" w:cs="Times New Roman"/>
          <w:sz w:val="24"/>
          <w:szCs w:val="24"/>
        </w:rPr>
        <w:t xml:space="preserve"> the</w:t>
      </w:r>
      <w:r w:rsidR="000D217B" w:rsidRPr="00F469F1">
        <w:rPr>
          <w:rFonts w:ascii="Book Antiqua" w:eastAsia="宋体" w:hAnsi="Book Antiqua" w:cs="Times New Roman"/>
          <w:sz w:val="24"/>
          <w:szCs w:val="24"/>
        </w:rPr>
        <w:t xml:space="preserve"> liver </w:t>
      </w:r>
      <w:r w:rsidR="000357A6">
        <w:rPr>
          <w:rFonts w:ascii="Book Antiqua" w:eastAsia="宋体" w:hAnsi="Book Antiqua" w:cs="Times New Roman"/>
          <w:sz w:val="24"/>
          <w:szCs w:val="24"/>
        </w:rPr>
        <w:t>(</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1), </w:t>
      </w:r>
      <w:r w:rsidR="000D217B" w:rsidRPr="00F469F1">
        <w:rPr>
          <w:rFonts w:ascii="Book Antiqua" w:eastAsia="宋体" w:hAnsi="Book Antiqua" w:cs="Times New Roman"/>
          <w:sz w:val="24"/>
          <w:szCs w:val="24"/>
        </w:rPr>
        <w:t>and cirrhosis</w:t>
      </w:r>
      <w:r w:rsidR="000357A6">
        <w:rPr>
          <w:rFonts w:ascii="Book Antiqua" w:eastAsia="宋体" w:hAnsi="Book Antiqua" w:cs="Times New Roman"/>
          <w:sz w:val="24"/>
          <w:szCs w:val="24"/>
        </w:rPr>
        <w:t xml:space="preserve"> (</w:t>
      </w:r>
      <w:r w:rsidR="000357A6" w:rsidRPr="00C10A9F">
        <w:rPr>
          <w:rFonts w:ascii="Book Antiqua" w:eastAsia="宋体" w:hAnsi="Book Antiqua" w:cs="Times New Roman"/>
          <w:i/>
          <w:sz w:val="24"/>
          <w:szCs w:val="24"/>
        </w:rPr>
        <w:t>n</w:t>
      </w:r>
      <w:r w:rsidR="000357A6">
        <w:rPr>
          <w:rFonts w:ascii="Book Antiqua" w:eastAsia="宋体" w:hAnsi="Book Antiqua" w:cs="Times New Roman"/>
          <w:sz w:val="24"/>
          <w:szCs w:val="24"/>
        </w:rPr>
        <w:t xml:space="preserve"> = 1)</w:t>
      </w:r>
      <w:r w:rsidR="000D217B"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There were 21, 26, 32, 19, and 18 patients with low, low-medium, medium, medium-high, and high degree</w:t>
      </w:r>
      <w:r w:rsidR="000B6456">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of cancer cell d</w:t>
      </w:r>
      <w:r w:rsidR="00750E0E" w:rsidRPr="00F469F1">
        <w:rPr>
          <w:rFonts w:ascii="Book Antiqua" w:eastAsia="宋体" w:hAnsi="Book Antiqua" w:cs="Times New Roman"/>
          <w:sz w:val="24"/>
          <w:szCs w:val="24"/>
        </w:rPr>
        <w:t>ifferentiation, respectively; 12</w:t>
      </w:r>
      <w:r w:rsidRPr="00F469F1">
        <w:rPr>
          <w:rFonts w:ascii="Book Antiqua" w:eastAsia="宋体" w:hAnsi="Book Antiqua" w:cs="Times New Roman"/>
          <w:sz w:val="24"/>
          <w:szCs w:val="24"/>
        </w:rPr>
        <w:t xml:space="preserve">% of patients were classified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TNM stage</w:t>
      </w:r>
      <w:r w:rsidR="00750E0E" w:rsidRPr="00F469F1">
        <w:rPr>
          <w:rFonts w:ascii="Book Antiqua" w:eastAsia="宋体" w:hAnsi="Book Antiqua" w:cs="Times New Roman"/>
          <w:sz w:val="24"/>
          <w:szCs w:val="24"/>
        </w:rPr>
        <w:t xml:space="preserve"> I</w:t>
      </w:r>
      <w:r w:rsidR="000B6456">
        <w:rPr>
          <w:rFonts w:ascii="Book Antiqua" w:eastAsia="宋体" w:hAnsi="Book Antiqua" w:cs="Times New Roman"/>
          <w:sz w:val="24"/>
          <w:szCs w:val="24"/>
        </w:rPr>
        <w:t xml:space="preserve"> disease</w:t>
      </w:r>
      <w:r w:rsidR="00A627CD" w:rsidRPr="00F469F1">
        <w:rPr>
          <w:rFonts w:ascii="Book Antiqua" w:eastAsia="宋体" w:hAnsi="Book Antiqua" w:cs="Times New Roman"/>
          <w:sz w:val="24"/>
          <w:szCs w:val="24"/>
        </w:rPr>
        <w:t xml:space="preserve">, while </w:t>
      </w:r>
      <w:r w:rsidR="00750E0E" w:rsidRPr="00F469F1">
        <w:rPr>
          <w:rFonts w:ascii="Book Antiqua" w:eastAsia="宋体" w:hAnsi="Book Antiqua" w:cs="Times New Roman"/>
          <w:sz w:val="24"/>
          <w:szCs w:val="24"/>
        </w:rPr>
        <w:t xml:space="preserve">8% were classified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 xml:space="preserve">stage II, 65%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stage III</w:t>
      </w:r>
      <w:r w:rsidR="000B6456">
        <w:rPr>
          <w:rFonts w:ascii="Book Antiqua" w:eastAsia="宋体" w:hAnsi="Book Antiqua" w:cs="Times New Roman"/>
          <w:sz w:val="24"/>
          <w:szCs w:val="24"/>
        </w:rPr>
        <w:t>,</w:t>
      </w:r>
      <w:r w:rsidR="00750E0E" w:rsidRPr="00F469F1">
        <w:rPr>
          <w:rFonts w:ascii="Book Antiqua" w:eastAsia="宋体" w:hAnsi="Book Antiqua" w:cs="Times New Roman"/>
          <w:sz w:val="24"/>
          <w:szCs w:val="24"/>
        </w:rPr>
        <w:t xml:space="preserve"> and 15% </w:t>
      </w:r>
      <w:r w:rsidR="000B6456">
        <w:rPr>
          <w:rFonts w:ascii="Book Antiqua" w:eastAsia="宋体" w:hAnsi="Book Antiqua" w:cs="Times New Roman"/>
          <w:sz w:val="24"/>
          <w:szCs w:val="24"/>
        </w:rPr>
        <w:t>with</w:t>
      </w:r>
      <w:r w:rsidR="000B6456" w:rsidRPr="00F469F1">
        <w:rPr>
          <w:rFonts w:ascii="Book Antiqua" w:eastAsia="宋体" w:hAnsi="Book Antiqua" w:cs="Times New Roman"/>
          <w:sz w:val="24"/>
          <w:szCs w:val="24"/>
        </w:rPr>
        <w:t xml:space="preserve"> </w:t>
      </w:r>
      <w:r w:rsidR="00750E0E" w:rsidRPr="00F469F1">
        <w:rPr>
          <w:rFonts w:ascii="Book Antiqua" w:eastAsia="宋体" w:hAnsi="Book Antiqua" w:cs="Times New Roman"/>
          <w:sz w:val="24"/>
          <w:szCs w:val="24"/>
        </w:rPr>
        <w:t>stage</w:t>
      </w:r>
      <w:r w:rsidRPr="00F469F1">
        <w:rPr>
          <w:rFonts w:ascii="Book Antiqua" w:eastAsia="宋体" w:hAnsi="Book Antiqua" w:cs="Times New Roman"/>
          <w:sz w:val="24"/>
          <w:szCs w:val="24"/>
        </w:rPr>
        <w:t xml:space="preserve"> IV. The median CEA value was 2.59 ng/m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xml:space="preserve"> (</w:t>
      </w:r>
      <w:r w:rsidR="000B6456">
        <w:rPr>
          <w:rFonts w:ascii="Book Antiqua" w:eastAsia="宋体" w:hAnsi="Book Antiqua" w:cs="Times New Roman"/>
          <w:sz w:val="24"/>
          <w:szCs w:val="24"/>
        </w:rPr>
        <w:t xml:space="preserve">range, </w:t>
      </w:r>
      <w:r w:rsidRPr="00F469F1">
        <w:rPr>
          <w:rFonts w:ascii="Book Antiqua" w:eastAsia="宋体" w:hAnsi="Book Antiqua" w:cs="Times New Roman"/>
          <w:sz w:val="24"/>
          <w:szCs w:val="24"/>
        </w:rPr>
        <w:t>1.62–5.50 ng/m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median CA 19-9 level was 47.50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xml:space="preserve"> (13.03–220.85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median tumor diameter was 2.70 cm (1.50–4.55 cm), and median GPR was 0.17 (0.09–0.44). Twenty-</w:t>
      </w:r>
      <w:r w:rsidR="00A627CD" w:rsidRPr="00F469F1">
        <w:rPr>
          <w:rFonts w:ascii="Book Antiqua" w:eastAsia="宋体" w:hAnsi="Book Antiqua" w:cs="Times New Roman"/>
          <w:sz w:val="24"/>
          <w:szCs w:val="24"/>
        </w:rPr>
        <w:t>nine</w:t>
      </w:r>
      <w:r w:rsidR="000B6456">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(22%) </w:t>
      </w:r>
      <w:r w:rsidR="000B6456" w:rsidRPr="00F469F1">
        <w:rPr>
          <w:rFonts w:ascii="Book Antiqua" w:eastAsia="宋体" w:hAnsi="Book Antiqua" w:cs="Times New Roman"/>
          <w:sz w:val="24"/>
          <w:szCs w:val="24"/>
        </w:rPr>
        <w:t xml:space="preserve">patients </w:t>
      </w:r>
      <w:r w:rsidRPr="00F469F1">
        <w:rPr>
          <w:rFonts w:ascii="Book Antiqua" w:eastAsia="宋体" w:hAnsi="Book Antiqua" w:cs="Times New Roman"/>
          <w:sz w:val="24"/>
          <w:szCs w:val="24"/>
        </w:rPr>
        <w:t xml:space="preserve">had postoperative complications, and the median HOD was 15 </w:t>
      </w:r>
      <w:r w:rsidR="000B6456">
        <w:rPr>
          <w:rFonts w:ascii="Book Antiqua" w:eastAsia="宋体" w:hAnsi="Book Antiqua" w:cs="Times New Roman"/>
          <w:sz w:val="24"/>
          <w:szCs w:val="24"/>
        </w:rPr>
        <w:t>d</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(10–20 </w:t>
      </w:r>
      <w:r w:rsidR="000B6456">
        <w:rPr>
          <w:rFonts w:ascii="Book Antiqua" w:eastAsia="宋体" w:hAnsi="Book Antiqua" w:cs="Times New Roman"/>
          <w:sz w:val="24"/>
          <w:szCs w:val="24"/>
        </w:rPr>
        <w:t>d</w:t>
      </w:r>
      <w:r w:rsidRPr="00F469F1">
        <w:rPr>
          <w:rFonts w:ascii="Book Antiqua" w:eastAsia="宋体" w:hAnsi="Book Antiqua" w:cs="Times New Roman"/>
          <w:sz w:val="24"/>
          <w:szCs w:val="24"/>
        </w:rPr>
        <w:t xml:space="preserve">), with a median survival time of 18 </w:t>
      </w:r>
      <w:proofErr w:type="spellStart"/>
      <w:proofErr w:type="gramStart"/>
      <w:r w:rsidR="00B44D9F" w:rsidRPr="00F469F1">
        <w:rPr>
          <w:rFonts w:ascii="Book Antiqua" w:eastAsia="宋体" w:hAnsi="Book Antiqua" w:cs="Times New Roman"/>
          <w:sz w:val="24"/>
          <w:szCs w:val="24"/>
        </w:rPr>
        <w:t>m</w:t>
      </w:r>
      <w:r w:rsidR="00F73B64" w:rsidRPr="00F469F1">
        <w:rPr>
          <w:rFonts w:ascii="Book Antiqua" w:eastAsia="宋体" w:hAnsi="Book Antiqua" w:cs="Times New Roman"/>
          <w:sz w:val="24"/>
          <w:szCs w:val="24"/>
        </w:rPr>
        <w:t>o</w:t>
      </w:r>
      <w:proofErr w:type="spellEnd"/>
      <w:proofErr w:type="gramEnd"/>
      <w:r w:rsidRPr="00F469F1">
        <w:rPr>
          <w:rFonts w:ascii="Book Antiqua" w:eastAsia="宋体" w:hAnsi="Book Antiqua" w:cs="Times New Roman"/>
          <w:sz w:val="24"/>
          <w:szCs w:val="24"/>
        </w:rPr>
        <w:t xml:space="preserve"> (6–34 </w:t>
      </w:r>
      <w:proofErr w:type="spellStart"/>
      <w:r w:rsidR="00B44D9F" w:rsidRPr="00F469F1">
        <w:rPr>
          <w:rFonts w:ascii="Book Antiqua" w:eastAsia="宋体" w:hAnsi="Book Antiqua" w:cs="Times New Roman"/>
          <w:sz w:val="24"/>
          <w:szCs w:val="24"/>
        </w:rPr>
        <w:t>m</w:t>
      </w:r>
      <w:r w:rsidRPr="00F469F1">
        <w:rPr>
          <w:rFonts w:ascii="Book Antiqua" w:eastAsia="宋体" w:hAnsi="Book Antiqua" w:cs="Times New Roman"/>
          <w:sz w:val="24"/>
          <w:szCs w:val="24"/>
        </w:rPr>
        <w:t>o</w:t>
      </w:r>
      <w:proofErr w:type="spellEnd"/>
      <w:r w:rsidRPr="00F469F1">
        <w:rPr>
          <w:rFonts w:ascii="Book Antiqua" w:eastAsia="宋体" w:hAnsi="Book Antiqua" w:cs="Times New Roman"/>
          <w:sz w:val="24"/>
          <w:szCs w:val="24"/>
        </w:rPr>
        <w:t>).</w:t>
      </w:r>
      <w:r w:rsidR="006B791B" w:rsidRPr="00F469F1">
        <w:rPr>
          <w:rFonts w:ascii="Book Antiqua" w:eastAsia="宋体" w:hAnsi="Book Antiqua" w:cs="Times New Roman"/>
          <w:sz w:val="24"/>
          <w:szCs w:val="24"/>
        </w:rPr>
        <w:t xml:space="preserve"> All patients were treated </w:t>
      </w:r>
      <w:r w:rsidR="000B6456">
        <w:rPr>
          <w:rFonts w:ascii="Book Antiqua" w:eastAsia="宋体" w:hAnsi="Book Antiqua" w:cs="Times New Roman"/>
          <w:sz w:val="24"/>
          <w:szCs w:val="24"/>
        </w:rPr>
        <w:t>by</w:t>
      </w:r>
      <w:r w:rsidR="000B6456" w:rsidRPr="00F469F1">
        <w:rPr>
          <w:rFonts w:ascii="Book Antiqua" w:eastAsia="宋体" w:hAnsi="Book Antiqua" w:cs="Times New Roman"/>
          <w:sz w:val="24"/>
          <w:szCs w:val="24"/>
        </w:rPr>
        <w:t xml:space="preserve"> </w:t>
      </w:r>
      <w:r w:rsidR="006B791B" w:rsidRPr="00F469F1">
        <w:rPr>
          <w:rFonts w:ascii="Book Antiqua" w:eastAsia="宋体" w:hAnsi="Book Antiqua" w:cs="Times New Roman"/>
          <w:sz w:val="24"/>
          <w:szCs w:val="24"/>
        </w:rPr>
        <w:t>radical cholecystectomy.</w:t>
      </w:r>
    </w:p>
    <w:p w14:paraId="5DC2050E"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30F0E843" w14:textId="71A57C4A"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Relationship between </w:t>
      </w:r>
      <w:r w:rsidR="001C61A7" w:rsidRPr="00F469F1">
        <w:rPr>
          <w:rFonts w:ascii="Book Antiqua" w:eastAsia="宋体" w:hAnsi="Book Antiqua" w:cs="Times New Roman"/>
          <w:b/>
          <w:i/>
          <w:sz w:val="24"/>
          <w:szCs w:val="24"/>
        </w:rPr>
        <w:t>gamma-</w:t>
      </w:r>
      <w:proofErr w:type="spellStart"/>
      <w:r w:rsidR="001C61A7" w:rsidRPr="00F469F1">
        <w:rPr>
          <w:rFonts w:ascii="Book Antiqua" w:eastAsia="宋体" w:hAnsi="Book Antiqua" w:cs="Times New Roman"/>
          <w:b/>
          <w:i/>
          <w:sz w:val="24"/>
          <w:szCs w:val="24"/>
        </w:rPr>
        <w:t>glutamyl</w:t>
      </w:r>
      <w:proofErr w:type="spellEnd"/>
      <w:r w:rsidR="001C61A7" w:rsidRPr="00F469F1">
        <w:rPr>
          <w:rFonts w:ascii="Book Antiqua" w:eastAsia="宋体" w:hAnsi="Book Antiqua" w:cs="Times New Roman"/>
          <w:b/>
          <w:i/>
          <w:sz w:val="24"/>
          <w:szCs w:val="24"/>
        </w:rPr>
        <w:t xml:space="preserve"> transferase–to–platelet ratio</w:t>
      </w:r>
      <w:r w:rsidRPr="00F469F1">
        <w:rPr>
          <w:rFonts w:ascii="Book Antiqua" w:eastAsia="宋体" w:hAnsi="Book Antiqua" w:cs="Times New Roman"/>
          <w:b/>
          <w:i/>
          <w:sz w:val="24"/>
          <w:szCs w:val="24"/>
        </w:rPr>
        <w:t xml:space="preserve"> and patients’ clinical characteristics</w:t>
      </w:r>
    </w:p>
    <w:p w14:paraId="250B1BC6" w14:textId="7B484961"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The optimal cutoff value for GPR obtained using the ROC analysis was 0.365. The cutoff values for other associated factors were obtained by the same method. We divided patients into a high and low group according to the cutoff values, and patients’ characteristics in each group are summarized in Table 2. Ninety-one patients had </w:t>
      </w:r>
      <w:r w:rsidR="000B6456">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GPR &lt; 0.365 (low-GPR group), and 39</w:t>
      </w:r>
      <w:r w:rsidR="000B6456">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had </w:t>
      </w:r>
      <w:r w:rsidR="000B6456">
        <w:rPr>
          <w:rFonts w:ascii="Book Antiqua" w:eastAsia="宋体" w:hAnsi="Book Antiqua" w:cs="Times New Roman"/>
          <w:sz w:val="24"/>
          <w:szCs w:val="24"/>
        </w:rPr>
        <w:lastRenderedPageBreak/>
        <w:t xml:space="preserve">a </w:t>
      </w:r>
      <w:r w:rsidRPr="00F469F1">
        <w:rPr>
          <w:rFonts w:ascii="Book Antiqua" w:eastAsia="宋体" w:hAnsi="Book Antiqua" w:cs="Times New Roman"/>
          <w:sz w:val="24"/>
          <w:szCs w:val="24"/>
        </w:rPr>
        <w:t xml:space="preserve">GPR ≥ 0.365 (high-GPR group). The frequency of jaundice was higher in the high-GPR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(4%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15%,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.001), and the proportion of patients with higher BMI was larger in the low-GPR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high-GPR group (73%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34%,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.001). The CA 19-9 level was also higher in the high-GPR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(42%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62%, respectively;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F51AD3" w:rsidRPr="00F469F1">
        <w:rPr>
          <w:rFonts w:ascii="Book Antiqua" w:eastAsia="宋体" w:hAnsi="Book Antiqua" w:cs="Times New Roman"/>
          <w:sz w:val="24"/>
          <w:szCs w:val="24"/>
        </w:rPr>
        <w:t>.049).</w:t>
      </w:r>
    </w:p>
    <w:p w14:paraId="36352EB5" w14:textId="1A4066F3"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The short-term clinical ou</w:t>
      </w:r>
      <w:r w:rsidR="00105CEC" w:rsidRPr="00F469F1">
        <w:rPr>
          <w:rFonts w:ascii="Book Antiqua" w:eastAsia="宋体" w:hAnsi="Book Antiqua" w:cs="Times New Roman"/>
          <w:sz w:val="24"/>
          <w:szCs w:val="24"/>
        </w:rPr>
        <w:t>tcomes are presented in Table 3</w:t>
      </w:r>
      <w:r w:rsidRPr="00F469F1">
        <w:rPr>
          <w:rFonts w:ascii="Book Antiqua" w:eastAsia="宋体" w:hAnsi="Book Antiqua" w:cs="Times New Roman"/>
          <w:sz w:val="24"/>
          <w:szCs w:val="24"/>
        </w:rPr>
        <w:t xml:space="preserve">. Patients in the high-GPR group had more postoperative complications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low-GPR group (16%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36%, respectively;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 xml:space="preserve">.015), and the median HOD was also higher in the high-GPR </w:t>
      </w:r>
      <w:r w:rsidR="00A627CD" w:rsidRPr="00F469F1">
        <w:rPr>
          <w:rFonts w:ascii="Book Antiqua" w:eastAsia="宋体" w:hAnsi="Book Antiqua" w:cs="Times New Roman"/>
          <w:sz w:val="24"/>
          <w:szCs w:val="24"/>
        </w:rPr>
        <w:t xml:space="preserve">group </w:t>
      </w:r>
      <w:r w:rsidR="00A627CD" w:rsidRPr="00F469F1">
        <w:rPr>
          <w:rFonts w:ascii="Book Antiqua" w:eastAsia="宋体" w:hAnsi="Book Antiqua" w:cs="Times New Roman"/>
          <w:i/>
          <w:sz w:val="24"/>
          <w:szCs w:val="24"/>
        </w:rPr>
        <w:t>vs</w:t>
      </w:r>
      <w:r w:rsidR="00A627CD" w:rsidRPr="00F469F1">
        <w:rPr>
          <w:rFonts w:ascii="Book Antiqua" w:eastAsia="宋体" w:hAnsi="Book Antiqua" w:cs="Times New Roman"/>
          <w:sz w:val="24"/>
          <w:szCs w:val="24"/>
        </w:rPr>
        <w:t xml:space="preserve"> the low-GPR group (13 </w:t>
      </w:r>
      <w:r w:rsidR="00A627CD" w:rsidRPr="00F469F1">
        <w:rPr>
          <w:rFonts w:ascii="Book Antiqua" w:eastAsia="宋体" w:hAnsi="Book Antiqua" w:cs="Times New Roman"/>
          <w:i/>
          <w:sz w:val="24"/>
          <w:szCs w:val="24"/>
        </w:rPr>
        <w:t>vs</w:t>
      </w:r>
      <w:r w:rsidR="00A627CD" w:rsidRPr="00F469F1">
        <w:rPr>
          <w:rFonts w:ascii="Book Antiqua" w:eastAsia="宋体" w:hAnsi="Book Antiqua" w:cs="Times New Roman"/>
          <w:sz w:val="24"/>
          <w:szCs w:val="24"/>
        </w:rPr>
        <w:t xml:space="preserve"> 19</w:t>
      </w:r>
      <w:r w:rsidRPr="00F469F1">
        <w:rPr>
          <w:rFonts w:ascii="Book Antiqua" w:eastAsia="宋体" w:hAnsi="Book Antiqua" w:cs="Times New Roman"/>
          <w:sz w:val="24"/>
          <w:szCs w:val="24"/>
        </w:rPr>
        <w:t xml:space="preserve">,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.001).</w:t>
      </w:r>
    </w:p>
    <w:p w14:paraId="314D9CF0" w14:textId="665E3A2E"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Kaplan–Meier curves for GPR are shown in Figure 1. The median OS for the low-GPR group </w:t>
      </w:r>
      <w:r w:rsidRPr="00F469F1">
        <w:rPr>
          <w:rFonts w:ascii="Book Antiqua" w:eastAsia="宋体" w:hAnsi="Book Antiqua" w:cs="Times New Roman"/>
          <w:i/>
          <w:sz w:val="24"/>
          <w:szCs w:val="24"/>
        </w:rPr>
        <w:t>vs</w:t>
      </w:r>
      <w:r w:rsidRPr="00F469F1">
        <w:rPr>
          <w:rFonts w:ascii="Book Antiqua" w:eastAsia="宋体" w:hAnsi="Book Antiqua" w:cs="Times New Roman"/>
          <w:sz w:val="24"/>
          <w:szCs w:val="24"/>
        </w:rPr>
        <w:t xml:space="preserve"> the high-GPR group was 31 </w:t>
      </w:r>
      <w:proofErr w:type="spellStart"/>
      <w:r w:rsidR="00F51AD3" w:rsidRPr="00F469F1">
        <w:rPr>
          <w:rFonts w:ascii="Book Antiqua" w:eastAsia="宋体" w:hAnsi="Book Antiqua" w:cs="Times New Roman"/>
          <w:sz w:val="24"/>
          <w:szCs w:val="24"/>
        </w:rPr>
        <w:t>mo</w:t>
      </w:r>
      <w:proofErr w:type="spellEnd"/>
      <w:r w:rsidR="00F51AD3"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and 9</w:t>
      </w:r>
      <w:r w:rsidR="00647965" w:rsidRPr="00F469F1">
        <w:rPr>
          <w:rFonts w:ascii="Book Antiqua" w:eastAsia="宋体" w:hAnsi="Book Antiqua" w:cs="Times New Roman"/>
          <w:sz w:val="24"/>
          <w:szCs w:val="24"/>
        </w:rPr>
        <w:t xml:space="preserve"> </w:t>
      </w:r>
      <w:proofErr w:type="spellStart"/>
      <w:r w:rsidR="00F51AD3" w:rsidRPr="00F469F1">
        <w:rPr>
          <w:rFonts w:ascii="Book Antiqua" w:eastAsia="宋体" w:hAnsi="Book Antiqua" w:cs="Times New Roman"/>
          <w:sz w:val="24"/>
          <w:szCs w:val="24"/>
        </w:rPr>
        <w:t>mo</w:t>
      </w:r>
      <w:proofErr w:type="spellEnd"/>
      <w:r w:rsidR="00647965" w:rsidRPr="00F469F1">
        <w:rPr>
          <w:rFonts w:ascii="Book Antiqua" w:eastAsia="宋体" w:hAnsi="Book Antiqua" w:cs="Times New Roman"/>
          <w:sz w:val="24"/>
          <w:szCs w:val="24"/>
        </w:rPr>
        <w:t>, respectively (</w:t>
      </w:r>
      <w:r w:rsidR="000E3198"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w:t>
      </w:r>
      <w:r w:rsidR="006D1E96" w:rsidRPr="00F469F1">
        <w:rPr>
          <w:rFonts w:ascii="Book Antiqua" w:eastAsia="宋体" w:hAnsi="Book Antiqua" w:cs="Times New Roman"/>
          <w:sz w:val="24"/>
          <w:szCs w:val="24"/>
        </w:rPr>
        <w:t>0</w:t>
      </w:r>
      <w:r w:rsidRPr="00F469F1">
        <w:rPr>
          <w:rFonts w:ascii="Book Antiqua" w:eastAsia="宋体" w:hAnsi="Book Antiqua" w:cs="Times New Roman"/>
          <w:sz w:val="24"/>
          <w:szCs w:val="24"/>
        </w:rPr>
        <w:t>1).</w:t>
      </w:r>
      <w:r w:rsidR="00647965" w:rsidRPr="00F469F1">
        <w:rPr>
          <w:rFonts w:ascii="Book Antiqua" w:eastAsia="宋体" w:hAnsi="Book Antiqua" w:cs="Times New Roman"/>
          <w:sz w:val="24"/>
          <w:szCs w:val="24"/>
        </w:rPr>
        <w:t xml:space="preserve"> </w:t>
      </w:r>
      <w:r w:rsidR="00BF7D3B" w:rsidRPr="00F469F1">
        <w:rPr>
          <w:rFonts w:ascii="Book Antiqua" w:eastAsia="宋体" w:hAnsi="Book Antiqua" w:cs="Times New Roman"/>
          <w:sz w:val="24"/>
          <w:szCs w:val="24"/>
        </w:rPr>
        <w:t>Subgroup Kaplan-Meier analysis for TNM stage</w:t>
      </w:r>
      <w:r w:rsidR="000B6456">
        <w:rPr>
          <w:rFonts w:ascii="Book Antiqua" w:eastAsia="宋体" w:hAnsi="Book Antiqua" w:cs="Times New Roman"/>
          <w:sz w:val="24"/>
          <w:szCs w:val="24"/>
        </w:rPr>
        <w:t>s</w:t>
      </w:r>
      <w:r w:rsidR="00BF7D3B" w:rsidRPr="00F469F1">
        <w:rPr>
          <w:rFonts w:ascii="Book Antiqua" w:eastAsia="宋体" w:hAnsi="Book Antiqua" w:cs="Times New Roman"/>
          <w:sz w:val="24"/>
          <w:szCs w:val="24"/>
        </w:rPr>
        <w:t xml:space="preserve"> I-</w:t>
      </w:r>
      <w:proofErr w:type="spellStart"/>
      <w:r w:rsidR="00BF7D3B" w:rsidRPr="00F469F1">
        <w:rPr>
          <w:rFonts w:ascii="Book Antiqua" w:eastAsia="宋体" w:hAnsi="Book Antiqua" w:cs="Times New Roman"/>
          <w:sz w:val="24"/>
          <w:szCs w:val="24"/>
        </w:rPr>
        <w:t>IIIa</w:t>
      </w:r>
      <w:proofErr w:type="spellEnd"/>
      <w:r w:rsidR="00A012C9" w:rsidRPr="00F469F1">
        <w:rPr>
          <w:rFonts w:ascii="Book Antiqua" w:eastAsia="宋体" w:hAnsi="Book Antiqua" w:cs="Times New Roman"/>
          <w:sz w:val="24"/>
          <w:szCs w:val="24"/>
        </w:rPr>
        <w:t xml:space="preserve"> (</w:t>
      </w:r>
      <w:r w:rsidR="00A012C9"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A012C9"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A012C9" w:rsidRPr="00F469F1">
        <w:rPr>
          <w:rFonts w:ascii="Book Antiqua" w:eastAsia="宋体" w:hAnsi="Book Antiqua" w:cs="Times New Roman"/>
          <w:sz w:val="24"/>
          <w:szCs w:val="24"/>
        </w:rPr>
        <w:t>.0001)</w:t>
      </w:r>
      <w:r w:rsidR="00BF7D3B" w:rsidRPr="00F469F1">
        <w:rPr>
          <w:rFonts w:ascii="Book Antiqua" w:eastAsia="宋体" w:hAnsi="Book Antiqua" w:cs="Times New Roman"/>
          <w:sz w:val="24"/>
          <w:szCs w:val="24"/>
        </w:rPr>
        <w:t xml:space="preserve"> and </w:t>
      </w:r>
      <w:proofErr w:type="spellStart"/>
      <w:r w:rsidR="00BF7D3B" w:rsidRPr="00F469F1">
        <w:rPr>
          <w:rFonts w:ascii="Book Antiqua" w:eastAsia="宋体" w:hAnsi="Book Antiqua" w:cs="Times New Roman"/>
          <w:sz w:val="24"/>
          <w:szCs w:val="24"/>
        </w:rPr>
        <w:t>IIIb</w:t>
      </w:r>
      <w:proofErr w:type="spellEnd"/>
      <w:r w:rsidR="00BF7D3B" w:rsidRPr="00F469F1">
        <w:rPr>
          <w:rFonts w:ascii="Book Antiqua" w:eastAsia="宋体" w:hAnsi="Book Antiqua" w:cs="Times New Roman"/>
          <w:sz w:val="24"/>
          <w:szCs w:val="24"/>
        </w:rPr>
        <w:t>-IV</w:t>
      </w:r>
      <w:r w:rsidR="00A012C9" w:rsidRPr="00F469F1">
        <w:rPr>
          <w:rFonts w:ascii="Book Antiqua" w:eastAsia="宋体" w:hAnsi="Book Antiqua" w:cs="Times New Roman"/>
          <w:sz w:val="24"/>
          <w:szCs w:val="24"/>
        </w:rPr>
        <w:t xml:space="preserve"> (</w:t>
      </w:r>
      <w:r w:rsidR="00A012C9" w:rsidRPr="00F469F1">
        <w:rPr>
          <w:rFonts w:ascii="Book Antiqua" w:eastAsia="宋体" w:hAnsi="Book Antiqua" w:cs="Times New Roman"/>
          <w:i/>
          <w:sz w:val="24"/>
          <w:szCs w:val="24"/>
        </w:rPr>
        <w:t>P</w:t>
      </w:r>
      <w:r w:rsidR="0058540A" w:rsidRPr="00F469F1">
        <w:rPr>
          <w:rFonts w:ascii="Book Antiqua" w:eastAsia="宋体" w:hAnsi="Book Antiqua" w:cs="Times New Roman"/>
          <w:i/>
          <w:sz w:val="24"/>
          <w:szCs w:val="24"/>
        </w:rPr>
        <w:t xml:space="preserve"> </w:t>
      </w:r>
      <w:r w:rsidR="00A012C9" w:rsidRPr="00F469F1">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A012C9" w:rsidRPr="00F469F1">
        <w:rPr>
          <w:rFonts w:ascii="Book Antiqua" w:eastAsia="宋体" w:hAnsi="Book Antiqua" w:cs="Times New Roman"/>
          <w:sz w:val="24"/>
          <w:szCs w:val="24"/>
        </w:rPr>
        <w:t>.047)</w:t>
      </w:r>
      <w:r w:rsidR="00BF7D3B" w:rsidRPr="00F469F1">
        <w:rPr>
          <w:rFonts w:ascii="Book Antiqua" w:eastAsia="宋体" w:hAnsi="Book Antiqua" w:cs="Times New Roman"/>
          <w:sz w:val="24"/>
          <w:szCs w:val="24"/>
        </w:rPr>
        <w:t xml:space="preserve"> both show</w:t>
      </w:r>
      <w:r w:rsidR="000B6456">
        <w:rPr>
          <w:rFonts w:ascii="Book Antiqua" w:eastAsia="宋体" w:hAnsi="Book Antiqua" w:cs="Times New Roman"/>
          <w:sz w:val="24"/>
          <w:szCs w:val="24"/>
        </w:rPr>
        <w:t>ed</w:t>
      </w:r>
      <w:r w:rsidR="00BF7D3B" w:rsidRPr="00F469F1">
        <w:rPr>
          <w:rFonts w:ascii="Book Antiqua" w:eastAsia="宋体" w:hAnsi="Book Antiqua" w:cs="Times New Roman"/>
          <w:sz w:val="24"/>
          <w:szCs w:val="24"/>
        </w:rPr>
        <w:t xml:space="preserve"> </w:t>
      </w:r>
      <w:r w:rsidR="000B6456">
        <w:rPr>
          <w:rFonts w:ascii="Book Antiqua" w:eastAsia="宋体" w:hAnsi="Book Antiqua" w:cs="Times New Roman"/>
          <w:sz w:val="24"/>
          <w:szCs w:val="24"/>
        </w:rPr>
        <w:t xml:space="preserve">a </w:t>
      </w:r>
      <w:r w:rsidR="00BF7D3B" w:rsidRPr="00F469F1">
        <w:rPr>
          <w:rFonts w:ascii="Book Antiqua" w:eastAsia="宋体" w:hAnsi="Book Antiqua" w:cs="Times New Roman"/>
          <w:sz w:val="24"/>
          <w:szCs w:val="24"/>
        </w:rPr>
        <w:t xml:space="preserve">significant difference between </w:t>
      </w:r>
      <w:r w:rsidR="000B6456">
        <w:rPr>
          <w:rFonts w:ascii="Book Antiqua" w:eastAsia="宋体" w:hAnsi="Book Antiqua" w:cs="Times New Roman"/>
          <w:sz w:val="24"/>
          <w:szCs w:val="24"/>
        </w:rPr>
        <w:t xml:space="preserve">the </w:t>
      </w:r>
      <w:r w:rsidR="00BF7D3B" w:rsidRPr="00F469F1">
        <w:rPr>
          <w:rFonts w:ascii="Book Antiqua" w:eastAsia="宋体" w:hAnsi="Book Antiqua" w:cs="Times New Roman"/>
          <w:sz w:val="24"/>
          <w:szCs w:val="24"/>
        </w:rPr>
        <w:t>low GPR group and high GPR group (Figure 2).</w:t>
      </w:r>
    </w:p>
    <w:p w14:paraId="098A6C19" w14:textId="0BD8BA0D" w:rsidR="00E6688E" w:rsidRPr="00F469F1" w:rsidRDefault="00E6688E"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Univariate analysis showed that OS was significantly associated with age &gt; 60 years, jaundice, cancer cell differentiation stage, BMI &lt; 22.5 kg/m</w:t>
      </w:r>
      <w:r w:rsidRPr="00F469F1">
        <w:rPr>
          <w:rFonts w:ascii="Book Antiqua" w:eastAsia="宋体" w:hAnsi="Book Antiqua" w:cs="Times New Roman"/>
          <w:sz w:val="24"/>
          <w:szCs w:val="24"/>
          <w:vertAlign w:val="superscript"/>
        </w:rPr>
        <w:t>2</w:t>
      </w:r>
      <w:r w:rsidRPr="00F469F1">
        <w:rPr>
          <w:rFonts w:ascii="Book Antiqua" w:eastAsia="宋体" w:hAnsi="Book Antiqua" w:cs="Times New Roman"/>
          <w:sz w:val="24"/>
          <w:szCs w:val="24"/>
        </w:rPr>
        <w:t>, C</w:t>
      </w:r>
      <w:r w:rsidR="00087319" w:rsidRPr="00F469F1">
        <w:rPr>
          <w:rFonts w:ascii="Book Antiqua" w:eastAsia="宋体" w:hAnsi="Book Antiqua" w:cs="Times New Roman"/>
          <w:sz w:val="24"/>
          <w:szCs w:val="24"/>
        </w:rPr>
        <w:t>EA &gt; 5.30 ng/m</w:t>
      </w:r>
      <w:r w:rsidR="00F73B64" w:rsidRPr="00F469F1">
        <w:rPr>
          <w:rFonts w:ascii="Book Antiqua" w:eastAsia="宋体" w:hAnsi="Book Antiqua" w:cs="Times New Roman"/>
          <w:sz w:val="24"/>
          <w:szCs w:val="24"/>
        </w:rPr>
        <w:t>L</w:t>
      </w:r>
      <w:r w:rsidR="00087319" w:rsidRPr="00F469F1">
        <w:rPr>
          <w:rFonts w:ascii="Book Antiqua" w:eastAsia="宋体" w:hAnsi="Book Antiqua" w:cs="Times New Roman"/>
          <w:sz w:val="24"/>
          <w:szCs w:val="24"/>
        </w:rPr>
        <w:t>, CA 19-9 &gt; 47.8</w:t>
      </w:r>
      <w:r w:rsidRPr="00F469F1">
        <w:rPr>
          <w:rFonts w:ascii="Book Antiqua" w:eastAsia="宋体" w:hAnsi="Book Antiqua" w:cs="Times New Roman"/>
          <w:sz w:val="24"/>
          <w:szCs w:val="24"/>
        </w:rPr>
        <w:t xml:space="preserve"> U/m</w:t>
      </w:r>
      <w:r w:rsidR="00F73B64" w:rsidRPr="00F469F1">
        <w:rPr>
          <w:rFonts w:ascii="Book Antiqua" w:eastAsia="宋体" w:hAnsi="Book Antiqua" w:cs="Times New Roman"/>
          <w:sz w:val="24"/>
          <w:szCs w:val="24"/>
        </w:rPr>
        <w:t>L</w:t>
      </w:r>
      <w:r w:rsidRPr="00F469F1">
        <w:rPr>
          <w:rFonts w:ascii="Book Antiqua" w:eastAsia="宋体" w:hAnsi="Book Antiqua" w:cs="Times New Roman"/>
          <w:sz w:val="24"/>
          <w:szCs w:val="24"/>
        </w:rPr>
        <w:t>, TNM stage, and GPR &gt; 0.365 (high-GPR group). Multivariate analysis identified four independent facto</w:t>
      </w:r>
      <w:r w:rsidR="00F51AD3" w:rsidRPr="00F469F1">
        <w:rPr>
          <w:rFonts w:ascii="Book Antiqua" w:eastAsia="宋体" w:hAnsi="Book Antiqua" w:cs="Times New Roman"/>
          <w:sz w:val="24"/>
          <w:szCs w:val="24"/>
        </w:rPr>
        <w:t xml:space="preserve">rs for poor OS: </w:t>
      </w:r>
      <w:r w:rsidR="00D60F4E">
        <w:rPr>
          <w:rFonts w:ascii="Book Antiqua" w:eastAsia="宋体" w:hAnsi="Book Antiqua" w:cs="Times New Roman" w:hint="eastAsia"/>
          <w:sz w:val="24"/>
          <w:szCs w:val="24"/>
        </w:rPr>
        <w:t>A</w:t>
      </w:r>
      <w:r w:rsidR="00F51AD3" w:rsidRPr="00F469F1">
        <w:rPr>
          <w:rFonts w:ascii="Book Antiqua" w:eastAsia="宋体" w:hAnsi="Book Antiqua" w:cs="Times New Roman"/>
          <w:sz w:val="24"/>
          <w:szCs w:val="24"/>
        </w:rPr>
        <w:t>ge &gt; 60 years [</w:t>
      </w:r>
      <w:r w:rsidRPr="00F469F1">
        <w:rPr>
          <w:rFonts w:ascii="Book Antiqua" w:eastAsia="宋体" w:hAnsi="Book Antiqua" w:cs="Times New Roman"/>
          <w:sz w:val="24"/>
          <w:szCs w:val="24"/>
        </w:rPr>
        <w:t>hazard ratio (HR</w:t>
      </w:r>
      <w:r w:rsidR="000B6456" w:rsidRPr="00F469F1">
        <w:rPr>
          <w:rFonts w:ascii="Book Antiqua" w:eastAsia="宋体" w:hAnsi="Book Antiqua" w:cs="Times New Roman"/>
          <w:sz w:val="24"/>
          <w:szCs w:val="24"/>
        </w:rPr>
        <w:t>)</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1.976, 95% confidence interval (CI): 1.063–3.675;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F51AD3" w:rsidRPr="00F469F1">
        <w:rPr>
          <w:rFonts w:ascii="Book Antiqua" w:eastAsia="宋体" w:hAnsi="Book Antiqua" w:cs="Times New Roman"/>
          <w:sz w:val="24"/>
          <w:szCs w:val="24"/>
        </w:rPr>
        <w:t>.031]</w:t>
      </w:r>
      <w:r w:rsidRPr="00F469F1">
        <w:rPr>
          <w:rFonts w:ascii="Book Antiqua" w:eastAsia="宋体" w:hAnsi="Book Antiqua" w:cs="Times New Roman"/>
          <w:sz w:val="24"/>
          <w:szCs w:val="24"/>
        </w:rPr>
        <w:t>, BMI ≤ 22.5 kg/m</w:t>
      </w:r>
      <w:r w:rsidRPr="00F469F1">
        <w:rPr>
          <w:rFonts w:ascii="Book Antiqua" w:eastAsia="宋体" w:hAnsi="Book Antiqua" w:cs="Times New Roman"/>
          <w:sz w:val="24"/>
          <w:szCs w:val="24"/>
          <w:vertAlign w:val="superscript"/>
        </w:rPr>
        <w:t>2</w:t>
      </w:r>
      <w:r w:rsidR="00F51AD3" w:rsidRPr="00F469F1">
        <w:rPr>
          <w:rFonts w:ascii="Book Antiqua" w:eastAsia="宋体" w:hAnsi="Book Antiqua" w:cs="Times New Roman"/>
          <w:sz w:val="24"/>
          <w:szCs w:val="24"/>
        </w:rPr>
        <w:t xml:space="preserve"> (HR</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00F51AD3" w:rsidRPr="00F469F1">
        <w:rPr>
          <w:rFonts w:ascii="Book Antiqua" w:eastAsia="宋体" w:hAnsi="Book Antiqua" w:cs="Times New Roman"/>
          <w:sz w:val="24"/>
          <w:szCs w:val="24"/>
        </w:rPr>
        <w:t>2.776, 95%</w:t>
      </w:r>
      <w:r w:rsidRPr="00F469F1">
        <w:rPr>
          <w:rFonts w:ascii="Book Antiqua" w:eastAsia="宋体" w:hAnsi="Book Antiqua" w:cs="Times New Roman"/>
          <w:sz w:val="24"/>
          <w:szCs w:val="24"/>
        </w:rPr>
        <w:t xml:space="preserve">CI: 1.394–5.529;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w:t>
      </w:r>
      <w:r w:rsidR="00356063">
        <w:rPr>
          <w:rFonts w:ascii="Book Antiqua" w:eastAsia="宋体" w:hAnsi="Book Antiqua" w:cs="Times New Roman"/>
          <w:sz w:val="24"/>
          <w:szCs w:val="24"/>
        </w:rPr>
        <w:t>004), TNM stage (HR</w:t>
      </w:r>
      <w:r w:rsidR="000B6456">
        <w:rPr>
          <w:rFonts w:ascii="Book Antiqua" w:eastAsia="宋体" w:hAnsi="Book Antiqua" w:cs="Times New Roman"/>
          <w:sz w:val="24"/>
          <w:szCs w:val="24"/>
        </w:rPr>
        <w:t xml:space="preserve"> = </w:t>
      </w:r>
      <w:r w:rsidR="00356063">
        <w:rPr>
          <w:rFonts w:ascii="Book Antiqua" w:eastAsia="宋体" w:hAnsi="Book Antiqua" w:cs="Times New Roman"/>
          <w:sz w:val="24"/>
          <w:szCs w:val="24"/>
        </w:rPr>
        <w:t>9.093, 95%</w:t>
      </w:r>
      <w:r w:rsidRPr="00F469F1">
        <w:rPr>
          <w:rFonts w:ascii="Book Antiqua" w:eastAsia="宋体" w:hAnsi="Book Antiqua" w:cs="Times New Roman"/>
          <w:sz w:val="24"/>
          <w:szCs w:val="24"/>
        </w:rPr>
        <w:t xml:space="preserve">CI: 0.998–82.830;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.050), and GPR &gt; 0.365 (</w:t>
      </w:r>
      <w:r w:rsidR="00F51AD3" w:rsidRPr="00F469F1">
        <w:rPr>
          <w:rFonts w:ascii="Book Antiqua" w:eastAsia="宋体" w:hAnsi="Book Antiqua" w:cs="Times New Roman"/>
          <w:sz w:val="24"/>
          <w:szCs w:val="24"/>
        </w:rPr>
        <w:t>high-GPR group) (HR</w:t>
      </w:r>
      <w:r w:rsidR="000B6456">
        <w:rPr>
          <w:rFonts w:ascii="Book Antiqua" w:eastAsia="宋体" w:hAnsi="Book Antiqua" w:cs="Times New Roman"/>
          <w:sz w:val="24"/>
          <w:szCs w:val="24"/>
        </w:rPr>
        <w:t xml:space="preserve"> =</w:t>
      </w:r>
      <w:r w:rsidR="000B6456" w:rsidRPr="00F469F1">
        <w:rPr>
          <w:rFonts w:ascii="Book Antiqua" w:eastAsia="宋体" w:hAnsi="Book Antiqua" w:cs="Times New Roman"/>
          <w:sz w:val="24"/>
          <w:szCs w:val="24"/>
        </w:rPr>
        <w:t xml:space="preserve"> </w:t>
      </w:r>
      <w:r w:rsidR="00F51AD3" w:rsidRPr="00F469F1">
        <w:rPr>
          <w:rFonts w:ascii="Book Antiqua" w:eastAsia="宋体" w:hAnsi="Book Antiqua" w:cs="Times New Roman"/>
          <w:sz w:val="24"/>
          <w:szCs w:val="24"/>
        </w:rPr>
        <w:t>1.974, 95%</w:t>
      </w:r>
      <w:r w:rsidRPr="00F469F1">
        <w:rPr>
          <w:rFonts w:ascii="Book Antiqua" w:eastAsia="宋体" w:hAnsi="Book Antiqua" w:cs="Times New Roman"/>
          <w:sz w:val="24"/>
          <w:szCs w:val="24"/>
        </w:rPr>
        <w:t>C</w:t>
      </w:r>
      <w:r w:rsidR="00B86C9A" w:rsidRPr="00F469F1">
        <w:rPr>
          <w:rFonts w:ascii="Book Antiqua" w:eastAsia="宋体" w:hAnsi="Book Antiqua" w:cs="Times New Roman"/>
          <w:sz w:val="24"/>
          <w:szCs w:val="24"/>
        </w:rPr>
        <w:t>I</w:t>
      </w:r>
      <w:r w:rsidRPr="00F469F1">
        <w:rPr>
          <w:rFonts w:ascii="Book Antiqua" w:eastAsia="宋体" w:hAnsi="Book Antiqua" w:cs="Times New Roman"/>
          <w:sz w:val="24"/>
          <w:szCs w:val="24"/>
        </w:rPr>
        <w:t xml:space="preserve">: 1.008–3.867; </w:t>
      </w:r>
      <w:r w:rsidR="000E3198" w:rsidRPr="00F469F1">
        <w:rPr>
          <w:rFonts w:ascii="Book Antiqua" w:eastAsia="宋体" w:hAnsi="Book Antiqua" w:cs="Times New Roman"/>
          <w:i/>
          <w:sz w:val="24"/>
          <w:szCs w:val="24"/>
        </w:rPr>
        <w:t>P</w:t>
      </w:r>
      <w:r w:rsidR="004B3D62" w:rsidRPr="00F469F1">
        <w:rPr>
          <w:rFonts w:ascii="Book Antiqua" w:eastAsia="宋体" w:hAnsi="Book Antiqua" w:cs="Times New Roman"/>
          <w:i/>
          <w:sz w:val="24"/>
          <w:szCs w:val="24"/>
        </w:rPr>
        <w:t xml:space="preserve"> </w:t>
      </w:r>
      <w:r w:rsidR="000E3198" w:rsidRPr="00F469F1">
        <w:rPr>
          <w:rFonts w:ascii="Book Antiqua" w:eastAsia="宋体" w:hAnsi="Book Antiqua" w:cs="Times New Roman"/>
          <w:sz w:val="24"/>
          <w:szCs w:val="24"/>
        </w:rPr>
        <w:t>=</w:t>
      </w:r>
      <w:r w:rsidR="004B3D62" w:rsidRPr="00F469F1">
        <w:rPr>
          <w:rFonts w:ascii="Book Antiqua" w:eastAsia="宋体" w:hAnsi="Book Antiqua" w:cs="Times New Roman"/>
          <w:sz w:val="24"/>
          <w:szCs w:val="24"/>
        </w:rPr>
        <w:t xml:space="preserve"> </w:t>
      </w:r>
      <w:r w:rsidR="006C54FA" w:rsidRPr="00F469F1">
        <w:rPr>
          <w:rFonts w:ascii="Book Antiqua" w:eastAsia="宋体" w:hAnsi="Book Antiqua" w:cs="Times New Roman"/>
          <w:sz w:val="24"/>
          <w:szCs w:val="24"/>
        </w:rPr>
        <w:t>0</w:t>
      </w:r>
      <w:r w:rsidR="00105CEC" w:rsidRPr="00F469F1">
        <w:rPr>
          <w:rFonts w:ascii="Book Antiqua" w:eastAsia="宋体" w:hAnsi="Book Antiqua" w:cs="Times New Roman"/>
          <w:sz w:val="24"/>
          <w:szCs w:val="24"/>
        </w:rPr>
        <w:t>.047) (Table 4</w:t>
      </w:r>
      <w:r w:rsidRPr="00F469F1">
        <w:rPr>
          <w:rFonts w:ascii="Book Antiqua" w:eastAsia="宋体" w:hAnsi="Book Antiqua" w:cs="Times New Roman"/>
          <w:sz w:val="24"/>
          <w:szCs w:val="24"/>
        </w:rPr>
        <w:t>).</w:t>
      </w:r>
    </w:p>
    <w:p w14:paraId="66B9C392"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1E61A472" w14:textId="0FB7FB84"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Development and verification of </w:t>
      </w:r>
      <w:r w:rsidR="000B6456">
        <w:rPr>
          <w:rFonts w:ascii="Book Antiqua" w:eastAsia="宋体" w:hAnsi="Book Antiqua" w:cs="Times New Roman"/>
          <w:b/>
          <w:i/>
          <w:sz w:val="24"/>
          <w:szCs w:val="24"/>
        </w:rPr>
        <w:t>a</w:t>
      </w:r>
      <w:r w:rsidR="000B6456" w:rsidRPr="00F469F1">
        <w:rPr>
          <w:rFonts w:ascii="Book Antiqua" w:eastAsia="宋体" w:hAnsi="Book Antiqua" w:cs="Times New Roman"/>
          <w:b/>
          <w:i/>
          <w:sz w:val="24"/>
          <w:szCs w:val="24"/>
        </w:rPr>
        <w:t xml:space="preserve"> </w:t>
      </w:r>
      <w:r w:rsidRPr="00F469F1">
        <w:rPr>
          <w:rFonts w:ascii="Book Antiqua" w:eastAsia="宋体" w:hAnsi="Book Antiqua" w:cs="Times New Roman"/>
          <w:b/>
          <w:i/>
          <w:sz w:val="24"/>
          <w:szCs w:val="24"/>
        </w:rPr>
        <w:t>nomogram</w:t>
      </w:r>
    </w:p>
    <w:p w14:paraId="22EE6715" w14:textId="4A8F0E59"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Multivariate Cox regression analysis identified age, BMI, TNM stage, and GPR as independent predictors for prog</w:t>
      </w:r>
      <w:r w:rsidR="00105CEC" w:rsidRPr="00F469F1">
        <w:rPr>
          <w:rFonts w:ascii="Book Antiqua" w:eastAsia="宋体" w:hAnsi="Book Antiqua" w:cs="Times New Roman"/>
          <w:sz w:val="24"/>
          <w:szCs w:val="24"/>
        </w:rPr>
        <w:t>nosis prediction of GBC (Table 4</w:t>
      </w:r>
      <w:r w:rsidRPr="00F469F1">
        <w:rPr>
          <w:rFonts w:ascii="Book Antiqua" w:eastAsia="宋体" w:hAnsi="Book Antiqua" w:cs="Times New Roman"/>
          <w:sz w:val="24"/>
          <w:szCs w:val="24"/>
        </w:rPr>
        <w:t>). The model incorporating the independent parameters is sh</w:t>
      </w:r>
      <w:r w:rsidR="006F2BF2" w:rsidRPr="00F469F1">
        <w:rPr>
          <w:rFonts w:ascii="Book Antiqua" w:eastAsia="宋体" w:hAnsi="Book Antiqua" w:cs="Times New Roman"/>
          <w:sz w:val="24"/>
          <w:szCs w:val="24"/>
        </w:rPr>
        <w:t xml:space="preserve">own as </w:t>
      </w:r>
      <w:r w:rsidR="000B6456">
        <w:rPr>
          <w:rFonts w:ascii="Book Antiqua" w:eastAsia="宋体" w:hAnsi="Book Antiqua" w:cs="Times New Roman"/>
          <w:sz w:val="24"/>
          <w:szCs w:val="24"/>
        </w:rPr>
        <w:t xml:space="preserve">a </w:t>
      </w:r>
      <w:r w:rsidR="006F2BF2" w:rsidRPr="00F469F1">
        <w:rPr>
          <w:rFonts w:ascii="Book Antiqua" w:eastAsia="宋体" w:hAnsi="Book Antiqua" w:cs="Times New Roman"/>
          <w:sz w:val="24"/>
          <w:szCs w:val="24"/>
        </w:rPr>
        <w:t>nomogram in Figure 3</w:t>
      </w:r>
      <w:r w:rsidR="000E3198" w:rsidRPr="00F469F1">
        <w:rPr>
          <w:rFonts w:ascii="Book Antiqua" w:eastAsia="宋体" w:hAnsi="Book Antiqua" w:cs="Times New Roman"/>
          <w:sz w:val="24"/>
          <w:szCs w:val="24"/>
        </w:rPr>
        <w:t>A</w:t>
      </w:r>
      <w:r w:rsidRPr="00F469F1">
        <w:rPr>
          <w:rFonts w:ascii="Book Antiqua" w:eastAsia="宋体" w:hAnsi="Book Antiqua" w:cs="Times New Roman"/>
          <w:sz w:val="24"/>
          <w:szCs w:val="24"/>
        </w:rPr>
        <w:t>. The 1-, 3-, and 5-year calibration curves for OS prediction of the nomogram demonstrated good agreement between nomogram prediction and actual observation (Fig</w:t>
      </w:r>
      <w:r w:rsidR="006F2BF2" w:rsidRPr="00F469F1">
        <w:rPr>
          <w:rFonts w:ascii="Book Antiqua" w:eastAsia="宋体" w:hAnsi="Book Antiqua" w:cs="Times New Roman"/>
          <w:sz w:val="24"/>
          <w:szCs w:val="24"/>
        </w:rPr>
        <w:t>ure 3</w:t>
      </w:r>
      <w:r w:rsidR="000E3198" w:rsidRPr="00F469F1">
        <w:rPr>
          <w:rFonts w:ascii="Book Antiqua" w:eastAsia="宋体" w:hAnsi="Book Antiqua" w:cs="Times New Roman"/>
          <w:sz w:val="24"/>
          <w:szCs w:val="24"/>
        </w:rPr>
        <w:t>B–D</w:t>
      </w:r>
      <w:r w:rsidRPr="00F469F1">
        <w:rPr>
          <w:rFonts w:ascii="Book Antiqua" w:eastAsia="宋体" w:hAnsi="Book Antiqua" w:cs="Times New Roman"/>
          <w:sz w:val="24"/>
          <w:szCs w:val="24"/>
        </w:rPr>
        <w:t>). The C-index for the pre</w:t>
      </w:r>
      <w:r w:rsidR="00F51AD3" w:rsidRPr="00F469F1">
        <w:rPr>
          <w:rFonts w:ascii="Book Antiqua" w:eastAsia="宋体" w:hAnsi="Book Antiqua" w:cs="Times New Roman"/>
          <w:sz w:val="24"/>
          <w:szCs w:val="24"/>
        </w:rPr>
        <w:t xml:space="preserve">diction </w:t>
      </w:r>
      <w:r w:rsidR="00F51AD3" w:rsidRPr="00F469F1">
        <w:rPr>
          <w:rFonts w:ascii="Book Antiqua" w:eastAsia="宋体" w:hAnsi="Book Antiqua" w:cs="Times New Roman"/>
          <w:sz w:val="24"/>
          <w:szCs w:val="24"/>
        </w:rPr>
        <w:lastRenderedPageBreak/>
        <w:t>nomogram was 0.770 (95%</w:t>
      </w:r>
      <w:r w:rsidRPr="00F469F1">
        <w:rPr>
          <w:rFonts w:ascii="Book Antiqua" w:eastAsia="宋体" w:hAnsi="Book Antiqua" w:cs="Times New Roman"/>
          <w:sz w:val="24"/>
          <w:szCs w:val="24"/>
        </w:rPr>
        <w:t>Cl: 0.717–0.823) by internal bootstrapping validation.</w:t>
      </w:r>
    </w:p>
    <w:p w14:paraId="3693D8D8" w14:textId="77777777" w:rsidR="001A5EED" w:rsidRPr="00F469F1" w:rsidRDefault="001A5EED" w:rsidP="00F469F1">
      <w:pPr>
        <w:widowControl/>
        <w:snapToGrid w:val="0"/>
        <w:spacing w:line="360" w:lineRule="auto"/>
        <w:rPr>
          <w:rFonts w:ascii="Book Antiqua" w:eastAsia="宋体" w:hAnsi="Book Antiqua" w:cs="Times New Roman"/>
          <w:sz w:val="24"/>
          <w:szCs w:val="24"/>
        </w:rPr>
      </w:pPr>
    </w:p>
    <w:p w14:paraId="2EF556EA" w14:textId="6D264711" w:rsidR="00E6688E" w:rsidRPr="00F469F1" w:rsidRDefault="00E6688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Comparing different prediction models or factors</w:t>
      </w:r>
    </w:p>
    <w:p w14:paraId="15141106" w14:textId="6C9C7CB5" w:rsidR="00E6688E" w:rsidRPr="00F469F1" w:rsidRDefault="00E6688E"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Time-dependent ROC curves for the 1-, 3-, and 5-year OS rates were generated to compare the performance of several prediction models or factors, and </w:t>
      </w:r>
      <w:r w:rsidR="000B6456">
        <w:rPr>
          <w:rFonts w:ascii="Book Antiqua" w:eastAsia="宋体" w:hAnsi="Book Antiqua" w:cs="Times New Roman"/>
          <w:sz w:val="24"/>
          <w:szCs w:val="24"/>
        </w:rPr>
        <w:t xml:space="preserve">the </w:t>
      </w:r>
      <w:r w:rsidRPr="00F469F1">
        <w:rPr>
          <w:rFonts w:ascii="Book Antiqua" w:eastAsia="宋体" w:hAnsi="Book Antiqua" w:cs="Times New Roman"/>
          <w:sz w:val="24"/>
          <w:szCs w:val="24"/>
        </w:rPr>
        <w:t>results showed that the nomogram model was superior to the other models (Fig</w:t>
      </w:r>
      <w:r w:rsidR="000E3198" w:rsidRPr="00F469F1">
        <w:rPr>
          <w:rFonts w:ascii="Book Antiqua" w:eastAsia="宋体" w:hAnsi="Book Antiqua" w:cs="Times New Roman"/>
          <w:sz w:val="24"/>
          <w:szCs w:val="24"/>
        </w:rPr>
        <w:t>ure</w:t>
      </w:r>
      <w:r w:rsidR="006F2BF2" w:rsidRPr="00F469F1">
        <w:rPr>
          <w:rFonts w:ascii="Book Antiqua" w:eastAsia="宋体" w:hAnsi="Book Antiqua" w:cs="Times New Roman"/>
          <w:sz w:val="24"/>
          <w:szCs w:val="24"/>
        </w:rPr>
        <w:t xml:space="preserve"> 4</w:t>
      </w:r>
      <w:r w:rsidRPr="00F469F1">
        <w:rPr>
          <w:rFonts w:ascii="Book Antiqua" w:eastAsia="宋体" w:hAnsi="Book Antiqua" w:cs="Times New Roman"/>
          <w:sz w:val="24"/>
          <w:szCs w:val="24"/>
        </w:rPr>
        <w:t>). Next, we calculated the AUC values at the same time points to further compare the prediction models. The details of the AUC and C-in</w:t>
      </w:r>
      <w:r w:rsidR="003B2887" w:rsidRPr="00F469F1">
        <w:rPr>
          <w:rFonts w:ascii="Book Antiqua" w:eastAsia="宋体" w:hAnsi="Book Antiqua" w:cs="Times New Roman"/>
          <w:sz w:val="24"/>
          <w:szCs w:val="24"/>
        </w:rPr>
        <w:t>dex values are listed in Table 5</w:t>
      </w:r>
      <w:r w:rsidRPr="00F469F1">
        <w:rPr>
          <w:rFonts w:ascii="Book Antiqua" w:eastAsia="宋体" w:hAnsi="Book Antiqua" w:cs="Times New Roman"/>
          <w:sz w:val="24"/>
          <w:szCs w:val="24"/>
        </w:rPr>
        <w:t xml:space="preserve">. The C-index of the nomogram model was 0.770, which was greater than </w:t>
      </w:r>
      <w:r w:rsidR="000B6456" w:rsidRPr="00F469F1">
        <w:rPr>
          <w:rFonts w:ascii="Book Antiqua" w:eastAsia="宋体" w:hAnsi="Book Antiqua" w:cs="Times New Roman"/>
          <w:sz w:val="24"/>
          <w:szCs w:val="24"/>
        </w:rPr>
        <w:t>th</w:t>
      </w:r>
      <w:r w:rsidR="000B6456">
        <w:rPr>
          <w:rFonts w:ascii="Book Antiqua" w:eastAsia="宋体" w:hAnsi="Book Antiqua" w:cs="Times New Roman"/>
          <w:sz w:val="24"/>
          <w:szCs w:val="24"/>
        </w:rPr>
        <w:t>ose</w:t>
      </w:r>
      <w:r w:rsidR="000B645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for TNM stage (0.631), jaundice + CA 19-9 + TNM stage + R stage (0.715), CA19-9 (0.658), MLR (0.632), and NLR (0.644). Specifically, the 3-year decision curve showed that if the threshold of probability was &gt; 50%, the nomogram model showed better net benefit for predicting OS compared with the TNM stage-based model (Fig</w:t>
      </w:r>
      <w:r w:rsidR="000E3198" w:rsidRPr="00F469F1">
        <w:rPr>
          <w:rFonts w:ascii="Book Antiqua" w:eastAsia="宋体" w:hAnsi="Book Antiqua" w:cs="Times New Roman"/>
          <w:sz w:val="24"/>
          <w:szCs w:val="24"/>
        </w:rPr>
        <w:t>ure</w:t>
      </w:r>
      <w:r w:rsidR="006F2BF2" w:rsidRPr="00F469F1">
        <w:rPr>
          <w:rFonts w:ascii="Book Antiqua" w:eastAsia="宋体" w:hAnsi="Book Antiqua" w:cs="Times New Roman"/>
          <w:sz w:val="24"/>
          <w:szCs w:val="24"/>
        </w:rPr>
        <w:t xml:space="preserve"> 5</w:t>
      </w:r>
      <w:r w:rsidR="000E3198" w:rsidRPr="00F469F1">
        <w:rPr>
          <w:rFonts w:ascii="Book Antiqua" w:eastAsia="宋体" w:hAnsi="Book Antiqua" w:cs="Times New Roman"/>
          <w:sz w:val="24"/>
          <w:szCs w:val="24"/>
        </w:rPr>
        <w:t>A</w:t>
      </w:r>
      <w:r w:rsidRPr="00F469F1">
        <w:rPr>
          <w:rFonts w:ascii="Book Antiqua" w:eastAsia="宋体" w:hAnsi="Book Antiqua" w:cs="Times New Roman"/>
          <w:sz w:val="24"/>
          <w:szCs w:val="24"/>
        </w:rPr>
        <w:t>). We also developed a histogram for the nomogram-predicted probability of 3-year survival for stage</w:t>
      </w:r>
      <w:r w:rsidR="000B6456">
        <w:rPr>
          <w:rFonts w:ascii="Book Antiqua" w:eastAsia="宋体" w:hAnsi="Book Antiqua" w:cs="Times New Roman"/>
          <w:sz w:val="24"/>
          <w:szCs w:val="24"/>
        </w:rPr>
        <w:t>s</w:t>
      </w:r>
      <w:r w:rsidRPr="00F469F1">
        <w:rPr>
          <w:rFonts w:ascii="Book Antiqua" w:eastAsia="宋体" w:hAnsi="Book Antiqua" w:cs="Times New Roman"/>
          <w:sz w:val="24"/>
          <w:szCs w:val="24"/>
        </w:rPr>
        <w:t xml:space="preserve"> III and IV GBC. Notably, even for the same TNM stage, there was considerable heterogeneity in the nomogram-predicted probabilities (Fig</w:t>
      </w:r>
      <w:r w:rsidR="0019241F" w:rsidRPr="00F469F1">
        <w:rPr>
          <w:rFonts w:ascii="Book Antiqua" w:eastAsia="宋体" w:hAnsi="Book Antiqua" w:cs="Times New Roman"/>
          <w:sz w:val="24"/>
          <w:szCs w:val="24"/>
        </w:rPr>
        <w:t>ure</w:t>
      </w:r>
      <w:r w:rsidRPr="00F469F1">
        <w:rPr>
          <w:rFonts w:ascii="Book Antiqua" w:eastAsia="宋体" w:hAnsi="Book Antiqua" w:cs="Times New Roman"/>
          <w:sz w:val="24"/>
          <w:szCs w:val="24"/>
        </w:rPr>
        <w:t xml:space="preserve"> </w:t>
      </w:r>
      <w:r w:rsidR="006F2BF2" w:rsidRPr="00F469F1">
        <w:rPr>
          <w:rFonts w:ascii="Book Antiqua" w:eastAsia="宋体" w:hAnsi="Book Antiqua" w:cs="Times New Roman"/>
          <w:sz w:val="24"/>
          <w:szCs w:val="24"/>
        </w:rPr>
        <w:t>5</w:t>
      </w:r>
      <w:r w:rsidR="0019241F" w:rsidRPr="00F469F1">
        <w:rPr>
          <w:rFonts w:ascii="Book Antiqua" w:eastAsia="宋体" w:hAnsi="Book Antiqua" w:cs="Times New Roman"/>
          <w:sz w:val="24"/>
          <w:szCs w:val="24"/>
        </w:rPr>
        <w:t>B</w:t>
      </w:r>
      <w:r w:rsidRPr="00F469F1">
        <w:rPr>
          <w:rFonts w:ascii="Book Antiqua" w:eastAsia="宋体" w:hAnsi="Book Antiqua" w:cs="Times New Roman"/>
          <w:sz w:val="24"/>
          <w:szCs w:val="24"/>
        </w:rPr>
        <w:t>).</w:t>
      </w:r>
    </w:p>
    <w:p w14:paraId="3DDDC7A1" w14:textId="77777777" w:rsidR="004E4E31" w:rsidRPr="00F469F1" w:rsidRDefault="004E4E31" w:rsidP="00F469F1">
      <w:pPr>
        <w:widowControl/>
        <w:snapToGrid w:val="0"/>
        <w:spacing w:line="360" w:lineRule="auto"/>
        <w:rPr>
          <w:rFonts w:ascii="Book Antiqua" w:eastAsia="宋体" w:hAnsi="Book Antiqua" w:cs="Times New Roman"/>
          <w:sz w:val="24"/>
          <w:szCs w:val="24"/>
        </w:rPr>
      </w:pPr>
    </w:p>
    <w:p w14:paraId="7198510E"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DISCUSSION</w:t>
      </w:r>
    </w:p>
    <w:p w14:paraId="7C8999F6" w14:textId="10316E74" w:rsidR="00F4094D" w:rsidRPr="00F469F1" w:rsidRDefault="00F4094D"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GBC is the </w:t>
      </w:r>
      <w:r w:rsidR="00F51AD3" w:rsidRPr="00F469F1">
        <w:rPr>
          <w:rFonts w:ascii="Book Antiqua" w:eastAsia="宋体" w:hAnsi="Book Antiqua" w:cs="Times New Roman"/>
          <w:sz w:val="24"/>
          <w:szCs w:val="24"/>
        </w:rPr>
        <w:t xml:space="preserve">most common biliary duct </w:t>
      </w:r>
      <w:proofErr w:type="gramStart"/>
      <w:r w:rsidR="00F51AD3" w:rsidRPr="00F469F1">
        <w:rPr>
          <w:rFonts w:ascii="Book Antiqua" w:eastAsia="宋体" w:hAnsi="Book Antiqua" w:cs="Times New Roman"/>
          <w:sz w:val="24"/>
          <w:szCs w:val="24"/>
        </w:rPr>
        <w:t>cancer</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w:t>
      </w:r>
      <w:r w:rsidRPr="00F469F1">
        <w:rPr>
          <w:rFonts w:ascii="Book Antiqua" w:eastAsia="宋体" w:hAnsi="Book Antiqua" w:cs="Times New Roman"/>
          <w:sz w:val="24"/>
          <w:szCs w:val="24"/>
        </w:rPr>
        <w:t xml:space="preserve"> and carries a poor prognosis. Accurate prediction of GBC prognosis could benefit clinical </w:t>
      </w:r>
      <w:r w:rsidR="000B6456" w:rsidRPr="00F469F1">
        <w:rPr>
          <w:rFonts w:ascii="Book Antiqua" w:eastAsia="宋体" w:hAnsi="Book Antiqua" w:cs="Times New Roman"/>
          <w:sz w:val="24"/>
          <w:szCs w:val="24"/>
        </w:rPr>
        <w:t>decision</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making for personalized treatment after surgery. Therefore, in this study, we aimed to assess the prognostic value of GPR and to develop a prognosis prediction model as a nomogram for GBC patients. Our results showed that higher GPR, older age, lower BMI, and late TNM stage were independent predictors of GBC prognosis. </w:t>
      </w:r>
      <w:r w:rsidR="00F3274D" w:rsidRPr="00F469F1">
        <w:rPr>
          <w:rFonts w:ascii="Book Antiqua" w:eastAsia="宋体" w:hAnsi="Book Antiqua" w:cs="Times New Roman"/>
          <w:sz w:val="24"/>
          <w:szCs w:val="24"/>
        </w:rPr>
        <w:t xml:space="preserve">In addition, GPR of patients with either early or terminal stage of GBC show </w:t>
      </w:r>
      <w:r w:rsidR="000B6456">
        <w:rPr>
          <w:rFonts w:ascii="Book Antiqua" w:eastAsia="宋体" w:hAnsi="Book Antiqua" w:cs="Times New Roman"/>
          <w:sz w:val="24"/>
          <w:szCs w:val="24"/>
        </w:rPr>
        <w:t xml:space="preserve">a </w:t>
      </w:r>
      <w:r w:rsidR="00F3274D" w:rsidRPr="00F469F1">
        <w:rPr>
          <w:rFonts w:ascii="Book Antiqua" w:eastAsia="宋体" w:hAnsi="Book Antiqua" w:cs="Times New Roman"/>
          <w:sz w:val="24"/>
          <w:szCs w:val="24"/>
        </w:rPr>
        <w:t xml:space="preserve">similar correlativity to OS. </w:t>
      </w:r>
      <w:r w:rsidRPr="00F469F1">
        <w:rPr>
          <w:rFonts w:ascii="Book Antiqua" w:eastAsia="宋体" w:hAnsi="Book Antiqua" w:cs="Times New Roman"/>
          <w:sz w:val="24"/>
          <w:szCs w:val="24"/>
        </w:rPr>
        <w:t xml:space="preserve">According to the score given to each clinical variable, our nomogram model predicted the 1-, 3-, and 5-year </w:t>
      </w:r>
      <w:r w:rsidRPr="00F469F1">
        <w:rPr>
          <w:rFonts w:ascii="Book Antiqua" w:eastAsia="宋体" w:hAnsi="Book Antiqua" w:cs="Times New Roman"/>
          <w:sz w:val="24"/>
          <w:szCs w:val="24"/>
        </w:rPr>
        <w:lastRenderedPageBreak/>
        <w:t>survival probability of GBC patients. This nomogram could serve as a reference for patient stratification and clinical decision-making.</w:t>
      </w:r>
    </w:p>
    <w:p w14:paraId="45911223" w14:textId="6A80C9F7" w:rsidR="00F3274D" w:rsidRPr="00F469F1" w:rsidRDefault="00F4094D" w:rsidP="00F469F1">
      <w:pPr>
        <w:widowControl/>
        <w:snapToGrid w:val="0"/>
        <w:spacing w:line="360" w:lineRule="auto"/>
        <w:ind w:firstLineChars="150" w:firstLine="360"/>
        <w:rPr>
          <w:rFonts w:ascii="Book Antiqua" w:eastAsia="宋体" w:hAnsi="Book Antiqua" w:cs="Times New Roman"/>
          <w:sz w:val="24"/>
          <w:szCs w:val="24"/>
        </w:rPr>
      </w:pPr>
      <w:r w:rsidRPr="00F469F1">
        <w:rPr>
          <w:rFonts w:ascii="Book Antiqua" w:eastAsia="宋体" w:hAnsi="Book Antiqua" w:cs="Times New Roman"/>
          <w:sz w:val="24"/>
          <w:szCs w:val="24"/>
        </w:rPr>
        <w:t xml:space="preserve">Jaundice, BMI, and CA19-9 level had significant correlations with GPR. Preoperative jaundice indicates a higher risk of postoperative complications and adverse events, which indicates a poor </w:t>
      </w:r>
      <w:proofErr w:type="gramStart"/>
      <w:r w:rsidRPr="00F469F1">
        <w:rPr>
          <w:rFonts w:ascii="Book Antiqua" w:eastAsia="宋体" w:hAnsi="Book Antiqua" w:cs="Times New Roman"/>
          <w:sz w:val="24"/>
          <w:szCs w:val="24"/>
        </w:rPr>
        <w:t>prognosis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13]</w:t>
      </w:r>
      <w:r w:rsidRPr="00F469F1">
        <w:rPr>
          <w:rFonts w:ascii="Book Antiqua" w:eastAsia="宋体" w:hAnsi="Book Antiqua" w:cs="Times New Roman"/>
          <w:sz w:val="24"/>
          <w:szCs w:val="24"/>
        </w:rPr>
        <w:t xml:space="preserve">. According to the study by Rai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B86C9A" w:rsidRPr="00F469F1">
        <w:rPr>
          <w:rFonts w:ascii="Book Antiqua" w:eastAsia="宋体" w:hAnsi="Book Antiqua" w:cs="Times New Roman"/>
          <w:noProof/>
          <w:sz w:val="24"/>
          <w:szCs w:val="24"/>
          <w:vertAlign w:val="superscript"/>
        </w:rPr>
        <w:t>[</w:t>
      </w:r>
      <w:proofErr w:type="gramEnd"/>
      <w:r w:rsidR="00B86C9A" w:rsidRPr="00F469F1">
        <w:rPr>
          <w:rFonts w:ascii="Book Antiqua" w:eastAsia="宋体" w:hAnsi="Book Antiqua" w:cs="Times New Roman"/>
          <w:noProof/>
          <w:sz w:val="24"/>
          <w:szCs w:val="24"/>
          <w:vertAlign w:val="superscript"/>
        </w:rPr>
        <w:t>14]</w:t>
      </w:r>
      <w:r w:rsidRPr="00F469F1">
        <w:rPr>
          <w:rFonts w:ascii="Book Antiqua" w:eastAsia="宋体" w:hAnsi="Book Antiqua" w:cs="Times New Roman"/>
          <w:sz w:val="24"/>
          <w:szCs w:val="24"/>
        </w:rPr>
        <w:t>, low BMI is related to malnutrition in GBC patients, and nutritional deterior</w:t>
      </w:r>
      <w:r w:rsidR="00B86C9A" w:rsidRPr="00F469F1">
        <w:rPr>
          <w:rFonts w:ascii="Book Antiqua" w:eastAsia="宋体" w:hAnsi="Book Antiqua" w:cs="Times New Roman"/>
          <w:sz w:val="24"/>
          <w:szCs w:val="24"/>
        </w:rPr>
        <w:t>ation leads to adverse outcomes</w:t>
      </w:r>
      <w:r w:rsidR="000A642C" w:rsidRPr="00F469F1">
        <w:rPr>
          <w:rFonts w:ascii="Book Antiqua" w:eastAsia="宋体" w:hAnsi="Book Antiqua" w:cs="Times New Roman"/>
          <w:noProof/>
          <w:sz w:val="24"/>
          <w:szCs w:val="24"/>
          <w:vertAlign w:val="superscript"/>
        </w:rPr>
        <w:t>[14]</w:t>
      </w:r>
      <w:r w:rsidRPr="00F469F1">
        <w:rPr>
          <w:rFonts w:ascii="Book Antiqua" w:eastAsia="宋体" w:hAnsi="Book Antiqua" w:cs="Times New Roman"/>
          <w:sz w:val="24"/>
          <w:szCs w:val="24"/>
        </w:rPr>
        <w:t xml:space="preserve">. CA19-9 is a tumor-associated antigen, synthesized by normal human pancreatic and biliary </w:t>
      </w:r>
      <w:proofErr w:type="spellStart"/>
      <w:r w:rsidRPr="00F469F1">
        <w:rPr>
          <w:rFonts w:ascii="Book Antiqua" w:eastAsia="宋体" w:hAnsi="Book Antiqua" w:cs="Times New Roman"/>
          <w:sz w:val="24"/>
          <w:szCs w:val="24"/>
        </w:rPr>
        <w:t>ductular</w:t>
      </w:r>
      <w:proofErr w:type="spellEnd"/>
      <w:r w:rsidRPr="00F469F1">
        <w:rPr>
          <w:rFonts w:ascii="Book Antiqua" w:eastAsia="宋体" w:hAnsi="Book Antiqua" w:cs="Times New Roman"/>
          <w:sz w:val="24"/>
          <w:szCs w:val="24"/>
        </w:rPr>
        <w:t xml:space="preserve"> epithelial cells under physiological conditions, and increased CA19-9 levels imply bi</w:t>
      </w:r>
      <w:r w:rsidR="00F51AD3" w:rsidRPr="00F469F1">
        <w:rPr>
          <w:rFonts w:ascii="Book Antiqua" w:eastAsia="宋体" w:hAnsi="Book Antiqua" w:cs="Times New Roman"/>
          <w:sz w:val="24"/>
          <w:szCs w:val="24"/>
        </w:rPr>
        <w:t xml:space="preserve">liary and pancreatic </w:t>
      </w:r>
      <w:proofErr w:type="gramStart"/>
      <w:r w:rsidR="00F51AD3" w:rsidRPr="00F469F1">
        <w:rPr>
          <w:rFonts w:ascii="Book Antiqua" w:eastAsia="宋体" w:hAnsi="Book Antiqua" w:cs="Times New Roman"/>
          <w:sz w:val="24"/>
          <w:szCs w:val="24"/>
        </w:rPr>
        <w:t>malignancy</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15]</w:t>
      </w:r>
      <w:r w:rsidRPr="00F469F1">
        <w:rPr>
          <w:rFonts w:ascii="Book Antiqua" w:eastAsia="宋体" w:hAnsi="Book Antiqua" w:cs="Times New Roman"/>
          <w:sz w:val="24"/>
          <w:szCs w:val="24"/>
        </w:rPr>
        <w:t xml:space="preserve">. These three factors are </w:t>
      </w:r>
      <w:proofErr w:type="spellStart"/>
      <w:r w:rsidRPr="00F469F1">
        <w:rPr>
          <w:rFonts w:ascii="Book Antiqua" w:eastAsia="宋体" w:hAnsi="Book Antiqua" w:cs="Times New Roman"/>
          <w:sz w:val="24"/>
          <w:szCs w:val="24"/>
        </w:rPr>
        <w:t>clinicopathological</w:t>
      </w:r>
      <w:proofErr w:type="spellEnd"/>
      <w:r w:rsidRPr="00F469F1">
        <w:rPr>
          <w:rFonts w:ascii="Book Antiqua" w:eastAsia="宋体" w:hAnsi="Book Antiqua" w:cs="Times New Roman"/>
          <w:sz w:val="24"/>
          <w:szCs w:val="24"/>
        </w:rPr>
        <w:t xml:space="preserve"> factors related to poor GBC outcomes. Thus, the relationship between poor prognosis in GBC and GPR could also indicate correlations between GPR and the t</w:t>
      </w:r>
      <w:r w:rsidR="00F51AD3" w:rsidRPr="00F469F1">
        <w:rPr>
          <w:rFonts w:ascii="Book Antiqua" w:eastAsia="宋体" w:hAnsi="Book Antiqua" w:cs="Times New Roman"/>
          <w:sz w:val="24"/>
          <w:szCs w:val="24"/>
        </w:rPr>
        <w:t>hree described characteristics.</w:t>
      </w:r>
    </w:p>
    <w:p w14:paraId="45E47288" w14:textId="3871CF0E" w:rsidR="00F4094D" w:rsidRPr="00F469F1" w:rsidRDefault="00F327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E</w:t>
      </w:r>
      <w:r w:rsidR="00F4094D" w:rsidRPr="00F469F1">
        <w:rPr>
          <w:rFonts w:ascii="Book Antiqua" w:eastAsia="宋体" w:hAnsi="Book Antiqua" w:cs="Times New Roman"/>
          <w:sz w:val="24"/>
          <w:szCs w:val="24"/>
        </w:rPr>
        <w:t xml:space="preserve">ven though </w:t>
      </w:r>
      <w:r w:rsidRPr="00F469F1">
        <w:rPr>
          <w:rFonts w:ascii="Book Antiqua" w:eastAsia="宋体" w:hAnsi="Book Antiqua" w:cs="Times New Roman"/>
          <w:sz w:val="24"/>
          <w:szCs w:val="24"/>
        </w:rPr>
        <w:t xml:space="preserve">previous </w:t>
      </w:r>
      <w:r w:rsidR="00F4094D" w:rsidRPr="00F469F1">
        <w:rPr>
          <w:rFonts w:ascii="Book Antiqua" w:eastAsia="宋体" w:hAnsi="Book Antiqua" w:cs="Times New Roman"/>
          <w:sz w:val="24"/>
          <w:szCs w:val="24"/>
        </w:rPr>
        <w:t xml:space="preserve">studies </w:t>
      </w:r>
      <w:r w:rsidRPr="00F469F1">
        <w:rPr>
          <w:rFonts w:ascii="Book Antiqua" w:eastAsia="宋体" w:hAnsi="Book Antiqua" w:cs="Times New Roman"/>
          <w:sz w:val="24"/>
          <w:szCs w:val="24"/>
        </w:rPr>
        <w:t>simply showed</w:t>
      </w:r>
      <w:r w:rsidR="00F4094D" w:rsidRPr="00F469F1">
        <w:rPr>
          <w:rFonts w:ascii="Book Antiqua" w:eastAsia="宋体" w:hAnsi="Book Antiqua" w:cs="Times New Roman"/>
          <w:sz w:val="24"/>
          <w:szCs w:val="24"/>
        </w:rPr>
        <w:t xml:space="preserve"> GPR to be a confou</w:t>
      </w:r>
      <w:r w:rsidRPr="00F469F1">
        <w:rPr>
          <w:rFonts w:ascii="Book Antiqua" w:eastAsia="宋体" w:hAnsi="Book Antiqua" w:cs="Times New Roman"/>
          <w:sz w:val="24"/>
          <w:szCs w:val="24"/>
        </w:rPr>
        <w:t xml:space="preserve">nding prognostic predictor </w:t>
      </w:r>
      <w:r w:rsidR="00F4094D" w:rsidRPr="00F469F1">
        <w:rPr>
          <w:rFonts w:ascii="Book Antiqua" w:eastAsia="宋体" w:hAnsi="Book Antiqua" w:cs="Times New Roman"/>
          <w:sz w:val="24"/>
          <w:szCs w:val="24"/>
        </w:rPr>
        <w:t xml:space="preserve">for HCC, </w:t>
      </w:r>
      <w:r w:rsidRPr="00F469F1">
        <w:rPr>
          <w:rFonts w:ascii="Book Antiqua" w:eastAsia="宋体" w:hAnsi="Book Antiqua" w:cs="Times New Roman"/>
          <w:sz w:val="24"/>
          <w:szCs w:val="24"/>
        </w:rPr>
        <w:t>only limited patients involved in current study had liver complications such as fatty liver, cirrhosis</w:t>
      </w:r>
      <w:r w:rsidR="000B6456">
        <w:rPr>
          <w:rFonts w:ascii="Book Antiqua" w:eastAsia="宋体" w:hAnsi="Book Antiqua" w:cs="Times New Roman"/>
          <w:sz w:val="24"/>
          <w:szCs w:val="24"/>
        </w:rPr>
        <w:t>,</w:t>
      </w:r>
      <w:r w:rsidRPr="00F469F1">
        <w:rPr>
          <w:rFonts w:ascii="Book Antiqua" w:eastAsia="宋体" w:hAnsi="Book Antiqua" w:cs="Times New Roman"/>
          <w:sz w:val="24"/>
          <w:szCs w:val="24"/>
        </w:rPr>
        <w:t xml:space="preserve"> and HCC. The irrelevance of overall clinical characteristics of involved patients with either cirrhosis or HCC proved GPR’s prediction value for GBC to be independent of liver disease burden. In addition, GPR serves as </w:t>
      </w:r>
      <w:r w:rsidR="00F4094D" w:rsidRPr="00F469F1">
        <w:rPr>
          <w:rFonts w:ascii="Book Antiqua" w:eastAsia="宋体" w:hAnsi="Book Antiqua" w:cs="Times New Roman"/>
          <w:sz w:val="24"/>
          <w:szCs w:val="24"/>
        </w:rPr>
        <w:t xml:space="preserve">an independent predictor </w:t>
      </w:r>
      <w:r w:rsidR="000B6456">
        <w:rPr>
          <w:rFonts w:ascii="Book Antiqua" w:eastAsia="宋体" w:hAnsi="Book Antiqua" w:cs="Times New Roman"/>
          <w:sz w:val="24"/>
          <w:szCs w:val="24"/>
        </w:rPr>
        <w:t>of</w:t>
      </w:r>
      <w:r w:rsidR="000B6456" w:rsidRPr="00F469F1">
        <w:rPr>
          <w:rFonts w:ascii="Book Antiqua" w:eastAsia="宋体" w:hAnsi="Book Antiqua" w:cs="Times New Roman"/>
          <w:sz w:val="24"/>
          <w:szCs w:val="24"/>
        </w:rPr>
        <w:t xml:space="preserve"> </w:t>
      </w:r>
      <w:r w:rsidR="00F4094D" w:rsidRPr="00F469F1">
        <w:rPr>
          <w:rFonts w:ascii="Book Antiqua" w:eastAsia="宋体" w:hAnsi="Book Antiqua" w:cs="Times New Roman"/>
          <w:sz w:val="24"/>
          <w:szCs w:val="24"/>
        </w:rPr>
        <w:t>GBC prognosis for both long-term survival and short-term clinical outcomes. Patients with higher GPR levels tend to have higher risks of developing postoperative complications and require longer hospital stays because of poor outcomes.</w:t>
      </w:r>
    </w:p>
    <w:p w14:paraId="680AACE3" w14:textId="7EE14F71"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The mechanism of GPR’s relationship with poor cancer prognosis remains unclear, but studies have demonstrated the clinical effect of </w:t>
      </w:r>
      <w:r w:rsidR="004C1E58" w:rsidRPr="00F469F1">
        <w:rPr>
          <w:rFonts w:ascii="Book Antiqua" w:eastAsia="宋体" w:hAnsi="Book Antiqua" w:cs="Times New Roman"/>
          <w:sz w:val="24"/>
          <w:szCs w:val="24"/>
        </w:rPr>
        <w:t xml:space="preserve">both </w:t>
      </w:r>
      <w:r w:rsidRPr="00F469F1">
        <w:rPr>
          <w:rFonts w:ascii="Book Antiqua" w:eastAsia="宋体" w:hAnsi="Book Antiqua" w:cs="Times New Roman"/>
          <w:sz w:val="24"/>
          <w:szCs w:val="24"/>
        </w:rPr>
        <w:t>GGT and PLT</w:t>
      </w:r>
      <w:r w:rsidR="009328E0" w:rsidRPr="00F469F1">
        <w:rPr>
          <w:rFonts w:ascii="Book Antiqua" w:eastAsia="宋体" w:hAnsi="Book Antiqua" w:cs="Times New Roman"/>
          <w:sz w:val="24"/>
          <w:szCs w:val="24"/>
        </w:rPr>
        <w:t xml:space="preserve"> on GBC and related gallbladder diseases</w:t>
      </w:r>
      <w:r w:rsidRPr="00F469F1">
        <w:rPr>
          <w:rFonts w:ascii="Book Antiqua" w:eastAsia="宋体" w:hAnsi="Book Antiqua" w:cs="Times New Roman"/>
          <w:sz w:val="24"/>
          <w:szCs w:val="24"/>
        </w:rPr>
        <w:t xml:space="preserve">. </w:t>
      </w:r>
      <w:r w:rsidR="009328E0" w:rsidRPr="00F469F1">
        <w:rPr>
          <w:rFonts w:ascii="Book Antiqua" w:eastAsia="宋体" w:hAnsi="Book Antiqua" w:cs="Times New Roman"/>
          <w:sz w:val="24"/>
          <w:szCs w:val="24"/>
        </w:rPr>
        <w:t xml:space="preserve">Study on surgical resection for GBC has revealed GGT’s diagnostic </w:t>
      </w:r>
      <w:proofErr w:type="gramStart"/>
      <w:r w:rsidR="009328E0" w:rsidRPr="00F469F1">
        <w:rPr>
          <w:rFonts w:ascii="Book Antiqua" w:eastAsia="宋体" w:hAnsi="Book Antiqua" w:cs="Times New Roman"/>
          <w:sz w:val="24"/>
          <w:szCs w:val="24"/>
        </w:rPr>
        <w:t>value</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16]</w:t>
      </w:r>
      <w:r w:rsidR="009328E0" w:rsidRPr="00F469F1">
        <w:rPr>
          <w:rFonts w:ascii="Book Antiqua" w:eastAsia="宋体" w:hAnsi="Book Antiqua" w:cs="Times New Roman"/>
          <w:sz w:val="24"/>
          <w:szCs w:val="24"/>
        </w:rPr>
        <w:t xml:space="preserve">. </w:t>
      </w:r>
      <w:r w:rsidR="004C1E58" w:rsidRPr="00F469F1">
        <w:rPr>
          <w:rFonts w:ascii="Book Antiqua" w:eastAsia="宋体" w:hAnsi="Book Antiqua" w:cs="Times New Roman"/>
          <w:sz w:val="24"/>
          <w:szCs w:val="24"/>
        </w:rPr>
        <w:t>Clinically</w:t>
      </w:r>
      <w:r w:rsidR="009328E0" w:rsidRPr="00F469F1">
        <w:rPr>
          <w:rFonts w:ascii="Book Antiqua" w:eastAsia="宋体" w:hAnsi="Book Antiqua" w:cs="Times New Roman"/>
          <w:sz w:val="24"/>
          <w:szCs w:val="24"/>
        </w:rPr>
        <w:t xml:space="preserve">, GGT has been administered in the evaluation of gallbladder diseases such as </w:t>
      </w:r>
      <w:proofErr w:type="gramStart"/>
      <w:r w:rsidR="009328E0" w:rsidRPr="00F469F1">
        <w:rPr>
          <w:rFonts w:ascii="Book Antiqua" w:eastAsia="宋体" w:hAnsi="Book Antiqua" w:cs="Times New Roman"/>
          <w:sz w:val="24"/>
          <w:szCs w:val="24"/>
        </w:rPr>
        <w:t>cholangiocarcinoma</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17]</w:t>
      </w:r>
      <w:r w:rsidR="009328E0" w:rsidRPr="00F469F1">
        <w:rPr>
          <w:rFonts w:ascii="Book Antiqua" w:eastAsia="宋体" w:hAnsi="Book Antiqua" w:cs="Times New Roman"/>
          <w:sz w:val="24"/>
          <w:szCs w:val="24"/>
        </w:rPr>
        <w:t>, biliary atresia</w:t>
      </w:r>
      <w:r w:rsidR="00B73E89" w:rsidRPr="00F469F1">
        <w:rPr>
          <w:rFonts w:ascii="Book Antiqua" w:eastAsia="宋体" w:hAnsi="Book Antiqua" w:cs="Times New Roman"/>
          <w:noProof/>
          <w:sz w:val="24"/>
          <w:szCs w:val="24"/>
          <w:vertAlign w:val="superscript"/>
        </w:rPr>
        <w:t>[18]</w:t>
      </w:r>
      <w:r w:rsidR="00B73E89">
        <w:rPr>
          <w:rFonts w:ascii="Book Antiqua" w:eastAsia="宋体" w:hAnsi="Book Antiqua" w:cs="Times New Roman"/>
          <w:sz w:val="24"/>
          <w:szCs w:val="24"/>
        </w:rPr>
        <w:t xml:space="preserve">, </w:t>
      </w:r>
      <w:r w:rsidR="009328E0" w:rsidRPr="00F469F1">
        <w:rPr>
          <w:rFonts w:ascii="Book Antiqua" w:eastAsia="宋体" w:hAnsi="Book Antiqua" w:cs="Times New Roman"/>
          <w:sz w:val="24"/>
          <w:szCs w:val="24"/>
        </w:rPr>
        <w:t>and cholecystitis</w:t>
      </w:r>
      <w:r w:rsidR="000A642C" w:rsidRPr="00F469F1">
        <w:rPr>
          <w:rFonts w:ascii="Book Antiqua" w:eastAsia="宋体" w:hAnsi="Book Antiqua" w:cs="Times New Roman"/>
          <w:noProof/>
          <w:sz w:val="24"/>
          <w:szCs w:val="24"/>
          <w:vertAlign w:val="superscript"/>
        </w:rPr>
        <w:t>[19]</w:t>
      </w:r>
      <w:r w:rsidR="009328E0" w:rsidRPr="00F469F1">
        <w:rPr>
          <w:rFonts w:ascii="Book Antiqua" w:eastAsia="宋体" w:hAnsi="Book Antiqua" w:cs="Times New Roman"/>
          <w:sz w:val="24"/>
          <w:szCs w:val="24"/>
        </w:rPr>
        <w:t xml:space="preserve">. </w:t>
      </w:r>
      <w:r w:rsidR="004C1E58" w:rsidRPr="00F469F1">
        <w:rPr>
          <w:rFonts w:ascii="Book Antiqua" w:eastAsia="宋体" w:hAnsi="Book Antiqua" w:cs="Times New Roman"/>
          <w:sz w:val="24"/>
          <w:szCs w:val="24"/>
        </w:rPr>
        <w:t>E</w:t>
      </w:r>
      <w:r w:rsidRPr="00F469F1">
        <w:rPr>
          <w:rFonts w:ascii="Book Antiqua" w:eastAsia="宋体" w:hAnsi="Book Antiqua" w:cs="Times New Roman"/>
          <w:sz w:val="24"/>
          <w:szCs w:val="24"/>
        </w:rPr>
        <w:t xml:space="preserve">merging evidence </w:t>
      </w:r>
      <w:r w:rsidR="004C1E58" w:rsidRPr="00F469F1">
        <w:rPr>
          <w:rFonts w:ascii="Book Antiqua" w:eastAsia="宋体" w:hAnsi="Book Antiqua" w:cs="Times New Roman"/>
          <w:sz w:val="24"/>
          <w:szCs w:val="24"/>
        </w:rPr>
        <w:t xml:space="preserve">also </w:t>
      </w:r>
      <w:r w:rsidRPr="00F469F1">
        <w:rPr>
          <w:rFonts w:ascii="Book Antiqua" w:eastAsia="宋体" w:hAnsi="Book Antiqua" w:cs="Times New Roman"/>
          <w:sz w:val="24"/>
          <w:szCs w:val="24"/>
        </w:rPr>
        <w:t xml:space="preserve">indicates that higher GGT levels may be linked to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high cancer risk. In 2015, </w:t>
      </w:r>
      <w:proofErr w:type="spellStart"/>
      <w:r w:rsidRPr="00F469F1">
        <w:rPr>
          <w:rFonts w:ascii="Book Antiqua" w:eastAsia="宋体" w:hAnsi="Book Antiqua" w:cs="Times New Roman"/>
          <w:sz w:val="24"/>
          <w:szCs w:val="24"/>
        </w:rPr>
        <w:t>Kunutsor</w:t>
      </w:r>
      <w:proofErr w:type="spellEnd"/>
      <w:r w:rsidRPr="00F469F1">
        <w:rPr>
          <w:rFonts w:ascii="Book Antiqua" w:eastAsia="宋体" w:hAnsi="Book Antiqua" w:cs="Times New Roman"/>
          <w:sz w:val="24"/>
          <w:szCs w:val="24"/>
        </w:rPr>
        <w:t xml:space="preserve">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B86C9A" w:rsidRPr="00F469F1">
        <w:rPr>
          <w:rFonts w:ascii="Book Antiqua" w:eastAsia="宋体" w:hAnsi="Book Antiqua" w:cs="Times New Roman"/>
          <w:noProof/>
          <w:sz w:val="24"/>
          <w:szCs w:val="24"/>
          <w:vertAlign w:val="superscript"/>
        </w:rPr>
        <w:t>[</w:t>
      </w:r>
      <w:proofErr w:type="gramEnd"/>
      <w:r w:rsidR="00B86C9A" w:rsidRPr="00F469F1">
        <w:rPr>
          <w:rFonts w:ascii="Book Antiqua" w:eastAsia="宋体" w:hAnsi="Book Antiqua" w:cs="Times New Roman"/>
          <w:noProof/>
          <w:sz w:val="24"/>
          <w:szCs w:val="24"/>
          <w:vertAlign w:val="superscript"/>
        </w:rPr>
        <w:t>20]</w:t>
      </w:r>
      <w:r w:rsidRPr="00F469F1">
        <w:rPr>
          <w:rFonts w:ascii="Book Antiqua" w:eastAsia="宋体" w:hAnsi="Book Antiqua" w:cs="Times New Roman"/>
          <w:sz w:val="24"/>
          <w:szCs w:val="24"/>
        </w:rPr>
        <w:t xml:space="preserve"> indicated a positive association between GGT </w:t>
      </w:r>
      <w:r w:rsidRPr="00F469F1">
        <w:rPr>
          <w:rFonts w:ascii="Book Antiqua" w:eastAsia="宋体" w:hAnsi="Book Antiqua" w:cs="Times New Roman"/>
          <w:sz w:val="24"/>
          <w:szCs w:val="24"/>
        </w:rPr>
        <w:lastRenderedPageBreak/>
        <w:t>levels and overall cancer risk</w:t>
      </w:r>
      <w:r w:rsidR="000A642C" w:rsidRPr="00F469F1">
        <w:rPr>
          <w:rFonts w:ascii="Book Antiqua" w:eastAsia="宋体" w:hAnsi="Book Antiqua" w:cs="Times New Roman"/>
          <w:noProof/>
          <w:sz w:val="24"/>
          <w:szCs w:val="24"/>
          <w:vertAlign w:val="superscript"/>
        </w:rPr>
        <w:t>[20]</w:t>
      </w:r>
      <w:r w:rsidRPr="00F469F1">
        <w:rPr>
          <w:rFonts w:ascii="Book Antiqua" w:eastAsia="宋体" w:hAnsi="Book Antiqua" w:cs="Times New Roman"/>
          <w:sz w:val="24"/>
          <w:szCs w:val="24"/>
        </w:rPr>
        <w:t xml:space="preserve">. Several potential mechanisms of GGT’s effect on tumor growth have also been proposed. Reactive oxygen species, a result of the tumor microenvironment, could up-regulate GGT </w:t>
      </w:r>
      <w:proofErr w:type="gramStart"/>
      <w:r w:rsidRPr="00F469F1">
        <w:rPr>
          <w:rFonts w:ascii="Book Antiqua" w:eastAsia="宋体" w:hAnsi="Book Antiqua" w:cs="Times New Roman"/>
          <w:sz w:val="24"/>
          <w:szCs w:val="24"/>
        </w:rPr>
        <w:t>expression</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21]</w:t>
      </w:r>
      <w:r w:rsidRPr="00F469F1">
        <w:rPr>
          <w:rFonts w:ascii="Book Antiqua" w:eastAsia="宋体" w:hAnsi="Book Antiqua" w:cs="Times New Roman"/>
          <w:sz w:val="24"/>
          <w:szCs w:val="24"/>
        </w:rPr>
        <w:t xml:space="preserve">. GGT, in turn, plays an essential role in maintaining the production of intracellular glutathione, </w:t>
      </w:r>
      <w:r w:rsidR="00F51AD3" w:rsidRPr="00F469F1">
        <w:rPr>
          <w:rFonts w:ascii="Book Antiqua" w:eastAsia="宋体" w:hAnsi="Book Antiqua" w:cs="Times New Roman"/>
          <w:sz w:val="24"/>
          <w:szCs w:val="24"/>
        </w:rPr>
        <w:t xml:space="preserve">which acts as a key </w:t>
      </w:r>
      <w:proofErr w:type="gramStart"/>
      <w:r w:rsidR="00F51AD3" w:rsidRPr="00F469F1">
        <w:rPr>
          <w:rFonts w:ascii="Book Antiqua" w:eastAsia="宋体" w:hAnsi="Book Antiqua" w:cs="Times New Roman"/>
          <w:sz w:val="24"/>
          <w:szCs w:val="24"/>
        </w:rPr>
        <w:t>antioxidant</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22]</w:t>
      </w:r>
      <w:r w:rsidRPr="00F469F1">
        <w:rPr>
          <w:rFonts w:ascii="Book Antiqua" w:eastAsia="宋体" w:hAnsi="Book Antiqua" w:cs="Times New Roman"/>
          <w:sz w:val="24"/>
          <w:szCs w:val="24"/>
        </w:rPr>
        <w:t>, and GGT also induces the production of an additional source of endogenous reactive oxygen species</w:t>
      </w:r>
      <w:r w:rsidR="000A642C" w:rsidRPr="00F469F1">
        <w:rPr>
          <w:rFonts w:ascii="Book Antiqua" w:eastAsia="宋体" w:hAnsi="Book Antiqua" w:cs="Times New Roman"/>
          <w:noProof/>
          <w:sz w:val="24"/>
          <w:szCs w:val="24"/>
          <w:vertAlign w:val="superscript"/>
        </w:rPr>
        <w:t>[21]</w:t>
      </w:r>
      <w:r w:rsidRPr="00F469F1">
        <w:rPr>
          <w:rFonts w:ascii="Book Antiqua" w:eastAsia="宋体" w:hAnsi="Book Antiqua" w:cs="Times New Roman"/>
          <w:sz w:val="24"/>
          <w:szCs w:val="24"/>
        </w:rPr>
        <w:t>; therefore, abnormal GGT levels could contribute to the formation of the tumor microenvironment and promote tumor growth. However, the exact mechanisms of elevated GGT in cancer are poorly described and require further research.</w:t>
      </w:r>
    </w:p>
    <w:p w14:paraId="7C97665D" w14:textId="115FBFFF" w:rsidR="00F4094D" w:rsidRPr="00F469F1" w:rsidRDefault="00092DB4"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PLT has been proposed as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 xml:space="preserve">preoperative prognostic factor for GBC, two studies on PLT’s diagnostic value both show </w:t>
      </w:r>
      <w:r w:rsidR="00B73E89">
        <w:rPr>
          <w:rFonts w:ascii="Book Antiqua" w:eastAsia="宋体" w:hAnsi="Book Antiqua" w:cs="Times New Roman"/>
          <w:sz w:val="24"/>
          <w:szCs w:val="24"/>
        </w:rPr>
        <w:t xml:space="preserve">a </w:t>
      </w:r>
      <w:r w:rsidRPr="00F469F1">
        <w:rPr>
          <w:rFonts w:ascii="Book Antiqua" w:eastAsia="宋体" w:hAnsi="Book Antiqua" w:cs="Times New Roman"/>
          <w:sz w:val="24"/>
          <w:szCs w:val="24"/>
        </w:rPr>
        <w:t>correlation between high PLT level</w:t>
      </w:r>
      <w:r w:rsidR="00F51AD3" w:rsidRPr="00F469F1">
        <w:rPr>
          <w:rFonts w:ascii="Book Antiqua" w:eastAsia="宋体" w:hAnsi="Book Antiqua" w:cs="Times New Roman"/>
          <w:sz w:val="24"/>
          <w:szCs w:val="24"/>
        </w:rPr>
        <w:t xml:space="preserve"> and poor post-surgery </w:t>
      </w:r>
      <w:proofErr w:type="gramStart"/>
      <w:r w:rsidR="00F51AD3" w:rsidRPr="00F469F1">
        <w:rPr>
          <w:rFonts w:ascii="Book Antiqua" w:eastAsia="宋体" w:hAnsi="Book Antiqua" w:cs="Times New Roman"/>
          <w:sz w:val="24"/>
          <w:szCs w:val="24"/>
        </w:rPr>
        <w:t>outcomes</w:t>
      </w:r>
      <w:r w:rsidR="00F51AD3" w:rsidRPr="00F469F1">
        <w:rPr>
          <w:rFonts w:ascii="Book Antiqua" w:eastAsia="宋体" w:hAnsi="Book Antiqua" w:cs="Times New Roman"/>
          <w:noProof/>
          <w:sz w:val="24"/>
          <w:szCs w:val="24"/>
          <w:vertAlign w:val="superscript"/>
        </w:rPr>
        <w:t>[</w:t>
      </w:r>
      <w:proofErr w:type="gramEnd"/>
      <w:r w:rsidR="00F51AD3" w:rsidRPr="00F469F1">
        <w:rPr>
          <w:rFonts w:ascii="Book Antiqua" w:eastAsia="宋体" w:hAnsi="Book Antiqua" w:cs="Times New Roman"/>
          <w:noProof/>
          <w:sz w:val="24"/>
          <w:szCs w:val="24"/>
          <w:vertAlign w:val="superscript"/>
        </w:rPr>
        <w:t>11,</w:t>
      </w:r>
      <w:r w:rsidR="000A642C" w:rsidRPr="00F469F1">
        <w:rPr>
          <w:rFonts w:ascii="Book Antiqua" w:eastAsia="宋体" w:hAnsi="Book Antiqua" w:cs="Times New Roman"/>
          <w:noProof/>
          <w:sz w:val="24"/>
          <w:szCs w:val="24"/>
          <w:vertAlign w:val="superscript"/>
        </w:rPr>
        <w:t>23]</w:t>
      </w:r>
      <w:r w:rsidR="00F51AD3" w:rsidRPr="00F469F1">
        <w:rPr>
          <w:rFonts w:ascii="Book Antiqua" w:eastAsia="宋体" w:hAnsi="Book Antiqua" w:cs="Times New Roman"/>
          <w:sz w:val="24"/>
          <w:szCs w:val="24"/>
        </w:rPr>
        <w:t>.</w:t>
      </w:r>
      <w:r w:rsidR="00E21483" w:rsidRPr="00F469F1">
        <w:rPr>
          <w:rFonts w:ascii="Book Antiqua" w:eastAsia="宋体" w:hAnsi="Book Antiqua" w:cs="Times New Roman"/>
          <w:sz w:val="24"/>
          <w:szCs w:val="24"/>
        </w:rPr>
        <w:t xml:space="preserve"> Mechanisms of PLT’s contribution to cancer development </w:t>
      </w:r>
      <w:r w:rsidR="00F4094D" w:rsidRPr="00F469F1">
        <w:rPr>
          <w:rFonts w:ascii="Book Antiqua" w:eastAsia="宋体" w:hAnsi="Book Antiqua" w:cs="Times New Roman"/>
          <w:sz w:val="24"/>
          <w:szCs w:val="24"/>
        </w:rPr>
        <w:t xml:space="preserve">are involved in tumor growth factor </w:t>
      </w:r>
      <w:proofErr w:type="gramStart"/>
      <w:r w:rsidR="00F4094D" w:rsidRPr="00F469F1">
        <w:rPr>
          <w:rFonts w:ascii="Book Antiqua" w:eastAsia="宋体" w:hAnsi="Book Antiqua" w:cs="Times New Roman"/>
          <w:sz w:val="24"/>
          <w:szCs w:val="24"/>
        </w:rPr>
        <w:t>synthesis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24]</w:t>
      </w:r>
      <w:r w:rsidR="00F4094D" w:rsidRPr="00F469F1">
        <w:rPr>
          <w:rFonts w:ascii="Book Antiqua" w:eastAsia="宋体" w:hAnsi="Book Antiqua" w:cs="Times New Roman"/>
          <w:sz w:val="24"/>
          <w:szCs w:val="24"/>
        </w:rPr>
        <w:t>, promotion of tumor adhesion of epithelial cells</w:t>
      </w:r>
      <w:r w:rsidR="000A642C" w:rsidRPr="00F469F1">
        <w:rPr>
          <w:rFonts w:ascii="Book Antiqua" w:eastAsia="宋体" w:hAnsi="Book Antiqua" w:cs="Times New Roman"/>
          <w:noProof/>
          <w:sz w:val="24"/>
          <w:szCs w:val="24"/>
          <w:vertAlign w:val="superscript"/>
        </w:rPr>
        <w:t>[25]</w:t>
      </w:r>
      <w:r w:rsidR="00F4094D" w:rsidRPr="00F469F1">
        <w:rPr>
          <w:rFonts w:ascii="Book Antiqua" w:eastAsia="宋体" w:hAnsi="Book Antiqua" w:cs="Times New Roman"/>
          <w:sz w:val="24"/>
          <w:szCs w:val="24"/>
        </w:rPr>
        <w:t>, and the morbidity of tumor cells</w:t>
      </w:r>
      <w:r w:rsidR="000A642C" w:rsidRPr="00F469F1">
        <w:rPr>
          <w:rFonts w:ascii="Book Antiqua" w:eastAsia="宋体" w:hAnsi="Book Antiqua" w:cs="Times New Roman"/>
          <w:noProof/>
          <w:sz w:val="24"/>
          <w:szCs w:val="24"/>
          <w:vertAlign w:val="superscript"/>
        </w:rPr>
        <w:t>[26]</w:t>
      </w:r>
      <w:r w:rsidR="00F4094D" w:rsidRPr="00F469F1">
        <w:rPr>
          <w:rFonts w:ascii="Book Antiqua" w:eastAsia="宋体" w:hAnsi="Book Antiqua" w:cs="Times New Roman"/>
          <w:sz w:val="24"/>
          <w:szCs w:val="24"/>
        </w:rPr>
        <w:t xml:space="preserve">. A study by Andrade </w:t>
      </w:r>
      <w:r w:rsidR="00F4094D" w:rsidRPr="00F469F1">
        <w:rPr>
          <w:rFonts w:ascii="Book Antiqua" w:eastAsia="宋体" w:hAnsi="Book Antiqua" w:cs="Times New Roman"/>
          <w:i/>
          <w:sz w:val="24"/>
          <w:szCs w:val="24"/>
        </w:rPr>
        <w:t xml:space="preserve">et </w:t>
      </w:r>
      <w:proofErr w:type="gramStart"/>
      <w:r w:rsidR="00F4094D" w:rsidRPr="00F469F1">
        <w:rPr>
          <w:rFonts w:ascii="Book Antiqua" w:eastAsia="宋体" w:hAnsi="Book Antiqua" w:cs="Times New Roman"/>
          <w:i/>
          <w:sz w:val="24"/>
          <w:szCs w:val="24"/>
        </w:rPr>
        <w:t>al</w:t>
      </w:r>
      <w:r w:rsidR="00B86C9A" w:rsidRPr="00F469F1">
        <w:rPr>
          <w:rFonts w:ascii="Book Antiqua" w:eastAsia="宋体" w:hAnsi="Book Antiqua" w:cs="Times New Roman"/>
          <w:noProof/>
          <w:sz w:val="24"/>
          <w:szCs w:val="24"/>
          <w:vertAlign w:val="superscript"/>
        </w:rPr>
        <w:t>[</w:t>
      </w:r>
      <w:proofErr w:type="gramEnd"/>
      <w:r w:rsidR="00B86C9A" w:rsidRPr="00F469F1">
        <w:rPr>
          <w:rFonts w:ascii="Book Antiqua" w:eastAsia="宋体" w:hAnsi="Book Antiqua" w:cs="Times New Roman"/>
          <w:noProof/>
          <w:sz w:val="24"/>
          <w:szCs w:val="24"/>
          <w:vertAlign w:val="superscript"/>
        </w:rPr>
        <w:t>27]</w:t>
      </w:r>
      <w:r w:rsidR="00F4094D" w:rsidRPr="00F469F1">
        <w:rPr>
          <w:rFonts w:ascii="Book Antiqua" w:eastAsia="宋体" w:hAnsi="Book Antiqua" w:cs="Times New Roman"/>
          <w:sz w:val="24"/>
          <w:szCs w:val="24"/>
        </w:rPr>
        <w:t xml:space="preserve"> showed that PLT is related to angiogenesis, microenvironment maintenance, and tumor masses</w:t>
      </w:r>
      <w:r w:rsidR="000A642C" w:rsidRPr="00F469F1">
        <w:rPr>
          <w:rFonts w:ascii="Book Antiqua" w:eastAsia="宋体" w:hAnsi="Book Antiqua" w:cs="Times New Roman"/>
          <w:noProof/>
          <w:sz w:val="24"/>
          <w:szCs w:val="24"/>
          <w:vertAlign w:val="superscript"/>
        </w:rPr>
        <w:t>[27]</w:t>
      </w:r>
      <w:r w:rsidR="00F4094D" w:rsidRPr="00F469F1">
        <w:rPr>
          <w:rFonts w:ascii="Book Antiqua" w:eastAsia="宋体" w:hAnsi="Book Antiqua" w:cs="Times New Roman"/>
          <w:sz w:val="24"/>
          <w:szCs w:val="24"/>
        </w:rPr>
        <w:t>. PLT could promote tumor recurrence and serve as a resource for cytokines such as vascular endothelial growth factor or tumor growth factor-β. Additionally, tumor cells release inflammatory cytokines, and transference of cytokines such as platelet-derived growth factor and tumor necrosis factor by plate</w:t>
      </w:r>
      <w:r w:rsidR="00F51AD3" w:rsidRPr="00F469F1">
        <w:rPr>
          <w:rFonts w:ascii="Book Antiqua" w:eastAsia="宋体" w:hAnsi="Book Antiqua" w:cs="Times New Roman"/>
          <w:sz w:val="24"/>
          <w:szCs w:val="24"/>
        </w:rPr>
        <w:t xml:space="preserve">lets could enhance tumor </w:t>
      </w:r>
      <w:proofErr w:type="gramStart"/>
      <w:r w:rsidR="00F51AD3" w:rsidRPr="00F469F1">
        <w:rPr>
          <w:rFonts w:ascii="Book Antiqua" w:eastAsia="宋体" w:hAnsi="Book Antiqua" w:cs="Times New Roman"/>
          <w:sz w:val="24"/>
          <w:szCs w:val="24"/>
        </w:rPr>
        <w:t>growth</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28]</w:t>
      </w:r>
      <w:r w:rsidR="00F51AD3" w:rsidRPr="00F469F1">
        <w:rPr>
          <w:rFonts w:ascii="Book Antiqua" w:eastAsia="宋体" w:hAnsi="Book Antiqua" w:cs="Times New Roman"/>
          <w:sz w:val="24"/>
          <w:szCs w:val="24"/>
        </w:rPr>
        <w:t>.</w:t>
      </w:r>
    </w:p>
    <w:p w14:paraId="573EFF2F" w14:textId="77100149"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In this study, GPR appeared to be more significant than GGT to predict GBC, when we compared AUCs and the C-index. PLT was not</w:t>
      </w:r>
      <w:r w:rsidR="00B73E89">
        <w:rPr>
          <w:rFonts w:ascii="Book Antiqua" w:eastAsia="宋体" w:hAnsi="Book Antiqua" w:cs="Times New Roman"/>
          <w:sz w:val="24"/>
          <w:szCs w:val="24"/>
        </w:rPr>
        <w:t xml:space="preserve"> </w:t>
      </w:r>
      <w:r w:rsidRPr="00F469F1">
        <w:rPr>
          <w:rFonts w:ascii="Book Antiqua" w:eastAsia="宋体" w:hAnsi="Book Antiqua" w:cs="Times New Roman"/>
          <w:sz w:val="24"/>
          <w:szCs w:val="24"/>
        </w:rPr>
        <w:t>a predictor of GBC in this study, but the combination of PLT and GGT as GPR showed good results regarding prognosis.</w:t>
      </w:r>
    </w:p>
    <w:p w14:paraId="26D0A297" w14:textId="46FEDC79"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In 2008, Wang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D0032A" w:rsidRPr="00F469F1">
        <w:rPr>
          <w:rFonts w:ascii="Book Antiqua" w:eastAsia="宋体" w:hAnsi="Book Antiqua" w:cs="Times New Roman"/>
          <w:noProof/>
          <w:sz w:val="24"/>
          <w:szCs w:val="24"/>
          <w:vertAlign w:val="superscript"/>
        </w:rPr>
        <w:t>[</w:t>
      </w:r>
      <w:proofErr w:type="gramEnd"/>
      <w:r w:rsidR="00D0032A" w:rsidRPr="00F469F1">
        <w:rPr>
          <w:rFonts w:ascii="Book Antiqua" w:eastAsia="宋体" w:hAnsi="Book Antiqua" w:cs="Times New Roman"/>
          <w:noProof/>
          <w:sz w:val="24"/>
          <w:szCs w:val="24"/>
          <w:vertAlign w:val="superscript"/>
        </w:rPr>
        <w:t>29]</w:t>
      </w:r>
      <w:r w:rsidRPr="00F469F1">
        <w:rPr>
          <w:rFonts w:ascii="Book Antiqua" w:eastAsia="宋体" w:hAnsi="Book Antiqua" w:cs="Times New Roman"/>
          <w:sz w:val="24"/>
          <w:szCs w:val="24"/>
        </w:rPr>
        <w:t xml:space="preserve"> published a predictive model related to RT based on patients’ records from the SEER database developed b</w:t>
      </w:r>
      <w:r w:rsidR="00F51AD3" w:rsidRPr="00F469F1">
        <w:rPr>
          <w:rFonts w:ascii="Book Antiqua" w:eastAsia="宋体" w:hAnsi="Book Antiqua" w:cs="Times New Roman"/>
          <w:sz w:val="24"/>
          <w:szCs w:val="24"/>
        </w:rPr>
        <w:t>y the National Cancer Institute</w:t>
      </w:r>
      <w:r w:rsidR="00F51AD3" w:rsidRPr="00F469F1">
        <w:rPr>
          <w:rFonts w:ascii="Book Antiqua" w:eastAsia="宋体" w:hAnsi="Book Antiqua" w:cs="Times New Roman"/>
          <w:sz w:val="24"/>
          <w:szCs w:val="24"/>
          <w:vertAlign w:val="superscript"/>
        </w:rPr>
        <w:t>[</w:t>
      </w:r>
      <w:r w:rsidR="000A642C" w:rsidRPr="00F469F1">
        <w:rPr>
          <w:rFonts w:ascii="Book Antiqua" w:eastAsia="宋体" w:hAnsi="Book Antiqua" w:cs="Times New Roman"/>
          <w:noProof/>
          <w:sz w:val="24"/>
          <w:szCs w:val="24"/>
          <w:vertAlign w:val="superscript"/>
        </w:rPr>
        <w:t>29]</w:t>
      </w:r>
      <w:r w:rsidRPr="00F469F1">
        <w:rPr>
          <w:rFonts w:ascii="Book Antiqua" w:eastAsia="宋体" w:hAnsi="Book Antiqua" w:cs="Times New Roman"/>
          <w:sz w:val="24"/>
          <w:szCs w:val="24"/>
        </w:rPr>
        <w:t xml:space="preserve">. In 2016, Zhou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D0032A" w:rsidRPr="00F469F1">
        <w:rPr>
          <w:rFonts w:ascii="Book Antiqua" w:eastAsia="宋体" w:hAnsi="Book Antiqua" w:cs="Times New Roman"/>
          <w:noProof/>
          <w:sz w:val="24"/>
          <w:szCs w:val="24"/>
          <w:vertAlign w:val="superscript"/>
        </w:rPr>
        <w:t>[</w:t>
      </w:r>
      <w:proofErr w:type="gramEnd"/>
      <w:r w:rsidR="00D0032A" w:rsidRPr="00F469F1">
        <w:rPr>
          <w:rFonts w:ascii="Book Antiqua" w:eastAsia="宋体" w:hAnsi="Book Antiqua" w:cs="Times New Roman"/>
          <w:noProof/>
          <w:sz w:val="24"/>
          <w:szCs w:val="24"/>
          <w:vertAlign w:val="superscript"/>
        </w:rPr>
        <w:t>30]</w:t>
      </w:r>
      <w:r w:rsidRPr="00F469F1">
        <w:rPr>
          <w:rFonts w:ascii="Book Antiqua" w:eastAsia="宋体" w:hAnsi="Book Antiqua" w:cs="Times New Roman"/>
          <w:sz w:val="24"/>
          <w:szCs w:val="24"/>
        </w:rPr>
        <w:t xml:space="preserve"> improved the predictive model by adding more clinical factors and using a nomogram scoring method</w:t>
      </w:r>
      <w:r w:rsidR="000A642C" w:rsidRPr="00F469F1">
        <w:rPr>
          <w:rFonts w:ascii="Book Antiqua" w:eastAsia="宋体" w:hAnsi="Book Antiqua" w:cs="Times New Roman"/>
          <w:noProof/>
          <w:sz w:val="24"/>
          <w:szCs w:val="24"/>
          <w:vertAlign w:val="superscript"/>
        </w:rPr>
        <w:t>[30]</w:t>
      </w:r>
      <w:r w:rsidRPr="00F469F1">
        <w:rPr>
          <w:rFonts w:ascii="Book Antiqua" w:eastAsia="宋体" w:hAnsi="Book Antiqua" w:cs="Times New Roman"/>
          <w:sz w:val="24"/>
          <w:szCs w:val="24"/>
        </w:rPr>
        <w:t xml:space="preserve">. However, these models were based on analyses of the SEER database, and patients’ </w:t>
      </w:r>
      <w:r w:rsidRPr="00F469F1">
        <w:rPr>
          <w:rFonts w:ascii="Book Antiqua" w:eastAsia="宋体" w:hAnsi="Book Antiqua" w:cs="Times New Roman"/>
          <w:sz w:val="24"/>
          <w:szCs w:val="24"/>
        </w:rPr>
        <w:lastRenderedPageBreak/>
        <w:t>characteristics may differ from patients in other areas. More studies have been proposed regarding patients’ gene expression levels, but these methods are n</w:t>
      </w:r>
      <w:r w:rsidR="00F51AD3" w:rsidRPr="00F469F1">
        <w:rPr>
          <w:rFonts w:ascii="Book Antiqua" w:eastAsia="宋体" w:hAnsi="Book Antiqua" w:cs="Times New Roman"/>
          <w:sz w:val="24"/>
          <w:szCs w:val="24"/>
        </w:rPr>
        <w:t xml:space="preserve">ot convenient to use </w:t>
      </w:r>
      <w:proofErr w:type="gramStart"/>
      <w:r w:rsidR="00F51AD3" w:rsidRPr="00F469F1">
        <w:rPr>
          <w:rFonts w:ascii="Book Antiqua" w:eastAsia="宋体" w:hAnsi="Book Antiqua" w:cs="Times New Roman"/>
          <w:sz w:val="24"/>
          <w:szCs w:val="24"/>
        </w:rPr>
        <w:t>clinically</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31-33]</w:t>
      </w:r>
      <w:r w:rsidRPr="00F469F1">
        <w:rPr>
          <w:rFonts w:ascii="Book Antiqua" w:eastAsia="宋体" w:hAnsi="Book Antiqua" w:cs="Times New Roman"/>
          <w:sz w:val="24"/>
          <w:szCs w:val="24"/>
        </w:rPr>
        <w:t>; thus, an appropriate model to evaluate the prognosis of GBC patients in China is still an urgent need.</w:t>
      </w:r>
    </w:p>
    <w:p w14:paraId="2CFA3FA4" w14:textId="50A885EE"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TNM stage defined by the AJCC is now the most widel</w:t>
      </w:r>
      <w:r w:rsidR="00F51AD3" w:rsidRPr="00F469F1">
        <w:rPr>
          <w:rFonts w:ascii="Book Antiqua" w:eastAsia="宋体" w:hAnsi="Book Antiqua" w:cs="Times New Roman"/>
          <w:sz w:val="24"/>
          <w:szCs w:val="24"/>
        </w:rPr>
        <w:t xml:space="preserve">y used prognostic model for </w:t>
      </w:r>
      <w:proofErr w:type="gramStart"/>
      <w:r w:rsidR="00F51AD3" w:rsidRPr="00F469F1">
        <w:rPr>
          <w:rFonts w:ascii="Book Antiqua" w:eastAsia="宋体" w:hAnsi="Book Antiqua" w:cs="Times New Roman"/>
          <w:sz w:val="24"/>
          <w:szCs w:val="24"/>
        </w:rPr>
        <w:t>GBC</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5]</w:t>
      </w:r>
      <w:r w:rsidRPr="00F469F1">
        <w:rPr>
          <w:rFonts w:ascii="Book Antiqua" w:eastAsia="宋体" w:hAnsi="Book Antiqua" w:cs="Times New Roman"/>
          <w:sz w:val="24"/>
          <w:szCs w:val="24"/>
        </w:rPr>
        <w:t>. However, the TNM staging system is designed for a broad cancer diagnosis and lacks a personal examination reference for individual patients. Compared with the TNM stage model defined by the AJCC (8th edition), adding more clinical factors significantly improves the accuracy and discriminability of prediction. GPR, age, and BMI all contribute to a better prognostic model by adding specific patients’ characteristics. The AUC of the time-dependent ROC and C-index both have advantages over the TNM stage system. Furthermore, nomogram models discriminate between patients with the same TNM stage, and better correspond with clinical observations.</w:t>
      </w:r>
    </w:p>
    <w:p w14:paraId="176846AE" w14:textId="44A91273"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 xml:space="preserve">Studies also show advantages of nomograms over other previously studied clinical predictive models or factors. In 2018, Bai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D0032A" w:rsidRPr="00F469F1">
        <w:rPr>
          <w:rFonts w:ascii="Book Antiqua" w:eastAsia="宋体" w:hAnsi="Book Antiqua" w:cs="Times New Roman"/>
          <w:noProof/>
          <w:sz w:val="24"/>
          <w:szCs w:val="24"/>
          <w:vertAlign w:val="superscript"/>
        </w:rPr>
        <w:t>[</w:t>
      </w:r>
      <w:proofErr w:type="gramEnd"/>
      <w:r w:rsidR="00D0032A" w:rsidRPr="00F469F1">
        <w:rPr>
          <w:rFonts w:ascii="Book Antiqua" w:eastAsia="宋体" w:hAnsi="Book Antiqua" w:cs="Times New Roman"/>
          <w:noProof/>
          <w:sz w:val="24"/>
          <w:szCs w:val="24"/>
          <w:vertAlign w:val="superscript"/>
        </w:rPr>
        <w:t>34]</w:t>
      </w:r>
      <w:r w:rsidRPr="00F469F1">
        <w:rPr>
          <w:rFonts w:ascii="Book Antiqua" w:eastAsia="宋体" w:hAnsi="Book Antiqua" w:cs="Times New Roman"/>
          <w:sz w:val="24"/>
          <w:szCs w:val="24"/>
        </w:rPr>
        <w:t xml:space="preserve"> published a nomogram model aimed at predicting </w:t>
      </w:r>
      <w:r w:rsidR="00F51AD3" w:rsidRPr="00F469F1">
        <w:rPr>
          <w:rFonts w:ascii="Book Antiqua" w:eastAsia="宋体" w:hAnsi="Book Antiqua" w:cs="Times New Roman"/>
          <w:sz w:val="24"/>
          <w:szCs w:val="24"/>
        </w:rPr>
        <w:t>OS after GBC resection in China</w:t>
      </w:r>
      <w:r w:rsidR="000A642C" w:rsidRPr="00F469F1">
        <w:rPr>
          <w:rFonts w:ascii="Book Antiqua" w:eastAsia="宋体" w:hAnsi="Book Antiqua" w:cs="Times New Roman"/>
          <w:noProof/>
          <w:sz w:val="24"/>
          <w:szCs w:val="24"/>
          <w:vertAlign w:val="superscript"/>
        </w:rPr>
        <w:t>[34]</w:t>
      </w:r>
      <w:r w:rsidRPr="00F469F1">
        <w:rPr>
          <w:rFonts w:ascii="Book Antiqua" w:eastAsia="宋体" w:hAnsi="Book Antiqua" w:cs="Times New Roman"/>
          <w:sz w:val="24"/>
          <w:szCs w:val="24"/>
        </w:rPr>
        <w:t xml:space="preserve">. The authors’ study involved a similar patient population as in our study, and evaluated jaundice, CA19-9, TNM stage, and R stage as predictors. A comparison between these two models demonstrated an advantage regarding accuracy for our nomogram over Bai </w:t>
      </w:r>
      <w:r w:rsidRPr="00F469F1">
        <w:rPr>
          <w:rFonts w:ascii="Book Antiqua" w:eastAsia="宋体" w:hAnsi="Book Antiqua" w:cs="Times New Roman"/>
          <w:i/>
          <w:sz w:val="24"/>
          <w:szCs w:val="24"/>
        </w:rPr>
        <w:t xml:space="preserve">et </w:t>
      </w:r>
      <w:proofErr w:type="gramStart"/>
      <w:r w:rsidRPr="00F469F1">
        <w:rPr>
          <w:rFonts w:ascii="Book Antiqua" w:eastAsia="宋体" w:hAnsi="Book Antiqua" w:cs="Times New Roman"/>
          <w:i/>
          <w:sz w:val="24"/>
          <w:szCs w:val="24"/>
        </w:rPr>
        <w:t>al</w:t>
      </w:r>
      <w:r w:rsidR="00D0032A" w:rsidRPr="00F469F1">
        <w:rPr>
          <w:rFonts w:ascii="Book Antiqua" w:eastAsia="宋体" w:hAnsi="Book Antiqua" w:cs="Times New Roman"/>
          <w:noProof/>
          <w:sz w:val="24"/>
          <w:szCs w:val="24"/>
          <w:vertAlign w:val="superscript"/>
        </w:rPr>
        <w:t>[</w:t>
      </w:r>
      <w:proofErr w:type="gramEnd"/>
      <w:r w:rsidR="00D0032A" w:rsidRPr="00F469F1">
        <w:rPr>
          <w:rFonts w:ascii="Book Antiqua" w:eastAsia="宋体" w:hAnsi="Book Antiqua" w:cs="Times New Roman"/>
          <w:noProof/>
          <w:sz w:val="24"/>
          <w:szCs w:val="24"/>
          <w:vertAlign w:val="superscript"/>
        </w:rPr>
        <w:t>34]</w:t>
      </w:r>
      <w:r w:rsidR="00F51AD3" w:rsidRPr="00F469F1">
        <w:rPr>
          <w:rFonts w:ascii="Book Antiqua" w:eastAsia="宋体" w:hAnsi="Book Antiqua" w:cs="Times New Roman"/>
          <w:sz w:val="24"/>
          <w:szCs w:val="24"/>
        </w:rPr>
        <w:t>’s nomogram.</w:t>
      </w:r>
    </w:p>
    <w:p w14:paraId="166C3B5C" w14:textId="53ADB285" w:rsidR="00F4094D" w:rsidRPr="00F469F1" w:rsidRDefault="00F4094D" w:rsidP="00F469F1">
      <w:pPr>
        <w:widowControl/>
        <w:snapToGrid w:val="0"/>
        <w:spacing w:line="360" w:lineRule="auto"/>
        <w:ind w:firstLineChars="100" w:firstLine="240"/>
        <w:rPr>
          <w:rFonts w:ascii="Book Antiqua" w:eastAsia="宋体" w:hAnsi="Book Antiqua" w:cs="Times New Roman"/>
          <w:sz w:val="24"/>
          <w:szCs w:val="24"/>
        </w:rPr>
      </w:pPr>
      <w:r w:rsidRPr="00F469F1">
        <w:rPr>
          <w:rFonts w:ascii="Book Antiqua" w:eastAsia="宋体" w:hAnsi="Book Antiqua" w:cs="Times New Roman"/>
          <w:sz w:val="24"/>
          <w:szCs w:val="24"/>
        </w:rPr>
        <w:t>MLR, NLR, and CA19-9 are clinical factors that have been evaluated in previous s</w:t>
      </w:r>
      <w:r w:rsidR="00F51AD3" w:rsidRPr="00F469F1">
        <w:rPr>
          <w:rFonts w:ascii="Book Antiqua" w:eastAsia="宋体" w:hAnsi="Book Antiqua" w:cs="Times New Roman"/>
          <w:sz w:val="24"/>
          <w:szCs w:val="24"/>
        </w:rPr>
        <w:t xml:space="preserve">tudies </w:t>
      </w:r>
      <w:r w:rsidR="00544C75">
        <w:rPr>
          <w:rFonts w:ascii="Book Antiqua" w:eastAsia="宋体" w:hAnsi="Book Antiqua" w:cs="Times New Roman"/>
          <w:sz w:val="24"/>
          <w:szCs w:val="24"/>
        </w:rPr>
        <w:t xml:space="preserve">for </w:t>
      </w:r>
      <w:r w:rsidR="00F51AD3" w:rsidRPr="00F469F1">
        <w:rPr>
          <w:rFonts w:ascii="Book Antiqua" w:eastAsia="宋体" w:hAnsi="Book Antiqua" w:cs="Times New Roman"/>
          <w:sz w:val="24"/>
          <w:szCs w:val="24"/>
        </w:rPr>
        <w:t xml:space="preserve">evaluating GBC </w:t>
      </w:r>
      <w:proofErr w:type="gramStart"/>
      <w:r w:rsidR="00F51AD3" w:rsidRPr="00F469F1">
        <w:rPr>
          <w:rFonts w:ascii="Book Antiqua" w:eastAsia="宋体" w:hAnsi="Book Antiqua" w:cs="Times New Roman"/>
          <w:sz w:val="24"/>
          <w:szCs w:val="24"/>
        </w:rPr>
        <w:t>prognosis</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6]</w:t>
      </w:r>
      <w:r w:rsidRPr="00F469F1">
        <w:rPr>
          <w:rFonts w:ascii="Book Antiqua" w:eastAsia="宋体" w:hAnsi="Book Antiqua" w:cs="Times New Roman"/>
          <w:sz w:val="24"/>
          <w:szCs w:val="24"/>
        </w:rPr>
        <w:t>. Comparisons of the related AUCs and the C-index showed a significant advantage of nomogram over these three factors.</w:t>
      </w:r>
    </w:p>
    <w:p w14:paraId="23B010C8" w14:textId="0D0A7579" w:rsidR="00F4094D" w:rsidRPr="00F469F1" w:rsidRDefault="00F4094D" w:rsidP="00F469F1">
      <w:pPr>
        <w:snapToGrid w:val="0"/>
        <w:spacing w:line="360" w:lineRule="auto"/>
        <w:ind w:firstLineChars="100" w:firstLine="240"/>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In conclusion, GPR </w:t>
      </w:r>
      <w:r w:rsidR="00544C75">
        <w:rPr>
          <w:rFonts w:ascii="Book Antiqua" w:eastAsia="宋体" w:hAnsi="Book Antiqua" w:cs="Times New Roman"/>
          <w:noProof/>
          <w:sz w:val="24"/>
          <w:szCs w:val="24"/>
        </w:rPr>
        <w:t>i</w:t>
      </w:r>
      <w:r w:rsidR="00544C75" w:rsidRPr="00F469F1">
        <w:rPr>
          <w:rFonts w:ascii="Book Antiqua" w:eastAsia="宋体" w:hAnsi="Book Antiqua" w:cs="Times New Roman"/>
          <w:noProof/>
          <w:sz w:val="24"/>
          <w:szCs w:val="24"/>
        </w:rPr>
        <w:t xml:space="preserve">s </w:t>
      </w:r>
      <w:r w:rsidRPr="00F469F1">
        <w:rPr>
          <w:rFonts w:ascii="Book Antiqua" w:eastAsia="宋体" w:hAnsi="Book Antiqua" w:cs="Times New Roman"/>
          <w:noProof/>
          <w:sz w:val="24"/>
          <w:szCs w:val="24"/>
        </w:rPr>
        <w:t xml:space="preserve">an independent prognostic factor when predictnig OS in patients with GBC. Our nomogram model based on GPR successfully </w:t>
      </w:r>
      <w:r w:rsidR="00544C75" w:rsidRPr="00F469F1">
        <w:rPr>
          <w:rFonts w:ascii="Book Antiqua" w:eastAsia="宋体" w:hAnsi="Book Antiqua" w:cs="Times New Roman"/>
          <w:noProof/>
          <w:sz w:val="24"/>
          <w:szCs w:val="24"/>
        </w:rPr>
        <w:t>predict</w:t>
      </w:r>
      <w:r w:rsidR="00544C75">
        <w:rPr>
          <w:rFonts w:ascii="Book Antiqua" w:eastAsia="宋体" w:hAnsi="Book Antiqua" w:cs="Times New Roman"/>
          <w:noProof/>
          <w:sz w:val="24"/>
          <w:szCs w:val="24"/>
        </w:rPr>
        <w:t>s</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the survival probability, and has advantages compared with the 8th edition of the AJCC system and other prognostic models.</w:t>
      </w:r>
    </w:p>
    <w:p w14:paraId="0248C6A8" w14:textId="3CF9DEC4" w:rsidR="00863E85" w:rsidRPr="00F469F1" w:rsidRDefault="00863E85" w:rsidP="00F469F1">
      <w:pPr>
        <w:snapToGrid w:val="0"/>
        <w:spacing w:line="360" w:lineRule="auto"/>
        <w:rPr>
          <w:rFonts w:ascii="Book Antiqua" w:eastAsia="宋体" w:hAnsi="Book Antiqua" w:cs="Times New Roman"/>
          <w:noProof/>
          <w:sz w:val="24"/>
          <w:szCs w:val="24"/>
        </w:rPr>
      </w:pPr>
    </w:p>
    <w:p w14:paraId="58E3E6D6" w14:textId="7CEC38E8" w:rsidR="00863E85" w:rsidRPr="00F469F1" w:rsidRDefault="00863E85" w:rsidP="00F469F1">
      <w:pPr>
        <w:snapToGrid w:val="0"/>
        <w:spacing w:line="360" w:lineRule="auto"/>
        <w:rPr>
          <w:rFonts w:ascii="Book Antiqua" w:eastAsia="宋体" w:hAnsi="Book Antiqua" w:cs="Times New Roman"/>
          <w:b/>
          <w:i/>
          <w:noProof/>
          <w:sz w:val="24"/>
          <w:szCs w:val="24"/>
        </w:rPr>
      </w:pPr>
      <w:r w:rsidRPr="00F469F1">
        <w:rPr>
          <w:rFonts w:ascii="Book Antiqua" w:eastAsia="宋体" w:hAnsi="Book Antiqua" w:cs="Times New Roman"/>
          <w:b/>
          <w:i/>
          <w:noProof/>
          <w:sz w:val="24"/>
          <w:szCs w:val="24"/>
        </w:rPr>
        <w:t>Limits of the study</w:t>
      </w:r>
    </w:p>
    <w:p w14:paraId="3862F7EA" w14:textId="150E7C47" w:rsidR="000D3A91" w:rsidRPr="00F469F1" w:rsidRDefault="00863E85"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 xml:space="preserve">Our study has several limitations. First, because of the small </w:t>
      </w:r>
      <w:r w:rsidR="00544C75">
        <w:rPr>
          <w:rFonts w:ascii="Book Antiqua" w:eastAsia="宋体" w:hAnsi="Book Antiqua" w:cs="Times New Roman"/>
          <w:sz w:val="24"/>
          <w:szCs w:val="24"/>
        </w:rPr>
        <w:t>sample size</w:t>
      </w:r>
      <w:r w:rsidRPr="00F469F1">
        <w:rPr>
          <w:rFonts w:ascii="Book Antiqua" w:eastAsia="宋体" w:hAnsi="Book Antiqua" w:cs="Times New Roman"/>
          <w:sz w:val="24"/>
          <w:szCs w:val="24"/>
        </w:rPr>
        <w:t xml:space="preserve">, we evaluated only a training cohort; our study had no validation cohort. Second, our study was a retrospective analysis; multicenter research based on our nomogram model </w:t>
      </w:r>
      <w:r w:rsidR="00544C75">
        <w:rPr>
          <w:rFonts w:ascii="Book Antiqua" w:eastAsia="宋体" w:hAnsi="Book Antiqua" w:cs="Times New Roman"/>
          <w:sz w:val="24"/>
          <w:szCs w:val="24"/>
        </w:rPr>
        <w:t>is</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required to confirm the prediction outcomes of our model. Third, also because of the small</w:t>
      </w:r>
      <w:r w:rsidR="00544C75">
        <w:rPr>
          <w:rFonts w:ascii="Book Antiqua" w:eastAsia="宋体" w:hAnsi="Book Antiqua" w:cs="Times New Roman"/>
          <w:sz w:val="24"/>
          <w:szCs w:val="24"/>
        </w:rPr>
        <w:t xml:space="preserve"> number</w:t>
      </w:r>
      <w:r w:rsidRPr="00F469F1">
        <w:rPr>
          <w:rFonts w:ascii="Book Antiqua" w:eastAsia="宋体" w:hAnsi="Book Antiqua" w:cs="Times New Roman"/>
          <w:sz w:val="24"/>
          <w:szCs w:val="24"/>
        </w:rPr>
        <w:t xml:space="preserve"> of patients</w:t>
      </w:r>
      <w:r w:rsidR="00544C75">
        <w:rPr>
          <w:rFonts w:ascii="Book Antiqua" w:eastAsia="宋体" w:hAnsi="Book Antiqua" w:cs="Times New Roman"/>
          <w:sz w:val="24"/>
          <w:szCs w:val="24"/>
        </w:rPr>
        <w:t xml:space="preserve"> included</w:t>
      </w:r>
      <w:r w:rsidRPr="00F469F1">
        <w:rPr>
          <w:rFonts w:ascii="Book Antiqua" w:eastAsia="宋体" w:hAnsi="Book Antiqua" w:cs="Times New Roman"/>
          <w:sz w:val="24"/>
          <w:szCs w:val="24"/>
        </w:rPr>
        <w:t>, the heterogeneity of involved patients could lead to statistical bias,</w:t>
      </w:r>
      <w:r w:rsidR="00544C75">
        <w:rPr>
          <w:rFonts w:ascii="Book Antiqua" w:eastAsia="宋体" w:hAnsi="Book Antiqua" w:cs="Times New Roman"/>
          <w:sz w:val="24"/>
          <w:szCs w:val="24"/>
        </w:rPr>
        <w:t xml:space="preserve"> and</w:t>
      </w:r>
      <w:r w:rsidRPr="00F469F1">
        <w:rPr>
          <w:rFonts w:ascii="Book Antiqua" w:eastAsia="宋体" w:hAnsi="Book Antiqua" w:cs="Times New Roman"/>
          <w:sz w:val="24"/>
          <w:szCs w:val="24"/>
        </w:rPr>
        <w:t xml:space="preserve"> further research </w:t>
      </w:r>
      <w:r w:rsidR="00544C75">
        <w:rPr>
          <w:rFonts w:ascii="Book Antiqua" w:eastAsia="宋体" w:hAnsi="Book Antiqua" w:cs="Times New Roman"/>
          <w:sz w:val="24"/>
          <w:szCs w:val="24"/>
        </w:rPr>
        <w:t>should</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expand the study population and confirm the prediction value of GPR. Finally, we analyzed only laboratory results and patients’ medical records. Previous studies evaluated multiple methods of examination such as computed tomography and magnetic resonance </w:t>
      </w:r>
      <w:proofErr w:type="gramStart"/>
      <w:r w:rsidRPr="00F469F1">
        <w:rPr>
          <w:rFonts w:ascii="Book Antiqua" w:eastAsia="宋体" w:hAnsi="Book Antiqua" w:cs="Times New Roman"/>
          <w:sz w:val="24"/>
          <w:szCs w:val="24"/>
        </w:rPr>
        <w:t>imaging</w:t>
      </w:r>
      <w:r w:rsidR="000A642C" w:rsidRPr="00F469F1">
        <w:rPr>
          <w:rFonts w:ascii="Book Antiqua" w:eastAsia="宋体" w:hAnsi="Book Antiqua" w:cs="Times New Roman"/>
          <w:noProof/>
          <w:sz w:val="24"/>
          <w:szCs w:val="24"/>
          <w:vertAlign w:val="superscript"/>
        </w:rPr>
        <w:t>[</w:t>
      </w:r>
      <w:proofErr w:type="gramEnd"/>
      <w:r w:rsidR="000A642C" w:rsidRPr="00F469F1">
        <w:rPr>
          <w:rFonts w:ascii="Book Antiqua" w:eastAsia="宋体" w:hAnsi="Book Antiqua" w:cs="Times New Roman"/>
          <w:noProof/>
          <w:sz w:val="24"/>
          <w:szCs w:val="24"/>
          <w:vertAlign w:val="superscript"/>
        </w:rPr>
        <w:t>35]</w:t>
      </w:r>
      <w:r w:rsidR="00FF19A3"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therefore, further research </w:t>
      </w:r>
      <w:r w:rsidR="00544C75">
        <w:rPr>
          <w:rFonts w:ascii="Book Antiqua" w:eastAsia="宋体" w:hAnsi="Book Antiqua" w:cs="Times New Roman"/>
          <w:sz w:val="24"/>
          <w:szCs w:val="24"/>
        </w:rPr>
        <w:t>should</w:t>
      </w:r>
      <w:r w:rsidR="00544C75"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broaden the database</w:t>
      </w:r>
      <w:r w:rsidR="00F51AD3" w:rsidRPr="00F469F1">
        <w:rPr>
          <w:rFonts w:ascii="Book Antiqua" w:eastAsia="宋体" w:hAnsi="Book Antiqua" w:cs="Times New Roman"/>
          <w:sz w:val="24"/>
          <w:szCs w:val="24"/>
        </w:rPr>
        <w:t xml:space="preserve"> and combine more clinical data</w:t>
      </w:r>
      <w:r w:rsidR="000A642C" w:rsidRPr="00F469F1">
        <w:rPr>
          <w:rFonts w:ascii="Book Antiqua" w:eastAsia="宋体" w:hAnsi="Book Antiqua" w:cs="Times New Roman"/>
          <w:noProof/>
          <w:sz w:val="24"/>
          <w:szCs w:val="24"/>
          <w:vertAlign w:val="superscript"/>
        </w:rPr>
        <w:t>[36]</w:t>
      </w:r>
      <w:r w:rsidR="00F51AD3" w:rsidRPr="00F469F1">
        <w:rPr>
          <w:rFonts w:ascii="Book Antiqua" w:eastAsia="宋体" w:hAnsi="Book Antiqua" w:cs="Times New Roman"/>
          <w:sz w:val="24"/>
          <w:szCs w:val="24"/>
        </w:rPr>
        <w:t>.</w:t>
      </w:r>
    </w:p>
    <w:p w14:paraId="59F266D8" w14:textId="4588C6C8" w:rsidR="009B18DF" w:rsidRPr="00F469F1" w:rsidRDefault="009B18DF" w:rsidP="00F469F1">
      <w:pPr>
        <w:widowControl/>
        <w:snapToGrid w:val="0"/>
        <w:spacing w:line="360" w:lineRule="auto"/>
        <w:rPr>
          <w:rFonts w:ascii="Book Antiqua" w:eastAsia="宋体" w:hAnsi="Book Antiqua" w:cs="Times New Roman"/>
          <w:sz w:val="24"/>
          <w:szCs w:val="24"/>
        </w:rPr>
      </w:pPr>
    </w:p>
    <w:p w14:paraId="3ED16C19" w14:textId="77777777" w:rsidR="00BC42C3" w:rsidRPr="00F469F1" w:rsidRDefault="00BC42C3" w:rsidP="00F469F1">
      <w:pPr>
        <w:adjustRightInd w:val="0"/>
        <w:snapToGrid w:val="0"/>
        <w:spacing w:line="360" w:lineRule="auto"/>
        <w:rPr>
          <w:rFonts w:ascii="Book Antiqua" w:hAnsi="Book Antiqua"/>
          <w:b/>
          <w:sz w:val="24"/>
          <w:szCs w:val="24"/>
          <w:u w:val="single"/>
        </w:rPr>
      </w:pPr>
      <w:r w:rsidRPr="00F469F1">
        <w:rPr>
          <w:rFonts w:ascii="Book Antiqua" w:hAnsi="Book Antiqua"/>
          <w:b/>
          <w:sz w:val="24"/>
          <w:szCs w:val="24"/>
          <w:u w:val="single"/>
        </w:rPr>
        <w:t>ARTICLE HIGHLIGHTS</w:t>
      </w:r>
    </w:p>
    <w:p w14:paraId="00D3C9E7" w14:textId="2CB56EF9"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background</w:t>
      </w:r>
    </w:p>
    <w:p w14:paraId="72FB6D5D" w14:textId="480B2FC9" w:rsidR="007314AE" w:rsidRPr="00F469F1" w:rsidRDefault="00980503"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Gallbladder carcinoma (GBC) carries a poor prognosis and requires a prediction method. Gamma-glutamyl transferase–to–platelet ratio (GPR) is a recently-reported cancer prognostic factor. </w:t>
      </w:r>
      <w:r w:rsidR="00544C75">
        <w:rPr>
          <w:rFonts w:ascii="Book Antiqua" w:eastAsia="宋体" w:hAnsi="Book Antiqua" w:cs="Times New Roman"/>
          <w:noProof/>
          <w:sz w:val="24"/>
          <w:szCs w:val="24"/>
        </w:rPr>
        <w:t>Alt</w:t>
      </w:r>
      <w:r w:rsidR="00544C75" w:rsidRPr="00F469F1">
        <w:rPr>
          <w:rFonts w:ascii="Book Antiqua" w:eastAsia="宋体" w:hAnsi="Book Antiqua" w:cs="Times New Roman"/>
          <w:noProof/>
          <w:sz w:val="24"/>
          <w:szCs w:val="24"/>
        </w:rPr>
        <w:t xml:space="preserve">hough </w:t>
      </w:r>
      <w:r w:rsidR="00544C75">
        <w:rPr>
          <w:rFonts w:ascii="Book Antiqua" w:eastAsia="宋体" w:hAnsi="Book Antiqua" w:cs="Times New Roman"/>
          <w:noProof/>
          <w:sz w:val="24"/>
          <w:szCs w:val="24"/>
        </w:rPr>
        <w:t xml:space="preserve">the </w:t>
      </w:r>
      <w:r w:rsidRPr="00F469F1">
        <w:rPr>
          <w:rFonts w:ascii="Book Antiqua" w:eastAsia="宋体" w:hAnsi="Book Antiqua" w:cs="Times New Roman"/>
          <w:noProof/>
          <w:sz w:val="24"/>
          <w:szCs w:val="24"/>
        </w:rPr>
        <w:t xml:space="preserve">mechanism of GPR’s relationship with poor cancer prognosis remains unclear, studies have demonstrated the clinical effect of both GGT and </w:t>
      </w:r>
      <w:r w:rsidR="00F51AD3" w:rsidRPr="00F469F1">
        <w:rPr>
          <w:rFonts w:ascii="Book Antiqua" w:eastAsia="宋体" w:hAnsi="Book Antiqua" w:cs="Times New Roman"/>
          <w:sz w:val="24"/>
          <w:szCs w:val="24"/>
        </w:rPr>
        <w:t>platelet count</w:t>
      </w:r>
      <w:r w:rsidRPr="00F469F1">
        <w:rPr>
          <w:rFonts w:ascii="Book Antiqua" w:eastAsia="宋体" w:hAnsi="Book Antiqua" w:cs="Times New Roman"/>
          <w:noProof/>
          <w:sz w:val="24"/>
          <w:szCs w:val="24"/>
        </w:rPr>
        <w:t xml:space="preserve"> on GBC and related gallbladder diseases.</w:t>
      </w:r>
    </w:p>
    <w:p w14:paraId="27DF3F2A" w14:textId="77777777" w:rsidR="00980503" w:rsidRPr="00F469F1" w:rsidRDefault="00980503" w:rsidP="00F469F1">
      <w:pPr>
        <w:snapToGrid w:val="0"/>
        <w:spacing w:line="360" w:lineRule="auto"/>
        <w:rPr>
          <w:rFonts w:ascii="Book Antiqua" w:eastAsia="宋体" w:hAnsi="Book Antiqua" w:cs="Times New Roman"/>
          <w:noProof/>
          <w:sz w:val="24"/>
          <w:szCs w:val="24"/>
        </w:rPr>
      </w:pPr>
    </w:p>
    <w:p w14:paraId="18EBA659" w14:textId="770644B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motivation</w:t>
      </w:r>
    </w:p>
    <w:p w14:paraId="29CACC87" w14:textId="3349D86C" w:rsidR="007314AE" w:rsidRPr="00F469F1" w:rsidRDefault="00980503"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We aimed to </w:t>
      </w:r>
      <w:r w:rsidR="009201B2" w:rsidRPr="00F469F1">
        <w:rPr>
          <w:rFonts w:ascii="Book Antiqua" w:eastAsia="宋体" w:hAnsi="Book Antiqua" w:cs="Times New Roman"/>
          <w:noProof/>
          <w:sz w:val="24"/>
          <w:szCs w:val="24"/>
        </w:rPr>
        <w:t>elucidate</w:t>
      </w:r>
      <w:r w:rsidRPr="00F469F1">
        <w:rPr>
          <w:rFonts w:ascii="Book Antiqua" w:eastAsia="宋体" w:hAnsi="Book Antiqua" w:cs="Times New Roman"/>
          <w:noProof/>
          <w:sz w:val="24"/>
          <w:szCs w:val="24"/>
        </w:rPr>
        <w:t xml:space="preserve"> the prognostic value of GPR and to </w:t>
      </w:r>
      <w:r w:rsidR="009201B2" w:rsidRPr="00F469F1">
        <w:rPr>
          <w:rFonts w:ascii="Book Antiqua" w:eastAsia="宋体" w:hAnsi="Book Antiqua" w:cs="Times New Roman"/>
          <w:noProof/>
          <w:sz w:val="24"/>
          <w:szCs w:val="24"/>
        </w:rPr>
        <w:t>improve the current prognostic system for GBC patients</w:t>
      </w:r>
    </w:p>
    <w:p w14:paraId="1023A60C" w14:textId="77777777" w:rsidR="00980503" w:rsidRPr="00F469F1" w:rsidRDefault="00980503" w:rsidP="00F469F1">
      <w:pPr>
        <w:snapToGrid w:val="0"/>
        <w:spacing w:line="360" w:lineRule="auto"/>
        <w:rPr>
          <w:rFonts w:ascii="Book Antiqua" w:eastAsia="宋体" w:hAnsi="Book Antiqua" w:cs="Times New Roman"/>
          <w:noProof/>
          <w:sz w:val="24"/>
          <w:szCs w:val="24"/>
        </w:rPr>
      </w:pPr>
    </w:p>
    <w:p w14:paraId="7E7492FA" w14:textId="52F7B24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objectives</w:t>
      </w:r>
    </w:p>
    <w:p w14:paraId="74C37A56" w14:textId="1F13058C" w:rsidR="00980503" w:rsidRPr="00F469F1" w:rsidRDefault="009201B2" w:rsidP="00F469F1">
      <w:pPr>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We aimed to assess the prognostic value of GPR and to design a prognostic nomogram for GBC.</w:t>
      </w:r>
    </w:p>
    <w:p w14:paraId="37C881A9" w14:textId="77777777" w:rsidR="009201B2" w:rsidRPr="00F469F1" w:rsidRDefault="009201B2" w:rsidP="00F469F1">
      <w:pPr>
        <w:snapToGrid w:val="0"/>
        <w:spacing w:line="360" w:lineRule="auto"/>
        <w:rPr>
          <w:rFonts w:ascii="Book Antiqua" w:eastAsia="宋体" w:hAnsi="Book Antiqua" w:cs="Times New Roman"/>
          <w:noProof/>
          <w:sz w:val="24"/>
          <w:szCs w:val="24"/>
        </w:rPr>
      </w:pPr>
    </w:p>
    <w:p w14:paraId="3D8A9561" w14:textId="604CC175"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methods</w:t>
      </w:r>
    </w:p>
    <w:p w14:paraId="5678F546" w14:textId="7035118D" w:rsidR="006B574D"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lastRenderedPageBreak/>
        <w:t xml:space="preserve">The analysis involved 130 GBC patients who underwent surgery at Peking Union Medical College Hospital from December 2003 to April 2017. Patients were stratified into a high- or low-GPR group. The predictive ability of GPR was evaluated by Kaplan–Meier analysis and a Cox regression model. We developed a nomogram based on GPR, which we verified using calibration curves. The nomogram and other prognosis prediction models were compared </w:t>
      </w:r>
      <w:r w:rsidR="00544C75">
        <w:rPr>
          <w:rFonts w:ascii="Book Antiqua" w:eastAsia="宋体" w:hAnsi="Book Antiqua" w:cs="Times New Roman"/>
          <w:noProof/>
          <w:sz w:val="24"/>
          <w:szCs w:val="24"/>
        </w:rPr>
        <w:t>using</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time-dependent receiver operating characteristic curves and the C-index.</w:t>
      </w:r>
    </w:p>
    <w:p w14:paraId="417BB47F"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26DD42EE" w14:textId="58B3A122"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results</w:t>
      </w:r>
    </w:p>
    <w:p w14:paraId="051569C3" w14:textId="6E464F01" w:rsidR="007314AE"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Patients in the high-GPR group had a higher risk of jaundice, were older, and had higher carbohydrate antigen 19-9 levels and worse postoperative outcomes. Univariate analysis revealed that GPR, age, body mass index, tumor–node–metastasis (TNM) stage, jaundice, cancer cell differentiation degree, and carcinoembryonic antigen and carbohydrate antigen 19-9 levels were related to overall survival (OS). Multivariate analysis confirmed that GPR, body mass index, age, and TNM stage were independent predictors of poor OS. Calibration curves were highly consistent with actual observations. Comparisons of time-dependent receiver operating characteristic curves and the C-index showed advantages for the nomogram over TNM staging.</w:t>
      </w:r>
    </w:p>
    <w:p w14:paraId="1A51D226"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4970CEB6" w14:textId="11BBC817"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Research conclusions</w:t>
      </w:r>
    </w:p>
    <w:p w14:paraId="7E7C64AC" w14:textId="7B47B872" w:rsidR="007314AE" w:rsidRPr="00F469F1" w:rsidRDefault="00C50EA0"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t xml:space="preserve">GPR </w:t>
      </w:r>
      <w:r w:rsidR="00544C75">
        <w:rPr>
          <w:rFonts w:ascii="Book Antiqua" w:eastAsia="宋体" w:hAnsi="Book Antiqua" w:cs="Times New Roman"/>
          <w:noProof/>
          <w:sz w:val="24"/>
          <w:szCs w:val="24"/>
        </w:rPr>
        <w:t>i</w:t>
      </w:r>
      <w:r w:rsidR="00544C75" w:rsidRPr="00F469F1">
        <w:rPr>
          <w:rFonts w:ascii="Book Antiqua" w:eastAsia="宋体" w:hAnsi="Book Antiqua" w:cs="Times New Roman"/>
          <w:noProof/>
          <w:sz w:val="24"/>
          <w:szCs w:val="24"/>
        </w:rPr>
        <w:t xml:space="preserve">s </w:t>
      </w:r>
      <w:r w:rsidRPr="00F469F1">
        <w:rPr>
          <w:rFonts w:ascii="Book Antiqua" w:eastAsia="宋体" w:hAnsi="Book Antiqua" w:cs="Times New Roman"/>
          <w:noProof/>
          <w:sz w:val="24"/>
          <w:szCs w:val="24"/>
        </w:rPr>
        <w:t>an independent predictor of GBC prognosis, and nomogram-integrated GPR is a promising predictive model for OS in GBC.</w:t>
      </w:r>
    </w:p>
    <w:p w14:paraId="13825299" w14:textId="77777777" w:rsidR="00C50EA0" w:rsidRPr="00F469F1" w:rsidRDefault="00C50EA0" w:rsidP="00F469F1">
      <w:pPr>
        <w:widowControl/>
        <w:snapToGrid w:val="0"/>
        <w:spacing w:line="360" w:lineRule="auto"/>
        <w:rPr>
          <w:rFonts w:ascii="Book Antiqua" w:eastAsia="宋体" w:hAnsi="Book Antiqua" w:cs="Times New Roman"/>
          <w:sz w:val="24"/>
          <w:szCs w:val="24"/>
        </w:rPr>
      </w:pPr>
    </w:p>
    <w:p w14:paraId="675C98C7" w14:textId="097BE60D" w:rsidR="007314AE" w:rsidRPr="00F469F1" w:rsidRDefault="007314AE" w:rsidP="00F469F1">
      <w:pPr>
        <w:widowControl/>
        <w:snapToGrid w:val="0"/>
        <w:spacing w:line="360" w:lineRule="auto"/>
        <w:rPr>
          <w:rFonts w:ascii="Book Antiqua" w:eastAsia="宋体" w:hAnsi="Book Antiqua" w:cs="Times New Roman"/>
          <w:b/>
          <w:i/>
          <w:sz w:val="24"/>
          <w:szCs w:val="24"/>
        </w:rPr>
      </w:pPr>
      <w:r w:rsidRPr="00F469F1">
        <w:rPr>
          <w:rFonts w:ascii="Book Antiqua" w:eastAsia="宋体" w:hAnsi="Book Antiqua" w:cs="Times New Roman"/>
          <w:b/>
          <w:i/>
          <w:sz w:val="24"/>
          <w:szCs w:val="24"/>
        </w:rPr>
        <w:t xml:space="preserve">Research </w:t>
      </w:r>
      <w:r w:rsidR="00544C75" w:rsidRPr="00F469F1">
        <w:rPr>
          <w:rFonts w:ascii="Book Antiqua" w:eastAsia="宋体" w:hAnsi="Book Antiqua" w:cs="Times New Roman"/>
          <w:b/>
          <w:i/>
          <w:sz w:val="24"/>
          <w:szCs w:val="24"/>
        </w:rPr>
        <w:t>p</w:t>
      </w:r>
      <w:r w:rsidR="00544C75">
        <w:rPr>
          <w:rFonts w:ascii="Book Antiqua" w:eastAsia="宋体" w:hAnsi="Book Antiqua" w:cs="Times New Roman"/>
          <w:b/>
          <w:i/>
          <w:sz w:val="24"/>
          <w:szCs w:val="24"/>
        </w:rPr>
        <w:t>er</w:t>
      </w:r>
      <w:r w:rsidR="00544C75" w:rsidRPr="00F469F1">
        <w:rPr>
          <w:rFonts w:ascii="Book Antiqua" w:eastAsia="宋体" w:hAnsi="Book Antiqua" w:cs="Times New Roman"/>
          <w:b/>
          <w:i/>
          <w:sz w:val="24"/>
          <w:szCs w:val="24"/>
        </w:rPr>
        <w:t>spectives</w:t>
      </w:r>
    </w:p>
    <w:p w14:paraId="1E49A2EA" w14:textId="27E77F24" w:rsidR="007314AE" w:rsidRPr="00F469F1" w:rsidRDefault="00C50EA0"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noProof/>
          <w:sz w:val="24"/>
          <w:szCs w:val="24"/>
        </w:rPr>
        <w:t xml:space="preserve">First, multicenter research based on our nomogram model </w:t>
      </w:r>
      <w:r w:rsidR="00544C75">
        <w:rPr>
          <w:rFonts w:ascii="Book Antiqua" w:eastAsia="宋体" w:hAnsi="Book Antiqua" w:cs="Times New Roman"/>
          <w:noProof/>
          <w:sz w:val="24"/>
          <w:szCs w:val="24"/>
        </w:rPr>
        <w:t>is</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 xml:space="preserve">required to confirm the prediction outcomes of our model. Second, further research </w:t>
      </w:r>
      <w:r w:rsidR="00544C75">
        <w:rPr>
          <w:rFonts w:ascii="Book Antiqua" w:eastAsia="宋体" w:hAnsi="Book Antiqua" w:cs="Times New Roman"/>
          <w:noProof/>
          <w:sz w:val="24"/>
          <w:szCs w:val="24"/>
        </w:rPr>
        <w:t>should</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 xml:space="preserve">expand the study population and confirm the prediction value of GPR. Finally, further research </w:t>
      </w:r>
      <w:r w:rsidR="00544C75">
        <w:rPr>
          <w:rFonts w:ascii="Book Antiqua" w:eastAsia="宋体" w:hAnsi="Book Antiqua" w:cs="Times New Roman"/>
          <w:noProof/>
          <w:sz w:val="24"/>
          <w:szCs w:val="24"/>
        </w:rPr>
        <w:t>should</w:t>
      </w:r>
      <w:r w:rsidR="00544C75" w:rsidRPr="00F469F1">
        <w:rPr>
          <w:rFonts w:ascii="Book Antiqua" w:eastAsia="宋体" w:hAnsi="Book Antiqua" w:cs="Times New Roman"/>
          <w:noProof/>
          <w:sz w:val="24"/>
          <w:szCs w:val="24"/>
        </w:rPr>
        <w:t xml:space="preserve"> </w:t>
      </w:r>
      <w:r w:rsidRPr="00F469F1">
        <w:rPr>
          <w:rFonts w:ascii="Book Antiqua" w:eastAsia="宋体" w:hAnsi="Book Antiqua" w:cs="Times New Roman"/>
          <w:noProof/>
          <w:sz w:val="24"/>
          <w:szCs w:val="24"/>
        </w:rPr>
        <w:t>also broaden the database and combine more clinical data.</w:t>
      </w:r>
    </w:p>
    <w:p w14:paraId="62C8F017" w14:textId="51AF8389" w:rsidR="009B18DF" w:rsidRPr="00F469F1" w:rsidRDefault="009B18DF" w:rsidP="00F469F1">
      <w:pPr>
        <w:widowControl/>
        <w:snapToGrid w:val="0"/>
        <w:spacing w:line="360" w:lineRule="auto"/>
        <w:rPr>
          <w:rFonts w:ascii="Book Antiqua" w:eastAsia="宋体" w:hAnsi="Book Antiqua" w:cs="Times New Roman"/>
          <w:sz w:val="24"/>
          <w:szCs w:val="24"/>
        </w:rPr>
      </w:pPr>
    </w:p>
    <w:p w14:paraId="01827B9F"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t>REFERENCES</w:t>
      </w:r>
    </w:p>
    <w:p w14:paraId="0962B37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 </w:t>
      </w:r>
      <w:proofErr w:type="spellStart"/>
      <w:r w:rsidRPr="00F469F1">
        <w:rPr>
          <w:rFonts w:ascii="Book Antiqua" w:eastAsia="Book Antiqua" w:hAnsi="Book Antiqua" w:cs="Book Antiqua"/>
          <w:b/>
          <w:bCs/>
          <w:color w:val="000000"/>
          <w:sz w:val="24"/>
          <w:szCs w:val="24"/>
        </w:rPr>
        <w:t>Hundal</w:t>
      </w:r>
      <w:proofErr w:type="spellEnd"/>
      <w:r w:rsidRPr="00F469F1">
        <w:rPr>
          <w:rFonts w:ascii="Book Antiqua" w:eastAsia="Book Antiqua" w:hAnsi="Book Antiqua" w:cs="Book Antiqua"/>
          <w:b/>
          <w:bCs/>
          <w:color w:val="000000"/>
          <w:sz w:val="24"/>
          <w:szCs w:val="24"/>
        </w:rPr>
        <w:t xml:space="preserve"> R</w:t>
      </w:r>
      <w:r w:rsidRPr="00F469F1">
        <w:rPr>
          <w:rFonts w:ascii="Book Antiqua" w:eastAsia="Book Antiqua" w:hAnsi="Book Antiqua" w:cs="Book Antiqua"/>
          <w:color w:val="000000"/>
          <w:sz w:val="24"/>
          <w:szCs w:val="24"/>
        </w:rPr>
        <w:t xml:space="preserve">, Shaffer EA. Gallbladder cancer: epidemiology and outcome.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Epidemiol</w:t>
      </w:r>
      <w:proofErr w:type="spellEnd"/>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6</w:t>
      </w:r>
      <w:r w:rsidRPr="00F469F1">
        <w:rPr>
          <w:rFonts w:ascii="Book Antiqua" w:eastAsia="Book Antiqua" w:hAnsi="Book Antiqua" w:cs="Book Antiqua"/>
          <w:color w:val="000000"/>
          <w:sz w:val="24"/>
          <w:szCs w:val="24"/>
        </w:rPr>
        <w:t>: 99-109 [PMID: 24634588 DOI: 10.2147/CLEP.S37357]</w:t>
      </w:r>
    </w:p>
    <w:p w14:paraId="2A8AAFA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 </w:t>
      </w:r>
      <w:proofErr w:type="spellStart"/>
      <w:r w:rsidRPr="00F469F1">
        <w:rPr>
          <w:rFonts w:ascii="Book Antiqua" w:eastAsia="Book Antiqua" w:hAnsi="Book Antiqua" w:cs="Book Antiqua"/>
          <w:b/>
          <w:bCs/>
          <w:color w:val="000000"/>
          <w:sz w:val="24"/>
          <w:szCs w:val="24"/>
        </w:rPr>
        <w:t>Rakić</w:t>
      </w:r>
      <w:proofErr w:type="spellEnd"/>
      <w:r w:rsidRPr="00F469F1">
        <w:rPr>
          <w:rFonts w:ascii="Book Antiqua" w:eastAsia="Book Antiqua" w:hAnsi="Book Antiqua" w:cs="Book Antiqua"/>
          <w:b/>
          <w:bCs/>
          <w:color w:val="000000"/>
          <w:sz w:val="24"/>
          <w:szCs w:val="24"/>
        </w:rPr>
        <w:t xml:space="preserve"> M</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Patrlj</w:t>
      </w:r>
      <w:proofErr w:type="spellEnd"/>
      <w:r w:rsidRPr="00F469F1">
        <w:rPr>
          <w:rFonts w:ascii="Book Antiqua" w:eastAsia="Book Antiqua" w:hAnsi="Book Antiqua" w:cs="Book Antiqua"/>
          <w:color w:val="000000"/>
          <w:sz w:val="24"/>
          <w:szCs w:val="24"/>
        </w:rPr>
        <w:t xml:space="preserve"> L, </w:t>
      </w:r>
      <w:proofErr w:type="spellStart"/>
      <w:r w:rsidRPr="00F469F1">
        <w:rPr>
          <w:rFonts w:ascii="Book Antiqua" w:eastAsia="Book Antiqua" w:hAnsi="Book Antiqua" w:cs="Book Antiqua"/>
          <w:color w:val="000000"/>
          <w:sz w:val="24"/>
          <w:szCs w:val="24"/>
        </w:rPr>
        <w:t>Kopljar</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Kliček</w:t>
      </w:r>
      <w:proofErr w:type="spellEnd"/>
      <w:r w:rsidRPr="00F469F1">
        <w:rPr>
          <w:rFonts w:ascii="Book Antiqua" w:eastAsia="Book Antiqua" w:hAnsi="Book Antiqua" w:cs="Book Antiqua"/>
          <w:color w:val="000000"/>
          <w:sz w:val="24"/>
          <w:szCs w:val="24"/>
        </w:rPr>
        <w:t xml:space="preserve"> R, </w:t>
      </w:r>
      <w:proofErr w:type="spellStart"/>
      <w:r w:rsidRPr="00F469F1">
        <w:rPr>
          <w:rFonts w:ascii="Book Antiqua" w:eastAsia="Book Antiqua" w:hAnsi="Book Antiqua" w:cs="Book Antiqua"/>
          <w:color w:val="000000"/>
          <w:sz w:val="24"/>
          <w:szCs w:val="24"/>
        </w:rPr>
        <w:t>Kolovrat</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Loncar</w:t>
      </w:r>
      <w:proofErr w:type="spellEnd"/>
      <w:r w:rsidRPr="00F469F1">
        <w:rPr>
          <w:rFonts w:ascii="Book Antiqua" w:eastAsia="Book Antiqua" w:hAnsi="Book Antiqua" w:cs="Book Antiqua"/>
          <w:color w:val="000000"/>
          <w:sz w:val="24"/>
          <w:szCs w:val="24"/>
        </w:rPr>
        <w:t xml:space="preserve"> B, </w:t>
      </w:r>
      <w:proofErr w:type="spellStart"/>
      <w:r w:rsidRPr="00F469F1">
        <w:rPr>
          <w:rFonts w:ascii="Book Antiqua" w:eastAsia="Book Antiqua" w:hAnsi="Book Antiqua" w:cs="Book Antiqua"/>
          <w:color w:val="000000"/>
          <w:sz w:val="24"/>
          <w:szCs w:val="24"/>
        </w:rPr>
        <w:t>Busic</w:t>
      </w:r>
      <w:proofErr w:type="spellEnd"/>
      <w:r w:rsidRPr="00F469F1">
        <w:rPr>
          <w:rFonts w:ascii="Book Antiqua" w:eastAsia="Book Antiqua" w:hAnsi="Book Antiqua" w:cs="Book Antiqua"/>
          <w:color w:val="000000"/>
          <w:sz w:val="24"/>
          <w:szCs w:val="24"/>
        </w:rPr>
        <w:t xml:space="preserve"> Z. Gallbladder cancer.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3</w:t>
      </w:r>
      <w:r w:rsidRPr="00F469F1">
        <w:rPr>
          <w:rFonts w:ascii="Book Antiqua" w:eastAsia="Book Antiqua" w:hAnsi="Book Antiqua" w:cs="Book Antiqua"/>
          <w:color w:val="000000"/>
          <w:sz w:val="24"/>
          <w:szCs w:val="24"/>
        </w:rPr>
        <w:t>: 221-226 [PMID: 25392833 DOI: 10.3978/j.issn.2304-3881.2014.09.03]</w:t>
      </w:r>
    </w:p>
    <w:p w14:paraId="2582271D"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 </w:t>
      </w:r>
      <w:proofErr w:type="spellStart"/>
      <w:r w:rsidRPr="00F469F1">
        <w:rPr>
          <w:rFonts w:ascii="Book Antiqua" w:eastAsia="Book Antiqua" w:hAnsi="Book Antiqua" w:cs="Book Antiqua"/>
          <w:b/>
          <w:bCs/>
          <w:color w:val="000000"/>
          <w:sz w:val="24"/>
          <w:szCs w:val="24"/>
        </w:rPr>
        <w:t>Haq</w:t>
      </w:r>
      <w:proofErr w:type="spellEnd"/>
      <w:r w:rsidRPr="00F469F1">
        <w:rPr>
          <w:rFonts w:ascii="Book Antiqua" w:eastAsia="Book Antiqua" w:hAnsi="Book Antiqua" w:cs="Book Antiqua"/>
          <w:b/>
          <w:bCs/>
          <w:color w:val="000000"/>
          <w:sz w:val="24"/>
          <w:szCs w:val="24"/>
        </w:rPr>
        <w:t xml:space="preserve"> N</w:t>
      </w:r>
      <w:r w:rsidRPr="00F469F1">
        <w:rPr>
          <w:rFonts w:ascii="Book Antiqua" w:eastAsia="Book Antiqua" w:hAnsi="Book Antiqua" w:cs="Book Antiqua"/>
          <w:color w:val="000000"/>
          <w:sz w:val="24"/>
          <w:szCs w:val="24"/>
        </w:rPr>
        <w:t xml:space="preserve">, Khan BA, Imran M, </w:t>
      </w:r>
      <w:proofErr w:type="spellStart"/>
      <w:r w:rsidRPr="00F469F1">
        <w:rPr>
          <w:rFonts w:ascii="Book Antiqua" w:eastAsia="Book Antiqua" w:hAnsi="Book Antiqua" w:cs="Book Antiqua"/>
          <w:color w:val="000000"/>
          <w:sz w:val="24"/>
          <w:szCs w:val="24"/>
        </w:rPr>
        <w:t>Akram</w:t>
      </w:r>
      <w:proofErr w:type="spellEnd"/>
      <w:r w:rsidRPr="00F469F1">
        <w:rPr>
          <w:rFonts w:ascii="Book Antiqua" w:eastAsia="Book Antiqua" w:hAnsi="Book Antiqua" w:cs="Book Antiqua"/>
          <w:color w:val="000000"/>
          <w:sz w:val="24"/>
          <w:szCs w:val="24"/>
        </w:rPr>
        <w:t xml:space="preserve"> A, Jamal AB, </w:t>
      </w:r>
      <w:proofErr w:type="spellStart"/>
      <w:r w:rsidRPr="00F469F1">
        <w:rPr>
          <w:rFonts w:ascii="Book Antiqua" w:eastAsia="Book Antiqua" w:hAnsi="Book Antiqua" w:cs="Book Antiqua"/>
          <w:color w:val="000000"/>
          <w:sz w:val="24"/>
          <w:szCs w:val="24"/>
        </w:rPr>
        <w:t>Bangash</w:t>
      </w:r>
      <w:proofErr w:type="spellEnd"/>
      <w:r w:rsidRPr="00F469F1">
        <w:rPr>
          <w:rFonts w:ascii="Book Antiqua" w:eastAsia="Book Antiqua" w:hAnsi="Book Antiqua" w:cs="Book Antiqua"/>
          <w:color w:val="000000"/>
          <w:sz w:val="24"/>
          <w:szCs w:val="24"/>
        </w:rPr>
        <w:t xml:space="preserve"> F. Frequency of gall bladder carcinoma in patients with acute and chronic cholecystitis.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Ayub</w:t>
      </w:r>
      <w:proofErr w:type="spellEnd"/>
      <w:r w:rsidRPr="00F469F1">
        <w:rPr>
          <w:rFonts w:ascii="Book Antiqua" w:eastAsia="Book Antiqua" w:hAnsi="Book Antiqua" w:cs="Book Antiqua"/>
          <w:i/>
          <w:iCs/>
          <w:color w:val="000000"/>
          <w:sz w:val="24"/>
          <w:szCs w:val="24"/>
        </w:rPr>
        <w:t xml:space="preserve"> Med </w:t>
      </w:r>
      <w:proofErr w:type="spellStart"/>
      <w:r w:rsidRPr="00F469F1">
        <w:rPr>
          <w:rFonts w:ascii="Book Antiqua" w:eastAsia="Book Antiqua" w:hAnsi="Book Antiqua" w:cs="Book Antiqua"/>
          <w:i/>
          <w:iCs/>
          <w:color w:val="000000"/>
          <w:sz w:val="24"/>
          <w:szCs w:val="24"/>
        </w:rPr>
        <w:t>Coll</w:t>
      </w:r>
      <w:proofErr w:type="spellEnd"/>
      <w:r w:rsidRPr="00F469F1">
        <w:rPr>
          <w:rFonts w:ascii="Book Antiqua" w:eastAsia="Book Antiqua" w:hAnsi="Book Antiqua" w:cs="Book Antiqua"/>
          <w:i/>
          <w:iCs/>
          <w:color w:val="000000"/>
          <w:sz w:val="24"/>
          <w:szCs w:val="24"/>
        </w:rPr>
        <w:t xml:space="preserve"> Abbottabad</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26</w:t>
      </w:r>
      <w:r w:rsidRPr="00F469F1">
        <w:rPr>
          <w:rFonts w:ascii="Book Antiqua" w:eastAsia="Book Antiqua" w:hAnsi="Book Antiqua" w:cs="Book Antiqua"/>
          <w:color w:val="000000"/>
          <w:sz w:val="24"/>
          <w:szCs w:val="24"/>
        </w:rPr>
        <w:t>: 191-193 [PMID: 25603675]</w:t>
      </w:r>
    </w:p>
    <w:p w14:paraId="0D233DE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4 </w:t>
      </w:r>
      <w:proofErr w:type="spellStart"/>
      <w:r w:rsidRPr="00F469F1">
        <w:rPr>
          <w:rFonts w:ascii="Book Antiqua" w:eastAsia="Book Antiqua" w:hAnsi="Book Antiqua" w:cs="Book Antiqua"/>
          <w:b/>
          <w:bCs/>
          <w:color w:val="000000"/>
          <w:sz w:val="24"/>
          <w:szCs w:val="24"/>
        </w:rPr>
        <w:t>Kanthan</w:t>
      </w:r>
      <w:proofErr w:type="spellEnd"/>
      <w:r w:rsidRPr="00F469F1">
        <w:rPr>
          <w:rFonts w:ascii="Book Antiqua" w:eastAsia="Book Antiqua" w:hAnsi="Book Antiqua" w:cs="Book Antiqua"/>
          <w:b/>
          <w:bCs/>
          <w:color w:val="000000"/>
          <w:sz w:val="24"/>
          <w:szCs w:val="24"/>
        </w:rPr>
        <w:t xml:space="preserve"> R</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Senger</w:t>
      </w:r>
      <w:proofErr w:type="spellEnd"/>
      <w:r w:rsidRPr="00F469F1">
        <w:rPr>
          <w:rFonts w:ascii="Book Antiqua" w:eastAsia="Book Antiqua" w:hAnsi="Book Antiqua" w:cs="Book Antiqua"/>
          <w:color w:val="000000"/>
          <w:sz w:val="24"/>
          <w:szCs w:val="24"/>
        </w:rPr>
        <w:t xml:space="preserve"> JL, Ahmed S, </w:t>
      </w:r>
      <w:proofErr w:type="spellStart"/>
      <w:r w:rsidRPr="00F469F1">
        <w:rPr>
          <w:rFonts w:ascii="Book Antiqua" w:eastAsia="Book Antiqua" w:hAnsi="Book Antiqua" w:cs="Book Antiqua"/>
          <w:color w:val="000000"/>
          <w:sz w:val="24"/>
          <w:szCs w:val="24"/>
        </w:rPr>
        <w:t>Kanthan</w:t>
      </w:r>
      <w:proofErr w:type="spellEnd"/>
      <w:r w:rsidRPr="00F469F1">
        <w:rPr>
          <w:rFonts w:ascii="Book Antiqua" w:eastAsia="Book Antiqua" w:hAnsi="Book Antiqua" w:cs="Book Antiqua"/>
          <w:color w:val="000000"/>
          <w:sz w:val="24"/>
          <w:szCs w:val="24"/>
        </w:rPr>
        <w:t xml:space="preserve"> SC. Gallbladder Cancer in the 21st Century.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2015</w:t>
      </w:r>
      <w:r w:rsidRPr="00F469F1">
        <w:rPr>
          <w:rFonts w:ascii="Book Antiqua" w:eastAsia="Book Antiqua" w:hAnsi="Book Antiqua" w:cs="Book Antiqua"/>
          <w:color w:val="000000"/>
          <w:sz w:val="24"/>
          <w:szCs w:val="24"/>
        </w:rPr>
        <w:t>: 967472 [PMID: 26421012 DOI: 10.1155/2015/967472]</w:t>
      </w:r>
    </w:p>
    <w:p w14:paraId="1C0AB3D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5 </w:t>
      </w:r>
      <w:r w:rsidRPr="00F469F1">
        <w:rPr>
          <w:rFonts w:ascii="Book Antiqua" w:eastAsia="Book Antiqua" w:hAnsi="Book Antiqua" w:cs="Book Antiqua"/>
          <w:b/>
          <w:bCs/>
          <w:color w:val="000000"/>
          <w:sz w:val="24"/>
          <w:szCs w:val="24"/>
        </w:rPr>
        <w:t>Amin MB</w:t>
      </w:r>
      <w:r w:rsidRPr="00F469F1">
        <w:rPr>
          <w:rFonts w:ascii="Book Antiqua" w:eastAsia="Book Antiqua" w:hAnsi="Book Antiqua" w:cs="Book Antiqua"/>
          <w:color w:val="000000"/>
          <w:sz w:val="24"/>
          <w:szCs w:val="24"/>
        </w:rPr>
        <w:t xml:space="preserve">, Greene FL, Edge SB, Compton CC, </w:t>
      </w:r>
      <w:proofErr w:type="spellStart"/>
      <w:r w:rsidRPr="00F469F1">
        <w:rPr>
          <w:rFonts w:ascii="Book Antiqua" w:eastAsia="Book Antiqua" w:hAnsi="Book Antiqua" w:cs="Book Antiqua"/>
          <w:color w:val="000000"/>
          <w:sz w:val="24"/>
          <w:szCs w:val="24"/>
        </w:rPr>
        <w:t>Gershenwald</w:t>
      </w:r>
      <w:proofErr w:type="spellEnd"/>
      <w:r w:rsidRPr="00F469F1">
        <w:rPr>
          <w:rFonts w:ascii="Book Antiqua" w:eastAsia="Book Antiqua" w:hAnsi="Book Antiqua" w:cs="Book Antiqua"/>
          <w:color w:val="000000"/>
          <w:sz w:val="24"/>
          <w:szCs w:val="24"/>
        </w:rPr>
        <w:t xml:space="preserve"> JE, </w:t>
      </w:r>
      <w:proofErr w:type="spellStart"/>
      <w:r w:rsidRPr="00F469F1">
        <w:rPr>
          <w:rFonts w:ascii="Book Antiqua" w:eastAsia="Book Antiqua" w:hAnsi="Book Antiqua" w:cs="Book Antiqua"/>
          <w:color w:val="000000"/>
          <w:sz w:val="24"/>
          <w:szCs w:val="24"/>
        </w:rPr>
        <w:t>Brookland</w:t>
      </w:r>
      <w:proofErr w:type="spellEnd"/>
      <w:r w:rsidRPr="00F469F1">
        <w:rPr>
          <w:rFonts w:ascii="Book Antiqua" w:eastAsia="Book Antiqua" w:hAnsi="Book Antiqua" w:cs="Book Antiqua"/>
          <w:color w:val="000000"/>
          <w:sz w:val="24"/>
          <w:szCs w:val="24"/>
        </w:rPr>
        <w:t xml:space="preserve"> RK, Meyer L, </w:t>
      </w:r>
      <w:proofErr w:type="spellStart"/>
      <w:r w:rsidRPr="00F469F1">
        <w:rPr>
          <w:rFonts w:ascii="Book Antiqua" w:eastAsia="Book Antiqua" w:hAnsi="Book Antiqua" w:cs="Book Antiqua"/>
          <w:color w:val="000000"/>
          <w:sz w:val="24"/>
          <w:szCs w:val="24"/>
        </w:rPr>
        <w:t>Gress</w:t>
      </w:r>
      <w:proofErr w:type="spellEnd"/>
      <w:r w:rsidRPr="00F469F1">
        <w:rPr>
          <w:rFonts w:ascii="Book Antiqua" w:eastAsia="Book Antiqua" w:hAnsi="Book Antiqua" w:cs="Book Antiqua"/>
          <w:color w:val="000000"/>
          <w:sz w:val="24"/>
          <w:szCs w:val="24"/>
        </w:rPr>
        <w:t xml:space="preserve"> DM, Byrd DR, Winchester DP. The Eighth Edition AJCC Cancer Staging Manual: Continuing to build a bridge from a population-based to a more "personalized" approach to cancer staging. </w:t>
      </w:r>
      <w:r w:rsidRPr="00F469F1">
        <w:rPr>
          <w:rFonts w:ascii="Book Antiqua" w:eastAsia="Book Antiqua" w:hAnsi="Book Antiqua" w:cs="Book Antiqua"/>
          <w:i/>
          <w:iCs/>
          <w:color w:val="000000"/>
          <w:sz w:val="24"/>
          <w:szCs w:val="24"/>
        </w:rPr>
        <w:t xml:space="preserve">CA Cancer J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67</w:t>
      </w:r>
      <w:r w:rsidRPr="00F469F1">
        <w:rPr>
          <w:rFonts w:ascii="Book Antiqua" w:eastAsia="Book Antiqua" w:hAnsi="Book Antiqua" w:cs="Book Antiqua"/>
          <w:color w:val="000000"/>
          <w:sz w:val="24"/>
          <w:szCs w:val="24"/>
        </w:rPr>
        <w:t>: 93-99 [PMID: 28094848 DOI: 10.3322/caac.21388]</w:t>
      </w:r>
    </w:p>
    <w:p w14:paraId="61A3032B"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6 </w:t>
      </w:r>
      <w:r w:rsidRPr="00F469F1">
        <w:rPr>
          <w:rFonts w:ascii="Book Antiqua" w:eastAsia="Book Antiqua" w:hAnsi="Book Antiqua" w:cs="Book Antiqua"/>
          <w:b/>
          <w:bCs/>
          <w:color w:val="000000"/>
          <w:sz w:val="24"/>
          <w:szCs w:val="24"/>
        </w:rPr>
        <w:t>Choi YH</w:t>
      </w:r>
      <w:r w:rsidRPr="00F469F1">
        <w:rPr>
          <w:rFonts w:ascii="Book Antiqua" w:eastAsia="Book Antiqua" w:hAnsi="Book Antiqua" w:cs="Book Antiqua"/>
          <w:color w:val="000000"/>
          <w:sz w:val="24"/>
          <w:szCs w:val="24"/>
        </w:rPr>
        <w:t xml:space="preserve">, Lee JW, Lee SH, Choi JH, Kang J, Lee BS, Paik WH, </w:t>
      </w:r>
      <w:proofErr w:type="spellStart"/>
      <w:r w:rsidRPr="00F469F1">
        <w:rPr>
          <w:rFonts w:ascii="Book Antiqua" w:eastAsia="Book Antiqua" w:hAnsi="Book Antiqua" w:cs="Book Antiqua"/>
          <w:color w:val="000000"/>
          <w:sz w:val="24"/>
          <w:szCs w:val="24"/>
        </w:rPr>
        <w:t>Ryu</w:t>
      </w:r>
      <w:proofErr w:type="spellEnd"/>
      <w:r w:rsidRPr="00F469F1">
        <w:rPr>
          <w:rFonts w:ascii="Book Antiqua" w:eastAsia="Book Antiqua" w:hAnsi="Book Antiqua" w:cs="Book Antiqua"/>
          <w:color w:val="000000"/>
          <w:sz w:val="24"/>
          <w:szCs w:val="24"/>
        </w:rPr>
        <w:t xml:space="preserve"> JK, Kim YT. A High Monocyte-to-Lymphocyte Ratio Predicts Poor Prognosis in Patients with Advanced Gallbladder Cancer Receiving Chemotherapy. </w:t>
      </w:r>
      <w:r w:rsidRPr="00F469F1">
        <w:rPr>
          <w:rFonts w:ascii="Book Antiqua" w:eastAsia="Book Antiqua" w:hAnsi="Book Antiqua" w:cs="Book Antiqua"/>
          <w:i/>
          <w:iCs/>
          <w:color w:val="000000"/>
          <w:sz w:val="24"/>
          <w:szCs w:val="24"/>
        </w:rPr>
        <w:t xml:space="preserve">Cancer </w:t>
      </w:r>
      <w:proofErr w:type="spellStart"/>
      <w:r w:rsidRPr="00F469F1">
        <w:rPr>
          <w:rFonts w:ascii="Book Antiqua" w:eastAsia="Book Antiqua" w:hAnsi="Book Antiqua" w:cs="Book Antiqua"/>
          <w:i/>
          <w:iCs/>
          <w:color w:val="000000"/>
          <w:sz w:val="24"/>
          <w:szCs w:val="24"/>
        </w:rPr>
        <w:t>Epidemiol</w:t>
      </w:r>
      <w:proofErr w:type="spellEnd"/>
      <w:r w:rsidRPr="00F469F1">
        <w:rPr>
          <w:rFonts w:ascii="Book Antiqua" w:eastAsia="Book Antiqua" w:hAnsi="Book Antiqua" w:cs="Book Antiqua"/>
          <w:i/>
          <w:iCs/>
          <w:color w:val="000000"/>
          <w:sz w:val="24"/>
          <w:szCs w:val="24"/>
        </w:rPr>
        <w:t xml:space="preserve"> Biomarkers </w:t>
      </w:r>
      <w:proofErr w:type="spellStart"/>
      <w:r w:rsidRPr="00F469F1">
        <w:rPr>
          <w:rFonts w:ascii="Book Antiqua" w:eastAsia="Book Antiqua" w:hAnsi="Book Antiqua" w:cs="Book Antiqua"/>
          <w:i/>
          <w:iCs/>
          <w:color w:val="000000"/>
          <w:sz w:val="24"/>
          <w:szCs w:val="24"/>
        </w:rPr>
        <w:t>Prev</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28</w:t>
      </w:r>
      <w:r w:rsidRPr="00F469F1">
        <w:rPr>
          <w:rFonts w:ascii="Book Antiqua" w:eastAsia="Book Antiqua" w:hAnsi="Book Antiqua" w:cs="Book Antiqua"/>
          <w:color w:val="000000"/>
          <w:sz w:val="24"/>
          <w:szCs w:val="24"/>
        </w:rPr>
        <w:t>: 1045-1051 [PMID: 30842131 DOI: 10.1158/1055-9965.EPI-18-1066]</w:t>
      </w:r>
    </w:p>
    <w:p w14:paraId="45BD795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7 </w:t>
      </w:r>
      <w:proofErr w:type="spellStart"/>
      <w:r w:rsidRPr="00F469F1">
        <w:rPr>
          <w:rFonts w:ascii="Book Antiqua" w:eastAsia="Book Antiqua" w:hAnsi="Book Antiqua" w:cs="Book Antiqua"/>
          <w:b/>
          <w:bCs/>
          <w:color w:val="000000"/>
          <w:sz w:val="24"/>
          <w:szCs w:val="24"/>
        </w:rPr>
        <w:t>Lemoine</w:t>
      </w:r>
      <w:proofErr w:type="spellEnd"/>
      <w:r w:rsidRPr="00F469F1">
        <w:rPr>
          <w:rFonts w:ascii="Book Antiqua" w:eastAsia="Book Antiqua" w:hAnsi="Book Antiqua" w:cs="Book Antiqua"/>
          <w:b/>
          <w:bCs/>
          <w:color w:val="000000"/>
          <w:sz w:val="24"/>
          <w:szCs w:val="24"/>
        </w:rPr>
        <w:t xml:space="preserve"> M</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Shimakawa</w:t>
      </w:r>
      <w:proofErr w:type="spellEnd"/>
      <w:r w:rsidRPr="00F469F1">
        <w:rPr>
          <w:rFonts w:ascii="Book Antiqua" w:eastAsia="Book Antiqua" w:hAnsi="Book Antiqua" w:cs="Book Antiqua"/>
          <w:color w:val="000000"/>
          <w:sz w:val="24"/>
          <w:szCs w:val="24"/>
        </w:rPr>
        <w:t xml:space="preserve"> Y, </w:t>
      </w:r>
      <w:proofErr w:type="spellStart"/>
      <w:r w:rsidRPr="00F469F1">
        <w:rPr>
          <w:rFonts w:ascii="Book Antiqua" w:eastAsia="Book Antiqua" w:hAnsi="Book Antiqua" w:cs="Book Antiqua"/>
          <w:color w:val="000000"/>
          <w:sz w:val="24"/>
          <w:szCs w:val="24"/>
        </w:rPr>
        <w:t>Nayagam</w:t>
      </w:r>
      <w:proofErr w:type="spellEnd"/>
      <w:r w:rsidRPr="00F469F1">
        <w:rPr>
          <w:rFonts w:ascii="Book Antiqua" w:eastAsia="Book Antiqua" w:hAnsi="Book Antiqua" w:cs="Book Antiqua"/>
          <w:color w:val="000000"/>
          <w:sz w:val="24"/>
          <w:szCs w:val="24"/>
        </w:rPr>
        <w:t xml:space="preserve"> S, Khalil M, </w:t>
      </w:r>
      <w:proofErr w:type="spellStart"/>
      <w:r w:rsidRPr="00F469F1">
        <w:rPr>
          <w:rFonts w:ascii="Book Antiqua" w:eastAsia="Book Antiqua" w:hAnsi="Book Antiqua" w:cs="Book Antiqua"/>
          <w:color w:val="000000"/>
          <w:sz w:val="24"/>
          <w:szCs w:val="24"/>
        </w:rPr>
        <w:t>Suso</w:t>
      </w:r>
      <w:proofErr w:type="spellEnd"/>
      <w:r w:rsidRPr="00F469F1">
        <w:rPr>
          <w:rFonts w:ascii="Book Antiqua" w:eastAsia="Book Antiqua" w:hAnsi="Book Antiqua" w:cs="Book Antiqua"/>
          <w:color w:val="000000"/>
          <w:sz w:val="24"/>
          <w:szCs w:val="24"/>
        </w:rPr>
        <w:t xml:space="preserve"> P, Lloyd J, Goldin R, </w:t>
      </w:r>
      <w:proofErr w:type="spellStart"/>
      <w:r w:rsidRPr="00F469F1">
        <w:rPr>
          <w:rFonts w:ascii="Book Antiqua" w:eastAsia="Book Antiqua" w:hAnsi="Book Antiqua" w:cs="Book Antiqua"/>
          <w:color w:val="000000"/>
          <w:sz w:val="24"/>
          <w:szCs w:val="24"/>
        </w:rPr>
        <w:t>Njai</w:t>
      </w:r>
      <w:proofErr w:type="spellEnd"/>
      <w:r w:rsidRPr="00F469F1">
        <w:rPr>
          <w:rFonts w:ascii="Book Antiqua" w:eastAsia="Book Antiqua" w:hAnsi="Book Antiqua" w:cs="Book Antiqua"/>
          <w:color w:val="000000"/>
          <w:sz w:val="24"/>
          <w:szCs w:val="24"/>
        </w:rPr>
        <w:t xml:space="preserve"> HF, </w:t>
      </w:r>
      <w:proofErr w:type="spellStart"/>
      <w:r w:rsidRPr="00F469F1">
        <w:rPr>
          <w:rFonts w:ascii="Book Antiqua" w:eastAsia="Book Antiqua" w:hAnsi="Book Antiqua" w:cs="Book Antiqua"/>
          <w:color w:val="000000"/>
          <w:sz w:val="24"/>
          <w:szCs w:val="24"/>
        </w:rPr>
        <w:t>Ndow</w:t>
      </w:r>
      <w:proofErr w:type="spellEnd"/>
      <w:r w:rsidRPr="00F469F1">
        <w:rPr>
          <w:rFonts w:ascii="Book Antiqua" w:eastAsia="Book Antiqua" w:hAnsi="Book Antiqua" w:cs="Book Antiqua"/>
          <w:color w:val="000000"/>
          <w:sz w:val="24"/>
          <w:szCs w:val="24"/>
        </w:rPr>
        <w:t xml:space="preserve"> G, </w:t>
      </w:r>
      <w:proofErr w:type="spellStart"/>
      <w:r w:rsidRPr="00F469F1">
        <w:rPr>
          <w:rFonts w:ascii="Book Antiqua" w:eastAsia="Book Antiqua" w:hAnsi="Book Antiqua" w:cs="Book Antiqua"/>
          <w:color w:val="000000"/>
          <w:sz w:val="24"/>
          <w:szCs w:val="24"/>
        </w:rPr>
        <w:t>Taal</w:t>
      </w:r>
      <w:proofErr w:type="spellEnd"/>
      <w:r w:rsidRPr="00F469F1">
        <w:rPr>
          <w:rFonts w:ascii="Book Antiqua" w:eastAsia="Book Antiqua" w:hAnsi="Book Antiqua" w:cs="Book Antiqua"/>
          <w:color w:val="000000"/>
          <w:sz w:val="24"/>
          <w:szCs w:val="24"/>
        </w:rPr>
        <w:t xml:space="preserve"> M, Cooke G, D'Alessandro U, </w:t>
      </w:r>
      <w:proofErr w:type="spellStart"/>
      <w:r w:rsidRPr="00F469F1">
        <w:rPr>
          <w:rFonts w:ascii="Book Antiqua" w:eastAsia="Book Antiqua" w:hAnsi="Book Antiqua" w:cs="Book Antiqua"/>
          <w:color w:val="000000"/>
          <w:sz w:val="24"/>
          <w:szCs w:val="24"/>
        </w:rPr>
        <w:t>Vray</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Mbaye</w:t>
      </w:r>
      <w:proofErr w:type="spellEnd"/>
      <w:r w:rsidRPr="00F469F1">
        <w:rPr>
          <w:rFonts w:ascii="Book Antiqua" w:eastAsia="Book Antiqua" w:hAnsi="Book Antiqua" w:cs="Book Antiqua"/>
          <w:color w:val="000000"/>
          <w:sz w:val="24"/>
          <w:szCs w:val="24"/>
        </w:rPr>
        <w:t xml:space="preserve"> PS, </w:t>
      </w:r>
      <w:proofErr w:type="spellStart"/>
      <w:r w:rsidRPr="00F469F1">
        <w:rPr>
          <w:rFonts w:ascii="Book Antiqua" w:eastAsia="Book Antiqua" w:hAnsi="Book Antiqua" w:cs="Book Antiqua"/>
          <w:color w:val="000000"/>
          <w:sz w:val="24"/>
          <w:szCs w:val="24"/>
        </w:rPr>
        <w:t>Njie</w:t>
      </w:r>
      <w:proofErr w:type="spellEnd"/>
      <w:r w:rsidRPr="00F469F1">
        <w:rPr>
          <w:rFonts w:ascii="Book Antiqua" w:eastAsia="Book Antiqua" w:hAnsi="Book Antiqua" w:cs="Book Antiqua"/>
          <w:color w:val="000000"/>
          <w:sz w:val="24"/>
          <w:szCs w:val="24"/>
        </w:rPr>
        <w:t xml:space="preserve"> R, Mallet V, </w:t>
      </w:r>
      <w:proofErr w:type="spellStart"/>
      <w:r w:rsidRPr="00F469F1">
        <w:rPr>
          <w:rFonts w:ascii="Book Antiqua" w:eastAsia="Book Antiqua" w:hAnsi="Book Antiqua" w:cs="Book Antiqua"/>
          <w:color w:val="000000"/>
          <w:sz w:val="24"/>
          <w:szCs w:val="24"/>
        </w:rPr>
        <w:t>Thursz</w:t>
      </w:r>
      <w:proofErr w:type="spellEnd"/>
      <w:r w:rsidRPr="00F469F1">
        <w:rPr>
          <w:rFonts w:ascii="Book Antiqua" w:eastAsia="Book Antiqua" w:hAnsi="Book Antiqua" w:cs="Book Antiqua"/>
          <w:color w:val="000000"/>
          <w:sz w:val="24"/>
          <w:szCs w:val="24"/>
        </w:rPr>
        <w:t xml:space="preserve"> M. The gamma-</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to platelet ratio (GPR) predicts significant liver fibrosis and cirrhosis in patients with chronic HBV infection in West Africa. </w:t>
      </w:r>
      <w:r w:rsidRPr="00F469F1">
        <w:rPr>
          <w:rFonts w:ascii="Book Antiqua" w:eastAsia="Book Antiqua" w:hAnsi="Book Antiqua" w:cs="Book Antiqua"/>
          <w:i/>
          <w:iCs/>
          <w:color w:val="000000"/>
          <w:sz w:val="24"/>
          <w:szCs w:val="24"/>
        </w:rPr>
        <w:t>Gut</w:t>
      </w:r>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65</w:t>
      </w:r>
      <w:r w:rsidRPr="00F469F1">
        <w:rPr>
          <w:rFonts w:ascii="Book Antiqua" w:eastAsia="Book Antiqua" w:hAnsi="Book Antiqua" w:cs="Book Antiqua"/>
          <w:color w:val="000000"/>
          <w:sz w:val="24"/>
          <w:szCs w:val="24"/>
        </w:rPr>
        <w:t>: 1369-1376 [PMID: 26109530 DOI: 10.1136/gutjnl-2015-309260]</w:t>
      </w:r>
    </w:p>
    <w:p w14:paraId="10E3D319"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8 </w:t>
      </w:r>
      <w:r w:rsidRPr="00F469F1">
        <w:rPr>
          <w:rFonts w:ascii="Book Antiqua" w:eastAsia="Book Antiqua" w:hAnsi="Book Antiqua" w:cs="Book Antiqua"/>
          <w:b/>
          <w:bCs/>
          <w:color w:val="000000"/>
          <w:sz w:val="24"/>
          <w:szCs w:val="24"/>
        </w:rPr>
        <w:t>Wang WL</w:t>
      </w:r>
      <w:r w:rsidRPr="00F469F1">
        <w:rPr>
          <w:rFonts w:ascii="Book Antiqua" w:eastAsia="Book Antiqua" w:hAnsi="Book Antiqua" w:cs="Book Antiqua"/>
          <w:color w:val="000000"/>
          <w:sz w:val="24"/>
          <w:szCs w:val="24"/>
        </w:rPr>
        <w:t xml:space="preserve">, Zheng XL, Zhang ZY, Zhou Y, </w:t>
      </w:r>
      <w:proofErr w:type="spellStart"/>
      <w:r w:rsidRPr="00F469F1">
        <w:rPr>
          <w:rFonts w:ascii="Book Antiqua" w:eastAsia="Book Antiqua" w:hAnsi="Book Antiqua" w:cs="Book Antiqua"/>
          <w:color w:val="000000"/>
          <w:sz w:val="24"/>
          <w:szCs w:val="24"/>
        </w:rPr>
        <w:t>Hao</w:t>
      </w:r>
      <w:proofErr w:type="spellEnd"/>
      <w:r w:rsidRPr="00F469F1">
        <w:rPr>
          <w:rFonts w:ascii="Book Antiqua" w:eastAsia="Book Antiqua" w:hAnsi="Book Antiqua" w:cs="Book Antiqua"/>
          <w:color w:val="000000"/>
          <w:sz w:val="24"/>
          <w:szCs w:val="24"/>
        </w:rPr>
        <w:t xml:space="preserve"> J, Tang G, Li O, Xiang JX, Wu Z, Wang B. Preoperative γ-</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to platelet ratio (GPR) is </w:t>
      </w:r>
      <w:r w:rsidRPr="00F469F1">
        <w:rPr>
          <w:rFonts w:ascii="Book Antiqua" w:eastAsia="Book Antiqua" w:hAnsi="Book Antiqua" w:cs="Book Antiqua"/>
          <w:color w:val="000000"/>
          <w:sz w:val="24"/>
          <w:szCs w:val="24"/>
        </w:rPr>
        <w:lastRenderedPageBreak/>
        <w:t xml:space="preserve">an independent prognostic factor for HBV-related hepatocellular carcinoma after curative hepatic resection. </w:t>
      </w:r>
      <w:r w:rsidRPr="00F469F1">
        <w:rPr>
          <w:rFonts w:ascii="Book Antiqua" w:eastAsia="Book Antiqua" w:hAnsi="Book Antiqua" w:cs="Book Antiqua"/>
          <w:i/>
          <w:iCs/>
          <w:color w:val="000000"/>
          <w:sz w:val="24"/>
          <w:szCs w:val="24"/>
        </w:rPr>
        <w:t>Medicine (Baltimore)</w:t>
      </w:r>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95</w:t>
      </w:r>
      <w:r w:rsidRPr="00F469F1">
        <w:rPr>
          <w:rFonts w:ascii="Book Antiqua" w:eastAsia="Book Antiqua" w:hAnsi="Book Antiqua" w:cs="Book Antiqua"/>
          <w:color w:val="000000"/>
          <w:sz w:val="24"/>
          <w:szCs w:val="24"/>
        </w:rPr>
        <w:t>: e4087 [PMID: 27399101 DOI: 10.1097/MD.0000000000004087]</w:t>
      </w:r>
    </w:p>
    <w:p w14:paraId="0F26222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9 </w:t>
      </w:r>
      <w:r w:rsidRPr="00F469F1">
        <w:rPr>
          <w:rFonts w:ascii="Book Antiqua" w:eastAsia="Book Antiqua" w:hAnsi="Book Antiqua" w:cs="Book Antiqua"/>
          <w:b/>
          <w:bCs/>
          <w:color w:val="000000"/>
          <w:sz w:val="24"/>
          <w:szCs w:val="24"/>
        </w:rPr>
        <w:t>Chiu CC</w:t>
      </w:r>
      <w:r w:rsidRPr="00F469F1">
        <w:rPr>
          <w:rFonts w:ascii="Book Antiqua" w:eastAsia="Book Antiqua" w:hAnsi="Book Antiqua" w:cs="Book Antiqua"/>
          <w:color w:val="000000"/>
          <w:sz w:val="24"/>
          <w:szCs w:val="24"/>
        </w:rPr>
        <w:t xml:space="preserve">, Lee KT, Lee HH, Wang JJ, Sun DP, Huang CC, Shi HY. Comparison of Models for Predicting Quality of Life </w:t>
      </w:r>
      <w:proofErr w:type="gramStart"/>
      <w:r w:rsidRPr="00F469F1">
        <w:rPr>
          <w:rFonts w:ascii="Book Antiqua" w:eastAsia="Book Antiqua" w:hAnsi="Book Antiqua" w:cs="Book Antiqua"/>
          <w:color w:val="000000"/>
          <w:sz w:val="24"/>
          <w:szCs w:val="24"/>
        </w:rPr>
        <w:t>After</w:t>
      </w:r>
      <w:proofErr w:type="gramEnd"/>
      <w:r w:rsidRPr="00F469F1">
        <w:rPr>
          <w:rFonts w:ascii="Book Antiqua" w:eastAsia="Book Antiqua" w:hAnsi="Book Antiqua" w:cs="Book Antiqua"/>
          <w:color w:val="000000"/>
          <w:sz w:val="24"/>
          <w:szCs w:val="24"/>
        </w:rPr>
        <w:t xml:space="preserve"> Surgical Resection of Hepatocellular Carcinoma: a Prospective Study.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Gastrointest</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22</w:t>
      </w:r>
      <w:r w:rsidRPr="00F469F1">
        <w:rPr>
          <w:rFonts w:ascii="Book Antiqua" w:eastAsia="Book Antiqua" w:hAnsi="Book Antiqua" w:cs="Book Antiqua"/>
          <w:color w:val="000000"/>
          <w:sz w:val="24"/>
          <w:szCs w:val="24"/>
        </w:rPr>
        <w:t>: 1724-1731 [PMID: 29916106 DOI: 10.1007/s11605-018-3833-7]</w:t>
      </w:r>
    </w:p>
    <w:p w14:paraId="44F9E5C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10 </w:t>
      </w:r>
      <w:r w:rsidRPr="00F469F1">
        <w:rPr>
          <w:rFonts w:ascii="Book Antiqua" w:eastAsia="Book Antiqua" w:hAnsi="Book Antiqua" w:cs="Book Antiqua"/>
          <w:b/>
          <w:bCs/>
          <w:color w:val="000000"/>
          <w:sz w:val="24"/>
          <w:szCs w:val="24"/>
        </w:rPr>
        <w:t>Xu XS</w:t>
      </w:r>
      <w:r w:rsidRPr="00F469F1">
        <w:rPr>
          <w:rFonts w:ascii="Book Antiqua" w:eastAsia="Book Antiqua" w:hAnsi="Book Antiqua" w:cs="Book Antiqua"/>
          <w:color w:val="000000"/>
          <w:sz w:val="24"/>
          <w:szCs w:val="24"/>
        </w:rPr>
        <w:t>, Miao RC, Zhang LQ, Wang RT, Qu K, Pang Q, Liu C. Model Based on Alkaline Phosphatase and Gamma-</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for Gallbladder Cancer Prognosis. </w:t>
      </w:r>
      <w:r w:rsidRPr="00F469F1">
        <w:rPr>
          <w:rFonts w:ascii="Book Antiqua" w:eastAsia="Book Antiqua" w:hAnsi="Book Antiqua" w:cs="Book Antiqua"/>
          <w:i/>
          <w:iCs/>
          <w:color w:val="000000"/>
          <w:sz w:val="24"/>
          <w:szCs w:val="24"/>
        </w:rPr>
        <w:t xml:space="preserve">Asian Pac J Cancer </w:t>
      </w:r>
      <w:proofErr w:type="spellStart"/>
      <w:r w:rsidRPr="00F469F1">
        <w:rPr>
          <w:rFonts w:ascii="Book Antiqua" w:eastAsia="Book Antiqua" w:hAnsi="Book Antiqua" w:cs="Book Antiqua"/>
          <w:i/>
          <w:iCs/>
          <w:color w:val="000000"/>
          <w:sz w:val="24"/>
          <w:szCs w:val="24"/>
        </w:rPr>
        <w:t>Prev</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16</w:t>
      </w:r>
      <w:r w:rsidRPr="00F469F1">
        <w:rPr>
          <w:rFonts w:ascii="Book Antiqua" w:eastAsia="Book Antiqua" w:hAnsi="Book Antiqua" w:cs="Book Antiqua"/>
          <w:color w:val="000000"/>
          <w:sz w:val="24"/>
          <w:szCs w:val="24"/>
        </w:rPr>
        <w:t>: 6255-6259 [PMID: 26434825 DOI: 10.7314/apjcp.2015.16.15.6255]</w:t>
      </w:r>
    </w:p>
    <w:p w14:paraId="41EFC294"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11 </w:t>
      </w:r>
      <w:r w:rsidRPr="00F469F1">
        <w:rPr>
          <w:rFonts w:ascii="Book Antiqua" w:eastAsia="Book Antiqua" w:hAnsi="Book Antiqua" w:cs="Book Antiqua"/>
          <w:b/>
          <w:bCs/>
          <w:color w:val="000000"/>
          <w:sz w:val="24"/>
          <w:szCs w:val="24"/>
        </w:rPr>
        <w:t>Wang RT</w:t>
      </w:r>
      <w:r w:rsidRPr="00F469F1">
        <w:rPr>
          <w:rFonts w:ascii="Book Antiqua" w:eastAsia="Book Antiqua" w:hAnsi="Book Antiqua" w:cs="Book Antiqua"/>
          <w:color w:val="000000"/>
          <w:sz w:val="24"/>
          <w:szCs w:val="24"/>
        </w:rPr>
        <w:t xml:space="preserve">, Zhang LQ, Mu YP, Li JB, Xu XS, Pang Q, Sun LK, Zhang X, Dong SB, Wang L, Liu C. Prognostic significance of preoperative platelet count in patients with gallbladder cancer. </w:t>
      </w:r>
      <w:r w:rsidRPr="00F469F1">
        <w:rPr>
          <w:rFonts w:ascii="Book Antiqua" w:eastAsia="Book Antiqua" w:hAnsi="Book Antiqua" w:cs="Book Antiqua"/>
          <w:i/>
          <w:iCs/>
          <w:color w:val="000000"/>
          <w:sz w:val="24"/>
          <w:szCs w:val="24"/>
        </w:rPr>
        <w:t xml:space="preserve">World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21</w:t>
      </w:r>
      <w:r w:rsidRPr="00F469F1">
        <w:rPr>
          <w:rFonts w:ascii="Book Antiqua" w:eastAsia="Book Antiqua" w:hAnsi="Book Antiqua" w:cs="Book Antiqua"/>
          <w:color w:val="000000"/>
          <w:sz w:val="24"/>
          <w:szCs w:val="24"/>
        </w:rPr>
        <w:t>: 5303-5310 [PMID: 25954104 DOI: 10.3748/wjg.v21.i17.5303]</w:t>
      </w:r>
    </w:p>
    <w:p w14:paraId="26087AB7" w14:textId="42A83BB6" w:rsidR="0019079E" w:rsidRPr="00F469F1" w:rsidRDefault="00F92885"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12 </w:t>
      </w:r>
      <w:r w:rsidR="0019079E" w:rsidRPr="00F469F1">
        <w:rPr>
          <w:rFonts w:ascii="Book Antiqua" w:eastAsia="Book Antiqua" w:hAnsi="Book Antiqua" w:cs="Book Antiqua"/>
          <w:b/>
          <w:color w:val="000000"/>
          <w:sz w:val="24"/>
          <w:szCs w:val="24"/>
        </w:rPr>
        <w:t xml:space="preserve">Association WM. </w:t>
      </w:r>
      <w:r w:rsidR="0019079E" w:rsidRPr="00F469F1">
        <w:rPr>
          <w:rFonts w:ascii="Book Antiqua" w:eastAsia="Book Antiqua" w:hAnsi="Book Antiqua" w:cs="Book Antiqua"/>
          <w:color w:val="000000"/>
          <w:sz w:val="24"/>
          <w:szCs w:val="24"/>
        </w:rPr>
        <w:t xml:space="preserve">World Medical Association Declaration of Helsinki: Ethical Principles for Medical Research Involving Human Subjects. </w:t>
      </w:r>
      <w:r w:rsidR="0019079E" w:rsidRPr="00F469F1">
        <w:rPr>
          <w:rFonts w:ascii="Book Antiqua" w:eastAsia="Book Antiqua" w:hAnsi="Book Antiqua" w:cs="Book Antiqua"/>
          <w:i/>
          <w:color w:val="000000"/>
          <w:sz w:val="24"/>
          <w:szCs w:val="24"/>
        </w:rPr>
        <w:t>JAMA</w:t>
      </w:r>
      <w:r w:rsidR="0019079E" w:rsidRPr="00F469F1">
        <w:rPr>
          <w:rFonts w:ascii="Book Antiqua" w:eastAsia="Book Antiqua" w:hAnsi="Book Antiqua" w:cs="Book Antiqua"/>
          <w:color w:val="000000"/>
          <w:sz w:val="24"/>
          <w:szCs w:val="24"/>
        </w:rPr>
        <w:t>. 2013;</w:t>
      </w:r>
      <w:r w:rsidRPr="00F469F1">
        <w:rPr>
          <w:rFonts w:ascii="Book Antiqua" w:eastAsia="Book Antiqua" w:hAnsi="Book Antiqua" w:cs="Book Antiqua"/>
          <w:b/>
          <w:color w:val="000000"/>
          <w:sz w:val="24"/>
          <w:szCs w:val="24"/>
        </w:rPr>
        <w:t xml:space="preserve"> </w:t>
      </w:r>
      <w:r w:rsidR="0019079E" w:rsidRPr="00F469F1">
        <w:rPr>
          <w:rFonts w:ascii="Book Antiqua" w:eastAsia="Book Antiqua" w:hAnsi="Book Antiqua" w:cs="Book Antiqua"/>
          <w:b/>
          <w:color w:val="000000"/>
          <w:sz w:val="24"/>
          <w:szCs w:val="24"/>
        </w:rPr>
        <w:t>310:</w:t>
      </w:r>
      <w:r w:rsidRPr="00F469F1">
        <w:rPr>
          <w:rFonts w:ascii="Book Antiqua" w:eastAsia="Book Antiqua" w:hAnsi="Book Antiqua" w:cs="Book Antiqua"/>
          <w:color w:val="000000"/>
          <w:sz w:val="24"/>
          <w:szCs w:val="24"/>
        </w:rPr>
        <w:t xml:space="preserve"> </w:t>
      </w:r>
      <w:r w:rsidR="0019079E" w:rsidRPr="00F469F1">
        <w:rPr>
          <w:rFonts w:ascii="Book Antiqua" w:eastAsia="Book Antiqua" w:hAnsi="Book Antiqua" w:cs="Book Antiqua"/>
          <w:color w:val="000000"/>
          <w:sz w:val="24"/>
          <w:szCs w:val="24"/>
        </w:rPr>
        <w:t>2191-4 [DOI: 10.1001/jama.2013.281053]</w:t>
      </w:r>
    </w:p>
    <w:p w14:paraId="2E5874E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13 </w:t>
      </w:r>
      <w:r w:rsidRPr="00F469F1">
        <w:rPr>
          <w:rFonts w:ascii="Book Antiqua" w:eastAsia="Book Antiqua" w:hAnsi="Book Antiqua" w:cs="Book Antiqua"/>
          <w:b/>
          <w:bCs/>
          <w:color w:val="000000"/>
          <w:sz w:val="24"/>
          <w:szCs w:val="24"/>
        </w:rPr>
        <w:t>Yang XW</w:t>
      </w:r>
      <w:r w:rsidRPr="00F469F1">
        <w:rPr>
          <w:rFonts w:ascii="Book Antiqua" w:eastAsia="Book Antiqua" w:hAnsi="Book Antiqua" w:cs="Book Antiqua"/>
          <w:color w:val="000000"/>
          <w:sz w:val="24"/>
          <w:szCs w:val="24"/>
        </w:rPr>
        <w:t xml:space="preserve">, Yuan JM, Chen JY, Yang J, Gao QG, Yan XZ, Zhang BH, Feng S, Wu MC. The prognostic importance of jaundice in surgical resection with curative intent for gallbladder cancer. </w:t>
      </w:r>
      <w:r w:rsidRPr="00F469F1">
        <w:rPr>
          <w:rFonts w:ascii="Book Antiqua" w:eastAsia="Book Antiqua" w:hAnsi="Book Antiqua" w:cs="Book Antiqua"/>
          <w:i/>
          <w:iCs/>
          <w:color w:val="000000"/>
          <w:sz w:val="24"/>
          <w:szCs w:val="24"/>
        </w:rPr>
        <w:t>BMC Cancer</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14</w:t>
      </w:r>
      <w:r w:rsidRPr="00F469F1">
        <w:rPr>
          <w:rFonts w:ascii="Book Antiqua" w:eastAsia="Book Antiqua" w:hAnsi="Book Antiqua" w:cs="Book Antiqua"/>
          <w:color w:val="000000"/>
          <w:sz w:val="24"/>
          <w:szCs w:val="24"/>
        </w:rPr>
        <w:t>: 652 [PMID: 25187159 DOI: 10.1186/1471-2407-14-652]</w:t>
      </w:r>
    </w:p>
    <w:p w14:paraId="1288B0A3"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14 </w:t>
      </w:r>
      <w:r w:rsidRPr="00F469F1">
        <w:rPr>
          <w:rFonts w:ascii="Book Antiqua" w:eastAsia="Book Antiqua" w:hAnsi="Book Antiqua" w:cs="Book Antiqua"/>
          <w:b/>
          <w:bCs/>
          <w:color w:val="000000"/>
          <w:sz w:val="24"/>
          <w:szCs w:val="24"/>
        </w:rPr>
        <w:t>Rai A</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Tewari</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Mohapatra</w:t>
      </w:r>
      <w:proofErr w:type="spellEnd"/>
      <w:r w:rsidRPr="00F469F1">
        <w:rPr>
          <w:rFonts w:ascii="Book Antiqua" w:eastAsia="Book Antiqua" w:hAnsi="Book Antiqua" w:cs="Book Antiqua"/>
          <w:color w:val="000000"/>
          <w:sz w:val="24"/>
          <w:szCs w:val="24"/>
        </w:rPr>
        <w:t xml:space="preserve"> SC, Shukla HS. Correlation of nutritional parameters of gallbladder cancer patients.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2006; </w:t>
      </w:r>
      <w:r w:rsidRPr="00F469F1">
        <w:rPr>
          <w:rFonts w:ascii="Book Antiqua" w:eastAsia="Book Antiqua" w:hAnsi="Book Antiqua" w:cs="Book Antiqua"/>
          <w:b/>
          <w:bCs/>
          <w:color w:val="000000"/>
          <w:sz w:val="24"/>
          <w:szCs w:val="24"/>
        </w:rPr>
        <w:t>93</w:t>
      </w:r>
      <w:r w:rsidRPr="00F469F1">
        <w:rPr>
          <w:rFonts w:ascii="Book Antiqua" w:eastAsia="Book Antiqua" w:hAnsi="Book Antiqua" w:cs="Book Antiqua"/>
          <w:color w:val="000000"/>
          <w:sz w:val="24"/>
          <w:szCs w:val="24"/>
        </w:rPr>
        <w:t>: 705-708 [PMID: 16724358 DOI: 10.1002/jso.20539]</w:t>
      </w:r>
    </w:p>
    <w:p w14:paraId="20ED08FA"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15 </w:t>
      </w:r>
      <w:r w:rsidRPr="00F469F1">
        <w:rPr>
          <w:rFonts w:ascii="Book Antiqua" w:eastAsia="Book Antiqua" w:hAnsi="Book Antiqua" w:cs="Book Antiqua"/>
          <w:b/>
          <w:bCs/>
          <w:color w:val="000000"/>
          <w:sz w:val="24"/>
          <w:szCs w:val="24"/>
        </w:rPr>
        <w:t>Wen Z</w:t>
      </w:r>
      <w:r w:rsidRPr="00F469F1">
        <w:rPr>
          <w:rFonts w:ascii="Book Antiqua" w:eastAsia="Book Antiqua" w:hAnsi="Book Antiqua" w:cs="Book Antiqua"/>
          <w:color w:val="000000"/>
          <w:sz w:val="24"/>
          <w:szCs w:val="24"/>
        </w:rPr>
        <w:t xml:space="preserve">, Si A, Yang J, Yang P, Yang X, Liu H, Yan X, Li W, Zhang B. Elevation of CA19-9 and CEA is associated with a poor prognosis in patients with </w:t>
      </w:r>
      <w:proofErr w:type="spellStart"/>
      <w:r w:rsidRPr="00F469F1">
        <w:rPr>
          <w:rFonts w:ascii="Book Antiqua" w:eastAsia="Book Antiqua" w:hAnsi="Book Antiqua" w:cs="Book Antiqua"/>
          <w:color w:val="000000"/>
          <w:sz w:val="24"/>
          <w:szCs w:val="24"/>
        </w:rPr>
        <w:t>resectable</w:t>
      </w:r>
      <w:proofErr w:type="spellEnd"/>
      <w:r w:rsidRPr="00F469F1">
        <w:rPr>
          <w:rFonts w:ascii="Book Antiqua" w:eastAsia="Book Antiqua" w:hAnsi="Book Antiqua" w:cs="Book Antiqua"/>
          <w:color w:val="000000"/>
          <w:sz w:val="24"/>
          <w:szCs w:val="24"/>
        </w:rPr>
        <w:t xml:space="preserve"> gallbladder carcinoma. </w:t>
      </w:r>
      <w:r w:rsidRPr="00F469F1">
        <w:rPr>
          <w:rFonts w:ascii="Book Antiqua" w:eastAsia="Book Antiqua" w:hAnsi="Book Antiqua" w:cs="Book Antiqua"/>
          <w:i/>
          <w:iCs/>
          <w:color w:val="000000"/>
          <w:sz w:val="24"/>
          <w:szCs w:val="24"/>
        </w:rPr>
        <w:t>HPB (Oxford)</w:t>
      </w:r>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19</w:t>
      </w:r>
      <w:r w:rsidRPr="00F469F1">
        <w:rPr>
          <w:rFonts w:ascii="Book Antiqua" w:eastAsia="Book Antiqua" w:hAnsi="Book Antiqua" w:cs="Book Antiqua"/>
          <w:color w:val="000000"/>
          <w:sz w:val="24"/>
          <w:szCs w:val="24"/>
        </w:rPr>
        <w:t>: 951-956 [PMID: 28750922 DOI: 10.1016/j.hpb.2017.06.011]</w:t>
      </w:r>
    </w:p>
    <w:p w14:paraId="407E154B"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16 </w:t>
      </w:r>
      <w:r w:rsidRPr="00F469F1">
        <w:rPr>
          <w:rFonts w:ascii="Book Antiqua" w:eastAsia="Book Antiqua" w:hAnsi="Book Antiqua" w:cs="Book Antiqua"/>
          <w:b/>
          <w:bCs/>
          <w:color w:val="000000"/>
          <w:sz w:val="24"/>
          <w:szCs w:val="24"/>
        </w:rPr>
        <w:t>Zhang R</w:t>
      </w:r>
      <w:r w:rsidRPr="00F469F1">
        <w:rPr>
          <w:rFonts w:ascii="Book Antiqua" w:eastAsia="Book Antiqua" w:hAnsi="Book Antiqua" w:cs="Book Antiqua"/>
          <w:color w:val="000000"/>
          <w:sz w:val="24"/>
          <w:szCs w:val="24"/>
        </w:rPr>
        <w:t xml:space="preserve">, Lin HM, </w:t>
      </w:r>
      <w:proofErr w:type="spellStart"/>
      <w:r w:rsidRPr="00F469F1">
        <w:rPr>
          <w:rFonts w:ascii="Book Antiqua" w:eastAsia="Book Antiqua" w:hAnsi="Book Antiqua" w:cs="Book Antiqua"/>
          <w:color w:val="000000"/>
          <w:sz w:val="24"/>
          <w:szCs w:val="24"/>
        </w:rPr>
        <w:t>Cai</w:t>
      </w:r>
      <w:proofErr w:type="spellEnd"/>
      <w:r w:rsidRPr="00F469F1">
        <w:rPr>
          <w:rFonts w:ascii="Book Antiqua" w:eastAsia="Book Antiqua" w:hAnsi="Book Antiqua" w:cs="Book Antiqua"/>
          <w:color w:val="000000"/>
          <w:sz w:val="24"/>
          <w:szCs w:val="24"/>
        </w:rPr>
        <w:t xml:space="preserve"> ZX, Du SJ, Zeng H, Xu LB, Wang J, Liu C. Clinical strategies for differentiating IgG4-related cholecystitis from gallbladder </w:t>
      </w:r>
      <w:r w:rsidRPr="00F469F1">
        <w:rPr>
          <w:rFonts w:ascii="Book Antiqua" w:eastAsia="Book Antiqua" w:hAnsi="Book Antiqua" w:cs="Book Antiqua"/>
          <w:color w:val="000000"/>
          <w:sz w:val="24"/>
          <w:szCs w:val="24"/>
        </w:rPr>
        <w:lastRenderedPageBreak/>
        <w:t xml:space="preserve">carcinoma to avoid unnecessary surgical resection.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i/>
          <w:iCs/>
          <w:color w:val="000000"/>
          <w:sz w:val="24"/>
          <w:szCs w:val="24"/>
        </w:rPr>
        <w:t xml:space="preserve"> China Life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color w:val="000000"/>
          <w:sz w:val="24"/>
          <w:szCs w:val="24"/>
        </w:rPr>
        <w:t xml:space="preserve"> 2020; </w:t>
      </w:r>
      <w:r w:rsidRPr="00F469F1">
        <w:rPr>
          <w:rFonts w:ascii="Book Antiqua" w:eastAsia="Book Antiqua" w:hAnsi="Book Antiqua" w:cs="Book Antiqua"/>
          <w:b/>
          <w:bCs/>
          <w:color w:val="000000"/>
          <w:sz w:val="24"/>
          <w:szCs w:val="24"/>
        </w:rPr>
        <w:t>63</w:t>
      </w:r>
      <w:r w:rsidRPr="00F469F1">
        <w:rPr>
          <w:rFonts w:ascii="Book Antiqua" w:eastAsia="Book Antiqua" w:hAnsi="Book Antiqua" w:cs="Book Antiqua"/>
          <w:color w:val="000000"/>
          <w:sz w:val="24"/>
          <w:szCs w:val="24"/>
        </w:rPr>
        <w:t>: 764-770 [PMID: 31321666 DOI: 10.1007/s11427-019-9539-6]</w:t>
      </w:r>
    </w:p>
    <w:p w14:paraId="4003BA1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17 </w:t>
      </w:r>
      <w:r w:rsidRPr="00F469F1">
        <w:rPr>
          <w:rFonts w:ascii="Book Antiqua" w:eastAsia="Book Antiqua" w:hAnsi="Book Antiqua" w:cs="Book Antiqua"/>
          <w:b/>
          <w:bCs/>
          <w:color w:val="000000"/>
          <w:sz w:val="24"/>
          <w:szCs w:val="24"/>
        </w:rPr>
        <w:t>Boyd 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Mustonen</w:t>
      </w:r>
      <w:proofErr w:type="spellEnd"/>
      <w:r w:rsidRPr="00F469F1">
        <w:rPr>
          <w:rFonts w:ascii="Book Antiqua" w:eastAsia="Book Antiqua" w:hAnsi="Book Antiqua" w:cs="Book Antiqua"/>
          <w:color w:val="000000"/>
          <w:sz w:val="24"/>
          <w:szCs w:val="24"/>
        </w:rPr>
        <w:t xml:space="preserve"> H, </w:t>
      </w:r>
      <w:proofErr w:type="spellStart"/>
      <w:r w:rsidRPr="00F469F1">
        <w:rPr>
          <w:rFonts w:ascii="Book Antiqua" w:eastAsia="Book Antiqua" w:hAnsi="Book Antiqua" w:cs="Book Antiqua"/>
          <w:color w:val="000000"/>
          <w:sz w:val="24"/>
          <w:szCs w:val="24"/>
        </w:rPr>
        <w:t>Tenca</w:t>
      </w:r>
      <w:proofErr w:type="spellEnd"/>
      <w:r w:rsidRPr="00F469F1">
        <w:rPr>
          <w:rFonts w:ascii="Book Antiqua" w:eastAsia="Book Antiqua" w:hAnsi="Book Antiqua" w:cs="Book Antiqua"/>
          <w:color w:val="000000"/>
          <w:sz w:val="24"/>
          <w:szCs w:val="24"/>
        </w:rPr>
        <w:t xml:space="preserve"> A, </w:t>
      </w:r>
      <w:proofErr w:type="spellStart"/>
      <w:r w:rsidRPr="00F469F1">
        <w:rPr>
          <w:rFonts w:ascii="Book Antiqua" w:eastAsia="Book Antiqua" w:hAnsi="Book Antiqua" w:cs="Book Antiqua"/>
          <w:color w:val="000000"/>
          <w:sz w:val="24"/>
          <w:szCs w:val="24"/>
        </w:rPr>
        <w:t>Jokelainen</w:t>
      </w:r>
      <w:proofErr w:type="spellEnd"/>
      <w:r w:rsidRPr="00F469F1">
        <w:rPr>
          <w:rFonts w:ascii="Book Antiqua" w:eastAsia="Book Antiqua" w:hAnsi="Book Antiqua" w:cs="Book Antiqua"/>
          <w:color w:val="000000"/>
          <w:sz w:val="24"/>
          <w:szCs w:val="24"/>
        </w:rPr>
        <w:t xml:space="preserve"> K, </w:t>
      </w:r>
      <w:proofErr w:type="spellStart"/>
      <w:r w:rsidRPr="00F469F1">
        <w:rPr>
          <w:rFonts w:ascii="Book Antiqua" w:eastAsia="Book Antiqua" w:hAnsi="Book Antiqua" w:cs="Book Antiqua"/>
          <w:color w:val="000000"/>
          <w:sz w:val="24"/>
          <w:szCs w:val="24"/>
        </w:rPr>
        <w:t>Arola</w:t>
      </w:r>
      <w:proofErr w:type="spellEnd"/>
      <w:r w:rsidRPr="00F469F1">
        <w:rPr>
          <w:rFonts w:ascii="Book Antiqua" w:eastAsia="Book Antiqua" w:hAnsi="Book Antiqua" w:cs="Book Antiqua"/>
          <w:color w:val="000000"/>
          <w:sz w:val="24"/>
          <w:szCs w:val="24"/>
        </w:rPr>
        <w:t xml:space="preserve"> J, </w:t>
      </w:r>
      <w:proofErr w:type="spellStart"/>
      <w:r w:rsidRPr="00F469F1">
        <w:rPr>
          <w:rFonts w:ascii="Book Antiqua" w:eastAsia="Book Antiqua" w:hAnsi="Book Antiqua" w:cs="Book Antiqua"/>
          <w:color w:val="000000"/>
          <w:sz w:val="24"/>
          <w:szCs w:val="24"/>
        </w:rPr>
        <w:t>Färkkilä</w:t>
      </w:r>
      <w:proofErr w:type="spellEnd"/>
      <w:r w:rsidRPr="00F469F1">
        <w:rPr>
          <w:rFonts w:ascii="Book Antiqua" w:eastAsia="Book Antiqua" w:hAnsi="Book Antiqua" w:cs="Book Antiqua"/>
          <w:color w:val="000000"/>
          <w:sz w:val="24"/>
          <w:szCs w:val="24"/>
        </w:rPr>
        <w:t xml:space="preserve"> MA. Surveillance of primary </w:t>
      </w:r>
      <w:proofErr w:type="spellStart"/>
      <w:r w:rsidRPr="00F469F1">
        <w:rPr>
          <w:rFonts w:ascii="Book Antiqua" w:eastAsia="Book Antiqua" w:hAnsi="Book Antiqua" w:cs="Book Antiqua"/>
          <w:color w:val="000000"/>
          <w:sz w:val="24"/>
          <w:szCs w:val="24"/>
        </w:rPr>
        <w:t>sclerosing</w:t>
      </w:r>
      <w:proofErr w:type="spellEnd"/>
      <w:r w:rsidRPr="00F469F1">
        <w:rPr>
          <w:rFonts w:ascii="Book Antiqua" w:eastAsia="Book Antiqua" w:hAnsi="Book Antiqua" w:cs="Book Antiqua"/>
          <w:color w:val="000000"/>
          <w:sz w:val="24"/>
          <w:szCs w:val="24"/>
        </w:rPr>
        <w:t xml:space="preserve"> cholangitis with ERC and brush cytology: risk factors for cholangiocarcinoma. </w:t>
      </w:r>
      <w:proofErr w:type="spellStart"/>
      <w:r w:rsidRPr="00F469F1">
        <w:rPr>
          <w:rFonts w:ascii="Book Antiqua" w:eastAsia="Book Antiqua" w:hAnsi="Book Antiqua" w:cs="Book Antiqua"/>
          <w:i/>
          <w:iCs/>
          <w:color w:val="000000"/>
          <w:sz w:val="24"/>
          <w:szCs w:val="24"/>
        </w:rPr>
        <w:t>Scand</w:t>
      </w:r>
      <w:proofErr w:type="spellEnd"/>
      <w:r w:rsidRPr="00F469F1">
        <w:rPr>
          <w:rFonts w:ascii="Book Antiqua" w:eastAsia="Book Antiqua" w:hAnsi="Book Antiqua" w:cs="Book Antiqua"/>
          <w:i/>
          <w:iCs/>
          <w:color w:val="000000"/>
          <w:sz w:val="24"/>
          <w:szCs w:val="24"/>
        </w:rPr>
        <w:t xml:space="preserve">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52</w:t>
      </w:r>
      <w:r w:rsidRPr="00F469F1">
        <w:rPr>
          <w:rFonts w:ascii="Book Antiqua" w:eastAsia="Book Antiqua" w:hAnsi="Book Antiqua" w:cs="Book Antiqua"/>
          <w:color w:val="000000"/>
          <w:sz w:val="24"/>
          <w:szCs w:val="24"/>
        </w:rPr>
        <w:t>: 242-249 [PMID: 27806633 DOI: 10.1080/00365521.2016.1250281]</w:t>
      </w:r>
    </w:p>
    <w:p w14:paraId="6A07922C"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18 </w:t>
      </w:r>
      <w:r w:rsidRPr="00F469F1">
        <w:rPr>
          <w:rFonts w:ascii="Book Antiqua" w:eastAsia="Book Antiqua" w:hAnsi="Book Antiqua" w:cs="Book Antiqua"/>
          <w:b/>
          <w:bCs/>
          <w:color w:val="000000"/>
          <w:sz w:val="24"/>
          <w:szCs w:val="24"/>
        </w:rPr>
        <w:t>Dong C</w:t>
      </w:r>
      <w:r w:rsidRPr="00F469F1">
        <w:rPr>
          <w:rFonts w:ascii="Book Antiqua" w:eastAsia="Book Antiqua" w:hAnsi="Book Antiqua" w:cs="Book Antiqua"/>
          <w:color w:val="000000"/>
          <w:sz w:val="24"/>
          <w:szCs w:val="24"/>
        </w:rPr>
        <w:t xml:space="preserve">, Zhu HY, Chen YC, Luo XP, Huang ZH. Clinical Assessment of Differential Diagnostic Methods in Infants with Cholestasis due to Biliary Atresia or Non-Biliary Atresia. </w:t>
      </w:r>
      <w:proofErr w:type="spellStart"/>
      <w:r w:rsidRPr="00F469F1">
        <w:rPr>
          <w:rFonts w:ascii="Book Antiqua" w:eastAsia="Book Antiqua" w:hAnsi="Book Antiqua" w:cs="Book Antiqua"/>
          <w:i/>
          <w:iCs/>
          <w:color w:val="000000"/>
          <w:sz w:val="24"/>
          <w:szCs w:val="24"/>
        </w:rPr>
        <w:t>Curr</w:t>
      </w:r>
      <w:proofErr w:type="spellEnd"/>
      <w:r w:rsidRPr="00F469F1">
        <w:rPr>
          <w:rFonts w:ascii="Book Antiqua" w:eastAsia="Book Antiqua" w:hAnsi="Book Antiqua" w:cs="Book Antiqua"/>
          <w:i/>
          <w:iCs/>
          <w:color w:val="000000"/>
          <w:sz w:val="24"/>
          <w:szCs w:val="24"/>
        </w:rPr>
        <w:t xml:space="preserve"> Med </w:t>
      </w:r>
      <w:proofErr w:type="spellStart"/>
      <w:r w:rsidRPr="00F469F1">
        <w:rPr>
          <w:rFonts w:ascii="Book Antiqua" w:eastAsia="Book Antiqua" w:hAnsi="Book Antiqua" w:cs="Book Antiqua"/>
          <w:i/>
          <w:iCs/>
          <w:color w:val="000000"/>
          <w:sz w:val="24"/>
          <w:szCs w:val="24"/>
        </w:rPr>
        <w:t>Sci</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38</w:t>
      </w:r>
      <w:r w:rsidRPr="00F469F1">
        <w:rPr>
          <w:rFonts w:ascii="Book Antiqua" w:eastAsia="Book Antiqua" w:hAnsi="Book Antiqua" w:cs="Book Antiqua"/>
          <w:color w:val="000000"/>
          <w:sz w:val="24"/>
          <w:szCs w:val="24"/>
        </w:rPr>
        <w:t>: 137-143 [PMID: 30074163 DOI: 10.1007/s11596-018-1857-6]</w:t>
      </w:r>
    </w:p>
    <w:p w14:paraId="3F7F7F32" w14:textId="1FFC0858"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19 </w:t>
      </w:r>
      <w:r w:rsidRPr="00F469F1">
        <w:rPr>
          <w:rFonts w:ascii="Book Antiqua" w:eastAsia="Book Antiqua" w:hAnsi="Book Antiqua" w:cs="Book Antiqua"/>
          <w:b/>
          <w:bCs/>
          <w:color w:val="000000"/>
          <w:sz w:val="24"/>
          <w:szCs w:val="24"/>
        </w:rPr>
        <w:t>Barut B</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Gönültaş</w:t>
      </w:r>
      <w:proofErr w:type="spellEnd"/>
      <w:r w:rsidRPr="00F469F1">
        <w:rPr>
          <w:rFonts w:ascii="Book Antiqua" w:eastAsia="Book Antiqua" w:hAnsi="Book Antiqua" w:cs="Book Antiqua"/>
          <w:color w:val="000000"/>
          <w:sz w:val="24"/>
          <w:szCs w:val="24"/>
        </w:rPr>
        <w:t xml:space="preserve"> F, </w:t>
      </w:r>
      <w:proofErr w:type="spellStart"/>
      <w:r w:rsidRPr="00F469F1">
        <w:rPr>
          <w:rFonts w:ascii="Book Antiqua" w:eastAsia="Book Antiqua" w:hAnsi="Book Antiqua" w:cs="Book Antiqua"/>
          <w:color w:val="000000"/>
          <w:sz w:val="24"/>
          <w:szCs w:val="24"/>
        </w:rPr>
        <w:t>Gök</w:t>
      </w:r>
      <w:proofErr w:type="spellEnd"/>
      <w:r w:rsidRPr="00F469F1">
        <w:rPr>
          <w:rFonts w:ascii="Book Antiqua" w:eastAsia="Book Antiqua" w:hAnsi="Book Antiqua" w:cs="Book Antiqua"/>
          <w:color w:val="000000"/>
          <w:sz w:val="24"/>
          <w:szCs w:val="24"/>
        </w:rPr>
        <w:t xml:space="preserve"> AFK, </w:t>
      </w:r>
      <w:proofErr w:type="spellStart"/>
      <w:r w:rsidRPr="00F469F1">
        <w:rPr>
          <w:rFonts w:ascii="Book Antiqua" w:eastAsia="Book Antiqua" w:hAnsi="Book Antiqua" w:cs="Book Antiqua"/>
          <w:color w:val="000000"/>
          <w:sz w:val="24"/>
          <w:szCs w:val="24"/>
        </w:rPr>
        <w:t>Şahin</w:t>
      </w:r>
      <w:proofErr w:type="spellEnd"/>
      <w:r w:rsidRPr="00F469F1">
        <w:rPr>
          <w:rFonts w:ascii="Book Antiqua" w:eastAsia="Book Antiqua" w:hAnsi="Book Antiqua" w:cs="Book Antiqua"/>
          <w:color w:val="000000"/>
          <w:sz w:val="24"/>
          <w:szCs w:val="24"/>
        </w:rPr>
        <w:t xml:space="preserve"> TT. Management of Acute Cholecystitis </w:t>
      </w:r>
      <w:r w:rsidR="00C7517A" w:rsidRPr="00F469F1">
        <w:rPr>
          <w:rFonts w:ascii="Book Antiqua" w:eastAsia="Book Antiqua" w:hAnsi="Book Antiqua" w:cs="Book Antiqua"/>
          <w:color w:val="000000"/>
          <w:sz w:val="24"/>
          <w:szCs w:val="24"/>
        </w:rPr>
        <w:t xml:space="preserve">during </w:t>
      </w:r>
      <w:r w:rsidRPr="00F469F1">
        <w:rPr>
          <w:rFonts w:ascii="Book Antiqua" w:eastAsia="Book Antiqua" w:hAnsi="Book Antiqua" w:cs="Book Antiqua"/>
          <w:color w:val="000000"/>
          <w:sz w:val="24"/>
          <w:szCs w:val="24"/>
        </w:rPr>
        <w:t xml:space="preserve">Pregnancy: A Single Center Experience. </w:t>
      </w:r>
      <w:r w:rsidRPr="00F469F1">
        <w:rPr>
          <w:rFonts w:ascii="Book Antiqua" w:eastAsia="Book Antiqua" w:hAnsi="Book Antiqua" w:cs="Book Antiqua"/>
          <w:i/>
          <w:iCs/>
          <w:color w:val="000000"/>
          <w:sz w:val="24"/>
          <w:szCs w:val="24"/>
        </w:rPr>
        <w:t xml:space="preserve">Ulus </w:t>
      </w:r>
      <w:proofErr w:type="spellStart"/>
      <w:r w:rsidRPr="00F469F1">
        <w:rPr>
          <w:rFonts w:ascii="Book Antiqua" w:eastAsia="Book Antiqua" w:hAnsi="Book Antiqua" w:cs="Book Antiqua"/>
          <w:i/>
          <w:iCs/>
          <w:color w:val="000000"/>
          <w:sz w:val="24"/>
          <w:szCs w:val="24"/>
        </w:rPr>
        <w:t>Travma</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Acil</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Cerrahi</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Derg</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25</w:t>
      </w:r>
      <w:r w:rsidRPr="00F469F1">
        <w:rPr>
          <w:rFonts w:ascii="Book Antiqua" w:eastAsia="Book Antiqua" w:hAnsi="Book Antiqua" w:cs="Book Antiqua"/>
          <w:color w:val="000000"/>
          <w:sz w:val="24"/>
          <w:szCs w:val="24"/>
        </w:rPr>
        <w:t>: 154-158 [PMID: 30892681 DOI: 10.5505/tjtes.2018.82357]</w:t>
      </w:r>
    </w:p>
    <w:p w14:paraId="193F7982"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20 </w:t>
      </w:r>
      <w:proofErr w:type="spellStart"/>
      <w:r w:rsidRPr="00F469F1">
        <w:rPr>
          <w:rFonts w:ascii="Book Antiqua" w:eastAsia="Book Antiqua" w:hAnsi="Book Antiqua" w:cs="Book Antiqua"/>
          <w:b/>
          <w:bCs/>
          <w:color w:val="000000"/>
          <w:sz w:val="24"/>
          <w:szCs w:val="24"/>
        </w:rPr>
        <w:t>Kunutsor</w:t>
      </w:r>
      <w:proofErr w:type="spellEnd"/>
      <w:r w:rsidRPr="00F469F1">
        <w:rPr>
          <w:rFonts w:ascii="Book Antiqua" w:eastAsia="Book Antiqua" w:hAnsi="Book Antiqua" w:cs="Book Antiqua"/>
          <w:b/>
          <w:bCs/>
          <w:color w:val="000000"/>
          <w:sz w:val="24"/>
          <w:szCs w:val="24"/>
        </w:rPr>
        <w:t xml:space="preserve"> SK</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Apekey</w:t>
      </w:r>
      <w:proofErr w:type="spellEnd"/>
      <w:r w:rsidRPr="00F469F1">
        <w:rPr>
          <w:rFonts w:ascii="Book Antiqua" w:eastAsia="Book Antiqua" w:hAnsi="Book Antiqua" w:cs="Book Antiqua"/>
          <w:color w:val="000000"/>
          <w:sz w:val="24"/>
          <w:szCs w:val="24"/>
        </w:rPr>
        <w:t xml:space="preserve"> TA, Van </w:t>
      </w:r>
      <w:proofErr w:type="spellStart"/>
      <w:r w:rsidRPr="00F469F1">
        <w:rPr>
          <w:rFonts w:ascii="Book Antiqua" w:eastAsia="Book Antiqua" w:hAnsi="Book Antiqua" w:cs="Book Antiqua"/>
          <w:color w:val="000000"/>
          <w:sz w:val="24"/>
          <w:szCs w:val="24"/>
        </w:rPr>
        <w:t>Hemelrijck</w:t>
      </w:r>
      <w:proofErr w:type="spellEnd"/>
      <w:r w:rsidRPr="00F469F1">
        <w:rPr>
          <w:rFonts w:ascii="Book Antiqua" w:eastAsia="Book Antiqua" w:hAnsi="Book Antiqua" w:cs="Book Antiqua"/>
          <w:color w:val="000000"/>
          <w:sz w:val="24"/>
          <w:szCs w:val="24"/>
        </w:rPr>
        <w:t xml:space="preserve"> M, </w:t>
      </w:r>
      <w:proofErr w:type="spellStart"/>
      <w:r w:rsidRPr="00F469F1">
        <w:rPr>
          <w:rFonts w:ascii="Book Antiqua" w:eastAsia="Book Antiqua" w:hAnsi="Book Antiqua" w:cs="Book Antiqua"/>
          <w:color w:val="000000"/>
          <w:sz w:val="24"/>
          <w:szCs w:val="24"/>
        </w:rPr>
        <w:t>Calori</w:t>
      </w:r>
      <w:proofErr w:type="spellEnd"/>
      <w:r w:rsidRPr="00F469F1">
        <w:rPr>
          <w:rFonts w:ascii="Book Antiqua" w:eastAsia="Book Antiqua" w:hAnsi="Book Antiqua" w:cs="Book Antiqua"/>
          <w:color w:val="000000"/>
          <w:sz w:val="24"/>
          <w:szCs w:val="24"/>
        </w:rPr>
        <w:t xml:space="preserve"> G, </w:t>
      </w:r>
      <w:proofErr w:type="spellStart"/>
      <w:r w:rsidRPr="00F469F1">
        <w:rPr>
          <w:rFonts w:ascii="Book Antiqua" w:eastAsia="Book Antiqua" w:hAnsi="Book Antiqua" w:cs="Book Antiqua"/>
          <w:color w:val="000000"/>
          <w:sz w:val="24"/>
          <w:szCs w:val="24"/>
        </w:rPr>
        <w:t>Perseghin</w:t>
      </w:r>
      <w:proofErr w:type="spellEnd"/>
      <w:r w:rsidRPr="00F469F1">
        <w:rPr>
          <w:rFonts w:ascii="Book Antiqua" w:eastAsia="Book Antiqua" w:hAnsi="Book Antiqua" w:cs="Book Antiqua"/>
          <w:color w:val="000000"/>
          <w:sz w:val="24"/>
          <w:szCs w:val="24"/>
        </w:rPr>
        <w:t xml:space="preserve"> G. Gamma </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alanine aminotransferase and risk of cancer: systematic review and meta-analysis.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i/>
          <w:iCs/>
          <w:color w:val="000000"/>
          <w:sz w:val="24"/>
          <w:szCs w:val="24"/>
        </w:rPr>
        <w:t xml:space="preserve"> J Cancer</w:t>
      </w:r>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136</w:t>
      </w:r>
      <w:r w:rsidRPr="00F469F1">
        <w:rPr>
          <w:rFonts w:ascii="Book Antiqua" w:eastAsia="Book Antiqua" w:hAnsi="Book Antiqua" w:cs="Book Antiqua"/>
          <w:color w:val="000000"/>
          <w:sz w:val="24"/>
          <w:szCs w:val="24"/>
        </w:rPr>
        <w:t>: 1162-1170 [PMID: 25043373 DOI: 10.1002/ijc.29084]</w:t>
      </w:r>
    </w:p>
    <w:p w14:paraId="3325299F"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21 </w:t>
      </w:r>
      <w:proofErr w:type="spellStart"/>
      <w:r w:rsidRPr="00F469F1">
        <w:rPr>
          <w:rFonts w:ascii="Book Antiqua" w:eastAsia="Book Antiqua" w:hAnsi="Book Antiqua" w:cs="Book Antiqua"/>
          <w:b/>
          <w:bCs/>
          <w:color w:val="000000"/>
          <w:sz w:val="24"/>
          <w:szCs w:val="24"/>
        </w:rPr>
        <w:t>Hanigan</w:t>
      </w:r>
      <w:proofErr w:type="spellEnd"/>
      <w:r w:rsidRPr="00F469F1">
        <w:rPr>
          <w:rFonts w:ascii="Book Antiqua" w:eastAsia="Book Antiqua" w:hAnsi="Book Antiqua" w:cs="Book Antiqua"/>
          <w:b/>
          <w:bCs/>
          <w:color w:val="000000"/>
          <w:sz w:val="24"/>
          <w:szCs w:val="24"/>
        </w:rPr>
        <w:t xml:space="preserve"> MH</w:t>
      </w:r>
      <w:r w:rsidRPr="00F469F1">
        <w:rPr>
          <w:rFonts w:ascii="Book Antiqua" w:eastAsia="Book Antiqua" w:hAnsi="Book Antiqua" w:cs="Book Antiqua"/>
          <w:color w:val="000000"/>
          <w:sz w:val="24"/>
          <w:szCs w:val="24"/>
        </w:rPr>
        <w:t>. Gamma-</w:t>
      </w:r>
      <w:proofErr w:type="spellStart"/>
      <w:r w:rsidRPr="00F469F1">
        <w:rPr>
          <w:rFonts w:ascii="Book Antiqua" w:eastAsia="Book Antiqua" w:hAnsi="Book Antiqua" w:cs="Book Antiqua"/>
          <w:color w:val="000000"/>
          <w:sz w:val="24"/>
          <w:szCs w:val="24"/>
        </w:rPr>
        <w:t>glutamyl</w:t>
      </w:r>
      <w:proofErr w:type="spellEnd"/>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transpeptidase</w:t>
      </w:r>
      <w:proofErr w:type="spellEnd"/>
      <w:r w:rsidRPr="00F469F1">
        <w:rPr>
          <w:rFonts w:ascii="Book Antiqua" w:eastAsia="Book Antiqua" w:hAnsi="Book Antiqua" w:cs="Book Antiqua"/>
          <w:color w:val="000000"/>
          <w:sz w:val="24"/>
          <w:szCs w:val="24"/>
        </w:rPr>
        <w:t xml:space="preserve">: redox regulation and drug resistance. </w:t>
      </w:r>
      <w:proofErr w:type="spellStart"/>
      <w:r w:rsidRPr="00F469F1">
        <w:rPr>
          <w:rFonts w:ascii="Book Antiqua" w:eastAsia="Book Antiqua" w:hAnsi="Book Antiqua" w:cs="Book Antiqua"/>
          <w:i/>
          <w:iCs/>
          <w:color w:val="000000"/>
          <w:sz w:val="24"/>
          <w:szCs w:val="24"/>
        </w:rPr>
        <w:t>Adv</w:t>
      </w:r>
      <w:proofErr w:type="spellEnd"/>
      <w:r w:rsidRPr="00F469F1">
        <w:rPr>
          <w:rFonts w:ascii="Book Antiqua" w:eastAsia="Book Antiqua" w:hAnsi="Book Antiqua" w:cs="Book Antiqua"/>
          <w:i/>
          <w:iCs/>
          <w:color w:val="000000"/>
          <w:sz w:val="24"/>
          <w:szCs w:val="24"/>
        </w:rPr>
        <w:t xml:space="preserve"> Cancer Res</w:t>
      </w:r>
      <w:r w:rsidRPr="00F469F1">
        <w:rPr>
          <w:rFonts w:ascii="Book Antiqua" w:eastAsia="Book Antiqua" w:hAnsi="Book Antiqua" w:cs="Book Antiqua"/>
          <w:color w:val="000000"/>
          <w:sz w:val="24"/>
          <w:szCs w:val="24"/>
        </w:rPr>
        <w:t xml:space="preserve"> 2014; </w:t>
      </w:r>
      <w:r w:rsidRPr="00F469F1">
        <w:rPr>
          <w:rFonts w:ascii="Book Antiqua" w:eastAsia="Book Antiqua" w:hAnsi="Book Antiqua" w:cs="Book Antiqua"/>
          <w:b/>
          <w:bCs/>
          <w:color w:val="000000"/>
          <w:sz w:val="24"/>
          <w:szCs w:val="24"/>
        </w:rPr>
        <w:t>122</w:t>
      </w:r>
      <w:r w:rsidRPr="00F469F1">
        <w:rPr>
          <w:rFonts w:ascii="Book Antiqua" w:eastAsia="Book Antiqua" w:hAnsi="Book Antiqua" w:cs="Book Antiqua"/>
          <w:color w:val="000000"/>
          <w:sz w:val="24"/>
          <w:szCs w:val="24"/>
        </w:rPr>
        <w:t>: 103-141 [PMID: 24974180 DOI: 10.1016/B978-0-12-420117-0.00003-7]</w:t>
      </w:r>
    </w:p>
    <w:p w14:paraId="33BA97D9"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22 </w:t>
      </w:r>
      <w:r w:rsidRPr="00F469F1">
        <w:rPr>
          <w:rFonts w:ascii="Book Antiqua" w:eastAsia="Book Antiqua" w:hAnsi="Book Antiqua" w:cs="Book Antiqua"/>
          <w:b/>
          <w:bCs/>
          <w:color w:val="000000"/>
          <w:sz w:val="24"/>
          <w:szCs w:val="24"/>
        </w:rPr>
        <w:t>Luo C</w:t>
      </w:r>
      <w:r w:rsidRPr="00F469F1">
        <w:rPr>
          <w:rFonts w:ascii="Book Antiqua" w:eastAsia="Book Antiqua" w:hAnsi="Book Antiqua" w:cs="Book Antiqua"/>
          <w:color w:val="000000"/>
          <w:sz w:val="24"/>
          <w:szCs w:val="24"/>
        </w:rPr>
        <w:t>, Xu B, Fan Y, Yu W, Zhang Q, Jin J. Preoperative Gamma-</w:t>
      </w:r>
      <w:proofErr w:type="spellStart"/>
      <w:r w:rsidRPr="00F469F1">
        <w:rPr>
          <w:rFonts w:ascii="Book Antiqua" w:eastAsia="Book Antiqua" w:hAnsi="Book Antiqua" w:cs="Book Antiqua"/>
          <w:color w:val="000000"/>
          <w:sz w:val="24"/>
          <w:szCs w:val="24"/>
        </w:rPr>
        <w:t>Glutamyltransferase</w:t>
      </w:r>
      <w:proofErr w:type="spellEnd"/>
      <w:r w:rsidRPr="00F469F1">
        <w:rPr>
          <w:rFonts w:ascii="Book Antiqua" w:eastAsia="Book Antiqua" w:hAnsi="Book Antiqua" w:cs="Book Antiqua"/>
          <w:color w:val="000000"/>
          <w:sz w:val="24"/>
          <w:szCs w:val="24"/>
        </w:rPr>
        <w:t xml:space="preserve"> Is Associated with Cancer-Specific Survival and Recurrence-Free Survival of </w:t>
      </w:r>
      <w:proofErr w:type="spellStart"/>
      <w:r w:rsidRPr="00F469F1">
        <w:rPr>
          <w:rFonts w:ascii="Book Antiqua" w:eastAsia="Book Antiqua" w:hAnsi="Book Antiqua" w:cs="Book Antiqua"/>
          <w:color w:val="000000"/>
          <w:sz w:val="24"/>
          <w:szCs w:val="24"/>
        </w:rPr>
        <w:t>Nonmetastatic</w:t>
      </w:r>
      <w:proofErr w:type="spellEnd"/>
      <w:r w:rsidRPr="00F469F1">
        <w:rPr>
          <w:rFonts w:ascii="Book Antiqua" w:eastAsia="Book Antiqua" w:hAnsi="Book Antiqua" w:cs="Book Antiqua"/>
          <w:color w:val="000000"/>
          <w:sz w:val="24"/>
          <w:szCs w:val="24"/>
        </w:rPr>
        <w:t xml:space="preserve"> Renal Cell Carcinoma with Venous Tumor Thrombus. </w:t>
      </w:r>
      <w:r w:rsidRPr="00F469F1">
        <w:rPr>
          <w:rFonts w:ascii="Book Antiqua" w:eastAsia="Book Antiqua" w:hAnsi="Book Antiqua" w:cs="Book Antiqua"/>
          <w:i/>
          <w:iCs/>
          <w:color w:val="000000"/>
          <w:sz w:val="24"/>
          <w:szCs w:val="24"/>
        </w:rPr>
        <w:t xml:space="preserve">Biomed Res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2017</w:t>
      </w:r>
      <w:r w:rsidRPr="00F469F1">
        <w:rPr>
          <w:rFonts w:ascii="Book Antiqua" w:eastAsia="Book Antiqua" w:hAnsi="Book Antiqua" w:cs="Book Antiqua"/>
          <w:color w:val="000000"/>
          <w:sz w:val="24"/>
          <w:szCs w:val="24"/>
        </w:rPr>
        <w:t>: 3142926 [PMID: 28168196 DOI: 10.1155/2017/3142926]</w:t>
      </w:r>
    </w:p>
    <w:p w14:paraId="1860269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23 </w:t>
      </w:r>
      <w:r w:rsidRPr="00F469F1">
        <w:rPr>
          <w:rFonts w:ascii="Book Antiqua" w:eastAsia="Book Antiqua" w:hAnsi="Book Antiqua" w:cs="Book Antiqua"/>
          <w:b/>
          <w:bCs/>
          <w:color w:val="000000"/>
          <w:sz w:val="24"/>
          <w:szCs w:val="24"/>
        </w:rPr>
        <w:t>Zhang L</w:t>
      </w:r>
      <w:r w:rsidRPr="00F469F1">
        <w:rPr>
          <w:rFonts w:ascii="Book Antiqua" w:eastAsia="Book Antiqua" w:hAnsi="Book Antiqua" w:cs="Book Antiqua"/>
          <w:color w:val="000000"/>
          <w:sz w:val="24"/>
          <w:szCs w:val="24"/>
        </w:rPr>
        <w:t xml:space="preserve">, Miao R, Zhang X, Chen W, Zhou Y, Wang R, Zhang R, Pang Q, Xu X, Liu C. Exploring the diagnosis markers for gallbladder cancer based on clinical data. </w:t>
      </w:r>
      <w:r w:rsidRPr="00F469F1">
        <w:rPr>
          <w:rFonts w:ascii="Book Antiqua" w:eastAsia="Book Antiqua" w:hAnsi="Book Antiqua" w:cs="Book Antiqua"/>
          <w:i/>
          <w:iCs/>
          <w:color w:val="000000"/>
          <w:sz w:val="24"/>
          <w:szCs w:val="24"/>
        </w:rPr>
        <w:t>Front Med</w:t>
      </w:r>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9</w:t>
      </w:r>
      <w:r w:rsidRPr="00F469F1">
        <w:rPr>
          <w:rFonts w:ascii="Book Antiqua" w:eastAsia="Book Antiqua" w:hAnsi="Book Antiqua" w:cs="Book Antiqua"/>
          <w:color w:val="000000"/>
          <w:sz w:val="24"/>
          <w:szCs w:val="24"/>
        </w:rPr>
        <w:t>: 350-355 [PMID: 26177708 DOI: 10.1007/s11684-015-0402-2]</w:t>
      </w:r>
    </w:p>
    <w:p w14:paraId="3BB44E23"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24 </w:t>
      </w:r>
      <w:r w:rsidRPr="00F469F1">
        <w:rPr>
          <w:rFonts w:ascii="Book Antiqua" w:eastAsia="Book Antiqua" w:hAnsi="Book Antiqua" w:cs="Book Antiqua"/>
          <w:b/>
          <w:bCs/>
          <w:color w:val="000000"/>
          <w:sz w:val="24"/>
          <w:szCs w:val="24"/>
        </w:rPr>
        <w:t>Gay LJ</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Felding-Habermann</w:t>
      </w:r>
      <w:proofErr w:type="spellEnd"/>
      <w:r w:rsidRPr="00F469F1">
        <w:rPr>
          <w:rFonts w:ascii="Book Antiqua" w:eastAsia="Book Antiqua" w:hAnsi="Book Antiqua" w:cs="Book Antiqua"/>
          <w:color w:val="000000"/>
          <w:sz w:val="24"/>
          <w:szCs w:val="24"/>
        </w:rPr>
        <w:t xml:space="preserve"> B. Contribution of platelets to </w:t>
      </w:r>
      <w:proofErr w:type="spellStart"/>
      <w:r w:rsidRPr="00F469F1">
        <w:rPr>
          <w:rFonts w:ascii="Book Antiqua" w:eastAsia="Book Antiqua" w:hAnsi="Book Antiqua" w:cs="Book Antiqua"/>
          <w:color w:val="000000"/>
          <w:sz w:val="24"/>
          <w:szCs w:val="24"/>
        </w:rPr>
        <w:t>tumour</w:t>
      </w:r>
      <w:proofErr w:type="spellEnd"/>
      <w:r w:rsidRPr="00F469F1">
        <w:rPr>
          <w:rFonts w:ascii="Book Antiqua" w:eastAsia="Book Antiqua" w:hAnsi="Book Antiqua" w:cs="Book Antiqua"/>
          <w:color w:val="000000"/>
          <w:sz w:val="24"/>
          <w:szCs w:val="24"/>
        </w:rPr>
        <w:t xml:space="preserve"> metastasis. </w:t>
      </w:r>
      <w:r w:rsidRPr="00F469F1">
        <w:rPr>
          <w:rFonts w:ascii="Book Antiqua" w:eastAsia="Book Antiqua" w:hAnsi="Book Antiqua" w:cs="Book Antiqua"/>
          <w:i/>
          <w:iCs/>
          <w:color w:val="000000"/>
          <w:sz w:val="24"/>
          <w:szCs w:val="24"/>
        </w:rPr>
        <w:t>Nat Rev Cancer</w:t>
      </w:r>
      <w:r w:rsidRPr="00F469F1">
        <w:rPr>
          <w:rFonts w:ascii="Book Antiqua" w:eastAsia="Book Antiqua" w:hAnsi="Book Antiqua" w:cs="Book Antiqua"/>
          <w:color w:val="000000"/>
          <w:sz w:val="24"/>
          <w:szCs w:val="24"/>
        </w:rPr>
        <w:t xml:space="preserve"> 2011; </w:t>
      </w:r>
      <w:r w:rsidRPr="00F469F1">
        <w:rPr>
          <w:rFonts w:ascii="Book Antiqua" w:eastAsia="Book Antiqua" w:hAnsi="Book Antiqua" w:cs="Book Antiqua"/>
          <w:b/>
          <w:bCs/>
          <w:color w:val="000000"/>
          <w:sz w:val="24"/>
          <w:szCs w:val="24"/>
        </w:rPr>
        <w:t>11</w:t>
      </w:r>
      <w:r w:rsidRPr="00F469F1">
        <w:rPr>
          <w:rFonts w:ascii="Book Antiqua" w:eastAsia="Book Antiqua" w:hAnsi="Book Antiqua" w:cs="Book Antiqua"/>
          <w:color w:val="000000"/>
          <w:sz w:val="24"/>
          <w:szCs w:val="24"/>
        </w:rPr>
        <w:t xml:space="preserve">: 123-134 [PMID: 21258396 DOI: </w:t>
      </w:r>
      <w:r w:rsidRPr="00F469F1">
        <w:rPr>
          <w:rFonts w:ascii="Book Antiqua" w:eastAsia="Book Antiqua" w:hAnsi="Book Antiqua" w:cs="Book Antiqua"/>
          <w:color w:val="000000"/>
          <w:sz w:val="24"/>
          <w:szCs w:val="24"/>
        </w:rPr>
        <w:lastRenderedPageBreak/>
        <w:t>10.1038/nrc3004]</w:t>
      </w:r>
    </w:p>
    <w:p w14:paraId="0F2656C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25 </w:t>
      </w:r>
      <w:r w:rsidRPr="00F469F1">
        <w:rPr>
          <w:rFonts w:ascii="Book Antiqua" w:eastAsia="Book Antiqua" w:hAnsi="Book Antiqua" w:cs="Book Antiqua"/>
          <w:b/>
          <w:bCs/>
          <w:color w:val="000000"/>
          <w:sz w:val="24"/>
          <w:szCs w:val="24"/>
        </w:rPr>
        <w:t>Takagi S</w:t>
      </w:r>
      <w:r w:rsidRPr="00F469F1">
        <w:rPr>
          <w:rFonts w:ascii="Book Antiqua" w:eastAsia="Book Antiqua" w:hAnsi="Book Antiqua" w:cs="Book Antiqua"/>
          <w:color w:val="000000"/>
          <w:sz w:val="24"/>
          <w:szCs w:val="24"/>
        </w:rPr>
        <w:t xml:space="preserve">, Sato S, Oh-hara T, </w:t>
      </w:r>
      <w:proofErr w:type="spellStart"/>
      <w:r w:rsidRPr="00F469F1">
        <w:rPr>
          <w:rFonts w:ascii="Book Antiqua" w:eastAsia="Book Antiqua" w:hAnsi="Book Antiqua" w:cs="Book Antiqua"/>
          <w:color w:val="000000"/>
          <w:sz w:val="24"/>
          <w:szCs w:val="24"/>
        </w:rPr>
        <w:t>Takami</w:t>
      </w:r>
      <w:proofErr w:type="spellEnd"/>
      <w:r w:rsidRPr="00F469F1">
        <w:rPr>
          <w:rFonts w:ascii="Book Antiqua" w:eastAsia="Book Antiqua" w:hAnsi="Book Antiqua" w:cs="Book Antiqua"/>
          <w:color w:val="000000"/>
          <w:sz w:val="24"/>
          <w:szCs w:val="24"/>
        </w:rPr>
        <w:t xml:space="preserve"> M, Koike S, </w:t>
      </w:r>
      <w:proofErr w:type="spellStart"/>
      <w:r w:rsidRPr="00F469F1">
        <w:rPr>
          <w:rFonts w:ascii="Book Antiqua" w:eastAsia="Book Antiqua" w:hAnsi="Book Antiqua" w:cs="Book Antiqua"/>
          <w:color w:val="000000"/>
          <w:sz w:val="24"/>
          <w:szCs w:val="24"/>
        </w:rPr>
        <w:t>Mishima</w:t>
      </w:r>
      <w:proofErr w:type="spellEnd"/>
      <w:r w:rsidRPr="00F469F1">
        <w:rPr>
          <w:rFonts w:ascii="Book Antiqua" w:eastAsia="Book Antiqua" w:hAnsi="Book Antiqua" w:cs="Book Antiqua"/>
          <w:color w:val="000000"/>
          <w:sz w:val="24"/>
          <w:szCs w:val="24"/>
        </w:rPr>
        <w:t xml:space="preserve"> Y, </w:t>
      </w:r>
      <w:proofErr w:type="spellStart"/>
      <w:r w:rsidRPr="00F469F1">
        <w:rPr>
          <w:rFonts w:ascii="Book Antiqua" w:eastAsia="Book Antiqua" w:hAnsi="Book Antiqua" w:cs="Book Antiqua"/>
          <w:color w:val="000000"/>
          <w:sz w:val="24"/>
          <w:szCs w:val="24"/>
        </w:rPr>
        <w:t>Hatake</w:t>
      </w:r>
      <w:proofErr w:type="spellEnd"/>
      <w:r w:rsidRPr="00F469F1">
        <w:rPr>
          <w:rFonts w:ascii="Book Antiqua" w:eastAsia="Book Antiqua" w:hAnsi="Book Antiqua" w:cs="Book Antiqua"/>
          <w:color w:val="000000"/>
          <w:sz w:val="24"/>
          <w:szCs w:val="24"/>
        </w:rPr>
        <w:t xml:space="preserve"> K, Fujita N. Platelets promote tumor growth and metastasis via direct interaction between </w:t>
      </w:r>
      <w:proofErr w:type="spellStart"/>
      <w:r w:rsidRPr="00F469F1">
        <w:rPr>
          <w:rFonts w:ascii="Book Antiqua" w:eastAsia="Book Antiqua" w:hAnsi="Book Antiqua" w:cs="Book Antiqua"/>
          <w:color w:val="000000"/>
          <w:sz w:val="24"/>
          <w:szCs w:val="24"/>
        </w:rPr>
        <w:t>Aggrus</w:t>
      </w:r>
      <w:proofErr w:type="spellEnd"/>
      <w:r w:rsidRPr="00F469F1">
        <w:rPr>
          <w:rFonts w:ascii="Book Antiqua" w:eastAsia="Book Antiqua" w:hAnsi="Book Antiqua" w:cs="Book Antiqua"/>
          <w:color w:val="000000"/>
          <w:sz w:val="24"/>
          <w:szCs w:val="24"/>
        </w:rPr>
        <w:t>/</w:t>
      </w:r>
      <w:proofErr w:type="spellStart"/>
      <w:r w:rsidRPr="00F469F1">
        <w:rPr>
          <w:rFonts w:ascii="Book Antiqua" w:eastAsia="Book Antiqua" w:hAnsi="Book Antiqua" w:cs="Book Antiqua"/>
          <w:color w:val="000000"/>
          <w:sz w:val="24"/>
          <w:szCs w:val="24"/>
        </w:rPr>
        <w:t>podoplanin</w:t>
      </w:r>
      <w:proofErr w:type="spellEnd"/>
      <w:r w:rsidRPr="00F469F1">
        <w:rPr>
          <w:rFonts w:ascii="Book Antiqua" w:eastAsia="Book Antiqua" w:hAnsi="Book Antiqua" w:cs="Book Antiqua"/>
          <w:color w:val="000000"/>
          <w:sz w:val="24"/>
          <w:szCs w:val="24"/>
        </w:rPr>
        <w:t xml:space="preserve"> and CLEC-2. </w:t>
      </w:r>
      <w:proofErr w:type="spellStart"/>
      <w:r w:rsidRPr="00F469F1">
        <w:rPr>
          <w:rFonts w:ascii="Book Antiqua" w:eastAsia="Book Antiqua" w:hAnsi="Book Antiqua" w:cs="Book Antiqua"/>
          <w:i/>
          <w:iCs/>
          <w:color w:val="000000"/>
          <w:sz w:val="24"/>
          <w:szCs w:val="24"/>
        </w:rPr>
        <w:t>PLoS</w:t>
      </w:r>
      <w:proofErr w:type="spellEnd"/>
      <w:r w:rsidRPr="00F469F1">
        <w:rPr>
          <w:rFonts w:ascii="Book Antiqua" w:eastAsia="Book Antiqua" w:hAnsi="Book Antiqua" w:cs="Book Antiqua"/>
          <w:i/>
          <w:iCs/>
          <w:color w:val="000000"/>
          <w:sz w:val="24"/>
          <w:szCs w:val="24"/>
        </w:rPr>
        <w:t xml:space="preserve"> One</w:t>
      </w:r>
      <w:r w:rsidRPr="00F469F1">
        <w:rPr>
          <w:rFonts w:ascii="Book Antiqua" w:eastAsia="Book Antiqua" w:hAnsi="Book Antiqua" w:cs="Book Antiqua"/>
          <w:color w:val="000000"/>
          <w:sz w:val="24"/>
          <w:szCs w:val="24"/>
        </w:rPr>
        <w:t xml:space="preserve"> 2013;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e73609 [PMID: 23991201 DOI: 10.1371/journal.pone.0073609]</w:t>
      </w:r>
    </w:p>
    <w:p w14:paraId="4CDCD84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26 </w:t>
      </w:r>
      <w:r w:rsidRPr="00F469F1">
        <w:rPr>
          <w:rFonts w:ascii="Book Antiqua" w:eastAsia="Book Antiqua" w:hAnsi="Book Antiqua" w:cs="Book Antiqua"/>
          <w:b/>
          <w:bCs/>
          <w:color w:val="000000"/>
          <w:sz w:val="24"/>
          <w:szCs w:val="24"/>
        </w:rPr>
        <w:t>Cho MS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Bottsford</w:t>
      </w:r>
      <w:proofErr w:type="spellEnd"/>
      <w:r w:rsidRPr="00F469F1">
        <w:rPr>
          <w:rFonts w:ascii="Book Antiqua" w:eastAsia="Book Antiqua" w:hAnsi="Book Antiqua" w:cs="Book Antiqua"/>
          <w:color w:val="000000"/>
          <w:sz w:val="24"/>
          <w:szCs w:val="24"/>
        </w:rPr>
        <w:t xml:space="preserve">-Miller J, Vasquez HG, Stone R, </w:t>
      </w:r>
      <w:proofErr w:type="spellStart"/>
      <w:r w:rsidRPr="00F469F1">
        <w:rPr>
          <w:rFonts w:ascii="Book Antiqua" w:eastAsia="Book Antiqua" w:hAnsi="Book Antiqua" w:cs="Book Antiqua"/>
          <w:color w:val="000000"/>
          <w:sz w:val="24"/>
          <w:szCs w:val="24"/>
        </w:rPr>
        <w:t>Zand</w:t>
      </w:r>
      <w:proofErr w:type="spellEnd"/>
      <w:r w:rsidRPr="00F469F1">
        <w:rPr>
          <w:rFonts w:ascii="Book Antiqua" w:eastAsia="Book Antiqua" w:hAnsi="Book Antiqua" w:cs="Book Antiqua"/>
          <w:color w:val="000000"/>
          <w:sz w:val="24"/>
          <w:szCs w:val="24"/>
        </w:rPr>
        <w:t xml:space="preserve"> B, Kroll MH, </w:t>
      </w:r>
      <w:proofErr w:type="spellStart"/>
      <w:r w:rsidRPr="00F469F1">
        <w:rPr>
          <w:rFonts w:ascii="Book Antiqua" w:eastAsia="Book Antiqua" w:hAnsi="Book Antiqua" w:cs="Book Antiqua"/>
          <w:color w:val="000000"/>
          <w:sz w:val="24"/>
          <w:szCs w:val="24"/>
        </w:rPr>
        <w:t>Sood</w:t>
      </w:r>
      <w:proofErr w:type="spellEnd"/>
      <w:r w:rsidRPr="00F469F1">
        <w:rPr>
          <w:rFonts w:ascii="Book Antiqua" w:eastAsia="Book Antiqua" w:hAnsi="Book Antiqua" w:cs="Book Antiqua"/>
          <w:color w:val="000000"/>
          <w:sz w:val="24"/>
          <w:szCs w:val="24"/>
        </w:rPr>
        <w:t xml:space="preserve"> AK, </w:t>
      </w:r>
      <w:proofErr w:type="spellStart"/>
      <w:r w:rsidRPr="00F469F1">
        <w:rPr>
          <w:rFonts w:ascii="Book Antiqua" w:eastAsia="Book Antiqua" w:hAnsi="Book Antiqua" w:cs="Book Antiqua"/>
          <w:color w:val="000000"/>
          <w:sz w:val="24"/>
          <w:szCs w:val="24"/>
        </w:rPr>
        <w:t>Afshar-Kharghan</w:t>
      </w:r>
      <w:proofErr w:type="spellEnd"/>
      <w:r w:rsidRPr="00F469F1">
        <w:rPr>
          <w:rFonts w:ascii="Book Antiqua" w:eastAsia="Book Antiqua" w:hAnsi="Book Antiqua" w:cs="Book Antiqua"/>
          <w:color w:val="000000"/>
          <w:sz w:val="24"/>
          <w:szCs w:val="24"/>
        </w:rPr>
        <w:t xml:space="preserve"> V. Platelets increase the proliferation of ovarian cancer cells. </w:t>
      </w:r>
      <w:r w:rsidRPr="00F469F1">
        <w:rPr>
          <w:rFonts w:ascii="Book Antiqua" w:eastAsia="Book Antiqua" w:hAnsi="Book Antiqua" w:cs="Book Antiqua"/>
          <w:i/>
          <w:iCs/>
          <w:color w:val="000000"/>
          <w:sz w:val="24"/>
          <w:szCs w:val="24"/>
        </w:rPr>
        <w:t>Blood</w:t>
      </w:r>
      <w:r w:rsidRPr="00F469F1">
        <w:rPr>
          <w:rFonts w:ascii="Book Antiqua" w:eastAsia="Book Antiqua" w:hAnsi="Book Antiqua" w:cs="Book Antiqua"/>
          <w:color w:val="000000"/>
          <w:sz w:val="24"/>
          <w:szCs w:val="24"/>
        </w:rPr>
        <w:t xml:space="preserve"> 2012; </w:t>
      </w:r>
      <w:r w:rsidRPr="00F469F1">
        <w:rPr>
          <w:rFonts w:ascii="Book Antiqua" w:eastAsia="Book Antiqua" w:hAnsi="Book Antiqua" w:cs="Book Antiqua"/>
          <w:b/>
          <w:bCs/>
          <w:color w:val="000000"/>
          <w:sz w:val="24"/>
          <w:szCs w:val="24"/>
        </w:rPr>
        <w:t>120</w:t>
      </w:r>
      <w:r w:rsidRPr="00F469F1">
        <w:rPr>
          <w:rFonts w:ascii="Book Antiqua" w:eastAsia="Book Antiqua" w:hAnsi="Book Antiqua" w:cs="Book Antiqua"/>
          <w:color w:val="000000"/>
          <w:sz w:val="24"/>
          <w:szCs w:val="24"/>
        </w:rPr>
        <w:t>: 4869-4872 [PMID: 22966171 DOI: 10.1182/blood-2012-06-438598]</w:t>
      </w:r>
    </w:p>
    <w:p w14:paraId="4F611106"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27 </w:t>
      </w:r>
      <w:r w:rsidRPr="00F469F1">
        <w:rPr>
          <w:rFonts w:ascii="Book Antiqua" w:eastAsia="Book Antiqua" w:hAnsi="Book Antiqua" w:cs="Book Antiqua"/>
          <w:b/>
          <w:bCs/>
          <w:color w:val="000000"/>
          <w:sz w:val="24"/>
          <w:szCs w:val="24"/>
        </w:rPr>
        <w:t>Andrade SS</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Sumikawa</w:t>
      </w:r>
      <w:proofErr w:type="spellEnd"/>
      <w:r w:rsidRPr="00F469F1">
        <w:rPr>
          <w:rFonts w:ascii="Book Antiqua" w:eastAsia="Book Antiqua" w:hAnsi="Book Antiqua" w:cs="Book Antiqua"/>
          <w:color w:val="000000"/>
          <w:sz w:val="24"/>
          <w:szCs w:val="24"/>
        </w:rPr>
        <w:t xml:space="preserve"> JT, Castro ED, Batista FP, Paredes-</w:t>
      </w:r>
      <w:proofErr w:type="spellStart"/>
      <w:r w:rsidRPr="00F469F1">
        <w:rPr>
          <w:rFonts w:ascii="Book Antiqua" w:eastAsia="Book Antiqua" w:hAnsi="Book Antiqua" w:cs="Book Antiqua"/>
          <w:color w:val="000000"/>
          <w:sz w:val="24"/>
          <w:szCs w:val="24"/>
        </w:rPr>
        <w:t>Gamero</w:t>
      </w:r>
      <w:proofErr w:type="spellEnd"/>
      <w:r w:rsidRPr="00F469F1">
        <w:rPr>
          <w:rFonts w:ascii="Book Antiqua" w:eastAsia="Book Antiqua" w:hAnsi="Book Antiqua" w:cs="Book Antiqua"/>
          <w:color w:val="000000"/>
          <w:sz w:val="24"/>
          <w:szCs w:val="24"/>
        </w:rPr>
        <w:t xml:space="preserve"> E, Oliveira LC, Guerra IM, Peres GB, </w:t>
      </w:r>
      <w:proofErr w:type="spellStart"/>
      <w:r w:rsidRPr="00F469F1">
        <w:rPr>
          <w:rFonts w:ascii="Book Antiqua" w:eastAsia="Book Antiqua" w:hAnsi="Book Antiqua" w:cs="Book Antiqua"/>
          <w:color w:val="000000"/>
          <w:sz w:val="24"/>
          <w:szCs w:val="24"/>
        </w:rPr>
        <w:t>Cavalheiro</w:t>
      </w:r>
      <w:proofErr w:type="spellEnd"/>
      <w:r w:rsidRPr="00F469F1">
        <w:rPr>
          <w:rFonts w:ascii="Book Antiqua" w:eastAsia="Book Antiqua" w:hAnsi="Book Antiqua" w:cs="Book Antiqua"/>
          <w:color w:val="000000"/>
          <w:sz w:val="24"/>
          <w:szCs w:val="24"/>
        </w:rPr>
        <w:t xml:space="preserve"> RP, </w:t>
      </w:r>
      <w:proofErr w:type="spellStart"/>
      <w:r w:rsidRPr="00F469F1">
        <w:rPr>
          <w:rFonts w:ascii="Book Antiqua" w:eastAsia="Book Antiqua" w:hAnsi="Book Antiqua" w:cs="Book Antiqua"/>
          <w:color w:val="000000"/>
          <w:sz w:val="24"/>
          <w:szCs w:val="24"/>
        </w:rPr>
        <w:t>Juliano</w:t>
      </w:r>
      <w:proofErr w:type="spellEnd"/>
      <w:r w:rsidRPr="00F469F1">
        <w:rPr>
          <w:rFonts w:ascii="Book Antiqua" w:eastAsia="Book Antiqua" w:hAnsi="Book Antiqua" w:cs="Book Antiqua"/>
          <w:color w:val="000000"/>
          <w:sz w:val="24"/>
          <w:szCs w:val="24"/>
        </w:rPr>
        <w:t xml:space="preserve"> L, </w:t>
      </w:r>
      <w:proofErr w:type="spellStart"/>
      <w:r w:rsidRPr="00F469F1">
        <w:rPr>
          <w:rFonts w:ascii="Book Antiqua" w:eastAsia="Book Antiqua" w:hAnsi="Book Antiqua" w:cs="Book Antiqua"/>
          <w:color w:val="000000"/>
          <w:sz w:val="24"/>
          <w:szCs w:val="24"/>
        </w:rPr>
        <w:t>Nazário</w:t>
      </w:r>
      <w:proofErr w:type="spellEnd"/>
      <w:r w:rsidRPr="00F469F1">
        <w:rPr>
          <w:rFonts w:ascii="Book Antiqua" w:eastAsia="Book Antiqua" w:hAnsi="Book Antiqua" w:cs="Book Antiqua"/>
          <w:color w:val="000000"/>
          <w:sz w:val="24"/>
          <w:szCs w:val="24"/>
        </w:rPr>
        <w:t xml:space="preserve"> AP, </w:t>
      </w:r>
      <w:proofErr w:type="spellStart"/>
      <w:r w:rsidRPr="00F469F1">
        <w:rPr>
          <w:rFonts w:ascii="Book Antiqua" w:eastAsia="Book Antiqua" w:hAnsi="Book Antiqua" w:cs="Book Antiqua"/>
          <w:color w:val="000000"/>
          <w:sz w:val="24"/>
          <w:szCs w:val="24"/>
        </w:rPr>
        <w:t>Facina</w:t>
      </w:r>
      <w:proofErr w:type="spellEnd"/>
      <w:r w:rsidRPr="00F469F1">
        <w:rPr>
          <w:rFonts w:ascii="Book Antiqua" w:eastAsia="Book Antiqua" w:hAnsi="Book Antiqua" w:cs="Book Antiqua"/>
          <w:color w:val="000000"/>
          <w:sz w:val="24"/>
          <w:szCs w:val="24"/>
        </w:rPr>
        <w:t xml:space="preserve"> G, Tsai SM, Oliva ML, </w:t>
      </w:r>
      <w:proofErr w:type="spellStart"/>
      <w:r w:rsidRPr="00F469F1">
        <w:rPr>
          <w:rFonts w:ascii="Book Antiqua" w:eastAsia="Book Antiqua" w:hAnsi="Book Antiqua" w:cs="Book Antiqua"/>
          <w:color w:val="000000"/>
          <w:sz w:val="24"/>
          <w:szCs w:val="24"/>
        </w:rPr>
        <w:t>Girão</w:t>
      </w:r>
      <w:proofErr w:type="spellEnd"/>
      <w:r w:rsidRPr="00F469F1">
        <w:rPr>
          <w:rFonts w:ascii="Book Antiqua" w:eastAsia="Book Antiqua" w:hAnsi="Book Antiqua" w:cs="Book Antiqua"/>
          <w:color w:val="000000"/>
          <w:sz w:val="24"/>
          <w:szCs w:val="24"/>
        </w:rPr>
        <w:t xml:space="preserve"> MJ. Interface between breast cancer cells and the tumor microenvironment using platelet-rich plasma to promote tumor angiogenesis - influence of platelets and fibrin bundles on the behavior of breast tumor cells. </w:t>
      </w:r>
      <w:proofErr w:type="spellStart"/>
      <w:r w:rsidRPr="00F469F1">
        <w:rPr>
          <w:rFonts w:ascii="Book Antiqua" w:eastAsia="Book Antiqua" w:hAnsi="Book Antiqua" w:cs="Book Antiqua"/>
          <w:i/>
          <w:iCs/>
          <w:color w:val="000000"/>
          <w:sz w:val="24"/>
          <w:szCs w:val="24"/>
        </w:rPr>
        <w:t>Oncotarget</w:t>
      </w:r>
      <w:proofErr w:type="spellEnd"/>
      <w:r w:rsidRPr="00F469F1">
        <w:rPr>
          <w:rFonts w:ascii="Book Antiqua" w:eastAsia="Book Antiqua" w:hAnsi="Book Antiqua" w:cs="Book Antiqua"/>
          <w:color w:val="000000"/>
          <w:sz w:val="24"/>
          <w:szCs w:val="24"/>
        </w:rPr>
        <w:t xml:space="preserve"> 2017;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16851-16874 [PMID: 28187434 DOI: 10.18632/oncotarget.15170]</w:t>
      </w:r>
    </w:p>
    <w:p w14:paraId="59D7041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28 </w:t>
      </w:r>
      <w:r w:rsidRPr="00F469F1">
        <w:rPr>
          <w:rFonts w:ascii="Book Antiqua" w:eastAsia="Book Antiqua" w:hAnsi="Book Antiqua" w:cs="Book Antiqua"/>
          <w:b/>
          <w:bCs/>
          <w:color w:val="000000"/>
          <w:sz w:val="24"/>
          <w:szCs w:val="24"/>
        </w:rPr>
        <w:t>Li AJ</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Karlan</w:t>
      </w:r>
      <w:proofErr w:type="spellEnd"/>
      <w:r w:rsidRPr="00F469F1">
        <w:rPr>
          <w:rFonts w:ascii="Book Antiqua" w:eastAsia="Book Antiqua" w:hAnsi="Book Antiqua" w:cs="Book Antiqua"/>
          <w:color w:val="000000"/>
          <w:sz w:val="24"/>
          <w:szCs w:val="24"/>
        </w:rPr>
        <w:t xml:space="preserve"> BY. Androgen mediation of thrombocytosis in epithelial ovarian cancer biology.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Cancer Res</w:t>
      </w:r>
      <w:r w:rsidRPr="00F469F1">
        <w:rPr>
          <w:rFonts w:ascii="Book Antiqua" w:eastAsia="Book Antiqua" w:hAnsi="Book Antiqua" w:cs="Book Antiqua"/>
          <w:color w:val="000000"/>
          <w:sz w:val="24"/>
          <w:szCs w:val="24"/>
        </w:rPr>
        <w:t xml:space="preserve"> 2005; </w:t>
      </w:r>
      <w:r w:rsidRPr="00F469F1">
        <w:rPr>
          <w:rFonts w:ascii="Book Antiqua" w:eastAsia="Book Antiqua" w:hAnsi="Book Antiqua" w:cs="Book Antiqua"/>
          <w:b/>
          <w:bCs/>
          <w:color w:val="000000"/>
          <w:sz w:val="24"/>
          <w:szCs w:val="24"/>
        </w:rPr>
        <w:t>11</w:t>
      </w:r>
      <w:r w:rsidRPr="00F469F1">
        <w:rPr>
          <w:rFonts w:ascii="Book Antiqua" w:eastAsia="Book Antiqua" w:hAnsi="Book Antiqua" w:cs="Book Antiqua"/>
          <w:color w:val="000000"/>
          <w:sz w:val="24"/>
          <w:szCs w:val="24"/>
        </w:rPr>
        <w:t>: 8015-8018 [PMID: 16299230 DOI: 10.1158/1078-0432.CCR-05-1058]</w:t>
      </w:r>
    </w:p>
    <w:p w14:paraId="28C502A8"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29 </w:t>
      </w:r>
      <w:r w:rsidRPr="00F469F1">
        <w:rPr>
          <w:rFonts w:ascii="Book Antiqua" w:eastAsia="Book Antiqua" w:hAnsi="Book Antiqua" w:cs="Book Antiqua"/>
          <w:b/>
          <w:bCs/>
          <w:color w:val="000000"/>
          <w:sz w:val="24"/>
          <w:szCs w:val="24"/>
        </w:rPr>
        <w:t>Wang SJ</w:t>
      </w:r>
      <w:r w:rsidRPr="00F469F1">
        <w:rPr>
          <w:rFonts w:ascii="Book Antiqua" w:eastAsia="Book Antiqua" w:hAnsi="Book Antiqua" w:cs="Book Antiqua"/>
          <w:color w:val="000000"/>
          <w:sz w:val="24"/>
          <w:szCs w:val="24"/>
        </w:rPr>
        <w:t xml:space="preserve">, Fuller CD, Kim JS, </w:t>
      </w:r>
      <w:proofErr w:type="spellStart"/>
      <w:r w:rsidRPr="00F469F1">
        <w:rPr>
          <w:rFonts w:ascii="Book Antiqua" w:eastAsia="Book Antiqua" w:hAnsi="Book Antiqua" w:cs="Book Antiqua"/>
          <w:color w:val="000000"/>
          <w:sz w:val="24"/>
          <w:szCs w:val="24"/>
        </w:rPr>
        <w:t>Sittig</w:t>
      </w:r>
      <w:proofErr w:type="spellEnd"/>
      <w:r w:rsidRPr="00F469F1">
        <w:rPr>
          <w:rFonts w:ascii="Book Antiqua" w:eastAsia="Book Antiqua" w:hAnsi="Book Antiqua" w:cs="Book Antiqua"/>
          <w:color w:val="000000"/>
          <w:sz w:val="24"/>
          <w:szCs w:val="24"/>
        </w:rPr>
        <w:t xml:space="preserve"> DF, Thomas CR Jr, </w:t>
      </w:r>
      <w:proofErr w:type="spellStart"/>
      <w:r w:rsidRPr="00F469F1">
        <w:rPr>
          <w:rFonts w:ascii="Book Antiqua" w:eastAsia="Book Antiqua" w:hAnsi="Book Antiqua" w:cs="Book Antiqua"/>
          <w:color w:val="000000"/>
          <w:sz w:val="24"/>
          <w:szCs w:val="24"/>
        </w:rPr>
        <w:t>Ravdin</w:t>
      </w:r>
      <w:proofErr w:type="spellEnd"/>
      <w:r w:rsidRPr="00F469F1">
        <w:rPr>
          <w:rFonts w:ascii="Book Antiqua" w:eastAsia="Book Antiqua" w:hAnsi="Book Antiqua" w:cs="Book Antiqua"/>
          <w:color w:val="000000"/>
          <w:sz w:val="24"/>
          <w:szCs w:val="24"/>
        </w:rPr>
        <w:t xml:space="preserve"> PM. Prediction model for estimating the survival benefit of adjuvant radiotherapy for gallbladder cancer.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Clin</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Oncol</w:t>
      </w:r>
      <w:proofErr w:type="spellEnd"/>
      <w:r w:rsidRPr="00F469F1">
        <w:rPr>
          <w:rFonts w:ascii="Book Antiqua" w:eastAsia="Book Antiqua" w:hAnsi="Book Antiqua" w:cs="Book Antiqua"/>
          <w:color w:val="000000"/>
          <w:sz w:val="24"/>
          <w:szCs w:val="24"/>
        </w:rPr>
        <w:t xml:space="preserve"> 2008; </w:t>
      </w:r>
      <w:r w:rsidRPr="00F469F1">
        <w:rPr>
          <w:rFonts w:ascii="Book Antiqua" w:eastAsia="Book Antiqua" w:hAnsi="Book Antiqua" w:cs="Book Antiqua"/>
          <w:b/>
          <w:bCs/>
          <w:color w:val="000000"/>
          <w:sz w:val="24"/>
          <w:szCs w:val="24"/>
        </w:rPr>
        <w:t>26</w:t>
      </w:r>
      <w:r w:rsidRPr="00F469F1">
        <w:rPr>
          <w:rFonts w:ascii="Book Antiqua" w:eastAsia="Book Antiqua" w:hAnsi="Book Antiqua" w:cs="Book Antiqua"/>
          <w:color w:val="000000"/>
          <w:sz w:val="24"/>
          <w:szCs w:val="24"/>
        </w:rPr>
        <w:t>: 2112-2117 [PMID: 18378567 DOI: 10.1200/JCO.2007.14.7934]</w:t>
      </w:r>
    </w:p>
    <w:p w14:paraId="2903BD20"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30 </w:t>
      </w:r>
      <w:r w:rsidRPr="00F469F1">
        <w:rPr>
          <w:rFonts w:ascii="Book Antiqua" w:eastAsia="Book Antiqua" w:hAnsi="Book Antiqua" w:cs="Book Antiqua"/>
          <w:b/>
          <w:bCs/>
          <w:color w:val="000000"/>
          <w:sz w:val="24"/>
          <w:szCs w:val="24"/>
        </w:rPr>
        <w:t>Zhou D</w:t>
      </w:r>
      <w:r w:rsidRPr="00F469F1">
        <w:rPr>
          <w:rFonts w:ascii="Book Antiqua" w:eastAsia="Book Antiqua" w:hAnsi="Book Antiqua" w:cs="Book Antiqua"/>
          <w:color w:val="000000"/>
          <w:sz w:val="24"/>
          <w:szCs w:val="24"/>
        </w:rPr>
        <w:t xml:space="preserve">, Wang JD, Yang Y, Yu WL, Zhang YJ, </w:t>
      </w:r>
      <w:proofErr w:type="spellStart"/>
      <w:r w:rsidRPr="00F469F1">
        <w:rPr>
          <w:rFonts w:ascii="Book Antiqua" w:eastAsia="Book Antiqua" w:hAnsi="Book Antiqua" w:cs="Book Antiqua"/>
          <w:color w:val="000000"/>
          <w:sz w:val="24"/>
          <w:szCs w:val="24"/>
        </w:rPr>
        <w:t>Quan</w:t>
      </w:r>
      <w:proofErr w:type="spellEnd"/>
      <w:r w:rsidRPr="00F469F1">
        <w:rPr>
          <w:rFonts w:ascii="Book Antiqua" w:eastAsia="Book Antiqua" w:hAnsi="Book Antiqua" w:cs="Book Antiqua"/>
          <w:color w:val="000000"/>
          <w:sz w:val="24"/>
          <w:szCs w:val="24"/>
        </w:rPr>
        <w:t xml:space="preserve"> ZW. Individualized nomogram improves diagnostic accuracy of stage I-II gallbladder cancer in chronic cholecystitis patients with gallbladder wall thickening.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Pancreat</w:t>
      </w:r>
      <w:proofErr w:type="spellEnd"/>
      <w:r w:rsidRPr="00F469F1">
        <w:rPr>
          <w:rFonts w:ascii="Book Antiqua" w:eastAsia="Book Antiqua" w:hAnsi="Book Antiqua" w:cs="Book Antiqua"/>
          <w:i/>
          <w:iCs/>
          <w:color w:val="000000"/>
          <w:sz w:val="24"/>
          <w:szCs w:val="24"/>
        </w:rPr>
        <w:t xml:space="preserve"> Dis </w:t>
      </w:r>
      <w:proofErr w:type="spellStart"/>
      <w:r w:rsidRPr="00F469F1">
        <w:rPr>
          <w:rFonts w:ascii="Book Antiqua" w:eastAsia="Book Antiqua" w:hAnsi="Book Antiqua" w:cs="Book Antiqua"/>
          <w:i/>
          <w:iCs/>
          <w:color w:val="000000"/>
          <w:sz w:val="24"/>
          <w:szCs w:val="24"/>
        </w:rPr>
        <w:t>Int</w:t>
      </w:r>
      <w:proofErr w:type="spellEnd"/>
      <w:r w:rsidRPr="00F469F1">
        <w:rPr>
          <w:rFonts w:ascii="Book Antiqua" w:eastAsia="Book Antiqua" w:hAnsi="Book Antiqua" w:cs="Book Antiqua"/>
          <w:color w:val="000000"/>
          <w:sz w:val="24"/>
          <w:szCs w:val="24"/>
        </w:rPr>
        <w:t xml:space="preserve"> 2016; </w:t>
      </w:r>
      <w:r w:rsidRPr="00F469F1">
        <w:rPr>
          <w:rFonts w:ascii="Book Antiqua" w:eastAsia="Book Antiqua" w:hAnsi="Book Antiqua" w:cs="Book Antiqua"/>
          <w:b/>
          <w:bCs/>
          <w:color w:val="000000"/>
          <w:sz w:val="24"/>
          <w:szCs w:val="24"/>
        </w:rPr>
        <w:t>15</w:t>
      </w:r>
      <w:r w:rsidRPr="00F469F1">
        <w:rPr>
          <w:rFonts w:ascii="Book Antiqua" w:eastAsia="Book Antiqua" w:hAnsi="Book Antiqua" w:cs="Book Antiqua"/>
          <w:color w:val="000000"/>
          <w:sz w:val="24"/>
          <w:szCs w:val="24"/>
        </w:rPr>
        <w:t>: 180-188 [PMID: 27020635 DOI: 10.1016/s1499-3872(16)60073-5]</w:t>
      </w:r>
    </w:p>
    <w:p w14:paraId="0F7B4327"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31 </w:t>
      </w:r>
      <w:r w:rsidRPr="00F469F1">
        <w:rPr>
          <w:rFonts w:ascii="Book Antiqua" w:eastAsia="Book Antiqua" w:hAnsi="Book Antiqua" w:cs="Book Antiqua"/>
          <w:b/>
          <w:bCs/>
          <w:color w:val="000000"/>
          <w:sz w:val="24"/>
          <w:szCs w:val="24"/>
        </w:rPr>
        <w:t>Sun J</w:t>
      </w:r>
      <w:r w:rsidRPr="00F469F1">
        <w:rPr>
          <w:rFonts w:ascii="Book Antiqua" w:eastAsia="Book Antiqua" w:hAnsi="Book Antiqua" w:cs="Book Antiqua"/>
          <w:color w:val="000000"/>
          <w:sz w:val="24"/>
          <w:szCs w:val="24"/>
        </w:rPr>
        <w:t xml:space="preserve">, Yang ZL, Miao X, Zou Q, Li J, Liang L, Zeng G, Chen S. ATP5b and β2-microglobulin are predictive markers for the prognosis of patients with gallbladder cancer. </w:t>
      </w:r>
      <w:r w:rsidRPr="00F469F1">
        <w:rPr>
          <w:rFonts w:ascii="Book Antiqua" w:eastAsia="Book Antiqua" w:hAnsi="Book Antiqua" w:cs="Book Antiqua"/>
          <w:i/>
          <w:iCs/>
          <w:color w:val="000000"/>
          <w:sz w:val="24"/>
          <w:szCs w:val="24"/>
        </w:rPr>
        <w:t xml:space="preserve">J </w:t>
      </w:r>
      <w:proofErr w:type="spellStart"/>
      <w:r w:rsidRPr="00F469F1">
        <w:rPr>
          <w:rFonts w:ascii="Book Antiqua" w:eastAsia="Book Antiqua" w:hAnsi="Book Antiqua" w:cs="Book Antiqua"/>
          <w:i/>
          <w:iCs/>
          <w:color w:val="000000"/>
          <w:sz w:val="24"/>
          <w:szCs w:val="24"/>
        </w:rPr>
        <w:t>Mol</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Histol</w:t>
      </w:r>
      <w:proofErr w:type="spellEnd"/>
      <w:r w:rsidRPr="00F469F1">
        <w:rPr>
          <w:rFonts w:ascii="Book Antiqua" w:eastAsia="Book Antiqua" w:hAnsi="Book Antiqua" w:cs="Book Antiqua"/>
          <w:color w:val="000000"/>
          <w:sz w:val="24"/>
          <w:szCs w:val="24"/>
        </w:rPr>
        <w:t xml:space="preserve"> 2015; </w:t>
      </w:r>
      <w:r w:rsidRPr="00F469F1">
        <w:rPr>
          <w:rFonts w:ascii="Book Antiqua" w:eastAsia="Book Antiqua" w:hAnsi="Book Antiqua" w:cs="Book Antiqua"/>
          <w:b/>
          <w:bCs/>
          <w:color w:val="000000"/>
          <w:sz w:val="24"/>
          <w:szCs w:val="24"/>
        </w:rPr>
        <w:t>46</w:t>
      </w:r>
      <w:r w:rsidRPr="00F469F1">
        <w:rPr>
          <w:rFonts w:ascii="Book Antiqua" w:eastAsia="Book Antiqua" w:hAnsi="Book Antiqua" w:cs="Book Antiqua"/>
          <w:color w:val="000000"/>
          <w:sz w:val="24"/>
          <w:szCs w:val="24"/>
        </w:rPr>
        <w:t xml:space="preserve">: 57-65 [PMID: 25311765 DOI: </w:t>
      </w:r>
      <w:r w:rsidRPr="00F469F1">
        <w:rPr>
          <w:rFonts w:ascii="Book Antiqua" w:eastAsia="Book Antiqua" w:hAnsi="Book Antiqua" w:cs="Book Antiqua"/>
          <w:color w:val="000000"/>
          <w:sz w:val="24"/>
          <w:szCs w:val="24"/>
        </w:rPr>
        <w:lastRenderedPageBreak/>
        <w:t>10.1007/s10735-014-9597-9]</w:t>
      </w:r>
    </w:p>
    <w:p w14:paraId="06CBF06F"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32 </w:t>
      </w:r>
      <w:r w:rsidRPr="00F469F1">
        <w:rPr>
          <w:rFonts w:ascii="Book Antiqua" w:eastAsia="Book Antiqua" w:hAnsi="Book Antiqua" w:cs="Book Antiqua"/>
          <w:b/>
          <w:bCs/>
          <w:color w:val="000000"/>
          <w:sz w:val="24"/>
          <w:szCs w:val="24"/>
        </w:rPr>
        <w:t>Yadav S</w:t>
      </w:r>
      <w:r w:rsidRPr="00F469F1">
        <w:rPr>
          <w:rFonts w:ascii="Book Antiqua" w:eastAsia="Book Antiqua" w:hAnsi="Book Antiqua" w:cs="Book Antiqua"/>
          <w:color w:val="000000"/>
          <w:sz w:val="24"/>
          <w:szCs w:val="24"/>
        </w:rPr>
        <w:t xml:space="preserve">, Chandra A, Kumar A, Mittal B. Association of TERT-CLPTM1L and 8q24 Common Genetic Variants with Gallbladder Cancer Susceptibility and Prognosis in North Indian Population. </w:t>
      </w:r>
      <w:proofErr w:type="spellStart"/>
      <w:r w:rsidRPr="00F469F1">
        <w:rPr>
          <w:rFonts w:ascii="Book Antiqua" w:eastAsia="Book Antiqua" w:hAnsi="Book Antiqua" w:cs="Book Antiqua"/>
          <w:i/>
          <w:iCs/>
          <w:color w:val="000000"/>
          <w:sz w:val="24"/>
          <w:szCs w:val="24"/>
        </w:rPr>
        <w:t>Biochem</w:t>
      </w:r>
      <w:proofErr w:type="spellEnd"/>
      <w:r w:rsidRPr="00F469F1">
        <w:rPr>
          <w:rFonts w:ascii="Book Antiqua" w:eastAsia="Book Antiqua" w:hAnsi="Book Antiqua" w:cs="Book Antiqua"/>
          <w:i/>
          <w:iCs/>
          <w:color w:val="000000"/>
          <w:sz w:val="24"/>
          <w:szCs w:val="24"/>
        </w:rPr>
        <w:t xml:space="preserve"> Genet</w:t>
      </w:r>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56</w:t>
      </w:r>
      <w:r w:rsidRPr="00F469F1">
        <w:rPr>
          <w:rFonts w:ascii="Book Antiqua" w:eastAsia="Book Antiqua" w:hAnsi="Book Antiqua" w:cs="Book Antiqua"/>
          <w:color w:val="000000"/>
          <w:sz w:val="24"/>
          <w:szCs w:val="24"/>
        </w:rPr>
        <w:t>: 267-282 [PMID: 29450669 DOI: 10.1007/s10528-018-9843-z]</w:t>
      </w:r>
    </w:p>
    <w:p w14:paraId="58D38DD1"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33 </w:t>
      </w:r>
      <w:r w:rsidRPr="00F469F1">
        <w:rPr>
          <w:rFonts w:ascii="Book Antiqua" w:eastAsia="Book Antiqua" w:hAnsi="Book Antiqua" w:cs="Book Antiqua"/>
          <w:b/>
          <w:bCs/>
          <w:color w:val="000000"/>
          <w:sz w:val="24"/>
          <w:szCs w:val="24"/>
        </w:rPr>
        <w:t>Yang P</w:t>
      </w:r>
      <w:r w:rsidRPr="00F469F1">
        <w:rPr>
          <w:rFonts w:ascii="Book Antiqua" w:eastAsia="Book Antiqua" w:hAnsi="Book Antiqua" w:cs="Book Antiqua"/>
          <w:color w:val="000000"/>
          <w:sz w:val="24"/>
          <w:szCs w:val="24"/>
        </w:rPr>
        <w:t xml:space="preserve">, </w:t>
      </w:r>
      <w:proofErr w:type="spellStart"/>
      <w:r w:rsidRPr="00F469F1">
        <w:rPr>
          <w:rFonts w:ascii="Book Antiqua" w:eastAsia="Book Antiqua" w:hAnsi="Book Antiqua" w:cs="Book Antiqua"/>
          <w:color w:val="000000"/>
          <w:sz w:val="24"/>
          <w:szCs w:val="24"/>
        </w:rPr>
        <w:t>Javle</w:t>
      </w:r>
      <w:proofErr w:type="spellEnd"/>
      <w:r w:rsidRPr="00F469F1">
        <w:rPr>
          <w:rFonts w:ascii="Book Antiqua" w:eastAsia="Book Antiqua" w:hAnsi="Book Antiqua" w:cs="Book Antiqua"/>
          <w:color w:val="000000"/>
          <w:sz w:val="24"/>
          <w:szCs w:val="24"/>
        </w:rPr>
        <w:t xml:space="preserve"> M, Pang F, Zhao W, Abdel-</w:t>
      </w:r>
      <w:proofErr w:type="spellStart"/>
      <w:r w:rsidRPr="00F469F1">
        <w:rPr>
          <w:rFonts w:ascii="Book Antiqua" w:eastAsia="Book Antiqua" w:hAnsi="Book Antiqua" w:cs="Book Antiqua"/>
          <w:color w:val="000000"/>
          <w:sz w:val="24"/>
          <w:szCs w:val="24"/>
        </w:rPr>
        <w:t>Wahab</w:t>
      </w:r>
      <w:proofErr w:type="spellEnd"/>
      <w:r w:rsidRPr="00F469F1">
        <w:rPr>
          <w:rFonts w:ascii="Book Antiqua" w:eastAsia="Book Antiqua" w:hAnsi="Book Antiqua" w:cs="Book Antiqua"/>
          <w:color w:val="000000"/>
          <w:sz w:val="24"/>
          <w:szCs w:val="24"/>
        </w:rPr>
        <w:t xml:space="preserve"> R, Chen X, </w:t>
      </w:r>
      <w:proofErr w:type="spellStart"/>
      <w:r w:rsidRPr="00F469F1">
        <w:rPr>
          <w:rFonts w:ascii="Book Antiqua" w:eastAsia="Book Antiqua" w:hAnsi="Book Antiqua" w:cs="Book Antiqua"/>
          <w:color w:val="000000"/>
          <w:sz w:val="24"/>
          <w:szCs w:val="24"/>
        </w:rPr>
        <w:t>Meric-Bernstam</w:t>
      </w:r>
      <w:proofErr w:type="spellEnd"/>
      <w:r w:rsidRPr="00F469F1">
        <w:rPr>
          <w:rFonts w:ascii="Book Antiqua" w:eastAsia="Book Antiqua" w:hAnsi="Book Antiqua" w:cs="Book Antiqua"/>
          <w:color w:val="000000"/>
          <w:sz w:val="24"/>
          <w:szCs w:val="24"/>
        </w:rPr>
        <w:t xml:space="preserve"> F, Chen H, </w:t>
      </w:r>
      <w:proofErr w:type="spellStart"/>
      <w:r w:rsidRPr="00F469F1">
        <w:rPr>
          <w:rFonts w:ascii="Book Antiqua" w:eastAsia="Book Antiqua" w:hAnsi="Book Antiqua" w:cs="Book Antiqua"/>
          <w:color w:val="000000"/>
          <w:sz w:val="24"/>
          <w:szCs w:val="24"/>
        </w:rPr>
        <w:t>Borad</w:t>
      </w:r>
      <w:proofErr w:type="spellEnd"/>
      <w:r w:rsidRPr="00F469F1">
        <w:rPr>
          <w:rFonts w:ascii="Book Antiqua" w:eastAsia="Book Antiqua" w:hAnsi="Book Antiqua" w:cs="Book Antiqua"/>
          <w:color w:val="000000"/>
          <w:sz w:val="24"/>
          <w:szCs w:val="24"/>
        </w:rPr>
        <w:t xml:space="preserve"> MJ, Liu Y, Zou C, Mu S, Xing Y, Wang K, Peng C, </w:t>
      </w:r>
      <w:proofErr w:type="spellStart"/>
      <w:r w:rsidRPr="00F469F1">
        <w:rPr>
          <w:rFonts w:ascii="Book Antiqua" w:eastAsia="Book Antiqua" w:hAnsi="Book Antiqua" w:cs="Book Antiqua"/>
          <w:color w:val="000000"/>
          <w:sz w:val="24"/>
          <w:szCs w:val="24"/>
        </w:rPr>
        <w:t>Che</w:t>
      </w:r>
      <w:proofErr w:type="spellEnd"/>
      <w:r w:rsidRPr="00F469F1">
        <w:rPr>
          <w:rFonts w:ascii="Book Antiqua" w:eastAsia="Book Antiqua" w:hAnsi="Book Antiqua" w:cs="Book Antiqua"/>
          <w:color w:val="000000"/>
          <w:sz w:val="24"/>
          <w:szCs w:val="24"/>
        </w:rPr>
        <w:t xml:space="preserve"> X. Somatic genetic aberrations in gallbladder cancer: comparison between Chinese and US patients.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604-614 [PMID: 31929987 DOI: 10.21037/hbsn.2019.04.11]</w:t>
      </w:r>
    </w:p>
    <w:p w14:paraId="46F46D4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34 </w:t>
      </w:r>
      <w:r w:rsidRPr="00F469F1">
        <w:rPr>
          <w:rFonts w:ascii="Book Antiqua" w:eastAsia="Book Antiqua" w:hAnsi="Book Antiqua" w:cs="Book Antiqua"/>
          <w:b/>
          <w:bCs/>
          <w:color w:val="000000"/>
          <w:sz w:val="24"/>
          <w:szCs w:val="24"/>
        </w:rPr>
        <w:t>Bai Y</w:t>
      </w:r>
      <w:r w:rsidRPr="00F469F1">
        <w:rPr>
          <w:rFonts w:ascii="Book Antiqua" w:eastAsia="Book Antiqua" w:hAnsi="Book Antiqua" w:cs="Book Antiqua"/>
          <w:color w:val="000000"/>
          <w:sz w:val="24"/>
          <w:szCs w:val="24"/>
        </w:rPr>
        <w:t xml:space="preserve">, Liu ZS, </w:t>
      </w:r>
      <w:proofErr w:type="spellStart"/>
      <w:r w:rsidRPr="00F469F1">
        <w:rPr>
          <w:rFonts w:ascii="Book Antiqua" w:eastAsia="Book Antiqua" w:hAnsi="Book Antiqua" w:cs="Book Antiqua"/>
          <w:color w:val="000000"/>
          <w:sz w:val="24"/>
          <w:szCs w:val="24"/>
        </w:rPr>
        <w:t>Xiong</w:t>
      </w:r>
      <w:proofErr w:type="spellEnd"/>
      <w:r w:rsidRPr="00F469F1">
        <w:rPr>
          <w:rFonts w:ascii="Book Antiqua" w:eastAsia="Book Antiqua" w:hAnsi="Book Antiqua" w:cs="Book Antiqua"/>
          <w:color w:val="000000"/>
          <w:sz w:val="24"/>
          <w:szCs w:val="24"/>
        </w:rPr>
        <w:t xml:space="preserve"> JP, Xu WY, Lin JZ, Long JY, Miao F, Huang HC, Wan XS, Zhao HT. Nomogram to predict overall survival after gallbladder cancer resection in China. </w:t>
      </w:r>
      <w:r w:rsidRPr="00F469F1">
        <w:rPr>
          <w:rFonts w:ascii="Book Antiqua" w:eastAsia="Book Antiqua" w:hAnsi="Book Antiqua" w:cs="Book Antiqua"/>
          <w:i/>
          <w:iCs/>
          <w:color w:val="000000"/>
          <w:sz w:val="24"/>
          <w:szCs w:val="24"/>
        </w:rPr>
        <w:t xml:space="preserve">World J </w:t>
      </w:r>
      <w:proofErr w:type="spellStart"/>
      <w:r w:rsidRPr="00F469F1">
        <w:rPr>
          <w:rFonts w:ascii="Book Antiqua" w:eastAsia="Book Antiqua" w:hAnsi="Book Antiqua" w:cs="Book Antiqua"/>
          <w:i/>
          <w:iCs/>
          <w:color w:val="000000"/>
          <w:sz w:val="24"/>
          <w:szCs w:val="24"/>
        </w:rPr>
        <w:t>Gastroenterol</w:t>
      </w:r>
      <w:proofErr w:type="spellEnd"/>
      <w:r w:rsidRPr="00F469F1">
        <w:rPr>
          <w:rFonts w:ascii="Book Antiqua" w:eastAsia="Book Antiqua" w:hAnsi="Book Antiqua" w:cs="Book Antiqua"/>
          <w:color w:val="000000"/>
          <w:sz w:val="24"/>
          <w:szCs w:val="24"/>
        </w:rPr>
        <w:t xml:space="preserve"> 2018; </w:t>
      </w:r>
      <w:r w:rsidRPr="00F469F1">
        <w:rPr>
          <w:rFonts w:ascii="Book Antiqua" w:eastAsia="Book Antiqua" w:hAnsi="Book Antiqua" w:cs="Book Antiqua"/>
          <w:b/>
          <w:bCs/>
          <w:color w:val="000000"/>
          <w:sz w:val="24"/>
          <w:szCs w:val="24"/>
        </w:rPr>
        <w:t>24</w:t>
      </w:r>
      <w:r w:rsidRPr="00F469F1">
        <w:rPr>
          <w:rFonts w:ascii="Book Antiqua" w:eastAsia="Book Antiqua" w:hAnsi="Book Antiqua" w:cs="Book Antiqua"/>
          <w:color w:val="000000"/>
          <w:sz w:val="24"/>
          <w:szCs w:val="24"/>
        </w:rPr>
        <w:t>: 5167-5178 [PMID: 30568393 DOI: 10.3748/wjg.v24.i45.5167]</w:t>
      </w:r>
    </w:p>
    <w:p w14:paraId="2A123622"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35 </w:t>
      </w:r>
      <w:r w:rsidRPr="00F469F1">
        <w:rPr>
          <w:rFonts w:ascii="Book Antiqua" w:eastAsia="Book Antiqua" w:hAnsi="Book Antiqua" w:cs="Book Antiqua"/>
          <w:b/>
          <w:bCs/>
          <w:color w:val="000000"/>
          <w:sz w:val="24"/>
          <w:szCs w:val="24"/>
        </w:rPr>
        <w:t>Choi SY</w:t>
      </w:r>
      <w:r w:rsidRPr="00F469F1">
        <w:rPr>
          <w:rFonts w:ascii="Book Antiqua" w:eastAsia="Book Antiqua" w:hAnsi="Book Antiqua" w:cs="Book Antiqua"/>
          <w:color w:val="000000"/>
          <w:sz w:val="24"/>
          <w:szCs w:val="24"/>
        </w:rPr>
        <w:t xml:space="preserve">, Kim JH, Park HJ, Han JK. Preoperative CT findings for prediction of </w:t>
      </w:r>
      <w:proofErr w:type="spellStart"/>
      <w:r w:rsidRPr="00F469F1">
        <w:rPr>
          <w:rFonts w:ascii="Book Antiqua" w:eastAsia="Book Antiqua" w:hAnsi="Book Antiqua" w:cs="Book Antiqua"/>
          <w:color w:val="000000"/>
          <w:sz w:val="24"/>
          <w:szCs w:val="24"/>
        </w:rPr>
        <w:t>resectability</w:t>
      </w:r>
      <w:proofErr w:type="spellEnd"/>
      <w:r w:rsidRPr="00F469F1">
        <w:rPr>
          <w:rFonts w:ascii="Book Antiqua" w:eastAsia="Book Antiqua" w:hAnsi="Book Antiqua" w:cs="Book Antiqua"/>
          <w:color w:val="000000"/>
          <w:sz w:val="24"/>
          <w:szCs w:val="24"/>
        </w:rPr>
        <w:t xml:space="preserve"> in patients with gallbladder cancer. </w:t>
      </w:r>
      <w:proofErr w:type="spellStart"/>
      <w:r w:rsidRPr="00F469F1">
        <w:rPr>
          <w:rFonts w:ascii="Book Antiqua" w:eastAsia="Book Antiqua" w:hAnsi="Book Antiqua" w:cs="Book Antiqua"/>
          <w:i/>
          <w:iCs/>
          <w:color w:val="000000"/>
          <w:sz w:val="24"/>
          <w:szCs w:val="24"/>
        </w:rPr>
        <w:t>Eur</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Radiol</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29</w:t>
      </w:r>
      <w:r w:rsidRPr="00F469F1">
        <w:rPr>
          <w:rFonts w:ascii="Book Antiqua" w:eastAsia="Book Antiqua" w:hAnsi="Book Antiqua" w:cs="Book Antiqua"/>
          <w:color w:val="000000"/>
          <w:sz w:val="24"/>
          <w:szCs w:val="24"/>
        </w:rPr>
        <w:t>: 6458-6468 [PMID: 31254061 DOI: 10.1007/s00330-019-06323-4]</w:t>
      </w:r>
    </w:p>
    <w:p w14:paraId="17B3864E" w14:textId="77777777" w:rsidR="0019079E" w:rsidRPr="00F469F1" w:rsidRDefault="0019079E" w:rsidP="00F469F1">
      <w:pPr>
        <w:snapToGrid w:val="0"/>
        <w:spacing w:line="360" w:lineRule="auto"/>
        <w:rPr>
          <w:rFonts w:ascii="Book Antiqua" w:hAnsi="Book Antiqua"/>
          <w:sz w:val="24"/>
          <w:szCs w:val="24"/>
        </w:rPr>
      </w:pPr>
      <w:r w:rsidRPr="00F469F1">
        <w:rPr>
          <w:rFonts w:ascii="Book Antiqua" w:eastAsia="Book Antiqua" w:hAnsi="Book Antiqua" w:cs="Book Antiqua"/>
          <w:color w:val="000000"/>
          <w:sz w:val="24"/>
          <w:szCs w:val="24"/>
        </w:rPr>
        <w:t xml:space="preserve">36 </w:t>
      </w:r>
      <w:r w:rsidRPr="00F469F1">
        <w:rPr>
          <w:rFonts w:ascii="Book Antiqua" w:eastAsia="Book Antiqua" w:hAnsi="Book Antiqua" w:cs="Book Antiqua"/>
          <w:b/>
          <w:bCs/>
          <w:color w:val="000000"/>
          <w:sz w:val="24"/>
          <w:szCs w:val="24"/>
        </w:rPr>
        <w:t>Chen M</w:t>
      </w:r>
      <w:r w:rsidRPr="00F469F1">
        <w:rPr>
          <w:rFonts w:ascii="Book Antiqua" w:eastAsia="Book Antiqua" w:hAnsi="Book Antiqua" w:cs="Book Antiqua"/>
          <w:color w:val="000000"/>
          <w:sz w:val="24"/>
          <w:szCs w:val="24"/>
        </w:rPr>
        <w:t xml:space="preserve">, Lin J, Cao J, Zhu H, Zhang B, Wu A, </w:t>
      </w:r>
      <w:proofErr w:type="spellStart"/>
      <w:r w:rsidRPr="00F469F1">
        <w:rPr>
          <w:rFonts w:ascii="Book Antiqua" w:eastAsia="Book Antiqua" w:hAnsi="Book Antiqua" w:cs="Book Antiqua"/>
          <w:color w:val="000000"/>
          <w:sz w:val="24"/>
          <w:szCs w:val="24"/>
        </w:rPr>
        <w:t>Cai</w:t>
      </w:r>
      <w:proofErr w:type="spellEnd"/>
      <w:r w:rsidRPr="00F469F1">
        <w:rPr>
          <w:rFonts w:ascii="Book Antiqua" w:eastAsia="Book Antiqua" w:hAnsi="Book Antiqua" w:cs="Book Antiqua"/>
          <w:color w:val="000000"/>
          <w:sz w:val="24"/>
          <w:szCs w:val="24"/>
        </w:rPr>
        <w:t xml:space="preserve"> X. Development and validation of a nomogram for survival benefit of lymphadenectomy in resected gallbladder cancer. </w:t>
      </w:r>
      <w:r w:rsidRPr="00F469F1">
        <w:rPr>
          <w:rFonts w:ascii="Book Antiqua" w:eastAsia="Book Antiqua" w:hAnsi="Book Antiqua" w:cs="Book Antiqua"/>
          <w:i/>
          <w:iCs/>
          <w:color w:val="000000"/>
          <w:sz w:val="24"/>
          <w:szCs w:val="24"/>
        </w:rPr>
        <w:t xml:space="preserve">Hepatobiliary </w:t>
      </w:r>
      <w:proofErr w:type="spellStart"/>
      <w:r w:rsidRPr="00F469F1">
        <w:rPr>
          <w:rFonts w:ascii="Book Antiqua" w:eastAsia="Book Antiqua" w:hAnsi="Book Antiqua" w:cs="Book Antiqua"/>
          <w:i/>
          <w:iCs/>
          <w:color w:val="000000"/>
          <w:sz w:val="24"/>
          <w:szCs w:val="24"/>
        </w:rPr>
        <w:t>Surg</w:t>
      </w:r>
      <w:proofErr w:type="spellEnd"/>
      <w:r w:rsidRPr="00F469F1">
        <w:rPr>
          <w:rFonts w:ascii="Book Antiqua" w:eastAsia="Book Antiqua" w:hAnsi="Book Antiqua" w:cs="Book Antiqua"/>
          <w:i/>
          <w:iCs/>
          <w:color w:val="000000"/>
          <w:sz w:val="24"/>
          <w:szCs w:val="24"/>
        </w:rPr>
        <w:t xml:space="preserve"> </w:t>
      </w:r>
      <w:proofErr w:type="spellStart"/>
      <w:r w:rsidRPr="00F469F1">
        <w:rPr>
          <w:rFonts w:ascii="Book Antiqua" w:eastAsia="Book Antiqua" w:hAnsi="Book Antiqua" w:cs="Book Antiqua"/>
          <w:i/>
          <w:iCs/>
          <w:color w:val="000000"/>
          <w:sz w:val="24"/>
          <w:szCs w:val="24"/>
        </w:rPr>
        <w:t>Nutr</w:t>
      </w:r>
      <w:proofErr w:type="spellEnd"/>
      <w:r w:rsidRPr="00F469F1">
        <w:rPr>
          <w:rFonts w:ascii="Book Antiqua" w:eastAsia="Book Antiqua" w:hAnsi="Book Antiqua" w:cs="Book Antiqua"/>
          <w:color w:val="000000"/>
          <w:sz w:val="24"/>
          <w:szCs w:val="24"/>
        </w:rPr>
        <w:t xml:space="preserve"> 2019; </w:t>
      </w:r>
      <w:r w:rsidRPr="00F469F1">
        <w:rPr>
          <w:rFonts w:ascii="Book Antiqua" w:eastAsia="Book Antiqua" w:hAnsi="Book Antiqua" w:cs="Book Antiqua"/>
          <w:b/>
          <w:bCs/>
          <w:color w:val="000000"/>
          <w:sz w:val="24"/>
          <w:szCs w:val="24"/>
        </w:rPr>
        <w:t>8</w:t>
      </w:r>
      <w:r w:rsidRPr="00F469F1">
        <w:rPr>
          <w:rFonts w:ascii="Book Antiqua" w:eastAsia="Book Antiqua" w:hAnsi="Book Antiqua" w:cs="Book Antiqua"/>
          <w:color w:val="000000"/>
          <w:sz w:val="24"/>
          <w:szCs w:val="24"/>
        </w:rPr>
        <w:t>: 480-489 [PMID: 31673537 DOI: 10.21037/hbsn.2019.03.02]</w:t>
      </w:r>
    </w:p>
    <w:p w14:paraId="5D5D1958" w14:textId="4BC616BA" w:rsidR="00B077F5" w:rsidRPr="00F469F1" w:rsidRDefault="00B077F5" w:rsidP="00F469F1">
      <w:pPr>
        <w:widowControl/>
        <w:snapToGrid w:val="0"/>
        <w:spacing w:line="360" w:lineRule="auto"/>
        <w:rPr>
          <w:rFonts w:ascii="Book Antiqua" w:eastAsia="等线" w:hAnsi="Book Antiqua" w:cs="Times New Roman"/>
          <w:noProof/>
          <w:sz w:val="24"/>
          <w:szCs w:val="24"/>
        </w:rPr>
      </w:pPr>
      <w:r w:rsidRPr="00F469F1">
        <w:rPr>
          <w:rFonts w:ascii="Book Antiqua" w:eastAsia="等线" w:hAnsi="Book Antiqua" w:cs="Times New Roman"/>
          <w:noProof/>
          <w:sz w:val="24"/>
          <w:szCs w:val="24"/>
        </w:rPr>
        <w:br w:type="page"/>
      </w:r>
    </w:p>
    <w:p w14:paraId="3F0D550B" w14:textId="77777777" w:rsidR="00BC42C3"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lastRenderedPageBreak/>
        <w:t>Footnotes</w:t>
      </w:r>
    </w:p>
    <w:p w14:paraId="12F050E9" w14:textId="544914BB" w:rsidR="00356063" w:rsidRPr="00F469F1" w:rsidRDefault="00783ADA" w:rsidP="00356063">
      <w:pPr>
        <w:widowControl/>
        <w:snapToGrid w:val="0"/>
        <w:spacing w:line="360" w:lineRule="auto"/>
        <w:rPr>
          <w:rFonts w:ascii="Book Antiqua" w:hAnsi="Book Antiqua" w:cs="Times New Roman"/>
          <w:sz w:val="24"/>
          <w:szCs w:val="24"/>
        </w:rPr>
      </w:pPr>
      <w:r w:rsidRPr="00F469F1">
        <w:rPr>
          <w:rFonts w:ascii="Book Antiqua" w:hAnsi="Book Antiqua"/>
          <w:b/>
          <w:color w:val="000000"/>
          <w:sz w:val="24"/>
          <w:szCs w:val="24"/>
          <w:lang w:val="hu-HU"/>
        </w:rPr>
        <w:t>Institutional review board statement:</w:t>
      </w:r>
      <w:r w:rsidR="004616CE">
        <w:rPr>
          <w:rFonts w:ascii="Book Antiqua" w:hAnsi="Book Antiqua"/>
          <w:color w:val="000000"/>
          <w:sz w:val="24"/>
          <w:szCs w:val="24"/>
          <w:lang w:val="hu-HU"/>
        </w:rPr>
        <w:t xml:space="preserve"> </w:t>
      </w:r>
      <w:r w:rsidR="00356063" w:rsidRPr="00F469F1">
        <w:rPr>
          <w:rFonts w:ascii="Book Antiqua" w:hAnsi="Book Antiqua" w:cs="Times New Roman"/>
          <w:sz w:val="24"/>
          <w:szCs w:val="24"/>
        </w:rPr>
        <w:t>All procedures were approved by the Medical Ethics Committee of Peking Union Medical College Hospital of the Chinese Academy of Medical Sciences and Peking Union Medical College and were</w:t>
      </w:r>
      <w:r w:rsidR="009D0FCD">
        <w:rPr>
          <w:rFonts w:ascii="Book Antiqua" w:hAnsi="Book Antiqua" w:cs="Times New Roman"/>
          <w:sz w:val="24"/>
          <w:szCs w:val="24"/>
        </w:rPr>
        <w:t xml:space="preserve"> conducted</w:t>
      </w:r>
      <w:r w:rsidR="00356063" w:rsidRPr="00F469F1">
        <w:rPr>
          <w:rFonts w:ascii="Book Antiqua" w:hAnsi="Book Antiqua" w:cs="Times New Roman"/>
          <w:sz w:val="24"/>
          <w:szCs w:val="24"/>
        </w:rPr>
        <w:t xml:space="preserve"> in accordance with the Helsinki Declaration of 1965 and later versions.</w:t>
      </w:r>
    </w:p>
    <w:p w14:paraId="34358CA4" w14:textId="77777777" w:rsidR="00B077F5" w:rsidRPr="009D0FCD" w:rsidRDefault="00B077F5" w:rsidP="00F469F1">
      <w:pPr>
        <w:widowControl/>
        <w:snapToGrid w:val="0"/>
        <w:spacing w:line="360" w:lineRule="auto"/>
        <w:rPr>
          <w:rFonts w:ascii="Book Antiqua" w:hAnsi="Book Antiqua" w:cs="Times New Roman"/>
          <w:b/>
          <w:bCs/>
          <w:sz w:val="24"/>
          <w:szCs w:val="24"/>
        </w:rPr>
      </w:pPr>
    </w:p>
    <w:p w14:paraId="5AB79697" w14:textId="6E3402D6" w:rsidR="00CA7084" w:rsidRPr="00F469F1" w:rsidRDefault="00BC42C3" w:rsidP="00F469F1">
      <w:pPr>
        <w:widowControl/>
        <w:snapToGrid w:val="0"/>
        <w:spacing w:line="360" w:lineRule="auto"/>
        <w:rPr>
          <w:rFonts w:ascii="Book Antiqua" w:hAnsi="Book Antiqua" w:cs="Times New Roman"/>
          <w:sz w:val="24"/>
          <w:szCs w:val="24"/>
        </w:rPr>
      </w:pPr>
      <w:bookmarkStart w:id="13" w:name="_Hlk39327785"/>
      <w:r w:rsidRPr="00F469F1">
        <w:rPr>
          <w:rFonts w:ascii="Book Antiqua" w:hAnsi="Book Antiqua"/>
          <w:b/>
          <w:sz w:val="24"/>
          <w:szCs w:val="24"/>
        </w:rPr>
        <w:t>Informed consent statement</w:t>
      </w:r>
      <w:r w:rsidRPr="00F469F1">
        <w:rPr>
          <w:rFonts w:ascii="Book Antiqua" w:hAnsi="Book Antiqua"/>
          <w:b/>
          <w:iCs/>
          <w:color w:val="000000"/>
          <w:sz w:val="24"/>
          <w:szCs w:val="24"/>
        </w:rPr>
        <w:t>:</w:t>
      </w:r>
      <w:r w:rsidRPr="00F469F1">
        <w:rPr>
          <w:rFonts w:ascii="Book Antiqua" w:hAnsi="Book Antiqua"/>
          <w:b/>
          <w:iCs/>
          <w:color w:val="000000"/>
          <w:kern w:val="0"/>
          <w:sz w:val="24"/>
          <w:szCs w:val="24"/>
        </w:rPr>
        <w:t xml:space="preserve"> </w:t>
      </w:r>
      <w:r w:rsidR="00136A8B" w:rsidRPr="00F469F1">
        <w:rPr>
          <w:rFonts w:ascii="Book Antiqua" w:hAnsi="Book Antiqua" w:cs="Times New Roman"/>
          <w:sz w:val="24"/>
          <w:szCs w:val="24"/>
        </w:rPr>
        <w:t xml:space="preserve">The requirement for informed consent was waived because of the retrospective nature of this study. </w:t>
      </w:r>
      <w:bookmarkEnd w:id="13"/>
    </w:p>
    <w:p w14:paraId="4927659F" w14:textId="77777777" w:rsidR="00CA7084" w:rsidRPr="00F469F1" w:rsidRDefault="00CA7084" w:rsidP="00F469F1">
      <w:pPr>
        <w:widowControl/>
        <w:snapToGrid w:val="0"/>
        <w:spacing w:line="360" w:lineRule="auto"/>
        <w:rPr>
          <w:rFonts w:ascii="Book Antiqua" w:eastAsia="宋体" w:hAnsi="Book Antiqua" w:cs="Times New Roman"/>
          <w:b/>
          <w:sz w:val="24"/>
          <w:szCs w:val="24"/>
        </w:rPr>
      </w:pPr>
    </w:p>
    <w:p w14:paraId="7260D718" w14:textId="77054691" w:rsidR="00A87939" w:rsidRPr="00F469F1" w:rsidRDefault="00BC42C3" w:rsidP="00F469F1">
      <w:pPr>
        <w:snapToGrid w:val="0"/>
        <w:spacing w:line="360" w:lineRule="auto"/>
        <w:rPr>
          <w:rFonts w:ascii="Book Antiqua" w:eastAsia="等线" w:hAnsi="Book Antiqua" w:cs="Times New Roman"/>
          <w:sz w:val="24"/>
          <w:szCs w:val="24"/>
        </w:rPr>
      </w:pPr>
      <w:r w:rsidRPr="00F469F1">
        <w:rPr>
          <w:rFonts w:ascii="Book Antiqua" w:hAnsi="Book Antiqua"/>
          <w:b/>
          <w:sz w:val="24"/>
          <w:szCs w:val="24"/>
        </w:rPr>
        <w:t>Conflict-of-interest statement</w:t>
      </w:r>
      <w:r w:rsidRPr="00F469F1">
        <w:rPr>
          <w:rFonts w:ascii="Book Antiqua" w:hAnsi="Book Antiqua" w:cs="TimesNewRomanPS-BoldItalicMT"/>
          <w:b/>
          <w:iCs/>
          <w:color w:val="000000"/>
          <w:sz w:val="24"/>
          <w:szCs w:val="24"/>
        </w:rPr>
        <w:t xml:space="preserve">: </w:t>
      </w:r>
      <w:r w:rsidR="002274E9" w:rsidRPr="00F469F1">
        <w:rPr>
          <w:rFonts w:ascii="Book Antiqua" w:eastAsia="宋体" w:hAnsi="Book Antiqua" w:cs="Times New Roman"/>
          <w:bCs/>
          <w:noProof/>
          <w:sz w:val="24"/>
          <w:szCs w:val="24"/>
        </w:rPr>
        <w:t>All the</w:t>
      </w:r>
      <w:r w:rsidR="00712BA3" w:rsidRPr="00F469F1">
        <w:rPr>
          <w:rFonts w:ascii="Book Antiqua" w:eastAsia="宋体" w:hAnsi="Book Antiqua" w:cs="Times New Roman"/>
          <w:noProof/>
          <w:sz w:val="24"/>
          <w:szCs w:val="24"/>
        </w:rPr>
        <w:t xml:space="preserve"> authors have declared no conflicts of interest</w:t>
      </w:r>
      <w:r w:rsidR="002274E9" w:rsidRPr="00F469F1">
        <w:rPr>
          <w:rFonts w:ascii="Book Antiqua" w:eastAsia="宋体" w:hAnsi="Book Antiqua" w:cs="Times New Roman"/>
          <w:noProof/>
          <w:sz w:val="24"/>
          <w:szCs w:val="24"/>
        </w:rPr>
        <w:t xml:space="preserve"> related to </w:t>
      </w:r>
      <w:r w:rsidR="009D0FCD">
        <w:rPr>
          <w:rFonts w:ascii="Book Antiqua" w:eastAsia="宋体" w:hAnsi="Book Antiqua" w:cs="Times New Roman"/>
          <w:noProof/>
          <w:sz w:val="24"/>
          <w:szCs w:val="24"/>
        </w:rPr>
        <w:t xml:space="preserve">this </w:t>
      </w:r>
      <w:r w:rsidR="002274E9" w:rsidRPr="00F469F1">
        <w:rPr>
          <w:rFonts w:ascii="Book Antiqua" w:eastAsia="宋体" w:hAnsi="Book Antiqua" w:cs="Times New Roman"/>
          <w:noProof/>
          <w:sz w:val="24"/>
          <w:szCs w:val="24"/>
        </w:rPr>
        <w:t>manuscript</w:t>
      </w:r>
      <w:r w:rsidR="00712BA3" w:rsidRPr="00F469F1">
        <w:rPr>
          <w:rFonts w:ascii="Book Antiqua" w:eastAsia="宋体" w:hAnsi="Book Antiqua" w:cs="Times New Roman"/>
          <w:noProof/>
          <w:sz w:val="24"/>
          <w:szCs w:val="24"/>
        </w:rPr>
        <w:t>.</w:t>
      </w:r>
      <w:r w:rsidR="00FD6012">
        <w:rPr>
          <w:rFonts w:ascii="Book Antiqua" w:eastAsia="宋体" w:hAnsi="Book Antiqua" w:cs="Times New Roman"/>
          <w:noProof/>
          <w:sz w:val="24"/>
          <w:szCs w:val="24"/>
        </w:rPr>
        <w:t xml:space="preserve"> </w:t>
      </w:r>
    </w:p>
    <w:p w14:paraId="3E8031F3" w14:textId="6893FB83" w:rsidR="00A87939" w:rsidRPr="00F469F1" w:rsidRDefault="00A87939" w:rsidP="00F469F1">
      <w:pPr>
        <w:snapToGrid w:val="0"/>
        <w:spacing w:line="360" w:lineRule="auto"/>
        <w:rPr>
          <w:rFonts w:ascii="Book Antiqua" w:eastAsia="宋体" w:hAnsi="Book Antiqua" w:cs="Times New Roman"/>
          <w:sz w:val="24"/>
          <w:szCs w:val="24"/>
          <w:lang w:val="en-GB"/>
        </w:rPr>
      </w:pPr>
    </w:p>
    <w:p w14:paraId="38C0516F" w14:textId="7CF25AD1" w:rsidR="00FA4F5C" w:rsidRPr="00F469F1" w:rsidRDefault="00BC42C3" w:rsidP="00F469F1">
      <w:pPr>
        <w:snapToGrid w:val="0"/>
        <w:spacing w:line="360" w:lineRule="auto"/>
        <w:rPr>
          <w:rFonts w:ascii="Book Antiqua" w:eastAsia="宋体" w:hAnsi="Book Antiqua" w:cs="Times New Roman"/>
          <w:sz w:val="24"/>
          <w:szCs w:val="24"/>
          <w:lang w:val="en-GB"/>
        </w:rPr>
      </w:pPr>
      <w:r w:rsidRPr="00F469F1">
        <w:rPr>
          <w:rFonts w:ascii="Book Antiqua" w:hAnsi="Book Antiqua"/>
          <w:b/>
          <w:sz w:val="24"/>
          <w:szCs w:val="24"/>
        </w:rPr>
        <w:t>Data sharing statement</w:t>
      </w:r>
      <w:r w:rsidRPr="00F469F1">
        <w:rPr>
          <w:rFonts w:ascii="Book Antiqua" w:hAnsi="Book Antiqua" w:cs="TimesNewRomanPS-BoldItalicMT"/>
          <w:b/>
          <w:iCs/>
          <w:color w:val="000000"/>
          <w:sz w:val="24"/>
          <w:szCs w:val="24"/>
        </w:rPr>
        <w:t>:</w:t>
      </w:r>
      <w:r w:rsidRPr="00F469F1">
        <w:rPr>
          <w:rFonts w:ascii="Book Antiqua" w:hAnsi="Book Antiqua"/>
          <w:b/>
          <w:sz w:val="24"/>
          <w:szCs w:val="24"/>
        </w:rPr>
        <w:t xml:space="preserve"> </w:t>
      </w:r>
      <w:r w:rsidR="00FA4F5C" w:rsidRPr="00F469F1">
        <w:rPr>
          <w:rFonts w:ascii="Book Antiqua" w:eastAsia="宋体" w:hAnsi="Book Antiqua" w:cs="Times New Roman"/>
          <w:sz w:val="24"/>
          <w:szCs w:val="24"/>
          <w:lang w:val="en-GB"/>
        </w:rPr>
        <w:t>The data that support the findings of this study are available from the corresponding author upon reasonable request</w:t>
      </w:r>
      <w:r w:rsidR="00F719D4" w:rsidRPr="00F469F1">
        <w:rPr>
          <w:rFonts w:ascii="Book Antiqua" w:eastAsia="宋体" w:hAnsi="Book Antiqua" w:cs="Times New Roman"/>
          <w:sz w:val="24"/>
          <w:szCs w:val="24"/>
          <w:lang w:val="en-GB"/>
        </w:rPr>
        <w:t>.</w:t>
      </w:r>
    </w:p>
    <w:p w14:paraId="4A00077A" w14:textId="7E2BC249" w:rsidR="00CA7084" w:rsidRPr="00F469F1" w:rsidRDefault="00CA7084" w:rsidP="00F469F1">
      <w:pPr>
        <w:snapToGrid w:val="0"/>
        <w:spacing w:line="360" w:lineRule="auto"/>
        <w:rPr>
          <w:rFonts w:ascii="Book Antiqua" w:eastAsia="宋体" w:hAnsi="Book Antiqua" w:cs="Times New Roman"/>
          <w:sz w:val="24"/>
          <w:szCs w:val="24"/>
          <w:lang w:val="en-GB"/>
        </w:rPr>
      </w:pPr>
    </w:p>
    <w:p w14:paraId="236E64F5" w14:textId="77777777" w:rsidR="00BC42C3" w:rsidRPr="00F469F1" w:rsidRDefault="00BC42C3" w:rsidP="00F469F1">
      <w:pPr>
        <w:widowControl/>
        <w:adjustRightInd w:val="0"/>
        <w:snapToGrid w:val="0"/>
        <w:spacing w:line="360" w:lineRule="auto"/>
        <w:rPr>
          <w:rFonts w:ascii="Book Antiqua" w:hAnsi="Book Antiqua" w:cs="宋体"/>
          <w:kern w:val="0"/>
          <w:sz w:val="24"/>
          <w:szCs w:val="24"/>
        </w:rPr>
      </w:pPr>
      <w:r w:rsidRPr="00F469F1">
        <w:rPr>
          <w:rFonts w:ascii="Book Antiqua" w:hAnsi="Book Antiqua"/>
          <w:b/>
          <w:color w:val="000000"/>
          <w:sz w:val="24"/>
          <w:szCs w:val="24"/>
        </w:rPr>
        <w:t>Open-Access:</w:t>
      </w:r>
      <w:r w:rsidRPr="00F469F1">
        <w:rPr>
          <w:rFonts w:ascii="Book Antiqua" w:hAnsi="Book Antiqua"/>
          <w:color w:val="000000"/>
          <w:sz w:val="24"/>
          <w:szCs w:val="24"/>
        </w:rPr>
        <w:t xml:space="preserve"> This article is an open-access </w:t>
      </w:r>
      <w:r w:rsidRPr="00F469F1">
        <w:rPr>
          <w:rFonts w:ascii="Book Antiqua" w:hAnsi="Book Antiqua"/>
          <w:sz w:val="24"/>
          <w:szCs w:val="24"/>
        </w:rPr>
        <w:t xml:space="preserve">article that was selected </w:t>
      </w:r>
      <w:r w:rsidRPr="00F469F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469F1">
        <w:rPr>
          <w:rFonts w:ascii="Book Antiqua" w:hAnsi="Book Antiqua"/>
          <w:color w:val="000000"/>
          <w:sz w:val="24"/>
          <w:szCs w:val="24"/>
        </w:rPr>
        <w:t>NonCommercial</w:t>
      </w:r>
      <w:proofErr w:type="spellEnd"/>
      <w:r w:rsidRPr="00F469F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7A277" w14:textId="0F66CD13" w:rsidR="00CA7084" w:rsidRPr="00F469F1" w:rsidRDefault="00CA7084" w:rsidP="00F469F1">
      <w:pPr>
        <w:snapToGrid w:val="0"/>
        <w:spacing w:line="360" w:lineRule="auto"/>
        <w:rPr>
          <w:rFonts w:ascii="Book Antiqua" w:eastAsia="宋体" w:hAnsi="Book Antiqua" w:cs="Times New Roman"/>
          <w:sz w:val="24"/>
          <w:szCs w:val="24"/>
          <w:lang w:val="en-GB"/>
        </w:rPr>
      </w:pPr>
    </w:p>
    <w:p w14:paraId="1A54AA77" w14:textId="77777777" w:rsidR="00BC42C3" w:rsidRPr="00F469F1" w:rsidRDefault="00BC42C3" w:rsidP="00F469F1">
      <w:pPr>
        <w:adjustRightInd w:val="0"/>
        <w:snapToGrid w:val="0"/>
        <w:spacing w:line="360" w:lineRule="auto"/>
        <w:rPr>
          <w:rFonts w:ascii="Book Antiqua" w:hAnsi="Book Antiqua"/>
          <w:bCs/>
          <w:color w:val="000000"/>
          <w:sz w:val="24"/>
          <w:szCs w:val="24"/>
        </w:rPr>
      </w:pPr>
      <w:r w:rsidRPr="00F469F1">
        <w:rPr>
          <w:rFonts w:ascii="Book Antiqua" w:hAnsi="Book Antiqua"/>
          <w:b/>
          <w:color w:val="000000"/>
          <w:sz w:val="24"/>
          <w:szCs w:val="24"/>
          <w:lang w:eastAsia="pl-PL"/>
        </w:rPr>
        <w:t>Manuscript source:</w:t>
      </w:r>
      <w:r w:rsidRPr="00F469F1">
        <w:rPr>
          <w:rFonts w:ascii="Book Antiqua" w:hAnsi="Book Antiqua"/>
          <w:b/>
          <w:color w:val="000000"/>
          <w:sz w:val="24"/>
          <w:szCs w:val="24"/>
        </w:rPr>
        <w:t xml:space="preserve"> </w:t>
      </w:r>
      <w:r w:rsidRPr="00F469F1">
        <w:rPr>
          <w:rFonts w:ascii="Book Antiqua" w:hAnsi="Book Antiqua"/>
          <w:color w:val="000000"/>
          <w:sz w:val="24"/>
          <w:szCs w:val="24"/>
          <w:lang w:eastAsia="pl-PL"/>
        </w:rPr>
        <w:t>Unsolicited manuscript</w:t>
      </w:r>
    </w:p>
    <w:p w14:paraId="3D1C46BC" w14:textId="77777777" w:rsidR="00BC42C3" w:rsidRPr="00F469F1" w:rsidRDefault="00BC42C3" w:rsidP="00F469F1">
      <w:pPr>
        <w:adjustRightInd w:val="0"/>
        <w:snapToGrid w:val="0"/>
        <w:spacing w:line="360" w:lineRule="auto"/>
        <w:rPr>
          <w:rFonts w:ascii="Book Antiqua" w:hAnsi="Book Antiqua"/>
          <w:b/>
          <w:bCs/>
          <w:color w:val="000000"/>
          <w:sz w:val="24"/>
          <w:szCs w:val="24"/>
        </w:rPr>
      </w:pPr>
    </w:p>
    <w:p w14:paraId="027A7E65" w14:textId="2902FF6D"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Peer-review started: </w:t>
      </w:r>
      <w:r w:rsidRPr="00F469F1">
        <w:rPr>
          <w:rFonts w:ascii="Book Antiqua" w:hAnsi="Book Antiqua" w:cs="Times New Roman"/>
          <w:bCs/>
          <w:sz w:val="24"/>
          <w:szCs w:val="24"/>
        </w:rPr>
        <w:t>May 2, 2020</w:t>
      </w:r>
    </w:p>
    <w:p w14:paraId="304F946A" w14:textId="1C660D6C"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First decision: </w:t>
      </w:r>
      <w:r w:rsidRPr="00F469F1">
        <w:rPr>
          <w:rFonts w:ascii="Book Antiqua" w:hAnsi="Book Antiqua" w:cs="Times New Roman"/>
          <w:bCs/>
          <w:sz w:val="24"/>
          <w:szCs w:val="24"/>
        </w:rPr>
        <w:t>May 2</w:t>
      </w:r>
      <w:r w:rsidR="00783ADA" w:rsidRPr="00F469F1">
        <w:rPr>
          <w:rFonts w:ascii="Book Antiqua" w:hAnsi="Book Antiqua" w:cs="Times New Roman"/>
          <w:bCs/>
          <w:sz w:val="24"/>
          <w:szCs w:val="24"/>
        </w:rPr>
        <w:t>6</w:t>
      </w:r>
      <w:r w:rsidRPr="00F469F1">
        <w:rPr>
          <w:rFonts w:ascii="Book Antiqua" w:hAnsi="Book Antiqua" w:cs="Times New Roman"/>
          <w:bCs/>
          <w:sz w:val="24"/>
          <w:szCs w:val="24"/>
        </w:rPr>
        <w:t>, 2020</w:t>
      </w:r>
    </w:p>
    <w:p w14:paraId="77FD6CAD" w14:textId="46BDDD98" w:rsidR="00BC42C3" w:rsidRPr="00F469F1" w:rsidRDefault="00BC42C3" w:rsidP="00F469F1">
      <w:pPr>
        <w:widowControl/>
        <w:adjustRightInd w:val="0"/>
        <w:snapToGrid w:val="0"/>
        <w:spacing w:line="360" w:lineRule="auto"/>
        <w:rPr>
          <w:rFonts w:ascii="Book Antiqua" w:hAnsi="Book Antiqua"/>
          <w:b/>
          <w:sz w:val="24"/>
          <w:szCs w:val="24"/>
        </w:rPr>
      </w:pPr>
      <w:r w:rsidRPr="00F469F1">
        <w:rPr>
          <w:rFonts w:ascii="Book Antiqua" w:hAnsi="Book Antiqua"/>
          <w:b/>
          <w:sz w:val="24"/>
          <w:szCs w:val="24"/>
        </w:rPr>
        <w:t>Article in press:</w:t>
      </w:r>
      <w:r w:rsidR="00C34115" w:rsidRPr="00C34115">
        <w:rPr>
          <w:rStyle w:val="fontstyle01"/>
          <w:rFonts w:cs="Times New Roman"/>
          <w:b w:val="0"/>
          <w:color w:val="auto"/>
        </w:rPr>
        <w:t xml:space="preserve"> </w:t>
      </w:r>
      <w:r w:rsidR="00C34115" w:rsidRPr="00B41238">
        <w:rPr>
          <w:rStyle w:val="fontstyle01"/>
          <w:rFonts w:cs="Times New Roman"/>
          <w:b w:val="0"/>
          <w:color w:val="auto"/>
        </w:rPr>
        <w:t>August 4, 2020</w:t>
      </w:r>
    </w:p>
    <w:p w14:paraId="503F30F4" w14:textId="77777777" w:rsidR="00BC42C3" w:rsidRPr="00F469F1" w:rsidRDefault="00BC42C3" w:rsidP="00F469F1">
      <w:pPr>
        <w:widowControl/>
        <w:adjustRightInd w:val="0"/>
        <w:snapToGrid w:val="0"/>
        <w:spacing w:line="360" w:lineRule="auto"/>
        <w:rPr>
          <w:rFonts w:ascii="Book Antiqua" w:hAnsi="Book Antiqua"/>
          <w:sz w:val="24"/>
          <w:szCs w:val="24"/>
        </w:rPr>
      </w:pPr>
    </w:p>
    <w:p w14:paraId="2345EBB7" w14:textId="357B2015" w:rsidR="00BC42C3" w:rsidRPr="00F469F1" w:rsidRDefault="00BC42C3" w:rsidP="00F469F1">
      <w:pPr>
        <w:snapToGrid w:val="0"/>
        <w:spacing w:line="360" w:lineRule="auto"/>
        <w:rPr>
          <w:rFonts w:ascii="Book Antiqua" w:hAnsi="Book Antiqua"/>
          <w:sz w:val="24"/>
          <w:szCs w:val="24"/>
        </w:rPr>
      </w:pPr>
      <w:r w:rsidRPr="00F469F1">
        <w:rPr>
          <w:rFonts w:ascii="Book Antiqua" w:hAnsi="Book Antiqua" w:cs="宋体"/>
          <w:b/>
          <w:sz w:val="24"/>
          <w:szCs w:val="24"/>
        </w:rPr>
        <w:lastRenderedPageBreak/>
        <w:t xml:space="preserve">Specialty type: </w:t>
      </w:r>
      <w:r w:rsidR="007B78C6" w:rsidRPr="00F469F1">
        <w:rPr>
          <w:rFonts w:ascii="Book Antiqua" w:eastAsia="微软雅黑" w:hAnsi="Book Antiqua" w:cs="宋体"/>
          <w:kern w:val="0"/>
          <w:sz w:val="24"/>
          <w:szCs w:val="24"/>
        </w:rPr>
        <w:t>Oncology</w:t>
      </w:r>
    </w:p>
    <w:p w14:paraId="4C70949C" w14:textId="6904263C"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b/>
          <w:sz w:val="24"/>
          <w:szCs w:val="24"/>
        </w:rPr>
        <w:t>Country/Territory of origin:</w:t>
      </w:r>
      <w:r w:rsidRPr="00F469F1">
        <w:rPr>
          <w:rFonts w:ascii="Book Antiqua" w:hAnsi="Book Antiqua" w:cs="Times New Roman"/>
          <w:b/>
          <w:bCs/>
          <w:sz w:val="24"/>
          <w:szCs w:val="24"/>
        </w:rPr>
        <w:t xml:space="preserve"> </w:t>
      </w:r>
      <w:r w:rsidRPr="00F469F1">
        <w:rPr>
          <w:rFonts w:ascii="Book Antiqua" w:hAnsi="Book Antiqua" w:cs="Times New Roman"/>
          <w:sz w:val="24"/>
          <w:szCs w:val="24"/>
        </w:rPr>
        <w:t>China</w:t>
      </w:r>
    </w:p>
    <w:p w14:paraId="1602094E" w14:textId="77777777" w:rsidR="00BC42C3" w:rsidRPr="00F469F1" w:rsidRDefault="00BC42C3" w:rsidP="00F469F1">
      <w:pPr>
        <w:adjustRightInd w:val="0"/>
        <w:snapToGrid w:val="0"/>
        <w:spacing w:line="360" w:lineRule="auto"/>
        <w:rPr>
          <w:rFonts w:ascii="Book Antiqua" w:hAnsi="Book Antiqua" w:cs="宋体"/>
          <w:b/>
          <w:sz w:val="24"/>
          <w:szCs w:val="24"/>
        </w:rPr>
      </w:pPr>
      <w:r w:rsidRPr="00F469F1">
        <w:rPr>
          <w:rFonts w:ascii="Book Antiqua" w:hAnsi="Book Antiqua" w:cs="宋体"/>
          <w:b/>
          <w:sz w:val="24"/>
          <w:szCs w:val="24"/>
        </w:rPr>
        <w:t>Peer-review report’s scientific quality classification</w:t>
      </w:r>
    </w:p>
    <w:p w14:paraId="672BA6A3" w14:textId="06846400" w:rsidR="00BC42C3" w:rsidRPr="00F469F1" w:rsidRDefault="00F92885"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w:t>
      </w:r>
      <w:proofErr w:type="gramStart"/>
      <w:r w:rsidRPr="00F469F1">
        <w:rPr>
          <w:rFonts w:ascii="Book Antiqua" w:hAnsi="Book Antiqua" w:cs="宋体"/>
          <w:sz w:val="24"/>
          <w:szCs w:val="24"/>
        </w:rPr>
        <w:t>A</w:t>
      </w:r>
      <w:proofErr w:type="gramEnd"/>
      <w:r w:rsidRPr="00F469F1">
        <w:rPr>
          <w:rFonts w:ascii="Book Antiqua" w:hAnsi="Book Antiqua" w:cs="宋体"/>
          <w:sz w:val="24"/>
          <w:szCs w:val="24"/>
        </w:rPr>
        <w:t xml:space="preserve"> </w:t>
      </w:r>
      <w:r w:rsidR="00BC42C3" w:rsidRPr="00F469F1">
        <w:rPr>
          <w:rFonts w:ascii="Book Antiqua" w:hAnsi="Book Antiqua" w:cs="宋体"/>
          <w:sz w:val="24"/>
          <w:szCs w:val="24"/>
        </w:rPr>
        <w:t xml:space="preserve">(Excellent): </w:t>
      </w:r>
      <w:r w:rsidR="007B78C6" w:rsidRPr="00F469F1">
        <w:rPr>
          <w:rFonts w:ascii="Book Antiqua" w:hAnsi="Book Antiqua" w:cs="宋体"/>
          <w:sz w:val="24"/>
          <w:szCs w:val="24"/>
        </w:rPr>
        <w:t>0</w:t>
      </w:r>
    </w:p>
    <w:p w14:paraId="10A4A8FD" w14:textId="065EF9CC" w:rsidR="00BC42C3" w:rsidRPr="00F469F1" w:rsidRDefault="0019079E"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B (Very good): 0</w:t>
      </w:r>
    </w:p>
    <w:p w14:paraId="17F3A95C" w14:textId="77777777"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C (Good): C</w:t>
      </w:r>
    </w:p>
    <w:p w14:paraId="79B4F1C7" w14:textId="77777777" w:rsidR="00BC42C3" w:rsidRPr="00F469F1" w:rsidRDefault="00BC42C3" w:rsidP="00F469F1">
      <w:pPr>
        <w:adjustRightInd w:val="0"/>
        <w:snapToGrid w:val="0"/>
        <w:spacing w:line="360" w:lineRule="auto"/>
        <w:rPr>
          <w:rFonts w:ascii="Book Antiqua" w:hAnsi="Book Antiqua" w:cs="宋体"/>
          <w:sz w:val="24"/>
          <w:szCs w:val="24"/>
        </w:rPr>
      </w:pPr>
      <w:r w:rsidRPr="00F469F1">
        <w:rPr>
          <w:rFonts w:ascii="Book Antiqua" w:hAnsi="Book Antiqua" w:cs="宋体"/>
          <w:sz w:val="24"/>
          <w:szCs w:val="24"/>
        </w:rPr>
        <w:t>Grade D (Fair): 0</w:t>
      </w:r>
    </w:p>
    <w:p w14:paraId="2DAC6AD0" w14:textId="77777777" w:rsidR="00BC42C3" w:rsidRPr="00F469F1" w:rsidRDefault="00BC42C3" w:rsidP="00F469F1">
      <w:pPr>
        <w:adjustRightInd w:val="0"/>
        <w:snapToGrid w:val="0"/>
        <w:spacing w:line="360" w:lineRule="auto"/>
        <w:rPr>
          <w:rFonts w:ascii="Book Antiqua" w:eastAsia="等线" w:hAnsi="Book Antiqua"/>
          <w:sz w:val="24"/>
          <w:szCs w:val="24"/>
          <w:lang w:val="hu-HU"/>
        </w:rPr>
      </w:pPr>
      <w:r w:rsidRPr="00F469F1">
        <w:rPr>
          <w:rFonts w:ascii="Book Antiqua" w:hAnsi="Book Antiqua" w:cs="宋体"/>
          <w:sz w:val="24"/>
          <w:szCs w:val="24"/>
        </w:rPr>
        <w:t>Grade E (Poor): 0</w:t>
      </w:r>
    </w:p>
    <w:p w14:paraId="4A8A6948" w14:textId="77777777" w:rsidR="00BC42C3" w:rsidRPr="00F469F1" w:rsidRDefault="00BC42C3" w:rsidP="00F469F1">
      <w:pPr>
        <w:adjustRightInd w:val="0"/>
        <w:snapToGrid w:val="0"/>
        <w:spacing w:line="360" w:lineRule="auto"/>
        <w:rPr>
          <w:rFonts w:ascii="Book Antiqua" w:hAnsi="Book Antiqua"/>
          <w:b/>
          <w:bCs/>
          <w:sz w:val="24"/>
          <w:szCs w:val="24"/>
          <w:lang w:val="hu-HU"/>
        </w:rPr>
      </w:pPr>
    </w:p>
    <w:p w14:paraId="69BD13CD" w14:textId="6C5078DA" w:rsidR="004530F7" w:rsidRPr="00F469F1" w:rsidRDefault="00BC42C3" w:rsidP="00F469F1">
      <w:pPr>
        <w:adjustRightInd w:val="0"/>
        <w:snapToGrid w:val="0"/>
        <w:spacing w:line="360" w:lineRule="auto"/>
        <w:rPr>
          <w:rFonts w:ascii="Book Antiqua" w:hAnsi="Book Antiqua"/>
          <w:b/>
          <w:sz w:val="24"/>
          <w:szCs w:val="24"/>
        </w:rPr>
      </w:pPr>
      <w:r w:rsidRPr="00F469F1">
        <w:rPr>
          <w:rFonts w:ascii="Book Antiqua" w:hAnsi="Book Antiqua"/>
          <w:b/>
          <w:sz w:val="24"/>
          <w:szCs w:val="24"/>
        </w:rPr>
        <w:t xml:space="preserve">P-Reviewer: </w:t>
      </w:r>
      <w:r w:rsidR="007B78C6" w:rsidRPr="00F469F1">
        <w:rPr>
          <w:rFonts w:ascii="Book Antiqua" w:hAnsi="Book Antiqua"/>
          <w:sz w:val="24"/>
          <w:szCs w:val="24"/>
        </w:rPr>
        <w:t>Casella C</w:t>
      </w:r>
      <w:r w:rsidRPr="00F469F1">
        <w:rPr>
          <w:rFonts w:ascii="Book Antiqua" w:hAnsi="Book Antiqua"/>
          <w:b/>
          <w:sz w:val="24"/>
          <w:szCs w:val="24"/>
        </w:rPr>
        <w:t xml:space="preserve"> S-Editor:</w:t>
      </w:r>
      <w:r w:rsidRPr="00F469F1">
        <w:rPr>
          <w:rFonts w:ascii="Book Antiqua" w:hAnsi="Book Antiqua"/>
          <w:sz w:val="24"/>
          <w:szCs w:val="24"/>
        </w:rPr>
        <w:t xml:space="preserve"> Zhang L </w:t>
      </w:r>
      <w:r w:rsidRPr="00F469F1">
        <w:rPr>
          <w:rFonts w:ascii="Book Antiqua" w:hAnsi="Book Antiqua"/>
          <w:b/>
          <w:sz w:val="24"/>
          <w:szCs w:val="24"/>
        </w:rPr>
        <w:t>L-Editor:</w:t>
      </w:r>
      <w:r w:rsidRPr="00F469F1">
        <w:rPr>
          <w:rFonts w:ascii="Book Antiqua" w:hAnsi="Book Antiqua"/>
          <w:sz w:val="24"/>
          <w:szCs w:val="24"/>
        </w:rPr>
        <w:t xml:space="preserve"> </w:t>
      </w:r>
      <w:r w:rsidR="009D0FCD">
        <w:rPr>
          <w:rFonts w:ascii="Book Antiqua" w:hAnsi="Book Antiqua"/>
          <w:sz w:val="24"/>
          <w:szCs w:val="24"/>
        </w:rPr>
        <w:t xml:space="preserve">Wang TQ </w:t>
      </w:r>
      <w:r w:rsidR="00C34115">
        <w:rPr>
          <w:rFonts w:ascii="Book Antiqua" w:hAnsi="Book Antiqua" w:hint="eastAsia"/>
          <w:b/>
          <w:sz w:val="24"/>
          <w:szCs w:val="24"/>
        </w:rPr>
        <w:t>P</w:t>
      </w:r>
      <w:r w:rsidRPr="00F469F1">
        <w:rPr>
          <w:rFonts w:ascii="Book Antiqua" w:hAnsi="Book Antiqua"/>
          <w:b/>
          <w:sz w:val="24"/>
          <w:szCs w:val="24"/>
        </w:rPr>
        <w:t>-Editor:</w:t>
      </w:r>
      <w:r w:rsidR="00C34115">
        <w:rPr>
          <w:rFonts w:ascii="Book Antiqua" w:hAnsi="Book Antiqua" w:hint="eastAsia"/>
          <w:b/>
          <w:sz w:val="24"/>
          <w:szCs w:val="24"/>
        </w:rPr>
        <w:t xml:space="preserve"> </w:t>
      </w:r>
      <w:r w:rsidR="00C34115" w:rsidRPr="00C34115">
        <w:rPr>
          <w:rFonts w:ascii="Book Antiqua" w:hAnsi="Book Antiqua" w:hint="eastAsia"/>
          <w:sz w:val="24"/>
          <w:szCs w:val="24"/>
        </w:rPr>
        <w:t>Wang LL</w:t>
      </w:r>
    </w:p>
    <w:p w14:paraId="68F44474" w14:textId="77777777" w:rsidR="004530F7" w:rsidRPr="00F469F1" w:rsidRDefault="004530F7" w:rsidP="00F469F1">
      <w:pPr>
        <w:widowControl/>
        <w:snapToGrid w:val="0"/>
        <w:spacing w:line="360" w:lineRule="auto"/>
        <w:rPr>
          <w:rFonts w:ascii="Book Antiqua" w:hAnsi="Book Antiqua"/>
          <w:b/>
          <w:sz w:val="24"/>
          <w:szCs w:val="24"/>
        </w:rPr>
      </w:pPr>
      <w:r w:rsidRPr="00F469F1">
        <w:rPr>
          <w:rFonts w:ascii="Book Antiqua" w:hAnsi="Book Antiqua"/>
          <w:b/>
          <w:sz w:val="24"/>
          <w:szCs w:val="24"/>
        </w:rPr>
        <w:br w:type="page"/>
      </w:r>
    </w:p>
    <w:p w14:paraId="18E72D70" w14:textId="77777777" w:rsidR="004530F7" w:rsidRPr="00F469F1" w:rsidRDefault="004530F7" w:rsidP="00F469F1">
      <w:pPr>
        <w:snapToGrid w:val="0"/>
        <w:spacing w:line="360" w:lineRule="auto"/>
        <w:rPr>
          <w:rFonts w:ascii="Book Antiqua" w:hAnsi="Book Antiqua"/>
          <w:sz w:val="24"/>
          <w:szCs w:val="24"/>
        </w:rPr>
      </w:pPr>
      <w:r w:rsidRPr="00F469F1">
        <w:rPr>
          <w:rFonts w:ascii="Book Antiqua" w:hAnsi="Book Antiqua"/>
          <w:b/>
          <w:bCs/>
          <w:sz w:val="24"/>
          <w:szCs w:val="24"/>
        </w:rPr>
        <w:lastRenderedPageBreak/>
        <w:t>Figure Legends</w:t>
      </w:r>
    </w:p>
    <w:p w14:paraId="39244A09" w14:textId="6D959855" w:rsidR="004530F7" w:rsidRPr="00F469F1" w:rsidRDefault="004530F7" w:rsidP="00F469F1">
      <w:pPr>
        <w:adjustRightInd w:val="0"/>
        <w:snapToGrid w:val="0"/>
        <w:spacing w:line="360" w:lineRule="auto"/>
        <w:rPr>
          <w:rFonts w:ascii="Book Antiqua" w:hAnsi="Book Antiqua"/>
          <w:b/>
          <w:sz w:val="24"/>
          <w:szCs w:val="24"/>
        </w:rPr>
      </w:pPr>
      <w:r w:rsidRPr="00F469F1">
        <w:rPr>
          <w:rFonts w:ascii="Book Antiqua" w:eastAsia="宋体" w:hAnsi="Book Antiqua" w:cs="Times New Roman"/>
          <w:b/>
          <w:noProof/>
          <w:sz w:val="24"/>
          <w:szCs w:val="24"/>
        </w:rPr>
        <w:drawing>
          <wp:inline distT="0" distB="0" distL="0" distR="0" wp14:anchorId="1F01DBC2" wp14:editId="25586417">
            <wp:extent cx="3159419" cy="35528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1023" cy="3554629"/>
                    </a:xfrm>
                    <a:prstGeom prst="rect">
                      <a:avLst/>
                    </a:prstGeom>
                  </pic:spPr>
                </pic:pic>
              </a:graphicData>
            </a:graphic>
          </wp:inline>
        </w:drawing>
      </w:r>
    </w:p>
    <w:p w14:paraId="21393E78" w14:textId="3B38D0CC" w:rsidR="005630AF" w:rsidRPr="00F469F1" w:rsidRDefault="004530F7"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 xml:space="preserve">Figure 1 Kaplan-Meier curves for </w:t>
      </w:r>
      <w:r w:rsidR="00884141" w:rsidRPr="00F469F1">
        <w:rPr>
          <w:rFonts w:ascii="Book Antiqua" w:eastAsia="宋体" w:hAnsi="Book Antiqua" w:cs="Times New Roman"/>
          <w:b/>
          <w:sz w:val="24"/>
          <w:szCs w:val="24"/>
        </w:rPr>
        <w:t>overall survival</w:t>
      </w:r>
      <w:r w:rsidRPr="00F469F1">
        <w:rPr>
          <w:rFonts w:ascii="Book Antiqua" w:eastAsia="宋体" w:hAnsi="Book Antiqua" w:cs="Times New Roman"/>
          <w:b/>
          <w:sz w:val="24"/>
          <w:szCs w:val="24"/>
        </w:rPr>
        <w:t xml:space="preserve"> stratified according to </w:t>
      </w:r>
      <w:r w:rsidR="00884141" w:rsidRPr="00F469F1">
        <w:rPr>
          <w:rFonts w:ascii="Book Antiqua" w:eastAsia="宋体" w:hAnsi="Book Antiqua" w:cs="Times New Roman"/>
          <w:b/>
          <w:sz w:val="24"/>
          <w:szCs w:val="24"/>
        </w:rPr>
        <w:t>Gamma-</w:t>
      </w:r>
      <w:proofErr w:type="spellStart"/>
      <w:r w:rsidR="00884141" w:rsidRPr="00F469F1">
        <w:rPr>
          <w:rFonts w:ascii="Book Antiqua" w:eastAsia="宋体" w:hAnsi="Book Antiqua" w:cs="Times New Roman"/>
          <w:b/>
          <w:sz w:val="24"/>
          <w:szCs w:val="24"/>
        </w:rPr>
        <w:t>glutamyl</w:t>
      </w:r>
      <w:proofErr w:type="spellEnd"/>
      <w:r w:rsidR="00884141" w:rsidRPr="00F469F1">
        <w:rPr>
          <w:rFonts w:ascii="Book Antiqua" w:eastAsia="宋体" w:hAnsi="Book Antiqua" w:cs="Times New Roman"/>
          <w:b/>
          <w:sz w:val="24"/>
          <w:szCs w:val="24"/>
        </w:rPr>
        <w:t xml:space="preserve"> transferase–to–platelet ratio</w:t>
      </w:r>
      <w:r w:rsidR="00F92885" w:rsidRPr="00F469F1">
        <w:rPr>
          <w:rFonts w:ascii="Book Antiqua" w:eastAsia="宋体" w:hAnsi="Book Antiqua" w:cs="Times New Roman"/>
          <w:b/>
          <w:sz w:val="24"/>
          <w:szCs w:val="24"/>
        </w:rPr>
        <w:t>.</w:t>
      </w:r>
    </w:p>
    <w:p w14:paraId="39DAE742" w14:textId="77777777" w:rsidR="00AE496F" w:rsidRPr="00F469F1" w:rsidRDefault="00AE496F"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76F37B89" w14:textId="0336DF48" w:rsidR="002274E9" w:rsidRPr="00F469F1" w:rsidRDefault="009F747E"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noProof/>
          <w:sz w:val="24"/>
          <w:szCs w:val="24"/>
        </w:rPr>
        <w:lastRenderedPageBreak/>
        <w:drawing>
          <wp:inline distT="0" distB="0" distL="0" distR="0" wp14:anchorId="17E506A4" wp14:editId="5BD73010">
            <wp:extent cx="5274310" cy="266636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66365"/>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2 Kaplan-Meier curves for </w:t>
      </w:r>
      <w:r w:rsidR="00884141" w:rsidRPr="00F469F1">
        <w:rPr>
          <w:rFonts w:ascii="Book Antiqua" w:eastAsia="宋体" w:hAnsi="Book Antiqua" w:cs="Times New Roman"/>
          <w:b/>
          <w:sz w:val="24"/>
          <w:szCs w:val="24"/>
        </w:rPr>
        <w:t>overall survival</w:t>
      </w:r>
      <w:r w:rsidR="002274E9" w:rsidRPr="00F469F1">
        <w:rPr>
          <w:rFonts w:ascii="Book Antiqua" w:eastAsia="宋体" w:hAnsi="Book Antiqua" w:cs="Times New Roman"/>
          <w:b/>
          <w:sz w:val="24"/>
          <w:szCs w:val="24"/>
        </w:rPr>
        <w:t xml:space="preserve"> of different </w:t>
      </w:r>
      <w:r w:rsidR="00884141" w:rsidRPr="00F469F1">
        <w:rPr>
          <w:rFonts w:ascii="Book Antiqua" w:eastAsia="宋体" w:hAnsi="Book Antiqua" w:cs="Times New Roman"/>
          <w:b/>
          <w:sz w:val="24"/>
          <w:szCs w:val="24"/>
        </w:rPr>
        <w:t>tumor–node–metastasis</w:t>
      </w:r>
      <w:r w:rsidR="002274E9" w:rsidRPr="00F469F1">
        <w:rPr>
          <w:rFonts w:ascii="Book Antiqua" w:eastAsia="宋体" w:hAnsi="Book Antiqua" w:cs="Times New Roman"/>
          <w:b/>
          <w:sz w:val="24"/>
          <w:szCs w:val="24"/>
        </w:rPr>
        <w:t xml:space="preserve"> stage</w:t>
      </w:r>
      <w:r w:rsidR="009D0FCD">
        <w:rPr>
          <w:rFonts w:ascii="Book Antiqua" w:eastAsia="宋体" w:hAnsi="Book Antiqua" w:cs="Times New Roman"/>
          <w:b/>
          <w:sz w:val="24"/>
          <w:szCs w:val="24"/>
        </w:rPr>
        <w:t>s</w:t>
      </w:r>
      <w:r w:rsidR="002274E9" w:rsidRPr="00F469F1">
        <w:rPr>
          <w:rFonts w:ascii="Book Antiqua" w:eastAsia="宋体" w:hAnsi="Book Antiqua" w:cs="Times New Roman"/>
          <w:b/>
          <w:sz w:val="24"/>
          <w:szCs w:val="24"/>
        </w:rPr>
        <w:t xml:space="preserve"> stratified according to </w:t>
      </w:r>
      <w:r w:rsidR="009045FA" w:rsidRPr="00F469F1">
        <w:rPr>
          <w:rFonts w:ascii="Book Antiqua" w:eastAsia="宋体" w:hAnsi="Book Antiqua" w:cs="Times New Roman"/>
          <w:b/>
          <w:sz w:val="24"/>
          <w:szCs w:val="24"/>
        </w:rPr>
        <w:t>g</w:t>
      </w:r>
      <w:r w:rsidR="00884141" w:rsidRPr="00F469F1">
        <w:rPr>
          <w:rFonts w:ascii="Book Antiqua" w:eastAsia="宋体" w:hAnsi="Book Antiqua" w:cs="Times New Roman"/>
          <w:b/>
          <w:sz w:val="24"/>
          <w:szCs w:val="24"/>
        </w:rPr>
        <w:t>amma-</w:t>
      </w:r>
      <w:proofErr w:type="spellStart"/>
      <w:r w:rsidR="00884141" w:rsidRPr="00F469F1">
        <w:rPr>
          <w:rFonts w:ascii="Book Antiqua" w:eastAsia="宋体" w:hAnsi="Book Antiqua" w:cs="Times New Roman"/>
          <w:b/>
          <w:sz w:val="24"/>
          <w:szCs w:val="24"/>
        </w:rPr>
        <w:t>glutamyl</w:t>
      </w:r>
      <w:proofErr w:type="spellEnd"/>
      <w:r w:rsidR="00884141" w:rsidRPr="00F469F1">
        <w:rPr>
          <w:rFonts w:ascii="Book Antiqua" w:eastAsia="宋体" w:hAnsi="Book Antiqua" w:cs="Times New Roman"/>
          <w:b/>
          <w:sz w:val="24"/>
          <w:szCs w:val="24"/>
        </w:rPr>
        <w:t xml:space="preserve"> transferase–to–platelet ratio</w:t>
      </w:r>
      <w:r w:rsidR="00F92885" w:rsidRPr="00F469F1">
        <w:rPr>
          <w:rFonts w:ascii="Book Antiqua" w:eastAsia="宋体" w:hAnsi="Book Antiqua" w:cs="Times New Roman"/>
          <w:b/>
          <w:sz w:val="24"/>
          <w:szCs w:val="24"/>
        </w:rPr>
        <w:t>.</w:t>
      </w:r>
    </w:p>
    <w:p w14:paraId="5ABFA330" w14:textId="11C9E5B4" w:rsidR="00AE496F" w:rsidRPr="00F469F1" w:rsidRDefault="00AE496F"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43CF6F77" w14:textId="4676E320" w:rsidR="002274E9" w:rsidRPr="00F469F1" w:rsidRDefault="009F747E"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inline distT="0" distB="0" distL="0" distR="0" wp14:anchorId="280FFA2D" wp14:editId="0094A5E4">
            <wp:extent cx="5274310" cy="48679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4867910"/>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3</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Prediction nomogram for survival probability</w:t>
      </w:r>
      <w:r w:rsidR="00AE496F" w:rsidRPr="00F469F1">
        <w:rPr>
          <w:rFonts w:ascii="Book Antiqua" w:eastAsia="宋体" w:hAnsi="Book Antiqua" w:cs="Times New Roman"/>
          <w:b/>
          <w:sz w:val="24"/>
          <w:szCs w:val="24"/>
        </w:rPr>
        <w:t>.</w:t>
      </w:r>
      <w:r w:rsidR="00AE496F"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AE496F"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 xml:space="preserve">Nomogram for </w:t>
      </w:r>
      <w:r w:rsidR="00F92885" w:rsidRPr="00F469F1">
        <w:rPr>
          <w:rFonts w:ascii="Book Antiqua" w:eastAsia="宋体" w:hAnsi="Book Antiqua" w:cs="Times New Roman"/>
          <w:noProof/>
          <w:sz w:val="24"/>
          <w:szCs w:val="24"/>
        </w:rPr>
        <w:t>overall survival</w:t>
      </w:r>
      <w:r w:rsidR="003550E5"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1-year survival probability</w:t>
      </w:r>
      <w:r w:rsidR="003550E5" w:rsidRPr="00F469F1">
        <w:rPr>
          <w:rFonts w:ascii="Book Antiqua" w:hAnsi="Book Antiqua"/>
          <w:sz w:val="24"/>
          <w:szCs w:val="24"/>
        </w:rPr>
        <w:t xml:space="preserve">; </w:t>
      </w:r>
      <w:r w:rsidR="002274E9" w:rsidRPr="00F469F1">
        <w:rPr>
          <w:rFonts w:ascii="Book Antiqua" w:eastAsia="宋体" w:hAnsi="Book Antiqua" w:cs="Times New Roman"/>
          <w:sz w:val="24"/>
          <w:szCs w:val="24"/>
        </w:rPr>
        <w:t>C</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3-year survival probability</w:t>
      </w:r>
      <w:r w:rsidR="003550E5" w:rsidRPr="00F469F1">
        <w:rPr>
          <w:rFonts w:ascii="Book Antiqua" w:hAnsi="Book Antiqua"/>
          <w:sz w:val="24"/>
          <w:szCs w:val="24"/>
        </w:rPr>
        <w:t xml:space="preserve">; </w:t>
      </w:r>
      <w:r w:rsidR="00EF29DB" w:rsidRPr="00F469F1">
        <w:rPr>
          <w:rFonts w:ascii="Book Antiqua" w:hAnsi="Book Antiqua"/>
          <w:sz w:val="24"/>
          <w:szCs w:val="24"/>
        </w:rPr>
        <w:t xml:space="preserve">and </w:t>
      </w:r>
      <w:r w:rsidR="002274E9" w:rsidRPr="00F469F1">
        <w:rPr>
          <w:rFonts w:ascii="Book Antiqua" w:eastAsia="宋体" w:hAnsi="Book Antiqua" w:cs="Times New Roman"/>
          <w:sz w:val="24"/>
          <w:szCs w:val="24"/>
        </w:rPr>
        <w:t>D</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Calibration curve for the nomogram for predicting 5-year survival probability.</w:t>
      </w:r>
    </w:p>
    <w:p w14:paraId="36EEFEFD" w14:textId="0A91B40C" w:rsidR="00AE496F" w:rsidRPr="00F469F1" w:rsidRDefault="00AE496F" w:rsidP="00F469F1">
      <w:pPr>
        <w:widowControl/>
        <w:snapToGrid w:val="0"/>
        <w:spacing w:line="360" w:lineRule="auto"/>
        <w:rPr>
          <w:rFonts w:ascii="Book Antiqua" w:eastAsia="宋体" w:hAnsi="Book Antiqua" w:cs="Times New Roman"/>
          <w:noProof/>
          <w:sz w:val="24"/>
          <w:szCs w:val="24"/>
        </w:rPr>
      </w:pPr>
      <w:r w:rsidRPr="00F469F1">
        <w:rPr>
          <w:rFonts w:ascii="Book Antiqua" w:eastAsia="宋体" w:hAnsi="Book Antiqua" w:cs="Times New Roman"/>
          <w:noProof/>
          <w:sz w:val="24"/>
          <w:szCs w:val="24"/>
        </w:rPr>
        <w:br w:type="page"/>
      </w:r>
    </w:p>
    <w:p w14:paraId="15A84EBE" w14:textId="1174E8CB" w:rsidR="00B40E62" w:rsidRPr="00F469F1" w:rsidRDefault="00EF29D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inline distT="0" distB="0" distL="0" distR="0" wp14:anchorId="60D98F87" wp14:editId="5A6F117E">
            <wp:extent cx="5274310" cy="1936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936750"/>
                    </a:xfrm>
                    <a:prstGeom prst="rect">
                      <a:avLst/>
                    </a:prstGeom>
                  </pic:spPr>
                </pic:pic>
              </a:graphicData>
            </a:graphic>
          </wp:inline>
        </w:drawing>
      </w:r>
      <w:r w:rsidR="002274E9" w:rsidRPr="00F469F1">
        <w:rPr>
          <w:rFonts w:ascii="Book Antiqua" w:eastAsia="宋体" w:hAnsi="Book Antiqua" w:cs="Times New Roman"/>
          <w:b/>
          <w:sz w:val="24"/>
          <w:szCs w:val="24"/>
        </w:rPr>
        <w:t>F</w:t>
      </w:r>
      <w:r w:rsidR="00AE496F" w:rsidRPr="00F469F1">
        <w:rPr>
          <w:rFonts w:ascii="Book Antiqua" w:eastAsia="宋体" w:hAnsi="Book Antiqua" w:cs="Times New Roman"/>
          <w:b/>
          <w:sz w:val="24"/>
          <w:szCs w:val="24"/>
        </w:rPr>
        <w:t>igure</w:t>
      </w:r>
      <w:r w:rsidR="002274E9" w:rsidRPr="00F469F1">
        <w:rPr>
          <w:rFonts w:ascii="Book Antiqua" w:eastAsia="宋体" w:hAnsi="Book Antiqua" w:cs="Times New Roman"/>
          <w:b/>
          <w:sz w:val="24"/>
          <w:szCs w:val="24"/>
        </w:rPr>
        <w:t xml:space="preserve"> 4</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 xml:space="preserve">Time-dependent </w:t>
      </w:r>
      <w:r w:rsidRPr="00F469F1">
        <w:rPr>
          <w:rFonts w:ascii="Book Antiqua" w:eastAsia="宋体" w:hAnsi="Book Antiqua" w:cs="Times New Roman"/>
          <w:b/>
          <w:sz w:val="24"/>
          <w:szCs w:val="24"/>
        </w:rPr>
        <w:t>receiver operating characteristic</w:t>
      </w:r>
      <w:r w:rsidR="002274E9" w:rsidRPr="00F469F1">
        <w:rPr>
          <w:rFonts w:ascii="Book Antiqua" w:eastAsia="宋体" w:hAnsi="Book Antiqua" w:cs="Times New Roman"/>
          <w:b/>
          <w:sz w:val="24"/>
          <w:szCs w:val="24"/>
        </w:rPr>
        <w:t xml:space="preserve"> curves for the nomogram</w:t>
      </w:r>
      <w:r w:rsidRPr="00F469F1">
        <w:rPr>
          <w:rFonts w:ascii="Book Antiqua" w:eastAsia="宋体" w:hAnsi="Book Antiqua" w:cs="Times New Roman"/>
          <w:b/>
          <w:sz w:val="24"/>
          <w:szCs w:val="24"/>
        </w:rPr>
        <w:t>.</w:t>
      </w:r>
      <w:r w:rsidR="002274E9" w:rsidRPr="00F469F1">
        <w:rPr>
          <w:rFonts w:ascii="Book Antiqua" w:eastAsia="宋体" w:hAnsi="Book Antiqua" w:cs="Times New Roman"/>
          <w:sz w:val="24"/>
          <w:szCs w:val="24"/>
        </w:rPr>
        <w:t xml:space="preserve"> Bai </w:t>
      </w:r>
      <w:r w:rsidR="002274E9" w:rsidRPr="00F469F1">
        <w:rPr>
          <w:rFonts w:ascii="Book Antiqua" w:eastAsia="宋体" w:hAnsi="Book Antiqua" w:cs="Times New Roman"/>
          <w:i/>
          <w:sz w:val="24"/>
          <w:szCs w:val="24"/>
        </w:rPr>
        <w:t xml:space="preserve">et </w:t>
      </w:r>
      <w:proofErr w:type="gramStart"/>
      <w:r w:rsidR="002274E9" w:rsidRPr="00F469F1">
        <w:rPr>
          <w:rFonts w:ascii="Book Antiqua" w:eastAsia="宋体" w:hAnsi="Book Antiqua" w:cs="Times New Roman"/>
          <w:i/>
          <w:sz w:val="24"/>
          <w:szCs w:val="24"/>
        </w:rPr>
        <w:t>al</w:t>
      </w:r>
      <w:r w:rsidRPr="00F469F1">
        <w:rPr>
          <w:rFonts w:ascii="Book Antiqua" w:eastAsia="宋体" w:hAnsi="Book Antiqua" w:cs="Times New Roman"/>
          <w:noProof/>
          <w:sz w:val="24"/>
          <w:szCs w:val="24"/>
          <w:vertAlign w:val="superscript"/>
        </w:rPr>
        <w:t>[</w:t>
      </w:r>
      <w:proofErr w:type="gramEnd"/>
      <w:r w:rsidRPr="00F469F1">
        <w:rPr>
          <w:rFonts w:ascii="Book Antiqua" w:eastAsia="宋体" w:hAnsi="Book Antiqua" w:cs="Times New Roman"/>
          <w:noProof/>
          <w:sz w:val="24"/>
          <w:szCs w:val="24"/>
          <w:vertAlign w:val="superscript"/>
        </w:rPr>
        <w:t>34]</w:t>
      </w:r>
      <w:r w:rsidR="002274E9" w:rsidRPr="00F469F1">
        <w:rPr>
          <w:rFonts w:ascii="Book Antiqua" w:eastAsia="宋体" w:hAnsi="Book Antiqua" w:cs="Times New Roman"/>
          <w:sz w:val="24"/>
          <w:szCs w:val="24"/>
        </w:rPr>
        <w:t>’s model</w:t>
      </w:r>
      <w:r w:rsidR="009D0FCD">
        <w:rPr>
          <w:rFonts w:ascii="Book Antiqua" w:eastAsia="宋体" w:hAnsi="Book Antiqua" w:cs="Times New Roman"/>
          <w:sz w:val="24"/>
          <w:szCs w:val="24"/>
          <w:vertAlign w:val="superscript"/>
        </w:rPr>
        <w:t>1</w:t>
      </w:r>
      <w:r w:rsidR="009D0FCD" w:rsidRPr="00F469F1">
        <w:rPr>
          <w:rFonts w:ascii="Book Antiqua" w:eastAsia="宋体" w:hAnsi="Book Antiqua" w:cs="Times New Roman"/>
          <w:sz w:val="24"/>
          <w:szCs w:val="24"/>
        </w:rPr>
        <w:t xml:space="preserve">, </w:t>
      </w:r>
      <w:r w:rsidR="00B23B4B" w:rsidRPr="00F469F1">
        <w:rPr>
          <w:rFonts w:ascii="Book Antiqua" w:eastAsia="宋体" w:hAnsi="Book Antiqua" w:cs="Times New Roman"/>
          <w:sz w:val="24"/>
          <w:szCs w:val="24"/>
        </w:rPr>
        <w:t>tumor–node–metastasis</w:t>
      </w:r>
      <w:r w:rsidR="009D0FCD">
        <w:rPr>
          <w:rFonts w:ascii="Book Antiqua" w:eastAsia="宋体" w:hAnsi="Book Antiqua" w:cs="Times New Roman"/>
          <w:sz w:val="24"/>
          <w:szCs w:val="24"/>
        </w:rPr>
        <w:t xml:space="preserve"> staging</w:t>
      </w:r>
      <w:r w:rsidR="002274E9" w:rsidRPr="00F469F1">
        <w:rPr>
          <w:rFonts w:ascii="Book Antiqua" w:eastAsia="宋体" w:hAnsi="Book Antiqua" w:cs="Times New Roman"/>
          <w:sz w:val="24"/>
          <w:szCs w:val="24"/>
        </w:rPr>
        <w:t xml:space="preserve">, CA 19-9, </w:t>
      </w:r>
      <w:r w:rsidR="009957E1" w:rsidRPr="00F469F1">
        <w:rPr>
          <w:rFonts w:ascii="Book Antiqua" w:eastAsia="宋体" w:hAnsi="Book Antiqua" w:cs="Times New Roman"/>
          <w:sz w:val="24"/>
          <w:szCs w:val="24"/>
        </w:rPr>
        <w:t>monocyte–to–lymphocyte ratio</w:t>
      </w:r>
      <w:r w:rsidR="002274E9" w:rsidRPr="00F469F1">
        <w:rPr>
          <w:rFonts w:ascii="Book Antiqua" w:eastAsia="宋体" w:hAnsi="Book Antiqua" w:cs="Times New Roman"/>
          <w:sz w:val="24"/>
          <w:szCs w:val="24"/>
        </w:rPr>
        <w:t xml:space="preserve">, and </w:t>
      </w:r>
      <w:r w:rsidR="009957E1" w:rsidRPr="00F469F1">
        <w:rPr>
          <w:rFonts w:ascii="Book Antiqua" w:eastAsia="宋体" w:hAnsi="Book Antiqua" w:cs="Times New Roman"/>
          <w:sz w:val="24"/>
          <w:szCs w:val="24"/>
        </w:rPr>
        <w:t>neutrophil–to–lymphocyte ratio</w:t>
      </w:r>
      <w:r w:rsidR="00AE496F" w:rsidRPr="00F469F1">
        <w:rPr>
          <w:rFonts w:ascii="Book Antiqua" w:eastAsia="宋体" w:hAnsi="Book Antiqua" w:cs="Times New Roman"/>
          <w:sz w:val="24"/>
          <w:szCs w:val="24"/>
        </w:rPr>
        <w:t>.</w:t>
      </w:r>
      <w:r w:rsidR="009957E1"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Time-dependent </w:t>
      </w:r>
      <w:r w:rsidR="009957E1" w:rsidRPr="00F469F1">
        <w:rPr>
          <w:rFonts w:ascii="Book Antiqua" w:eastAsia="宋体" w:hAnsi="Book Antiqua" w:cs="Times New Roman"/>
          <w:sz w:val="24"/>
          <w:szCs w:val="24"/>
        </w:rPr>
        <w:t>receiver operating characteristic (ROC)</w:t>
      </w:r>
      <w:r w:rsidR="002274E9" w:rsidRPr="00F469F1">
        <w:rPr>
          <w:rFonts w:ascii="Book Antiqua" w:eastAsia="宋体" w:hAnsi="Book Antiqua" w:cs="Times New Roman"/>
          <w:sz w:val="24"/>
          <w:szCs w:val="24"/>
        </w:rPr>
        <w:t xml:space="preserve"> curves at 1 year</w:t>
      </w:r>
      <w:r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AE496F"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Time-dependent ROC curves at 3 year</w:t>
      </w:r>
      <w:r w:rsidR="009D0FCD">
        <w:rPr>
          <w:rFonts w:ascii="Book Antiqua" w:eastAsia="宋体" w:hAnsi="Book Antiqua" w:cs="Times New Roman"/>
          <w:sz w:val="24"/>
          <w:szCs w:val="24"/>
        </w:rPr>
        <w:t>s</w:t>
      </w:r>
      <w:r w:rsidRPr="00F469F1">
        <w:rPr>
          <w:rFonts w:ascii="Book Antiqua" w:hAnsi="Book Antiqua"/>
          <w:sz w:val="24"/>
          <w:szCs w:val="24"/>
        </w:rPr>
        <w:t xml:space="preserve">; </w:t>
      </w:r>
      <w:r w:rsidRPr="00F469F1">
        <w:rPr>
          <w:rFonts w:ascii="Book Antiqua" w:eastAsia="宋体" w:hAnsi="Book Antiqua" w:cs="Times New Roman"/>
          <w:sz w:val="24"/>
          <w:szCs w:val="24"/>
        </w:rPr>
        <w:t xml:space="preserve">and </w:t>
      </w:r>
      <w:r w:rsidR="00AE496F" w:rsidRPr="00F469F1">
        <w:rPr>
          <w:rFonts w:ascii="Book Antiqua" w:eastAsia="宋体" w:hAnsi="Book Antiqua" w:cs="Times New Roman"/>
          <w:sz w:val="24"/>
          <w:szCs w:val="24"/>
        </w:rPr>
        <w:t>C:</w:t>
      </w:r>
      <w:r w:rsidR="002274E9" w:rsidRPr="00F469F1">
        <w:rPr>
          <w:rFonts w:ascii="Book Antiqua" w:eastAsia="宋体" w:hAnsi="Book Antiqua" w:cs="Times New Roman"/>
          <w:sz w:val="24"/>
          <w:szCs w:val="24"/>
        </w:rPr>
        <w:t xml:space="preserve"> Time-</w:t>
      </w:r>
      <w:r w:rsidR="00F92885" w:rsidRPr="00F469F1">
        <w:rPr>
          <w:rFonts w:ascii="Book Antiqua" w:eastAsia="宋体" w:hAnsi="Book Antiqua" w:cs="Times New Roman"/>
          <w:sz w:val="24"/>
          <w:szCs w:val="24"/>
        </w:rPr>
        <w:t>dependent ROC curves at 5 year</w:t>
      </w:r>
      <w:r w:rsidR="009D0FCD">
        <w:rPr>
          <w:rFonts w:ascii="Book Antiqua" w:eastAsia="宋体" w:hAnsi="Book Antiqua" w:cs="Times New Roman"/>
          <w:sz w:val="24"/>
          <w:szCs w:val="24"/>
        </w:rPr>
        <w:t>s</w:t>
      </w:r>
      <w:r w:rsidR="00F92885" w:rsidRPr="00F469F1">
        <w:rPr>
          <w:rFonts w:ascii="Book Antiqua" w:eastAsia="宋体" w:hAnsi="Book Antiqua" w:cs="Times New Roman"/>
          <w:sz w:val="24"/>
          <w:szCs w:val="24"/>
        </w:rPr>
        <w:t xml:space="preserve">. </w:t>
      </w:r>
      <w:r w:rsidR="00F92885" w:rsidRPr="00F469F1">
        <w:rPr>
          <w:rFonts w:ascii="Book Antiqua" w:hAnsi="Book Antiqua" w:cs="Times New Roman"/>
          <w:sz w:val="24"/>
          <w:szCs w:val="24"/>
          <w:vertAlign w:val="superscript"/>
        </w:rPr>
        <w:t>1</w:t>
      </w:r>
      <w:r w:rsidR="00AE496F" w:rsidRPr="00F469F1">
        <w:rPr>
          <w:rFonts w:ascii="Book Antiqua" w:eastAsia="宋体" w:hAnsi="Book Antiqua" w:cs="Times New Roman"/>
          <w:sz w:val="24"/>
          <w:szCs w:val="24"/>
        </w:rPr>
        <w:t xml:space="preserve">Bai’s model: </w:t>
      </w:r>
      <w:r w:rsidR="009D0FCD">
        <w:rPr>
          <w:rFonts w:ascii="Book Antiqua" w:eastAsia="宋体" w:hAnsi="Book Antiqua" w:cs="Times New Roman"/>
          <w:sz w:val="24"/>
          <w:szCs w:val="24"/>
        </w:rPr>
        <w:t>N</w:t>
      </w:r>
      <w:r w:rsidR="009D0FCD" w:rsidRPr="00F469F1">
        <w:rPr>
          <w:rFonts w:ascii="Book Antiqua" w:eastAsia="宋体" w:hAnsi="Book Antiqua" w:cs="Times New Roman"/>
          <w:sz w:val="24"/>
          <w:szCs w:val="24"/>
        </w:rPr>
        <w:t xml:space="preserve">omogram </w:t>
      </w:r>
      <w:r w:rsidR="00F92885" w:rsidRPr="00F469F1">
        <w:rPr>
          <w:rFonts w:ascii="Book Antiqua" w:eastAsia="宋体" w:hAnsi="Book Antiqua" w:cs="Times New Roman"/>
          <w:sz w:val="24"/>
          <w:szCs w:val="24"/>
        </w:rPr>
        <w:t>based on jaundice, CA19-9</w:t>
      </w:r>
      <w:r w:rsidR="009D0FCD">
        <w:rPr>
          <w:rFonts w:ascii="Book Antiqua" w:eastAsia="宋体" w:hAnsi="Book Antiqua" w:cs="Times New Roman"/>
          <w:sz w:val="24"/>
          <w:szCs w:val="24"/>
        </w:rPr>
        <w:t>,</w:t>
      </w:r>
      <w:r w:rsidR="009D0FCD" w:rsidRPr="00F469F1">
        <w:rPr>
          <w:rFonts w:ascii="Book Antiqua" w:eastAsia="宋体" w:hAnsi="Book Antiqua" w:cs="Times New Roman"/>
          <w:sz w:val="24"/>
          <w:szCs w:val="24"/>
        </w:rPr>
        <w:t xml:space="preserve"> </w:t>
      </w:r>
      <w:r w:rsidR="00B23B4B" w:rsidRPr="00F469F1">
        <w:rPr>
          <w:rFonts w:ascii="Book Antiqua" w:eastAsia="宋体" w:hAnsi="Book Antiqua" w:cs="Times New Roman"/>
          <w:sz w:val="24"/>
          <w:szCs w:val="24"/>
        </w:rPr>
        <w:t>tumor–node–metastasis</w:t>
      </w:r>
      <w:r w:rsidR="00AE496F" w:rsidRPr="00F469F1">
        <w:rPr>
          <w:rFonts w:ascii="Book Antiqua" w:eastAsia="宋体" w:hAnsi="Book Antiqua" w:cs="Times New Roman"/>
          <w:sz w:val="24"/>
          <w:szCs w:val="24"/>
        </w:rPr>
        <w:t xml:space="preserve"> stage</w:t>
      </w:r>
      <w:r w:rsidR="009D0FCD">
        <w:rPr>
          <w:rFonts w:ascii="Book Antiqua" w:eastAsia="宋体" w:hAnsi="Book Antiqua" w:cs="Times New Roman"/>
          <w:sz w:val="24"/>
          <w:szCs w:val="24"/>
        </w:rPr>
        <w:t>,</w:t>
      </w:r>
      <w:r w:rsidR="00AE496F" w:rsidRPr="00F469F1">
        <w:rPr>
          <w:rFonts w:ascii="Book Antiqua" w:eastAsia="宋体" w:hAnsi="Book Antiqua" w:cs="Times New Roman"/>
          <w:sz w:val="24"/>
          <w:szCs w:val="24"/>
        </w:rPr>
        <w:t xml:space="preserve"> and R </w:t>
      </w:r>
      <w:proofErr w:type="gramStart"/>
      <w:r w:rsidR="009D0FCD" w:rsidRPr="00F469F1">
        <w:rPr>
          <w:rFonts w:ascii="Book Antiqua" w:eastAsia="宋体" w:hAnsi="Book Antiqua" w:cs="Times New Roman"/>
          <w:sz w:val="24"/>
          <w:szCs w:val="24"/>
        </w:rPr>
        <w:t>stat</w:t>
      </w:r>
      <w:r w:rsidR="009D0FCD">
        <w:rPr>
          <w:rFonts w:ascii="Book Antiqua" w:eastAsia="宋体" w:hAnsi="Book Antiqua" w:cs="Times New Roman"/>
          <w:sz w:val="24"/>
          <w:szCs w:val="24"/>
        </w:rPr>
        <w:t>us</w:t>
      </w:r>
      <w:r w:rsidR="00C835F3" w:rsidRPr="00F469F1">
        <w:rPr>
          <w:rFonts w:ascii="Book Antiqua" w:eastAsia="宋体" w:hAnsi="Book Antiqua" w:cs="Times New Roman"/>
          <w:noProof/>
          <w:sz w:val="24"/>
          <w:szCs w:val="24"/>
          <w:vertAlign w:val="superscript"/>
        </w:rPr>
        <w:t>[</w:t>
      </w:r>
      <w:proofErr w:type="gramEnd"/>
      <w:r w:rsidR="00C835F3" w:rsidRPr="00F469F1">
        <w:rPr>
          <w:rFonts w:ascii="Book Antiqua" w:eastAsia="宋体" w:hAnsi="Book Antiqua" w:cs="Times New Roman"/>
          <w:noProof/>
          <w:sz w:val="24"/>
          <w:szCs w:val="24"/>
          <w:vertAlign w:val="superscript"/>
        </w:rPr>
        <w:t>34]</w:t>
      </w:r>
      <w:r w:rsidR="00AE496F" w:rsidRPr="00F469F1">
        <w:rPr>
          <w:rFonts w:ascii="Book Antiqua" w:eastAsia="宋体" w:hAnsi="Book Antiqua" w:cs="Times New Roman"/>
          <w:sz w:val="24"/>
          <w:szCs w:val="24"/>
        </w:rPr>
        <w:t>.</w:t>
      </w:r>
    </w:p>
    <w:p w14:paraId="5CB7024D" w14:textId="77777777" w:rsidR="00B40E62" w:rsidRPr="00F469F1" w:rsidRDefault="00B40E62"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7639D957" w14:textId="20E8CFD3" w:rsidR="002274E9" w:rsidRPr="00F469F1" w:rsidRDefault="00BA312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noProof/>
          <w:sz w:val="24"/>
          <w:szCs w:val="24"/>
        </w:rPr>
        <w:lastRenderedPageBreak/>
        <w:drawing>
          <wp:anchor distT="0" distB="0" distL="114300" distR="114300" simplePos="0" relativeHeight="251658240" behindDoc="0" locked="0" layoutInCell="1" allowOverlap="1" wp14:anchorId="051D1013" wp14:editId="0AEE0B92">
            <wp:simplePos x="0" y="0"/>
            <wp:positionH relativeFrom="margin">
              <wp:align>center</wp:align>
            </wp:positionH>
            <wp:positionV relativeFrom="paragraph">
              <wp:posOffset>0</wp:posOffset>
            </wp:positionV>
            <wp:extent cx="3206750" cy="6562725"/>
            <wp:effectExtent l="0" t="0" r="0" b="952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6750" cy="6562725"/>
                    </a:xfrm>
                    <a:prstGeom prst="rect">
                      <a:avLst/>
                    </a:prstGeom>
                  </pic:spPr>
                </pic:pic>
              </a:graphicData>
            </a:graphic>
            <wp14:sizeRelH relativeFrom="margin">
              <wp14:pctWidth>0</wp14:pctWidth>
            </wp14:sizeRelH>
            <wp14:sizeRelV relativeFrom="margin">
              <wp14:pctHeight>0</wp14:pctHeight>
            </wp14:sizeRelV>
          </wp:anchor>
        </w:drawing>
      </w:r>
      <w:r w:rsidR="00B40E62" w:rsidRPr="00F469F1">
        <w:rPr>
          <w:rFonts w:ascii="Book Antiqua" w:eastAsia="宋体" w:hAnsi="Book Antiqua" w:cs="Times New Roman"/>
          <w:b/>
          <w:sz w:val="24"/>
          <w:szCs w:val="24"/>
        </w:rPr>
        <w:t>Figure</w:t>
      </w:r>
      <w:r w:rsidR="002274E9" w:rsidRPr="00F469F1">
        <w:rPr>
          <w:rFonts w:ascii="Book Antiqua" w:eastAsia="宋体" w:hAnsi="Book Antiqua" w:cs="Times New Roman"/>
          <w:b/>
          <w:sz w:val="24"/>
          <w:szCs w:val="24"/>
        </w:rPr>
        <w:t xml:space="preserve"> 5</w:t>
      </w:r>
      <w:r w:rsidR="002274E9"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b/>
          <w:sz w:val="24"/>
          <w:szCs w:val="24"/>
        </w:rPr>
        <w:t xml:space="preserve">Comparisons of </w:t>
      </w:r>
      <w:r w:rsidR="009D0FCD">
        <w:rPr>
          <w:rFonts w:ascii="Book Antiqua" w:eastAsia="宋体" w:hAnsi="Book Antiqua" w:cs="Times New Roman"/>
          <w:b/>
          <w:sz w:val="24"/>
          <w:szCs w:val="24"/>
        </w:rPr>
        <w:t xml:space="preserve">the </w:t>
      </w:r>
      <w:r w:rsidR="002274E9" w:rsidRPr="00F469F1">
        <w:rPr>
          <w:rFonts w:ascii="Book Antiqua" w:eastAsia="宋体" w:hAnsi="Book Antiqua" w:cs="Times New Roman"/>
          <w:b/>
          <w:sz w:val="24"/>
          <w:szCs w:val="24"/>
        </w:rPr>
        <w:t xml:space="preserve">nomogram with </w:t>
      </w:r>
      <w:r w:rsidR="009D0FCD">
        <w:rPr>
          <w:rFonts w:ascii="Book Antiqua" w:eastAsia="宋体" w:hAnsi="Book Antiqua" w:cs="Times New Roman"/>
          <w:b/>
          <w:sz w:val="24"/>
          <w:szCs w:val="24"/>
        </w:rPr>
        <w:t xml:space="preserve">the </w:t>
      </w:r>
      <w:r w:rsidR="00EF29DB" w:rsidRPr="00F469F1">
        <w:rPr>
          <w:rFonts w:ascii="Book Antiqua" w:eastAsia="宋体" w:hAnsi="Book Antiqua" w:cs="Times New Roman"/>
          <w:b/>
          <w:sz w:val="24"/>
          <w:szCs w:val="24"/>
        </w:rPr>
        <w:t>American Joint Committee on Cancer</w:t>
      </w:r>
      <w:r w:rsidR="002274E9" w:rsidRPr="00F469F1">
        <w:rPr>
          <w:rFonts w:ascii="Book Antiqua" w:eastAsia="宋体" w:hAnsi="Book Antiqua" w:cs="Times New Roman"/>
          <w:b/>
          <w:sz w:val="24"/>
          <w:szCs w:val="24"/>
        </w:rPr>
        <w:t xml:space="preserve"> </w:t>
      </w:r>
      <w:r w:rsidR="00EF29DB" w:rsidRPr="00F469F1">
        <w:rPr>
          <w:rFonts w:ascii="Book Antiqua" w:eastAsia="宋体" w:hAnsi="Book Antiqua" w:cs="Times New Roman"/>
          <w:b/>
          <w:sz w:val="24"/>
          <w:szCs w:val="24"/>
        </w:rPr>
        <w:t>tumor–node–metastasis</w:t>
      </w:r>
      <w:r w:rsidR="002274E9" w:rsidRPr="00F469F1">
        <w:rPr>
          <w:rFonts w:ascii="Book Antiqua" w:eastAsia="宋体" w:hAnsi="Book Antiqua" w:cs="Times New Roman"/>
          <w:b/>
          <w:sz w:val="24"/>
          <w:szCs w:val="24"/>
        </w:rPr>
        <w:t xml:space="preserve"> stage model</w:t>
      </w:r>
      <w:r w:rsidR="00B40E62" w:rsidRPr="00F469F1">
        <w:rPr>
          <w:rFonts w:ascii="Book Antiqua" w:eastAsia="宋体" w:hAnsi="Book Antiqua" w:cs="Times New Roman"/>
          <w:b/>
          <w:sz w:val="24"/>
          <w:szCs w:val="24"/>
        </w:rPr>
        <w:t>.</w:t>
      </w:r>
      <w:r w:rsidR="00B40E62" w:rsidRPr="00F469F1">
        <w:rPr>
          <w:rFonts w:ascii="Book Antiqua" w:eastAsia="宋体" w:hAnsi="Book Antiqua" w:cs="Times New Roman"/>
          <w:sz w:val="24"/>
          <w:szCs w:val="24"/>
        </w:rPr>
        <w:t xml:space="preserve"> </w:t>
      </w:r>
      <w:r w:rsidR="002274E9" w:rsidRPr="00F469F1">
        <w:rPr>
          <w:rFonts w:ascii="Book Antiqua" w:eastAsia="宋体" w:hAnsi="Book Antiqua" w:cs="Times New Roman"/>
          <w:sz w:val="24"/>
          <w:szCs w:val="24"/>
        </w:rPr>
        <w:t>A</w:t>
      </w:r>
      <w:r w:rsidR="00B40E62"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Decision curve analysis of the nomogram and </w:t>
      </w:r>
      <w:r w:rsidR="00B23B4B" w:rsidRPr="00F469F1">
        <w:rPr>
          <w:rFonts w:ascii="Book Antiqua" w:eastAsia="宋体" w:hAnsi="Book Antiqua" w:cs="Times New Roman"/>
          <w:sz w:val="24"/>
          <w:szCs w:val="24"/>
        </w:rPr>
        <w:t>tumor–node–metastasis</w:t>
      </w:r>
      <w:r w:rsidR="002274E9" w:rsidRPr="00F469F1">
        <w:rPr>
          <w:rFonts w:ascii="Book Antiqua" w:eastAsia="宋体" w:hAnsi="Book Antiqua" w:cs="Times New Roman"/>
          <w:sz w:val="24"/>
          <w:szCs w:val="24"/>
        </w:rPr>
        <w:t xml:space="preserve"> stage model for 3-year survival probability</w:t>
      </w:r>
      <w:r w:rsidR="00AF71E0" w:rsidRPr="00F469F1">
        <w:rPr>
          <w:rFonts w:ascii="Book Antiqua" w:hAnsi="Book Antiqua"/>
          <w:sz w:val="24"/>
          <w:szCs w:val="24"/>
        </w:rPr>
        <w:t>;</w:t>
      </w:r>
      <w:r w:rsidR="002274E9" w:rsidRPr="00F469F1">
        <w:rPr>
          <w:rFonts w:ascii="Book Antiqua" w:eastAsia="宋体" w:hAnsi="Book Antiqua" w:cs="Times New Roman"/>
          <w:sz w:val="24"/>
          <w:szCs w:val="24"/>
        </w:rPr>
        <w:t xml:space="preserve"> B</w:t>
      </w:r>
      <w:r w:rsidR="00B40E62" w:rsidRPr="00F469F1">
        <w:rPr>
          <w:rFonts w:ascii="Book Antiqua" w:eastAsia="宋体" w:hAnsi="Book Antiqua" w:cs="Times New Roman"/>
          <w:sz w:val="24"/>
          <w:szCs w:val="24"/>
        </w:rPr>
        <w:t>:</w:t>
      </w:r>
      <w:r w:rsidR="002274E9" w:rsidRPr="00F469F1">
        <w:rPr>
          <w:rFonts w:ascii="Book Antiqua" w:eastAsia="宋体" w:hAnsi="Book Antiqua" w:cs="Times New Roman"/>
          <w:sz w:val="24"/>
          <w:szCs w:val="24"/>
        </w:rPr>
        <w:t xml:space="preserve"> Comparison of the nomogram prediction with </w:t>
      </w:r>
      <w:r w:rsidR="00B23B4B" w:rsidRPr="00F469F1">
        <w:rPr>
          <w:rFonts w:ascii="Book Antiqua" w:eastAsia="宋体" w:hAnsi="Book Antiqua" w:cs="Times New Roman"/>
          <w:sz w:val="24"/>
          <w:szCs w:val="24"/>
        </w:rPr>
        <w:t>tumor–node–metastasis</w:t>
      </w:r>
      <w:r w:rsidR="002274E9" w:rsidRPr="00F469F1">
        <w:rPr>
          <w:rFonts w:ascii="Book Antiqua" w:eastAsia="宋体" w:hAnsi="Book Antiqua" w:cs="Times New Roman"/>
          <w:sz w:val="24"/>
          <w:szCs w:val="24"/>
        </w:rPr>
        <w:t xml:space="preserve"> stag</w:t>
      </w:r>
      <w:r w:rsidR="009D0FCD">
        <w:rPr>
          <w:rFonts w:ascii="Book Antiqua" w:eastAsia="宋体" w:hAnsi="Book Antiqua" w:cs="Times New Roman"/>
          <w:sz w:val="24"/>
          <w:szCs w:val="24"/>
        </w:rPr>
        <w:t>ing</w:t>
      </w:r>
      <w:r w:rsidR="002274E9" w:rsidRPr="00F469F1">
        <w:rPr>
          <w:rFonts w:ascii="Book Antiqua" w:eastAsia="宋体" w:hAnsi="Book Antiqua" w:cs="Times New Roman"/>
          <w:sz w:val="24"/>
          <w:szCs w:val="24"/>
        </w:rPr>
        <w:t>.</w:t>
      </w:r>
    </w:p>
    <w:p w14:paraId="41607DB6" w14:textId="77777777" w:rsidR="002274E9" w:rsidRPr="00F469F1" w:rsidRDefault="002274E9"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0DAF8907" w14:textId="03FB97D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1</w:t>
      </w:r>
      <w:r w:rsidRPr="00F469F1">
        <w:rPr>
          <w:rFonts w:ascii="Book Antiqua" w:eastAsia="宋体" w:hAnsi="Book Antiqua" w:cs="Times New Roman"/>
          <w:sz w:val="24"/>
          <w:szCs w:val="24"/>
        </w:rPr>
        <w:t xml:space="preserve"> </w:t>
      </w:r>
      <w:proofErr w:type="spellStart"/>
      <w:r w:rsidRPr="00F469F1">
        <w:rPr>
          <w:rFonts w:ascii="Book Antiqua" w:eastAsia="宋体" w:hAnsi="Book Antiqua" w:cs="Times New Roman"/>
          <w:b/>
          <w:sz w:val="24"/>
          <w:szCs w:val="24"/>
        </w:rPr>
        <w:t>Clinicopathological</w:t>
      </w:r>
      <w:proofErr w:type="spellEnd"/>
      <w:r w:rsidRPr="00F469F1">
        <w:rPr>
          <w:rFonts w:ascii="Book Antiqua" w:eastAsia="宋体" w:hAnsi="Book Antiqua" w:cs="Times New Roman"/>
          <w:b/>
          <w:sz w:val="24"/>
          <w:szCs w:val="24"/>
        </w:rPr>
        <w:t xml:space="preserve"> characteristics of the 130 patients with gallbladder adenocarcinoma in this study</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927"/>
      </w:tblGrid>
      <w:tr w:rsidR="00BC42C3" w:rsidRPr="00F469F1" w14:paraId="6D6276ED" w14:textId="77777777" w:rsidTr="0054332B">
        <w:tc>
          <w:tcPr>
            <w:tcW w:w="3369" w:type="dxa"/>
            <w:tcBorders>
              <w:top w:val="single" w:sz="8" w:space="0" w:color="auto"/>
              <w:bottom w:val="single" w:sz="8" w:space="0" w:color="auto"/>
            </w:tcBorders>
          </w:tcPr>
          <w:p w14:paraId="22288A6A" w14:textId="1E7983C8"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Characteristic</w:t>
            </w:r>
          </w:p>
        </w:tc>
        <w:tc>
          <w:tcPr>
            <w:tcW w:w="4927" w:type="dxa"/>
            <w:tcBorders>
              <w:top w:val="single" w:sz="8" w:space="0" w:color="auto"/>
              <w:bottom w:val="single" w:sz="8" w:space="0" w:color="auto"/>
            </w:tcBorders>
          </w:tcPr>
          <w:p w14:paraId="0852D92E" w14:textId="6963F998" w:rsidR="00244BA1" w:rsidRPr="00F469F1" w:rsidRDefault="00A5085F">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 xml:space="preserve">Mean ± SD or </w:t>
            </w:r>
            <w:r w:rsidR="009D0FCD" w:rsidRPr="00F469F1">
              <w:rPr>
                <w:rFonts w:ascii="Book Antiqua" w:eastAsia="宋体" w:hAnsi="Book Antiqua" w:cs="Times New Roman"/>
                <w:b/>
                <w:sz w:val="24"/>
                <w:szCs w:val="24"/>
              </w:rPr>
              <w:t>medi</w:t>
            </w:r>
            <w:r w:rsidR="009D0FCD">
              <w:rPr>
                <w:rFonts w:ascii="Book Antiqua" w:eastAsia="宋体" w:hAnsi="Book Antiqua" w:cs="Times New Roman"/>
                <w:b/>
                <w:sz w:val="24"/>
                <w:szCs w:val="24"/>
              </w:rPr>
              <w:t>an</w:t>
            </w:r>
            <w:r w:rsidR="009D0FCD"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(IQR) or </w:t>
            </w:r>
            <w:r w:rsidR="00EE37C7" w:rsidRPr="00F469F1">
              <w:rPr>
                <w:rFonts w:ascii="Book Antiqua" w:eastAsia="宋体" w:hAnsi="Book Antiqua" w:cs="Times New Roman"/>
                <w:b/>
                <w:i/>
                <w:sz w:val="24"/>
                <w:szCs w:val="24"/>
              </w:rPr>
              <w:t>n</w:t>
            </w:r>
            <w:r w:rsidR="0054332B"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w:t>
            </w:r>
          </w:p>
        </w:tc>
      </w:tr>
      <w:tr w:rsidR="00BC42C3" w:rsidRPr="00F469F1" w14:paraId="49B797F9" w14:textId="77777777" w:rsidTr="0054332B">
        <w:tc>
          <w:tcPr>
            <w:tcW w:w="3369" w:type="dxa"/>
            <w:tcBorders>
              <w:top w:val="single" w:sz="8" w:space="0" w:color="auto"/>
            </w:tcBorders>
          </w:tcPr>
          <w:p w14:paraId="75794B4B" w14:textId="31FB8562" w:rsidR="00244BA1" w:rsidRPr="00F469F1" w:rsidRDefault="009957E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c>
          <w:tcPr>
            <w:tcW w:w="4927" w:type="dxa"/>
            <w:tcBorders>
              <w:top w:val="single" w:sz="8" w:space="0" w:color="auto"/>
            </w:tcBorders>
          </w:tcPr>
          <w:p w14:paraId="494A7D5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63.23 ± 1.20</w:t>
            </w:r>
          </w:p>
        </w:tc>
      </w:tr>
      <w:tr w:rsidR="00BC42C3" w:rsidRPr="00F469F1" w14:paraId="027EAE2D" w14:textId="77777777" w:rsidTr="00922BB1">
        <w:tc>
          <w:tcPr>
            <w:tcW w:w="8296" w:type="dxa"/>
            <w:gridSpan w:val="2"/>
          </w:tcPr>
          <w:p w14:paraId="234E00B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r>
      <w:tr w:rsidR="00BC42C3" w:rsidRPr="00F469F1" w14:paraId="3254FB3D" w14:textId="77777777" w:rsidTr="0054332B">
        <w:tc>
          <w:tcPr>
            <w:tcW w:w="3369" w:type="dxa"/>
          </w:tcPr>
          <w:p w14:paraId="50EC9637"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4927" w:type="dxa"/>
          </w:tcPr>
          <w:p w14:paraId="1F4B99B8" w14:textId="4CF73D9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76 (58)</w:t>
            </w:r>
          </w:p>
        </w:tc>
      </w:tr>
      <w:tr w:rsidR="00BC42C3" w:rsidRPr="00F469F1" w14:paraId="36C10A95" w14:textId="77777777" w:rsidTr="0054332B">
        <w:tc>
          <w:tcPr>
            <w:tcW w:w="3369" w:type="dxa"/>
          </w:tcPr>
          <w:p w14:paraId="0137335F"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4927" w:type="dxa"/>
          </w:tcPr>
          <w:p w14:paraId="3DBA7FAE" w14:textId="6FA65815"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54 (42)</w:t>
            </w:r>
          </w:p>
        </w:tc>
      </w:tr>
      <w:tr w:rsidR="00BC42C3" w:rsidRPr="00F469F1" w14:paraId="0A861E54" w14:textId="77777777" w:rsidTr="0054332B">
        <w:tc>
          <w:tcPr>
            <w:tcW w:w="3369" w:type="dxa"/>
          </w:tcPr>
          <w:p w14:paraId="26BFC94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c>
          <w:tcPr>
            <w:tcW w:w="4927" w:type="dxa"/>
          </w:tcPr>
          <w:p w14:paraId="269A5A4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23.97 ± 0.38</w:t>
            </w:r>
          </w:p>
        </w:tc>
      </w:tr>
      <w:tr w:rsidR="00BC42C3" w:rsidRPr="00F469F1" w14:paraId="5CAF0053" w14:textId="77777777" w:rsidTr="00922BB1">
        <w:tc>
          <w:tcPr>
            <w:tcW w:w="8296" w:type="dxa"/>
            <w:gridSpan w:val="2"/>
          </w:tcPr>
          <w:p w14:paraId="5646296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r>
      <w:tr w:rsidR="00BC42C3" w:rsidRPr="00F469F1" w14:paraId="5466A698" w14:textId="77777777" w:rsidTr="0054332B">
        <w:tc>
          <w:tcPr>
            <w:tcW w:w="3369" w:type="dxa"/>
          </w:tcPr>
          <w:p w14:paraId="40AC5AE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2F2909B8" w14:textId="5D260485" w:rsidR="00244BA1" w:rsidRPr="00F469F1" w:rsidRDefault="009A43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111</w:t>
            </w:r>
            <w:r w:rsidR="00244BA1" w:rsidRPr="00F469F1">
              <w:rPr>
                <w:rFonts w:ascii="Book Antiqua" w:eastAsia="宋体" w:hAnsi="Book Antiqua" w:cs="Times New Roman"/>
                <w:sz w:val="24"/>
                <w:szCs w:val="24"/>
              </w:rPr>
              <w:t xml:space="preserve"> (85)</w:t>
            </w:r>
          </w:p>
        </w:tc>
      </w:tr>
      <w:tr w:rsidR="00BC42C3" w:rsidRPr="00F469F1" w14:paraId="761E0E02" w14:textId="77777777" w:rsidTr="0054332B">
        <w:tc>
          <w:tcPr>
            <w:tcW w:w="3369" w:type="dxa"/>
          </w:tcPr>
          <w:p w14:paraId="0111EB6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27800A76" w14:textId="0E0DB96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 (15)</w:t>
            </w:r>
          </w:p>
        </w:tc>
      </w:tr>
      <w:tr w:rsidR="00BC42C3" w:rsidRPr="00F469F1" w14:paraId="45778620" w14:textId="77777777" w:rsidTr="00922BB1">
        <w:tc>
          <w:tcPr>
            <w:tcW w:w="8296" w:type="dxa"/>
            <w:gridSpan w:val="2"/>
          </w:tcPr>
          <w:p w14:paraId="7A0C507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stone</w:t>
            </w:r>
          </w:p>
        </w:tc>
      </w:tr>
      <w:tr w:rsidR="00BC42C3" w:rsidRPr="00F469F1" w14:paraId="365856BE" w14:textId="77777777" w:rsidTr="0054332B">
        <w:tc>
          <w:tcPr>
            <w:tcW w:w="3369" w:type="dxa"/>
          </w:tcPr>
          <w:p w14:paraId="1561499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50505EF9" w14:textId="0674DBA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 (52)</w:t>
            </w:r>
          </w:p>
        </w:tc>
      </w:tr>
      <w:tr w:rsidR="00BC42C3" w:rsidRPr="00F469F1" w14:paraId="3EE91E99" w14:textId="77777777" w:rsidTr="0054332B">
        <w:tc>
          <w:tcPr>
            <w:tcW w:w="3369" w:type="dxa"/>
          </w:tcPr>
          <w:p w14:paraId="76047A28"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24CF4725" w14:textId="322046A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62 (48)</w:t>
            </w:r>
          </w:p>
        </w:tc>
      </w:tr>
      <w:tr w:rsidR="00BC42C3" w:rsidRPr="00F469F1" w14:paraId="0474C67C" w14:textId="77777777" w:rsidTr="0054332B">
        <w:tc>
          <w:tcPr>
            <w:tcW w:w="3369" w:type="dxa"/>
          </w:tcPr>
          <w:p w14:paraId="11DA575C" w14:textId="0FBDD9E7"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Liver disease</w:t>
            </w:r>
          </w:p>
        </w:tc>
        <w:tc>
          <w:tcPr>
            <w:tcW w:w="4927" w:type="dxa"/>
          </w:tcPr>
          <w:p w14:paraId="00562923" w14:textId="77777777" w:rsidR="00F67772" w:rsidRPr="00F469F1" w:rsidRDefault="00F67772" w:rsidP="00F469F1">
            <w:pPr>
              <w:snapToGrid w:val="0"/>
              <w:spacing w:line="360" w:lineRule="auto"/>
              <w:rPr>
                <w:rFonts w:ascii="Book Antiqua" w:eastAsia="宋体" w:hAnsi="Book Antiqua" w:cs="Times New Roman"/>
                <w:sz w:val="24"/>
                <w:szCs w:val="24"/>
              </w:rPr>
            </w:pPr>
          </w:p>
        </w:tc>
      </w:tr>
      <w:tr w:rsidR="00BC42C3" w:rsidRPr="00F469F1" w14:paraId="618679DD" w14:textId="77777777" w:rsidTr="0054332B">
        <w:tc>
          <w:tcPr>
            <w:tcW w:w="3369" w:type="dxa"/>
          </w:tcPr>
          <w:p w14:paraId="09D17F13" w14:textId="015D287F" w:rsidR="00F67772" w:rsidRPr="00F469F1" w:rsidRDefault="00F67772"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4504BAFE" w14:textId="6DE73EBD"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118 (91)</w:t>
            </w:r>
          </w:p>
        </w:tc>
      </w:tr>
      <w:tr w:rsidR="00BC42C3" w:rsidRPr="00F469F1" w14:paraId="398D04F8" w14:textId="77777777" w:rsidTr="0054332B">
        <w:tc>
          <w:tcPr>
            <w:tcW w:w="3369" w:type="dxa"/>
          </w:tcPr>
          <w:p w14:paraId="23100603" w14:textId="5B5ED81D" w:rsidR="00F67772" w:rsidRPr="00F469F1" w:rsidRDefault="00F67772"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38C35B29" w14:textId="6095B4DD" w:rsidR="00F67772" w:rsidRPr="00F469F1" w:rsidRDefault="00F67772"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12 (9)</w:t>
            </w:r>
          </w:p>
        </w:tc>
      </w:tr>
      <w:tr w:rsidR="00BC42C3" w:rsidRPr="00F469F1" w14:paraId="285EFF36" w14:textId="77777777" w:rsidTr="00922BB1">
        <w:tc>
          <w:tcPr>
            <w:tcW w:w="8296" w:type="dxa"/>
            <w:gridSpan w:val="2"/>
          </w:tcPr>
          <w:p w14:paraId="1047AA5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stage of cancer cell</w:t>
            </w:r>
          </w:p>
        </w:tc>
      </w:tr>
      <w:tr w:rsidR="00BC42C3" w:rsidRPr="00F469F1" w14:paraId="355CD9BE" w14:textId="77777777" w:rsidTr="0054332B">
        <w:tc>
          <w:tcPr>
            <w:tcW w:w="3369" w:type="dxa"/>
          </w:tcPr>
          <w:p w14:paraId="5F717D27" w14:textId="30E8235A"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p>
        </w:tc>
        <w:tc>
          <w:tcPr>
            <w:tcW w:w="4927" w:type="dxa"/>
          </w:tcPr>
          <w:p w14:paraId="1FDB2666" w14:textId="7B1BC44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 (16)</w:t>
            </w:r>
          </w:p>
        </w:tc>
      </w:tr>
      <w:tr w:rsidR="00BC42C3" w:rsidRPr="00F469F1" w14:paraId="4AD3096B" w14:textId="77777777" w:rsidTr="0054332B">
        <w:tc>
          <w:tcPr>
            <w:tcW w:w="3369" w:type="dxa"/>
          </w:tcPr>
          <w:p w14:paraId="461A1AD3" w14:textId="3DFEFB91"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r w:rsidR="00244BA1" w:rsidRPr="00F469F1">
              <w:rPr>
                <w:rFonts w:ascii="Book Antiqua" w:eastAsia="宋体" w:hAnsi="Book Antiqua" w:cs="Times New Roman"/>
                <w:sz w:val="24"/>
                <w:szCs w:val="24"/>
              </w:rPr>
              <w:t>-medium</w:t>
            </w:r>
          </w:p>
        </w:tc>
        <w:tc>
          <w:tcPr>
            <w:tcW w:w="4927" w:type="dxa"/>
          </w:tcPr>
          <w:p w14:paraId="7283F175" w14:textId="7E8008B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26 (20)</w:t>
            </w:r>
          </w:p>
        </w:tc>
      </w:tr>
      <w:tr w:rsidR="00BC42C3" w:rsidRPr="00F469F1" w14:paraId="66D418C5" w14:textId="77777777" w:rsidTr="0054332B">
        <w:tc>
          <w:tcPr>
            <w:tcW w:w="3369" w:type="dxa"/>
          </w:tcPr>
          <w:p w14:paraId="1D1D27B6" w14:textId="4B04E6CC"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4927" w:type="dxa"/>
          </w:tcPr>
          <w:p w14:paraId="028942CB" w14:textId="04A4389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32 (25)</w:t>
            </w:r>
          </w:p>
        </w:tc>
      </w:tr>
      <w:tr w:rsidR="00BC42C3" w:rsidRPr="00F469F1" w14:paraId="71A9D8F1" w14:textId="77777777" w:rsidTr="0054332B">
        <w:tc>
          <w:tcPr>
            <w:tcW w:w="3369" w:type="dxa"/>
          </w:tcPr>
          <w:p w14:paraId="71C73228" w14:textId="0982BC55"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r w:rsidR="00244BA1" w:rsidRPr="00F469F1">
              <w:rPr>
                <w:rFonts w:ascii="Book Antiqua" w:eastAsia="宋体" w:hAnsi="Book Antiqua" w:cs="Times New Roman"/>
                <w:sz w:val="24"/>
                <w:szCs w:val="24"/>
              </w:rPr>
              <w:t>-high</w:t>
            </w:r>
          </w:p>
        </w:tc>
        <w:tc>
          <w:tcPr>
            <w:tcW w:w="4927" w:type="dxa"/>
          </w:tcPr>
          <w:p w14:paraId="01DC0B4A" w14:textId="448A37F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 (15)</w:t>
            </w:r>
          </w:p>
        </w:tc>
      </w:tr>
      <w:tr w:rsidR="00BC42C3" w:rsidRPr="00F469F1" w14:paraId="2C188CBE" w14:textId="77777777" w:rsidTr="0054332B">
        <w:tc>
          <w:tcPr>
            <w:tcW w:w="3369" w:type="dxa"/>
          </w:tcPr>
          <w:p w14:paraId="1BF48533" w14:textId="7CF36380"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4927" w:type="dxa"/>
          </w:tcPr>
          <w:p w14:paraId="0EA6B273" w14:textId="59C6F8C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 (14)</w:t>
            </w:r>
          </w:p>
        </w:tc>
      </w:tr>
      <w:tr w:rsidR="00BC42C3" w:rsidRPr="00F469F1" w14:paraId="4AD9CA2B" w14:textId="77777777" w:rsidTr="00922BB1">
        <w:tc>
          <w:tcPr>
            <w:tcW w:w="8296" w:type="dxa"/>
            <w:gridSpan w:val="2"/>
          </w:tcPr>
          <w:p w14:paraId="44DC19E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r>
      <w:tr w:rsidR="00BC42C3" w:rsidRPr="00F469F1" w14:paraId="3125ECCE" w14:textId="77777777" w:rsidTr="0054332B">
        <w:tc>
          <w:tcPr>
            <w:tcW w:w="3369" w:type="dxa"/>
          </w:tcPr>
          <w:p w14:paraId="202DB003" w14:textId="2DB4913A" w:rsidR="00244BA1"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p>
        </w:tc>
        <w:tc>
          <w:tcPr>
            <w:tcW w:w="4927" w:type="dxa"/>
          </w:tcPr>
          <w:p w14:paraId="13C61525" w14:textId="42D9978B" w:rsidR="00244BA1"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 (12</w:t>
            </w:r>
            <w:r w:rsidR="00244BA1" w:rsidRPr="00F469F1">
              <w:rPr>
                <w:rFonts w:ascii="Book Antiqua" w:eastAsia="宋体" w:hAnsi="Book Antiqua" w:cs="Times New Roman"/>
                <w:sz w:val="24"/>
                <w:szCs w:val="24"/>
              </w:rPr>
              <w:t>)</w:t>
            </w:r>
          </w:p>
        </w:tc>
      </w:tr>
      <w:tr w:rsidR="00BC42C3" w:rsidRPr="00F469F1" w14:paraId="7104793A" w14:textId="77777777" w:rsidTr="0054332B">
        <w:tc>
          <w:tcPr>
            <w:tcW w:w="3369" w:type="dxa"/>
          </w:tcPr>
          <w:p w14:paraId="58F2F147" w14:textId="710F6C99" w:rsidR="007E269A"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w:t>
            </w:r>
          </w:p>
        </w:tc>
        <w:tc>
          <w:tcPr>
            <w:tcW w:w="4927" w:type="dxa"/>
          </w:tcPr>
          <w:p w14:paraId="7B1F0B61" w14:textId="7F89819B" w:rsidR="007E269A"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 (8)</w:t>
            </w:r>
          </w:p>
        </w:tc>
      </w:tr>
      <w:tr w:rsidR="00BC42C3" w:rsidRPr="00F469F1" w14:paraId="2C5B6F1A" w14:textId="77777777" w:rsidTr="0054332B">
        <w:tc>
          <w:tcPr>
            <w:tcW w:w="3369" w:type="dxa"/>
          </w:tcPr>
          <w:p w14:paraId="646C17C9" w14:textId="175374D9" w:rsidR="007E269A" w:rsidRPr="00F469F1" w:rsidRDefault="007E269A"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p>
        </w:tc>
        <w:tc>
          <w:tcPr>
            <w:tcW w:w="4927" w:type="dxa"/>
          </w:tcPr>
          <w:p w14:paraId="21D96744" w14:textId="2E4B44EC" w:rsidR="007E269A"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83 (65)</w:t>
            </w:r>
          </w:p>
        </w:tc>
      </w:tr>
      <w:tr w:rsidR="00BC42C3" w:rsidRPr="00F469F1" w14:paraId="2CD11611" w14:textId="77777777" w:rsidTr="0054332B">
        <w:tc>
          <w:tcPr>
            <w:tcW w:w="3369" w:type="dxa"/>
          </w:tcPr>
          <w:p w14:paraId="16FA75CD" w14:textId="38F933DF"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IV</w:t>
            </w:r>
          </w:p>
        </w:tc>
        <w:tc>
          <w:tcPr>
            <w:tcW w:w="4927" w:type="dxa"/>
          </w:tcPr>
          <w:p w14:paraId="21860095" w14:textId="02CE4443" w:rsidR="00244BA1" w:rsidRPr="00F469F1" w:rsidRDefault="007E269A"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 (15</w:t>
            </w:r>
            <w:r w:rsidR="00244BA1" w:rsidRPr="00F469F1">
              <w:rPr>
                <w:rFonts w:ascii="Book Antiqua" w:eastAsia="宋体" w:hAnsi="Book Antiqua" w:cs="Times New Roman"/>
                <w:sz w:val="24"/>
                <w:szCs w:val="24"/>
              </w:rPr>
              <w:t>)</w:t>
            </w:r>
          </w:p>
        </w:tc>
      </w:tr>
      <w:tr w:rsidR="00BC42C3" w:rsidRPr="00F469F1" w14:paraId="097CF0EA" w14:textId="77777777" w:rsidTr="0054332B">
        <w:tc>
          <w:tcPr>
            <w:tcW w:w="3369" w:type="dxa"/>
          </w:tcPr>
          <w:p w14:paraId="6C485E05" w14:textId="12AFEEC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c>
          <w:tcPr>
            <w:tcW w:w="4927" w:type="dxa"/>
          </w:tcPr>
          <w:p w14:paraId="2F4BC97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2.59 (1.62-5.50)</w:t>
            </w:r>
          </w:p>
        </w:tc>
      </w:tr>
      <w:tr w:rsidR="00BC42C3" w:rsidRPr="00F469F1" w14:paraId="2B2F349A" w14:textId="77777777" w:rsidTr="0054332B">
        <w:tc>
          <w:tcPr>
            <w:tcW w:w="3369" w:type="dxa"/>
          </w:tcPr>
          <w:p w14:paraId="1932FF33" w14:textId="409B6543"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 19-9, U/m</w:t>
            </w:r>
            <w:r w:rsidR="00F73B64" w:rsidRPr="00F469F1">
              <w:rPr>
                <w:rFonts w:ascii="Book Antiqua" w:eastAsia="宋体" w:hAnsi="Book Antiqua" w:cs="Times New Roman"/>
                <w:sz w:val="24"/>
                <w:szCs w:val="24"/>
              </w:rPr>
              <w:t>L</w:t>
            </w:r>
          </w:p>
        </w:tc>
        <w:tc>
          <w:tcPr>
            <w:tcW w:w="4927" w:type="dxa"/>
          </w:tcPr>
          <w:p w14:paraId="5475183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47.50 (13.03-220.85)</w:t>
            </w:r>
          </w:p>
        </w:tc>
      </w:tr>
      <w:tr w:rsidR="00BC42C3" w:rsidRPr="00F469F1" w14:paraId="367ABB6C" w14:textId="77777777" w:rsidTr="0054332B">
        <w:tc>
          <w:tcPr>
            <w:tcW w:w="3369" w:type="dxa"/>
          </w:tcPr>
          <w:p w14:paraId="4D01AF0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c>
          <w:tcPr>
            <w:tcW w:w="4927" w:type="dxa"/>
          </w:tcPr>
          <w:p w14:paraId="54A419B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2.70 (1.50-4.55)</w:t>
            </w:r>
          </w:p>
        </w:tc>
      </w:tr>
      <w:tr w:rsidR="00BC42C3" w:rsidRPr="00F469F1" w14:paraId="645F837F" w14:textId="77777777" w:rsidTr="0054332B">
        <w:tc>
          <w:tcPr>
            <w:tcW w:w="3369" w:type="dxa"/>
          </w:tcPr>
          <w:p w14:paraId="1D74FE7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GPR</w:t>
            </w:r>
          </w:p>
        </w:tc>
        <w:tc>
          <w:tcPr>
            <w:tcW w:w="4927" w:type="dxa"/>
          </w:tcPr>
          <w:p w14:paraId="2C52179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0.17 (0.09-0.44)</w:t>
            </w:r>
          </w:p>
        </w:tc>
      </w:tr>
      <w:tr w:rsidR="00BC42C3" w:rsidRPr="00F469F1" w14:paraId="02B1C9A5" w14:textId="77777777" w:rsidTr="0054332B">
        <w:tc>
          <w:tcPr>
            <w:tcW w:w="3369" w:type="dxa"/>
          </w:tcPr>
          <w:p w14:paraId="3F448D35" w14:textId="53E99D12"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Postoperative complication</w:t>
            </w:r>
            <w:r w:rsidR="009D0FCD">
              <w:rPr>
                <w:rFonts w:ascii="Book Antiqua" w:eastAsia="宋体" w:hAnsi="Book Antiqua" w:cs="Times New Roman"/>
                <w:sz w:val="24"/>
                <w:szCs w:val="24"/>
              </w:rPr>
              <w:t>s</w:t>
            </w:r>
          </w:p>
        </w:tc>
        <w:tc>
          <w:tcPr>
            <w:tcW w:w="4927" w:type="dxa"/>
          </w:tcPr>
          <w:p w14:paraId="43E9FD9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85E3431" w14:textId="77777777" w:rsidTr="0054332B">
        <w:tc>
          <w:tcPr>
            <w:tcW w:w="3369" w:type="dxa"/>
          </w:tcPr>
          <w:p w14:paraId="79917F3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4927" w:type="dxa"/>
          </w:tcPr>
          <w:p w14:paraId="5DCACE6E" w14:textId="729C4367" w:rsidR="00244BA1" w:rsidRPr="00F469F1" w:rsidRDefault="006C1B1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101</w:t>
            </w:r>
            <w:r w:rsidR="00244BA1" w:rsidRPr="00F469F1">
              <w:rPr>
                <w:rFonts w:ascii="Book Antiqua" w:eastAsia="宋体" w:hAnsi="Book Antiqua" w:cs="Times New Roman"/>
                <w:sz w:val="24"/>
                <w:szCs w:val="24"/>
              </w:rPr>
              <w:t xml:space="preserve"> (78)</w:t>
            </w:r>
          </w:p>
        </w:tc>
      </w:tr>
      <w:tr w:rsidR="00BC42C3" w:rsidRPr="00F469F1" w14:paraId="79965550" w14:textId="77777777" w:rsidTr="0054332B">
        <w:tc>
          <w:tcPr>
            <w:tcW w:w="3369" w:type="dxa"/>
          </w:tcPr>
          <w:p w14:paraId="61051AA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4927" w:type="dxa"/>
          </w:tcPr>
          <w:p w14:paraId="1BDC9D96" w14:textId="78FBB1EB" w:rsidR="00244BA1" w:rsidRPr="00F469F1" w:rsidRDefault="006C1B1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29</w:t>
            </w:r>
            <w:r w:rsidR="00244BA1" w:rsidRPr="00F469F1">
              <w:rPr>
                <w:rFonts w:ascii="Book Antiqua" w:eastAsia="宋体" w:hAnsi="Book Antiqua" w:cs="Times New Roman"/>
                <w:sz w:val="24"/>
                <w:szCs w:val="24"/>
              </w:rPr>
              <w:t xml:space="preserve"> (22)</w:t>
            </w:r>
          </w:p>
        </w:tc>
      </w:tr>
      <w:tr w:rsidR="00BC42C3" w:rsidRPr="00F469F1" w14:paraId="3733D070" w14:textId="77777777" w:rsidTr="0054332B">
        <w:tc>
          <w:tcPr>
            <w:tcW w:w="3369" w:type="dxa"/>
          </w:tcPr>
          <w:p w14:paraId="1753C564" w14:textId="2FEF6E1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HOD, </w:t>
            </w:r>
            <w:r w:rsidR="00F73B64" w:rsidRPr="00F469F1">
              <w:rPr>
                <w:rFonts w:ascii="Book Antiqua" w:eastAsia="宋体" w:hAnsi="Book Antiqua" w:cs="Times New Roman"/>
                <w:sz w:val="24"/>
                <w:szCs w:val="24"/>
              </w:rPr>
              <w:t>D</w:t>
            </w:r>
          </w:p>
        </w:tc>
        <w:tc>
          <w:tcPr>
            <w:tcW w:w="4927" w:type="dxa"/>
          </w:tcPr>
          <w:p w14:paraId="03C8536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 (10-20)</w:t>
            </w:r>
          </w:p>
        </w:tc>
      </w:tr>
      <w:tr w:rsidR="00BC42C3" w:rsidRPr="00F469F1" w14:paraId="0574BC64" w14:textId="77777777" w:rsidTr="0054332B">
        <w:tc>
          <w:tcPr>
            <w:tcW w:w="3369" w:type="dxa"/>
            <w:tcBorders>
              <w:bottom w:val="single" w:sz="8" w:space="0" w:color="auto"/>
            </w:tcBorders>
          </w:tcPr>
          <w:p w14:paraId="59D01980" w14:textId="50F293B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OS, </w:t>
            </w:r>
            <w:r w:rsidR="00F73B64" w:rsidRPr="00F469F1">
              <w:rPr>
                <w:rFonts w:ascii="Book Antiqua" w:eastAsia="宋体" w:hAnsi="Book Antiqua" w:cs="Times New Roman"/>
                <w:sz w:val="24"/>
                <w:szCs w:val="24"/>
              </w:rPr>
              <w:t>M</w:t>
            </w:r>
            <w:r w:rsidRPr="00F469F1">
              <w:rPr>
                <w:rFonts w:ascii="Book Antiqua" w:eastAsia="宋体" w:hAnsi="Book Antiqua" w:cs="Times New Roman"/>
                <w:sz w:val="24"/>
                <w:szCs w:val="24"/>
              </w:rPr>
              <w:t>o</w:t>
            </w:r>
          </w:p>
        </w:tc>
        <w:tc>
          <w:tcPr>
            <w:tcW w:w="4927" w:type="dxa"/>
            <w:tcBorders>
              <w:bottom w:val="single" w:sz="8" w:space="0" w:color="auto"/>
            </w:tcBorders>
          </w:tcPr>
          <w:p w14:paraId="1F6F21E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 (6-34)</w:t>
            </w:r>
          </w:p>
        </w:tc>
      </w:tr>
    </w:tbl>
    <w:p w14:paraId="0CD3BF85" w14:textId="4605B86B" w:rsidR="009957E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B</w:t>
      </w:r>
      <w:r w:rsidR="00B333DE" w:rsidRPr="00F469F1">
        <w:rPr>
          <w:rFonts w:ascii="Book Antiqua" w:eastAsia="宋体" w:hAnsi="Book Antiqua" w:cs="Times New Roman"/>
          <w:sz w:val="24"/>
          <w:szCs w:val="24"/>
        </w:rPr>
        <w:t>ody mass index</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T</w:t>
      </w:r>
      <w:r w:rsidRPr="00F469F1">
        <w:rPr>
          <w:rFonts w:ascii="Book Antiqua" w:eastAsia="宋体" w:hAnsi="Book Antiqua" w:cs="Times New Roman"/>
          <w:sz w:val="24"/>
          <w:szCs w:val="24"/>
        </w:rPr>
        <w:t>umor</w:t>
      </w:r>
      <w:bookmarkStart w:id="14" w:name="_Hlk35266566"/>
      <w:r w:rsidRPr="00F469F1">
        <w:rPr>
          <w:rFonts w:ascii="Book Antiqua" w:eastAsia="宋体" w:hAnsi="Book Antiqua" w:cs="Times New Roman"/>
          <w:sz w:val="24"/>
          <w:szCs w:val="24"/>
        </w:rPr>
        <w:t>–</w:t>
      </w:r>
      <w:bookmarkEnd w:id="14"/>
      <w:r w:rsidR="00B333DE" w:rsidRPr="00F469F1">
        <w:rPr>
          <w:rFonts w:ascii="Book Antiqua" w:eastAsia="宋体" w:hAnsi="Book Antiqua" w:cs="Times New Roman"/>
          <w:sz w:val="24"/>
          <w:szCs w:val="24"/>
        </w:rPr>
        <w:t>node–metastasis</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C</w:t>
      </w:r>
      <w:r w:rsidR="00475AA7" w:rsidRPr="00F469F1">
        <w:rPr>
          <w:rFonts w:ascii="Book Antiqua" w:eastAsia="宋体" w:hAnsi="Book Antiqua" w:cs="Times New Roman"/>
          <w:sz w:val="24"/>
          <w:szCs w:val="24"/>
        </w:rPr>
        <w:t xml:space="preserve">arcinoembryonic </w:t>
      </w:r>
      <w:r w:rsidR="00B333DE" w:rsidRPr="00F469F1">
        <w:rPr>
          <w:rFonts w:ascii="Book Antiqua" w:eastAsia="宋体" w:hAnsi="Book Antiqua" w:cs="Times New Roman"/>
          <w:sz w:val="24"/>
          <w:szCs w:val="24"/>
        </w:rPr>
        <w:t>antigen</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9957E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G</w:t>
      </w:r>
      <w:r w:rsidRPr="00F469F1">
        <w:rPr>
          <w:rFonts w:ascii="Book Antiqua" w:eastAsia="宋体" w:hAnsi="Book Antiqua" w:cs="Times New Roman"/>
          <w:sz w:val="24"/>
          <w:szCs w:val="24"/>
        </w:rPr>
        <w:t>amma-</w:t>
      </w:r>
      <w:proofErr w:type="spellStart"/>
      <w:r w:rsidRPr="00F469F1">
        <w:rPr>
          <w:rFonts w:ascii="Book Antiqua" w:eastAsia="宋体" w:hAnsi="Book Antiqua" w:cs="Times New Roman"/>
          <w:sz w:val="24"/>
          <w:szCs w:val="24"/>
        </w:rPr>
        <w:t>glutamy</w:t>
      </w:r>
      <w:r w:rsidR="00B333DE" w:rsidRPr="00F469F1">
        <w:rPr>
          <w:rFonts w:ascii="Book Antiqua" w:eastAsia="宋体" w:hAnsi="Book Antiqua" w:cs="Times New Roman"/>
          <w:sz w:val="24"/>
          <w:szCs w:val="24"/>
        </w:rPr>
        <w:t>l</w:t>
      </w:r>
      <w:proofErr w:type="spellEnd"/>
      <w:r w:rsidR="00B333DE" w:rsidRPr="00F469F1">
        <w:rPr>
          <w:rFonts w:ascii="Book Antiqua" w:eastAsia="宋体" w:hAnsi="Book Antiqua" w:cs="Times New Roman"/>
          <w:sz w:val="24"/>
          <w:szCs w:val="24"/>
        </w:rPr>
        <w:t xml:space="preserve"> transferase–to–platelet ratio</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HOD</w:t>
      </w:r>
      <w:r w:rsidR="00B333DE"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H</w:t>
      </w:r>
      <w:r w:rsidR="00B333DE" w:rsidRPr="00F469F1">
        <w:rPr>
          <w:rFonts w:ascii="Book Antiqua" w:eastAsia="宋体" w:hAnsi="Book Antiqua" w:cs="Times New Roman"/>
          <w:sz w:val="24"/>
          <w:szCs w:val="24"/>
        </w:rPr>
        <w:t>ospitalization days</w:t>
      </w:r>
      <w:r w:rsidR="0054332B" w:rsidRPr="00F469F1">
        <w:rPr>
          <w:rFonts w:ascii="Book Antiqua" w:hAnsi="Book Antiqua"/>
          <w:color w:val="000000"/>
          <w:kern w:val="0"/>
          <w:sz w:val="24"/>
          <w:szCs w:val="24"/>
        </w:rPr>
        <w:t xml:space="preserve">; </w:t>
      </w:r>
      <w:r w:rsidRPr="00F469F1">
        <w:rPr>
          <w:rFonts w:ascii="Book Antiqua" w:eastAsia="宋体" w:hAnsi="Book Antiqua" w:cs="Times New Roman"/>
          <w:sz w:val="24"/>
          <w:szCs w:val="24"/>
        </w:rPr>
        <w:t>OS</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B1587D" w:rsidRPr="00F469F1">
        <w:rPr>
          <w:rFonts w:ascii="Book Antiqua" w:eastAsia="宋体" w:hAnsi="Book Antiqua" w:cs="Times New Roman"/>
          <w:sz w:val="24"/>
          <w:szCs w:val="24"/>
        </w:rPr>
        <w:t>O</w:t>
      </w:r>
      <w:r w:rsidRPr="00F469F1">
        <w:rPr>
          <w:rFonts w:ascii="Book Antiqua" w:eastAsia="宋体" w:hAnsi="Book Antiqua" w:cs="Times New Roman"/>
          <w:sz w:val="24"/>
          <w:szCs w:val="24"/>
        </w:rPr>
        <w:t>verall survival</w:t>
      </w:r>
      <w:r w:rsidR="0054332B" w:rsidRPr="00F469F1">
        <w:rPr>
          <w:rFonts w:ascii="Book Antiqua" w:hAnsi="Book Antiqua"/>
          <w:color w:val="000000"/>
          <w:kern w:val="0"/>
          <w:sz w:val="24"/>
          <w:szCs w:val="24"/>
        </w:rPr>
        <w:t>;</w:t>
      </w:r>
      <w:r w:rsidR="00006776" w:rsidRPr="00F469F1">
        <w:rPr>
          <w:rFonts w:ascii="Book Antiqua" w:eastAsia="宋体" w:hAnsi="Book Antiqua" w:cs="Times New Roman"/>
          <w:sz w:val="24"/>
          <w:szCs w:val="24"/>
        </w:rPr>
        <w:t xml:space="preserve"> SD: </w:t>
      </w:r>
      <w:r w:rsidR="00B1587D" w:rsidRPr="00F469F1">
        <w:rPr>
          <w:rFonts w:ascii="Book Antiqua" w:eastAsia="宋体" w:hAnsi="Book Antiqua" w:cs="Times New Roman"/>
          <w:sz w:val="24"/>
          <w:szCs w:val="24"/>
        </w:rPr>
        <w:t>S</w:t>
      </w:r>
      <w:r w:rsidR="00006776" w:rsidRPr="00F469F1">
        <w:rPr>
          <w:rFonts w:ascii="Book Antiqua" w:eastAsia="宋体" w:hAnsi="Book Antiqua" w:cs="Times New Roman"/>
          <w:sz w:val="24"/>
          <w:szCs w:val="24"/>
        </w:rPr>
        <w:t>tandard deviation</w:t>
      </w:r>
      <w:r w:rsidR="0054332B" w:rsidRPr="00F469F1">
        <w:rPr>
          <w:rFonts w:ascii="Book Antiqua" w:hAnsi="Book Antiqua"/>
          <w:color w:val="000000"/>
          <w:kern w:val="0"/>
          <w:sz w:val="24"/>
          <w:szCs w:val="24"/>
        </w:rPr>
        <w:t>;</w:t>
      </w:r>
      <w:r w:rsidR="00B1587D" w:rsidRPr="00F469F1">
        <w:rPr>
          <w:rFonts w:ascii="Book Antiqua" w:eastAsia="宋体" w:hAnsi="Book Antiqua" w:cs="Times New Roman"/>
          <w:sz w:val="24"/>
          <w:szCs w:val="24"/>
        </w:rPr>
        <w:t xml:space="preserve"> IQR: Interquartile range</w:t>
      </w:r>
      <w:r w:rsidR="009957E1" w:rsidRPr="00F469F1">
        <w:rPr>
          <w:rFonts w:ascii="Book Antiqua" w:eastAsia="宋体" w:hAnsi="Book Antiqua" w:cs="Times New Roman"/>
          <w:sz w:val="24"/>
          <w:szCs w:val="24"/>
        </w:rPr>
        <w:t>.</w:t>
      </w:r>
    </w:p>
    <w:p w14:paraId="6480AE7F" w14:textId="77777777" w:rsidR="009957E1" w:rsidRPr="00F469F1" w:rsidRDefault="009957E1"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118C953D" w14:textId="36A1E3E3"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2 Clinical characteristics of the patients </w:t>
      </w:r>
      <w:r w:rsidR="009957E1" w:rsidRPr="00F469F1">
        <w:rPr>
          <w:rFonts w:ascii="Book Antiqua" w:eastAsia="宋体" w:hAnsi="Book Antiqua" w:cs="Times New Roman"/>
          <w:b/>
          <w:sz w:val="24"/>
          <w:szCs w:val="24"/>
        </w:rPr>
        <w:t xml:space="preserve">according </w:t>
      </w:r>
      <w:r w:rsidRPr="00F469F1">
        <w:rPr>
          <w:rFonts w:ascii="Book Antiqua" w:eastAsia="宋体" w:hAnsi="Book Antiqua" w:cs="Times New Roman"/>
          <w:b/>
          <w:sz w:val="24"/>
          <w:szCs w:val="24"/>
        </w:rPr>
        <w:t xml:space="preserve">to </w:t>
      </w:r>
      <w:r w:rsidR="009957E1" w:rsidRPr="00F469F1">
        <w:rPr>
          <w:rFonts w:ascii="Book Antiqua" w:eastAsia="宋体" w:hAnsi="Book Antiqua" w:cs="Times New Roman"/>
          <w:b/>
          <w:sz w:val="24"/>
          <w:szCs w:val="24"/>
        </w:rPr>
        <w:t>gamma-</w:t>
      </w:r>
      <w:proofErr w:type="spellStart"/>
      <w:r w:rsidR="009957E1" w:rsidRPr="00F469F1">
        <w:rPr>
          <w:rFonts w:ascii="Book Antiqua" w:eastAsia="宋体" w:hAnsi="Book Antiqua" w:cs="Times New Roman"/>
          <w:b/>
          <w:sz w:val="24"/>
          <w:szCs w:val="24"/>
        </w:rPr>
        <w:t>glutamyl</w:t>
      </w:r>
      <w:proofErr w:type="spellEnd"/>
      <w:r w:rsidR="009957E1" w:rsidRPr="00F469F1">
        <w:rPr>
          <w:rFonts w:ascii="Book Antiqua" w:eastAsia="宋体" w:hAnsi="Book Antiqua" w:cs="Times New Roman"/>
          <w:b/>
          <w:sz w:val="24"/>
          <w:szCs w:val="24"/>
        </w:rPr>
        <w:t xml:space="preserve"> transferase–to–platelet ratio</w:t>
      </w:r>
    </w:p>
    <w:tbl>
      <w:tblPr>
        <w:tblStyle w:val="TableGrid21"/>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2410"/>
        <w:gridCol w:w="1417"/>
      </w:tblGrid>
      <w:tr w:rsidR="00BC42C3" w:rsidRPr="00F469F1" w14:paraId="2F2AE907" w14:textId="77777777" w:rsidTr="0054332B">
        <w:tc>
          <w:tcPr>
            <w:tcW w:w="1951" w:type="dxa"/>
            <w:tcBorders>
              <w:top w:val="single" w:sz="4" w:space="0" w:color="auto"/>
              <w:bottom w:val="single" w:sz="4" w:space="0" w:color="auto"/>
            </w:tcBorders>
          </w:tcPr>
          <w:p w14:paraId="5945F3D7" w14:textId="6CE5CAD7"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P</w:t>
            </w:r>
            <w:r w:rsidR="00244BA1" w:rsidRPr="00F469F1">
              <w:rPr>
                <w:rFonts w:ascii="Book Antiqua" w:eastAsia="宋体" w:hAnsi="Book Antiqua" w:cs="Times New Roman"/>
                <w:b/>
                <w:sz w:val="24"/>
                <w:szCs w:val="24"/>
              </w:rPr>
              <w:t>atients</w:t>
            </w:r>
          </w:p>
        </w:tc>
        <w:tc>
          <w:tcPr>
            <w:tcW w:w="2410" w:type="dxa"/>
            <w:tcBorders>
              <w:top w:val="single" w:sz="4" w:space="0" w:color="auto"/>
              <w:bottom w:val="single" w:sz="4" w:space="0" w:color="auto"/>
            </w:tcBorders>
          </w:tcPr>
          <w:p w14:paraId="6BA85F29" w14:textId="06D9DB28" w:rsidR="00244BA1" w:rsidRPr="00F469F1" w:rsidRDefault="00244BA1" w:rsidP="009045FA">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9957E1" w:rsidRPr="00F469F1">
              <w:rPr>
                <w:rFonts w:ascii="Book Antiqua" w:eastAsia="宋体" w:hAnsi="Book Antiqua" w:cs="Times New Roman"/>
                <w:b/>
                <w:sz w:val="24"/>
                <w:szCs w:val="24"/>
              </w:rPr>
              <w:t xml:space="preserve"> </w:t>
            </w:r>
            <w:r w:rsidR="009045FA">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2410" w:type="dxa"/>
            <w:tcBorders>
              <w:top w:val="single" w:sz="4" w:space="0" w:color="auto"/>
              <w:bottom w:val="single" w:sz="4" w:space="0" w:color="auto"/>
            </w:tcBorders>
          </w:tcPr>
          <w:p w14:paraId="3557A2DA" w14:textId="634A6BC6"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&gt;</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1417" w:type="dxa"/>
            <w:tcBorders>
              <w:top w:val="single" w:sz="4" w:space="0" w:color="auto"/>
              <w:bottom w:val="single" w:sz="4" w:space="0" w:color="auto"/>
            </w:tcBorders>
          </w:tcPr>
          <w:p w14:paraId="7E0F61E1" w14:textId="06A7BB6A"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 xml:space="preserve">P </w:t>
            </w:r>
            <w:r w:rsidR="00244BA1" w:rsidRPr="00F469F1">
              <w:rPr>
                <w:rFonts w:ascii="Book Antiqua" w:eastAsia="宋体" w:hAnsi="Book Antiqua" w:cs="Times New Roman"/>
                <w:b/>
                <w:sz w:val="24"/>
                <w:szCs w:val="24"/>
              </w:rPr>
              <w:t>value</w:t>
            </w:r>
          </w:p>
        </w:tc>
      </w:tr>
      <w:tr w:rsidR="00BC42C3" w:rsidRPr="00F469F1" w14:paraId="739D7C11" w14:textId="77777777" w:rsidTr="0054332B">
        <w:tc>
          <w:tcPr>
            <w:tcW w:w="6771" w:type="dxa"/>
            <w:gridSpan w:val="3"/>
            <w:tcBorders>
              <w:top w:val="single" w:sz="4" w:space="0" w:color="auto"/>
            </w:tcBorders>
          </w:tcPr>
          <w:p w14:paraId="1C3A87CA" w14:textId="1A6951EB" w:rsidR="00244BA1" w:rsidRPr="00F469F1" w:rsidRDefault="009957E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c>
          <w:tcPr>
            <w:tcW w:w="1417" w:type="dxa"/>
            <w:vMerge w:val="restart"/>
            <w:tcBorders>
              <w:top w:val="single" w:sz="4" w:space="0" w:color="auto"/>
            </w:tcBorders>
          </w:tcPr>
          <w:p w14:paraId="0C78067C" w14:textId="18A68216"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.661</w:t>
            </w:r>
          </w:p>
        </w:tc>
      </w:tr>
      <w:tr w:rsidR="00BC42C3" w:rsidRPr="00F469F1" w14:paraId="7A16D806" w14:textId="77777777" w:rsidTr="0054332B">
        <w:tc>
          <w:tcPr>
            <w:tcW w:w="1951" w:type="dxa"/>
          </w:tcPr>
          <w:p w14:paraId="7BAD7AC7" w14:textId="59B80B11" w:rsidR="00244BA1" w:rsidRPr="00F469F1" w:rsidRDefault="00562866" w:rsidP="00562866">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60</w:t>
            </w:r>
          </w:p>
        </w:tc>
        <w:tc>
          <w:tcPr>
            <w:tcW w:w="2410" w:type="dxa"/>
          </w:tcPr>
          <w:p w14:paraId="494C25FE" w14:textId="557873C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(37)</w:t>
            </w:r>
          </w:p>
        </w:tc>
        <w:tc>
          <w:tcPr>
            <w:tcW w:w="2410" w:type="dxa"/>
          </w:tcPr>
          <w:p w14:paraId="095A6B4D" w14:textId="3EAC047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(33)</w:t>
            </w:r>
          </w:p>
        </w:tc>
        <w:tc>
          <w:tcPr>
            <w:tcW w:w="1417" w:type="dxa"/>
            <w:vMerge/>
          </w:tcPr>
          <w:p w14:paraId="6CD31D4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31EA8C0" w14:textId="77777777" w:rsidTr="0054332B">
        <w:tc>
          <w:tcPr>
            <w:tcW w:w="1951" w:type="dxa"/>
          </w:tcPr>
          <w:p w14:paraId="596A570A" w14:textId="3915733B"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EE32A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2410" w:type="dxa"/>
          </w:tcPr>
          <w:p w14:paraId="5F99F405" w14:textId="08FF2145"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(63)</w:t>
            </w:r>
          </w:p>
        </w:tc>
        <w:tc>
          <w:tcPr>
            <w:tcW w:w="2410" w:type="dxa"/>
          </w:tcPr>
          <w:p w14:paraId="30335868" w14:textId="6834567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(67)</w:t>
            </w:r>
          </w:p>
        </w:tc>
        <w:tc>
          <w:tcPr>
            <w:tcW w:w="1417" w:type="dxa"/>
            <w:vMerge/>
          </w:tcPr>
          <w:p w14:paraId="3CD3598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4DEB723" w14:textId="77777777" w:rsidTr="0054332B">
        <w:tc>
          <w:tcPr>
            <w:tcW w:w="6771" w:type="dxa"/>
            <w:gridSpan w:val="3"/>
          </w:tcPr>
          <w:p w14:paraId="1A3C884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c>
          <w:tcPr>
            <w:tcW w:w="1417" w:type="dxa"/>
            <w:vMerge w:val="restart"/>
          </w:tcPr>
          <w:p w14:paraId="1F449396" w14:textId="46D95318"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.484</w:t>
            </w:r>
          </w:p>
        </w:tc>
      </w:tr>
      <w:tr w:rsidR="00BC42C3" w:rsidRPr="00F469F1" w14:paraId="23892BF0" w14:textId="77777777" w:rsidTr="0054332B">
        <w:tc>
          <w:tcPr>
            <w:tcW w:w="1951" w:type="dxa"/>
          </w:tcPr>
          <w:p w14:paraId="0F2484C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2410" w:type="dxa"/>
          </w:tcPr>
          <w:p w14:paraId="070739BD" w14:textId="3AE6227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2410" w:type="dxa"/>
          </w:tcPr>
          <w:p w14:paraId="3B3EC0E8" w14:textId="30ECE60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(54)</w:t>
            </w:r>
          </w:p>
        </w:tc>
        <w:tc>
          <w:tcPr>
            <w:tcW w:w="1417" w:type="dxa"/>
            <w:vMerge/>
          </w:tcPr>
          <w:p w14:paraId="717B556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F50E60A" w14:textId="77777777" w:rsidTr="0054332B">
        <w:tc>
          <w:tcPr>
            <w:tcW w:w="1951" w:type="dxa"/>
          </w:tcPr>
          <w:p w14:paraId="60675B0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2410" w:type="dxa"/>
          </w:tcPr>
          <w:p w14:paraId="781CB26C" w14:textId="29C6210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(40)</w:t>
            </w:r>
          </w:p>
        </w:tc>
        <w:tc>
          <w:tcPr>
            <w:tcW w:w="2410" w:type="dxa"/>
          </w:tcPr>
          <w:p w14:paraId="7FF5DBFB" w14:textId="0B424D8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(46)</w:t>
            </w:r>
          </w:p>
        </w:tc>
        <w:tc>
          <w:tcPr>
            <w:tcW w:w="1417" w:type="dxa"/>
            <w:vMerge/>
          </w:tcPr>
          <w:p w14:paraId="16052B0A"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1468C15" w14:textId="77777777" w:rsidTr="0054332B">
        <w:tc>
          <w:tcPr>
            <w:tcW w:w="6771" w:type="dxa"/>
            <w:gridSpan w:val="3"/>
          </w:tcPr>
          <w:p w14:paraId="3D95EB7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c>
          <w:tcPr>
            <w:tcW w:w="1417" w:type="dxa"/>
            <w:vMerge w:val="restart"/>
          </w:tcPr>
          <w:p w14:paraId="3B7637C6" w14:textId="33102AC8"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r>
      <w:tr w:rsidR="00BC42C3" w:rsidRPr="00F469F1" w14:paraId="51694E42" w14:textId="77777777" w:rsidTr="0054332B">
        <w:tc>
          <w:tcPr>
            <w:tcW w:w="1951" w:type="dxa"/>
          </w:tcPr>
          <w:p w14:paraId="4A78E3B6"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1AC48E0B" w14:textId="09A4EE7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(96)</w:t>
            </w:r>
          </w:p>
        </w:tc>
        <w:tc>
          <w:tcPr>
            <w:tcW w:w="2410" w:type="dxa"/>
          </w:tcPr>
          <w:p w14:paraId="0189F612" w14:textId="0C0AFD23"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(62</w:t>
            </w:r>
            <w:r w:rsidR="00244BA1" w:rsidRPr="00F469F1">
              <w:rPr>
                <w:rFonts w:ascii="Book Antiqua" w:eastAsia="宋体" w:hAnsi="Book Antiqua" w:cs="Times New Roman"/>
                <w:sz w:val="24"/>
                <w:szCs w:val="24"/>
              </w:rPr>
              <w:t>)</w:t>
            </w:r>
          </w:p>
        </w:tc>
        <w:tc>
          <w:tcPr>
            <w:tcW w:w="1417" w:type="dxa"/>
            <w:vMerge/>
          </w:tcPr>
          <w:p w14:paraId="24B1BB4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DD5959B" w14:textId="77777777" w:rsidTr="0054332B">
        <w:tc>
          <w:tcPr>
            <w:tcW w:w="1951" w:type="dxa"/>
          </w:tcPr>
          <w:p w14:paraId="4FEC0E4F"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2DEDC411" w14:textId="175DFEF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w:t>
            </w:r>
          </w:p>
        </w:tc>
        <w:tc>
          <w:tcPr>
            <w:tcW w:w="2410" w:type="dxa"/>
          </w:tcPr>
          <w:p w14:paraId="15879213" w14:textId="1C9DCC0F"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(38</w:t>
            </w:r>
            <w:r w:rsidR="00244BA1" w:rsidRPr="00F469F1">
              <w:rPr>
                <w:rFonts w:ascii="Book Antiqua" w:eastAsia="宋体" w:hAnsi="Book Antiqua" w:cs="Times New Roman"/>
                <w:sz w:val="24"/>
                <w:szCs w:val="24"/>
              </w:rPr>
              <w:t>)</w:t>
            </w:r>
          </w:p>
        </w:tc>
        <w:tc>
          <w:tcPr>
            <w:tcW w:w="1417" w:type="dxa"/>
            <w:vMerge/>
          </w:tcPr>
          <w:p w14:paraId="0CFBAAD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960C6B4" w14:textId="77777777" w:rsidTr="0054332B">
        <w:tc>
          <w:tcPr>
            <w:tcW w:w="6771" w:type="dxa"/>
            <w:gridSpan w:val="3"/>
          </w:tcPr>
          <w:p w14:paraId="75D9282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Gallbladder stone</w:t>
            </w:r>
          </w:p>
        </w:tc>
        <w:tc>
          <w:tcPr>
            <w:tcW w:w="1417" w:type="dxa"/>
            <w:vMerge w:val="restart"/>
          </w:tcPr>
          <w:p w14:paraId="26E77ADA" w14:textId="6069BAB3"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.319</w:t>
            </w:r>
          </w:p>
        </w:tc>
      </w:tr>
      <w:tr w:rsidR="00BC42C3" w:rsidRPr="00F469F1" w14:paraId="43FC6A79" w14:textId="77777777" w:rsidTr="0054332B">
        <w:tc>
          <w:tcPr>
            <w:tcW w:w="1951" w:type="dxa"/>
          </w:tcPr>
          <w:p w14:paraId="30B3A223"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765FDBC6" w14:textId="6CAA129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45</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(49)</w:t>
            </w:r>
          </w:p>
        </w:tc>
        <w:tc>
          <w:tcPr>
            <w:tcW w:w="2410" w:type="dxa"/>
          </w:tcPr>
          <w:p w14:paraId="567F2A92" w14:textId="5398456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(59)</w:t>
            </w:r>
          </w:p>
        </w:tc>
        <w:tc>
          <w:tcPr>
            <w:tcW w:w="1417" w:type="dxa"/>
            <w:vMerge/>
          </w:tcPr>
          <w:p w14:paraId="679115C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240BD7F" w14:textId="77777777" w:rsidTr="0054332B">
        <w:tc>
          <w:tcPr>
            <w:tcW w:w="1951" w:type="dxa"/>
          </w:tcPr>
          <w:p w14:paraId="458D8A3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61FCF750" w14:textId="5C1DE80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(51)</w:t>
            </w:r>
          </w:p>
        </w:tc>
        <w:tc>
          <w:tcPr>
            <w:tcW w:w="2410" w:type="dxa"/>
          </w:tcPr>
          <w:p w14:paraId="40A897E5" w14:textId="13AC82A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(41)</w:t>
            </w:r>
          </w:p>
        </w:tc>
        <w:tc>
          <w:tcPr>
            <w:tcW w:w="1417" w:type="dxa"/>
            <w:vMerge/>
          </w:tcPr>
          <w:p w14:paraId="1ED8123F"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F938183" w14:textId="77777777" w:rsidTr="0054332B">
        <w:tc>
          <w:tcPr>
            <w:tcW w:w="1951" w:type="dxa"/>
          </w:tcPr>
          <w:p w14:paraId="6F31C494" w14:textId="01F6EAD6"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Liver disease</w:t>
            </w:r>
          </w:p>
        </w:tc>
        <w:tc>
          <w:tcPr>
            <w:tcW w:w="2410" w:type="dxa"/>
          </w:tcPr>
          <w:p w14:paraId="634F5108" w14:textId="77777777" w:rsidR="00191444" w:rsidRPr="00F469F1" w:rsidRDefault="00191444" w:rsidP="00F469F1">
            <w:pPr>
              <w:snapToGrid w:val="0"/>
              <w:spacing w:line="360" w:lineRule="auto"/>
              <w:rPr>
                <w:rFonts w:ascii="Book Antiqua" w:eastAsia="宋体" w:hAnsi="Book Antiqua" w:cs="Times New Roman"/>
                <w:sz w:val="24"/>
                <w:szCs w:val="24"/>
              </w:rPr>
            </w:pPr>
          </w:p>
        </w:tc>
        <w:tc>
          <w:tcPr>
            <w:tcW w:w="2410" w:type="dxa"/>
          </w:tcPr>
          <w:p w14:paraId="74E49611" w14:textId="77777777" w:rsidR="00191444" w:rsidRPr="00F469F1" w:rsidRDefault="00191444" w:rsidP="00F469F1">
            <w:pPr>
              <w:snapToGrid w:val="0"/>
              <w:spacing w:line="360" w:lineRule="auto"/>
              <w:rPr>
                <w:rFonts w:ascii="Book Antiqua" w:eastAsia="宋体" w:hAnsi="Book Antiqua" w:cs="Times New Roman"/>
                <w:sz w:val="24"/>
                <w:szCs w:val="24"/>
              </w:rPr>
            </w:pPr>
          </w:p>
        </w:tc>
        <w:tc>
          <w:tcPr>
            <w:tcW w:w="1417" w:type="dxa"/>
          </w:tcPr>
          <w:p w14:paraId="005DF52D" w14:textId="532C404A" w:rsidR="00191444"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191444" w:rsidRPr="00F469F1">
              <w:rPr>
                <w:rFonts w:ascii="Book Antiqua" w:eastAsia="宋体" w:hAnsi="Book Antiqua" w:cs="Times New Roman"/>
                <w:sz w:val="24"/>
                <w:szCs w:val="24"/>
              </w:rPr>
              <w:t>.509</w:t>
            </w:r>
          </w:p>
        </w:tc>
      </w:tr>
      <w:tr w:rsidR="00BC42C3" w:rsidRPr="00F469F1" w14:paraId="30A8FDA8" w14:textId="77777777" w:rsidTr="0054332B">
        <w:tc>
          <w:tcPr>
            <w:tcW w:w="1951" w:type="dxa"/>
          </w:tcPr>
          <w:p w14:paraId="15242CBB" w14:textId="7BBAF75E" w:rsidR="00191444" w:rsidRPr="00F469F1" w:rsidRDefault="00191444"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410" w:type="dxa"/>
          </w:tcPr>
          <w:p w14:paraId="27D4BAF5" w14:textId="025B7C29"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81</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(89)</w:t>
            </w:r>
          </w:p>
        </w:tc>
        <w:tc>
          <w:tcPr>
            <w:tcW w:w="2410" w:type="dxa"/>
          </w:tcPr>
          <w:p w14:paraId="27150540" w14:textId="0AB6F109"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37</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(95)</w:t>
            </w:r>
          </w:p>
        </w:tc>
        <w:tc>
          <w:tcPr>
            <w:tcW w:w="1417" w:type="dxa"/>
          </w:tcPr>
          <w:p w14:paraId="6C771D39" w14:textId="77777777" w:rsidR="00191444" w:rsidRPr="00F469F1" w:rsidRDefault="00191444" w:rsidP="00F469F1">
            <w:pPr>
              <w:snapToGrid w:val="0"/>
              <w:spacing w:line="360" w:lineRule="auto"/>
              <w:rPr>
                <w:rFonts w:ascii="Book Antiqua" w:eastAsia="宋体" w:hAnsi="Book Antiqua" w:cs="Times New Roman"/>
                <w:sz w:val="24"/>
                <w:szCs w:val="24"/>
              </w:rPr>
            </w:pPr>
          </w:p>
        </w:tc>
      </w:tr>
      <w:tr w:rsidR="00BC42C3" w:rsidRPr="00F469F1" w14:paraId="3D4C32A8" w14:textId="77777777" w:rsidTr="0054332B">
        <w:tc>
          <w:tcPr>
            <w:tcW w:w="1951" w:type="dxa"/>
          </w:tcPr>
          <w:p w14:paraId="3B2B85EF" w14:textId="7A041512" w:rsidR="00191444" w:rsidRPr="00F469F1" w:rsidRDefault="00191444"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410" w:type="dxa"/>
          </w:tcPr>
          <w:p w14:paraId="0FBDF48C" w14:textId="5064FCFB"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(11)</w:t>
            </w:r>
          </w:p>
        </w:tc>
        <w:tc>
          <w:tcPr>
            <w:tcW w:w="2410" w:type="dxa"/>
          </w:tcPr>
          <w:p w14:paraId="055B66B8" w14:textId="2749AC55" w:rsidR="00191444" w:rsidRPr="00F469F1" w:rsidRDefault="00191444"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w:t>
            </w:r>
            <w:r w:rsidR="009957E1" w:rsidRPr="00F469F1">
              <w:rPr>
                <w:rFonts w:ascii="Book Antiqua" w:eastAsia="宋体" w:hAnsi="Book Antiqua" w:cs="Times New Roman"/>
                <w:sz w:val="24"/>
                <w:szCs w:val="24"/>
              </w:rPr>
              <w:t xml:space="preserve"> </w:t>
            </w:r>
            <w:r w:rsidR="005237E6" w:rsidRPr="00F469F1">
              <w:rPr>
                <w:rFonts w:ascii="Book Antiqua" w:eastAsia="宋体" w:hAnsi="Book Antiqua" w:cs="Times New Roman"/>
                <w:sz w:val="24"/>
                <w:szCs w:val="24"/>
              </w:rPr>
              <w:t>(5)</w:t>
            </w:r>
          </w:p>
        </w:tc>
        <w:tc>
          <w:tcPr>
            <w:tcW w:w="1417" w:type="dxa"/>
          </w:tcPr>
          <w:p w14:paraId="1E805BBD" w14:textId="77777777" w:rsidR="00191444" w:rsidRPr="00F469F1" w:rsidRDefault="00191444" w:rsidP="00F469F1">
            <w:pPr>
              <w:snapToGrid w:val="0"/>
              <w:spacing w:line="360" w:lineRule="auto"/>
              <w:rPr>
                <w:rFonts w:ascii="Book Antiqua" w:eastAsia="宋体" w:hAnsi="Book Antiqua" w:cs="Times New Roman"/>
                <w:sz w:val="24"/>
                <w:szCs w:val="24"/>
              </w:rPr>
            </w:pPr>
          </w:p>
        </w:tc>
      </w:tr>
      <w:tr w:rsidR="00BC42C3" w:rsidRPr="00F469F1" w14:paraId="7687945F" w14:textId="77777777" w:rsidTr="0054332B">
        <w:tc>
          <w:tcPr>
            <w:tcW w:w="6771" w:type="dxa"/>
            <w:gridSpan w:val="3"/>
          </w:tcPr>
          <w:p w14:paraId="68B29D5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stage of cancer cells</w:t>
            </w:r>
          </w:p>
        </w:tc>
        <w:tc>
          <w:tcPr>
            <w:tcW w:w="1417" w:type="dxa"/>
            <w:vMerge w:val="restart"/>
          </w:tcPr>
          <w:p w14:paraId="274AAACF" w14:textId="63AB39DC"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.640</w:t>
            </w:r>
          </w:p>
        </w:tc>
      </w:tr>
      <w:tr w:rsidR="00BC42C3" w:rsidRPr="00F469F1" w14:paraId="69C58846" w14:textId="77777777" w:rsidTr="0054332B">
        <w:tc>
          <w:tcPr>
            <w:tcW w:w="1951" w:type="dxa"/>
          </w:tcPr>
          <w:p w14:paraId="4A540429" w14:textId="04E549F6"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w:t>
            </w:r>
            <w:r w:rsidR="00244BA1" w:rsidRPr="00F469F1">
              <w:rPr>
                <w:rFonts w:ascii="Book Antiqua" w:eastAsia="宋体" w:hAnsi="Book Antiqua" w:cs="Times New Roman"/>
                <w:sz w:val="24"/>
                <w:szCs w:val="24"/>
              </w:rPr>
              <w:t>ow</w:t>
            </w:r>
          </w:p>
        </w:tc>
        <w:tc>
          <w:tcPr>
            <w:tcW w:w="2410" w:type="dxa"/>
          </w:tcPr>
          <w:p w14:paraId="14307848" w14:textId="3659039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(18)</w:t>
            </w:r>
          </w:p>
        </w:tc>
        <w:tc>
          <w:tcPr>
            <w:tcW w:w="2410" w:type="dxa"/>
          </w:tcPr>
          <w:p w14:paraId="22831E67" w14:textId="79EE665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1417" w:type="dxa"/>
            <w:vMerge/>
          </w:tcPr>
          <w:p w14:paraId="1B320A6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3387F9B3" w14:textId="77777777" w:rsidTr="0054332B">
        <w:tc>
          <w:tcPr>
            <w:tcW w:w="1951" w:type="dxa"/>
          </w:tcPr>
          <w:p w14:paraId="5A09DF7D" w14:textId="6DF84B73"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r w:rsidR="00244BA1" w:rsidRPr="00F469F1">
              <w:rPr>
                <w:rFonts w:ascii="Book Antiqua" w:eastAsia="宋体" w:hAnsi="Book Antiqua" w:cs="Times New Roman"/>
                <w:sz w:val="24"/>
                <w:szCs w:val="24"/>
              </w:rPr>
              <w:t>-medium</w:t>
            </w:r>
          </w:p>
        </w:tc>
        <w:tc>
          <w:tcPr>
            <w:tcW w:w="2410" w:type="dxa"/>
          </w:tcPr>
          <w:p w14:paraId="47CF9421" w14:textId="0FEB7E1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2410" w:type="dxa"/>
          </w:tcPr>
          <w:p w14:paraId="0172880A" w14:textId="632E152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1417" w:type="dxa"/>
            <w:vMerge/>
          </w:tcPr>
          <w:p w14:paraId="21D99724"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F42110A" w14:textId="77777777" w:rsidTr="0054332B">
        <w:tc>
          <w:tcPr>
            <w:tcW w:w="1951" w:type="dxa"/>
          </w:tcPr>
          <w:p w14:paraId="02832129" w14:textId="0A08F18F"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2410" w:type="dxa"/>
          </w:tcPr>
          <w:p w14:paraId="7B9BC48C" w14:textId="58500D3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(23)</w:t>
            </w:r>
          </w:p>
        </w:tc>
        <w:tc>
          <w:tcPr>
            <w:tcW w:w="2410" w:type="dxa"/>
          </w:tcPr>
          <w:p w14:paraId="21D01C39" w14:textId="32723A2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(26)</w:t>
            </w:r>
          </w:p>
        </w:tc>
        <w:tc>
          <w:tcPr>
            <w:tcW w:w="1417" w:type="dxa"/>
            <w:vMerge/>
          </w:tcPr>
          <w:p w14:paraId="47D7722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B252735" w14:textId="77777777" w:rsidTr="0054332B">
        <w:tc>
          <w:tcPr>
            <w:tcW w:w="1951" w:type="dxa"/>
          </w:tcPr>
          <w:p w14:paraId="14947730" w14:textId="54945827"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r w:rsidR="00244BA1" w:rsidRPr="00F469F1">
              <w:rPr>
                <w:rFonts w:ascii="Book Antiqua" w:eastAsia="宋体" w:hAnsi="Book Antiqua" w:cs="Times New Roman"/>
                <w:sz w:val="24"/>
                <w:szCs w:val="24"/>
              </w:rPr>
              <w:t>-high</w:t>
            </w:r>
          </w:p>
        </w:tc>
        <w:tc>
          <w:tcPr>
            <w:tcW w:w="2410" w:type="dxa"/>
          </w:tcPr>
          <w:p w14:paraId="1EAD3C04" w14:textId="1217FC4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(21)</w:t>
            </w:r>
          </w:p>
        </w:tc>
        <w:tc>
          <w:tcPr>
            <w:tcW w:w="2410" w:type="dxa"/>
          </w:tcPr>
          <w:p w14:paraId="76E4152E" w14:textId="39C4154F"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(10)</w:t>
            </w:r>
          </w:p>
        </w:tc>
        <w:tc>
          <w:tcPr>
            <w:tcW w:w="1417" w:type="dxa"/>
            <w:vMerge/>
          </w:tcPr>
          <w:p w14:paraId="270D7A9A"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88E4EAA" w14:textId="77777777" w:rsidTr="0054332B">
        <w:tc>
          <w:tcPr>
            <w:tcW w:w="1951" w:type="dxa"/>
          </w:tcPr>
          <w:p w14:paraId="6B5DFE1C" w14:textId="4D9DB5EC" w:rsidR="00244BA1" w:rsidRPr="00F469F1" w:rsidRDefault="009957E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2410" w:type="dxa"/>
          </w:tcPr>
          <w:p w14:paraId="0FEA5A8E" w14:textId="3D360EF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12</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(15)</w:t>
            </w:r>
          </w:p>
        </w:tc>
        <w:tc>
          <w:tcPr>
            <w:tcW w:w="2410" w:type="dxa"/>
          </w:tcPr>
          <w:p w14:paraId="2CA0C018" w14:textId="5DE8745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(19)</w:t>
            </w:r>
          </w:p>
        </w:tc>
        <w:tc>
          <w:tcPr>
            <w:tcW w:w="1417" w:type="dxa"/>
            <w:vMerge/>
          </w:tcPr>
          <w:p w14:paraId="2DF62FA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338A4F0E" w14:textId="77777777" w:rsidTr="0054332B">
        <w:tc>
          <w:tcPr>
            <w:tcW w:w="6771" w:type="dxa"/>
            <w:gridSpan w:val="3"/>
          </w:tcPr>
          <w:p w14:paraId="666CB06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c>
          <w:tcPr>
            <w:tcW w:w="1417" w:type="dxa"/>
            <w:vMerge w:val="restart"/>
          </w:tcPr>
          <w:p w14:paraId="72B8B87C" w14:textId="3AD7AB1A"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9567BB" w:rsidRPr="00F469F1">
              <w:rPr>
                <w:rFonts w:ascii="Book Antiqua" w:eastAsia="宋体" w:hAnsi="Book Antiqua" w:cs="Times New Roman"/>
                <w:sz w:val="24"/>
                <w:szCs w:val="24"/>
              </w:rPr>
              <w:t>.053</w:t>
            </w:r>
          </w:p>
        </w:tc>
      </w:tr>
      <w:tr w:rsidR="00BC42C3" w:rsidRPr="00F469F1" w14:paraId="4542C5F6" w14:textId="77777777" w:rsidTr="0054332B">
        <w:tc>
          <w:tcPr>
            <w:tcW w:w="1951" w:type="dxa"/>
          </w:tcPr>
          <w:p w14:paraId="5C07960A" w14:textId="1860DCEA"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II</w:t>
            </w:r>
          </w:p>
        </w:tc>
        <w:tc>
          <w:tcPr>
            <w:tcW w:w="2410" w:type="dxa"/>
          </w:tcPr>
          <w:p w14:paraId="2A13E230" w14:textId="49D8E408"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9957E1"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w:t>
            </w:r>
            <w:r w:rsidRPr="00F469F1">
              <w:rPr>
                <w:rFonts w:ascii="Book Antiqua" w:eastAsia="宋体" w:hAnsi="Book Antiqua" w:cs="Times New Roman"/>
                <w:sz w:val="24"/>
                <w:szCs w:val="24"/>
              </w:rPr>
              <w:t>5</w:t>
            </w:r>
            <w:r w:rsidR="00244BA1" w:rsidRPr="00F469F1">
              <w:rPr>
                <w:rFonts w:ascii="Book Antiqua" w:eastAsia="宋体" w:hAnsi="Book Antiqua" w:cs="Times New Roman"/>
                <w:sz w:val="24"/>
                <w:szCs w:val="24"/>
              </w:rPr>
              <w:t>)</w:t>
            </w:r>
          </w:p>
        </w:tc>
        <w:tc>
          <w:tcPr>
            <w:tcW w:w="2410" w:type="dxa"/>
          </w:tcPr>
          <w:p w14:paraId="57D91C22" w14:textId="3E3D3EF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w:t>
            </w:r>
            <w:r w:rsidR="009957E1" w:rsidRPr="00F469F1">
              <w:rPr>
                <w:rFonts w:ascii="Book Antiqua" w:eastAsia="宋体" w:hAnsi="Book Antiqua" w:cs="Times New Roman"/>
                <w:sz w:val="24"/>
                <w:szCs w:val="24"/>
              </w:rPr>
              <w:t xml:space="preserve"> </w:t>
            </w:r>
            <w:r w:rsidR="009567BB" w:rsidRPr="00F469F1">
              <w:rPr>
                <w:rFonts w:ascii="Book Antiqua" w:eastAsia="宋体" w:hAnsi="Book Antiqua" w:cs="Times New Roman"/>
                <w:sz w:val="24"/>
                <w:szCs w:val="24"/>
              </w:rPr>
              <w:t>(10</w:t>
            </w:r>
            <w:r w:rsidRPr="00F469F1">
              <w:rPr>
                <w:rFonts w:ascii="Book Antiqua" w:eastAsia="宋体" w:hAnsi="Book Antiqua" w:cs="Times New Roman"/>
                <w:sz w:val="24"/>
                <w:szCs w:val="24"/>
              </w:rPr>
              <w:t>)</w:t>
            </w:r>
          </w:p>
        </w:tc>
        <w:tc>
          <w:tcPr>
            <w:tcW w:w="1417" w:type="dxa"/>
            <w:vMerge/>
          </w:tcPr>
          <w:p w14:paraId="3F19363E"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E48D39B" w14:textId="77777777" w:rsidTr="0054332B">
        <w:tc>
          <w:tcPr>
            <w:tcW w:w="1951" w:type="dxa"/>
          </w:tcPr>
          <w:p w14:paraId="2DB13540" w14:textId="5F185F0D"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IV</w:t>
            </w:r>
          </w:p>
        </w:tc>
        <w:tc>
          <w:tcPr>
            <w:tcW w:w="2410" w:type="dxa"/>
          </w:tcPr>
          <w:p w14:paraId="0254ABA6" w14:textId="20B0EB3D" w:rsidR="00244BA1" w:rsidRPr="00F469F1" w:rsidRDefault="009567BB"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(75</w:t>
            </w:r>
            <w:r w:rsidR="00244BA1" w:rsidRPr="00F469F1">
              <w:rPr>
                <w:rFonts w:ascii="Book Antiqua" w:eastAsia="宋体" w:hAnsi="Book Antiqua" w:cs="Times New Roman"/>
                <w:sz w:val="24"/>
                <w:szCs w:val="24"/>
              </w:rPr>
              <w:t>)</w:t>
            </w:r>
          </w:p>
        </w:tc>
        <w:tc>
          <w:tcPr>
            <w:tcW w:w="2410" w:type="dxa"/>
          </w:tcPr>
          <w:p w14:paraId="0549B927" w14:textId="4EA4EE8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w:t>
            </w:r>
            <w:r w:rsidR="009567BB" w:rsidRPr="00F469F1">
              <w:rPr>
                <w:rFonts w:ascii="Book Antiqua" w:eastAsia="宋体" w:hAnsi="Book Antiqua" w:cs="Times New Roman"/>
                <w:sz w:val="24"/>
                <w:szCs w:val="24"/>
              </w:rPr>
              <w:t>5</w:t>
            </w:r>
            <w:r w:rsidR="009957E1" w:rsidRPr="00F469F1">
              <w:rPr>
                <w:rFonts w:ascii="Book Antiqua" w:eastAsia="宋体" w:hAnsi="Book Antiqua" w:cs="Times New Roman"/>
                <w:sz w:val="24"/>
                <w:szCs w:val="24"/>
              </w:rPr>
              <w:t xml:space="preserve"> </w:t>
            </w:r>
            <w:r w:rsidR="009567BB" w:rsidRPr="00F469F1">
              <w:rPr>
                <w:rFonts w:ascii="Book Antiqua" w:eastAsia="宋体" w:hAnsi="Book Antiqua" w:cs="Times New Roman"/>
                <w:sz w:val="24"/>
                <w:szCs w:val="24"/>
              </w:rPr>
              <w:t>(90</w:t>
            </w:r>
            <w:r w:rsidRPr="00F469F1">
              <w:rPr>
                <w:rFonts w:ascii="Book Antiqua" w:eastAsia="宋体" w:hAnsi="Book Antiqua" w:cs="Times New Roman"/>
                <w:sz w:val="24"/>
                <w:szCs w:val="24"/>
              </w:rPr>
              <w:t>)</w:t>
            </w:r>
          </w:p>
        </w:tc>
        <w:tc>
          <w:tcPr>
            <w:tcW w:w="1417" w:type="dxa"/>
            <w:vMerge/>
          </w:tcPr>
          <w:p w14:paraId="7850C95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0CC359E" w14:textId="77777777" w:rsidTr="0054332B">
        <w:tc>
          <w:tcPr>
            <w:tcW w:w="6771" w:type="dxa"/>
            <w:gridSpan w:val="3"/>
          </w:tcPr>
          <w:p w14:paraId="5AEAB71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c>
          <w:tcPr>
            <w:tcW w:w="1417" w:type="dxa"/>
            <w:vMerge w:val="restart"/>
          </w:tcPr>
          <w:p w14:paraId="797F3975" w14:textId="5A49E168"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r>
      <w:tr w:rsidR="00BC42C3" w:rsidRPr="00F469F1" w14:paraId="19477EFE" w14:textId="77777777" w:rsidTr="0054332B">
        <w:tc>
          <w:tcPr>
            <w:tcW w:w="1951" w:type="dxa"/>
          </w:tcPr>
          <w:p w14:paraId="5531A878" w14:textId="5CB8F0D8" w:rsidR="00244BA1" w:rsidRPr="00F469F1" w:rsidRDefault="00253BBB"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22.5</w:t>
            </w:r>
          </w:p>
        </w:tc>
        <w:tc>
          <w:tcPr>
            <w:tcW w:w="2410" w:type="dxa"/>
          </w:tcPr>
          <w:p w14:paraId="6D18D4AA" w14:textId="5EE6E0B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60</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(73)</w:t>
            </w:r>
          </w:p>
        </w:tc>
        <w:tc>
          <w:tcPr>
            <w:tcW w:w="2410" w:type="dxa"/>
          </w:tcPr>
          <w:p w14:paraId="6CA36C20" w14:textId="285FB3B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(34)</w:t>
            </w:r>
          </w:p>
        </w:tc>
        <w:tc>
          <w:tcPr>
            <w:tcW w:w="1417" w:type="dxa"/>
            <w:vMerge/>
          </w:tcPr>
          <w:p w14:paraId="5477F6E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320ABF3" w14:textId="77777777" w:rsidTr="0054332B">
        <w:tc>
          <w:tcPr>
            <w:tcW w:w="1951" w:type="dxa"/>
          </w:tcPr>
          <w:p w14:paraId="66DF9AE8" w14:textId="0E4614B9"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22.5</w:t>
            </w:r>
          </w:p>
        </w:tc>
        <w:tc>
          <w:tcPr>
            <w:tcW w:w="2410" w:type="dxa"/>
          </w:tcPr>
          <w:p w14:paraId="2B469ECF" w14:textId="5A4840A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22</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(27)</w:t>
            </w:r>
          </w:p>
        </w:tc>
        <w:tc>
          <w:tcPr>
            <w:tcW w:w="2410" w:type="dxa"/>
          </w:tcPr>
          <w:p w14:paraId="4F472D96" w14:textId="7A7E6B4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9957E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(66)</w:t>
            </w:r>
          </w:p>
        </w:tc>
        <w:tc>
          <w:tcPr>
            <w:tcW w:w="1417" w:type="dxa"/>
            <w:vMerge/>
          </w:tcPr>
          <w:p w14:paraId="78ACAAC8"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0ACE698D" w14:textId="77777777" w:rsidTr="0054332B">
        <w:tc>
          <w:tcPr>
            <w:tcW w:w="6771" w:type="dxa"/>
            <w:gridSpan w:val="3"/>
          </w:tcPr>
          <w:p w14:paraId="67715554" w14:textId="261DB66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c>
          <w:tcPr>
            <w:tcW w:w="1417" w:type="dxa"/>
            <w:vMerge w:val="restart"/>
          </w:tcPr>
          <w:p w14:paraId="01E35F5F" w14:textId="6D6EEFF3"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.732</w:t>
            </w:r>
          </w:p>
        </w:tc>
      </w:tr>
      <w:tr w:rsidR="00BC42C3" w:rsidRPr="00F469F1" w14:paraId="6F72B883" w14:textId="77777777" w:rsidTr="0054332B">
        <w:tc>
          <w:tcPr>
            <w:tcW w:w="1951" w:type="dxa"/>
          </w:tcPr>
          <w:p w14:paraId="2BB3F5E2" w14:textId="023098A7" w:rsidR="00244BA1" w:rsidRPr="00F469F1" w:rsidRDefault="0042132E" w:rsidP="0042132E">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lastRenderedPageBreak/>
              <w:t xml:space="preserve">≤ </w:t>
            </w:r>
            <w:r w:rsidR="00244BA1" w:rsidRPr="00F469F1">
              <w:rPr>
                <w:rFonts w:ascii="Book Antiqua" w:eastAsia="宋体" w:hAnsi="Book Antiqua" w:cs="Times New Roman"/>
                <w:sz w:val="24"/>
                <w:szCs w:val="24"/>
              </w:rPr>
              <w:t>5.30</w:t>
            </w:r>
          </w:p>
        </w:tc>
        <w:tc>
          <w:tcPr>
            <w:tcW w:w="2410" w:type="dxa"/>
          </w:tcPr>
          <w:p w14:paraId="31EC974A" w14:textId="18869EE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56</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(76)</w:t>
            </w:r>
          </w:p>
        </w:tc>
        <w:tc>
          <w:tcPr>
            <w:tcW w:w="2410" w:type="dxa"/>
          </w:tcPr>
          <w:p w14:paraId="5C74C550" w14:textId="622ED44A"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21</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(72)</w:t>
            </w:r>
          </w:p>
        </w:tc>
        <w:tc>
          <w:tcPr>
            <w:tcW w:w="1417" w:type="dxa"/>
            <w:vMerge/>
          </w:tcPr>
          <w:p w14:paraId="06C284F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DA62B50" w14:textId="77777777" w:rsidTr="0054332B">
        <w:tc>
          <w:tcPr>
            <w:tcW w:w="1951" w:type="dxa"/>
          </w:tcPr>
          <w:p w14:paraId="1F1D64D1" w14:textId="7F4EC0A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5.30</w:t>
            </w:r>
          </w:p>
        </w:tc>
        <w:tc>
          <w:tcPr>
            <w:tcW w:w="2410" w:type="dxa"/>
          </w:tcPr>
          <w:p w14:paraId="45B156B4" w14:textId="7F8BE0C8"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(24)</w:t>
            </w:r>
          </w:p>
        </w:tc>
        <w:tc>
          <w:tcPr>
            <w:tcW w:w="2410" w:type="dxa"/>
          </w:tcPr>
          <w:p w14:paraId="3F581ABF" w14:textId="343B4E12"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(28)</w:t>
            </w:r>
          </w:p>
        </w:tc>
        <w:tc>
          <w:tcPr>
            <w:tcW w:w="1417" w:type="dxa"/>
            <w:vMerge/>
          </w:tcPr>
          <w:p w14:paraId="3206E5AF"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4A606DE5" w14:textId="77777777" w:rsidTr="0054332B">
        <w:tc>
          <w:tcPr>
            <w:tcW w:w="6771" w:type="dxa"/>
            <w:gridSpan w:val="3"/>
          </w:tcPr>
          <w:p w14:paraId="7AD87380" w14:textId="5043A55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 U/m</w:t>
            </w:r>
            <w:r w:rsidR="00F73B64" w:rsidRPr="00F469F1">
              <w:rPr>
                <w:rFonts w:ascii="Book Antiqua" w:eastAsia="宋体" w:hAnsi="Book Antiqua" w:cs="Times New Roman"/>
                <w:sz w:val="24"/>
                <w:szCs w:val="24"/>
              </w:rPr>
              <w:t>L</w:t>
            </w:r>
          </w:p>
        </w:tc>
        <w:tc>
          <w:tcPr>
            <w:tcW w:w="1417" w:type="dxa"/>
            <w:vMerge w:val="restart"/>
          </w:tcPr>
          <w:p w14:paraId="5CD3F4BA" w14:textId="53F827E6"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.049</w:t>
            </w:r>
          </w:p>
        </w:tc>
      </w:tr>
      <w:tr w:rsidR="00BC42C3" w:rsidRPr="00F469F1" w14:paraId="49B17485" w14:textId="77777777" w:rsidTr="0054332B">
        <w:tc>
          <w:tcPr>
            <w:tcW w:w="1951" w:type="dxa"/>
          </w:tcPr>
          <w:p w14:paraId="7064BA5D" w14:textId="114C6C6C" w:rsidR="00244BA1" w:rsidRPr="00F469F1" w:rsidRDefault="0042132E"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47.8</w:t>
            </w:r>
          </w:p>
        </w:tc>
        <w:tc>
          <w:tcPr>
            <w:tcW w:w="2410" w:type="dxa"/>
          </w:tcPr>
          <w:p w14:paraId="634E6942" w14:textId="5C31FD84"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47</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(58)</w:t>
            </w:r>
          </w:p>
        </w:tc>
        <w:tc>
          <w:tcPr>
            <w:tcW w:w="2410" w:type="dxa"/>
          </w:tcPr>
          <w:p w14:paraId="52290355" w14:textId="39930D39"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(38)</w:t>
            </w:r>
          </w:p>
        </w:tc>
        <w:tc>
          <w:tcPr>
            <w:tcW w:w="1417" w:type="dxa"/>
            <w:vMerge/>
          </w:tcPr>
          <w:p w14:paraId="0A71C57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75C7040" w14:textId="77777777" w:rsidTr="0054332B">
        <w:tc>
          <w:tcPr>
            <w:tcW w:w="1951" w:type="dxa"/>
          </w:tcPr>
          <w:p w14:paraId="37CFE9AF" w14:textId="64B1B1E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47.8</w:t>
            </w:r>
          </w:p>
        </w:tc>
        <w:tc>
          <w:tcPr>
            <w:tcW w:w="2410" w:type="dxa"/>
          </w:tcPr>
          <w:p w14:paraId="3E44B079" w14:textId="17DB896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(42)</w:t>
            </w:r>
          </w:p>
        </w:tc>
        <w:tc>
          <w:tcPr>
            <w:tcW w:w="2410" w:type="dxa"/>
          </w:tcPr>
          <w:p w14:paraId="6C32D9E3" w14:textId="596F249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(62)</w:t>
            </w:r>
          </w:p>
        </w:tc>
        <w:tc>
          <w:tcPr>
            <w:tcW w:w="1417" w:type="dxa"/>
            <w:vMerge/>
          </w:tcPr>
          <w:p w14:paraId="75DDC1B0"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86C5451" w14:textId="77777777" w:rsidTr="0054332B">
        <w:tc>
          <w:tcPr>
            <w:tcW w:w="6771" w:type="dxa"/>
            <w:gridSpan w:val="3"/>
          </w:tcPr>
          <w:p w14:paraId="104B361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c>
          <w:tcPr>
            <w:tcW w:w="1417" w:type="dxa"/>
            <w:vMerge w:val="restart"/>
          </w:tcPr>
          <w:p w14:paraId="30661CD1" w14:textId="721F8EAC"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.940</w:t>
            </w:r>
          </w:p>
        </w:tc>
      </w:tr>
      <w:tr w:rsidR="00BC42C3" w:rsidRPr="00F469F1" w14:paraId="32F51FC3" w14:textId="77777777" w:rsidTr="0054332B">
        <w:tc>
          <w:tcPr>
            <w:tcW w:w="1951" w:type="dxa"/>
          </w:tcPr>
          <w:p w14:paraId="4EEB91D3" w14:textId="2DEC41CD" w:rsidR="00244BA1" w:rsidRPr="00F469F1" w:rsidRDefault="0042132E" w:rsidP="00EB3797">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EB3797">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2.90</w:t>
            </w:r>
          </w:p>
        </w:tc>
        <w:tc>
          <w:tcPr>
            <w:tcW w:w="2410" w:type="dxa"/>
          </w:tcPr>
          <w:p w14:paraId="3E4622CB" w14:textId="04D7A266"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(50)</w:t>
            </w:r>
          </w:p>
        </w:tc>
        <w:tc>
          <w:tcPr>
            <w:tcW w:w="2410" w:type="dxa"/>
          </w:tcPr>
          <w:p w14:paraId="23B1A91A" w14:textId="5F7DD6A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w:t>
            </w:r>
          </w:p>
        </w:tc>
        <w:tc>
          <w:tcPr>
            <w:tcW w:w="1417" w:type="dxa"/>
            <w:vMerge/>
          </w:tcPr>
          <w:p w14:paraId="71B11EB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7402429" w14:textId="77777777" w:rsidTr="0054332B">
        <w:tc>
          <w:tcPr>
            <w:tcW w:w="1951" w:type="dxa"/>
          </w:tcPr>
          <w:p w14:paraId="00D05349" w14:textId="273D9DB4"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2.90</w:t>
            </w:r>
          </w:p>
        </w:tc>
        <w:tc>
          <w:tcPr>
            <w:tcW w:w="2410" w:type="dxa"/>
          </w:tcPr>
          <w:p w14:paraId="5317CA05" w14:textId="4B09397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44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(50)</w:t>
            </w:r>
          </w:p>
        </w:tc>
        <w:tc>
          <w:tcPr>
            <w:tcW w:w="2410" w:type="dxa"/>
          </w:tcPr>
          <w:p w14:paraId="52AE0BFD" w14:textId="79A1B0D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w:t>
            </w:r>
          </w:p>
        </w:tc>
        <w:tc>
          <w:tcPr>
            <w:tcW w:w="1417" w:type="dxa"/>
            <w:vMerge/>
          </w:tcPr>
          <w:p w14:paraId="7A0EDCF9" w14:textId="77777777" w:rsidR="00244BA1" w:rsidRPr="00F469F1" w:rsidRDefault="00244BA1" w:rsidP="00F469F1">
            <w:pPr>
              <w:snapToGrid w:val="0"/>
              <w:spacing w:line="360" w:lineRule="auto"/>
              <w:rPr>
                <w:rFonts w:ascii="Book Antiqua" w:eastAsia="宋体" w:hAnsi="Book Antiqua" w:cs="Times New Roman"/>
                <w:sz w:val="24"/>
                <w:szCs w:val="24"/>
              </w:rPr>
            </w:pPr>
          </w:p>
        </w:tc>
      </w:tr>
    </w:tbl>
    <w:p w14:paraId="22BCE187" w14:textId="28643523" w:rsidR="00F8645D"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Body </w:t>
      </w:r>
      <w:r w:rsidR="00475AA7" w:rsidRPr="00F469F1">
        <w:rPr>
          <w:rFonts w:ascii="Book Antiqua" w:eastAsia="宋体" w:hAnsi="Book Antiqua" w:cs="Times New Roman"/>
          <w:sz w:val="24"/>
          <w:szCs w:val="24"/>
        </w:rPr>
        <w:t>mass index</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Carcinoembryonic </w:t>
      </w:r>
      <w:r w:rsidR="00B333DE" w:rsidRPr="00F469F1">
        <w:rPr>
          <w:rFonts w:ascii="Book Antiqua" w:eastAsia="宋体" w:hAnsi="Book Antiqua" w:cs="Times New Roman"/>
          <w:sz w:val="24"/>
          <w:szCs w:val="24"/>
        </w:rPr>
        <w:t>antigen</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w:t>
      </w:r>
      <w:r w:rsidR="0054332B" w:rsidRPr="00F469F1">
        <w:rPr>
          <w:rFonts w:ascii="Book Antiqua" w:eastAsia="宋体" w:hAnsi="Book Antiqua" w:cs="Times New Roman"/>
          <w:sz w:val="24"/>
          <w:szCs w:val="24"/>
        </w:rPr>
        <w:t>.</w:t>
      </w:r>
    </w:p>
    <w:p w14:paraId="62B7FB5B" w14:textId="1E5E4D0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09155AE7" w14:textId="3B6B20FF"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3</w:t>
      </w:r>
      <w:r w:rsidRPr="00F469F1">
        <w:rPr>
          <w:rFonts w:ascii="Book Antiqua" w:eastAsia="宋体" w:hAnsi="Book Antiqua" w:cs="Times New Roman"/>
          <w:sz w:val="24"/>
          <w:szCs w:val="24"/>
        </w:rPr>
        <w:t xml:space="preserve"> </w:t>
      </w:r>
      <w:r w:rsidRPr="00F469F1">
        <w:rPr>
          <w:rFonts w:ascii="Book Antiqua" w:eastAsia="宋体" w:hAnsi="Book Antiqua" w:cs="Times New Roman"/>
          <w:b/>
          <w:sz w:val="24"/>
          <w:szCs w:val="24"/>
        </w:rPr>
        <w:t xml:space="preserve">Short-term clinical outcomes according to </w:t>
      </w:r>
      <w:r w:rsidR="00426C54">
        <w:rPr>
          <w:rFonts w:ascii="Book Antiqua" w:eastAsia="宋体" w:hAnsi="Book Antiqua" w:cs="Times New Roman"/>
          <w:b/>
          <w:sz w:val="24"/>
          <w:szCs w:val="24"/>
        </w:rPr>
        <w:t>g</w:t>
      </w:r>
      <w:r w:rsidR="00426C54" w:rsidRPr="00F469F1">
        <w:rPr>
          <w:rFonts w:ascii="Book Antiqua" w:eastAsia="宋体" w:hAnsi="Book Antiqua" w:cs="Times New Roman"/>
          <w:b/>
          <w:sz w:val="24"/>
          <w:szCs w:val="24"/>
        </w:rPr>
        <w:t>amma</w:t>
      </w:r>
      <w:r w:rsidR="0054332B" w:rsidRPr="00F469F1">
        <w:rPr>
          <w:rFonts w:ascii="Book Antiqua" w:eastAsia="宋体" w:hAnsi="Book Antiqua" w:cs="Times New Roman"/>
          <w:b/>
          <w:sz w:val="24"/>
          <w:szCs w:val="24"/>
        </w:rPr>
        <w:t>-</w:t>
      </w:r>
      <w:proofErr w:type="spellStart"/>
      <w:r w:rsidR="0054332B" w:rsidRPr="00F469F1">
        <w:rPr>
          <w:rFonts w:ascii="Book Antiqua" w:eastAsia="宋体" w:hAnsi="Book Antiqua" w:cs="Times New Roman"/>
          <w:b/>
          <w:sz w:val="24"/>
          <w:szCs w:val="24"/>
        </w:rPr>
        <w:t>glutamyl</w:t>
      </w:r>
      <w:proofErr w:type="spellEnd"/>
      <w:r w:rsidR="0054332B" w:rsidRPr="00F469F1">
        <w:rPr>
          <w:rFonts w:ascii="Book Antiqua" w:eastAsia="宋体" w:hAnsi="Book Antiqua" w:cs="Times New Roman"/>
          <w:b/>
          <w:sz w:val="24"/>
          <w:szCs w:val="24"/>
        </w:rPr>
        <w:t xml:space="preserve"> transferase–to–platelet ratio</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160"/>
        <w:gridCol w:w="2268"/>
        <w:gridCol w:w="1056"/>
      </w:tblGrid>
      <w:tr w:rsidR="00BC42C3" w:rsidRPr="00F469F1" w14:paraId="66132E0B" w14:textId="77777777" w:rsidTr="0054332B">
        <w:tc>
          <w:tcPr>
            <w:tcW w:w="2943" w:type="dxa"/>
            <w:tcBorders>
              <w:top w:val="single" w:sz="4" w:space="0" w:color="auto"/>
              <w:bottom w:val="single" w:sz="4" w:space="0" w:color="auto"/>
            </w:tcBorders>
          </w:tcPr>
          <w:p w14:paraId="134D177A" w14:textId="77777777"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Patients</w:t>
            </w:r>
          </w:p>
        </w:tc>
        <w:tc>
          <w:tcPr>
            <w:tcW w:w="2160" w:type="dxa"/>
            <w:tcBorders>
              <w:top w:val="single" w:sz="4" w:space="0" w:color="auto"/>
              <w:bottom w:val="single" w:sz="4" w:space="0" w:color="auto"/>
            </w:tcBorders>
          </w:tcPr>
          <w:p w14:paraId="0F8A68B5" w14:textId="58714FAD"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4B3D62" w:rsidRPr="00F469F1">
              <w:rPr>
                <w:rFonts w:ascii="Book Antiqua" w:eastAsia="宋体" w:hAnsi="Book Antiqua" w:cs="Times New Roman"/>
                <w:b/>
                <w:sz w:val="24"/>
                <w:szCs w:val="24"/>
              </w:rPr>
              <w:t xml:space="preserve"> </w:t>
            </w:r>
            <w:r w:rsidR="00F469F1" w:rsidRPr="00F469F1">
              <w:rPr>
                <w:rFonts w:ascii="Book Antiqua" w:eastAsia="宋体" w:hAnsi="Book Antiqua" w:cs="宋体"/>
                <w:b/>
                <w:sz w:val="24"/>
                <w:szCs w:val="24"/>
              </w:rPr>
              <w:t xml:space="preserve">≤ </w:t>
            </w:r>
            <w:r w:rsidRPr="00F469F1">
              <w:rPr>
                <w:rFonts w:ascii="Book Antiqua" w:eastAsia="宋体" w:hAnsi="Book Antiqua" w:cs="Times New Roman"/>
                <w:b/>
                <w:sz w:val="24"/>
                <w:szCs w:val="24"/>
              </w:rPr>
              <w:t xml:space="preserve">0.365, medium (IQR) or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2268" w:type="dxa"/>
            <w:tcBorders>
              <w:top w:val="single" w:sz="4" w:space="0" w:color="auto"/>
              <w:bottom w:val="single" w:sz="4" w:space="0" w:color="auto"/>
            </w:tcBorders>
          </w:tcPr>
          <w:p w14:paraId="4BDFA2DF" w14:textId="3E19D147"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GPR</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&gt;</w:t>
            </w:r>
            <w:r w:rsidR="00EE32A6"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 xml:space="preserve">0.365, medium (IQR) or </w:t>
            </w:r>
            <w:r w:rsidRPr="00F469F1">
              <w:rPr>
                <w:rFonts w:ascii="Book Antiqua" w:eastAsia="宋体" w:hAnsi="Book Antiqua" w:cs="Times New Roman"/>
                <w:b/>
                <w:i/>
                <w:sz w:val="24"/>
                <w:szCs w:val="24"/>
              </w:rPr>
              <w:t>n</w:t>
            </w:r>
            <w:r w:rsidRPr="00F469F1">
              <w:rPr>
                <w:rFonts w:ascii="Book Antiqua" w:eastAsia="宋体" w:hAnsi="Book Antiqua" w:cs="Times New Roman"/>
                <w:b/>
                <w:sz w:val="24"/>
                <w:szCs w:val="24"/>
              </w:rPr>
              <w:t xml:space="preserve"> (%)</w:t>
            </w:r>
          </w:p>
        </w:tc>
        <w:tc>
          <w:tcPr>
            <w:tcW w:w="1056" w:type="dxa"/>
            <w:tcBorders>
              <w:top w:val="single" w:sz="4" w:space="0" w:color="auto"/>
              <w:bottom w:val="single" w:sz="4" w:space="0" w:color="auto"/>
            </w:tcBorders>
          </w:tcPr>
          <w:p w14:paraId="5D782AEA" w14:textId="4435B7BD" w:rsidR="00105CEC" w:rsidRPr="00F469F1" w:rsidRDefault="00105CEC"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Pr="00F469F1">
              <w:rPr>
                <w:rFonts w:ascii="Book Antiqua" w:eastAsia="宋体" w:hAnsi="Book Antiqua" w:cs="Times New Roman"/>
                <w:b/>
                <w:sz w:val="24"/>
                <w:szCs w:val="24"/>
              </w:rPr>
              <w:t>value</w:t>
            </w:r>
          </w:p>
        </w:tc>
      </w:tr>
      <w:tr w:rsidR="00BC42C3" w:rsidRPr="00F469F1" w14:paraId="2736A716" w14:textId="77777777" w:rsidTr="0054332B">
        <w:tc>
          <w:tcPr>
            <w:tcW w:w="7371" w:type="dxa"/>
            <w:gridSpan w:val="3"/>
            <w:tcBorders>
              <w:top w:val="single" w:sz="4" w:space="0" w:color="auto"/>
            </w:tcBorders>
          </w:tcPr>
          <w:p w14:paraId="08DA5070" w14:textId="77777777"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Postoperative complications</w:t>
            </w:r>
          </w:p>
        </w:tc>
        <w:tc>
          <w:tcPr>
            <w:tcW w:w="1056" w:type="dxa"/>
            <w:vMerge w:val="restart"/>
            <w:tcBorders>
              <w:top w:val="single" w:sz="4" w:space="0" w:color="auto"/>
            </w:tcBorders>
          </w:tcPr>
          <w:p w14:paraId="3A4C9681" w14:textId="3FB160CF" w:rsidR="00105CEC"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105CEC" w:rsidRPr="00F469F1">
              <w:rPr>
                <w:rFonts w:ascii="Book Antiqua" w:eastAsia="宋体" w:hAnsi="Book Antiqua" w:cs="Times New Roman"/>
                <w:sz w:val="24"/>
                <w:szCs w:val="24"/>
              </w:rPr>
              <w:t>.015</w:t>
            </w:r>
          </w:p>
        </w:tc>
      </w:tr>
      <w:tr w:rsidR="00BC42C3" w:rsidRPr="00F469F1" w14:paraId="0EBD4172" w14:textId="77777777" w:rsidTr="0054332B">
        <w:tc>
          <w:tcPr>
            <w:tcW w:w="2943" w:type="dxa"/>
          </w:tcPr>
          <w:p w14:paraId="76B4B0C2" w14:textId="77777777" w:rsidR="00105CEC" w:rsidRPr="00F469F1" w:rsidRDefault="00105CEC"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2160" w:type="dxa"/>
          </w:tcPr>
          <w:p w14:paraId="0CEE0468" w14:textId="5BD6997C"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76</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(84)</w:t>
            </w:r>
          </w:p>
        </w:tc>
        <w:tc>
          <w:tcPr>
            <w:tcW w:w="2268" w:type="dxa"/>
          </w:tcPr>
          <w:p w14:paraId="222BBC0F" w14:textId="7C6426FF"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(64)</w:t>
            </w:r>
          </w:p>
        </w:tc>
        <w:tc>
          <w:tcPr>
            <w:tcW w:w="1056" w:type="dxa"/>
            <w:vMerge/>
          </w:tcPr>
          <w:p w14:paraId="02DA60B9" w14:textId="77777777" w:rsidR="00105CEC" w:rsidRPr="00F469F1" w:rsidRDefault="00105CEC" w:rsidP="00F469F1">
            <w:pPr>
              <w:snapToGrid w:val="0"/>
              <w:spacing w:line="360" w:lineRule="auto"/>
              <w:rPr>
                <w:rFonts w:ascii="Book Antiqua" w:eastAsia="宋体" w:hAnsi="Book Antiqua" w:cs="Times New Roman"/>
                <w:sz w:val="24"/>
                <w:szCs w:val="24"/>
              </w:rPr>
            </w:pPr>
          </w:p>
        </w:tc>
      </w:tr>
      <w:tr w:rsidR="00BC42C3" w:rsidRPr="00F469F1" w14:paraId="1D77714E" w14:textId="77777777" w:rsidTr="0054332B">
        <w:tc>
          <w:tcPr>
            <w:tcW w:w="2943" w:type="dxa"/>
          </w:tcPr>
          <w:p w14:paraId="0D847AA7" w14:textId="77777777" w:rsidR="00105CEC" w:rsidRPr="00F469F1" w:rsidRDefault="00105CEC"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2160" w:type="dxa"/>
          </w:tcPr>
          <w:p w14:paraId="2E6200AE" w14:textId="52CB235B"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15</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(16)</w:t>
            </w:r>
          </w:p>
        </w:tc>
        <w:tc>
          <w:tcPr>
            <w:tcW w:w="2268" w:type="dxa"/>
          </w:tcPr>
          <w:p w14:paraId="00C0ECE7" w14:textId="507A3C3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(36)</w:t>
            </w:r>
          </w:p>
        </w:tc>
        <w:tc>
          <w:tcPr>
            <w:tcW w:w="1056" w:type="dxa"/>
            <w:vMerge/>
          </w:tcPr>
          <w:p w14:paraId="044D1DA8" w14:textId="77777777" w:rsidR="00105CEC" w:rsidRPr="00F469F1" w:rsidRDefault="00105CEC" w:rsidP="00F469F1">
            <w:pPr>
              <w:snapToGrid w:val="0"/>
              <w:spacing w:line="360" w:lineRule="auto"/>
              <w:rPr>
                <w:rFonts w:ascii="Book Antiqua" w:eastAsia="宋体" w:hAnsi="Book Antiqua" w:cs="Times New Roman"/>
                <w:sz w:val="24"/>
                <w:szCs w:val="24"/>
              </w:rPr>
            </w:pPr>
          </w:p>
        </w:tc>
      </w:tr>
      <w:tr w:rsidR="00BC42C3" w:rsidRPr="00F469F1" w14:paraId="08B40F46" w14:textId="77777777" w:rsidTr="0054332B">
        <w:tc>
          <w:tcPr>
            <w:tcW w:w="2943" w:type="dxa"/>
          </w:tcPr>
          <w:p w14:paraId="0A426FF3" w14:textId="77777777"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HOD</w:t>
            </w:r>
          </w:p>
        </w:tc>
        <w:tc>
          <w:tcPr>
            <w:tcW w:w="2160" w:type="dxa"/>
          </w:tcPr>
          <w:p w14:paraId="31CD70B8" w14:textId="561836D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(10-17)</w:t>
            </w:r>
          </w:p>
        </w:tc>
        <w:tc>
          <w:tcPr>
            <w:tcW w:w="2268" w:type="dxa"/>
          </w:tcPr>
          <w:p w14:paraId="3169FDDA" w14:textId="79FBEB2E"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w:t>
            </w:r>
            <w:r w:rsidR="00F469F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(14-23)</w:t>
            </w:r>
          </w:p>
        </w:tc>
        <w:tc>
          <w:tcPr>
            <w:tcW w:w="1056" w:type="dxa"/>
          </w:tcPr>
          <w:p w14:paraId="4A3C5C77" w14:textId="59BD6282"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F145AC" w:rsidRPr="00F469F1">
              <w:rPr>
                <w:rFonts w:ascii="Book Antiqua" w:eastAsia="宋体" w:hAnsi="Book Antiqua" w:cs="Times New Roman"/>
                <w:sz w:val="24"/>
                <w:szCs w:val="24"/>
              </w:rPr>
              <w:t>0</w:t>
            </w:r>
            <w:r w:rsidRPr="00F469F1">
              <w:rPr>
                <w:rFonts w:ascii="Book Antiqua" w:eastAsia="宋体" w:hAnsi="Book Antiqua" w:cs="Times New Roman"/>
                <w:sz w:val="24"/>
                <w:szCs w:val="24"/>
              </w:rPr>
              <w:t>.001</w:t>
            </w:r>
          </w:p>
        </w:tc>
      </w:tr>
    </w:tbl>
    <w:p w14:paraId="7EBA978A" w14:textId="76E0950D" w:rsidR="00105CEC" w:rsidRPr="00F469F1" w:rsidRDefault="00105CE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w:t>
      </w:r>
      <w:r w:rsidR="00B333DE" w:rsidRPr="00F469F1">
        <w:rPr>
          <w:rFonts w:ascii="Book Antiqua" w:eastAsia="宋体" w:hAnsi="Book Antiqua" w:cs="Times New Roman"/>
          <w:sz w:val="24"/>
          <w:szCs w:val="24"/>
        </w:rPr>
        <w:t>l</w:t>
      </w:r>
      <w:proofErr w:type="spellEnd"/>
      <w:r w:rsidR="00B333DE" w:rsidRPr="00F469F1">
        <w:rPr>
          <w:rFonts w:ascii="Book Antiqua" w:eastAsia="宋体" w:hAnsi="Book Antiqua" w:cs="Times New Roman"/>
          <w:sz w:val="24"/>
          <w:szCs w:val="24"/>
        </w:rPr>
        <w:t xml:space="preserve"> transferase to platelet ratio</w:t>
      </w:r>
      <w:r w:rsidR="0054332B"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HOD</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Hospitalization </w:t>
      </w:r>
      <w:r w:rsidRPr="00F469F1">
        <w:rPr>
          <w:rFonts w:ascii="Book Antiqua" w:eastAsia="宋体" w:hAnsi="Book Antiqua" w:cs="Times New Roman"/>
          <w:sz w:val="24"/>
          <w:szCs w:val="24"/>
        </w:rPr>
        <w:t>days</w:t>
      </w:r>
      <w:r w:rsidR="0054332B" w:rsidRPr="00F469F1">
        <w:rPr>
          <w:rFonts w:ascii="Book Antiqua" w:hAnsi="Book Antiqua"/>
          <w:color w:val="000000"/>
          <w:kern w:val="0"/>
          <w:sz w:val="24"/>
          <w:szCs w:val="24"/>
        </w:rPr>
        <w:t xml:space="preserve">; </w:t>
      </w:r>
      <w:r w:rsidR="00B20D23" w:rsidRPr="00F469F1">
        <w:rPr>
          <w:rFonts w:ascii="Book Antiqua" w:eastAsia="宋体" w:hAnsi="Book Antiqua" w:cs="Times New Roman"/>
          <w:sz w:val="24"/>
          <w:szCs w:val="24"/>
        </w:rPr>
        <w:t>IQR: Interquartile range</w:t>
      </w:r>
      <w:r w:rsidR="0054332B" w:rsidRPr="00F469F1">
        <w:rPr>
          <w:rFonts w:ascii="Book Antiqua" w:eastAsia="宋体" w:hAnsi="Book Antiqua" w:cs="Times New Roman"/>
          <w:sz w:val="24"/>
          <w:szCs w:val="24"/>
        </w:rPr>
        <w:t>.</w:t>
      </w:r>
    </w:p>
    <w:p w14:paraId="1107B262" w14:textId="77777777" w:rsidR="00105CEC" w:rsidRPr="00F469F1" w:rsidRDefault="00105CEC"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4732B051" w14:textId="17DDBC3E"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00105CEC" w:rsidRPr="00F469F1">
        <w:rPr>
          <w:rFonts w:ascii="Book Antiqua" w:eastAsia="宋体" w:hAnsi="Book Antiqua" w:cs="Times New Roman"/>
          <w:b/>
          <w:sz w:val="24"/>
          <w:szCs w:val="24"/>
        </w:rPr>
        <w:t xml:space="preserve"> 4</w:t>
      </w:r>
      <w:r w:rsidRPr="00F469F1">
        <w:rPr>
          <w:rFonts w:ascii="Book Antiqua" w:eastAsia="宋体" w:hAnsi="Book Antiqua" w:cs="Times New Roman"/>
          <w:sz w:val="24"/>
          <w:szCs w:val="24"/>
        </w:rPr>
        <w:t xml:space="preserve"> </w:t>
      </w:r>
      <w:r w:rsidRPr="00F469F1">
        <w:rPr>
          <w:rFonts w:ascii="Book Antiqua" w:eastAsia="宋体" w:hAnsi="Book Antiqua" w:cs="Times New Roman"/>
          <w:b/>
          <w:sz w:val="24"/>
          <w:szCs w:val="24"/>
        </w:rPr>
        <w:t xml:space="preserve">Univariate and multivariate Cox proportional hazard </w:t>
      </w:r>
      <w:r w:rsidR="003A7F9D" w:rsidRPr="00F469F1">
        <w:rPr>
          <w:rFonts w:ascii="Book Antiqua" w:eastAsia="宋体" w:hAnsi="Book Antiqua" w:cs="Times New Roman"/>
          <w:b/>
          <w:sz w:val="24"/>
          <w:szCs w:val="24"/>
        </w:rPr>
        <w:t>analys</w:t>
      </w:r>
      <w:r w:rsidR="003A7F9D">
        <w:rPr>
          <w:rFonts w:ascii="Book Antiqua" w:eastAsia="宋体" w:hAnsi="Book Antiqua" w:cs="Times New Roman"/>
          <w:b/>
          <w:sz w:val="24"/>
          <w:szCs w:val="24"/>
        </w:rPr>
        <w:t>e</w:t>
      </w:r>
      <w:r w:rsidR="003A7F9D" w:rsidRPr="00F469F1">
        <w:rPr>
          <w:rFonts w:ascii="Book Antiqua" w:eastAsia="宋体" w:hAnsi="Book Antiqua" w:cs="Times New Roman"/>
          <w:b/>
          <w:sz w:val="24"/>
          <w:szCs w:val="24"/>
        </w:rPr>
        <w:t xml:space="preserve">s </w:t>
      </w:r>
      <w:r w:rsidRPr="00F469F1">
        <w:rPr>
          <w:rFonts w:ascii="Book Antiqua" w:eastAsia="宋体" w:hAnsi="Book Antiqua" w:cs="Times New Roman"/>
          <w:b/>
          <w:sz w:val="24"/>
          <w:szCs w:val="24"/>
        </w:rPr>
        <w:t>of factors associated with overall survival</w:t>
      </w:r>
    </w:p>
    <w:tbl>
      <w:tblPr>
        <w:tblStyle w:val="TableGrid3"/>
        <w:tblW w:w="893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992"/>
        <w:gridCol w:w="1418"/>
        <w:gridCol w:w="1134"/>
        <w:gridCol w:w="884"/>
        <w:gridCol w:w="1417"/>
        <w:gridCol w:w="1242"/>
      </w:tblGrid>
      <w:tr w:rsidR="00BC42C3" w:rsidRPr="00F469F1" w14:paraId="2AADD23E" w14:textId="77777777" w:rsidTr="00EC0181">
        <w:tc>
          <w:tcPr>
            <w:tcW w:w="1844" w:type="dxa"/>
            <w:vMerge w:val="restart"/>
            <w:tcBorders>
              <w:top w:val="single" w:sz="4" w:space="0" w:color="auto"/>
              <w:bottom w:val="nil"/>
            </w:tcBorders>
          </w:tcPr>
          <w:p w14:paraId="7EA30098" w14:textId="77777777" w:rsidR="00244BA1" w:rsidRPr="00F469F1" w:rsidRDefault="00244BA1" w:rsidP="00F469F1">
            <w:pPr>
              <w:snapToGrid w:val="0"/>
              <w:spacing w:line="360" w:lineRule="auto"/>
              <w:rPr>
                <w:rFonts w:ascii="Book Antiqua" w:eastAsia="宋体" w:hAnsi="Book Antiqua" w:cs="Times New Roman"/>
                <w:b/>
                <w:sz w:val="24"/>
                <w:szCs w:val="24"/>
              </w:rPr>
            </w:pPr>
          </w:p>
        </w:tc>
        <w:tc>
          <w:tcPr>
            <w:tcW w:w="3544" w:type="dxa"/>
            <w:gridSpan w:val="3"/>
            <w:tcBorders>
              <w:top w:val="single" w:sz="4" w:space="0" w:color="auto"/>
              <w:bottom w:val="single" w:sz="4" w:space="0" w:color="auto"/>
            </w:tcBorders>
          </w:tcPr>
          <w:p w14:paraId="4E5ABA02" w14:textId="0F34924E"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U</w:t>
            </w:r>
            <w:r w:rsidR="00244BA1" w:rsidRPr="00F469F1">
              <w:rPr>
                <w:rFonts w:ascii="Book Antiqua" w:eastAsia="宋体" w:hAnsi="Book Antiqua" w:cs="Times New Roman"/>
                <w:b/>
                <w:sz w:val="24"/>
                <w:szCs w:val="24"/>
              </w:rPr>
              <w:t>nivariate test</w:t>
            </w:r>
          </w:p>
        </w:tc>
        <w:tc>
          <w:tcPr>
            <w:tcW w:w="3543" w:type="dxa"/>
            <w:gridSpan w:val="3"/>
            <w:tcBorders>
              <w:top w:val="single" w:sz="4" w:space="0" w:color="auto"/>
              <w:bottom w:val="single" w:sz="4" w:space="0" w:color="auto"/>
            </w:tcBorders>
          </w:tcPr>
          <w:p w14:paraId="099EC30F" w14:textId="1F93E18B" w:rsidR="00244BA1" w:rsidRPr="00F469F1" w:rsidRDefault="005979E2"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M</w:t>
            </w:r>
            <w:r w:rsidR="00244BA1" w:rsidRPr="00F469F1">
              <w:rPr>
                <w:rFonts w:ascii="Book Antiqua" w:eastAsia="宋体" w:hAnsi="Book Antiqua" w:cs="Times New Roman"/>
                <w:b/>
                <w:sz w:val="24"/>
                <w:szCs w:val="24"/>
              </w:rPr>
              <w:t>ultivariate test</w:t>
            </w:r>
          </w:p>
        </w:tc>
      </w:tr>
      <w:tr w:rsidR="00BC42C3" w:rsidRPr="00F469F1" w14:paraId="5E635E08" w14:textId="77777777" w:rsidTr="00EC0181">
        <w:tc>
          <w:tcPr>
            <w:tcW w:w="1844" w:type="dxa"/>
            <w:vMerge/>
            <w:tcBorders>
              <w:top w:val="nil"/>
              <w:bottom w:val="single" w:sz="4" w:space="0" w:color="auto"/>
            </w:tcBorders>
          </w:tcPr>
          <w:p w14:paraId="69676C6A"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992" w:type="dxa"/>
            <w:tcBorders>
              <w:top w:val="single" w:sz="4" w:space="0" w:color="auto"/>
              <w:bottom w:val="single" w:sz="4" w:space="0" w:color="auto"/>
            </w:tcBorders>
          </w:tcPr>
          <w:p w14:paraId="3FB6FAD2"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HR</w:t>
            </w:r>
          </w:p>
        </w:tc>
        <w:tc>
          <w:tcPr>
            <w:tcW w:w="1418" w:type="dxa"/>
            <w:tcBorders>
              <w:top w:val="single" w:sz="4" w:space="0" w:color="auto"/>
              <w:bottom w:val="single" w:sz="4" w:space="0" w:color="auto"/>
            </w:tcBorders>
          </w:tcPr>
          <w:p w14:paraId="69C11BBC" w14:textId="77E01142" w:rsidR="00244BA1" w:rsidRPr="00F469F1" w:rsidRDefault="00F469F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95%</w:t>
            </w:r>
            <w:r w:rsidR="00244BA1" w:rsidRPr="00F469F1">
              <w:rPr>
                <w:rFonts w:ascii="Book Antiqua" w:eastAsia="宋体" w:hAnsi="Book Antiqua" w:cs="Times New Roman"/>
                <w:b/>
                <w:sz w:val="24"/>
                <w:szCs w:val="24"/>
              </w:rPr>
              <w:t>CI</w:t>
            </w:r>
          </w:p>
        </w:tc>
        <w:tc>
          <w:tcPr>
            <w:tcW w:w="1134" w:type="dxa"/>
            <w:tcBorders>
              <w:top w:val="single" w:sz="4" w:space="0" w:color="auto"/>
              <w:bottom w:val="single" w:sz="4" w:space="0" w:color="auto"/>
            </w:tcBorders>
          </w:tcPr>
          <w:p w14:paraId="3051E625" w14:textId="0F6CA96E"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value</w:t>
            </w:r>
          </w:p>
        </w:tc>
        <w:tc>
          <w:tcPr>
            <w:tcW w:w="884" w:type="dxa"/>
            <w:tcBorders>
              <w:top w:val="single" w:sz="4" w:space="0" w:color="auto"/>
              <w:bottom w:val="single" w:sz="4" w:space="0" w:color="auto"/>
            </w:tcBorders>
          </w:tcPr>
          <w:p w14:paraId="50F6F407"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HR</w:t>
            </w:r>
          </w:p>
        </w:tc>
        <w:tc>
          <w:tcPr>
            <w:tcW w:w="1417" w:type="dxa"/>
            <w:tcBorders>
              <w:top w:val="single" w:sz="4" w:space="0" w:color="auto"/>
              <w:bottom w:val="single" w:sz="4" w:space="0" w:color="auto"/>
            </w:tcBorders>
          </w:tcPr>
          <w:p w14:paraId="2CFCA189" w14:textId="4773CC70"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95%CI</w:t>
            </w:r>
          </w:p>
        </w:tc>
        <w:tc>
          <w:tcPr>
            <w:tcW w:w="1242" w:type="dxa"/>
            <w:tcBorders>
              <w:top w:val="single" w:sz="4" w:space="0" w:color="auto"/>
              <w:bottom w:val="single" w:sz="4" w:space="0" w:color="auto"/>
            </w:tcBorders>
          </w:tcPr>
          <w:p w14:paraId="72CDDB4F" w14:textId="27A8C502" w:rsidR="00244BA1" w:rsidRPr="00F469F1" w:rsidRDefault="0019241F"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i/>
                <w:sz w:val="24"/>
                <w:szCs w:val="24"/>
              </w:rPr>
              <w:t>P</w:t>
            </w:r>
            <w:r w:rsidR="00F469F1" w:rsidRPr="00F469F1">
              <w:rPr>
                <w:rFonts w:ascii="Book Antiqua" w:eastAsia="宋体" w:hAnsi="Book Antiqua" w:cs="Times New Roman"/>
                <w:b/>
                <w:sz w:val="24"/>
                <w:szCs w:val="24"/>
              </w:rPr>
              <w:t xml:space="preserve"> </w:t>
            </w:r>
            <w:r w:rsidR="00244BA1" w:rsidRPr="00F469F1">
              <w:rPr>
                <w:rFonts w:ascii="Book Antiqua" w:eastAsia="宋体" w:hAnsi="Book Antiqua" w:cs="Times New Roman"/>
                <w:b/>
                <w:sz w:val="24"/>
                <w:szCs w:val="24"/>
              </w:rPr>
              <w:t>value</w:t>
            </w:r>
          </w:p>
        </w:tc>
      </w:tr>
      <w:tr w:rsidR="00BC42C3" w:rsidRPr="00F469F1" w14:paraId="23986B78" w14:textId="77777777" w:rsidTr="00C835F3">
        <w:tc>
          <w:tcPr>
            <w:tcW w:w="8931" w:type="dxa"/>
            <w:gridSpan w:val="7"/>
            <w:tcBorders>
              <w:top w:val="single" w:sz="4" w:space="0" w:color="auto"/>
            </w:tcBorders>
          </w:tcPr>
          <w:p w14:paraId="251B4E52" w14:textId="7D9C9CB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Age, </w:t>
            </w:r>
            <w:proofErr w:type="spellStart"/>
            <w:r w:rsidRPr="00F469F1">
              <w:rPr>
                <w:rFonts w:ascii="Book Antiqua" w:eastAsia="宋体" w:hAnsi="Book Antiqua" w:cs="Times New Roman"/>
                <w:sz w:val="24"/>
                <w:szCs w:val="24"/>
              </w:rPr>
              <w:t>yr</w:t>
            </w:r>
            <w:proofErr w:type="spellEnd"/>
          </w:p>
        </w:tc>
      </w:tr>
      <w:tr w:rsidR="00BC42C3" w:rsidRPr="00F469F1" w14:paraId="42F272E4" w14:textId="77777777" w:rsidTr="00C835F3">
        <w:tc>
          <w:tcPr>
            <w:tcW w:w="1844" w:type="dxa"/>
          </w:tcPr>
          <w:p w14:paraId="295F9F9B" w14:textId="5A83ACE0" w:rsidR="00244BA1" w:rsidRPr="00F469F1" w:rsidRDefault="00217B89"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60</w:t>
            </w:r>
          </w:p>
        </w:tc>
        <w:tc>
          <w:tcPr>
            <w:tcW w:w="992" w:type="dxa"/>
          </w:tcPr>
          <w:p w14:paraId="547ABBF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03892D6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40A06166"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63C565B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26DCDBC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1E82C27"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0BC014C4" w14:textId="77777777" w:rsidTr="00C835F3">
        <w:tc>
          <w:tcPr>
            <w:tcW w:w="1844" w:type="dxa"/>
          </w:tcPr>
          <w:p w14:paraId="6A2E5A70" w14:textId="2A60BAD1"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60</w:t>
            </w:r>
          </w:p>
        </w:tc>
        <w:tc>
          <w:tcPr>
            <w:tcW w:w="992" w:type="dxa"/>
          </w:tcPr>
          <w:p w14:paraId="0F5061B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1.722</w:t>
            </w:r>
          </w:p>
        </w:tc>
        <w:tc>
          <w:tcPr>
            <w:tcW w:w="1418" w:type="dxa"/>
          </w:tcPr>
          <w:p w14:paraId="19C179F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1.089-2.723</w:t>
            </w:r>
          </w:p>
        </w:tc>
        <w:tc>
          <w:tcPr>
            <w:tcW w:w="1134" w:type="dxa"/>
          </w:tcPr>
          <w:p w14:paraId="2E7062A1" w14:textId="27158774"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.020</w:t>
            </w:r>
          </w:p>
        </w:tc>
        <w:tc>
          <w:tcPr>
            <w:tcW w:w="884" w:type="dxa"/>
          </w:tcPr>
          <w:p w14:paraId="28847DE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1.976</w:t>
            </w:r>
          </w:p>
        </w:tc>
        <w:tc>
          <w:tcPr>
            <w:tcW w:w="1417" w:type="dxa"/>
          </w:tcPr>
          <w:p w14:paraId="7DDFB2D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1.063-3.675</w:t>
            </w:r>
          </w:p>
        </w:tc>
        <w:tc>
          <w:tcPr>
            <w:tcW w:w="1242" w:type="dxa"/>
          </w:tcPr>
          <w:p w14:paraId="09DD5986" w14:textId="11FAC2CB" w:rsidR="00244BA1" w:rsidRPr="00F469F1" w:rsidRDefault="00F145AC"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.031</w:t>
            </w:r>
          </w:p>
        </w:tc>
      </w:tr>
      <w:tr w:rsidR="00BC42C3" w:rsidRPr="00F469F1" w14:paraId="2F3BA587" w14:textId="77777777" w:rsidTr="00C835F3">
        <w:tc>
          <w:tcPr>
            <w:tcW w:w="8931" w:type="dxa"/>
            <w:gridSpan w:val="7"/>
          </w:tcPr>
          <w:p w14:paraId="62E967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Gender</w:t>
            </w:r>
          </w:p>
        </w:tc>
      </w:tr>
      <w:tr w:rsidR="00BC42C3" w:rsidRPr="00F469F1" w14:paraId="4B65478E" w14:textId="77777777" w:rsidTr="00C835F3">
        <w:tc>
          <w:tcPr>
            <w:tcW w:w="1844" w:type="dxa"/>
          </w:tcPr>
          <w:p w14:paraId="1E49F6A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Male</w:t>
            </w:r>
          </w:p>
        </w:tc>
        <w:tc>
          <w:tcPr>
            <w:tcW w:w="992" w:type="dxa"/>
          </w:tcPr>
          <w:p w14:paraId="1688FB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0130D84"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15FA4FD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ED6424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3CBA5139"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52CADBF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1A0774A" w14:textId="77777777" w:rsidTr="00C835F3">
        <w:tc>
          <w:tcPr>
            <w:tcW w:w="1844" w:type="dxa"/>
          </w:tcPr>
          <w:p w14:paraId="0776EE9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Female</w:t>
            </w:r>
          </w:p>
        </w:tc>
        <w:tc>
          <w:tcPr>
            <w:tcW w:w="992" w:type="dxa"/>
          </w:tcPr>
          <w:p w14:paraId="78AC3F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1.033</w:t>
            </w:r>
          </w:p>
        </w:tc>
        <w:tc>
          <w:tcPr>
            <w:tcW w:w="1418" w:type="dxa"/>
          </w:tcPr>
          <w:p w14:paraId="030DA64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0.834-1.278</w:t>
            </w:r>
          </w:p>
        </w:tc>
        <w:tc>
          <w:tcPr>
            <w:tcW w:w="1134" w:type="dxa"/>
          </w:tcPr>
          <w:p w14:paraId="3DB117C2" w14:textId="11593A12"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.769</w:t>
            </w:r>
          </w:p>
        </w:tc>
        <w:tc>
          <w:tcPr>
            <w:tcW w:w="884" w:type="dxa"/>
          </w:tcPr>
          <w:p w14:paraId="4DE9542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0B4D60F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28E8C13"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7F16E47" w14:textId="77777777" w:rsidTr="00C835F3">
        <w:tc>
          <w:tcPr>
            <w:tcW w:w="8931" w:type="dxa"/>
            <w:gridSpan w:val="7"/>
          </w:tcPr>
          <w:p w14:paraId="240D292D" w14:textId="42AEC87E" w:rsidR="00244BA1"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Jaundice</w:t>
            </w:r>
          </w:p>
        </w:tc>
      </w:tr>
      <w:tr w:rsidR="00BC42C3" w:rsidRPr="00F469F1" w14:paraId="33174D8C" w14:textId="77777777" w:rsidTr="00C835F3">
        <w:tc>
          <w:tcPr>
            <w:tcW w:w="1844" w:type="dxa"/>
          </w:tcPr>
          <w:p w14:paraId="742065D8"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992" w:type="dxa"/>
          </w:tcPr>
          <w:p w14:paraId="19EFF75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5EFD55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7CD8283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0B8AEBD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6B8683A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22766542"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9D23FA1" w14:textId="77777777" w:rsidTr="00C835F3">
        <w:tc>
          <w:tcPr>
            <w:tcW w:w="1844" w:type="dxa"/>
          </w:tcPr>
          <w:p w14:paraId="2006D305"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992" w:type="dxa"/>
          </w:tcPr>
          <w:p w14:paraId="40DA34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2.378</w:t>
            </w:r>
          </w:p>
        </w:tc>
        <w:tc>
          <w:tcPr>
            <w:tcW w:w="1418" w:type="dxa"/>
          </w:tcPr>
          <w:p w14:paraId="0E1D93A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1.423-3.977</w:t>
            </w:r>
          </w:p>
        </w:tc>
        <w:tc>
          <w:tcPr>
            <w:tcW w:w="1134" w:type="dxa"/>
          </w:tcPr>
          <w:p w14:paraId="1FB6567F" w14:textId="4BBF9F90"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3120FE0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1.064</w:t>
            </w:r>
          </w:p>
        </w:tc>
        <w:tc>
          <w:tcPr>
            <w:tcW w:w="1417" w:type="dxa"/>
          </w:tcPr>
          <w:p w14:paraId="59BE661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0.462-2.450</w:t>
            </w:r>
          </w:p>
        </w:tc>
        <w:tc>
          <w:tcPr>
            <w:tcW w:w="1242" w:type="dxa"/>
          </w:tcPr>
          <w:p w14:paraId="785ED9B0" w14:textId="3F759CC5"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.883</w:t>
            </w:r>
          </w:p>
        </w:tc>
      </w:tr>
      <w:tr w:rsidR="00BC42C3" w:rsidRPr="00F469F1" w14:paraId="457CA2B4" w14:textId="77777777" w:rsidTr="00C835F3">
        <w:tc>
          <w:tcPr>
            <w:tcW w:w="8931" w:type="dxa"/>
            <w:gridSpan w:val="7"/>
          </w:tcPr>
          <w:p w14:paraId="41DFE5B8" w14:textId="49F3FCD3" w:rsidR="00244BA1"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 xml:space="preserve">Gallbladder </w:t>
            </w:r>
            <w:r w:rsidR="00244BA1" w:rsidRPr="00F469F1">
              <w:rPr>
                <w:rFonts w:ascii="Book Antiqua" w:eastAsia="宋体" w:hAnsi="Book Antiqua" w:cs="Times New Roman"/>
                <w:sz w:val="24"/>
                <w:szCs w:val="24"/>
              </w:rPr>
              <w:t>stone</w:t>
            </w:r>
          </w:p>
        </w:tc>
      </w:tr>
      <w:tr w:rsidR="00BC42C3" w:rsidRPr="00F469F1" w14:paraId="299CBBF0" w14:textId="77777777" w:rsidTr="00C835F3">
        <w:tc>
          <w:tcPr>
            <w:tcW w:w="1844" w:type="dxa"/>
          </w:tcPr>
          <w:p w14:paraId="597AAB94"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No</w:t>
            </w:r>
          </w:p>
        </w:tc>
        <w:tc>
          <w:tcPr>
            <w:tcW w:w="992" w:type="dxa"/>
          </w:tcPr>
          <w:p w14:paraId="521544F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1503059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FFAD14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443BF6B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4B75E8A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56C5F9D"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970A20F" w14:textId="77777777" w:rsidTr="00C835F3">
        <w:tc>
          <w:tcPr>
            <w:tcW w:w="1844" w:type="dxa"/>
          </w:tcPr>
          <w:p w14:paraId="7CE2BEF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Yes</w:t>
            </w:r>
          </w:p>
        </w:tc>
        <w:tc>
          <w:tcPr>
            <w:tcW w:w="992" w:type="dxa"/>
          </w:tcPr>
          <w:p w14:paraId="21C5600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0.983</w:t>
            </w:r>
          </w:p>
        </w:tc>
        <w:tc>
          <w:tcPr>
            <w:tcW w:w="1418" w:type="dxa"/>
          </w:tcPr>
          <w:p w14:paraId="2C01B2E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0.798-1.211</w:t>
            </w:r>
          </w:p>
        </w:tc>
        <w:tc>
          <w:tcPr>
            <w:tcW w:w="1134" w:type="dxa"/>
          </w:tcPr>
          <w:p w14:paraId="583910E6" w14:textId="03BB83E5"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.873</w:t>
            </w:r>
          </w:p>
        </w:tc>
        <w:tc>
          <w:tcPr>
            <w:tcW w:w="884" w:type="dxa"/>
          </w:tcPr>
          <w:p w14:paraId="204A1E40"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567736C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67DF6C5"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0B64970" w14:textId="77777777" w:rsidTr="00C835F3">
        <w:tc>
          <w:tcPr>
            <w:tcW w:w="4254" w:type="dxa"/>
            <w:gridSpan w:val="3"/>
          </w:tcPr>
          <w:p w14:paraId="1105DFA9" w14:textId="734BA39C"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Differentiation degree of cancer cell</w:t>
            </w:r>
            <w:r w:rsidR="003A7F9D">
              <w:rPr>
                <w:rFonts w:ascii="Book Antiqua" w:eastAsia="宋体" w:hAnsi="Book Antiqua" w:cs="Times New Roman"/>
                <w:sz w:val="24"/>
                <w:szCs w:val="24"/>
              </w:rPr>
              <w:t>s</w:t>
            </w:r>
          </w:p>
        </w:tc>
        <w:tc>
          <w:tcPr>
            <w:tcW w:w="1134" w:type="dxa"/>
          </w:tcPr>
          <w:p w14:paraId="29621171" w14:textId="7B6F9BDE"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.018</w:t>
            </w:r>
          </w:p>
        </w:tc>
        <w:tc>
          <w:tcPr>
            <w:tcW w:w="2301" w:type="dxa"/>
            <w:gridSpan w:val="2"/>
          </w:tcPr>
          <w:p w14:paraId="3243D49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6F40B6EB" w14:textId="1E0C038A"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.513</w:t>
            </w:r>
          </w:p>
        </w:tc>
      </w:tr>
      <w:tr w:rsidR="00BC42C3" w:rsidRPr="00F469F1" w14:paraId="464BDF8D" w14:textId="77777777" w:rsidTr="00C835F3">
        <w:tc>
          <w:tcPr>
            <w:tcW w:w="1844" w:type="dxa"/>
          </w:tcPr>
          <w:p w14:paraId="0C2C0F1A"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w:t>
            </w:r>
          </w:p>
        </w:tc>
        <w:tc>
          <w:tcPr>
            <w:tcW w:w="992" w:type="dxa"/>
          </w:tcPr>
          <w:p w14:paraId="114C21E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5.583</w:t>
            </w:r>
          </w:p>
        </w:tc>
        <w:tc>
          <w:tcPr>
            <w:tcW w:w="1418" w:type="dxa"/>
          </w:tcPr>
          <w:p w14:paraId="30BC688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1.870-16.666</w:t>
            </w:r>
          </w:p>
        </w:tc>
        <w:tc>
          <w:tcPr>
            <w:tcW w:w="1134" w:type="dxa"/>
          </w:tcPr>
          <w:p w14:paraId="47025723" w14:textId="5802B892"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.002</w:t>
            </w:r>
          </w:p>
        </w:tc>
        <w:tc>
          <w:tcPr>
            <w:tcW w:w="884" w:type="dxa"/>
          </w:tcPr>
          <w:p w14:paraId="3FD5A29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0.860</w:t>
            </w:r>
          </w:p>
        </w:tc>
        <w:tc>
          <w:tcPr>
            <w:tcW w:w="1417" w:type="dxa"/>
          </w:tcPr>
          <w:p w14:paraId="01CC7D7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0.089-8.327</w:t>
            </w:r>
          </w:p>
        </w:tc>
        <w:tc>
          <w:tcPr>
            <w:tcW w:w="1242" w:type="dxa"/>
          </w:tcPr>
          <w:p w14:paraId="1CF6E214" w14:textId="4DF09408"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.897</w:t>
            </w:r>
          </w:p>
        </w:tc>
      </w:tr>
      <w:tr w:rsidR="00BC42C3" w:rsidRPr="00F469F1" w14:paraId="2F696670" w14:textId="77777777" w:rsidTr="00C835F3">
        <w:tc>
          <w:tcPr>
            <w:tcW w:w="1844" w:type="dxa"/>
          </w:tcPr>
          <w:p w14:paraId="67CBFD3C"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Low-medium</w:t>
            </w:r>
          </w:p>
        </w:tc>
        <w:tc>
          <w:tcPr>
            <w:tcW w:w="992" w:type="dxa"/>
          </w:tcPr>
          <w:p w14:paraId="17BEDEE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3.403</w:t>
            </w:r>
          </w:p>
        </w:tc>
        <w:tc>
          <w:tcPr>
            <w:tcW w:w="1418" w:type="dxa"/>
          </w:tcPr>
          <w:p w14:paraId="107A4AA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1.162-9.969</w:t>
            </w:r>
          </w:p>
        </w:tc>
        <w:tc>
          <w:tcPr>
            <w:tcW w:w="1134" w:type="dxa"/>
          </w:tcPr>
          <w:p w14:paraId="3E8E3FAF" w14:textId="70751DBC"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.026</w:t>
            </w:r>
          </w:p>
        </w:tc>
        <w:tc>
          <w:tcPr>
            <w:tcW w:w="884" w:type="dxa"/>
          </w:tcPr>
          <w:p w14:paraId="722DE8B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0.414</w:t>
            </w:r>
          </w:p>
        </w:tc>
        <w:tc>
          <w:tcPr>
            <w:tcW w:w="1417" w:type="dxa"/>
          </w:tcPr>
          <w:p w14:paraId="664509D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0.043-4.015</w:t>
            </w:r>
          </w:p>
        </w:tc>
        <w:tc>
          <w:tcPr>
            <w:tcW w:w="1242" w:type="dxa"/>
          </w:tcPr>
          <w:p w14:paraId="01979630" w14:textId="216BDB03"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.447</w:t>
            </w:r>
          </w:p>
        </w:tc>
      </w:tr>
      <w:tr w:rsidR="00BC42C3" w:rsidRPr="00F469F1" w14:paraId="54F4CA9E" w14:textId="77777777" w:rsidTr="00C835F3">
        <w:tc>
          <w:tcPr>
            <w:tcW w:w="1844" w:type="dxa"/>
          </w:tcPr>
          <w:p w14:paraId="798B9699"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w:t>
            </w:r>
          </w:p>
        </w:tc>
        <w:tc>
          <w:tcPr>
            <w:tcW w:w="992" w:type="dxa"/>
          </w:tcPr>
          <w:p w14:paraId="7B1D74F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3.264</w:t>
            </w:r>
          </w:p>
        </w:tc>
        <w:tc>
          <w:tcPr>
            <w:tcW w:w="1418" w:type="dxa"/>
          </w:tcPr>
          <w:p w14:paraId="341CEFE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1.134-9.394</w:t>
            </w:r>
          </w:p>
        </w:tc>
        <w:tc>
          <w:tcPr>
            <w:tcW w:w="1134" w:type="dxa"/>
          </w:tcPr>
          <w:p w14:paraId="552BAE4E" w14:textId="191FB525"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.028</w:t>
            </w:r>
          </w:p>
        </w:tc>
        <w:tc>
          <w:tcPr>
            <w:tcW w:w="884" w:type="dxa"/>
          </w:tcPr>
          <w:p w14:paraId="07CAD42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0.366</w:t>
            </w:r>
          </w:p>
        </w:tc>
        <w:tc>
          <w:tcPr>
            <w:tcW w:w="1417" w:type="dxa"/>
          </w:tcPr>
          <w:p w14:paraId="0B3ACD7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0.037-3.576</w:t>
            </w:r>
          </w:p>
        </w:tc>
        <w:tc>
          <w:tcPr>
            <w:tcW w:w="1242" w:type="dxa"/>
          </w:tcPr>
          <w:p w14:paraId="69EA1A03" w14:textId="41BDCF57"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.388</w:t>
            </w:r>
          </w:p>
        </w:tc>
      </w:tr>
      <w:tr w:rsidR="00BC42C3" w:rsidRPr="00F469F1" w14:paraId="6869B090" w14:textId="77777777" w:rsidTr="00C835F3">
        <w:tc>
          <w:tcPr>
            <w:tcW w:w="1844" w:type="dxa"/>
          </w:tcPr>
          <w:p w14:paraId="4E0DEDF5"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Medium-high</w:t>
            </w:r>
          </w:p>
        </w:tc>
        <w:tc>
          <w:tcPr>
            <w:tcW w:w="992" w:type="dxa"/>
          </w:tcPr>
          <w:p w14:paraId="076EB2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1.980</w:t>
            </w:r>
          </w:p>
        </w:tc>
        <w:tc>
          <w:tcPr>
            <w:tcW w:w="1418" w:type="dxa"/>
          </w:tcPr>
          <w:p w14:paraId="3CC9C5E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0.630-6.226</w:t>
            </w:r>
          </w:p>
        </w:tc>
        <w:tc>
          <w:tcPr>
            <w:tcW w:w="1134" w:type="dxa"/>
          </w:tcPr>
          <w:p w14:paraId="23B92E91" w14:textId="491A82FB"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.243</w:t>
            </w:r>
          </w:p>
        </w:tc>
        <w:tc>
          <w:tcPr>
            <w:tcW w:w="884" w:type="dxa"/>
          </w:tcPr>
          <w:p w14:paraId="123C44C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0.549</w:t>
            </w:r>
          </w:p>
        </w:tc>
        <w:tc>
          <w:tcPr>
            <w:tcW w:w="1417" w:type="dxa"/>
          </w:tcPr>
          <w:p w14:paraId="2D26259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0.057-5.277</w:t>
            </w:r>
          </w:p>
        </w:tc>
        <w:tc>
          <w:tcPr>
            <w:tcW w:w="1242" w:type="dxa"/>
          </w:tcPr>
          <w:p w14:paraId="2B7CA8EF" w14:textId="29C820DC"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.604</w:t>
            </w:r>
          </w:p>
        </w:tc>
      </w:tr>
      <w:tr w:rsidR="00BC42C3" w:rsidRPr="00F469F1" w14:paraId="50346F00" w14:textId="77777777" w:rsidTr="00C835F3">
        <w:tc>
          <w:tcPr>
            <w:tcW w:w="1844" w:type="dxa"/>
          </w:tcPr>
          <w:p w14:paraId="39A7790D" w14:textId="77777777"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High</w:t>
            </w:r>
          </w:p>
        </w:tc>
        <w:tc>
          <w:tcPr>
            <w:tcW w:w="992" w:type="dxa"/>
          </w:tcPr>
          <w:p w14:paraId="68DBC16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2.510</w:t>
            </w:r>
          </w:p>
        </w:tc>
        <w:tc>
          <w:tcPr>
            <w:tcW w:w="1418" w:type="dxa"/>
          </w:tcPr>
          <w:p w14:paraId="5197C33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0.807-7.803</w:t>
            </w:r>
          </w:p>
        </w:tc>
        <w:tc>
          <w:tcPr>
            <w:tcW w:w="1134" w:type="dxa"/>
          </w:tcPr>
          <w:p w14:paraId="462A0328" w14:textId="39994C8D"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.112</w:t>
            </w:r>
          </w:p>
        </w:tc>
        <w:tc>
          <w:tcPr>
            <w:tcW w:w="884" w:type="dxa"/>
          </w:tcPr>
          <w:p w14:paraId="54C7E30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0.421</w:t>
            </w:r>
          </w:p>
        </w:tc>
        <w:tc>
          <w:tcPr>
            <w:tcW w:w="1417" w:type="dxa"/>
          </w:tcPr>
          <w:p w14:paraId="135C968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0.042-4.192</w:t>
            </w:r>
          </w:p>
        </w:tc>
        <w:tc>
          <w:tcPr>
            <w:tcW w:w="1242" w:type="dxa"/>
          </w:tcPr>
          <w:p w14:paraId="62076181" w14:textId="7DA1731B"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.461</w:t>
            </w:r>
          </w:p>
        </w:tc>
      </w:tr>
      <w:tr w:rsidR="00BC42C3" w:rsidRPr="00F469F1" w14:paraId="55E73464" w14:textId="77777777" w:rsidTr="00C835F3">
        <w:tc>
          <w:tcPr>
            <w:tcW w:w="8931" w:type="dxa"/>
            <w:gridSpan w:val="7"/>
          </w:tcPr>
          <w:p w14:paraId="0693246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 kg/m</w:t>
            </w:r>
            <w:r w:rsidRPr="00F469F1">
              <w:rPr>
                <w:rFonts w:ascii="Book Antiqua" w:eastAsia="宋体" w:hAnsi="Book Antiqua" w:cs="Times New Roman"/>
                <w:sz w:val="24"/>
                <w:szCs w:val="24"/>
                <w:vertAlign w:val="superscript"/>
              </w:rPr>
              <w:t>2</w:t>
            </w:r>
          </w:p>
        </w:tc>
      </w:tr>
      <w:tr w:rsidR="00BC42C3" w:rsidRPr="00F469F1" w14:paraId="635EF023" w14:textId="77777777" w:rsidTr="00C835F3">
        <w:tc>
          <w:tcPr>
            <w:tcW w:w="1844" w:type="dxa"/>
          </w:tcPr>
          <w:p w14:paraId="21D1BF0A" w14:textId="135EC1D9" w:rsidR="00244BA1" w:rsidRPr="00F469F1" w:rsidRDefault="004541D1"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22.5</w:t>
            </w:r>
          </w:p>
        </w:tc>
        <w:tc>
          <w:tcPr>
            <w:tcW w:w="992" w:type="dxa"/>
          </w:tcPr>
          <w:p w14:paraId="069AACE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76E75A8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488D39F"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02B47D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0770BF9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0B735A61"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7BAD5BBF" w14:textId="77777777" w:rsidTr="00C835F3">
        <w:tc>
          <w:tcPr>
            <w:tcW w:w="1844" w:type="dxa"/>
          </w:tcPr>
          <w:p w14:paraId="4C2F51B2" w14:textId="1E062C0B"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22.5</w:t>
            </w:r>
          </w:p>
        </w:tc>
        <w:tc>
          <w:tcPr>
            <w:tcW w:w="992" w:type="dxa"/>
          </w:tcPr>
          <w:p w14:paraId="4E5DF17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3.128</w:t>
            </w:r>
          </w:p>
        </w:tc>
        <w:tc>
          <w:tcPr>
            <w:tcW w:w="1418" w:type="dxa"/>
          </w:tcPr>
          <w:p w14:paraId="0505D1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1.956-5.004</w:t>
            </w:r>
          </w:p>
        </w:tc>
        <w:tc>
          <w:tcPr>
            <w:tcW w:w="1134" w:type="dxa"/>
          </w:tcPr>
          <w:p w14:paraId="4B30CF1C" w14:textId="0029DE9C"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2A864FA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2.776</w:t>
            </w:r>
          </w:p>
        </w:tc>
        <w:tc>
          <w:tcPr>
            <w:tcW w:w="1417" w:type="dxa"/>
          </w:tcPr>
          <w:p w14:paraId="7DAA4B0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1.394-5.529</w:t>
            </w:r>
          </w:p>
        </w:tc>
        <w:tc>
          <w:tcPr>
            <w:tcW w:w="1242" w:type="dxa"/>
          </w:tcPr>
          <w:p w14:paraId="090E10F6" w14:textId="35C9D52F"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.004</w:t>
            </w:r>
          </w:p>
        </w:tc>
      </w:tr>
      <w:tr w:rsidR="00BC42C3" w:rsidRPr="00F469F1" w14:paraId="1FE8EE0E" w14:textId="77777777" w:rsidTr="00C835F3">
        <w:tc>
          <w:tcPr>
            <w:tcW w:w="8931" w:type="dxa"/>
            <w:gridSpan w:val="7"/>
          </w:tcPr>
          <w:p w14:paraId="44A598EF" w14:textId="7ABDEAAB"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CEA, ng/m</w:t>
            </w:r>
            <w:r w:rsidR="00F73B64" w:rsidRPr="00F469F1">
              <w:rPr>
                <w:rFonts w:ascii="Book Antiqua" w:eastAsia="宋体" w:hAnsi="Book Antiqua" w:cs="Times New Roman"/>
                <w:sz w:val="24"/>
                <w:szCs w:val="24"/>
              </w:rPr>
              <w:t>L</w:t>
            </w:r>
          </w:p>
        </w:tc>
      </w:tr>
      <w:tr w:rsidR="00BC42C3" w:rsidRPr="00F469F1" w14:paraId="5903329B" w14:textId="77777777" w:rsidTr="00C835F3">
        <w:tc>
          <w:tcPr>
            <w:tcW w:w="1844" w:type="dxa"/>
          </w:tcPr>
          <w:p w14:paraId="460151C6" w14:textId="0AF264B6" w:rsidR="00244BA1" w:rsidRPr="00F469F1" w:rsidRDefault="004F76A5"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5.30</w:t>
            </w:r>
          </w:p>
        </w:tc>
        <w:tc>
          <w:tcPr>
            <w:tcW w:w="992" w:type="dxa"/>
          </w:tcPr>
          <w:p w14:paraId="3BAAE5B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63C17BE"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6A67A19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24AE5E2B"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505F6253"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764BE7A9"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6F5DB1CE" w14:textId="77777777" w:rsidTr="00C835F3">
        <w:tc>
          <w:tcPr>
            <w:tcW w:w="1844" w:type="dxa"/>
          </w:tcPr>
          <w:p w14:paraId="6AB95A05" w14:textId="0AAE1D48"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5.30</w:t>
            </w:r>
          </w:p>
        </w:tc>
        <w:tc>
          <w:tcPr>
            <w:tcW w:w="992" w:type="dxa"/>
          </w:tcPr>
          <w:p w14:paraId="63BF595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2.485</w:t>
            </w:r>
          </w:p>
        </w:tc>
        <w:tc>
          <w:tcPr>
            <w:tcW w:w="1418" w:type="dxa"/>
          </w:tcPr>
          <w:p w14:paraId="3ED4460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1.478-4.178</w:t>
            </w:r>
          </w:p>
        </w:tc>
        <w:tc>
          <w:tcPr>
            <w:tcW w:w="1134" w:type="dxa"/>
          </w:tcPr>
          <w:p w14:paraId="708FADC5" w14:textId="3752A394"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530A4AF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1.477</w:t>
            </w:r>
          </w:p>
        </w:tc>
        <w:tc>
          <w:tcPr>
            <w:tcW w:w="1417" w:type="dxa"/>
          </w:tcPr>
          <w:p w14:paraId="4CEB9F7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0.800-2.726</w:t>
            </w:r>
          </w:p>
        </w:tc>
        <w:tc>
          <w:tcPr>
            <w:tcW w:w="1242" w:type="dxa"/>
          </w:tcPr>
          <w:p w14:paraId="0651134A" w14:textId="1B044804"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.212</w:t>
            </w:r>
          </w:p>
        </w:tc>
      </w:tr>
      <w:tr w:rsidR="00BC42C3" w:rsidRPr="00F469F1" w14:paraId="27A03574" w14:textId="77777777" w:rsidTr="00C835F3">
        <w:tc>
          <w:tcPr>
            <w:tcW w:w="8931" w:type="dxa"/>
            <w:gridSpan w:val="7"/>
          </w:tcPr>
          <w:p w14:paraId="787B2751" w14:textId="60442A5D"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 U/m</w:t>
            </w:r>
            <w:r w:rsidR="00F73B64" w:rsidRPr="00F469F1">
              <w:rPr>
                <w:rFonts w:ascii="Book Antiqua" w:eastAsia="宋体" w:hAnsi="Book Antiqua" w:cs="Times New Roman"/>
                <w:sz w:val="24"/>
                <w:szCs w:val="24"/>
              </w:rPr>
              <w:t>L</w:t>
            </w:r>
          </w:p>
        </w:tc>
      </w:tr>
      <w:tr w:rsidR="00BC42C3" w:rsidRPr="00F469F1" w14:paraId="424F2088" w14:textId="77777777" w:rsidTr="00C835F3">
        <w:tc>
          <w:tcPr>
            <w:tcW w:w="1844" w:type="dxa"/>
          </w:tcPr>
          <w:p w14:paraId="482F73B0" w14:textId="12923190" w:rsidR="00244BA1" w:rsidRPr="00F469F1" w:rsidRDefault="004F76A5"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087319" w:rsidRPr="00F469F1">
              <w:rPr>
                <w:rFonts w:ascii="Book Antiqua" w:eastAsia="宋体" w:hAnsi="Book Antiqua" w:cs="Times New Roman"/>
                <w:sz w:val="24"/>
                <w:szCs w:val="24"/>
              </w:rPr>
              <w:t>47.8</w:t>
            </w:r>
          </w:p>
        </w:tc>
        <w:tc>
          <w:tcPr>
            <w:tcW w:w="992" w:type="dxa"/>
          </w:tcPr>
          <w:p w14:paraId="5F760AE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4E8CB28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06A8EB5D"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195A02D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2D2C94FB"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225C199B"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73D30062" w14:textId="77777777" w:rsidTr="00C835F3">
        <w:tc>
          <w:tcPr>
            <w:tcW w:w="1844" w:type="dxa"/>
          </w:tcPr>
          <w:p w14:paraId="709FD759" w14:textId="006A85C0" w:rsidR="00244BA1" w:rsidRPr="00F469F1" w:rsidRDefault="00087319"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lastRenderedPageBreak/>
              <w:t>&gt;</w:t>
            </w:r>
            <w:r w:rsidR="0058540A"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47.8</w:t>
            </w:r>
          </w:p>
        </w:tc>
        <w:tc>
          <w:tcPr>
            <w:tcW w:w="992" w:type="dxa"/>
          </w:tcPr>
          <w:p w14:paraId="3F15584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3.305</w:t>
            </w:r>
          </w:p>
        </w:tc>
        <w:tc>
          <w:tcPr>
            <w:tcW w:w="1418" w:type="dxa"/>
          </w:tcPr>
          <w:p w14:paraId="30E8B22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2.079-5.251</w:t>
            </w:r>
          </w:p>
        </w:tc>
        <w:tc>
          <w:tcPr>
            <w:tcW w:w="1134" w:type="dxa"/>
          </w:tcPr>
          <w:p w14:paraId="6A083107" w14:textId="058FFEAD"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574DBAB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1.665</w:t>
            </w:r>
          </w:p>
        </w:tc>
        <w:tc>
          <w:tcPr>
            <w:tcW w:w="1417" w:type="dxa"/>
          </w:tcPr>
          <w:p w14:paraId="5C013B9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0.840-3.297</w:t>
            </w:r>
          </w:p>
        </w:tc>
        <w:tc>
          <w:tcPr>
            <w:tcW w:w="1242" w:type="dxa"/>
          </w:tcPr>
          <w:p w14:paraId="3658481B" w14:textId="0E4B7010"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.144</w:t>
            </w:r>
          </w:p>
        </w:tc>
      </w:tr>
      <w:tr w:rsidR="00BC42C3" w:rsidRPr="00F469F1" w14:paraId="45C89BA3" w14:textId="77777777" w:rsidTr="00C835F3">
        <w:tc>
          <w:tcPr>
            <w:tcW w:w="8931" w:type="dxa"/>
            <w:gridSpan w:val="7"/>
          </w:tcPr>
          <w:p w14:paraId="00C2A1D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Maximal tumor diameter, cm</w:t>
            </w:r>
          </w:p>
        </w:tc>
      </w:tr>
      <w:tr w:rsidR="00BC42C3" w:rsidRPr="00F469F1" w14:paraId="0C9449AD" w14:textId="77777777" w:rsidTr="00C835F3">
        <w:tc>
          <w:tcPr>
            <w:tcW w:w="1844" w:type="dxa"/>
          </w:tcPr>
          <w:p w14:paraId="3C079BD3" w14:textId="572A6021" w:rsidR="00244BA1" w:rsidRPr="00F469F1" w:rsidRDefault="00F2613F"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58540A"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2.90</w:t>
            </w:r>
          </w:p>
        </w:tc>
        <w:tc>
          <w:tcPr>
            <w:tcW w:w="992" w:type="dxa"/>
          </w:tcPr>
          <w:p w14:paraId="0AF1CA4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78E959A8"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2B2182C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FA228B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4B00BEF5"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76AAABF8"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1E673A07" w14:textId="77777777" w:rsidTr="00C835F3">
        <w:tc>
          <w:tcPr>
            <w:tcW w:w="1844" w:type="dxa"/>
          </w:tcPr>
          <w:p w14:paraId="2FDB19A3" w14:textId="345D21D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EE32A6"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2.90</w:t>
            </w:r>
          </w:p>
        </w:tc>
        <w:tc>
          <w:tcPr>
            <w:tcW w:w="992" w:type="dxa"/>
          </w:tcPr>
          <w:p w14:paraId="03734701"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8" w:type="dxa"/>
          </w:tcPr>
          <w:p w14:paraId="78779B1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0.794-1.833</w:t>
            </w:r>
          </w:p>
        </w:tc>
        <w:tc>
          <w:tcPr>
            <w:tcW w:w="1134" w:type="dxa"/>
          </w:tcPr>
          <w:p w14:paraId="1F85EE98" w14:textId="3806F99A" w:rsidR="00244BA1" w:rsidRPr="00F469F1" w:rsidRDefault="007357DD"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.499</w:t>
            </w:r>
          </w:p>
        </w:tc>
        <w:tc>
          <w:tcPr>
            <w:tcW w:w="884" w:type="dxa"/>
          </w:tcPr>
          <w:p w14:paraId="701EEEE5"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417" w:type="dxa"/>
          </w:tcPr>
          <w:p w14:paraId="6DBFB170"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6E070567"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90B2634" w14:textId="77777777" w:rsidTr="00C835F3">
        <w:tc>
          <w:tcPr>
            <w:tcW w:w="8931" w:type="dxa"/>
            <w:gridSpan w:val="7"/>
          </w:tcPr>
          <w:p w14:paraId="7929F0E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r>
      <w:tr w:rsidR="00BC42C3" w:rsidRPr="00F469F1" w14:paraId="1F1046D6" w14:textId="77777777" w:rsidTr="00C835F3">
        <w:tc>
          <w:tcPr>
            <w:tcW w:w="1844" w:type="dxa"/>
          </w:tcPr>
          <w:p w14:paraId="1BC58EE8" w14:textId="2CF5E321"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II</w:t>
            </w:r>
          </w:p>
        </w:tc>
        <w:tc>
          <w:tcPr>
            <w:tcW w:w="992" w:type="dxa"/>
          </w:tcPr>
          <w:p w14:paraId="050810F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2180379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4EE15D7E"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36CC891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5FB4C4F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34F46696"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5967B04A" w14:textId="77777777" w:rsidTr="00A946AC">
        <w:trPr>
          <w:trHeight w:val="421"/>
        </w:trPr>
        <w:tc>
          <w:tcPr>
            <w:tcW w:w="1844" w:type="dxa"/>
          </w:tcPr>
          <w:p w14:paraId="4E7A3803" w14:textId="46773BAE"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III</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w:t>
            </w:r>
            <w:r w:rsidR="00EE37C7"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IV</w:t>
            </w:r>
          </w:p>
        </w:tc>
        <w:tc>
          <w:tcPr>
            <w:tcW w:w="992" w:type="dxa"/>
          </w:tcPr>
          <w:p w14:paraId="41C3B4B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6.810</w:t>
            </w:r>
          </w:p>
        </w:tc>
        <w:tc>
          <w:tcPr>
            <w:tcW w:w="1418" w:type="dxa"/>
          </w:tcPr>
          <w:p w14:paraId="0BF994D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2.952-15.711</w:t>
            </w:r>
          </w:p>
        </w:tc>
        <w:tc>
          <w:tcPr>
            <w:tcW w:w="1134" w:type="dxa"/>
          </w:tcPr>
          <w:p w14:paraId="00D008AD" w14:textId="55E9CDFB"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58540A"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47E97F0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9.093</w:t>
            </w:r>
          </w:p>
        </w:tc>
        <w:tc>
          <w:tcPr>
            <w:tcW w:w="1417" w:type="dxa"/>
          </w:tcPr>
          <w:p w14:paraId="63BB39D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0.998-82.830</w:t>
            </w:r>
          </w:p>
        </w:tc>
        <w:tc>
          <w:tcPr>
            <w:tcW w:w="1242" w:type="dxa"/>
          </w:tcPr>
          <w:p w14:paraId="20A79E11" w14:textId="7F16C889"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.050</w:t>
            </w:r>
          </w:p>
        </w:tc>
      </w:tr>
      <w:tr w:rsidR="00BC42C3" w:rsidRPr="00F469F1" w14:paraId="1329A479" w14:textId="77777777" w:rsidTr="00C835F3">
        <w:tc>
          <w:tcPr>
            <w:tcW w:w="8931" w:type="dxa"/>
            <w:gridSpan w:val="7"/>
          </w:tcPr>
          <w:p w14:paraId="79E2F6F9"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GPR</w:t>
            </w:r>
          </w:p>
        </w:tc>
      </w:tr>
      <w:tr w:rsidR="00BC42C3" w:rsidRPr="00F469F1" w14:paraId="3016CD21" w14:textId="77777777" w:rsidTr="00C835F3">
        <w:tc>
          <w:tcPr>
            <w:tcW w:w="1844" w:type="dxa"/>
          </w:tcPr>
          <w:p w14:paraId="3F976CBB" w14:textId="3AE2AB3B" w:rsidR="00244BA1" w:rsidRPr="00F469F1" w:rsidRDefault="003A3FBA" w:rsidP="00F469F1">
            <w:pPr>
              <w:snapToGrid w:val="0"/>
              <w:spacing w:line="360" w:lineRule="auto"/>
              <w:ind w:firstLineChars="50" w:firstLine="120"/>
              <w:rPr>
                <w:rFonts w:ascii="Book Antiqua" w:eastAsia="宋体" w:hAnsi="Book Antiqua" w:cs="Times New Roman"/>
                <w:sz w:val="24"/>
                <w:szCs w:val="24"/>
              </w:rPr>
            </w:pPr>
            <w:r>
              <w:rPr>
                <w:rFonts w:ascii="Book Antiqua" w:eastAsia="宋体" w:hAnsi="Book Antiqua" w:cs="Times New Roman"/>
                <w:sz w:val="24"/>
                <w:szCs w:val="24"/>
              </w:rPr>
              <w:t>≤</w:t>
            </w:r>
            <w:r w:rsidR="00EE32A6"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0.365</w:t>
            </w:r>
          </w:p>
        </w:tc>
        <w:tc>
          <w:tcPr>
            <w:tcW w:w="992" w:type="dxa"/>
          </w:tcPr>
          <w:p w14:paraId="2F33134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8" w:type="dxa"/>
          </w:tcPr>
          <w:p w14:paraId="55787B3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134" w:type="dxa"/>
          </w:tcPr>
          <w:p w14:paraId="0A1BCBB2"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884" w:type="dxa"/>
          </w:tcPr>
          <w:p w14:paraId="67620F8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1.000</w:t>
            </w:r>
          </w:p>
        </w:tc>
        <w:tc>
          <w:tcPr>
            <w:tcW w:w="1417" w:type="dxa"/>
          </w:tcPr>
          <w:p w14:paraId="37FB94A7"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242" w:type="dxa"/>
          </w:tcPr>
          <w:p w14:paraId="49828AE2" w14:textId="77777777" w:rsidR="00244BA1" w:rsidRPr="00F469F1" w:rsidRDefault="00244BA1" w:rsidP="00F469F1">
            <w:pPr>
              <w:snapToGrid w:val="0"/>
              <w:spacing w:line="360" w:lineRule="auto"/>
              <w:rPr>
                <w:rFonts w:ascii="Book Antiqua" w:eastAsia="宋体" w:hAnsi="Book Antiqua" w:cs="Times New Roman"/>
                <w:sz w:val="24"/>
                <w:szCs w:val="24"/>
              </w:rPr>
            </w:pPr>
          </w:p>
        </w:tc>
      </w:tr>
      <w:tr w:rsidR="00BC42C3" w:rsidRPr="00F469F1" w14:paraId="211E7D23" w14:textId="77777777" w:rsidTr="00C835F3">
        <w:tc>
          <w:tcPr>
            <w:tcW w:w="1844" w:type="dxa"/>
          </w:tcPr>
          <w:p w14:paraId="75C83A56" w14:textId="23C95296" w:rsidR="00244BA1" w:rsidRPr="00F469F1" w:rsidRDefault="00244BA1" w:rsidP="00F469F1">
            <w:pPr>
              <w:snapToGrid w:val="0"/>
              <w:spacing w:line="360" w:lineRule="auto"/>
              <w:ind w:firstLineChars="50" w:firstLine="120"/>
              <w:rPr>
                <w:rFonts w:ascii="Book Antiqua" w:eastAsia="宋体" w:hAnsi="Book Antiqua" w:cs="Times New Roman"/>
                <w:sz w:val="24"/>
                <w:szCs w:val="24"/>
              </w:rPr>
            </w:pPr>
            <w:r w:rsidRPr="00F469F1">
              <w:rPr>
                <w:rFonts w:ascii="Book Antiqua" w:eastAsia="宋体" w:hAnsi="Book Antiqua" w:cs="Times New Roman"/>
                <w:sz w:val="24"/>
                <w:szCs w:val="24"/>
              </w:rPr>
              <w:t>&gt;</w:t>
            </w:r>
            <w:r w:rsidR="004B3D62"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0.365</w:t>
            </w:r>
          </w:p>
        </w:tc>
        <w:tc>
          <w:tcPr>
            <w:tcW w:w="992" w:type="dxa"/>
          </w:tcPr>
          <w:p w14:paraId="1D72DCC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2.298</w:t>
            </w:r>
          </w:p>
        </w:tc>
        <w:tc>
          <w:tcPr>
            <w:tcW w:w="1418" w:type="dxa"/>
          </w:tcPr>
          <w:p w14:paraId="5A8D32C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1.493-3.537</w:t>
            </w:r>
          </w:p>
        </w:tc>
        <w:tc>
          <w:tcPr>
            <w:tcW w:w="1134" w:type="dxa"/>
          </w:tcPr>
          <w:p w14:paraId="75E21718" w14:textId="77B8BE80" w:rsidR="00244BA1" w:rsidRPr="00F469F1" w:rsidRDefault="0019241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&lt;</w:t>
            </w:r>
            <w:r w:rsidR="00EE32A6" w:rsidRPr="00F469F1">
              <w:rPr>
                <w:rFonts w:ascii="Book Antiqua" w:eastAsia="宋体" w:hAnsi="Book Antiqua" w:cs="Times New Roman"/>
                <w:sz w:val="24"/>
                <w:szCs w:val="24"/>
              </w:rPr>
              <w:t xml:space="preserve"> </w:t>
            </w:r>
            <w:r w:rsidR="007357DD"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.001</w:t>
            </w:r>
          </w:p>
        </w:tc>
        <w:tc>
          <w:tcPr>
            <w:tcW w:w="884" w:type="dxa"/>
          </w:tcPr>
          <w:p w14:paraId="7D9CD7E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1.974</w:t>
            </w:r>
          </w:p>
        </w:tc>
        <w:tc>
          <w:tcPr>
            <w:tcW w:w="1417" w:type="dxa"/>
          </w:tcPr>
          <w:p w14:paraId="051366D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1.008-3.867</w:t>
            </w:r>
          </w:p>
        </w:tc>
        <w:tc>
          <w:tcPr>
            <w:tcW w:w="1242" w:type="dxa"/>
          </w:tcPr>
          <w:p w14:paraId="545D7A02" w14:textId="28182EDA" w:rsidR="00244BA1" w:rsidRPr="00F469F1" w:rsidRDefault="007A525F"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w:t>
            </w:r>
            <w:r w:rsidR="00244BA1" w:rsidRPr="00F469F1">
              <w:rPr>
                <w:rFonts w:ascii="Book Antiqua" w:eastAsia="宋体" w:hAnsi="Book Antiqua" w:cs="Times New Roman"/>
                <w:sz w:val="24"/>
                <w:szCs w:val="24"/>
              </w:rPr>
              <w:t>.047</w:t>
            </w:r>
          </w:p>
        </w:tc>
      </w:tr>
    </w:tbl>
    <w:p w14:paraId="29B37C76" w14:textId="5B80F070"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Body </w:t>
      </w:r>
      <w:r w:rsidR="00B333DE" w:rsidRPr="00F469F1">
        <w:rPr>
          <w:rFonts w:ascii="Book Antiqua" w:eastAsia="宋体" w:hAnsi="Book Antiqua" w:cs="Times New Roman"/>
          <w:sz w:val="24"/>
          <w:szCs w:val="24"/>
        </w:rPr>
        <w:t>mass index</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CEA</w:t>
      </w:r>
      <w:r w:rsidR="00B333DE" w:rsidRPr="00F469F1">
        <w:rPr>
          <w:rFonts w:ascii="Book Antiqua" w:eastAsia="宋体" w:hAnsi="Book Antiqua" w:cs="Times New Roman"/>
          <w:sz w:val="24"/>
          <w:szCs w:val="24"/>
        </w:rPr>
        <w:t>:</w:t>
      </w:r>
      <w:r w:rsidR="00475AA7"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Carcinoembryonic </w:t>
      </w:r>
      <w:r w:rsidR="00475AA7" w:rsidRPr="00F469F1">
        <w:rPr>
          <w:rFonts w:ascii="Book Antiqua" w:eastAsia="宋体" w:hAnsi="Book Antiqua" w:cs="Times New Roman"/>
          <w:sz w:val="24"/>
          <w:szCs w:val="24"/>
        </w:rPr>
        <w:t>antigen</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CA 19-9</w:t>
      </w:r>
      <w:r w:rsidR="00B333DE"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 xml:space="preserve">Carbohydrate </w:t>
      </w:r>
      <w:r w:rsidR="00B333DE" w:rsidRPr="00F469F1">
        <w:rPr>
          <w:rFonts w:ascii="Book Antiqua" w:eastAsia="宋体" w:hAnsi="Book Antiqua" w:cs="Times New Roman"/>
          <w:sz w:val="24"/>
          <w:szCs w:val="24"/>
        </w:rPr>
        <w:t>antigen 19-9</w:t>
      </w:r>
      <w:r w:rsidR="00C835F3" w:rsidRPr="00F469F1">
        <w:rPr>
          <w:rFonts w:ascii="Book Antiqua" w:hAnsi="Book Antiqua"/>
          <w:color w:val="000000"/>
          <w:kern w:val="0"/>
          <w:sz w:val="24"/>
          <w:szCs w:val="24"/>
        </w:rPr>
        <w:t>;</w:t>
      </w:r>
      <w:r w:rsidRPr="00F469F1">
        <w:rPr>
          <w:rFonts w:ascii="Book Antiqua" w:eastAsia="宋体" w:hAnsi="Book Antiqua" w:cs="Times New Roman"/>
          <w:sz w:val="24"/>
          <w:szCs w:val="24"/>
        </w:rPr>
        <w:t xml:space="preserve"> GPR</w:t>
      </w:r>
      <w:r w:rsidR="00B333DE"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F469F1" w:rsidRPr="00F469F1">
        <w:rPr>
          <w:rFonts w:ascii="Book Antiqua" w:eastAsia="宋体" w:hAnsi="Book Antiqua" w:cs="Times New Roman"/>
          <w:sz w:val="24"/>
          <w:szCs w:val="24"/>
        </w:rPr>
        <w:t>Gamma</w:t>
      </w:r>
      <w:r w:rsidRPr="00F469F1">
        <w:rPr>
          <w:rFonts w:ascii="Book Antiqua" w:eastAsia="宋体" w:hAnsi="Book Antiqua" w:cs="Times New Roman"/>
          <w:sz w:val="24"/>
          <w:szCs w:val="24"/>
        </w:rPr>
        <w:t>-</w:t>
      </w:r>
      <w:proofErr w:type="spellStart"/>
      <w:r w:rsidRPr="00F469F1">
        <w:rPr>
          <w:rFonts w:ascii="Book Antiqua" w:eastAsia="宋体" w:hAnsi="Book Antiqua" w:cs="Times New Roman"/>
          <w:sz w:val="24"/>
          <w:szCs w:val="24"/>
        </w:rPr>
        <w:t>glutamyl</w:t>
      </w:r>
      <w:proofErr w:type="spellEnd"/>
      <w:r w:rsidRPr="00F469F1">
        <w:rPr>
          <w:rFonts w:ascii="Book Antiqua" w:eastAsia="宋体" w:hAnsi="Book Antiqua" w:cs="Times New Roman"/>
          <w:sz w:val="24"/>
          <w:szCs w:val="24"/>
        </w:rPr>
        <w:t xml:space="preserve"> transferase–to–platelet ratio</w:t>
      </w:r>
      <w:r w:rsidR="00C835F3" w:rsidRPr="00F469F1">
        <w:rPr>
          <w:rFonts w:ascii="Book Antiqua" w:eastAsia="宋体" w:hAnsi="Book Antiqua" w:cs="Times New Roman"/>
          <w:sz w:val="24"/>
          <w:szCs w:val="24"/>
        </w:rPr>
        <w:t>.</w:t>
      </w:r>
    </w:p>
    <w:p w14:paraId="65BA7F0D" w14:textId="77777777" w:rsidR="00244BA1" w:rsidRPr="00F469F1" w:rsidRDefault="00244BA1" w:rsidP="00F469F1">
      <w:pPr>
        <w:widowControl/>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br w:type="page"/>
      </w:r>
    </w:p>
    <w:p w14:paraId="5D6914BC" w14:textId="308B55B0" w:rsidR="00244BA1" w:rsidRPr="00F469F1" w:rsidRDefault="00106A7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b/>
          <w:sz w:val="24"/>
          <w:szCs w:val="24"/>
        </w:rPr>
        <w:lastRenderedPageBreak/>
        <w:t>T</w:t>
      </w:r>
      <w:r w:rsidR="009B18DF" w:rsidRPr="00F469F1">
        <w:rPr>
          <w:rFonts w:ascii="Book Antiqua" w:eastAsia="宋体" w:hAnsi="Book Antiqua" w:cs="Times New Roman"/>
          <w:b/>
          <w:sz w:val="24"/>
          <w:szCs w:val="24"/>
        </w:rPr>
        <w:t>able</w:t>
      </w:r>
      <w:r w:rsidRPr="00F469F1">
        <w:rPr>
          <w:rFonts w:ascii="Book Antiqua" w:eastAsia="宋体" w:hAnsi="Book Antiqua" w:cs="Times New Roman"/>
          <w:b/>
          <w:sz w:val="24"/>
          <w:szCs w:val="24"/>
        </w:rPr>
        <w:t xml:space="preserve"> 5</w:t>
      </w:r>
      <w:r w:rsidR="00244BA1"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b/>
          <w:sz w:val="24"/>
          <w:szCs w:val="24"/>
        </w:rPr>
        <w:t xml:space="preserve">Comparison of the performance and discriminative ability between </w:t>
      </w:r>
      <w:r w:rsidR="003A7F9D">
        <w:rPr>
          <w:rFonts w:ascii="Book Antiqua" w:eastAsia="宋体" w:hAnsi="Book Antiqua" w:cs="Times New Roman"/>
          <w:b/>
          <w:sz w:val="24"/>
          <w:szCs w:val="24"/>
        </w:rPr>
        <w:t xml:space="preserve">different </w:t>
      </w:r>
      <w:r w:rsidR="00244BA1" w:rsidRPr="00F469F1">
        <w:rPr>
          <w:rFonts w:ascii="Book Antiqua" w:eastAsia="宋体" w:hAnsi="Book Antiqua" w:cs="Times New Roman"/>
          <w:b/>
          <w:sz w:val="24"/>
          <w:szCs w:val="24"/>
        </w:rPr>
        <w:t>prognosis prediction models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BC42C3" w:rsidRPr="00F469F1" w14:paraId="19E556CD" w14:textId="77777777" w:rsidTr="005979E2">
        <w:tc>
          <w:tcPr>
            <w:tcW w:w="1659" w:type="dxa"/>
            <w:tcBorders>
              <w:top w:val="single" w:sz="8" w:space="0" w:color="auto"/>
              <w:bottom w:val="single" w:sz="8" w:space="0" w:color="auto"/>
            </w:tcBorders>
          </w:tcPr>
          <w:p w14:paraId="234D5108" w14:textId="77777777" w:rsidR="00244BA1" w:rsidRPr="00F469F1" w:rsidRDefault="00244BA1" w:rsidP="00F469F1">
            <w:pPr>
              <w:snapToGrid w:val="0"/>
              <w:spacing w:line="360" w:lineRule="auto"/>
              <w:rPr>
                <w:rFonts w:ascii="Book Antiqua" w:eastAsia="宋体" w:hAnsi="Book Antiqua" w:cs="Times New Roman"/>
                <w:sz w:val="24"/>
                <w:szCs w:val="24"/>
              </w:rPr>
            </w:pPr>
          </w:p>
        </w:tc>
        <w:tc>
          <w:tcPr>
            <w:tcW w:w="1659" w:type="dxa"/>
            <w:tcBorders>
              <w:top w:val="single" w:sz="8" w:space="0" w:color="auto"/>
              <w:bottom w:val="single" w:sz="8" w:space="0" w:color="auto"/>
            </w:tcBorders>
          </w:tcPr>
          <w:p w14:paraId="682A667D" w14:textId="540405E6"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1-yr AUROC</w:t>
            </w:r>
          </w:p>
        </w:tc>
        <w:tc>
          <w:tcPr>
            <w:tcW w:w="1659" w:type="dxa"/>
            <w:tcBorders>
              <w:top w:val="single" w:sz="8" w:space="0" w:color="auto"/>
              <w:bottom w:val="single" w:sz="8" w:space="0" w:color="auto"/>
            </w:tcBorders>
          </w:tcPr>
          <w:p w14:paraId="3DAAA74C" w14:textId="39631ECC"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3-yr AUROC</w:t>
            </w:r>
          </w:p>
        </w:tc>
        <w:tc>
          <w:tcPr>
            <w:tcW w:w="1659" w:type="dxa"/>
            <w:tcBorders>
              <w:top w:val="single" w:sz="8" w:space="0" w:color="auto"/>
              <w:bottom w:val="single" w:sz="8" w:space="0" w:color="auto"/>
            </w:tcBorders>
          </w:tcPr>
          <w:p w14:paraId="56E0D8F0" w14:textId="2AA15493"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5-yr AUROC</w:t>
            </w:r>
          </w:p>
        </w:tc>
        <w:tc>
          <w:tcPr>
            <w:tcW w:w="1660" w:type="dxa"/>
            <w:tcBorders>
              <w:top w:val="single" w:sz="8" w:space="0" w:color="auto"/>
              <w:bottom w:val="single" w:sz="8" w:space="0" w:color="auto"/>
            </w:tcBorders>
          </w:tcPr>
          <w:p w14:paraId="0AEF5039" w14:textId="77777777" w:rsidR="00244BA1" w:rsidRPr="00F469F1" w:rsidRDefault="00244BA1" w:rsidP="00F469F1">
            <w:pPr>
              <w:snapToGrid w:val="0"/>
              <w:spacing w:line="360" w:lineRule="auto"/>
              <w:rPr>
                <w:rFonts w:ascii="Book Antiqua" w:eastAsia="宋体" w:hAnsi="Book Antiqua" w:cs="Times New Roman"/>
                <w:b/>
                <w:sz w:val="24"/>
                <w:szCs w:val="24"/>
              </w:rPr>
            </w:pPr>
            <w:r w:rsidRPr="00F469F1">
              <w:rPr>
                <w:rFonts w:ascii="Book Antiqua" w:eastAsia="宋体" w:hAnsi="Book Antiqua" w:cs="Times New Roman"/>
                <w:b/>
                <w:sz w:val="24"/>
                <w:szCs w:val="24"/>
              </w:rPr>
              <w:t>C-index</w:t>
            </w:r>
          </w:p>
        </w:tc>
      </w:tr>
      <w:tr w:rsidR="00BC42C3" w:rsidRPr="00F469F1" w14:paraId="5F7B2C99" w14:textId="77777777" w:rsidTr="005979E2">
        <w:tc>
          <w:tcPr>
            <w:tcW w:w="1659" w:type="dxa"/>
            <w:tcBorders>
              <w:top w:val="single" w:sz="8" w:space="0" w:color="auto"/>
            </w:tcBorders>
          </w:tcPr>
          <w:p w14:paraId="0E3FC3E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Nomogram</w:t>
            </w:r>
          </w:p>
        </w:tc>
        <w:tc>
          <w:tcPr>
            <w:tcW w:w="1659" w:type="dxa"/>
            <w:tcBorders>
              <w:top w:val="single" w:sz="8" w:space="0" w:color="auto"/>
            </w:tcBorders>
          </w:tcPr>
          <w:p w14:paraId="3F4A343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0.823</w:t>
            </w:r>
          </w:p>
        </w:tc>
        <w:tc>
          <w:tcPr>
            <w:tcW w:w="1659" w:type="dxa"/>
            <w:tcBorders>
              <w:top w:val="single" w:sz="8" w:space="0" w:color="auto"/>
            </w:tcBorders>
          </w:tcPr>
          <w:p w14:paraId="1CC181D7"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0.893</w:t>
            </w:r>
          </w:p>
        </w:tc>
        <w:tc>
          <w:tcPr>
            <w:tcW w:w="1659" w:type="dxa"/>
            <w:tcBorders>
              <w:top w:val="single" w:sz="8" w:space="0" w:color="auto"/>
            </w:tcBorders>
          </w:tcPr>
          <w:p w14:paraId="469ECB81"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0.920</w:t>
            </w:r>
          </w:p>
        </w:tc>
        <w:tc>
          <w:tcPr>
            <w:tcW w:w="1660" w:type="dxa"/>
            <w:tcBorders>
              <w:top w:val="single" w:sz="8" w:space="0" w:color="auto"/>
            </w:tcBorders>
          </w:tcPr>
          <w:p w14:paraId="54F1E8C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0.770</w:t>
            </w:r>
          </w:p>
        </w:tc>
      </w:tr>
      <w:tr w:rsidR="00BC42C3" w:rsidRPr="00F469F1" w14:paraId="518AC088" w14:textId="77777777" w:rsidTr="00922BB1">
        <w:tc>
          <w:tcPr>
            <w:tcW w:w="1659" w:type="dxa"/>
          </w:tcPr>
          <w:p w14:paraId="136AC66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TNM stage</w:t>
            </w:r>
          </w:p>
        </w:tc>
        <w:tc>
          <w:tcPr>
            <w:tcW w:w="1659" w:type="dxa"/>
          </w:tcPr>
          <w:p w14:paraId="024AD2B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0.649</w:t>
            </w:r>
          </w:p>
        </w:tc>
        <w:tc>
          <w:tcPr>
            <w:tcW w:w="1659" w:type="dxa"/>
          </w:tcPr>
          <w:p w14:paraId="0B83444D"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0.748</w:t>
            </w:r>
          </w:p>
        </w:tc>
        <w:tc>
          <w:tcPr>
            <w:tcW w:w="1659" w:type="dxa"/>
          </w:tcPr>
          <w:p w14:paraId="45DFF4D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0.778</w:t>
            </w:r>
          </w:p>
        </w:tc>
        <w:tc>
          <w:tcPr>
            <w:tcW w:w="1660" w:type="dxa"/>
          </w:tcPr>
          <w:p w14:paraId="3BC00BA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0.631</w:t>
            </w:r>
          </w:p>
        </w:tc>
      </w:tr>
      <w:tr w:rsidR="00BC42C3" w:rsidRPr="00F469F1" w14:paraId="162CAC60" w14:textId="77777777" w:rsidTr="00922BB1">
        <w:tc>
          <w:tcPr>
            <w:tcW w:w="1659" w:type="dxa"/>
          </w:tcPr>
          <w:p w14:paraId="5308FF37" w14:textId="7562EAF1"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Bai’s model</w:t>
            </w:r>
            <w:r w:rsidR="00F469F1" w:rsidRPr="00F469F1">
              <w:rPr>
                <w:rFonts w:ascii="Book Antiqua" w:eastAsia="宋体" w:hAnsi="Book Antiqua" w:cs="Times New Roman"/>
                <w:sz w:val="24"/>
                <w:szCs w:val="24"/>
                <w:vertAlign w:val="superscript"/>
              </w:rPr>
              <w:t>1</w:t>
            </w:r>
          </w:p>
        </w:tc>
        <w:tc>
          <w:tcPr>
            <w:tcW w:w="1659" w:type="dxa"/>
          </w:tcPr>
          <w:p w14:paraId="1B33CAB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0.766</w:t>
            </w:r>
          </w:p>
        </w:tc>
        <w:tc>
          <w:tcPr>
            <w:tcW w:w="1659" w:type="dxa"/>
          </w:tcPr>
          <w:p w14:paraId="2CF4408C"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0.857</w:t>
            </w:r>
          </w:p>
        </w:tc>
        <w:tc>
          <w:tcPr>
            <w:tcW w:w="1659" w:type="dxa"/>
          </w:tcPr>
          <w:p w14:paraId="315CF69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0.848</w:t>
            </w:r>
          </w:p>
        </w:tc>
        <w:tc>
          <w:tcPr>
            <w:tcW w:w="1660" w:type="dxa"/>
          </w:tcPr>
          <w:p w14:paraId="566C5CB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0.773</w:t>
            </w:r>
          </w:p>
        </w:tc>
      </w:tr>
      <w:tr w:rsidR="00BC42C3" w:rsidRPr="00F469F1" w14:paraId="2065F646" w14:textId="77777777" w:rsidTr="00922BB1">
        <w:tc>
          <w:tcPr>
            <w:tcW w:w="1659" w:type="dxa"/>
          </w:tcPr>
          <w:p w14:paraId="4ADD899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CA19-9</w:t>
            </w:r>
          </w:p>
        </w:tc>
        <w:tc>
          <w:tcPr>
            <w:tcW w:w="1659" w:type="dxa"/>
          </w:tcPr>
          <w:p w14:paraId="2FF4078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0.677</w:t>
            </w:r>
          </w:p>
        </w:tc>
        <w:tc>
          <w:tcPr>
            <w:tcW w:w="1659" w:type="dxa"/>
          </w:tcPr>
          <w:p w14:paraId="3FD0825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0.698</w:t>
            </w:r>
          </w:p>
        </w:tc>
        <w:tc>
          <w:tcPr>
            <w:tcW w:w="1659" w:type="dxa"/>
          </w:tcPr>
          <w:p w14:paraId="3D24BFA3"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0.750</w:t>
            </w:r>
          </w:p>
        </w:tc>
        <w:tc>
          <w:tcPr>
            <w:tcW w:w="1660" w:type="dxa"/>
          </w:tcPr>
          <w:p w14:paraId="45D89200"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0.658</w:t>
            </w:r>
          </w:p>
        </w:tc>
      </w:tr>
      <w:tr w:rsidR="00BC42C3" w:rsidRPr="00F469F1" w14:paraId="55F99ABF" w14:textId="77777777" w:rsidTr="00922BB1">
        <w:tc>
          <w:tcPr>
            <w:tcW w:w="1659" w:type="dxa"/>
          </w:tcPr>
          <w:p w14:paraId="02A5A0F8"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MLR</w:t>
            </w:r>
          </w:p>
        </w:tc>
        <w:tc>
          <w:tcPr>
            <w:tcW w:w="1659" w:type="dxa"/>
          </w:tcPr>
          <w:p w14:paraId="271CECCA"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0.700</w:t>
            </w:r>
          </w:p>
        </w:tc>
        <w:tc>
          <w:tcPr>
            <w:tcW w:w="1659" w:type="dxa"/>
          </w:tcPr>
          <w:p w14:paraId="1BB4B8A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0.662</w:t>
            </w:r>
          </w:p>
        </w:tc>
        <w:tc>
          <w:tcPr>
            <w:tcW w:w="1659" w:type="dxa"/>
          </w:tcPr>
          <w:p w14:paraId="7F1DDDFF"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0.716</w:t>
            </w:r>
          </w:p>
        </w:tc>
        <w:tc>
          <w:tcPr>
            <w:tcW w:w="1660" w:type="dxa"/>
          </w:tcPr>
          <w:p w14:paraId="37DA8A5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0.632</w:t>
            </w:r>
          </w:p>
        </w:tc>
      </w:tr>
      <w:tr w:rsidR="00BC42C3" w:rsidRPr="00F469F1" w14:paraId="3E77546F" w14:textId="77777777" w:rsidTr="00922BB1">
        <w:tc>
          <w:tcPr>
            <w:tcW w:w="1659" w:type="dxa"/>
            <w:tcBorders>
              <w:bottom w:val="single" w:sz="8" w:space="0" w:color="auto"/>
            </w:tcBorders>
          </w:tcPr>
          <w:p w14:paraId="63B2703E"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NLR</w:t>
            </w:r>
          </w:p>
        </w:tc>
        <w:tc>
          <w:tcPr>
            <w:tcW w:w="1659" w:type="dxa"/>
            <w:tcBorders>
              <w:bottom w:val="single" w:sz="8" w:space="0" w:color="auto"/>
            </w:tcBorders>
          </w:tcPr>
          <w:p w14:paraId="4F88F914"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0.688</w:t>
            </w:r>
          </w:p>
        </w:tc>
        <w:tc>
          <w:tcPr>
            <w:tcW w:w="1659" w:type="dxa"/>
            <w:tcBorders>
              <w:bottom w:val="single" w:sz="8" w:space="0" w:color="auto"/>
            </w:tcBorders>
          </w:tcPr>
          <w:p w14:paraId="54C84616"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0.697</w:t>
            </w:r>
          </w:p>
        </w:tc>
        <w:tc>
          <w:tcPr>
            <w:tcW w:w="1659" w:type="dxa"/>
            <w:tcBorders>
              <w:bottom w:val="single" w:sz="8" w:space="0" w:color="auto"/>
            </w:tcBorders>
          </w:tcPr>
          <w:p w14:paraId="2235A152"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0.790</w:t>
            </w:r>
          </w:p>
        </w:tc>
        <w:tc>
          <w:tcPr>
            <w:tcW w:w="1660" w:type="dxa"/>
            <w:tcBorders>
              <w:bottom w:val="single" w:sz="8" w:space="0" w:color="auto"/>
            </w:tcBorders>
          </w:tcPr>
          <w:p w14:paraId="7E7A8CC5" w14:textId="77777777" w:rsidR="00244BA1" w:rsidRPr="00F469F1" w:rsidRDefault="00244BA1" w:rsidP="00F469F1">
            <w:pPr>
              <w:snapToGrid w:val="0"/>
              <w:spacing w:line="360" w:lineRule="auto"/>
              <w:rPr>
                <w:rFonts w:ascii="Book Antiqua" w:eastAsia="宋体" w:hAnsi="Book Antiqua" w:cs="Times New Roman"/>
                <w:sz w:val="24"/>
                <w:szCs w:val="24"/>
              </w:rPr>
            </w:pPr>
            <w:r w:rsidRPr="00F469F1">
              <w:rPr>
                <w:rFonts w:ascii="Book Antiqua" w:eastAsia="宋体" w:hAnsi="Book Antiqua" w:cs="Times New Roman"/>
                <w:sz w:val="24"/>
                <w:szCs w:val="24"/>
              </w:rPr>
              <w:t>0.644</w:t>
            </w:r>
          </w:p>
        </w:tc>
      </w:tr>
    </w:tbl>
    <w:p w14:paraId="66BC7395" w14:textId="74CF67C2" w:rsidR="005630AF" w:rsidRPr="00F469F1" w:rsidRDefault="00F469F1" w:rsidP="00F469F1">
      <w:pPr>
        <w:snapToGrid w:val="0"/>
        <w:spacing w:line="360" w:lineRule="auto"/>
        <w:rPr>
          <w:rFonts w:ascii="Book Antiqua" w:eastAsia="宋体" w:hAnsi="Book Antiqua" w:cs="Times New Roman"/>
          <w:sz w:val="24"/>
          <w:szCs w:val="24"/>
        </w:rPr>
      </w:pPr>
      <w:r w:rsidRPr="00F469F1">
        <w:rPr>
          <w:rFonts w:ascii="Book Antiqua" w:hAnsi="Book Antiqua" w:cs="Times New Roman"/>
          <w:sz w:val="24"/>
          <w:szCs w:val="24"/>
          <w:vertAlign w:val="superscript"/>
        </w:rPr>
        <w:t>1</w:t>
      </w:r>
      <w:r w:rsidR="00120E52" w:rsidRPr="00F469F1">
        <w:rPr>
          <w:rFonts w:ascii="Book Antiqua" w:eastAsia="宋体" w:hAnsi="Book Antiqua" w:cs="Times New Roman"/>
          <w:sz w:val="24"/>
          <w:szCs w:val="24"/>
        </w:rPr>
        <w:t xml:space="preserve">Bai’s model: </w:t>
      </w:r>
      <w:r w:rsidRPr="00F469F1">
        <w:rPr>
          <w:rFonts w:ascii="Book Antiqua" w:eastAsia="宋体" w:hAnsi="Book Antiqua" w:cs="Times New Roman"/>
          <w:sz w:val="24"/>
          <w:szCs w:val="24"/>
        </w:rPr>
        <w:t>Nomogram based on jaundice, CA19-9</w:t>
      </w:r>
      <w:r w:rsidR="003A7F9D">
        <w:rPr>
          <w:rFonts w:ascii="Book Antiqua" w:eastAsia="宋体" w:hAnsi="Book Antiqua" w:cs="Times New Roman"/>
          <w:sz w:val="24"/>
          <w:szCs w:val="24"/>
        </w:rPr>
        <w:t>,</w:t>
      </w:r>
      <w:r w:rsidR="003A7F9D" w:rsidRPr="00F469F1">
        <w:rPr>
          <w:rFonts w:ascii="Book Antiqua" w:eastAsia="宋体" w:hAnsi="Book Antiqua" w:cs="Times New Roman"/>
          <w:sz w:val="24"/>
          <w:szCs w:val="24"/>
        </w:rPr>
        <w:t xml:space="preserve"> </w:t>
      </w:r>
      <w:r w:rsidR="003A7F9D">
        <w:rPr>
          <w:rFonts w:ascii="Book Antiqua" w:eastAsia="宋体" w:hAnsi="Book Antiqua" w:cs="Times New Roman"/>
          <w:sz w:val="24"/>
          <w:szCs w:val="24"/>
        </w:rPr>
        <w:t>t</w:t>
      </w:r>
      <w:r w:rsidR="003A7F9D" w:rsidRPr="00F469F1">
        <w:rPr>
          <w:rFonts w:ascii="Book Antiqua" w:eastAsia="宋体" w:hAnsi="Book Antiqua" w:cs="Times New Roman"/>
          <w:sz w:val="24"/>
          <w:szCs w:val="24"/>
        </w:rPr>
        <w:t>umor</w:t>
      </w:r>
      <w:r w:rsidR="00C835F3" w:rsidRPr="00F469F1">
        <w:rPr>
          <w:rFonts w:ascii="Book Antiqua" w:eastAsia="宋体" w:hAnsi="Book Antiqua" w:cs="Times New Roman"/>
          <w:sz w:val="24"/>
          <w:szCs w:val="24"/>
        </w:rPr>
        <w:t>–node–metastasis</w:t>
      </w:r>
      <w:r w:rsidR="00120E52" w:rsidRPr="00F469F1">
        <w:rPr>
          <w:rFonts w:ascii="Book Antiqua" w:eastAsia="宋体" w:hAnsi="Book Antiqua" w:cs="Times New Roman"/>
          <w:sz w:val="24"/>
          <w:szCs w:val="24"/>
        </w:rPr>
        <w:t xml:space="preserve"> stage</w:t>
      </w:r>
      <w:r w:rsidR="003A7F9D">
        <w:rPr>
          <w:rFonts w:ascii="Book Antiqua" w:eastAsia="宋体" w:hAnsi="Book Antiqua" w:cs="Times New Roman"/>
          <w:sz w:val="24"/>
          <w:szCs w:val="24"/>
        </w:rPr>
        <w:t>,</w:t>
      </w:r>
      <w:r w:rsidR="00120E52" w:rsidRPr="00F469F1">
        <w:rPr>
          <w:rFonts w:ascii="Book Antiqua" w:eastAsia="宋体" w:hAnsi="Book Antiqua" w:cs="Times New Roman"/>
          <w:sz w:val="24"/>
          <w:szCs w:val="24"/>
        </w:rPr>
        <w:t xml:space="preserve"> and R </w:t>
      </w:r>
      <w:proofErr w:type="gramStart"/>
      <w:r w:rsidR="003A7F9D" w:rsidRPr="00F469F1">
        <w:rPr>
          <w:rFonts w:ascii="Book Antiqua" w:eastAsia="宋体" w:hAnsi="Book Antiqua" w:cs="Times New Roman"/>
          <w:sz w:val="24"/>
          <w:szCs w:val="24"/>
        </w:rPr>
        <w:t>stat</w:t>
      </w:r>
      <w:r w:rsidR="003A7F9D">
        <w:rPr>
          <w:rFonts w:ascii="Book Antiqua" w:eastAsia="宋体" w:hAnsi="Book Antiqua" w:cs="Times New Roman"/>
          <w:sz w:val="24"/>
          <w:szCs w:val="24"/>
        </w:rPr>
        <w:t>us</w:t>
      </w:r>
      <w:r w:rsidR="00C835F3" w:rsidRPr="00F469F1">
        <w:rPr>
          <w:rFonts w:ascii="Book Antiqua" w:eastAsia="宋体" w:hAnsi="Book Antiqua" w:cs="Times New Roman"/>
          <w:noProof/>
          <w:sz w:val="24"/>
          <w:szCs w:val="24"/>
          <w:vertAlign w:val="superscript"/>
        </w:rPr>
        <w:t>[</w:t>
      </w:r>
      <w:proofErr w:type="gramEnd"/>
      <w:r w:rsidR="00C835F3" w:rsidRPr="00F469F1">
        <w:rPr>
          <w:rFonts w:ascii="Book Antiqua" w:eastAsia="宋体" w:hAnsi="Book Antiqua" w:cs="Times New Roman"/>
          <w:noProof/>
          <w:sz w:val="24"/>
          <w:szCs w:val="24"/>
          <w:vertAlign w:val="superscript"/>
        </w:rPr>
        <w:t>34]</w:t>
      </w:r>
      <w:r w:rsidR="00120E52" w:rsidRPr="00F469F1">
        <w:rPr>
          <w:rFonts w:ascii="Book Antiqua" w:eastAsia="宋体" w:hAnsi="Book Antiqua" w:cs="Times New Roman"/>
          <w:sz w:val="24"/>
          <w:szCs w:val="24"/>
        </w:rPr>
        <w:t>.</w:t>
      </w:r>
      <w:r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BMI</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Body </w:t>
      </w:r>
      <w:r w:rsidR="00B333DE" w:rsidRPr="00F469F1">
        <w:rPr>
          <w:rFonts w:ascii="Book Antiqua" w:eastAsia="宋体" w:hAnsi="Book Antiqua" w:cs="Times New Roman"/>
          <w:sz w:val="24"/>
          <w:szCs w:val="24"/>
        </w:rPr>
        <w:t>mass index</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TNM</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Tumor</w:t>
      </w:r>
      <w:r w:rsidR="00B333DE" w:rsidRPr="00F469F1">
        <w:rPr>
          <w:rFonts w:ascii="Book Antiqua" w:eastAsia="宋体" w:hAnsi="Book Antiqua" w:cs="Times New Roman"/>
          <w:sz w:val="24"/>
          <w:szCs w:val="24"/>
        </w:rPr>
        <w:t>–node–metastasis</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MLR</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Monocyte</w:t>
      </w:r>
      <w:r w:rsidR="00B333DE" w:rsidRPr="00F469F1">
        <w:rPr>
          <w:rFonts w:ascii="Book Antiqua" w:eastAsia="宋体" w:hAnsi="Book Antiqua" w:cs="Times New Roman"/>
          <w:sz w:val="24"/>
          <w:szCs w:val="24"/>
        </w:rPr>
        <w:t>–to–lymphocyte ratio</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NLR</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Neutrophil</w:t>
      </w:r>
      <w:r w:rsidR="00B333DE" w:rsidRPr="00F469F1">
        <w:rPr>
          <w:rFonts w:ascii="Book Antiqua" w:eastAsia="宋体" w:hAnsi="Book Antiqua" w:cs="Times New Roman"/>
          <w:sz w:val="24"/>
          <w:szCs w:val="24"/>
        </w:rPr>
        <w:t>–to–lymphocyte ratio</w:t>
      </w:r>
      <w:r w:rsidR="00C835F3" w:rsidRPr="00F469F1">
        <w:rPr>
          <w:rFonts w:ascii="Book Antiqua" w:hAnsi="Book Antiqua"/>
          <w:color w:val="000000"/>
          <w:kern w:val="0"/>
          <w:sz w:val="24"/>
          <w:szCs w:val="24"/>
        </w:rPr>
        <w:t>;</w:t>
      </w:r>
      <w:r w:rsidR="00244BA1" w:rsidRPr="00F469F1">
        <w:rPr>
          <w:rFonts w:ascii="Book Antiqua" w:eastAsia="宋体" w:hAnsi="Book Antiqua" w:cs="Times New Roman"/>
          <w:sz w:val="24"/>
          <w:szCs w:val="24"/>
        </w:rPr>
        <w:t xml:space="preserve"> AUROC</w:t>
      </w:r>
      <w:r w:rsidR="00B333DE"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Area </w:t>
      </w:r>
      <w:r w:rsidR="00B333DE" w:rsidRPr="00F469F1">
        <w:rPr>
          <w:rFonts w:ascii="Book Antiqua" w:eastAsia="宋体" w:hAnsi="Book Antiqua" w:cs="Times New Roman"/>
          <w:sz w:val="24"/>
          <w:szCs w:val="24"/>
        </w:rPr>
        <w:t>under the ROC curve</w:t>
      </w:r>
      <w:r w:rsidR="00C835F3" w:rsidRPr="00F469F1">
        <w:rPr>
          <w:rFonts w:ascii="Book Antiqua" w:hAnsi="Book Antiqua"/>
          <w:color w:val="000000"/>
          <w:kern w:val="0"/>
          <w:sz w:val="24"/>
          <w:szCs w:val="24"/>
        </w:rPr>
        <w:t>;</w:t>
      </w:r>
      <w:r w:rsidR="00475AA7" w:rsidRPr="00F469F1">
        <w:rPr>
          <w:rFonts w:ascii="Book Antiqua" w:eastAsia="宋体" w:hAnsi="Book Antiqua" w:cs="Times New Roman"/>
          <w:sz w:val="24"/>
          <w:szCs w:val="24"/>
        </w:rPr>
        <w:t xml:space="preserve"> </w:t>
      </w:r>
      <w:r w:rsidR="00244BA1" w:rsidRPr="00F469F1">
        <w:rPr>
          <w:rFonts w:ascii="Book Antiqua" w:eastAsia="宋体" w:hAnsi="Book Antiqua" w:cs="Times New Roman"/>
          <w:sz w:val="24"/>
          <w:szCs w:val="24"/>
        </w:rPr>
        <w:t>ROC</w:t>
      </w:r>
      <w:r w:rsidR="00B333DE" w:rsidRPr="00F469F1">
        <w:rPr>
          <w:rFonts w:ascii="Book Antiqua" w:eastAsia="宋体" w:hAnsi="Book Antiqua" w:cs="Times New Roman"/>
          <w:sz w:val="24"/>
          <w:szCs w:val="24"/>
        </w:rPr>
        <w:t>:</w:t>
      </w:r>
      <w:r w:rsidR="00244BA1" w:rsidRPr="00F469F1">
        <w:rPr>
          <w:rFonts w:ascii="Book Antiqua" w:eastAsia="宋体" w:hAnsi="Book Antiqua" w:cs="Times New Roman"/>
          <w:sz w:val="24"/>
          <w:szCs w:val="24"/>
        </w:rPr>
        <w:t xml:space="preserve"> </w:t>
      </w:r>
      <w:r w:rsidRPr="00F469F1">
        <w:rPr>
          <w:rFonts w:ascii="Book Antiqua" w:eastAsia="宋体" w:hAnsi="Book Antiqua" w:cs="Times New Roman"/>
          <w:sz w:val="24"/>
          <w:szCs w:val="24"/>
        </w:rPr>
        <w:t xml:space="preserve">Receiver </w:t>
      </w:r>
      <w:r w:rsidR="00244BA1" w:rsidRPr="00F469F1">
        <w:rPr>
          <w:rFonts w:ascii="Book Antiqua" w:eastAsia="宋体" w:hAnsi="Book Antiqua" w:cs="Times New Roman"/>
          <w:sz w:val="24"/>
          <w:szCs w:val="24"/>
        </w:rPr>
        <w:t>operating characteristic</w:t>
      </w:r>
      <w:r w:rsidR="00C835F3" w:rsidRPr="00F469F1">
        <w:rPr>
          <w:rFonts w:ascii="Book Antiqua" w:eastAsia="宋体" w:hAnsi="Book Antiqua" w:cs="Times New Roman"/>
          <w:sz w:val="24"/>
          <w:szCs w:val="24"/>
        </w:rPr>
        <w:t>.</w:t>
      </w:r>
    </w:p>
    <w:sectPr w:rsidR="005630AF" w:rsidRPr="00F469F1" w:rsidSect="0028093A">
      <w:footerReference w:type="default" r:id="rId1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96B7" w14:textId="77777777" w:rsidR="008A184F" w:rsidRDefault="008A184F" w:rsidP="00D24A41">
      <w:r>
        <w:separator/>
      </w:r>
    </w:p>
  </w:endnote>
  <w:endnote w:type="continuationSeparator" w:id="0">
    <w:p w14:paraId="114E1358" w14:textId="77777777" w:rsidR="008A184F" w:rsidRDefault="008A184F" w:rsidP="00D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70927"/>
      <w:docPartObj>
        <w:docPartGallery w:val="Page Numbers (Bottom of Page)"/>
        <w:docPartUnique/>
      </w:docPartObj>
    </w:sdtPr>
    <w:sdtEndPr/>
    <w:sdtContent>
      <w:sdt>
        <w:sdtPr>
          <w:id w:val="-1769616900"/>
          <w:docPartObj>
            <w:docPartGallery w:val="Page Numbers (Top of Page)"/>
            <w:docPartUnique/>
          </w:docPartObj>
        </w:sdtPr>
        <w:sdtEndPr/>
        <w:sdtContent>
          <w:p w14:paraId="7931532E" w14:textId="642EC295" w:rsidR="005B4FCA" w:rsidRDefault="005B4FCA">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6613C">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6613C">
              <w:rPr>
                <w:b/>
                <w:bCs/>
                <w:noProof/>
              </w:rPr>
              <w:t>35</w:t>
            </w:r>
            <w:r>
              <w:rPr>
                <w:b/>
                <w:bCs/>
                <w:sz w:val="24"/>
                <w:szCs w:val="24"/>
              </w:rPr>
              <w:fldChar w:fldCharType="end"/>
            </w:r>
          </w:p>
        </w:sdtContent>
      </w:sdt>
    </w:sdtContent>
  </w:sdt>
  <w:p w14:paraId="6C1A2FA0" w14:textId="46B71870" w:rsidR="005B4FCA" w:rsidRDefault="005B4FCA">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8DD8" w14:textId="77777777" w:rsidR="008A184F" w:rsidRDefault="008A184F" w:rsidP="00D24A41">
      <w:r>
        <w:separator/>
      </w:r>
    </w:p>
  </w:footnote>
  <w:footnote w:type="continuationSeparator" w:id="0">
    <w:p w14:paraId="4806ED5A" w14:textId="77777777" w:rsidR="008A184F" w:rsidRDefault="008A184F" w:rsidP="00D2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B5835"/>
    <w:multiLevelType w:val="hybridMultilevel"/>
    <w:tmpl w:val="F8487F46"/>
    <w:lvl w:ilvl="0" w:tplc="0B44790A">
      <w:start w:val="3"/>
      <w:numFmt w:val="upperLetter"/>
      <w:lvlText w:val="（"/>
      <w:lvlJc w:val="left"/>
      <w:pPr>
        <w:ind w:left="450" w:hanging="45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p9fda9952fr8e9te65v5xta0repds5xaps&quot;&gt;文献&lt;record-ids&gt;&lt;item&gt;3&lt;/item&gt;&lt;item&gt;6&lt;/item&gt;&lt;item&gt;10&lt;/item&gt;&lt;item&gt;12&lt;/item&gt;&lt;item&gt;21&lt;/item&gt;&lt;item&gt;23&lt;/item&gt;&lt;item&gt;25&lt;/item&gt;&lt;item&gt;26&lt;/item&gt;&lt;item&gt;27&lt;/item&gt;&lt;item&gt;40&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7&lt;/item&gt;&lt;/record-ids&gt;&lt;/item&gt;&lt;/Libraries&gt;"/>
  </w:docVars>
  <w:rsids>
    <w:rsidRoot w:val="00982B64"/>
    <w:rsid w:val="0000137B"/>
    <w:rsid w:val="00001F0E"/>
    <w:rsid w:val="00003F82"/>
    <w:rsid w:val="00006776"/>
    <w:rsid w:val="00015DF7"/>
    <w:rsid w:val="00016F22"/>
    <w:rsid w:val="000249ED"/>
    <w:rsid w:val="00025BBC"/>
    <w:rsid w:val="00026915"/>
    <w:rsid w:val="00031F54"/>
    <w:rsid w:val="000328C8"/>
    <w:rsid w:val="000357A6"/>
    <w:rsid w:val="0004240E"/>
    <w:rsid w:val="00046E9D"/>
    <w:rsid w:val="00047246"/>
    <w:rsid w:val="0005268F"/>
    <w:rsid w:val="00052BED"/>
    <w:rsid w:val="000542C8"/>
    <w:rsid w:val="00064F28"/>
    <w:rsid w:val="00071919"/>
    <w:rsid w:val="00072E7F"/>
    <w:rsid w:val="00073325"/>
    <w:rsid w:val="00076ECC"/>
    <w:rsid w:val="00081C0F"/>
    <w:rsid w:val="00087319"/>
    <w:rsid w:val="00092426"/>
    <w:rsid w:val="00092DB4"/>
    <w:rsid w:val="000A239F"/>
    <w:rsid w:val="000A642C"/>
    <w:rsid w:val="000A7645"/>
    <w:rsid w:val="000B0024"/>
    <w:rsid w:val="000B6456"/>
    <w:rsid w:val="000B7BB0"/>
    <w:rsid w:val="000C0D70"/>
    <w:rsid w:val="000C1097"/>
    <w:rsid w:val="000C1528"/>
    <w:rsid w:val="000D217B"/>
    <w:rsid w:val="000D284D"/>
    <w:rsid w:val="000D3A91"/>
    <w:rsid w:val="000D7781"/>
    <w:rsid w:val="000E3198"/>
    <w:rsid w:val="000E5A8B"/>
    <w:rsid w:val="000F099D"/>
    <w:rsid w:val="000F3DF9"/>
    <w:rsid w:val="000F5724"/>
    <w:rsid w:val="000F5EE8"/>
    <w:rsid w:val="000F6D43"/>
    <w:rsid w:val="000F7685"/>
    <w:rsid w:val="00101753"/>
    <w:rsid w:val="00105CEC"/>
    <w:rsid w:val="00106A71"/>
    <w:rsid w:val="0011440F"/>
    <w:rsid w:val="00120E52"/>
    <w:rsid w:val="001222CA"/>
    <w:rsid w:val="00125594"/>
    <w:rsid w:val="00126F13"/>
    <w:rsid w:val="00127316"/>
    <w:rsid w:val="00130720"/>
    <w:rsid w:val="00130D37"/>
    <w:rsid w:val="00135F7E"/>
    <w:rsid w:val="00136A8B"/>
    <w:rsid w:val="00137398"/>
    <w:rsid w:val="001408FF"/>
    <w:rsid w:val="00140C64"/>
    <w:rsid w:val="00142E46"/>
    <w:rsid w:val="0015238E"/>
    <w:rsid w:val="001543A6"/>
    <w:rsid w:val="00154682"/>
    <w:rsid w:val="00154F9D"/>
    <w:rsid w:val="0016189F"/>
    <w:rsid w:val="001646FD"/>
    <w:rsid w:val="00170CF6"/>
    <w:rsid w:val="00173C68"/>
    <w:rsid w:val="00182394"/>
    <w:rsid w:val="00182C49"/>
    <w:rsid w:val="0019079E"/>
    <w:rsid w:val="00191444"/>
    <w:rsid w:val="00191A42"/>
    <w:rsid w:val="00192198"/>
    <w:rsid w:val="0019241F"/>
    <w:rsid w:val="00192838"/>
    <w:rsid w:val="00193644"/>
    <w:rsid w:val="001938D7"/>
    <w:rsid w:val="001964A3"/>
    <w:rsid w:val="001A0FED"/>
    <w:rsid w:val="001A3567"/>
    <w:rsid w:val="001A5EED"/>
    <w:rsid w:val="001B0684"/>
    <w:rsid w:val="001B1C64"/>
    <w:rsid w:val="001B623B"/>
    <w:rsid w:val="001B7DEE"/>
    <w:rsid w:val="001C4701"/>
    <w:rsid w:val="001C4932"/>
    <w:rsid w:val="001C61A7"/>
    <w:rsid w:val="001D1564"/>
    <w:rsid w:val="001D5F6F"/>
    <w:rsid w:val="001D686E"/>
    <w:rsid w:val="001E1605"/>
    <w:rsid w:val="001E1F1B"/>
    <w:rsid w:val="001E219B"/>
    <w:rsid w:val="001E2316"/>
    <w:rsid w:val="001E3E5B"/>
    <w:rsid w:val="001F029B"/>
    <w:rsid w:val="001F15FE"/>
    <w:rsid w:val="001F307C"/>
    <w:rsid w:val="001F3FBE"/>
    <w:rsid w:val="001F5050"/>
    <w:rsid w:val="001F5D94"/>
    <w:rsid w:val="00210171"/>
    <w:rsid w:val="002113C3"/>
    <w:rsid w:val="0021143F"/>
    <w:rsid w:val="0021181B"/>
    <w:rsid w:val="002125CE"/>
    <w:rsid w:val="00217B89"/>
    <w:rsid w:val="0022318B"/>
    <w:rsid w:val="00225344"/>
    <w:rsid w:val="00226CC9"/>
    <w:rsid w:val="002274E9"/>
    <w:rsid w:val="00227603"/>
    <w:rsid w:val="002301C1"/>
    <w:rsid w:val="00233577"/>
    <w:rsid w:val="00233D56"/>
    <w:rsid w:val="00233F37"/>
    <w:rsid w:val="00234AB2"/>
    <w:rsid w:val="00235D1F"/>
    <w:rsid w:val="00240153"/>
    <w:rsid w:val="00244BA1"/>
    <w:rsid w:val="00251390"/>
    <w:rsid w:val="00253BBB"/>
    <w:rsid w:val="00260ECD"/>
    <w:rsid w:val="00265A7A"/>
    <w:rsid w:val="002675DF"/>
    <w:rsid w:val="00277898"/>
    <w:rsid w:val="0028093A"/>
    <w:rsid w:val="0028246B"/>
    <w:rsid w:val="00284F2A"/>
    <w:rsid w:val="002864D9"/>
    <w:rsid w:val="00287CB0"/>
    <w:rsid w:val="00291833"/>
    <w:rsid w:val="00292960"/>
    <w:rsid w:val="00293362"/>
    <w:rsid w:val="002948BD"/>
    <w:rsid w:val="002A26F3"/>
    <w:rsid w:val="002A7832"/>
    <w:rsid w:val="002B2177"/>
    <w:rsid w:val="002B2E8A"/>
    <w:rsid w:val="002B6778"/>
    <w:rsid w:val="002C6521"/>
    <w:rsid w:val="002C6BB9"/>
    <w:rsid w:val="002C7F82"/>
    <w:rsid w:val="002D0ABF"/>
    <w:rsid w:val="002D1E4D"/>
    <w:rsid w:val="002D478D"/>
    <w:rsid w:val="002D4DED"/>
    <w:rsid w:val="002D70C2"/>
    <w:rsid w:val="002D7434"/>
    <w:rsid w:val="002E0091"/>
    <w:rsid w:val="002E2F61"/>
    <w:rsid w:val="002E6CF9"/>
    <w:rsid w:val="002F1356"/>
    <w:rsid w:val="002F4C97"/>
    <w:rsid w:val="002F5430"/>
    <w:rsid w:val="003040A5"/>
    <w:rsid w:val="003062FB"/>
    <w:rsid w:val="00306DCF"/>
    <w:rsid w:val="00313E3A"/>
    <w:rsid w:val="00317694"/>
    <w:rsid w:val="00317C67"/>
    <w:rsid w:val="00317DD0"/>
    <w:rsid w:val="0032152B"/>
    <w:rsid w:val="00323C99"/>
    <w:rsid w:val="00325F66"/>
    <w:rsid w:val="003269D9"/>
    <w:rsid w:val="00327253"/>
    <w:rsid w:val="003315B0"/>
    <w:rsid w:val="0033448A"/>
    <w:rsid w:val="00334A38"/>
    <w:rsid w:val="00340CC1"/>
    <w:rsid w:val="00342187"/>
    <w:rsid w:val="00350B11"/>
    <w:rsid w:val="00350F47"/>
    <w:rsid w:val="003550E5"/>
    <w:rsid w:val="00355D66"/>
    <w:rsid w:val="00356063"/>
    <w:rsid w:val="00361464"/>
    <w:rsid w:val="00372CBF"/>
    <w:rsid w:val="0037327D"/>
    <w:rsid w:val="00380446"/>
    <w:rsid w:val="0038408D"/>
    <w:rsid w:val="00385C15"/>
    <w:rsid w:val="00385F07"/>
    <w:rsid w:val="003872A2"/>
    <w:rsid w:val="00387695"/>
    <w:rsid w:val="00395E18"/>
    <w:rsid w:val="003A32C6"/>
    <w:rsid w:val="003A3FBA"/>
    <w:rsid w:val="003A7F9D"/>
    <w:rsid w:val="003B040C"/>
    <w:rsid w:val="003B1333"/>
    <w:rsid w:val="003B2887"/>
    <w:rsid w:val="003B309A"/>
    <w:rsid w:val="003C0617"/>
    <w:rsid w:val="003C3AA6"/>
    <w:rsid w:val="003C41E2"/>
    <w:rsid w:val="003C7AB1"/>
    <w:rsid w:val="003D0B40"/>
    <w:rsid w:val="003D1CE2"/>
    <w:rsid w:val="003D1FA3"/>
    <w:rsid w:val="003D472D"/>
    <w:rsid w:val="003D5E66"/>
    <w:rsid w:val="003D6C18"/>
    <w:rsid w:val="003E4092"/>
    <w:rsid w:val="003E50C4"/>
    <w:rsid w:val="003E7A00"/>
    <w:rsid w:val="003F07DF"/>
    <w:rsid w:val="003F4470"/>
    <w:rsid w:val="003F476F"/>
    <w:rsid w:val="003F66C1"/>
    <w:rsid w:val="00402836"/>
    <w:rsid w:val="00402ADC"/>
    <w:rsid w:val="00410E83"/>
    <w:rsid w:val="00410E9F"/>
    <w:rsid w:val="00413AA6"/>
    <w:rsid w:val="0042132E"/>
    <w:rsid w:val="00424E49"/>
    <w:rsid w:val="00426C54"/>
    <w:rsid w:val="00432679"/>
    <w:rsid w:val="00442030"/>
    <w:rsid w:val="00444140"/>
    <w:rsid w:val="004464BA"/>
    <w:rsid w:val="0044779B"/>
    <w:rsid w:val="00450E70"/>
    <w:rsid w:val="004515F4"/>
    <w:rsid w:val="004530F7"/>
    <w:rsid w:val="004541D1"/>
    <w:rsid w:val="00454973"/>
    <w:rsid w:val="0045519D"/>
    <w:rsid w:val="004562B6"/>
    <w:rsid w:val="004616CE"/>
    <w:rsid w:val="00464EAF"/>
    <w:rsid w:val="0047011D"/>
    <w:rsid w:val="004716E3"/>
    <w:rsid w:val="00472DD3"/>
    <w:rsid w:val="00474433"/>
    <w:rsid w:val="004750B7"/>
    <w:rsid w:val="00475AA7"/>
    <w:rsid w:val="00477606"/>
    <w:rsid w:val="004818C6"/>
    <w:rsid w:val="00490081"/>
    <w:rsid w:val="004910F3"/>
    <w:rsid w:val="00491206"/>
    <w:rsid w:val="004922AA"/>
    <w:rsid w:val="00495B52"/>
    <w:rsid w:val="004A1AA6"/>
    <w:rsid w:val="004A7446"/>
    <w:rsid w:val="004A75E0"/>
    <w:rsid w:val="004B1D74"/>
    <w:rsid w:val="004B25D8"/>
    <w:rsid w:val="004B3D62"/>
    <w:rsid w:val="004B686A"/>
    <w:rsid w:val="004C1E58"/>
    <w:rsid w:val="004C7E4F"/>
    <w:rsid w:val="004D159B"/>
    <w:rsid w:val="004D221E"/>
    <w:rsid w:val="004E2555"/>
    <w:rsid w:val="004E4E31"/>
    <w:rsid w:val="004F0038"/>
    <w:rsid w:val="004F1135"/>
    <w:rsid w:val="004F2C9E"/>
    <w:rsid w:val="004F3016"/>
    <w:rsid w:val="004F76A5"/>
    <w:rsid w:val="00504099"/>
    <w:rsid w:val="00513F40"/>
    <w:rsid w:val="00514258"/>
    <w:rsid w:val="005201B7"/>
    <w:rsid w:val="005217EC"/>
    <w:rsid w:val="00522303"/>
    <w:rsid w:val="00522E63"/>
    <w:rsid w:val="005232E0"/>
    <w:rsid w:val="005237E6"/>
    <w:rsid w:val="00524993"/>
    <w:rsid w:val="005277A2"/>
    <w:rsid w:val="00534105"/>
    <w:rsid w:val="0054047D"/>
    <w:rsid w:val="0054217B"/>
    <w:rsid w:val="0054332B"/>
    <w:rsid w:val="00544C75"/>
    <w:rsid w:val="005475B4"/>
    <w:rsid w:val="00555849"/>
    <w:rsid w:val="00562866"/>
    <w:rsid w:val="005630AF"/>
    <w:rsid w:val="0056502C"/>
    <w:rsid w:val="0056724B"/>
    <w:rsid w:val="005715A3"/>
    <w:rsid w:val="00574737"/>
    <w:rsid w:val="0057516A"/>
    <w:rsid w:val="005776A1"/>
    <w:rsid w:val="0057780E"/>
    <w:rsid w:val="005829ED"/>
    <w:rsid w:val="0058366B"/>
    <w:rsid w:val="0058540A"/>
    <w:rsid w:val="00585A7A"/>
    <w:rsid w:val="005874C7"/>
    <w:rsid w:val="005916D4"/>
    <w:rsid w:val="005979E2"/>
    <w:rsid w:val="005B00E4"/>
    <w:rsid w:val="005B2283"/>
    <w:rsid w:val="005B4D0E"/>
    <w:rsid w:val="005B4EE4"/>
    <w:rsid w:val="005B4FCA"/>
    <w:rsid w:val="005C2325"/>
    <w:rsid w:val="005C3E86"/>
    <w:rsid w:val="005D030F"/>
    <w:rsid w:val="005D2844"/>
    <w:rsid w:val="005D7642"/>
    <w:rsid w:val="005E1158"/>
    <w:rsid w:val="005E211A"/>
    <w:rsid w:val="005E6856"/>
    <w:rsid w:val="005E7A96"/>
    <w:rsid w:val="005F5EAF"/>
    <w:rsid w:val="006004C2"/>
    <w:rsid w:val="00603DBF"/>
    <w:rsid w:val="006051C6"/>
    <w:rsid w:val="0060749F"/>
    <w:rsid w:val="006116B3"/>
    <w:rsid w:val="00616E29"/>
    <w:rsid w:val="00617295"/>
    <w:rsid w:val="00621CEE"/>
    <w:rsid w:val="0062280F"/>
    <w:rsid w:val="00622BBB"/>
    <w:rsid w:val="0062542C"/>
    <w:rsid w:val="00627886"/>
    <w:rsid w:val="0063786C"/>
    <w:rsid w:val="00647965"/>
    <w:rsid w:val="0065128D"/>
    <w:rsid w:val="006537E4"/>
    <w:rsid w:val="006570FB"/>
    <w:rsid w:val="00662F13"/>
    <w:rsid w:val="00667941"/>
    <w:rsid w:val="00677090"/>
    <w:rsid w:val="006871AE"/>
    <w:rsid w:val="006878F1"/>
    <w:rsid w:val="006A1FCC"/>
    <w:rsid w:val="006A3915"/>
    <w:rsid w:val="006A592A"/>
    <w:rsid w:val="006B05AC"/>
    <w:rsid w:val="006B1434"/>
    <w:rsid w:val="006B25F6"/>
    <w:rsid w:val="006B307D"/>
    <w:rsid w:val="006B3D9F"/>
    <w:rsid w:val="006B56CF"/>
    <w:rsid w:val="006B574D"/>
    <w:rsid w:val="006B791B"/>
    <w:rsid w:val="006B7D7C"/>
    <w:rsid w:val="006C0E5F"/>
    <w:rsid w:val="006C1B14"/>
    <w:rsid w:val="006C2786"/>
    <w:rsid w:val="006C2D76"/>
    <w:rsid w:val="006C54FA"/>
    <w:rsid w:val="006D14A3"/>
    <w:rsid w:val="006D1E96"/>
    <w:rsid w:val="006D39D8"/>
    <w:rsid w:val="006D6431"/>
    <w:rsid w:val="006D6622"/>
    <w:rsid w:val="006E24BC"/>
    <w:rsid w:val="006E411F"/>
    <w:rsid w:val="006F0B3B"/>
    <w:rsid w:val="006F13A4"/>
    <w:rsid w:val="006F14C6"/>
    <w:rsid w:val="006F2BF2"/>
    <w:rsid w:val="006F3B97"/>
    <w:rsid w:val="007013CA"/>
    <w:rsid w:val="00701716"/>
    <w:rsid w:val="00703841"/>
    <w:rsid w:val="00704BD2"/>
    <w:rsid w:val="007052AE"/>
    <w:rsid w:val="00706476"/>
    <w:rsid w:val="00706607"/>
    <w:rsid w:val="00706986"/>
    <w:rsid w:val="00707B80"/>
    <w:rsid w:val="00712BA3"/>
    <w:rsid w:val="00714454"/>
    <w:rsid w:val="00716DBF"/>
    <w:rsid w:val="007170F4"/>
    <w:rsid w:val="00717E1E"/>
    <w:rsid w:val="0073056B"/>
    <w:rsid w:val="007314AE"/>
    <w:rsid w:val="00732759"/>
    <w:rsid w:val="00732CC6"/>
    <w:rsid w:val="00733653"/>
    <w:rsid w:val="007347E4"/>
    <w:rsid w:val="007357DD"/>
    <w:rsid w:val="00741EC8"/>
    <w:rsid w:val="0074335A"/>
    <w:rsid w:val="00744CA8"/>
    <w:rsid w:val="0074740A"/>
    <w:rsid w:val="007506E2"/>
    <w:rsid w:val="00750E0E"/>
    <w:rsid w:val="00752DCE"/>
    <w:rsid w:val="007541A5"/>
    <w:rsid w:val="0075443E"/>
    <w:rsid w:val="00757104"/>
    <w:rsid w:val="00765986"/>
    <w:rsid w:val="00765D21"/>
    <w:rsid w:val="0076792C"/>
    <w:rsid w:val="007730C2"/>
    <w:rsid w:val="00783ADA"/>
    <w:rsid w:val="0078657F"/>
    <w:rsid w:val="007913FC"/>
    <w:rsid w:val="00794CBB"/>
    <w:rsid w:val="00796B46"/>
    <w:rsid w:val="007A101B"/>
    <w:rsid w:val="007A4C17"/>
    <w:rsid w:val="007A525F"/>
    <w:rsid w:val="007A7A3B"/>
    <w:rsid w:val="007B0850"/>
    <w:rsid w:val="007B2654"/>
    <w:rsid w:val="007B2888"/>
    <w:rsid w:val="007B78C6"/>
    <w:rsid w:val="007B7A8E"/>
    <w:rsid w:val="007D0045"/>
    <w:rsid w:val="007D283D"/>
    <w:rsid w:val="007D52EC"/>
    <w:rsid w:val="007D62BE"/>
    <w:rsid w:val="007E0F67"/>
    <w:rsid w:val="007E137A"/>
    <w:rsid w:val="007E269A"/>
    <w:rsid w:val="007E2E12"/>
    <w:rsid w:val="007E5095"/>
    <w:rsid w:val="007E5A8B"/>
    <w:rsid w:val="007F4319"/>
    <w:rsid w:val="007F4A22"/>
    <w:rsid w:val="007F51F9"/>
    <w:rsid w:val="008023AE"/>
    <w:rsid w:val="008030FE"/>
    <w:rsid w:val="00804ED4"/>
    <w:rsid w:val="00805BBD"/>
    <w:rsid w:val="008072AB"/>
    <w:rsid w:val="0081329E"/>
    <w:rsid w:val="00813E93"/>
    <w:rsid w:val="00816E11"/>
    <w:rsid w:val="00821169"/>
    <w:rsid w:val="00825E88"/>
    <w:rsid w:val="00825F3E"/>
    <w:rsid w:val="00827B89"/>
    <w:rsid w:val="0083363C"/>
    <w:rsid w:val="00836947"/>
    <w:rsid w:val="00837E55"/>
    <w:rsid w:val="008420B5"/>
    <w:rsid w:val="00852893"/>
    <w:rsid w:val="00856693"/>
    <w:rsid w:val="00863E85"/>
    <w:rsid w:val="00864739"/>
    <w:rsid w:val="0086613C"/>
    <w:rsid w:val="008663A0"/>
    <w:rsid w:val="00875B87"/>
    <w:rsid w:val="008835BB"/>
    <w:rsid w:val="00883854"/>
    <w:rsid w:val="00884141"/>
    <w:rsid w:val="00886C32"/>
    <w:rsid w:val="008959C0"/>
    <w:rsid w:val="00897656"/>
    <w:rsid w:val="008A184F"/>
    <w:rsid w:val="008A5C29"/>
    <w:rsid w:val="008A63D0"/>
    <w:rsid w:val="008B1856"/>
    <w:rsid w:val="008B74B1"/>
    <w:rsid w:val="008C588A"/>
    <w:rsid w:val="008C5D82"/>
    <w:rsid w:val="008C6665"/>
    <w:rsid w:val="008C6DB7"/>
    <w:rsid w:val="008D22A2"/>
    <w:rsid w:val="008D4BA4"/>
    <w:rsid w:val="008D57C5"/>
    <w:rsid w:val="008D6D0A"/>
    <w:rsid w:val="008D7140"/>
    <w:rsid w:val="008E0677"/>
    <w:rsid w:val="008E0CDE"/>
    <w:rsid w:val="008E1472"/>
    <w:rsid w:val="008E3E55"/>
    <w:rsid w:val="008E7DE5"/>
    <w:rsid w:val="008F260D"/>
    <w:rsid w:val="008F6AE4"/>
    <w:rsid w:val="00903386"/>
    <w:rsid w:val="009045FA"/>
    <w:rsid w:val="00905A72"/>
    <w:rsid w:val="009064B7"/>
    <w:rsid w:val="009072E0"/>
    <w:rsid w:val="00907699"/>
    <w:rsid w:val="00910091"/>
    <w:rsid w:val="009201B2"/>
    <w:rsid w:val="00920790"/>
    <w:rsid w:val="00922BB1"/>
    <w:rsid w:val="00922CD7"/>
    <w:rsid w:val="00927BFF"/>
    <w:rsid w:val="009328E0"/>
    <w:rsid w:val="00933C18"/>
    <w:rsid w:val="009359D3"/>
    <w:rsid w:val="009515BC"/>
    <w:rsid w:val="00951935"/>
    <w:rsid w:val="00955BB7"/>
    <w:rsid w:val="00955E29"/>
    <w:rsid w:val="009567BB"/>
    <w:rsid w:val="00962A91"/>
    <w:rsid w:val="00972899"/>
    <w:rsid w:val="00980503"/>
    <w:rsid w:val="00982B64"/>
    <w:rsid w:val="00987274"/>
    <w:rsid w:val="009874B8"/>
    <w:rsid w:val="009957E1"/>
    <w:rsid w:val="00995CE8"/>
    <w:rsid w:val="009A32DF"/>
    <w:rsid w:val="009A43A1"/>
    <w:rsid w:val="009A49C0"/>
    <w:rsid w:val="009A57B9"/>
    <w:rsid w:val="009B18DF"/>
    <w:rsid w:val="009C0CF9"/>
    <w:rsid w:val="009C6724"/>
    <w:rsid w:val="009D0239"/>
    <w:rsid w:val="009D0FCD"/>
    <w:rsid w:val="009D1199"/>
    <w:rsid w:val="009D68F4"/>
    <w:rsid w:val="009E1F2A"/>
    <w:rsid w:val="009F4648"/>
    <w:rsid w:val="009F747E"/>
    <w:rsid w:val="009F7741"/>
    <w:rsid w:val="00A012C9"/>
    <w:rsid w:val="00A0392A"/>
    <w:rsid w:val="00A055CF"/>
    <w:rsid w:val="00A12070"/>
    <w:rsid w:val="00A13376"/>
    <w:rsid w:val="00A16405"/>
    <w:rsid w:val="00A20265"/>
    <w:rsid w:val="00A20BA4"/>
    <w:rsid w:val="00A22494"/>
    <w:rsid w:val="00A22DBC"/>
    <w:rsid w:val="00A230AF"/>
    <w:rsid w:val="00A23AAD"/>
    <w:rsid w:val="00A275E9"/>
    <w:rsid w:val="00A33B79"/>
    <w:rsid w:val="00A36617"/>
    <w:rsid w:val="00A40E7A"/>
    <w:rsid w:val="00A41477"/>
    <w:rsid w:val="00A5085F"/>
    <w:rsid w:val="00A60814"/>
    <w:rsid w:val="00A6130A"/>
    <w:rsid w:val="00A627CD"/>
    <w:rsid w:val="00A67342"/>
    <w:rsid w:val="00A73C3B"/>
    <w:rsid w:val="00A749AB"/>
    <w:rsid w:val="00A770A2"/>
    <w:rsid w:val="00A77306"/>
    <w:rsid w:val="00A77F77"/>
    <w:rsid w:val="00A814FF"/>
    <w:rsid w:val="00A825FF"/>
    <w:rsid w:val="00A858E1"/>
    <w:rsid w:val="00A87239"/>
    <w:rsid w:val="00A87939"/>
    <w:rsid w:val="00A901A1"/>
    <w:rsid w:val="00A94081"/>
    <w:rsid w:val="00A946AC"/>
    <w:rsid w:val="00A955E4"/>
    <w:rsid w:val="00AB3A2D"/>
    <w:rsid w:val="00AB4D06"/>
    <w:rsid w:val="00AC0650"/>
    <w:rsid w:val="00AC3DBD"/>
    <w:rsid w:val="00AC5859"/>
    <w:rsid w:val="00AC7700"/>
    <w:rsid w:val="00AD1A52"/>
    <w:rsid w:val="00AD23B1"/>
    <w:rsid w:val="00AD46CF"/>
    <w:rsid w:val="00AD55CD"/>
    <w:rsid w:val="00AE2AAA"/>
    <w:rsid w:val="00AE2FCC"/>
    <w:rsid w:val="00AE365B"/>
    <w:rsid w:val="00AE3A19"/>
    <w:rsid w:val="00AE496F"/>
    <w:rsid w:val="00AF6952"/>
    <w:rsid w:val="00AF71E0"/>
    <w:rsid w:val="00AF7A57"/>
    <w:rsid w:val="00B00519"/>
    <w:rsid w:val="00B02DC2"/>
    <w:rsid w:val="00B05764"/>
    <w:rsid w:val="00B077F5"/>
    <w:rsid w:val="00B10397"/>
    <w:rsid w:val="00B1587D"/>
    <w:rsid w:val="00B20D23"/>
    <w:rsid w:val="00B23B4B"/>
    <w:rsid w:val="00B24A17"/>
    <w:rsid w:val="00B30179"/>
    <w:rsid w:val="00B333DE"/>
    <w:rsid w:val="00B36A94"/>
    <w:rsid w:val="00B40E62"/>
    <w:rsid w:val="00B41238"/>
    <w:rsid w:val="00B4333C"/>
    <w:rsid w:val="00B43B4E"/>
    <w:rsid w:val="00B44D9F"/>
    <w:rsid w:val="00B46490"/>
    <w:rsid w:val="00B5320B"/>
    <w:rsid w:val="00B546B7"/>
    <w:rsid w:val="00B55AD4"/>
    <w:rsid w:val="00B56527"/>
    <w:rsid w:val="00B61B88"/>
    <w:rsid w:val="00B64547"/>
    <w:rsid w:val="00B66385"/>
    <w:rsid w:val="00B66857"/>
    <w:rsid w:val="00B66CB8"/>
    <w:rsid w:val="00B66D3D"/>
    <w:rsid w:val="00B73E89"/>
    <w:rsid w:val="00B74ABF"/>
    <w:rsid w:val="00B7520B"/>
    <w:rsid w:val="00B82619"/>
    <w:rsid w:val="00B85290"/>
    <w:rsid w:val="00B86C9A"/>
    <w:rsid w:val="00B87AD1"/>
    <w:rsid w:val="00B9735C"/>
    <w:rsid w:val="00B976DA"/>
    <w:rsid w:val="00B97AF4"/>
    <w:rsid w:val="00BA01CE"/>
    <w:rsid w:val="00BA312D"/>
    <w:rsid w:val="00BC09AD"/>
    <w:rsid w:val="00BC0FD2"/>
    <w:rsid w:val="00BC143A"/>
    <w:rsid w:val="00BC42C3"/>
    <w:rsid w:val="00BC4FCF"/>
    <w:rsid w:val="00BE1D40"/>
    <w:rsid w:val="00BE3A35"/>
    <w:rsid w:val="00BE5696"/>
    <w:rsid w:val="00BE7054"/>
    <w:rsid w:val="00BF7D3B"/>
    <w:rsid w:val="00BF7F45"/>
    <w:rsid w:val="00C047DE"/>
    <w:rsid w:val="00C14F06"/>
    <w:rsid w:val="00C26943"/>
    <w:rsid w:val="00C271F6"/>
    <w:rsid w:val="00C275F4"/>
    <w:rsid w:val="00C31527"/>
    <w:rsid w:val="00C33F3C"/>
    <w:rsid w:val="00C34115"/>
    <w:rsid w:val="00C35045"/>
    <w:rsid w:val="00C4215F"/>
    <w:rsid w:val="00C4349F"/>
    <w:rsid w:val="00C46B3E"/>
    <w:rsid w:val="00C5007D"/>
    <w:rsid w:val="00C50EA0"/>
    <w:rsid w:val="00C526D6"/>
    <w:rsid w:val="00C534E2"/>
    <w:rsid w:val="00C70F14"/>
    <w:rsid w:val="00C7517A"/>
    <w:rsid w:val="00C75D86"/>
    <w:rsid w:val="00C76846"/>
    <w:rsid w:val="00C77CDA"/>
    <w:rsid w:val="00C80B3A"/>
    <w:rsid w:val="00C835F3"/>
    <w:rsid w:val="00C91215"/>
    <w:rsid w:val="00C925CB"/>
    <w:rsid w:val="00C94260"/>
    <w:rsid w:val="00C943A4"/>
    <w:rsid w:val="00CA405B"/>
    <w:rsid w:val="00CA5AB8"/>
    <w:rsid w:val="00CA61CD"/>
    <w:rsid w:val="00CA7084"/>
    <w:rsid w:val="00CB4869"/>
    <w:rsid w:val="00CB4F5C"/>
    <w:rsid w:val="00CB5E3D"/>
    <w:rsid w:val="00CC1383"/>
    <w:rsid w:val="00CC3C35"/>
    <w:rsid w:val="00CD3825"/>
    <w:rsid w:val="00CE2D60"/>
    <w:rsid w:val="00CE4461"/>
    <w:rsid w:val="00CF23D6"/>
    <w:rsid w:val="00CF2736"/>
    <w:rsid w:val="00CF27CA"/>
    <w:rsid w:val="00D0032A"/>
    <w:rsid w:val="00D02359"/>
    <w:rsid w:val="00D02E74"/>
    <w:rsid w:val="00D04371"/>
    <w:rsid w:val="00D078CB"/>
    <w:rsid w:val="00D104E1"/>
    <w:rsid w:val="00D1454A"/>
    <w:rsid w:val="00D21DEC"/>
    <w:rsid w:val="00D22BAF"/>
    <w:rsid w:val="00D23A38"/>
    <w:rsid w:val="00D24A41"/>
    <w:rsid w:val="00D30331"/>
    <w:rsid w:val="00D35BA2"/>
    <w:rsid w:val="00D373B9"/>
    <w:rsid w:val="00D426DA"/>
    <w:rsid w:val="00D43C3D"/>
    <w:rsid w:val="00D50193"/>
    <w:rsid w:val="00D50296"/>
    <w:rsid w:val="00D60F4E"/>
    <w:rsid w:val="00D657C1"/>
    <w:rsid w:val="00D67088"/>
    <w:rsid w:val="00D72D88"/>
    <w:rsid w:val="00D73023"/>
    <w:rsid w:val="00D856A5"/>
    <w:rsid w:val="00D935EC"/>
    <w:rsid w:val="00DA0CC7"/>
    <w:rsid w:val="00DA5023"/>
    <w:rsid w:val="00DB0FC9"/>
    <w:rsid w:val="00DB629F"/>
    <w:rsid w:val="00DC1CFC"/>
    <w:rsid w:val="00DC386E"/>
    <w:rsid w:val="00DC649F"/>
    <w:rsid w:val="00DC64B6"/>
    <w:rsid w:val="00DD123B"/>
    <w:rsid w:val="00DD1EFF"/>
    <w:rsid w:val="00DD5F4C"/>
    <w:rsid w:val="00DE3BAA"/>
    <w:rsid w:val="00DE4043"/>
    <w:rsid w:val="00DE560E"/>
    <w:rsid w:val="00DF484F"/>
    <w:rsid w:val="00DF7071"/>
    <w:rsid w:val="00E04BC9"/>
    <w:rsid w:val="00E0718B"/>
    <w:rsid w:val="00E15B37"/>
    <w:rsid w:val="00E2069E"/>
    <w:rsid w:val="00E21483"/>
    <w:rsid w:val="00E27856"/>
    <w:rsid w:val="00E357B9"/>
    <w:rsid w:val="00E45EC6"/>
    <w:rsid w:val="00E4625E"/>
    <w:rsid w:val="00E473FB"/>
    <w:rsid w:val="00E47E34"/>
    <w:rsid w:val="00E47FD6"/>
    <w:rsid w:val="00E50517"/>
    <w:rsid w:val="00E53F94"/>
    <w:rsid w:val="00E54B2F"/>
    <w:rsid w:val="00E638CC"/>
    <w:rsid w:val="00E63E0E"/>
    <w:rsid w:val="00E64A21"/>
    <w:rsid w:val="00E6688E"/>
    <w:rsid w:val="00E70AEC"/>
    <w:rsid w:val="00E722B3"/>
    <w:rsid w:val="00E72FE8"/>
    <w:rsid w:val="00E743C1"/>
    <w:rsid w:val="00E8236D"/>
    <w:rsid w:val="00E84C93"/>
    <w:rsid w:val="00E853AA"/>
    <w:rsid w:val="00E87FD3"/>
    <w:rsid w:val="00E91525"/>
    <w:rsid w:val="00E91551"/>
    <w:rsid w:val="00E9481E"/>
    <w:rsid w:val="00E95058"/>
    <w:rsid w:val="00EA4F5C"/>
    <w:rsid w:val="00EB3084"/>
    <w:rsid w:val="00EB3797"/>
    <w:rsid w:val="00EB3F45"/>
    <w:rsid w:val="00EB4BC2"/>
    <w:rsid w:val="00EC0181"/>
    <w:rsid w:val="00EC0DF5"/>
    <w:rsid w:val="00EC14BF"/>
    <w:rsid w:val="00EC15DD"/>
    <w:rsid w:val="00EC2C5E"/>
    <w:rsid w:val="00EC5E67"/>
    <w:rsid w:val="00EC6F38"/>
    <w:rsid w:val="00ED13FF"/>
    <w:rsid w:val="00ED2F78"/>
    <w:rsid w:val="00EE32A6"/>
    <w:rsid w:val="00EE37C7"/>
    <w:rsid w:val="00EF14FA"/>
    <w:rsid w:val="00EF29DB"/>
    <w:rsid w:val="00EF6201"/>
    <w:rsid w:val="00F016E3"/>
    <w:rsid w:val="00F049CD"/>
    <w:rsid w:val="00F07E08"/>
    <w:rsid w:val="00F1424D"/>
    <w:rsid w:val="00F142EC"/>
    <w:rsid w:val="00F145AC"/>
    <w:rsid w:val="00F17153"/>
    <w:rsid w:val="00F2362B"/>
    <w:rsid w:val="00F2613F"/>
    <w:rsid w:val="00F3055A"/>
    <w:rsid w:val="00F3274D"/>
    <w:rsid w:val="00F35DAC"/>
    <w:rsid w:val="00F36A19"/>
    <w:rsid w:val="00F4094D"/>
    <w:rsid w:val="00F412F7"/>
    <w:rsid w:val="00F41A9F"/>
    <w:rsid w:val="00F428FD"/>
    <w:rsid w:val="00F4561C"/>
    <w:rsid w:val="00F469F1"/>
    <w:rsid w:val="00F4707A"/>
    <w:rsid w:val="00F4742E"/>
    <w:rsid w:val="00F51AD3"/>
    <w:rsid w:val="00F5299C"/>
    <w:rsid w:val="00F52BBE"/>
    <w:rsid w:val="00F5485C"/>
    <w:rsid w:val="00F5630B"/>
    <w:rsid w:val="00F643EC"/>
    <w:rsid w:val="00F651A0"/>
    <w:rsid w:val="00F67772"/>
    <w:rsid w:val="00F70867"/>
    <w:rsid w:val="00F719D4"/>
    <w:rsid w:val="00F722C3"/>
    <w:rsid w:val="00F732F5"/>
    <w:rsid w:val="00F73B64"/>
    <w:rsid w:val="00F768FE"/>
    <w:rsid w:val="00F76AF9"/>
    <w:rsid w:val="00F80A0A"/>
    <w:rsid w:val="00F85748"/>
    <w:rsid w:val="00F85904"/>
    <w:rsid w:val="00F8645D"/>
    <w:rsid w:val="00F8671F"/>
    <w:rsid w:val="00F86822"/>
    <w:rsid w:val="00F90692"/>
    <w:rsid w:val="00F90B62"/>
    <w:rsid w:val="00F911AD"/>
    <w:rsid w:val="00F92885"/>
    <w:rsid w:val="00F92EBA"/>
    <w:rsid w:val="00F9505A"/>
    <w:rsid w:val="00F95788"/>
    <w:rsid w:val="00FA4A83"/>
    <w:rsid w:val="00FA4F5C"/>
    <w:rsid w:val="00FA7CD1"/>
    <w:rsid w:val="00FB68E1"/>
    <w:rsid w:val="00FC0DE3"/>
    <w:rsid w:val="00FC3651"/>
    <w:rsid w:val="00FC4D19"/>
    <w:rsid w:val="00FC66DB"/>
    <w:rsid w:val="00FC6EE9"/>
    <w:rsid w:val="00FC7645"/>
    <w:rsid w:val="00FD0AB1"/>
    <w:rsid w:val="00FD1BE1"/>
    <w:rsid w:val="00FD2B51"/>
    <w:rsid w:val="00FD6012"/>
    <w:rsid w:val="00FD7C1D"/>
    <w:rsid w:val="00FE2B32"/>
    <w:rsid w:val="00FE75C7"/>
    <w:rsid w:val="00FF035E"/>
    <w:rsid w:val="00FF19A3"/>
    <w:rsid w:val="00FF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F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C3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CBF"/>
    <w:pPr>
      <w:ind w:firstLineChars="200" w:firstLine="420"/>
    </w:pPr>
  </w:style>
  <w:style w:type="paragraph" w:customStyle="1" w:styleId="EndNoteBibliographyTitle">
    <w:name w:val="EndNote Bibliography Title"/>
    <w:basedOn w:val="a"/>
    <w:link w:val="EndNoteBibliographyTitleChar"/>
    <w:rsid w:val="000B7BB0"/>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0B7BB0"/>
    <w:rPr>
      <w:rFonts w:ascii="等线" w:eastAsia="等线" w:hAnsi="等线"/>
      <w:noProof/>
      <w:sz w:val="20"/>
    </w:rPr>
  </w:style>
  <w:style w:type="paragraph" w:customStyle="1" w:styleId="EndNoteBibliography">
    <w:name w:val="EndNote Bibliography"/>
    <w:basedOn w:val="a"/>
    <w:link w:val="EndNoteBibliographyChar"/>
    <w:rsid w:val="000B7BB0"/>
    <w:rPr>
      <w:rFonts w:ascii="等线" w:eastAsia="等线" w:hAnsi="等线"/>
      <w:noProof/>
      <w:sz w:val="20"/>
    </w:rPr>
  </w:style>
  <w:style w:type="character" w:customStyle="1" w:styleId="EndNoteBibliographyChar">
    <w:name w:val="EndNote Bibliography Char"/>
    <w:basedOn w:val="a0"/>
    <w:link w:val="EndNoteBibliography"/>
    <w:rsid w:val="000B7BB0"/>
    <w:rPr>
      <w:rFonts w:ascii="等线" w:eastAsia="等线" w:hAnsi="等线"/>
      <w:noProof/>
      <w:sz w:val="20"/>
    </w:rPr>
  </w:style>
  <w:style w:type="character" w:styleId="a5">
    <w:name w:val="Hyperlink"/>
    <w:basedOn w:val="a0"/>
    <w:uiPriority w:val="99"/>
    <w:unhideWhenUsed/>
    <w:rsid w:val="000F5EE8"/>
    <w:rPr>
      <w:color w:val="0563C1" w:themeColor="hyperlink"/>
      <w:u w:val="single"/>
    </w:rPr>
  </w:style>
  <w:style w:type="character" w:styleId="a6">
    <w:name w:val="line number"/>
    <w:basedOn w:val="a0"/>
    <w:uiPriority w:val="99"/>
    <w:semiHidden/>
    <w:unhideWhenUsed/>
    <w:rsid w:val="009072E0"/>
  </w:style>
  <w:style w:type="paragraph" w:styleId="a7">
    <w:name w:val="annotation text"/>
    <w:basedOn w:val="a"/>
    <w:link w:val="Char"/>
    <w:uiPriority w:val="99"/>
    <w:semiHidden/>
    <w:unhideWhenUsed/>
    <w:rsid w:val="003D5E66"/>
    <w:pPr>
      <w:jc w:val="left"/>
    </w:pPr>
  </w:style>
  <w:style w:type="character" w:customStyle="1" w:styleId="Char">
    <w:name w:val="批注文字 Char"/>
    <w:basedOn w:val="a0"/>
    <w:link w:val="a7"/>
    <w:uiPriority w:val="99"/>
    <w:semiHidden/>
    <w:rsid w:val="003D5E66"/>
  </w:style>
  <w:style w:type="character" w:styleId="a8">
    <w:name w:val="annotation reference"/>
    <w:basedOn w:val="a0"/>
    <w:uiPriority w:val="99"/>
    <w:semiHidden/>
    <w:unhideWhenUsed/>
    <w:rsid w:val="003D5E66"/>
    <w:rPr>
      <w:sz w:val="16"/>
      <w:szCs w:val="16"/>
    </w:rPr>
  </w:style>
  <w:style w:type="paragraph" w:styleId="a9">
    <w:name w:val="Balloon Text"/>
    <w:basedOn w:val="a"/>
    <w:link w:val="Char0"/>
    <w:uiPriority w:val="99"/>
    <w:semiHidden/>
    <w:unhideWhenUsed/>
    <w:rsid w:val="003D5E66"/>
    <w:rPr>
      <w:sz w:val="18"/>
      <w:szCs w:val="18"/>
    </w:rPr>
  </w:style>
  <w:style w:type="character" w:customStyle="1" w:styleId="Char0">
    <w:name w:val="批注框文本 Char"/>
    <w:basedOn w:val="a0"/>
    <w:link w:val="a9"/>
    <w:uiPriority w:val="99"/>
    <w:semiHidden/>
    <w:rsid w:val="003D5E66"/>
    <w:rPr>
      <w:sz w:val="18"/>
      <w:szCs w:val="18"/>
    </w:rPr>
  </w:style>
  <w:style w:type="table" w:customStyle="1" w:styleId="TableGrid3">
    <w:name w:val="Table Grid3"/>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D24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D24A41"/>
    <w:rPr>
      <w:sz w:val="18"/>
      <w:szCs w:val="18"/>
    </w:rPr>
  </w:style>
  <w:style w:type="paragraph" w:styleId="ab">
    <w:name w:val="footer"/>
    <w:basedOn w:val="a"/>
    <w:link w:val="Char2"/>
    <w:uiPriority w:val="99"/>
    <w:unhideWhenUsed/>
    <w:rsid w:val="00D24A41"/>
    <w:pPr>
      <w:tabs>
        <w:tab w:val="center" w:pos="4153"/>
        <w:tab w:val="right" w:pos="8306"/>
      </w:tabs>
      <w:snapToGrid w:val="0"/>
      <w:jc w:val="left"/>
    </w:pPr>
    <w:rPr>
      <w:sz w:val="18"/>
      <w:szCs w:val="18"/>
    </w:rPr>
  </w:style>
  <w:style w:type="character" w:customStyle="1" w:styleId="Char2">
    <w:name w:val="页脚 Char"/>
    <w:basedOn w:val="a0"/>
    <w:link w:val="ab"/>
    <w:uiPriority w:val="99"/>
    <w:rsid w:val="00D24A41"/>
    <w:rPr>
      <w:sz w:val="18"/>
      <w:szCs w:val="18"/>
    </w:rPr>
  </w:style>
  <w:style w:type="table" w:customStyle="1" w:styleId="TableGrid5">
    <w:name w:val="Table Grid5"/>
    <w:basedOn w:val="a1"/>
    <w:next w:val="a3"/>
    <w:uiPriority w:val="39"/>
    <w:rsid w:val="001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04ED4"/>
    <w:rPr>
      <w:rFonts w:ascii="Book Antiqua" w:hAnsi="Book Antiqua" w:hint="default"/>
      <w:b/>
      <w:bCs/>
      <w:i w:val="0"/>
      <w:iCs w:val="0"/>
      <w:color w:val="000000"/>
      <w:sz w:val="24"/>
      <w:szCs w:val="24"/>
    </w:rPr>
  </w:style>
  <w:style w:type="character" w:customStyle="1" w:styleId="fontstyle21">
    <w:name w:val="fontstyle21"/>
    <w:basedOn w:val="a0"/>
    <w:rsid w:val="00804ED4"/>
    <w:rPr>
      <w:rFonts w:ascii="Book Antiqua" w:hAnsi="Book Antiqua" w:hint="default"/>
      <w:b w:val="0"/>
      <w:bCs w:val="0"/>
      <w:i/>
      <w:iCs/>
      <w:color w:val="000000"/>
      <w:sz w:val="24"/>
      <w:szCs w:val="24"/>
    </w:rPr>
  </w:style>
  <w:style w:type="character" w:customStyle="1" w:styleId="fontstyle31">
    <w:name w:val="fontstyle31"/>
    <w:basedOn w:val="a0"/>
    <w:rsid w:val="00804ED4"/>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F722C3"/>
    <w:rPr>
      <w:color w:val="605E5C"/>
      <w:shd w:val="clear" w:color="auto" w:fill="E1DFDD"/>
    </w:rPr>
  </w:style>
  <w:style w:type="character" w:customStyle="1" w:styleId="normaltextrun">
    <w:name w:val="normaltextrun"/>
    <w:basedOn w:val="a0"/>
    <w:rsid w:val="00BC42C3"/>
  </w:style>
  <w:style w:type="paragraph" w:customStyle="1" w:styleId="paragraph">
    <w:name w:val="paragraph"/>
    <w:basedOn w:val="a"/>
    <w:rsid w:val="00BC42C3"/>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92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C3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CBF"/>
    <w:pPr>
      <w:ind w:firstLineChars="200" w:firstLine="420"/>
    </w:pPr>
  </w:style>
  <w:style w:type="paragraph" w:customStyle="1" w:styleId="EndNoteBibliographyTitle">
    <w:name w:val="EndNote Bibliography Title"/>
    <w:basedOn w:val="a"/>
    <w:link w:val="EndNoteBibliographyTitleChar"/>
    <w:rsid w:val="000B7BB0"/>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0B7BB0"/>
    <w:rPr>
      <w:rFonts w:ascii="等线" w:eastAsia="等线" w:hAnsi="等线"/>
      <w:noProof/>
      <w:sz w:val="20"/>
    </w:rPr>
  </w:style>
  <w:style w:type="paragraph" w:customStyle="1" w:styleId="EndNoteBibliography">
    <w:name w:val="EndNote Bibliography"/>
    <w:basedOn w:val="a"/>
    <w:link w:val="EndNoteBibliographyChar"/>
    <w:rsid w:val="000B7BB0"/>
    <w:rPr>
      <w:rFonts w:ascii="等线" w:eastAsia="等线" w:hAnsi="等线"/>
      <w:noProof/>
      <w:sz w:val="20"/>
    </w:rPr>
  </w:style>
  <w:style w:type="character" w:customStyle="1" w:styleId="EndNoteBibliographyChar">
    <w:name w:val="EndNote Bibliography Char"/>
    <w:basedOn w:val="a0"/>
    <w:link w:val="EndNoteBibliography"/>
    <w:rsid w:val="000B7BB0"/>
    <w:rPr>
      <w:rFonts w:ascii="等线" w:eastAsia="等线" w:hAnsi="等线"/>
      <w:noProof/>
      <w:sz w:val="20"/>
    </w:rPr>
  </w:style>
  <w:style w:type="character" w:styleId="a5">
    <w:name w:val="Hyperlink"/>
    <w:basedOn w:val="a0"/>
    <w:uiPriority w:val="99"/>
    <w:unhideWhenUsed/>
    <w:rsid w:val="000F5EE8"/>
    <w:rPr>
      <w:color w:val="0563C1" w:themeColor="hyperlink"/>
      <w:u w:val="single"/>
    </w:rPr>
  </w:style>
  <w:style w:type="character" w:styleId="a6">
    <w:name w:val="line number"/>
    <w:basedOn w:val="a0"/>
    <w:uiPriority w:val="99"/>
    <w:semiHidden/>
    <w:unhideWhenUsed/>
    <w:rsid w:val="009072E0"/>
  </w:style>
  <w:style w:type="paragraph" w:styleId="a7">
    <w:name w:val="annotation text"/>
    <w:basedOn w:val="a"/>
    <w:link w:val="Char"/>
    <w:uiPriority w:val="99"/>
    <w:semiHidden/>
    <w:unhideWhenUsed/>
    <w:rsid w:val="003D5E66"/>
    <w:pPr>
      <w:jc w:val="left"/>
    </w:pPr>
  </w:style>
  <w:style w:type="character" w:customStyle="1" w:styleId="Char">
    <w:name w:val="批注文字 Char"/>
    <w:basedOn w:val="a0"/>
    <w:link w:val="a7"/>
    <w:uiPriority w:val="99"/>
    <w:semiHidden/>
    <w:rsid w:val="003D5E66"/>
  </w:style>
  <w:style w:type="character" w:styleId="a8">
    <w:name w:val="annotation reference"/>
    <w:basedOn w:val="a0"/>
    <w:uiPriority w:val="99"/>
    <w:semiHidden/>
    <w:unhideWhenUsed/>
    <w:rsid w:val="003D5E66"/>
    <w:rPr>
      <w:sz w:val="16"/>
      <w:szCs w:val="16"/>
    </w:rPr>
  </w:style>
  <w:style w:type="paragraph" w:styleId="a9">
    <w:name w:val="Balloon Text"/>
    <w:basedOn w:val="a"/>
    <w:link w:val="Char0"/>
    <w:uiPriority w:val="99"/>
    <w:semiHidden/>
    <w:unhideWhenUsed/>
    <w:rsid w:val="003D5E66"/>
    <w:rPr>
      <w:sz w:val="18"/>
      <w:szCs w:val="18"/>
    </w:rPr>
  </w:style>
  <w:style w:type="character" w:customStyle="1" w:styleId="Char0">
    <w:name w:val="批注框文本 Char"/>
    <w:basedOn w:val="a0"/>
    <w:link w:val="a9"/>
    <w:uiPriority w:val="99"/>
    <w:semiHidden/>
    <w:rsid w:val="003D5E66"/>
    <w:rPr>
      <w:sz w:val="18"/>
      <w:szCs w:val="18"/>
    </w:rPr>
  </w:style>
  <w:style w:type="table" w:customStyle="1" w:styleId="TableGrid3">
    <w:name w:val="Table Grid3"/>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2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D24A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D24A41"/>
    <w:rPr>
      <w:sz w:val="18"/>
      <w:szCs w:val="18"/>
    </w:rPr>
  </w:style>
  <w:style w:type="paragraph" w:styleId="ab">
    <w:name w:val="footer"/>
    <w:basedOn w:val="a"/>
    <w:link w:val="Char2"/>
    <w:uiPriority w:val="99"/>
    <w:unhideWhenUsed/>
    <w:rsid w:val="00D24A41"/>
    <w:pPr>
      <w:tabs>
        <w:tab w:val="center" w:pos="4153"/>
        <w:tab w:val="right" w:pos="8306"/>
      </w:tabs>
      <w:snapToGrid w:val="0"/>
      <w:jc w:val="left"/>
    </w:pPr>
    <w:rPr>
      <w:sz w:val="18"/>
      <w:szCs w:val="18"/>
    </w:rPr>
  </w:style>
  <w:style w:type="character" w:customStyle="1" w:styleId="Char2">
    <w:name w:val="页脚 Char"/>
    <w:basedOn w:val="a0"/>
    <w:link w:val="ab"/>
    <w:uiPriority w:val="99"/>
    <w:rsid w:val="00D24A41"/>
    <w:rPr>
      <w:sz w:val="18"/>
      <w:szCs w:val="18"/>
    </w:rPr>
  </w:style>
  <w:style w:type="table" w:customStyle="1" w:styleId="TableGrid5">
    <w:name w:val="Table Grid5"/>
    <w:basedOn w:val="a1"/>
    <w:next w:val="a3"/>
    <w:uiPriority w:val="39"/>
    <w:rsid w:val="001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04ED4"/>
    <w:rPr>
      <w:rFonts w:ascii="Book Antiqua" w:hAnsi="Book Antiqua" w:hint="default"/>
      <w:b/>
      <w:bCs/>
      <w:i w:val="0"/>
      <w:iCs w:val="0"/>
      <w:color w:val="000000"/>
      <w:sz w:val="24"/>
      <w:szCs w:val="24"/>
    </w:rPr>
  </w:style>
  <w:style w:type="character" w:customStyle="1" w:styleId="fontstyle21">
    <w:name w:val="fontstyle21"/>
    <w:basedOn w:val="a0"/>
    <w:rsid w:val="00804ED4"/>
    <w:rPr>
      <w:rFonts w:ascii="Book Antiqua" w:hAnsi="Book Antiqua" w:hint="default"/>
      <w:b w:val="0"/>
      <w:bCs w:val="0"/>
      <w:i/>
      <w:iCs/>
      <w:color w:val="000000"/>
      <w:sz w:val="24"/>
      <w:szCs w:val="24"/>
    </w:rPr>
  </w:style>
  <w:style w:type="character" w:customStyle="1" w:styleId="fontstyle31">
    <w:name w:val="fontstyle31"/>
    <w:basedOn w:val="a0"/>
    <w:rsid w:val="00804ED4"/>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F722C3"/>
    <w:rPr>
      <w:color w:val="605E5C"/>
      <w:shd w:val="clear" w:color="auto" w:fill="E1DFDD"/>
    </w:rPr>
  </w:style>
  <w:style w:type="character" w:customStyle="1" w:styleId="normaltextrun">
    <w:name w:val="normaltextrun"/>
    <w:basedOn w:val="a0"/>
    <w:rsid w:val="00BC42C3"/>
  </w:style>
  <w:style w:type="paragraph" w:customStyle="1" w:styleId="paragraph">
    <w:name w:val="paragraph"/>
    <w:basedOn w:val="a"/>
    <w:rsid w:val="00BC42C3"/>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246">
      <w:bodyDiv w:val="1"/>
      <w:marLeft w:val="0"/>
      <w:marRight w:val="0"/>
      <w:marTop w:val="0"/>
      <w:marBottom w:val="0"/>
      <w:divBdr>
        <w:top w:val="none" w:sz="0" w:space="0" w:color="auto"/>
        <w:left w:val="none" w:sz="0" w:space="0" w:color="auto"/>
        <w:bottom w:val="none" w:sz="0" w:space="0" w:color="auto"/>
        <w:right w:val="none" w:sz="0" w:space="0" w:color="auto"/>
      </w:divBdr>
    </w:div>
    <w:div w:id="135268375">
      <w:bodyDiv w:val="1"/>
      <w:marLeft w:val="0"/>
      <w:marRight w:val="0"/>
      <w:marTop w:val="0"/>
      <w:marBottom w:val="0"/>
      <w:divBdr>
        <w:top w:val="none" w:sz="0" w:space="0" w:color="auto"/>
        <w:left w:val="none" w:sz="0" w:space="0" w:color="auto"/>
        <w:bottom w:val="none" w:sz="0" w:space="0" w:color="auto"/>
        <w:right w:val="none" w:sz="0" w:space="0" w:color="auto"/>
      </w:divBdr>
    </w:div>
    <w:div w:id="181431851">
      <w:bodyDiv w:val="1"/>
      <w:marLeft w:val="0"/>
      <w:marRight w:val="0"/>
      <w:marTop w:val="0"/>
      <w:marBottom w:val="0"/>
      <w:divBdr>
        <w:top w:val="none" w:sz="0" w:space="0" w:color="auto"/>
        <w:left w:val="none" w:sz="0" w:space="0" w:color="auto"/>
        <w:bottom w:val="none" w:sz="0" w:space="0" w:color="auto"/>
        <w:right w:val="none" w:sz="0" w:space="0" w:color="auto"/>
      </w:divBdr>
    </w:div>
    <w:div w:id="363141079">
      <w:bodyDiv w:val="1"/>
      <w:marLeft w:val="0"/>
      <w:marRight w:val="0"/>
      <w:marTop w:val="0"/>
      <w:marBottom w:val="0"/>
      <w:divBdr>
        <w:top w:val="none" w:sz="0" w:space="0" w:color="auto"/>
        <w:left w:val="none" w:sz="0" w:space="0" w:color="auto"/>
        <w:bottom w:val="none" w:sz="0" w:space="0" w:color="auto"/>
        <w:right w:val="none" w:sz="0" w:space="0" w:color="auto"/>
      </w:divBdr>
    </w:div>
    <w:div w:id="502165056">
      <w:bodyDiv w:val="1"/>
      <w:marLeft w:val="0"/>
      <w:marRight w:val="0"/>
      <w:marTop w:val="0"/>
      <w:marBottom w:val="0"/>
      <w:divBdr>
        <w:top w:val="none" w:sz="0" w:space="0" w:color="auto"/>
        <w:left w:val="none" w:sz="0" w:space="0" w:color="auto"/>
        <w:bottom w:val="none" w:sz="0" w:space="0" w:color="auto"/>
        <w:right w:val="none" w:sz="0" w:space="0" w:color="auto"/>
      </w:divBdr>
    </w:div>
    <w:div w:id="808976750">
      <w:bodyDiv w:val="1"/>
      <w:marLeft w:val="0"/>
      <w:marRight w:val="0"/>
      <w:marTop w:val="0"/>
      <w:marBottom w:val="0"/>
      <w:divBdr>
        <w:top w:val="none" w:sz="0" w:space="0" w:color="auto"/>
        <w:left w:val="none" w:sz="0" w:space="0" w:color="auto"/>
        <w:bottom w:val="none" w:sz="0" w:space="0" w:color="auto"/>
        <w:right w:val="none" w:sz="0" w:space="0" w:color="auto"/>
      </w:divBdr>
    </w:div>
    <w:div w:id="1166676088">
      <w:bodyDiv w:val="1"/>
      <w:marLeft w:val="0"/>
      <w:marRight w:val="0"/>
      <w:marTop w:val="0"/>
      <w:marBottom w:val="0"/>
      <w:divBdr>
        <w:top w:val="none" w:sz="0" w:space="0" w:color="auto"/>
        <w:left w:val="none" w:sz="0" w:space="0" w:color="auto"/>
        <w:bottom w:val="none" w:sz="0" w:space="0" w:color="auto"/>
        <w:right w:val="none" w:sz="0" w:space="0" w:color="auto"/>
      </w:divBdr>
    </w:div>
    <w:div w:id="1172255763">
      <w:bodyDiv w:val="1"/>
      <w:marLeft w:val="0"/>
      <w:marRight w:val="0"/>
      <w:marTop w:val="0"/>
      <w:marBottom w:val="0"/>
      <w:divBdr>
        <w:top w:val="none" w:sz="0" w:space="0" w:color="auto"/>
        <w:left w:val="none" w:sz="0" w:space="0" w:color="auto"/>
        <w:bottom w:val="none" w:sz="0" w:space="0" w:color="auto"/>
        <w:right w:val="none" w:sz="0" w:space="0" w:color="auto"/>
      </w:divBdr>
    </w:div>
    <w:div w:id="1176306641">
      <w:bodyDiv w:val="1"/>
      <w:marLeft w:val="0"/>
      <w:marRight w:val="0"/>
      <w:marTop w:val="0"/>
      <w:marBottom w:val="0"/>
      <w:divBdr>
        <w:top w:val="none" w:sz="0" w:space="0" w:color="auto"/>
        <w:left w:val="none" w:sz="0" w:space="0" w:color="auto"/>
        <w:bottom w:val="none" w:sz="0" w:space="0" w:color="auto"/>
        <w:right w:val="none" w:sz="0" w:space="0" w:color="auto"/>
      </w:divBdr>
      <w:divsChild>
        <w:div w:id="179663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976107">
              <w:marLeft w:val="0"/>
              <w:marRight w:val="0"/>
              <w:marTop w:val="0"/>
              <w:marBottom w:val="0"/>
              <w:divBdr>
                <w:top w:val="none" w:sz="0" w:space="0" w:color="auto"/>
                <w:left w:val="none" w:sz="0" w:space="0" w:color="auto"/>
                <w:bottom w:val="none" w:sz="0" w:space="0" w:color="auto"/>
                <w:right w:val="none" w:sz="0" w:space="0" w:color="auto"/>
              </w:divBdr>
              <w:divsChild>
                <w:div w:id="1593316250">
                  <w:marLeft w:val="0"/>
                  <w:marRight w:val="0"/>
                  <w:marTop w:val="75"/>
                  <w:marBottom w:val="0"/>
                  <w:divBdr>
                    <w:top w:val="single" w:sz="6" w:space="4" w:color="DDDDDD"/>
                    <w:left w:val="none" w:sz="0" w:space="0" w:color="auto"/>
                    <w:bottom w:val="none" w:sz="0" w:space="0" w:color="auto"/>
                    <w:right w:val="none" w:sz="0" w:space="0" w:color="auto"/>
                  </w:divBdr>
                </w:div>
              </w:divsChild>
            </w:div>
          </w:divsChild>
        </w:div>
      </w:divsChild>
    </w:div>
    <w:div w:id="1296837392">
      <w:bodyDiv w:val="1"/>
      <w:marLeft w:val="0"/>
      <w:marRight w:val="0"/>
      <w:marTop w:val="0"/>
      <w:marBottom w:val="0"/>
      <w:divBdr>
        <w:top w:val="none" w:sz="0" w:space="0" w:color="auto"/>
        <w:left w:val="none" w:sz="0" w:space="0" w:color="auto"/>
        <w:bottom w:val="none" w:sz="0" w:space="0" w:color="auto"/>
        <w:right w:val="none" w:sz="0" w:space="0" w:color="auto"/>
      </w:divBdr>
    </w:div>
    <w:div w:id="1343707649">
      <w:bodyDiv w:val="1"/>
      <w:marLeft w:val="0"/>
      <w:marRight w:val="0"/>
      <w:marTop w:val="0"/>
      <w:marBottom w:val="0"/>
      <w:divBdr>
        <w:top w:val="none" w:sz="0" w:space="0" w:color="auto"/>
        <w:left w:val="none" w:sz="0" w:space="0" w:color="auto"/>
        <w:bottom w:val="none" w:sz="0" w:space="0" w:color="auto"/>
        <w:right w:val="none" w:sz="0" w:space="0" w:color="auto"/>
      </w:divBdr>
    </w:div>
    <w:div w:id="1348024374">
      <w:bodyDiv w:val="1"/>
      <w:marLeft w:val="0"/>
      <w:marRight w:val="0"/>
      <w:marTop w:val="0"/>
      <w:marBottom w:val="0"/>
      <w:divBdr>
        <w:top w:val="none" w:sz="0" w:space="0" w:color="auto"/>
        <w:left w:val="none" w:sz="0" w:space="0" w:color="auto"/>
        <w:bottom w:val="none" w:sz="0" w:space="0" w:color="auto"/>
        <w:right w:val="none" w:sz="0" w:space="0" w:color="auto"/>
      </w:divBdr>
    </w:div>
    <w:div w:id="1732195591">
      <w:bodyDiv w:val="1"/>
      <w:marLeft w:val="0"/>
      <w:marRight w:val="0"/>
      <w:marTop w:val="0"/>
      <w:marBottom w:val="0"/>
      <w:divBdr>
        <w:top w:val="none" w:sz="0" w:space="0" w:color="auto"/>
        <w:left w:val="none" w:sz="0" w:space="0" w:color="auto"/>
        <w:bottom w:val="none" w:sz="0" w:space="0" w:color="auto"/>
        <w:right w:val="none" w:sz="0" w:space="0" w:color="auto"/>
      </w:divBdr>
    </w:div>
    <w:div w:id="1808665587">
      <w:bodyDiv w:val="1"/>
      <w:marLeft w:val="0"/>
      <w:marRight w:val="0"/>
      <w:marTop w:val="0"/>
      <w:marBottom w:val="0"/>
      <w:divBdr>
        <w:top w:val="none" w:sz="0" w:space="0" w:color="auto"/>
        <w:left w:val="none" w:sz="0" w:space="0" w:color="auto"/>
        <w:bottom w:val="none" w:sz="0" w:space="0" w:color="auto"/>
        <w:right w:val="none" w:sz="0" w:space="0" w:color="auto"/>
      </w:divBdr>
    </w:div>
    <w:div w:id="1934388258">
      <w:bodyDiv w:val="1"/>
      <w:marLeft w:val="0"/>
      <w:marRight w:val="0"/>
      <w:marTop w:val="0"/>
      <w:marBottom w:val="0"/>
      <w:divBdr>
        <w:top w:val="none" w:sz="0" w:space="0" w:color="auto"/>
        <w:left w:val="none" w:sz="0" w:space="0" w:color="auto"/>
        <w:bottom w:val="none" w:sz="0" w:space="0" w:color="auto"/>
        <w:right w:val="none" w:sz="0" w:space="0" w:color="auto"/>
      </w:divBdr>
    </w:div>
    <w:div w:id="2007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7ABB504-1346-41A3-9DE2-34662449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 艾</dc:creator>
  <cp:keywords/>
  <dc:description/>
  <cp:lastModifiedBy>Lijiahui</cp:lastModifiedBy>
  <cp:revision>9</cp:revision>
  <cp:lastPrinted>2020-02-15T05:19:00Z</cp:lastPrinted>
  <dcterms:created xsi:type="dcterms:W3CDTF">2020-08-22T10:06:00Z</dcterms:created>
  <dcterms:modified xsi:type="dcterms:W3CDTF">2020-09-08T02:12:00Z</dcterms:modified>
</cp:coreProperties>
</file>