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1F5C" w14:textId="1FA7E381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Name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Journal: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World</w:t>
      </w:r>
      <w:r w:rsidR="00F86F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Journal</w:t>
      </w:r>
      <w:r w:rsidR="00F86F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of</w:t>
      </w:r>
      <w:r w:rsidR="00F86F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Hepatology</w:t>
      </w:r>
    </w:p>
    <w:p w14:paraId="175FD674" w14:textId="059F45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bookmarkStart w:id="0" w:name="_Hlk49506637"/>
      <w:r w:rsidRPr="000A456E">
        <w:rPr>
          <w:rFonts w:ascii="Book Antiqua" w:eastAsia="Book Antiqua" w:hAnsi="Book Antiqua" w:cs="Book Antiqua"/>
          <w:b/>
          <w:color w:val="000000"/>
        </w:rPr>
        <w:t>Manuscript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NO: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56519</w:t>
      </w:r>
    </w:p>
    <w:bookmarkEnd w:id="0"/>
    <w:p w14:paraId="52B2E54C" w14:textId="23786363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Manuscript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Type: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REVIEWS</w:t>
      </w:r>
    </w:p>
    <w:p w14:paraId="3413878D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C43F81F" w14:textId="066F13FF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utility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viscoelastic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0692BD8B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67E2FC6" w14:textId="60BEEC55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Wei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disease</w:t>
      </w:r>
    </w:p>
    <w:p w14:paraId="71FB9432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5B713720" w14:textId="64C4D2D1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Henry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Lauren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Jane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</w:t>
      </w:r>
    </w:p>
    <w:p w14:paraId="215CB54C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7CA3E2F2" w14:textId="3655010D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Department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Hepatology,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Middlemore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1071,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</w:p>
    <w:p w14:paraId="364662EA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54D6E5E" w14:textId="5E8242B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Lauren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Jane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Child,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Department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Haematology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Services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Epsom,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1051,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</w:p>
    <w:p w14:paraId="468FF14D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1B28F90E" w14:textId="4FB5579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designed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research,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wrote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paper;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approved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manuscript.</w:t>
      </w:r>
    </w:p>
    <w:p w14:paraId="0DE75F03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0034B02A" w14:textId="1F99858F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FRACP,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Department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Hepatology,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Middlemore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Road,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Otahuhu,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2025,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1071,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wiskeydelta@gmail.com</w:t>
      </w:r>
    </w:p>
    <w:p w14:paraId="0056E5F9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20C1231B" w14:textId="7FDBA6D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2C6C73A7" w14:textId="3F89C8F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June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579D8BF8" w14:textId="749F2451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6BBD" w:rsidRPr="00C76BBD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520F976D" w14:textId="043EF8AF" w:rsidR="00A77B3E" w:rsidRPr="000362AD" w:rsidRDefault="00D27C18" w:rsidP="00513566">
      <w:pPr>
        <w:spacing w:line="360" w:lineRule="auto"/>
        <w:jc w:val="both"/>
        <w:rPr>
          <w:rFonts w:ascii="Book Antiqua" w:hAnsi="Book Antiqua"/>
          <w:lang w:eastAsia="zh-CN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1F0">
        <w:rPr>
          <w:rFonts w:ascii="Book Antiqua" w:hAnsi="Book Antiqua" w:cs="Book Antiqua" w:hint="eastAsia"/>
          <w:bCs/>
          <w:color w:val="000000"/>
          <w:lang w:eastAsia="zh-CN"/>
        </w:rPr>
        <w:t>November 27</w:t>
      </w:r>
      <w:r w:rsidR="000362AD" w:rsidRPr="000362AD">
        <w:rPr>
          <w:rFonts w:ascii="Book Antiqua" w:hAnsi="Book Antiqua" w:cs="Book Antiqua" w:hint="eastAsia"/>
          <w:bCs/>
          <w:color w:val="000000"/>
          <w:lang w:eastAsia="zh-CN"/>
        </w:rPr>
        <w:t>, 2020</w:t>
      </w:r>
    </w:p>
    <w:p w14:paraId="3B31092A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  <w:sectPr w:rsidR="00A77B3E" w:rsidRPr="000A456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95E8E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ED66AC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BACKGROUND</w:t>
      </w:r>
    </w:p>
    <w:p w14:paraId="70889C57" w14:textId="49933F91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reliably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separate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(TEG)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accurate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identifying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</w:p>
    <w:p w14:paraId="43E296DD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6C26D6E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AIM</w:t>
      </w:r>
    </w:p>
    <w:p w14:paraId="4BED0A4C" w14:textId="6896BD1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5FB0F0AE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220E32B5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METHODS</w:t>
      </w:r>
    </w:p>
    <w:p w14:paraId="15BC0806" w14:textId="2093E036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PubMed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key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“TEG”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“viscoelastic”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“cirrhosis”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“transfusion”,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”.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text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undertaken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subjects,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independent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collection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studies.</w:t>
      </w:r>
    </w:p>
    <w:p w14:paraId="698C7F7B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E037F74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RESULTS</w:t>
      </w:r>
    </w:p>
    <w:p w14:paraId="0B9C696B" w14:textId="47DEA8B0" w:rsidR="00A9694D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118),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E827F2"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96),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E827F2"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60)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transplantation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E827F2"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28).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effective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4425">
        <w:rPr>
          <w:rFonts w:ascii="Book Antiqua" w:eastAsia="Book Antiqua" w:hAnsi="Book Antiqua" w:cs="Book Antiqua"/>
          <w:color w:val="000000"/>
        </w:rPr>
        <w:t>F</w:t>
      </w:r>
      <w:r w:rsidRPr="000A456E">
        <w:rPr>
          <w:rFonts w:ascii="Book Antiqua" w:eastAsia="Book Antiqua" w:hAnsi="Book Antiqua" w:cs="Book Antiqua"/>
          <w:color w:val="000000"/>
        </w:rPr>
        <w:t>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fresh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showed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624425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N</w:t>
      </w:r>
      <w:r w:rsidRPr="000A456E">
        <w:rPr>
          <w:rFonts w:ascii="Book Antiqua" w:eastAsia="Book Antiqua" w:hAnsi="Book Antiqua" w:cs="Book Antiqua"/>
          <w:color w:val="000000"/>
        </w:rPr>
        <w:t>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initial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re-bleeding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8672BF"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0.012).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various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point</w:t>
      </w:r>
      <w:r w:rsidR="00D37E93">
        <w:rPr>
          <w:rFonts w:ascii="Book Antiqua" w:eastAsia="Book Antiqua" w:hAnsi="Book Antiqua" w:cs="Book Antiqua"/>
          <w:color w:val="000000"/>
        </w:rPr>
        <w:t>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7E9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years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arm.</w:t>
      </w:r>
      <w:r w:rsidR="00F86F7B">
        <w:rPr>
          <w:rFonts w:ascii="Book Antiqua" w:hAnsi="Book Antiqua" w:hint="eastAsia"/>
          <w:lang w:eastAsia="zh-CN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30.6%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(</w:t>
      </w:r>
      <w:r w:rsidR="00A9694D"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74.5%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&lt;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0.01).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although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unit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reduced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average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(</w:t>
      </w:r>
      <w:r w:rsidR="00A9694D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0.012).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5D18D710" w14:textId="77777777" w:rsidR="00A77B3E" w:rsidRPr="000A456E" w:rsidRDefault="00A77B3E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CFF619F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CONCLUSION</w:t>
      </w:r>
    </w:p>
    <w:p w14:paraId="0C50DE51" w14:textId="2C35B0F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compromising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156D7CD4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245A9BB9" w14:textId="4F81383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1645">
        <w:rPr>
          <w:rFonts w:ascii="Book Antiqua" w:hAnsi="Book Antiqua" w:cs="Book Antiqua" w:hint="eastAsia"/>
          <w:b/>
          <w:bCs/>
          <w:color w:val="000000"/>
          <w:lang w:eastAsia="zh-CN"/>
        </w:rPr>
        <w:t>W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ords: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thrombelastometry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3860D2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4314BF5B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FFDD391" w14:textId="1D6B6731" w:rsidR="003839BA" w:rsidRPr="003839BA" w:rsidRDefault="003839BA" w:rsidP="0051356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839BA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D27C18" w:rsidRPr="000A456E">
        <w:rPr>
          <w:rFonts w:ascii="Book Antiqua" w:eastAsia="Book Antiqua" w:hAnsi="Book Antiqua" w:cs="Book Antiqua"/>
          <w:color w:val="000000"/>
        </w:rPr>
        <w:t>Wei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Child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LJ.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disease</w:t>
      </w:r>
      <w:r w:rsidR="00D8442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8442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84428"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84428" w:rsidRPr="000A456E">
        <w:rPr>
          <w:rFonts w:ascii="Book Antiqua" w:eastAsia="Book Antiqua" w:hAnsi="Book Antiqua" w:cs="Book Antiqua"/>
          <w:color w:val="000000"/>
        </w:rPr>
        <w:t>review</w:t>
      </w:r>
      <w:r w:rsidR="00D27C18"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1645" w:rsidRPr="00591645">
        <w:rPr>
          <w:rFonts w:ascii="Book Antiqua" w:eastAsia="Book Antiqua" w:hAnsi="Book Antiqua" w:cs="Book Antiqua"/>
          <w:color w:val="000000"/>
        </w:rPr>
        <w:t>12(1</w:t>
      </w:r>
      <w:r w:rsidR="00A651F0">
        <w:rPr>
          <w:rFonts w:ascii="Book Antiqua" w:hAnsi="Book Antiqua" w:cs="Book Antiqua" w:hint="eastAsia"/>
          <w:color w:val="000000"/>
          <w:lang w:eastAsia="zh-CN"/>
        </w:rPr>
        <w:t>1</w:t>
      </w:r>
      <w:r w:rsidR="00591645" w:rsidRPr="00591645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1115</w:t>
      </w:r>
      <w:r w:rsidR="00591645" w:rsidRPr="0059164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1127</w:t>
      </w:r>
    </w:p>
    <w:p w14:paraId="391BC43B" w14:textId="3DC1A085" w:rsidR="003839BA" w:rsidRDefault="00591645" w:rsidP="0051356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839BA">
        <w:rPr>
          <w:rFonts w:ascii="Book Antiqua" w:eastAsia="Book Antiqua" w:hAnsi="Book Antiqua" w:cs="Book Antiqua"/>
          <w:b/>
          <w:color w:val="000000"/>
        </w:rPr>
        <w:t>URL:</w:t>
      </w:r>
      <w:r w:rsidRPr="00591645">
        <w:rPr>
          <w:rFonts w:ascii="Book Antiqua" w:eastAsia="Book Antiqua" w:hAnsi="Book Antiqua" w:cs="Book Antiqua"/>
          <w:color w:val="000000"/>
        </w:rPr>
        <w:t xml:space="preserve"> https://www.wjgnet.com/1948-</w:t>
      </w:r>
      <w:r w:rsidR="00A63FF8">
        <w:rPr>
          <w:rFonts w:ascii="Book Antiqua" w:hAnsi="Book Antiqua" w:cs="Book Antiqua" w:hint="eastAsia"/>
          <w:color w:val="000000"/>
          <w:lang w:eastAsia="zh-CN"/>
        </w:rPr>
        <w:t>5182</w:t>
      </w:r>
      <w:r w:rsidRPr="00591645">
        <w:rPr>
          <w:rFonts w:ascii="Book Antiqua" w:eastAsia="Book Antiqua" w:hAnsi="Book Antiqua" w:cs="Book Antiqua"/>
          <w:color w:val="000000"/>
        </w:rPr>
        <w:t>/full/v12/i1</w:t>
      </w:r>
      <w:r w:rsidR="00A651F0">
        <w:rPr>
          <w:rFonts w:ascii="Book Antiqua" w:hAnsi="Book Antiqua" w:cs="Book Antiqua" w:hint="eastAsia"/>
          <w:color w:val="000000"/>
          <w:lang w:eastAsia="zh-CN"/>
        </w:rPr>
        <w:t>1</w:t>
      </w:r>
      <w:r w:rsidRPr="00591645">
        <w:rPr>
          <w:rFonts w:ascii="Book Antiqua" w:eastAsia="Book Antiqua" w:hAnsi="Book Antiqua" w:cs="Book Antiqua"/>
          <w:color w:val="000000"/>
        </w:rPr>
        <w:t>/</w:t>
      </w:r>
      <w:r w:rsidR="003839BA">
        <w:rPr>
          <w:rFonts w:ascii="Book Antiqua" w:hAnsi="Book Antiqua" w:cs="Book Antiqua" w:hint="eastAsia"/>
          <w:color w:val="000000"/>
          <w:lang w:eastAsia="zh-CN"/>
        </w:rPr>
        <w:t>1115</w:t>
      </w:r>
      <w:r w:rsidRPr="00591645">
        <w:rPr>
          <w:rFonts w:ascii="Book Antiqua" w:eastAsia="Book Antiqua" w:hAnsi="Book Antiqua" w:cs="Book Antiqua"/>
          <w:color w:val="000000"/>
        </w:rPr>
        <w:t xml:space="preserve">.htm  </w:t>
      </w:r>
    </w:p>
    <w:p w14:paraId="0DFDD3EA" w14:textId="3C7C0063" w:rsidR="00A77B3E" w:rsidRPr="000A456E" w:rsidRDefault="00591645" w:rsidP="00513566">
      <w:pPr>
        <w:spacing w:line="360" w:lineRule="auto"/>
        <w:jc w:val="both"/>
        <w:rPr>
          <w:rFonts w:ascii="Book Antiqua" w:hAnsi="Book Antiqua"/>
        </w:rPr>
      </w:pPr>
      <w:r w:rsidRPr="003839BA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591645">
        <w:rPr>
          <w:rFonts w:ascii="Book Antiqua" w:eastAsia="Book Antiqua" w:hAnsi="Book Antiqua" w:cs="Book Antiqua"/>
          <w:color w:val="000000"/>
        </w:rPr>
        <w:t>https://dx.doi.org/10.42</w:t>
      </w:r>
      <w:r w:rsidR="00BB4574">
        <w:rPr>
          <w:rFonts w:ascii="Book Antiqua" w:hAnsi="Book Antiqua" w:cs="Book Antiqua" w:hint="eastAsia"/>
          <w:color w:val="000000"/>
          <w:lang w:eastAsia="zh-CN"/>
        </w:rPr>
        <w:t>54</w:t>
      </w:r>
      <w:r w:rsidRPr="00591645">
        <w:rPr>
          <w:rFonts w:ascii="Book Antiqua" w:eastAsia="Book Antiqua" w:hAnsi="Book Antiqua" w:cs="Book Antiqua"/>
          <w:color w:val="000000"/>
        </w:rPr>
        <w:t>/wj</w:t>
      </w:r>
      <w:r w:rsidR="008C680B">
        <w:rPr>
          <w:rFonts w:ascii="Book Antiqua" w:hAnsi="Book Antiqua" w:cs="Book Antiqua" w:hint="eastAsia"/>
          <w:color w:val="000000"/>
          <w:lang w:eastAsia="zh-CN"/>
        </w:rPr>
        <w:t>h</w:t>
      </w:r>
      <w:r w:rsidRPr="00591645">
        <w:rPr>
          <w:rFonts w:ascii="Book Antiqua" w:eastAsia="Book Antiqua" w:hAnsi="Book Antiqua" w:cs="Book Antiqua"/>
          <w:color w:val="000000"/>
        </w:rPr>
        <w:t>.v12.i1</w:t>
      </w:r>
      <w:r w:rsidR="00A651F0">
        <w:rPr>
          <w:rFonts w:ascii="Book Antiqua" w:hAnsi="Book Antiqua" w:cs="Book Antiqua" w:hint="eastAsia"/>
          <w:color w:val="000000"/>
          <w:lang w:eastAsia="zh-CN"/>
        </w:rPr>
        <w:t>1</w:t>
      </w:r>
      <w:r w:rsidRPr="00591645">
        <w:rPr>
          <w:rFonts w:ascii="Book Antiqua" w:eastAsia="Book Antiqua" w:hAnsi="Book Antiqua" w:cs="Book Antiqua"/>
          <w:color w:val="000000"/>
        </w:rPr>
        <w:t>.</w:t>
      </w:r>
      <w:r w:rsidR="003839BA" w:rsidRPr="003839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839BA">
        <w:rPr>
          <w:rFonts w:ascii="Book Antiqua" w:hAnsi="Book Antiqua" w:cs="Book Antiqua" w:hint="eastAsia"/>
          <w:color w:val="000000"/>
          <w:lang w:eastAsia="zh-CN"/>
        </w:rPr>
        <w:t>1115</w:t>
      </w:r>
      <w:bookmarkStart w:id="1" w:name="_GoBack"/>
      <w:bookmarkEnd w:id="1"/>
    </w:p>
    <w:p w14:paraId="5DB760EB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5F0DF7F4" w14:textId="410C4224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1645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ip: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point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better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primary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aim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</w:p>
    <w:p w14:paraId="35EE2AA7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7ABA1899" w14:textId="77777777" w:rsidR="0060655C" w:rsidRDefault="0060655C" w:rsidP="00513566">
      <w:pPr>
        <w:spacing w:line="360" w:lineRule="auto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br w:type="page"/>
      </w:r>
    </w:p>
    <w:p w14:paraId="0CE7086F" w14:textId="52BB690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163B53E8" w14:textId="194E9734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fundamental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maintaining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synthesises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majority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anticoagulants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involved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synthesis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thrombopoietin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(TPO).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complex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rebalanced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homeostasis,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abnormalities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procoagulant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balanced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anticoagulant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factors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[2–5]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D0EACFD" w14:textId="46742226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(PT),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international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normalised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ratio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(INR)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activated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thromboplastin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(APTT)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commonly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complex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abnormalities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validated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cirrhosis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first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</w:t>
      </w:r>
      <w:r w:rsidR="0007747C" w:rsidRPr="000A456E">
        <w:rPr>
          <w:rFonts w:ascii="Book Antiqua" w:eastAsia="Book Antiqua" w:hAnsi="Book Antiqua" w:cs="Book Antiqua"/>
          <w:color w:val="000000"/>
        </w:rPr>
        <w:t>%</w:t>
      </w:r>
      <w:r w:rsidRPr="000A456E">
        <w:rPr>
          <w:rFonts w:ascii="Book Antiqua" w:eastAsia="Book Antiqua" w:hAnsi="Book Antiqua" w:cs="Book Antiqua"/>
          <w:color w:val="000000"/>
        </w:rPr>
        <w:t>-10%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fibrin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stability,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vivo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activity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natural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anticoagulants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complex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endothelium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10A7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raised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APTT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2005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prolonged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biopsy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7D4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Pre-operative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81176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70F7194" w14:textId="75F9CB56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Fresh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(FFP)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often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attempt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normalise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disease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3,5]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Major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their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profiles.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correcting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hypertensive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176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contrast,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British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Endoscopy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D4C1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1194A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recommendations,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lack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support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Multiple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minimal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vivo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effect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mildly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prolonged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disease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3,5]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dynamic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global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remains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prolonged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APTT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965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D4089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11EA6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epidemiological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lung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injury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(TRALI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administration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volume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expansion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exacerbate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hypertension,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paradoxically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6685046B" w14:textId="634D3C68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concept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rebalanced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limitations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renewed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global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846E96" w:rsidRPr="000A456E">
        <w:rPr>
          <w:rFonts w:ascii="Book Antiqua" w:eastAsia="Book Antiqua" w:hAnsi="Book Antiqua" w:cs="Book Antiqua"/>
          <w:color w:val="000000"/>
        </w:rPr>
        <w:t>(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846E96" w:rsidRPr="000A456E">
        <w:rPr>
          <w:rFonts w:ascii="Book Antiqua" w:eastAsia="Book Antiqua" w:hAnsi="Book Antiqua" w:cs="Book Antiqua"/>
          <w:color w:val="000000"/>
        </w:rPr>
        <w:t>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disease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(TEG)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thrombelastometry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(ROTEM)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global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factors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concept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example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Figures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comparison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parameters.</w:t>
      </w:r>
    </w:p>
    <w:p w14:paraId="18076BEB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FC3D130" w14:textId="43FC203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Relevance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this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463D0ED4" w14:textId="5AC884A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established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commonly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Observational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cohort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alterations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parameters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Pre-operative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massive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during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Unlike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re-bleeding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hypocoagulable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little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reserve.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explain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F6EC68A" w14:textId="705CC6D6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abnormalities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distinguish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surgical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anatomic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causes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hypertension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due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underlying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suggest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potential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accurately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avoiding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unnecessary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financial,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resource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implications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CC41A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disease,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47C368B6" w14:textId="7056C34B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aim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harms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implementation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efficacious,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implications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</w:p>
    <w:p w14:paraId="2E94DA05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1F7CCBBC" w14:textId="67390AD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MATERIALS</w:t>
      </w:r>
      <w:r w:rsidR="00F86F7B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AND</w:t>
      </w:r>
      <w:r w:rsidR="00F86F7B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METHODS</w:t>
      </w:r>
    </w:p>
    <w:p w14:paraId="59C9E5AB" w14:textId="3A29A2DA" w:rsidR="00A77B3E" w:rsidRDefault="00D27C18" w:rsidP="0051356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adheres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Preferred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Items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Meta-Analysis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(PRISMA)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guideline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0181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1B0A3D41" w14:textId="77777777" w:rsidR="00741227" w:rsidRPr="000A456E" w:rsidRDefault="00741227" w:rsidP="00513566">
      <w:pPr>
        <w:spacing w:line="360" w:lineRule="auto"/>
        <w:jc w:val="both"/>
        <w:rPr>
          <w:rFonts w:ascii="Book Antiqua" w:hAnsi="Book Antiqua"/>
        </w:rPr>
      </w:pPr>
    </w:p>
    <w:p w14:paraId="317CC616" w14:textId="0ADE353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considering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this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1AC8023A" w14:textId="7A9E44F4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color w:val="000000"/>
        </w:rPr>
        <w:t>s</w:t>
      </w:r>
      <w:r w:rsidRPr="000A456E">
        <w:rPr>
          <w:rFonts w:ascii="Book Antiqua" w:eastAsia="Book Antiqua" w:hAnsi="Book Antiqua" w:cs="Book Antiqua"/>
          <w:b/>
          <w:color w:val="000000"/>
        </w:rPr>
        <w:t>tudies: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original,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journal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English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language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irrespective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blinding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status.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observational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language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English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excluded.</w:t>
      </w:r>
    </w:p>
    <w:p w14:paraId="060A2272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DD82BCE" w14:textId="4A093FB0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4524" w:rsidRPr="000A456E">
        <w:rPr>
          <w:rFonts w:ascii="Book Antiqua" w:eastAsia="Book Antiqua" w:hAnsi="Book Antiqua" w:cs="Book Antiqua"/>
          <w:b/>
          <w:color w:val="000000"/>
        </w:rPr>
        <w:t>p</w:t>
      </w:r>
      <w:r w:rsidRPr="000A456E">
        <w:rPr>
          <w:rFonts w:ascii="Book Antiqua" w:eastAsia="Book Antiqua" w:hAnsi="Book Antiqua" w:cs="Book Antiqua"/>
          <w:b/>
          <w:color w:val="000000"/>
        </w:rPr>
        <w:t>articipants: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adult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involving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children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subgroups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population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excluded.</w:t>
      </w:r>
    </w:p>
    <w:p w14:paraId="7915671B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5217EE1" w14:textId="083756C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4524" w:rsidRPr="000A456E">
        <w:rPr>
          <w:rFonts w:ascii="Book Antiqua" w:eastAsia="Book Antiqua" w:hAnsi="Book Antiqua" w:cs="Book Antiqua"/>
          <w:b/>
          <w:color w:val="000000"/>
        </w:rPr>
        <w:t>i</w:t>
      </w:r>
      <w:r w:rsidRPr="000A456E">
        <w:rPr>
          <w:rFonts w:ascii="Book Antiqua" w:eastAsia="Book Antiqua" w:hAnsi="Book Antiqua" w:cs="Book Antiqua"/>
          <w:b/>
          <w:color w:val="000000"/>
        </w:rPr>
        <w:t>nterventions: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strategy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Given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lack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consensus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regarding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strategies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could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defined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10D522F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716A3BF" w14:textId="0929F2D8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E3D85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E3D85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6A94CBF2" w14:textId="3B207A33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Primary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D85" w:rsidRPr="000A456E">
        <w:rPr>
          <w:rFonts w:ascii="Book Antiqua" w:eastAsia="Book Antiqua" w:hAnsi="Book Antiqua" w:cs="Book Antiqua"/>
          <w:b/>
          <w:color w:val="000000"/>
        </w:rPr>
        <w:t>o</w:t>
      </w:r>
      <w:r w:rsidRPr="000A456E">
        <w:rPr>
          <w:rFonts w:ascii="Book Antiqua" w:eastAsia="Book Antiqua" w:hAnsi="Book Antiqua" w:cs="Book Antiqua"/>
          <w:b/>
          <w:color w:val="000000"/>
        </w:rPr>
        <w:t>utcome: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fresh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plasma,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fibrinogen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proportion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average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patient.</w:t>
      </w:r>
    </w:p>
    <w:p w14:paraId="696102E4" w14:textId="77777777" w:rsidR="00A77B3E" w:rsidRPr="000A456E" w:rsidRDefault="00A77B3E" w:rsidP="00513566">
      <w:pPr>
        <w:spacing w:line="360" w:lineRule="auto"/>
        <w:ind w:hanging="265"/>
        <w:jc w:val="both"/>
        <w:rPr>
          <w:rFonts w:ascii="Book Antiqua" w:hAnsi="Book Antiqua"/>
        </w:rPr>
      </w:pPr>
    </w:p>
    <w:p w14:paraId="49B8C7F5" w14:textId="44BED5B1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Secondary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3291" w:rsidRPr="000A456E">
        <w:rPr>
          <w:rFonts w:ascii="Book Antiqua" w:eastAsia="Book Antiqua" w:hAnsi="Book Antiqua" w:cs="Book Antiqua"/>
          <w:b/>
          <w:color w:val="000000"/>
        </w:rPr>
        <w:t>o</w:t>
      </w:r>
      <w:r w:rsidRPr="000A456E">
        <w:rPr>
          <w:rFonts w:ascii="Book Antiqua" w:eastAsia="Book Antiqua" w:hAnsi="Book Antiqua" w:cs="Book Antiqua"/>
          <w:b/>
          <w:color w:val="000000"/>
        </w:rPr>
        <w:t>utcomes: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(1)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(2)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hAnsi="Book Antiqua"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(3)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hAnsi="Book Antiqua"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(4)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longest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follow-up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hAnsi="Book Antiqua"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(5)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3291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(6)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hospital.</w:t>
      </w:r>
    </w:p>
    <w:p w14:paraId="50DBE7C1" w14:textId="77777777" w:rsidR="00A77B3E" w:rsidRPr="000A456E" w:rsidRDefault="00A77B3E" w:rsidP="00513566">
      <w:pPr>
        <w:spacing w:line="360" w:lineRule="auto"/>
        <w:ind w:hanging="265"/>
        <w:jc w:val="both"/>
        <w:rPr>
          <w:rFonts w:ascii="Book Antiqua" w:hAnsi="Book Antiqua"/>
        </w:rPr>
      </w:pPr>
    </w:p>
    <w:p w14:paraId="1F56CA95" w14:textId="1575A34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identification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0DA71710" w14:textId="2D9CF76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Electronic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color w:val="000000"/>
        </w:rPr>
        <w:t>s</w:t>
      </w:r>
      <w:r w:rsidRPr="000A456E">
        <w:rPr>
          <w:rFonts w:ascii="Book Antiqua" w:eastAsia="Book Antiqua" w:hAnsi="Book Antiqua" w:cs="Book Antiqua"/>
          <w:b/>
          <w:color w:val="000000"/>
        </w:rPr>
        <w:t>earches: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literature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(PubMed)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original,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English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language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chosen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primarily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because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large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journals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databases.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addition,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targets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healthcare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professionals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researchers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relevant.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authoritative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peer-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reviewed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well-designed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accurately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represented.</w:t>
      </w:r>
      <w:r w:rsidR="00F86F7B">
        <w:rPr>
          <w:rFonts w:ascii="Book Antiqua" w:hAnsi="Book Antiqua" w:hint="eastAsia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until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17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November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2019.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5E2C75B6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AACAA18" w14:textId="67184E13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Selection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studies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and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data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extraction: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PubMed: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CC41A7">
        <w:rPr>
          <w:rFonts w:ascii="Book Antiqua" w:eastAsia="Book Antiqua" w:hAnsi="Book Antiqua" w:cs="Book Antiqua"/>
          <w:color w:val="000000"/>
        </w:rPr>
        <w:t>[</w:t>
      </w:r>
      <w:r w:rsidRPr="000A456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(“liver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)</w:t>
      </w:r>
      <w:r w:rsidR="00CC41A7">
        <w:rPr>
          <w:rFonts w:ascii="Book Antiqua" w:eastAsia="Book Antiqua" w:hAnsi="Book Antiqua" w:cs="Book Antiqua"/>
          <w:color w:val="000000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D0658E5" w14:textId="287C2AA2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78D44E5" w14:textId="02E2EE23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titles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abstracts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screened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predefined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detailed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above.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text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undertaken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subjects,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examined.</w:t>
      </w:r>
    </w:p>
    <w:p w14:paraId="01990134" w14:textId="3F22AB6E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independent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purpose.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Cochrane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Collaboration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bias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0181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65CFCCAE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FEC102B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RESULTS</w:t>
      </w:r>
    </w:p>
    <w:p w14:paraId="4E352892" w14:textId="6B96973D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3951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earch</w:t>
      </w:r>
    </w:p>
    <w:p w14:paraId="6862590E" w14:textId="47F45D23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348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483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71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duplicates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across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databases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left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760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eligibility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title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abstract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text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(Figure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4122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1FFF5D22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22A49C2C" w14:textId="2C409BB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A96CC2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96CC2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96CC2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</w:p>
    <w:p w14:paraId="20080E04" w14:textId="61ED14C9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Included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studies: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A96CC2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TEG5000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blood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TEG5000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kaolin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activator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MonoTEM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-A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blood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consequence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across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00E749C" w14:textId="0CA0F54E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major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across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administered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≥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1.8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study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&lt;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CC2" w:rsidRPr="000A456E">
        <w:rPr>
          <w:rFonts w:ascii="Book Antiqua" w:hAnsi="Book Antiqua"/>
          <w:lang w:val="pl-PL"/>
        </w:rPr>
        <w:t>×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</w:t>
      </w:r>
      <w:r w:rsidR="00A96CC2" w:rsidRPr="000A456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F2319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59C779C" w14:textId="1E79FF06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orthotopic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procedures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EA58E17" w14:textId="5181E09D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orthotopic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consistency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safely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11.3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deranged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definitions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examining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outside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="00D533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048C9EC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037713BE" w14:textId="279AD2E4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Risk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bias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included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studies: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quality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moderate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(Figure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(40%)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randomisation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satisfactorily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studies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regarding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deviations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pre-set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protocol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satisfactorily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60%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missing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selective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A3D0B90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2F14340" w14:textId="4BE9C6B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CADE127" w14:textId="1995708F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4122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regards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specific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cells.</w:t>
      </w:r>
    </w:p>
    <w:p w14:paraId="15A370BC" w14:textId="03D963E9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Four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use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30547C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13.3%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0.010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absolute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volume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markedly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1345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4605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yielded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although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identical.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(55.2%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31%)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rebalance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often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failure,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results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0181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A288E6D" w14:textId="6266144E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trials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74122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use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13.3%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30547C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&lt;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0.001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Again,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volume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markedly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450mL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3405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40ECB2EE" w14:textId="1DD01D63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trials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groups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pooled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53992B4D" w14:textId="77777777" w:rsidR="00A77B3E" w:rsidRPr="000A456E" w:rsidRDefault="00A77B3E" w:rsidP="00513566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61F16D2" w14:textId="5463E526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</w:p>
    <w:p w14:paraId="61BB34B4" w14:textId="7B857436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Rates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bleeding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those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undergoing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an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invasive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procedure: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and/or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procedure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FF36C9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levels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levels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group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periprocedural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groups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–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several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Childs-Pugh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complications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either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percutaneous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biopsies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65E1C2FE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  <w:b/>
        </w:rPr>
      </w:pPr>
    </w:p>
    <w:p w14:paraId="21026FCE" w14:textId="1094C9EB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Rates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rebleeding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those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presenting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with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bleeding</w:t>
      </w:r>
      <w:r w:rsidR="00FF36C9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complications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initial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</w:t>
      </w:r>
      <w:r w:rsidR="00483E00" w:rsidRPr="000A456E">
        <w:rPr>
          <w:rFonts w:ascii="Book Antiqua" w:eastAsia="Book Antiqua" w:hAnsi="Book Antiqua" w:cs="Book Antiqua"/>
          <w:color w:val="000000"/>
        </w:rPr>
        <w:t>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re-bleeding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d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re-bled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483E00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0.012)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up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7587EA07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7A2A1795" w14:textId="2D172DAD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Rates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adverse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events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related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to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blood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transfusion</w:t>
      </w:r>
      <w:r w:rsidR="00483E00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and/or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studies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B5351D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available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30.6%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74.5%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population.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TRALI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12.2%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48.9%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independently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panel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experts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appropriate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classification.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mention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leucodepleted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could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potentially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explain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unexpected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occurred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infrequently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zero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experiencing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event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B5351D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BD7B7E0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  <w:b/>
        </w:rPr>
      </w:pPr>
    </w:p>
    <w:p w14:paraId="5DB5D2E2" w14:textId="7AD966C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Overall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mortality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using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longest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follow-up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data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from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each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trial</w:t>
      </w:r>
      <w:r w:rsidR="00B5351D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various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points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study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B5351D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survival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years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might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population.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</w:t>
      </w:r>
      <w:r w:rsidR="00B5351D" w:rsidRPr="000A456E">
        <w:rPr>
          <w:rFonts w:ascii="Book Antiqua" w:eastAsia="Book Antiqua" w:hAnsi="Book Antiqua" w:cs="Book Antiqua"/>
          <w:color w:val="000000"/>
        </w:rPr>
        <w:t>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13.3%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351D" w:rsidRPr="000A456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value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0.76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small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participants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adequately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powered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2367FF05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  <w:b/>
        </w:rPr>
      </w:pPr>
    </w:p>
    <w:p w14:paraId="67AF3144" w14:textId="4CF21AFC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Length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stay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intensive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care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unit</w:t>
      </w:r>
      <w:r w:rsidR="00B5351D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ICU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average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575589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0.012)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4701DE5C" w14:textId="77777777" w:rsidR="00B5351D" w:rsidRPr="000A456E" w:rsidRDefault="00B5351D" w:rsidP="0051356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DBC5567" w14:textId="2CE4402E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Number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days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hospital</w:t>
      </w:r>
      <w:r w:rsidR="00B5351D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groups.</w:t>
      </w:r>
    </w:p>
    <w:p w14:paraId="2D250C10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014C8BC5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709AC2C1" w14:textId="5EA27E7B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accepted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rebalanced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procoagulant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balanced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anticoagulant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minority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reliably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separate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FFP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3,5]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harms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C2E5D2C" w14:textId="7129199B" w:rsidR="00A77B3E" w:rsidRPr="000A456E" w:rsidRDefault="00D27C18" w:rsidP="005135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VETs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inform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correlate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allogeneic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non-variceal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="00E21D83"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re-bleeding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42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significantly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D0CA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numbers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cut-offs,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meaningful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9B95E7E" w14:textId="77777777" w:rsidR="00E21D83" w:rsidRPr="000A456E" w:rsidRDefault="00E21D83" w:rsidP="00513566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776AC4D6" w14:textId="77777777" w:rsidR="00E21D83" w:rsidRPr="000A456E" w:rsidRDefault="00E21D83" w:rsidP="0051356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/>
        </w:rPr>
      </w:pPr>
      <w:r w:rsidRPr="000A456E"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/>
        </w:rPr>
        <w:t>conclusion</w:t>
      </w:r>
    </w:p>
    <w:p w14:paraId="560E475E" w14:textId="0C2ACEE4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renewed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VETs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compromising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safety.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thresholds,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disease,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7CD4C446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097ABD8D" w14:textId="4BECCD2D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ARTICLE</w:t>
      </w:r>
      <w:r w:rsidR="00F86F7B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HIGHLIGHTS</w:t>
      </w:r>
    </w:p>
    <w:p w14:paraId="44C6711C" w14:textId="3F1ED80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BEE236E" w14:textId="6F800E5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aps/>
          <w:color w:val="000000"/>
        </w:rPr>
        <w:t>v</w:t>
      </w:r>
      <w:r w:rsidR="00622C66" w:rsidRPr="000A456E">
        <w:rPr>
          <w:rFonts w:ascii="Book Antiqua" w:eastAsia="Book Antiqua" w:hAnsi="Book Antiqua" w:cs="Book Antiqua"/>
          <w:color w:val="000000"/>
        </w:rPr>
        <w:t>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(VETs)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73EF"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A73EF" w:rsidRPr="000A456E">
        <w:rPr>
          <w:rFonts w:ascii="Book Antiqua" w:eastAsia="Book Antiqua" w:hAnsi="Book Antiqua" w:cs="Book Antiqua"/>
          <w:color w:val="000000"/>
        </w:rPr>
        <w:t>(TEG)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point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</w:p>
    <w:p w14:paraId="49D1E7C9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14B5E609" w14:textId="5551828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1469CD8" w14:textId="386EA8A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summary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existing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important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improve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patients.</w:t>
      </w:r>
    </w:p>
    <w:p w14:paraId="2CFBDF70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55B7A4C7" w14:textId="0AE57FAF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1393F03" w14:textId="220CFDA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C330BF7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1D5ECD36" w14:textId="0AF05B92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8F364B9" w14:textId="6EA47D85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comprehensive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literature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according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evidenced-based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medicine.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who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</w:p>
    <w:p w14:paraId="0C6BF613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24CBDF11" w14:textId="6B44E1C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C395070" w14:textId="6E125B05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utilization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observed.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re-bleeding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care.</w:t>
      </w:r>
    </w:p>
    <w:p w14:paraId="7DCFBA8A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253448E1" w14:textId="5425729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DCA63E" w14:textId="5976FCF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highlights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utilization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compromising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68E295CD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5799CE49" w14:textId="12236A46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28BA72D" w14:textId="4D6A4CA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urgent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protocols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utilizing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order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optimize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2994F54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E850528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23BFD9" w14:textId="2568FB6F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 w:rsidRPr="00710A73">
        <w:rPr>
          <w:rFonts w:ascii="Book Antiqua" w:eastAsia="Book Antiqua" w:hAnsi="Book Antiqua" w:cs="Book Antiqua"/>
          <w:color w:val="000000"/>
        </w:rPr>
        <w:t>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b/>
          <w:bCs/>
          <w:color w:val="000000"/>
        </w:rPr>
        <w:t>Saner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710A73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color w:val="000000"/>
        </w:rPr>
        <w:t>Bezinover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Assessment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critically-ill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failure.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2019;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10A73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179-186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30855324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10.1097/MCC.0000000000000591]</w:t>
      </w:r>
    </w:p>
    <w:p w14:paraId="5683E363" w14:textId="01747EC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b/>
          <w:bCs/>
          <w:color w:val="000000"/>
        </w:rPr>
        <w:t>Stravitz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Potential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applications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(N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Y)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2012;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513-520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23293564]</w:t>
      </w:r>
    </w:p>
    <w:p w14:paraId="1CB73AF6" w14:textId="3CC04768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b/>
          <w:bCs/>
          <w:color w:val="000000"/>
        </w:rPr>
        <w:t>Kujovich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0A456E">
        <w:rPr>
          <w:rFonts w:ascii="Book Antiqua" w:eastAsia="Book Antiqua" w:hAnsi="Book Antiqua" w:cs="Book Antiqua"/>
          <w:color w:val="000000"/>
        </w:rPr>
        <w:t>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balancing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Hematology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i/>
          <w:iCs/>
          <w:color w:val="000000"/>
        </w:rPr>
        <w:t>Educ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Program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243-249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26637729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10.1182/asheducation-2015.1.243]</w:t>
      </w:r>
    </w:p>
    <w:p w14:paraId="3C5DBBB8" w14:textId="63D09F8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b/>
          <w:bCs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Dell'Era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Fabris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Salerno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2006;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440-445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16871542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10.1002/hep.21266]</w:t>
      </w:r>
    </w:p>
    <w:p w14:paraId="170C342C" w14:textId="39EEC24C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 w:rsidRPr="000A456E">
        <w:rPr>
          <w:rFonts w:ascii="Book Antiqua" w:eastAsia="Book Antiqua" w:hAnsi="Book Antiqua" w:cs="Book Antiqua"/>
          <w:color w:val="000000"/>
        </w:rPr>
        <w:t>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Mallett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Chowdary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AK.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2013;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961-974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23638693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10.1111/liv.12158]</w:t>
      </w:r>
    </w:p>
    <w:p w14:paraId="4A3A2D36" w14:textId="1D7464AA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Segal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JB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Dzik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WH;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Medicine/Hemostasis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Network.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Paucity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support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procedures: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evidence-based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review.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45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1413-1425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16131373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10.1111/j.1537-2995.2005.00546.x]</w:t>
      </w:r>
    </w:p>
    <w:p w14:paraId="34E5576B" w14:textId="1CEF15A4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Curry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NS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Davenport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Pavord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Mallett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Kitchen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Klein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Maybury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Collins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PW,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Laffan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assays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major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British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Haematology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Guideline.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2018;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182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789-806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30073664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10.1111/bjh.15524]</w:t>
      </w:r>
    </w:p>
    <w:p w14:paraId="5D5785CD" w14:textId="5669100E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Tsao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Abraldes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Berzigotti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Bosch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hypertensive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stratification,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diagnosis,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practice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guidance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Association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diseases.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2017;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65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310-335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27786365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10.1002/hep.28906]</w:t>
      </w:r>
    </w:p>
    <w:p w14:paraId="01B4F2D3" w14:textId="51B4F89E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Stanley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Hayes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Millson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Mehrzad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Austin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Ferguson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JW,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Hudson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Christie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JM;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Services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Standards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Committee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British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Gastroenterology.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7C18" w:rsidRPr="000A456E">
        <w:rPr>
          <w:rFonts w:ascii="Book Antiqua" w:eastAsia="Book Antiqua" w:hAnsi="Book Antiqua" w:cs="Book Antiqua"/>
          <w:color w:val="000000"/>
        </w:rPr>
        <w:t>U.K.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64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1680-1704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25887380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10.1136/gutjnl-2015-309262]</w:t>
      </w:r>
    </w:p>
    <w:p w14:paraId="15D44AF7" w14:textId="3B89247C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JH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Acosta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Chandrasekhara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Chathadi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Decker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Early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Evans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Fanelli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Fisher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Foley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KQ,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Fonkalsrud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Muthusamy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Pasha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Saltzman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Sharaf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Cash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BD;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Endoscopy.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endoscopy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hemorrhage.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2014;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80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221-227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25034836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10.1016/j.gie.2013.07.023]</w:t>
      </w:r>
    </w:p>
    <w:p w14:paraId="0C4CB60F" w14:textId="07C99494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Salerno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Cazzaniga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Mannuccio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Evidence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tests.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41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553-558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15726661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10.1002/hep.20569]</w:t>
      </w:r>
    </w:p>
    <w:p w14:paraId="75F11D23" w14:textId="0D6A785A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Gatt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Riddell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Calvaruso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Tuddenham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Makris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7C18" w:rsidRPr="000A456E">
        <w:rPr>
          <w:rFonts w:ascii="Book Antiqua" w:eastAsia="Book Antiqua" w:hAnsi="Book Antiqua" w:cs="Book Antiqua"/>
          <w:color w:val="000000"/>
        </w:rPr>
        <w:t>Enhanced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cirrhosis-induced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coagulopathy.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8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1994-2000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20546119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10.1111/j.1538-7836.2010.03937.x]</w:t>
      </w:r>
    </w:p>
    <w:p w14:paraId="3DF7B0B1" w14:textId="577DA957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Dell'era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Aghemo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plasma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supplemented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plasma: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considerations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efficacy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treatment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fresh-frozen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plasma.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2012;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7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139-144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21298360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10.1007/s11739-011-0528-4]</w:t>
      </w:r>
    </w:p>
    <w:p w14:paraId="62423C35" w14:textId="283C76B7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Benson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AB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Austin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Berg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McFann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Thomas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Ramirez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Rosen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Silliman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Transfusion-related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lung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injury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ICU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admitted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36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1710-1717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20658125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10.1007/s00134-010-1954-x]</w:t>
      </w:r>
    </w:p>
    <w:p w14:paraId="220CA927" w14:textId="229ADAAC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15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PM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coagulopathies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2013;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32-36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23058863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10.2450/2012.0151-12]</w:t>
      </w:r>
    </w:p>
    <w:p w14:paraId="5AC20639" w14:textId="3D11A5E0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16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Lawson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PJ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HB,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Stettler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Pshak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Silliman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Nydam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TL.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maximum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amplitude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predicts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massive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transplantation.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2017;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220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171-175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29180179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10.1016/j.jss.2017.05.115]</w:t>
      </w:r>
    </w:p>
    <w:p w14:paraId="6075965E" w14:textId="617CE573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Chau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TN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YW,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Tokunaga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Greenslade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D27C18" w:rsidRPr="000A456E">
        <w:rPr>
          <w:rFonts w:ascii="Book Antiqua" w:eastAsia="Book Antiqua" w:hAnsi="Book Antiqua" w:cs="Book Antiqua"/>
          <w:color w:val="000000"/>
        </w:rPr>
        <w:t>Thrombelastographic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early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1998;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43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267-271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10189856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10.1136/gut.43.2.267]</w:t>
      </w:r>
    </w:p>
    <w:p w14:paraId="1A166FF0" w14:textId="0BF0E103" w:rsidR="00A77B3E" w:rsidRPr="000A456E" w:rsidRDefault="00D5335E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Thalheimer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U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Samonakis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7C18" w:rsidRPr="000A456E">
        <w:rPr>
          <w:rFonts w:ascii="Book Antiqua" w:eastAsia="Book Antiqua" w:hAnsi="Book Antiqua" w:cs="Book Antiqua"/>
          <w:color w:val="000000"/>
        </w:rPr>
        <w:t>Infection,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54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556-563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15753544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10.1136/gut.2004.048181]</w:t>
      </w:r>
    </w:p>
    <w:p w14:paraId="69D11138" w14:textId="3E13686A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E6135B">
        <w:rPr>
          <w:rFonts w:ascii="Book Antiqua" w:eastAsia="Book Antiqua" w:hAnsi="Book Antiqua" w:cs="Book Antiqua"/>
          <w:b/>
          <w:bCs/>
          <w:color w:val="000000"/>
        </w:rPr>
        <w:t>Vuyyuru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b/>
          <w:bCs/>
          <w:color w:val="000000"/>
        </w:rPr>
        <w:t>SK</w:t>
      </w:r>
      <w:r w:rsidR="00D27C18" w:rsidRPr="00E6135B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Singh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AD,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E6135B">
        <w:rPr>
          <w:rFonts w:ascii="Book Antiqua" w:eastAsia="Book Antiqua" w:hAnsi="Book Antiqua" w:cs="Book Antiqua"/>
          <w:color w:val="000000"/>
        </w:rPr>
        <w:t>Gamanagatti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SR,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Rout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Gunjan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Shalimar.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7C18" w:rsidRPr="00E6135B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E6135B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E6135B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Liver-Related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Procedures.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b/>
          <w:bCs/>
          <w:color w:val="000000"/>
        </w:rPr>
        <w:t>65</w:t>
      </w:r>
      <w:r w:rsidR="00D27C18" w:rsidRPr="00E6135B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2104-2111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31720889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10.1007/s10620-019-05939-2]</w:t>
      </w:r>
    </w:p>
    <w:p w14:paraId="148E72AE" w14:textId="64D4333A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20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SC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Shieh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YC,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Loong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Mandell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Tsou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MY.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decreases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intraoperative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during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orthotopic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transplantation: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42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2590-2593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20832550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10.1016/j.transproceed.2010.05.144]</w:t>
      </w:r>
    </w:p>
    <w:p w14:paraId="37D22ED0" w14:textId="2E3E7911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Pietri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Bianchini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Montalti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Maria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Maira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Begliomini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Gerunda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Benedetto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Garcia-Tsao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Villa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before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severe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coagulopathy: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2016;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63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566-573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26340411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10.1002/hep.28148]</w:t>
      </w:r>
    </w:p>
    <w:p w14:paraId="155AC4D8" w14:textId="64AAECB9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Rout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Shalimar,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Gunjan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Mahapatra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Kedia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Garg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Nayak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54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255-262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31008867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10.1097/MCG.0000000000001214]</w:t>
      </w:r>
    </w:p>
    <w:p w14:paraId="563E5FCB" w14:textId="69B08EAD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M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Ahmad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Maiwall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Choudhury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Bajpai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Mitra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Saluja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Agarwal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Bihari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Shasthry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Jindal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Bhardwaj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Kumar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Sarin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Component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Nonvariceal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71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235-246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31148204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10.1002/hep.30794]</w:t>
      </w:r>
    </w:p>
    <w:p w14:paraId="31EDD9F8" w14:textId="5A45CCC0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24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Moher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Altman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DG;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PRISMA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Group.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7C18" w:rsidRPr="000A456E">
        <w:rPr>
          <w:rFonts w:ascii="Book Antiqua" w:eastAsia="Book Antiqua" w:hAnsi="Book Antiqua" w:cs="Book Antiqua"/>
          <w:color w:val="000000"/>
        </w:rPr>
        <w:t>Preferred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reporting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items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reviews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meta-analyses: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PRISMA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Statement.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2009;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3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e123-e130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782"/>
      <w:bookmarkStart w:id="3" w:name="OLE_LINK1783"/>
      <w:r w:rsidR="00D27C18" w:rsidRPr="000A456E">
        <w:rPr>
          <w:rFonts w:ascii="Book Antiqua" w:eastAsia="Book Antiqua" w:hAnsi="Book Antiqua" w:cs="Book Antiqua"/>
          <w:color w:val="000000"/>
        </w:rPr>
        <w:t>21603045</w:t>
      </w:r>
      <w:bookmarkEnd w:id="2"/>
      <w:bookmarkEnd w:id="3"/>
      <w:r w:rsidR="00D27C18" w:rsidRPr="000A456E">
        <w:rPr>
          <w:rFonts w:ascii="Book Antiqua" w:eastAsia="Book Antiqua" w:hAnsi="Book Antiqua" w:cs="Book Antiqua"/>
          <w:color w:val="000000"/>
        </w:rPr>
        <w:t>]</w:t>
      </w:r>
    </w:p>
    <w:p w14:paraId="1C57BF49" w14:textId="1A87CE8C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Sterne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JAC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Savovi</w:t>
      </w:r>
      <w:r w:rsidR="008018C1" w:rsidRPr="008018C1">
        <w:rPr>
          <w:rFonts w:ascii="Book Antiqua" w:eastAsia="Book Antiqua" w:hAnsi="Book Antiqua" w:cs="Book Antiqua"/>
          <w:color w:val="000000"/>
        </w:rPr>
        <w:t>ć</w:t>
      </w:r>
      <w:proofErr w:type="spellEnd"/>
      <w:r w:rsidR="008018C1" w:rsidRPr="008018C1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Elbers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Blencowe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Boutron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Cheng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Corbett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Eldridge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Hernán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Hopewell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Hróbjartsson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Junqueira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Kirkham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Lasserson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McAleenan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Reeves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Shepperd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Shrier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Stewart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Tilling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White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Whiting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Higgins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JPT.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RoB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revised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tool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assessing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2019;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366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l4898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31462531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10.1136/bmj.l4898]</w:t>
      </w:r>
    </w:p>
    <w:p w14:paraId="6D520592" w14:textId="7EA9C09E" w:rsidR="00A77B3E" w:rsidRPr="000A456E" w:rsidRDefault="00E6135B" w:rsidP="005135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Pietri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Bianchini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Rompianesi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Bertellini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Begliomini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Thromboelastographic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population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transplantation.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2016;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583-593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27683637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10.5500/wjt.v6.i3.583]</w:t>
      </w:r>
    </w:p>
    <w:p w14:paraId="7EAC98C3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  <w:sectPr w:rsidR="00A77B3E" w:rsidRPr="000A45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D723E" w14:textId="77777777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C482AD" w14:textId="4DF9E9E6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declare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competing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interests.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18D5EBA2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61BD75F3" w14:textId="60F0C0A5" w:rsidR="001D1A82" w:rsidRPr="000A456E" w:rsidRDefault="001D1A82" w:rsidP="0051356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Pr="000A456E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authors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have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read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PRISMA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2009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Checklist,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and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manuscript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was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prepared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and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revised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in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accordance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with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this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checklist.</w:t>
      </w:r>
    </w:p>
    <w:p w14:paraId="3C62CBC9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3530B610" w14:textId="754A1BE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open-access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selected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in-house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editor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peer-reviewed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external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reviewers.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distributed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accordance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Creative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Commons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Attribution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(CC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BY-NC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4.0)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license,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permits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distribute,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remix,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adapt,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build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non-commercially,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license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their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derivative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works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terms,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original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properly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non-commercial.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C547B3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335C673C" w14:textId="2320C3F8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Manuscript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source: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Unsolicited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76A74" w:rsidRPr="000A456E">
        <w:rPr>
          <w:rFonts w:ascii="Book Antiqua" w:eastAsia="Book Antiqua" w:hAnsi="Book Antiqua" w:cs="Book Antiqua"/>
          <w:color w:val="000000"/>
        </w:rPr>
        <w:t>m</w:t>
      </w:r>
      <w:r w:rsidRPr="000A456E">
        <w:rPr>
          <w:rFonts w:ascii="Book Antiqua" w:eastAsia="Book Antiqua" w:hAnsi="Book Antiqua" w:cs="Book Antiqua"/>
          <w:color w:val="000000"/>
        </w:rPr>
        <w:t>anuscript</w:t>
      </w:r>
    </w:p>
    <w:p w14:paraId="7AF12E07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117FBC74" w14:textId="2E1D761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Peer-review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started: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6C6D75FF" w14:textId="5178F96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First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decision: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24,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3E5498E5" w14:textId="5A26D65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Article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press: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62AD" w:rsidRPr="00C76BBD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4E7A5A57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6E88A94" w14:textId="546C3D73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Specialty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type: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76A74" w:rsidRPr="000A456E">
        <w:rPr>
          <w:rFonts w:ascii="Book Antiqua" w:eastAsia="Book Antiqua" w:hAnsi="Book Antiqua" w:cs="Book Antiqua"/>
          <w:color w:val="000000"/>
        </w:rPr>
        <w:t>h</w:t>
      </w:r>
      <w:r w:rsidRPr="000A456E">
        <w:rPr>
          <w:rFonts w:ascii="Book Antiqua" w:eastAsia="Book Antiqua" w:hAnsi="Book Antiqua" w:cs="Book Antiqua"/>
          <w:color w:val="000000"/>
        </w:rPr>
        <w:t>epatology</w:t>
      </w:r>
    </w:p>
    <w:p w14:paraId="62193AD6" w14:textId="11A3CCE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Country/Territory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origin: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</w:p>
    <w:p w14:paraId="7CF3133B" w14:textId="5A304EE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Peer-review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report’s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scientific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quality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35C96E" w14:textId="1FBC99CA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456E">
        <w:rPr>
          <w:rFonts w:ascii="Book Antiqua" w:eastAsia="Book Antiqua" w:hAnsi="Book Antiqua" w:cs="Book Antiqua"/>
          <w:color w:val="000000"/>
        </w:rPr>
        <w:t>A</w:t>
      </w:r>
      <w:proofErr w:type="gram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(Excellent):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</w:t>
      </w:r>
    </w:p>
    <w:p w14:paraId="6E7D3256" w14:textId="53152CAD" w:rsidR="00A77B3E" w:rsidRPr="000A456E" w:rsidRDefault="00D27C18" w:rsidP="00513566">
      <w:pPr>
        <w:spacing w:line="360" w:lineRule="auto"/>
        <w:jc w:val="both"/>
        <w:rPr>
          <w:rFonts w:ascii="Book Antiqua" w:hAnsi="Book Antiqua"/>
          <w:lang w:eastAsia="zh-CN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(Very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good):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CC41A7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41A7">
        <w:rPr>
          <w:rFonts w:ascii="Book Antiqua" w:eastAsia="Book Antiqua" w:hAnsi="Book Antiqua" w:cs="Book Antiqua"/>
          <w:color w:val="000000"/>
        </w:rPr>
        <w:t>B</w:t>
      </w:r>
      <w:proofErr w:type="gramEnd"/>
    </w:p>
    <w:p w14:paraId="540101FB" w14:textId="1C283889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(Good):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</w:p>
    <w:p w14:paraId="45B5D406" w14:textId="147FA84E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(Fair):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</w:t>
      </w:r>
    </w:p>
    <w:p w14:paraId="6B93BBD9" w14:textId="754997DF" w:rsidR="00A77B3E" w:rsidRPr="000A456E" w:rsidRDefault="00D27C18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(Poor):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</w:t>
      </w:r>
    </w:p>
    <w:p w14:paraId="1D9A7396" w14:textId="77777777" w:rsidR="00A77B3E" w:rsidRPr="000A456E" w:rsidRDefault="00A77B3E" w:rsidP="00513566">
      <w:pPr>
        <w:spacing w:line="360" w:lineRule="auto"/>
        <w:jc w:val="both"/>
        <w:rPr>
          <w:rFonts w:ascii="Book Antiqua" w:hAnsi="Book Antiqua"/>
        </w:rPr>
      </w:pPr>
    </w:p>
    <w:p w14:paraId="49510FCB" w14:textId="101AB9AD" w:rsidR="003971D2" w:rsidRPr="00CF5D9A" w:rsidRDefault="00D27C18" w:rsidP="0051356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P-Reviewer: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EH</w:t>
      </w:r>
      <w:r w:rsidR="001E71B9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E71B9" w:rsidRPr="000A456E">
        <w:rPr>
          <w:rFonts w:ascii="Book Antiqua" w:eastAsia="Book Antiqua" w:hAnsi="Book Antiqua" w:cs="Book Antiqua"/>
          <w:color w:val="000000"/>
        </w:rPr>
        <w:t>Hilmi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1E71B9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1E71B9" w:rsidRPr="000A456E">
        <w:rPr>
          <w:rFonts w:ascii="Book Antiqua" w:eastAsia="Book Antiqua" w:hAnsi="Book Antiqua" w:cs="Book Antiqua"/>
          <w:color w:val="000000"/>
        </w:rPr>
        <w:t>Ruiz-</w:t>
      </w:r>
      <w:proofErr w:type="spellStart"/>
      <w:r w:rsidR="001E71B9" w:rsidRPr="000A456E">
        <w:rPr>
          <w:rFonts w:ascii="Book Antiqua" w:eastAsia="Book Antiqua" w:hAnsi="Book Antiqua" w:cs="Book Antiqua"/>
          <w:color w:val="000000"/>
        </w:rPr>
        <w:t>Margáin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1E71B9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S-Editor: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ZM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L-Editor: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5D9A" w:rsidRPr="00CF5D9A">
        <w:rPr>
          <w:rFonts w:ascii="Book Antiqua" w:hAnsi="Book Antiqua" w:cs="Book Antiqua" w:hint="eastAsia"/>
          <w:color w:val="000000"/>
          <w:lang w:eastAsia="zh-CN"/>
        </w:rPr>
        <w:t>A</w:t>
      </w:r>
      <w:r w:rsidR="00CF5D9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76A74" w:rsidRPr="000A456E">
        <w:rPr>
          <w:rFonts w:ascii="Book Antiqua" w:eastAsia="Book Antiqua" w:hAnsi="Book Antiqua" w:cs="Book Antiqua"/>
          <w:b/>
          <w:color w:val="000000"/>
        </w:rPr>
        <w:t>P</w:t>
      </w:r>
      <w:r w:rsidRPr="000A456E">
        <w:rPr>
          <w:rFonts w:ascii="Book Antiqua" w:eastAsia="Book Antiqua" w:hAnsi="Book Antiqua" w:cs="Book Antiqua"/>
          <w:b/>
          <w:color w:val="000000"/>
        </w:rPr>
        <w:t>-Editor: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5D9A" w:rsidRPr="00CF5D9A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45D7B178" w14:textId="09C99493" w:rsidR="003971D2" w:rsidRPr="000A456E" w:rsidRDefault="003971D2" w:rsidP="00513566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br w:type="page"/>
      </w:r>
      <w:r w:rsidRPr="000A456E">
        <w:rPr>
          <w:rFonts w:ascii="Book Antiqua" w:hAnsi="Book Antiqua"/>
          <w:b/>
        </w:rPr>
        <w:lastRenderedPageBreak/>
        <w:t>Figure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Legends</w:t>
      </w:r>
    </w:p>
    <w:p w14:paraId="7EC01072" w14:textId="77777777" w:rsidR="00A77B3E" w:rsidRPr="000A456E" w:rsidRDefault="008A0543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  <w:noProof/>
          <w:lang w:eastAsia="zh-CN"/>
        </w:rPr>
        <w:drawing>
          <wp:inline distT="0" distB="0" distL="0" distR="0" wp14:anchorId="6E94FBBD" wp14:editId="316012C3">
            <wp:extent cx="5206624" cy="41744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160" cy="41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2ED8" w14:textId="17739C3C" w:rsidR="009178BF" w:rsidRPr="000A456E" w:rsidRDefault="003971D2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  <w:b/>
        </w:rPr>
        <w:t>Figure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1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Technique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of</w:t>
      </w:r>
      <w:r w:rsidR="00F86F7B">
        <w:rPr>
          <w:rFonts w:ascii="Book Antiqua" w:hAnsi="Book Antiqua"/>
          <w:b/>
        </w:rPr>
        <w:t xml:space="preserve"> </w:t>
      </w:r>
      <w:proofErr w:type="spellStart"/>
      <w:r w:rsidRPr="000A456E">
        <w:rPr>
          <w:rFonts w:ascii="Book Antiqua" w:hAnsi="Book Antiqua"/>
          <w:b/>
        </w:rPr>
        <w:t>thromboelastography</w:t>
      </w:r>
      <w:proofErr w:type="spellEnd"/>
      <w:r w:rsidRPr="000A456E">
        <w:rPr>
          <w:rFonts w:ascii="Book Antiqua" w:hAnsi="Book Antiqua"/>
          <w:b/>
        </w:rPr>
        <w:t>.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</w:rPr>
        <w:t>Whole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blood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pipetted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cup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which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rotates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around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pin.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clot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forms,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resistance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rotation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increases.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resistance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measured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via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electromechanical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transducer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displayed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graphically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with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additional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calculations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performed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integrated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computer.</w:t>
      </w:r>
      <w:r w:rsidR="00F86F7B">
        <w:rPr>
          <w:rFonts w:ascii="Book Antiqua" w:hAnsi="Book Antiqua"/>
        </w:rPr>
        <w:t xml:space="preserve"> </w:t>
      </w:r>
      <w:proofErr w:type="spellStart"/>
      <w:r w:rsidRPr="000A456E">
        <w:rPr>
          <w:rFonts w:ascii="Book Antiqua" w:hAnsi="Book Antiqua"/>
          <w:caps/>
        </w:rPr>
        <w:t>t</w:t>
      </w:r>
      <w:r w:rsidRPr="000A456E">
        <w:rPr>
          <w:rFonts w:ascii="Book Antiqua" w:hAnsi="Book Antiqua"/>
        </w:rPr>
        <w:t>hromboelastography</w:t>
      </w:r>
      <w:proofErr w:type="spellEnd"/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(TEG)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originally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performed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non-citrated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whole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blood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required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up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60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min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complete.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Citrated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blood,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re-calcified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at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of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testing,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now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commonly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used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reduces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turnaround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30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min.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Initiators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of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clotting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such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Kaolin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also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added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which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further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reduces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test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TEG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has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faster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turnaround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conventional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coagulation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tests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with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initial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results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available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within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10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min.</w:t>
      </w:r>
    </w:p>
    <w:p w14:paraId="7C2DFF8A" w14:textId="77777777" w:rsidR="009178BF" w:rsidRPr="000A456E" w:rsidRDefault="009178BF" w:rsidP="00513566">
      <w:pPr>
        <w:tabs>
          <w:tab w:val="left" w:pos="2266"/>
        </w:tabs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</w:rPr>
        <w:tab/>
      </w:r>
    </w:p>
    <w:p w14:paraId="0BB140A1" w14:textId="77777777" w:rsidR="003971D2" w:rsidRPr="000A456E" w:rsidRDefault="009178BF" w:rsidP="00513566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</w:rPr>
        <w:br w:type="page"/>
      </w:r>
      <w:r w:rsidRPr="000A456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E5A676A" wp14:editId="7C0608A7">
            <wp:extent cx="5820355" cy="4341412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4455" cy="435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8C64" w14:textId="6E969FB3" w:rsidR="00CC41A7" w:rsidRDefault="009178BF" w:rsidP="00513566">
      <w:pPr>
        <w:spacing w:line="360" w:lineRule="auto"/>
        <w:jc w:val="both"/>
        <w:rPr>
          <w:rFonts w:ascii="Book Antiqua" w:hAnsi="Book Antiqua"/>
          <w:lang w:val="en-NZ"/>
        </w:rPr>
        <w:sectPr w:rsidR="00CC41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456E">
        <w:rPr>
          <w:rFonts w:ascii="Book Antiqua" w:hAnsi="Book Antiqua"/>
          <w:b/>
          <w:bCs/>
          <w:lang w:val="en-NZ"/>
        </w:rPr>
        <w:t>Figure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2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Example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of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a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proofErr w:type="spellStart"/>
      <w:r w:rsidR="007F7236" w:rsidRPr="000A456E">
        <w:rPr>
          <w:rFonts w:ascii="Book Antiqua" w:hAnsi="Book Antiqua"/>
          <w:b/>
          <w:bCs/>
          <w:lang w:val="en-NZ"/>
        </w:rPr>
        <w:t>thromboelastography</w:t>
      </w:r>
      <w:proofErr w:type="spellEnd"/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tracing.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/>
        </w:rPr>
        <w:t>Five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parameters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are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routinely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proofErr w:type="spellStart"/>
      <w:r w:rsidR="007F7236" w:rsidRPr="000A456E">
        <w:rPr>
          <w:rFonts w:ascii="Book Antiqua" w:hAnsi="Book Antiqua"/>
        </w:rPr>
        <w:t>thromboelastography</w:t>
      </w:r>
      <w:proofErr w:type="spellEnd"/>
      <w:r w:rsidR="00F86F7B">
        <w:rPr>
          <w:rFonts w:ascii="Book Antiqua" w:hAnsi="Book Antiqua"/>
          <w:lang w:val="en-NZ"/>
        </w:rPr>
        <w:t xml:space="preserve"> </w:t>
      </w:r>
      <w:r w:rsidR="007F7236" w:rsidRPr="000A456E">
        <w:rPr>
          <w:rFonts w:ascii="Book Antiqua" w:hAnsi="Book Antiqua"/>
          <w:lang w:val="en-NZ"/>
        </w:rPr>
        <w:t>(</w:t>
      </w:r>
      <w:r w:rsidRPr="000A456E">
        <w:rPr>
          <w:rFonts w:ascii="Book Antiqua" w:hAnsi="Book Antiqua"/>
          <w:lang w:val="en-NZ"/>
        </w:rPr>
        <w:t>TEG</w:t>
      </w:r>
      <w:r w:rsidR="007F7236" w:rsidRPr="000A456E">
        <w:rPr>
          <w:rFonts w:ascii="Book Antiqua" w:hAnsi="Book Antiqua"/>
          <w:lang w:val="en-NZ"/>
        </w:rPr>
        <w:t>)</w:t>
      </w:r>
      <w:r w:rsidRPr="000A456E">
        <w:rPr>
          <w:rFonts w:ascii="Book Antiqua" w:hAnsi="Book Antiqua"/>
          <w:lang w:val="en-NZ"/>
        </w:rPr>
        <w:t>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reaction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(R)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time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recorded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minutes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time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taken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start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blood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clotting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until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initial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formation,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defined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when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TEG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trace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amplitude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reaches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2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mm.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dependent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coagulation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factors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generally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corresponds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INR/PT.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kinetic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(K)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time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assesses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rate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formation.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point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where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trace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amplification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reaches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20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which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corresponds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standard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firmness.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K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value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dependent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clotting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factors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intrinsic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pathway,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fibrinogen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platelets.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α-angle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also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corresponds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kinetics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formation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line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drawn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base-line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tangent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curve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maximum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amplitude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(MA)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trace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reflects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strength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largely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dependent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platelet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count/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function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lesser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extent,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fibrinogen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concentration.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lysis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30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min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(Ly-30)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reflects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degree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fibrinolysis.</w:t>
      </w:r>
    </w:p>
    <w:p w14:paraId="3AEDA9C8" w14:textId="01511517" w:rsidR="009178BF" w:rsidRPr="000A456E" w:rsidRDefault="008A0543" w:rsidP="00513566">
      <w:pPr>
        <w:spacing w:line="360" w:lineRule="auto"/>
        <w:jc w:val="both"/>
        <w:rPr>
          <w:rFonts w:ascii="Book Antiqua" w:hAnsi="Book Antiqua"/>
          <w:lang w:val="en-NZ"/>
        </w:rPr>
      </w:pPr>
      <w:r w:rsidRPr="000A456E">
        <w:rPr>
          <w:rFonts w:ascii="Book Antiqua" w:hAnsi="Book Antiqua"/>
          <w:lang w:val="en-NZ"/>
        </w:rPr>
        <w:lastRenderedPageBreak/>
        <w:br w:type="page"/>
      </w:r>
      <w:r w:rsidR="00FB207E">
        <w:rPr>
          <w:rFonts w:ascii="Book Antiqua" w:hAnsi="Book Antiqu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75C51" wp14:editId="73EA5F25">
                <wp:simplePos x="0" y="0"/>
                <wp:positionH relativeFrom="column">
                  <wp:posOffset>6985</wp:posOffset>
                </wp:positionH>
                <wp:positionV relativeFrom="paragraph">
                  <wp:posOffset>56515</wp:posOffset>
                </wp:positionV>
                <wp:extent cx="5838190" cy="7553325"/>
                <wp:effectExtent l="0" t="0" r="10160" b="28575"/>
                <wp:wrapNone/>
                <wp:docPr id="2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7553325"/>
                          <a:chOff x="0" y="0"/>
                          <a:chExt cx="58384" cy="7553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" y="51842"/>
                            <a:ext cx="17647" cy="7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5758B" w14:textId="2C44CA77" w:rsidR="00D60E68" w:rsidRDefault="00D60E68" w:rsidP="008A0543">
                              <w:pPr>
                                <w:jc w:val="center"/>
                              </w:pPr>
                              <w:r>
                                <w:t>Full-text articles assessed for eligibility</w:t>
                              </w:r>
                            </w:p>
                            <w:p w14:paraId="068B1FE7" w14:textId="0BD1A0F5" w:rsidR="00D60E68" w:rsidRDefault="00D60E68" w:rsidP="008A054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CA6127">
                                <w:rPr>
                                  <w:rFonts w:ascii="Book Antiqua" w:hAnsi="Book Antiqua"/>
                                  <w:i/>
                                </w:rPr>
                                <w:t>n</w:t>
                              </w:r>
                              <w:r>
                                <w:t xml:space="preserve"> =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50" y="51842"/>
                            <a:ext cx="16872" cy="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59A12" w14:textId="122E21E3" w:rsidR="00D60E68" w:rsidRDefault="00D60E68" w:rsidP="008A0543">
                              <w:pPr>
                                <w:jc w:val="center"/>
                              </w:pPr>
                              <w:r>
                                <w:t>Full-text articles excluded</w:t>
                              </w:r>
                            </w:p>
                            <w:p w14:paraId="58F46E44" w14:textId="13AC80F5" w:rsidR="00D60E68" w:rsidRDefault="00D60E68" w:rsidP="008A054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CA6127">
                                <w:rPr>
                                  <w:rFonts w:ascii="Book Antiqua" w:hAnsi="Book Antiqua"/>
                                  <w:i/>
                                </w:rPr>
                                <w:t>n</w:t>
                              </w:r>
                              <w:r>
                                <w:t xml:space="preserve"> =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" y="67665"/>
                            <a:ext cx="18288" cy="7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E80C1" w14:textId="1C026D4F" w:rsidR="00D60E68" w:rsidRDefault="00D60E68" w:rsidP="008A0543">
                              <w:pPr>
                                <w:jc w:val="center"/>
                              </w:pPr>
                              <w:r>
                                <w:t>Studies included in qualitative synthesis</w:t>
                              </w:r>
                            </w:p>
                            <w:p w14:paraId="7EEE3BFC" w14:textId="4C380F7B" w:rsidR="00D60E68" w:rsidRDefault="00D60E68" w:rsidP="008A054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CA6127">
                                <w:rPr>
                                  <w:rFonts w:ascii="Book Antiqua" w:hAnsi="Book Antiqua"/>
                                  <w:i/>
                                </w:rPr>
                                <w:t>n</w:t>
                              </w:r>
                              <w:r>
                                <w:t xml:space="preserve"> =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Arrow Connector 246"/>
                        <wps:cNvCnPr>
                          <a:cxnSpLocks noChangeShapeType="1"/>
                        </wps:cNvCnPr>
                        <wps:spPr bwMode="auto">
                          <a:xfrm>
                            <a:off x="21786" y="42937"/>
                            <a:ext cx="0" cy="85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248"/>
                        <wps:cNvCnPr>
                          <a:cxnSpLocks noChangeShapeType="1"/>
                        </wps:cNvCnPr>
                        <wps:spPr bwMode="auto">
                          <a:xfrm>
                            <a:off x="22025" y="58998"/>
                            <a:ext cx="0" cy="85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组合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384" cy="42852"/>
                            <a:chOff x="0" y="0"/>
                            <a:chExt cx="58384" cy="42852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42" cy="66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64CDF" w14:textId="4596D7B2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identified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through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PubMed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database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search</w:t>
                                </w:r>
                              </w:p>
                              <w:p w14:paraId="181FD983" w14:textId="718B319B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348)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74" y="0"/>
                              <a:ext cx="25636" cy="66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5455FA" w14:textId="7F1E3DCB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identified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through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Google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Scholar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database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search</w:t>
                                </w:r>
                              </w:p>
                              <w:p w14:paraId="117352DB" w14:textId="2C0E83A1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483)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Straight Arrow Connector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8" y="8587"/>
                              <a:ext cx="0" cy="85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Arrow Connector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50" y="8428"/>
                              <a:ext cx="0" cy="85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7" y="17254"/>
                              <a:ext cx="37763" cy="8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D4ACEB" w14:textId="550AD2D1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after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duplicates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removed</w:t>
                                </w:r>
                              </w:p>
                              <w:p w14:paraId="75FA777A" w14:textId="1E899F87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760)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traight Arrow Connector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48" y="25285"/>
                              <a:ext cx="0" cy="85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3" y="34349"/>
                              <a:ext cx="21685" cy="8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7A7A8" w14:textId="11461130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screened</w:t>
                                </w:r>
                              </w:p>
                              <w:p w14:paraId="2E37AFD9" w14:textId="42EB2A05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760)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95" y="34349"/>
                              <a:ext cx="18389" cy="8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3ED98" w14:textId="709E02C8" w:rsidR="00D60E68" w:rsidRPr="004231B2" w:rsidRDefault="00D60E68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excluded</w:t>
                                </w:r>
                              </w:p>
                              <w:p w14:paraId="206EC3A7" w14:textId="31F30240" w:rsidR="00D60E68" w:rsidRPr="004231B2" w:rsidRDefault="00D60E68" w:rsidP="008A0543">
                                <w:pPr>
                                  <w:pStyle w:val="a5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Ineligible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study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type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711)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traight Arrow Connector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9" y="38563"/>
                              <a:ext cx="736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30135" y="55261"/>
                            <a:ext cx="736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.55pt;margin-top:4.45pt;width:459.7pt;height:594.75pt;z-index:251659264" coordsize="58384,7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642;top:51842;width:17647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4155758B" w14:textId="2C44CA77" w:rsidR="00D60E68" w:rsidRDefault="00D60E68" w:rsidP="008A0543">
                        <w:pPr>
                          <w:jc w:val="center"/>
                        </w:pPr>
                        <w:r>
                          <w:t>Full-text articles assessed for eligibility</w:t>
                        </w:r>
                      </w:p>
                      <w:p w14:paraId="068B1FE7" w14:textId="0BD1A0F5" w:rsidR="00D60E68" w:rsidRDefault="00D60E68" w:rsidP="008A0543">
                        <w:pPr>
                          <w:jc w:val="center"/>
                        </w:pPr>
                        <w:r>
                          <w:t>(</w:t>
                        </w:r>
                        <w:r w:rsidRPr="00CA6127">
                          <w:rPr>
                            <w:rFonts w:ascii="Book Antiqua" w:hAnsi="Book Antiqua"/>
                            <w:i/>
                          </w:rPr>
                          <w:t>n</w:t>
                        </w:r>
                        <w:r>
                          <w:t xml:space="preserve"> = 5)</w:t>
                        </w:r>
                      </w:p>
                    </w:txbxContent>
                  </v:textbox>
                </v:shape>
                <v:shape id="Text Box 2" o:spid="_x0000_s1028" type="#_x0000_t202" style="position:absolute;left:37450;top:51842;width:16872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13059A12" w14:textId="122E21E3" w:rsidR="00D60E68" w:rsidRDefault="00D60E68" w:rsidP="008A0543">
                        <w:pPr>
                          <w:jc w:val="center"/>
                        </w:pPr>
                        <w:r>
                          <w:t>Full-text articles excluded</w:t>
                        </w:r>
                      </w:p>
                      <w:p w14:paraId="58F46E44" w14:textId="13AC80F5" w:rsidR="00D60E68" w:rsidRDefault="00D60E68" w:rsidP="008A0543">
                        <w:pPr>
                          <w:jc w:val="center"/>
                        </w:pPr>
                        <w:r>
                          <w:t>(</w:t>
                        </w:r>
                        <w:r w:rsidRPr="00CA6127">
                          <w:rPr>
                            <w:rFonts w:ascii="Book Antiqua" w:hAnsi="Book Antiqua"/>
                            <w:i/>
                          </w:rPr>
                          <w:t>n</w:t>
                        </w:r>
                        <w:r>
                          <w:t xml:space="preserve"> = 0)</w:t>
                        </w:r>
                      </w:p>
                    </w:txbxContent>
                  </v:textbox>
                </v:shape>
                <v:shape id="Text Box 2" o:spid="_x0000_s1029" type="#_x0000_t202" style="position:absolute;left:12801;top:67665;width:18288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1D8E80C1" w14:textId="1C026D4F" w:rsidR="00D60E68" w:rsidRDefault="00D60E68" w:rsidP="008A0543">
                        <w:pPr>
                          <w:jc w:val="center"/>
                        </w:pPr>
                        <w:r>
                          <w:t>Studies included in qualitative synthesis</w:t>
                        </w:r>
                      </w:p>
                      <w:p w14:paraId="7EEE3BFC" w14:textId="4C380F7B" w:rsidR="00D60E68" w:rsidRDefault="00D60E68" w:rsidP="008A0543">
                        <w:pPr>
                          <w:jc w:val="center"/>
                        </w:pPr>
                        <w:r>
                          <w:t>(</w:t>
                        </w:r>
                        <w:r w:rsidRPr="00CA6127">
                          <w:rPr>
                            <w:rFonts w:ascii="Book Antiqua" w:hAnsi="Book Antiqua"/>
                            <w:i/>
                          </w:rPr>
                          <w:t>n</w:t>
                        </w:r>
                        <w:r>
                          <w:t xml:space="preserve"> = 5)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6" o:spid="_x0000_s1030" type="#_x0000_t32" style="position:absolute;left:21786;top:42937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OtsEAAADaAAAADwAAAGRycy9kb3ducmV2LnhtbESPQYvCMBSE7wv+h/AEb2uq4CrVKCK4&#10;uLAXu0vPj+TZFpuXkmRt/fdmQfA4zMw3zGY32FbcyIfGsYLZNANBrJ1puFLw+3N8X4EIEdlg65gU&#10;3CnAbjt622BuXM9nuhWxEgnCIUcFdYxdLmXQNVkMU9cRJ+/ivMWYpK+k8dgnuG3lPMs+pMWG00KN&#10;HR1q0tfizyrwpT5X+vh1ucplPH33i8+ywFKpyXjYr0FEGuIr/GyfjIIl/F9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k862wQAAANoAAAAPAAAAAAAAAAAAAAAA&#10;AKECAABkcnMvZG93bnJldi54bWxQSwUGAAAAAAQABAD5AAAAjwMAAAAA&#10;" strokecolor="black [3213]" strokeweight="1.5pt">
                  <v:stroke endarrow="block"/>
                </v:shape>
                <v:shape id="Straight Arrow Connector 248" o:spid="_x0000_s1031" type="#_x0000_t32" style="position:absolute;left:22025;top:58998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axL4AAADaAAAADwAAAGRycy9kb3ducmV2LnhtbERPTYvCMBC9C/sfwizsTVMXVqUaRRZc&#10;FLxYpechGdtiMylJ1tZ/bw6Cx8f7Xm0G24o7+dA4VjCdZCCItTMNVwou5914ASJEZIOtY1LwoACb&#10;9cdohblxPZ/oXsRKpBAOOSqoY+xyKYOuyWKYuI44cVfnLcYEfSWNxz6F21Z+Z9lMWmw4NdTY0W9N&#10;+lb8WwW+1KdK7w7Xm5zH/bH/+SsLLJX6+hy2SxCRhvgWv9x7oyBtTVfSDZD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DFrEvgAAANoAAAAPAAAAAAAAAAAAAAAAAKEC&#10;AABkcnMvZG93bnJldi54bWxQSwUGAAAAAAQABAD5AAAAjAMAAAAA&#10;" strokecolor="black [3213]" strokeweight="1.5pt">
                  <v:stroke endarrow="block"/>
                </v:shape>
                <v:group id="组合 1" o:spid="_x0000_s1032" style="position:absolute;width:58384;height:42852" coordsize="58384,4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2" o:spid="_x0000_s1033" type="#_x0000_t202" style="position:absolute;width:25642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  <v:textbox style="mso-fit-shape-to-text:t">
                      <w:txbxContent>
                        <w:p w14:paraId="42E64CDF" w14:textId="4596D7B2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identified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through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PubMed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database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search</w:t>
                          </w:r>
                        </w:p>
                        <w:p w14:paraId="181FD983" w14:textId="718B319B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348)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6874;width:25636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  <v:textbox style="mso-fit-shape-to-text:t">
                      <w:txbxContent>
                        <w:p w14:paraId="6F5455FA" w14:textId="7F1E3DCB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identified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through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Google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Scholar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database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search</w:t>
                          </w:r>
                        </w:p>
                        <w:p w14:paraId="117352DB" w14:textId="2C0E83A1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483)</w:t>
                          </w:r>
                        </w:p>
                      </w:txbxContent>
                    </v:textbox>
                  </v:shape>
                  <v:shape id="Straight Arrow Connector 243" o:spid="_x0000_s1035" type="#_x0000_t32" style="position:absolute;left:10098;top:8587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3sW78AAADbAAAADwAAAGRycy9kb3ducmV2LnhtbERPTYvCMBC9L/gfwgje1lTBXalGEUFR&#10;2IvdpechGdtiMylJtPXfm4WFvc3jfc56O9hWPMiHxrGC2TQDQaydabhS8PN9eF+CCBHZYOuYFDwp&#10;wHYzeltjblzPF3oUsRIphEOOCuoYu1zKoGuyGKauI07c1XmLMUFfSeOxT+G2lfMs+5AWG04NNXa0&#10;r0nfirtV4Et9qfThfL3Jz3j66hfHssBSqcl42K1ARBriv/jPfTJp/hx+f0k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F3sW78AAADbAAAADwAAAAAAAAAAAAAAAACh&#10;AgAAZHJzL2Rvd25yZXYueG1sUEsFBgAAAAAEAAQA+QAAAI0DAAAAAA==&#10;" strokecolor="black [3213]" strokeweight="1.5pt">
                    <v:stroke endarrow="block"/>
                  </v:shape>
                  <v:shape id="Straight Arrow Connector 241" o:spid="_x0000_s1036" type="#_x0000_t32" style="position:absolute;left:37450;top:8428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FJwMAAAADbAAAADwAAAGRycy9kb3ducmV2LnhtbERP32vCMBB+H/g/hBN8m6nKNqlGEUFx&#10;sBc76fORnG2xuZQk2vrfL4PB3u7j+3nr7WBb8SAfGscKZtMMBLF2puFKweX78LoEESKywdYxKXhS&#10;gO1m9LLG3Liez/QoYiVSCIccFdQxdrmUQddkMUxdR5y4q/MWY4K+ksZjn8JtK+dZ9i4tNpwaauxo&#10;X5O+FXerwJf6XOnD5/UmP+Lpq387lgWWSk3Gw24FItIQ/8V/7pNJ8xfw+0s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RScDAAAAA2wAAAA8AAAAAAAAAAAAAAAAA&#10;oQIAAGRycy9kb3ducmV2LnhtbFBLBQYAAAAABAAEAPkAAACOAwAAAAA=&#10;" strokecolor="black [3213]" strokeweight="1.5pt">
                    <v:stroke endarrow="block"/>
                  </v:shape>
                  <v:shape id="Text Box 2" o:spid="_x0000_s1037" type="#_x0000_t202" style="position:absolute;left:5327;top:17254;width:37763;height:8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14:paraId="2CD4ACEB" w14:textId="550AD2D1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after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duplicates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removed</w:t>
                          </w:r>
                        </w:p>
                        <w:p w14:paraId="75FA777A" w14:textId="1E899F87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760)</w:t>
                          </w:r>
                        </w:p>
                      </w:txbxContent>
                    </v:textbox>
                  </v:shape>
                  <v:shape id="Straight Arrow Connector 239" o:spid="_x0000_s1038" type="#_x0000_t32" style="position:absolute;left:21548;top:25285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R0L78AAADbAAAADwAAAGRycy9kb3ducmV2LnhtbERPTYvCMBC9L/gfwgje1lTBXalGEUFR&#10;2IvdpechGdtiMylJtPXfm4WFvc3jfc56O9hWPMiHxrGC2TQDQaydabhS8PN9eF+CCBHZYOuYFDwp&#10;wHYzeltjblzPF3oUsRIphEOOCuoYu1zKoGuyGKauI07c1XmLMUFfSeOxT+G2lfMs+5AWG04NNXa0&#10;r0nfirtV4Et9qfThfL3Jz3j66hfHssBSqcl42K1ARBriv/jPfTJp/gJ+f0k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7R0L78AAADbAAAADwAAAAAAAAAAAAAAAACh&#10;AgAAZHJzL2Rvd25yZXYueG1sUEsFBgAAAAAEAAQA+QAAAI0DAAAAAA==&#10;" strokecolor="black [3213]" strokeweight="1.5pt">
                    <v:stroke endarrow="block"/>
                  </v:shape>
                  <v:shape id="Text Box 2" o:spid="_x0000_s1039" type="#_x0000_t202" style="position:absolute;left:10893;top:34349;width:21685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14:paraId="4B87A7A8" w14:textId="11461130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screened</w:t>
                          </w:r>
                        </w:p>
                        <w:p w14:paraId="2E37AFD9" w14:textId="42EB2A05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760)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39995;top:34349;width:18389;height:8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14:paraId="5E73ED98" w14:textId="709E02C8" w:rsidR="00D60E68" w:rsidRPr="004231B2" w:rsidRDefault="00D60E68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excluded</w:t>
                          </w:r>
                        </w:p>
                        <w:p w14:paraId="206EC3A7" w14:textId="31F30240" w:rsidR="00D60E68" w:rsidRPr="004231B2" w:rsidRDefault="00D60E68" w:rsidP="008A0543">
                          <w:pPr>
                            <w:pStyle w:val="a5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Ineligible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study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type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711)</w:t>
                          </w:r>
                        </w:p>
                      </w:txbxContent>
                    </v:textbox>
                  </v:shape>
                  <v:shape id="Straight Arrow Connector 245" o:spid="_x0000_s1041" type="#_x0000_t32" style="position:absolute;left:32679;top:38563;width:7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dYMMAAADbAAAADwAAAGRycy9kb3ducmV2LnhtbESPT2vCQBDF7wW/wzJCb7rxf0ldRRSp&#10;UC/R9j5kxySYnQ3ZVdN+eudQ6G2G9+a93yzXnavVndpQeTYwGiagiHNvKy4MfJ33gzdQISJbrD2T&#10;gR8KsF71XpaYWv/gjO6nWCgJ4ZCigTLGJtU65CU5DEPfEIt28a3DKGtbaNviQ8JdrcdJMtcOK5aG&#10;EhvalpRfTzdn4MPi5Psynbk8y/bFbvF5nC5+gzGv/W7zDipSF//Nf9cHK/gCK7/IAHr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EnWDDAAAA2wAAAA8AAAAAAAAAAAAA&#10;AAAAoQIAAGRycy9kb3ducmV2LnhtbFBLBQYAAAAABAAEAPkAAACRAwAAAAA=&#10;" strokecolor="black [3213]" strokeweight="1pt">
                    <v:stroke endarrow="block"/>
                  </v:shape>
                </v:group>
                <v:shape id="Straight Arrow Connector 18" o:spid="_x0000_s1042" type="#_x0000_t32" style="position:absolute;left:30135;top:55261;width:7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4+8IAAADbAAAADwAAAGRycy9kb3ducmV2LnhtbERPS2vCQBC+F/wPywje6sZHq6auobSI&#10;Bb3E6n3IjklodjbsbmPaX+8WCt7m43vOOutNIzpyvrasYDJOQBAXVtdcKjh9bh+XIHxA1thYJgU/&#10;5CHbDB7WmGp75Zy6YyhFDGGfooIqhDaV0hcVGfRj2xJH7mKdwRChK6V2eI3hppHTJHmWBmuODRW2&#10;9FZR8XX8Ngp2Gmfny/zJFHm+Ld8X+8N88euVGg371xcQgfpwF/+7P3Scv4K/X+I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4+8IAAADbAAAADwAAAAAAAAAAAAAA&#10;AAChAgAAZHJzL2Rvd25yZXYueG1sUEsFBgAAAAAEAAQA+QAAAJADAAAAAA==&#10;" strokecolor="black [3213]" strokeweight="1pt">
                  <v:stroke endarrow="block"/>
                </v:shape>
              </v:group>
            </w:pict>
          </mc:Fallback>
        </mc:AlternateContent>
      </w:r>
    </w:p>
    <w:p w14:paraId="339A90C4" w14:textId="189AD9DB" w:rsidR="008A0543" w:rsidRDefault="008A0543" w:rsidP="00513566">
      <w:pPr>
        <w:tabs>
          <w:tab w:val="left" w:pos="6162"/>
        </w:tabs>
        <w:spacing w:line="360" w:lineRule="auto"/>
        <w:rPr>
          <w:rFonts w:ascii="Book Antiqua" w:hAnsi="Book Antiqua"/>
          <w:b/>
          <w:bCs/>
        </w:rPr>
      </w:pPr>
      <w:r w:rsidRPr="000A456E">
        <w:rPr>
          <w:rFonts w:ascii="Book Antiqua" w:hAnsi="Book Antiqua"/>
          <w:b/>
          <w:bCs/>
        </w:rPr>
        <w:lastRenderedPageBreak/>
        <w:t>Figure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3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PRISMA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flow</w:t>
      </w:r>
      <w:r w:rsidR="00F86F7B">
        <w:rPr>
          <w:rFonts w:ascii="Book Antiqua" w:hAnsi="Book Antiqua"/>
          <w:b/>
          <w:bCs/>
        </w:rPr>
        <w:t xml:space="preserve"> </w:t>
      </w:r>
      <w:proofErr w:type="gramStart"/>
      <w:r w:rsidRPr="000A456E">
        <w:rPr>
          <w:rFonts w:ascii="Book Antiqua" w:hAnsi="Book Antiqua"/>
          <w:b/>
          <w:bCs/>
        </w:rPr>
        <w:t>diagram</w:t>
      </w:r>
      <w:proofErr w:type="gramEnd"/>
      <w:r w:rsidRPr="000A456E">
        <w:rPr>
          <w:rFonts w:ascii="Book Antiqua" w:hAnsi="Book Antiqua"/>
          <w:b/>
          <w:bCs/>
        </w:rPr>
        <w:t>.</w:t>
      </w:r>
    </w:p>
    <w:p w14:paraId="4E9C09DD" w14:textId="77777777" w:rsidR="008739BE" w:rsidRPr="000A456E" w:rsidRDefault="008739BE" w:rsidP="00513566">
      <w:pPr>
        <w:tabs>
          <w:tab w:val="left" w:pos="6162"/>
        </w:tabs>
        <w:spacing w:line="360" w:lineRule="auto"/>
        <w:rPr>
          <w:rFonts w:ascii="Book Antiqua" w:hAnsi="Book Antiqua"/>
          <w:b/>
          <w:bCs/>
        </w:rPr>
      </w:pPr>
    </w:p>
    <w:p w14:paraId="4BB083F2" w14:textId="77DD52C1" w:rsidR="009178BF" w:rsidRPr="000A456E" w:rsidRDefault="006805E9" w:rsidP="00513566">
      <w:pPr>
        <w:spacing w:line="360" w:lineRule="auto"/>
        <w:rPr>
          <w:rFonts w:ascii="Book Antiqua" w:hAnsi="Book Antiqua"/>
          <w:lang w:val="en-NZ"/>
        </w:rPr>
      </w:pPr>
      <w:r>
        <w:rPr>
          <w:noProof/>
          <w:lang w:eastAsia="zh-CN"/>
        </w:rPr>
        <w:drawing>
          <wp:inline distT="0" distB="0" distL="0" distR="0" wp14:anchorId="0CE8F00E" wp14:editId="5F4E010E">
            <wp:extent cx="6034396" cy="39120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7869" cy="391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C576" w14:textId="63AB16EF" w:rsidR="007F2319" w:rsidRPr="000A456E" w:rsidRDefault="00451275" w:rsidP="00513566">
      <w:pPr>
        <w:spacing w:line="360" w:lineRule="auto"/>
        <w:rPr>
          <w:rFonts w:ascii="Book Antiqua" w:hAnsi="Book Antiqua"/>
          <w:b/>
          <w:lang w:val="en-NZ"/>
        </w:rPr>
      </w:pPr>
      <w:r w:rsidRPr="000A456E">
        <w:rPr>
          <w:rFonts w:ascii="Book Antiqua" w:hAnsi="Book Antiqua"/>
          <w:b/>
          <w:lang w:val="en-NZ"/>
        </w:rPr>
        <w:t>Figure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4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Author-judged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risk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of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bias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for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each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included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study.</w:t>
      </w:r>
    </w:p>
    <w:p w14:paraId="441E24F2" w14:textId="73A9D30B" w:rsidR="00451275" w:rsidRPr="000A456E" w:rsidRDefault="007F2319" w:rsidP="00513566">
      <w:pPr>
        <w:spacing w:line="360" w:lineRule="auto"/>
        <w:rPr>
          <w:rFonts w:ascii="Book Antiqua" w:hAnsi="Book Antiqua"/>
          <w:b/>
          <w:lang w:val="en-NZ"/>
        </w:rPr>
      </w:pPr>
      <w:r w:rsidRPr="000A456E">
        <w:rPr>
          <w:rFonts w:ascii="Book Antiqua" w:hAnsi="Book Antiqua"/>
          <w:b/>
          <w:lang w:val="en-NZ"/>
        </w:rPr>
        <w:br w:type="page"/>
      </w:r>
      <w:r w:rsidRPr="000A456E">
        <w:rPr>
          <w:rFonts w:ascii="Book Antiqua" w:hAnsi="Book Antiqua"/>
          <w:b/>
          <w:lang w:val="en-NZ"/>
        </w:rPr>
        <w:lastRenderedPageBreak/>
        <w:t>Table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1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Rebalanced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haemostasis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in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chronic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liver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disease</w:t>
      </w:r>
    </w:p>
    <w:tbl>
      <w:tblPr>
        <w:tblStyle w:val="GridTable4"/>
        <w:tblpPr w:leftFromText="180" w:rightFromText="180" w:vertAnchor="text" w:horzAnchor="margin" w:tblpY="244"/>
        <w:tblW w:w="9840" w:type="dxa"/>
        <w:tblBorders>
          <w:top w:val="single" w:sz="4" w:space="0" w:color="000000" w:themeColor="text1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3325"/>
        <w:gridCol w:w="3605"/>
      </w:tblGrid>
      <w:tr w:rsidR="00A31FCA" w:rsidRPr="000A456E" w14:paraId="449D4FD1" w14:textId="77777777" w:rsidTr="003E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left w:val="none" w:sz="0" w:space="0" w:color="auto"/>
              <w:bottom w:val="single" w:sz="4" w:space="0" w:color="666666" w:themeColor="text1" w:themeTint="99"/>
              <w:right w:val="none" w:sz="0" w:space="0" w:color="auto"/>
            </w:tcBorders>
            <w:shd w:val="clear" w:color="auto" w:fill="auto"/>
          </w:tcPr>
          <w:p w14:paraId="537C3307" w14:textId="77777777" w:rsidR="00A31FCA" w:rsidRPr="003E7254" w:rsidRDefault="00A31FCA" w:rsidP="00513566">
            <w:pPr>
              <w:spacing w:line="360" w:lineRule="auto"/>
              <w:rPr>
                <w:rFonts w:ascii="Book Antiqua" w:hAnsi="Book Antiqua"/>
                <w:color w:val="000000" w:themeColor="text1"/>
                <w:lang w:val="en-NZ"/>
              </w:rPr>
            </w:pPr>
          </w:p>
        </w:tc>
        <w:tc>
          <w:tcPr>
            <w:tcW w:w="3325" w:type="dxa"/>
            <w:tcBorders>
              <w:left w:val="none" w:sz="0" w:space="0" w:color="auto"/>
              <w:bottom w:val="single" w:sz="4" w:space="0" w:color="666666" w:themeColor="text1" w:themeTint="99"/>
              <w:right w:val="none" w:sz="0" w:space="0" w:color="auto"/>
            </w:tcBorders>
            <w:shd w:val="clear" w:color="auto" w:fill="auto"/>
          </w:tcPr>
          <w:p w14:paraId="5EBE6896" w14:textId="37A76C0A" w:rsidR="00A31FCA" w:rsidRPr="003E7254" w:rsidRDefault="00A31FCA" w:rsidP="005135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Procoagulant</w:t>
            </w:r>
            <w:r w:rsidR="00F86F7B" w:rsidRPr="003E7254">
              <w:rPr>
                <w:rFonts w:ascii="Book Antiqua" w:hAnsi="Book Antiqua"/>
                <w:color w:val="000000" w:themeColor="text1"/>
                <w:lang w:val="en-NZ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factors</w:t>
            </w:r>
          </w:p>
        </w:tc>
        <w:tc>
          <w:tcPr>
            <w:tcW w:w="3605" w:type="dxa"/>
            <w:tcBorders>
              <w:left w:val="none" w:sz="0" w:space="0" w:color="auto"/>
              <w:bottom w:val="single" w:sz="4" w:space="0" w:color="666666" w:themeColor="text1" w:themeTint="99"/>
              <w:right w:val="none" w:sz="0" w:space="0" w:color="auto"/>
            </w:tcBorders>
            <w:shd w:val="clear" w:color="auto" w:fill="auto"/>
          </w:tcPr>
          <w:p w14:paraId="49BF228D" w14:textId="7167B860" w:rsidR="00A31FCA" w:rsidRPr="003E7254" w:rsidRDefault="00A31FCA" w:rsidP="005135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Anticoagulant</w:t>
            </w:r>
            <w:r w:rsidR="00F86F7B" w:rsidRPr="003E7254">
              <w:rPr>
                <w:rFonts w:ascii="Book Antiqua" w:hAnsi="Book Antiqua"/>
                <w:color w:val="000000" w:themeColor="text1"/>
                <w:lang w:val="en-NZ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factors</w:t>
            </w:r>
          </w:p>
        </w:tc>
      </w:tr>
      <w:tr w:rsidR="00A31FCA" w:rsidRPr="000A456E" w14:paraId="5A7D9FC7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620BE189" w14:textId="6A949915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Primary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haemostasis</w:t>
            </w:r>
          </w:p>
        </w:tc>
        <w:tc>
          <w:tcPr>
            <w:tcW w:w="3325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7CD83216" w14:textId="5C1B9DBC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Increased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proofErr w:type="spellStart"/>
            <w:r w:rsidRPr="000A456E">
              <w:rPr>
                <w:rFonts w:ascii="Book Antiqua" w:hAnsi="Book Antiqua"/>
                <w:lang w:val="en-NZ"/>
              </w:rPr>
              <w:t>vWF</w:t>
            </w:r>
            <w:proofErr w:type="spellEnd"/>
          </w:p>
          <w:p w14:paraId="0D0676B9" w14:textId="6BDE308F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Reduced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ADAMTS13</w:t>
            </w:r>
          </w:p>
        </w:tc>
        <w:tc>
          <w:tcPr>
            <w:tcW w:w="3605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4C054D14" w14:textId="77777777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Thrombocytopenia</w:t>
            </w:r>
          </w:p>
          <w:p w14:paraId="026AE91D" w14:textId="00DA5DCC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+/-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="00EC6589" w:rsidRPr="000A456E">
              <w:rPr>
                <w:rFonts w:ascii="Book Antiqua" w:hAnsi="Book Antiqua"/>
                <w:lang w:val="en-NZ"/>
              </w:rPr>
              <w:t>p</w:t>
            </w:r>
            <w:r w:rsidRPr="000A456E">
              <w:rPr>
                <w:rFonts w:ascii="Book Antiqua" w:hAnsi="Book Antiqua"/>
                <w:lang w:val="en-NZ"/>
              </w:rPr>
              <w:t>latelet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dysfunction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</w:p>
        </w:tc>
      </w:tr>
      <w:tr w:rsidR="00A31FCA" w:rsidRPr="000A456E" w14:paraId="6EEC7FC3" w14:textId="77777777" w:rsidTr="002B786D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auto"/>
          </w:tcPr>
          <w:p w14:paraId="20676F83" w14:textId="2D7CE7EA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Secondary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haemostasis/coagulation</w:t>
            </w:r>
          </w:p>
        </w:tc>
        <w:tc>
          <w:tcPr>
            <w:tcW w:w="3325" w:type="dxa"/>
            <w:shd w:val="clear" w:color="auto" w:fill="auto"/>
          </w:tcPr>
          <w:p w14:paraId="3B2DB361" w14:textId="5BF119E7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High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FVIII</w:t>
            </w:r>
          </w:p>
          <w:p w14:paraId="63477251" w14:textId="7F29AC80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Reduced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protein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C,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protein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S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antithrombin</w:t>
            </w:r>
          </w:p>
        </w:tc>
        <w:tc>
          <w:tcPr>
            <w:tcW w:w="3605" w:type="dxa"/>
            <w:shd w:val="clear" w:color="auto" w:fill="auto"/>
          </w:tcPr>
          <w:p w14:paraId="46F984B6" w14:textId="7E993D4A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Reduced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synthesis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of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FII,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FV,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FVII,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FIX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FXI</w:t>
            </w:r>
          </w:p>
          <w:p w14:paraId="6D651A8C" w14:textId="77777777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Dysfibrinogenaemia</w:t>
            </w:r>
          </w:p>
          <w:p w14:paraId="5AB8644B" w14:textId="0F9342DC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fibrinogen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(in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end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stage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disease)</w:t>
            </w:r>
          </w:p>
        </w:tc>
      </w:tr>
      <w:tr w:rsidR="00A31FCA" w:rsidRPr="000A456E" w14:paraId="6B97E30C" w14:textId="77777777" w:rsidTr="002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auto"/>
          </w:tcPr>
          <w:p w14:paraId="01EE58F9" w14:textId="77777777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Fibrinolysis</w:t>
            </w:r>
          </w:p>
        </w:tc>
        <w:tc>
          <w:tcPr>
            <w:tcW w:w="3325" w:type="dxa"/>
            <w:shd w:val="clear" w:color="auto" w:fill="auto"/>
          </w:tcPr>
          <w:p w14:paraId="2FD8091F" w14:textId="720F2FFE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plasminogen</w:t>
            </w:r>
          </w:p>
          <w:p w14:paraId="0DE2BABE" w14:textId="62FBCFE6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High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PAI-1</w:t>
            </w:r>
          </w:p>
        </w:tc>
        <w:tc>
          <w:tcPr>
            <w:tcW w:w="3605" w:type="dxa"/>
            <w:shd w:val="clear" w:color="auto" w:fill="auto"/>
          </w:tcPr>
          <w:p w14:paraId="4E22B249" w14:textId="15A95C86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antiplasmin</w:t>
            </w:r>
          </w:p>
          <w:p w14:paraId="241E7B41" w14:textId="05DDCE2F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TAFI</w:t>
            </w:r>
          </w:p>
          <w:p w14:paraId="406B3332" w14:textId="70149BFE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High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proofErr w:type="spellStart"/>
            <w:r w:rsidRPr="000A456E">
              <w:rPr>
                <w:rFonts w:ascii="Book Antiqua" w:hAnsi="Book Antiqua"/>
                <w:lang w:val="en-NZ"/>
              </w:rPr>
              <w:t>tPA</w:t>
            </w:r>
            <w:proofErr w:type="spellEnd"/>
          </w:p>
        </w:tc>
      </w:tr>
    </w:tbl>
    <w:p w14:paraId="57AC8CE7" w14:textId="3FCBC528" w:rsidR="007B3D32" w:rsidRPr="007B3D32" w:rsidRDefault="00F1576F" w:rsidP="00513566">
      <w:pPr>
        <w:spacing w:line="360" w:lineRule="auto"/>
        <w:jc w:val="both"/>
        <w:rPr>
          <w:rFonts w:ascii="Book Antiqua" w:hAnsi="Book Antiqua"/>
          <w:lang w:eastAsia="zh-CN"/>
        </w:rPr>
      </w:pPr>
      <w:r w:rsidRPr="00A33624">
        <w:rPr>
          <w:rFonts w:ascii="Book Antiqua" w:hAnsi="Book Antiqua"/>
        </w:rPr>
        <w:t>ADAMTS13</w:t>
      </w:r>
      <w:r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Pr="00F1576F">
        <w:rPr>
          <w:rFonts w:ascii="Book Antiqua" w:hAnsi="Book Antiqua"/>
          <w:caps/>
        </w:rPr>
        <w:t>a</w:t>
      </w:r>
      <w:r w:rsidR="00F86F7B">
        <w:rPr>
          <w:rFonts w:ascii="Book Antiqua" w:hAnsi="Book Antiqua"/>
        </w:rPr>
        <w:t xml:space="preserve"> </w:t>
      </w:r>
      <w:proofErr w:type="spellStart"/>
      <w:r w:rsidRPr="00A33624">
        <w:rPr>
          <w:rFonts w:ascii="Book Antiqua" w:hAnsi="Book Antiqua"/>
        </w:rPr>
        <w:t>disintegrin</w:t>
      </w:r>
      <w:proofErr w:type="spellEnd"/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metalloproteinase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with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thrombospondin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type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1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motif,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member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13</w:t>
      </w:r>
      <w:r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PAI-1</w:t>
      </w:r>
      <w:r w:rsidR="005F3A9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5F3A93" w:rsidRPr="005F3A93">
        <w:rPr>
          <w:rFonts w:ascii="Book Antiqua" w:hAnsi="Book Antiqua"/>
          <w:caps/>
        </w:rPr>
        <w:t>p</w:t>
      </w:r>
      <w:r w:rsidR="005F3A93" w:rsidRPr="00A33624">
        <w:rPr>
          <w:rFonts w:ascii="Book Antiqua" w:hAnsi="Book Antiqua"/>
        </w:rPr>
        <w:t>lasminogen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activator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inhibitor-1</w:t>
      </w:r>
      <w:r w:rsidR="005F3A93"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TAFI</w:t>
      </w:r>
      <w:r w:rsidR="005F3A9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5F3A93" w:rsidRPr="005F3A93">
        <w:rPr>
          <w:rFonts w:ascii="Book Antiqua" w:hAnsi="Book Antiqua"/>
          <w:caps/>
        </w:rPr>
        <w:t>t</w:t>
      </w:r>
      <w:r w:rsidR="005F3A93" w:rsidRPr="00A33624">
        <w:rPr>
          <w:rFonts w:ascii="Book Antiqua" w:hAnsi="Book Antiqua"/>
        </w:rPr>
        <w:t>hrombin-</w:t>
      </w:r>
      <w:proofErr w:type="spellStart"/>
      <w:r w:rsidR="005F3A93" w:rsidRPr="00A33624">
        <w:rPr>
          <w:rFonts w:ascii="Book Antiqua" w:hAnsi="Book Antiqua"/>
        </w:rPr>
        <w:t>activatable</w:t>
      </w:r>
      <w:proofErr w:type="spellEnd"/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fibrinolysis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inhibitor</w:t>
      </w:r>
      <w:r w:rsidR="005F3A93"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proofErr w:type="spellStart"/>
      <w:proofErr w:type="gramStart"/>
      <w:r w:rsidR="005F3A93" w:rsidRPr="00A33624">
        <w:rPr>
          <w:rFonts w:ascii="Book Antiqua" w:hAnsi="Book Antiqua"/>
        </w:rPr>
        <w:t>tPA</w:t>
      </w:r>
      <w:proofErr w:type="spellEnd"/>
      <w:proofErr w:type="gramEnd"/>
      <w:r w:rsidR="005F3A9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Tissue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plasminogen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activator</w:t>
      </w:r>
      <w:r w:rsidR="00F06243"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proofErr w:type="spellStart"/>
      <w:r w:rsidR="00F06243" w:rsidRPr="00A33624">
        <w:rPr>
          <w:rFonts w:ascii="Book Antiqua" w:hAnsi="Book Antiqua"/>
        </w:rPr>
        <w:t>vWF</w:t>
      </w:r>
      <w:proofErr w:type="spellEnd"/>
      <w:r w:rsidR="00F0624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F06243" w:rsidRPr="00A33624">
        <w:rPr>
          <w:rFonts w:ascii="Book Antiqua" w:hAnsi="Book Antiqua"/>
        </w:rPr>
        <w:t>von</w:t>
      </w:r>
      <w:r w:rsidR="00F86F7B">
        <w:rPr>
          <w:rFonts w:ascii="Book Antiqua" w:hAnsi="Book Antiqua"/>
        </w:rPr>
        <w:t xml:space="preserve"> </w:t>
      </w:r>
      <w:proofErr w:type="spellStart"/>
      <w:r w:rsidR="00F06243" w:rsidRPr="00A33624">
        <w:rPr>
          <w:rFonts w:ascii="Book Antiqua" w:hAnsi="Book Antiqua"/>
        </w:rPr>
        <w:t>Willebrand</w:t>
      </w:r>
      <w:proofErr w:type="spellEnd"/>
      <w:r w:rsidR="00F86F7B">
        <w:rPr>
          <w:rFonts w:ascii="Book Antiqua" w:hAnsi="Book Antiqua"/>
        </w:rPr>
        <w:t xml:space="preserve"> </w:t>
      </w:r>
      <w:r w:rsidR="00F06243" w:rsidRPr="00A33624">
        <w:rPr>
          <w:rFonts w:ascii="Book Antiqua" w:hAnsi="Book Antiqua"/>
        </w:rPr>
        <w:t>factor</w:t>
      </w:r>
      <w:r>
        <w:rPr>
          <w:rFonts w:ascii="Book Antiqua" w:hAnsi="Book Antiqua"/>
        </w:rPr>
        <w:t>.</w:t>
      </w:r>
    </w:p>
    <w:p w14:paraId="11A66DE9" w14:textId="77777777" w:rsidR="007B3D32" w:rsidRDefault="00A31FCA" w:rsidP="00513566">
      <w:pPr>
        <w:spacing w:line="360" w:lineRule="auto"/>
        <w:rPr>
          <w:rFonts w:ascii="Book Antiqua" w:hAnsi="Book Antiqua"/>
          <w:b/>
          <w:lang w:val="en-NZ" w:eastAsia="zh-CN"/>
        </w:rPr>
      </w:pPr>
      <w:r w:rsidRPr="000A456E">
        <w:rPr>
          <w:rFonts w:ascii="Book Antiqua" w:hAnsi="Book Antiqua"/>
          <w:b/>
          <w:lang w:val="en-NZ"/>
        </w:rPr>
        <w:br w:type="page"/>
      </w:r>
    </w:p>
    <w:p w14:paraId="194FB7C2" w14:textId="38D33E04" w:rsidR="00A31FCA" w:rsidRPr="000A456E" w:rsidRDefault="00A31FCA" w:rsidP="00513566">
      <w:pPr>
        <w:spacing w:line="360" w:lineRule="auto"/>
        <w:rPr>
          <w:rFonts w:ascii="Book Antiqua" w:hAnsi="Book Antiqua"/>
          <w:b/>
          <w:lang w:val="en-NZ"/>
        </w:rPr>
      </w:pPr>
      <w:r w:rsidRPr="000A456E">
        <w:rPr>
          <w:rFonts w:ascii="Book Antiqua" w:hAnsi="Book Antiqua"/>
          <w:b/>
          <w:lang w:val="en-NZ"/>
        </w:rPr>
        <w:lastRenderedPageBreak/>
        <w:t>Table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2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Comparison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of</w:t>
      </w:r>
      <w:r w:rsidR="00F86F7B">
        <w:rPr>
          <w:rFonts w:ascii="Book Antiqua" w:hAnsi="Book Antiqua"/>
          <w:b/>
          <w:lang w:val="en-NZ"/>
        </w:rPr>
        <w:t xml:space="preserve"> </w:t>
      </w:r>
      <w:proofErr w:type="spellStart"/>
      <w:r w:rsidR="00D43910" w:rsidRPr="00D43910">
        <w:rPr>
          <w:rFonts w:ascii="Book Antiqua" w:hAnsi="Book Antiqua"/>
          <w:b/>
          <w:lang w:val="en-NZ"/>
        </w:rPr>
        <w:t>thromboelastography</w:t>
      </w:r>
      <w:proofErr w:type="spellEnd"/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and</w:t>
      </w:r>
      <w:r w:rsidR="00F86F7B">
        <w:rPr>
          <w:rFonts w:ascii="Book Antiqua" w:hAnsi="Book Antiqua"/>
          <w:b/>
          <w:lang w:val="en-NZ"/>
        </w:rPr>
        <w:t xml:space="preserve"> </w:t>
      </w:r>
      <w:r w:rsidR="00D43910" w:rsidRPr="00D43910">
        <w:rPr>
          <w:rFonts w:ascii="Book Antiqua" w:hAnsi="Book Antiqua"/>
          <w:b/>
          <w:lang w:val="en-NZ"/>
        </w:rPr>
        <w:t>rotational</w:t>
      </w:r>
      <w:r w:rsidR="00F86F7B">
        <w:rPr>
          <w:rFonts w:ascii="Book Antiqua" w:hAnsi="Book Antiqua"/>
          <w:b/>
          <w:lang w:val="en-NZ"/>
        </w:rPr>
        <w:t xml:space="preserve"> </w:t>
      </w:r>
      <w:proofErr w:type="spellStart"/>
      <w:r w:rsidR="00D43910" w:rsidRPr="00D43910">
        <w:rPr>
          <w:rFonts w:ascii="Book Antiqua" w:hAnsi="Book Antiqua"/>
          <w:b/>
          <w:lang w:val="en-NZ"/>
        </w:rPr>
        <w:t>thrombelastometry</w:t>
      </w:r>
      <w:proofErr w:type="spellEnd"/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parameters</w:t>
      </w:r>
    </w:p>
    <w:tbl>
      <w:tblPr>
        <w:tblStyle w:val="GridTable4"/>
        <w:tblW w:w="9782" w:type="dxa"/>
        <w:tblInd w:w="-176" w:type="dxa"/>
        <w:tblBorders>
          <w:top w:val="single" w:sz="4" w:space="0" w:color="000000" w:themeColor="text1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033"/>
        <w:gridCol w:w="2078"/>
      </w:tblGrid>
      <w:tr w:rsidR="00A31FCA" w:rsidRPr="000A456E" w14:paraId="0A054157" w14:textId="77777777" w:rsidTr="003E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494992" w14:textId="77777777" w:rsidR="00A31FCA" w:rsidRPr="003E7254" w:rsidRDefault="00A31FCA" w:rsidP="00513566">
            <w:pPr>
              <w:spacing w:line="360" w:lineRule="auto"/>
              <w:rPr>
                <w:rFonts w:ascii="Book Antiqua" w:hAnsi="Book Antiqua"/>
                <w:color w:val="000000" w:themeColor="text1"/>
                <w:lang w:val="en-NZ"/>
              </w:rPr>
            </w:pPr>
          </w:p>
        </w:tc>
        <w:tc>
          <w:tcPr>
            <w:tcW w:w="2410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983370" w14:textId="77777777" w:rsidR="00A31FCA" w:rsidRPr="003E7254" w:rsidRDefault="00A31FCA" w:rsidP="005135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Measurement</w:t>
            </w:r>
          </w:p>
        </w:tc>
        <w:tc>
          <w:tcPr>
            <w:tcW w:w="2033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FA41E2" w14:textId="77777777" w:rsidR="00A31FCA" w:rsidRPr="003E7254" w:rsidRDefault="00A31FCA" w:rsidP="005135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TEG</w:t>
            </w:r>
          </w:p>
        </w:tc>
        <w:tc>
          <w:tcPr>
            <w:tcW w:w="2078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BE27AF" w14:textId="77777777" w:rsidR="00A31FCA" w:rsidRPr="003E7254" w:rsidRDefault="00A31FCA" w:rsidP="005135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ROTEM</w:t>
            </w:r>
          </w:p>
        </w:tc>
      </w:tr>
      <w:tr w:rsidR="00A31FCA" w:rsidRPr="000A456E" w14:paraId="5BACDD7B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000000" w:themeColor="text1"/>
            </w:tcBorders>
            <w:shd w:val="clear" w:color="auto" w:fill="auto"/>
          </w:tcPr>
          <w:p w14:paraId="06A85524" w14:textId="503D0075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Period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of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initial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fibrin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formation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2D6F1D7" w14:textId="7E9BADA2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(min)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reach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of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2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mm</w:t>
            </w:r>
          </w:p>
        </w:tc>
        <w:tc>
          <w:tcPr>
            <w:tcW w:w="2033" w:type="dxa"/>
            <w:tcBorders>
              <w:top w:val="single" w:sz="4" w:space="0" w:color="000000" w:themeColor="text1"/>
            </w:tcBorders>
            <w:shd w:val="clear" w:color="auto" w:fill="auto"/>
          </w:tcPr>
          <w:p w14:paraId="0B087B95" w14:textId="0DBD8A32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Reaction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(R)</w:t>
            </w:r>
          </w:p>
        </w:tc>
        <w:tc>
          <w:tcPr>
            <w:tcW w:w="207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F79B8A1" w14:textId="1E74B7C3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Clotting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</w:p>
        </w:tc>
      </w:tr>
      <w:tr w:rsidR="00A31FCA" w:rsidRPr="000A456E" w14:paraId="47E434B4" w14:textId="77777777" w:rsidTr="003E7254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1B9A2E9" w14:textId="53421BC2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kinetics</w:t>
            </w:r>
          </w:p>
        </w:tc>
        <w:tc>
          <w:tcPr>
            <w:tcW w:w="2410" w:type="dxa"/>
            <w:shd w:val="clear" w:color="auto" w:fill="auto"/>
          </w:tcPr>
          <w:p w14:paraId="19AB755A" w14:textId="3D6C0E1A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(min)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for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increase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from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2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20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mm</w:t>
            </w:r>
          </w:p>
        </w:tc>
        <w:tc>
          <w:tcPr>
            <w:tcW w:w="2033" w:type="dxa"/>
            <w:shd w:val="clear" w:color="auto" w:fill="auto"/>
          </w:tcPr>
          <w:p w14:paraId="61C1B3B8" w14:textId="7FF306E8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Kinetics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(K)</w:t>
            </w:r>
          </w:p>
        </w:tc>
        <w:tc>
          <w:tcPr>
            <w:tcW w:w="2078" w:type="dxa"/>
            <w:shd w:val="clear" w:color="auto" w:fill="auto"/>
          </w:tcPr>
          <w:p w14:paraId="5F187242" w14:textId="1846E591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formation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</w:p>
        </w:tc>
      </w:tr>
      <w:tr w:rsidR="00A31FCA" w:rsidRPr="000A456E" w14:paraId="3E954167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8C6B85B" w14:textId="54950D7C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kinetics</w:t>
            </w:r>
          </w:p>
        </w:tc>
        <w:tc>
          <w:tcPr>
            <w:tcW w:w="2410" w:type="dxa"/>
            <w:shd w:val="clear" w:color="auto" w:fill="auto"/>
          </w:tcPr>
          <w:p w14:paraId="1A9B422B" w14:textId="5C6A0460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Angle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of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tangent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line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from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initiation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the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slope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of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the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developing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curve</w:t>
            </w:r>
          </w:p>
        </w:tc>
        <w:tc>
          <w:tcPr>
            <w:tcW w:w="2033" w:type="dxa"/>
            <w:shd w:val="clear" w:color="auto" w:fill="auto"/>
          </w:tcPr>
          <w:p w14:paraId="51462D8F" w14:textId="5CB6FEB2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Alpha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angle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(α)</w:t>
            </w:r>
          </w:p>
        </w:tc>
        <w:tc>
          <w:tcPr>
            <w:tcW w:w="2078" w:type="dxa"/>
            <w:shd w:val="clear" w:color="auto" w:fill="auto"/>
          </w:tcPr>
          <w:p w14:paraId="0C4E9ACC" w14:textId="1E95403E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Alpha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angle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(α)</w:t>
            </w:r>
          </w:p>
        </w:tc>
      </w:tr>
      <w:tr w:rsidR="00A31FCA" w:rsidRPr="000A456E" w14:paraId="4C9DAF7C" w14:textId="77777777" w:rsidTr="003E7254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EFAD638" w14:textId="6BE4E16A" w:rsidR="00A31FCA" w:rsidRPr="000A456E" w:rsidRDefault="00A31FCA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Maximum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strength</w:t>
            </w:r>
          </w:p>
        </w:tc>
        <w:tc>
          <w:tcPr>
            <w:tcW w:w="2410" w:type="dxa"/>
            <w:shd w:val="clear" w:color="auto" w:fill="auto"/>
          </w:tcPr>
          <w:p w14:paraId="77F91F52" w14:textId="130A5D4D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Peak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(mm)</w:t>
            </w:r>
          </w:p>
        </w:tc>
        <w:tc>
          <w:tcPr>
            <w:tcW w:w="2033" w:type="dxa"/>
            <w:shd w:val="clear" w:color="auto" w:fill="auto"/>
          </w:tcPr>
          <w:p w14:paraId="2B338C18" w14:textId="0B3BBF21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Maximum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</w:p>
        </w:tc>
        <w:tc>
          <w:tcPr>
            <w:tcW w:w="2078" w:type="dxa"/>
            <w:shd w:val="clear" w:color="auto" w:fill="auto"/>
          </w:tcPr>
          <w:p w14:paraId="73923F92" w14:textId="3F259DFB" w:rsidR="00A31FCA" w:rsidRPr="000A456E" w:rsidRDefault="00A31FCA" w:rsidP="005135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Maximum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firmness</w:t>
            </w:r>
          </w:p>
        </w:tc>
      </w:tr>
      <w:tr w:rsidR="00A31FCA" w:rsidRPr="000A456E" w14:paraId="7E47740E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5862142B" w14:textId="7780EC36" w:rsidR="00A31FCA" w:rsidRPr="000A456E" w:rsidRDefault="00A03F6B" w:rsidP="00513566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>
              <w:rPr>
                <w:rFonts w:ascii="Book Antiqua" w:hAnsi="Book Antiqua"/>
                <w:b w:val="0"/>
                <w:lang w:val="en-NZ"/>
              </w:rPr>
              <w:t>stability/</w:t>
            </w:r>
            <w:r w:rsidRPr="000A456E">
              <w:rPr>
                <w:rFonts w:ascii="Book Antiqua" w:hAnsi="Book Antiqua"/>
                <w:b w:val="0"/>
                <w:lang w:val="en-NZ"/>
              </w:rPr>
              <w:t>f</w:t>
            </w:r>
            <w:r w:rsidR="00A31FCA" w:rsidRPr="000A456E">
              <w:rPr>
                <w:rFonts w:ascii="Book Antiqua" w:hAnsi="Book Antiqua"/>
                <w:b w:val="0"/>
                <w:lang w:val="en-NZ"/>
              </w:rPr>
              <w:t>ibrinolysis</w:t>
            </w:r>
          </w:p>
        </w:tc>
        <w:tc>
          <w:tcPr>
            <w:tcW w:w="241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45AC9395" w14:textId="4D03F923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Percent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reduction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curve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and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60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minutes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</w:p>
        </w:tc>
        <w:tc>
          <w:tcPr>
            <w:tcW w:w="203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8A68C6E" w14:textId="0E0DBF91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Lysis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(LY30)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and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lysis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60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(LY60)</w:t>
            </w:r>
          </w:p>
        </w:tc>
        <w:tc>
          <w:tcPr>
            <w:tcW w:w="207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78660E81" w14:textId="292D6E11" w:rsidR="00A31FCA" w:rsidRPr="000A456E" w:rsidRDefault="00A31FCA" w:rsidP="005135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Lysis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index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(LI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</w:p>
        </w:tc>
      </w:tr>
    </w:tbl>
    <w:p w14:paraId="4EB0C517" w14:textId="589061C2" w:rsidR="008739BE" w:rsidRPr="008739BE" w:rsidRDefault="008739BE" w:rsidP="00513566">
      <w:pPr>
        <w:spacing w:line="360" w:lineRule="auto"/>
        <w:rPr>
          <w:lang w:val="en-NZ" w:eastAsia="zh-CN"/>
        </w:rPr>
        <w:sectPr w:rsidR="008739BE" w:rsidRPr="008739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456E">
        <w:rPr>
          <w:rFonts w:ascii="Book Antiqua" w:hAnsi="Book Antiqua"/>
          <w:lang w:val="en-NZ" w:eastAsia="zh-CN"/>
        </w:rPr>
        <w:t>TEG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0A456E">
        <w:rPr>
          <w:rFonts w:ascii="Book Antiqua" w:hAnsi="Book Antiqua"/>
          <w:caps/>
          <w:lang w:val="en-NZ" w:eastAsia="zh-CN"/>
        </w:rPr>
        <w:t>t</w:t>
      </w:r>
      <w:r w:rsidRPr="000A456E">
        <w:rPr>
          <w:rFonts w:ascii="Book Antiqua" w:hAnsi="Book Antiqua"/>
          <w:lang w:val="en-NZ" w:eastAsia="zh-CN"/>
        </w:rPr>
        <w:t>hromboelastography</w:t>
      </w:r>
      <w:proofErr w:type="spellEnd"/>
      <w:r w:rsidR="00B56021"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6021" w:rsidRPr="000A456E">
        <w:rPr>
          <w:rFonts w:ascii="Book Antiqua" w:hAnsi="Book Antiqua"/>
          <w:lang w:val="en-NZ"/>
        </w:rPr>
        <w:t>ROTEM</w:t>
      </w:r>
      <w:r w:rsidR="00B56021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6021" w:rsidRPr="00B56021">
        <w:rPr>
          <w:rFonts w:ascii="Book Antiqua" w:eastAsia="Book Antiqua" w:hAnsi="Book Antiqua" w:cs="Book Antiqua"/>
          <w:caps/>
          <w:color w:val="000000"/>
        </w:rPr>
        <w:t>r</w:t>
      </w:r>
      <w:r w:rsidR="00B56021" w:rsidRPr="000A456E">
        <w:rPr>
          <w:rFonts w:ascii="Book Antiqua" w:eastAsia="Book Antiqua" w:hAnsi="Book Antiqua" w:cs="Book Antiqua"/>
          <w:color w:val="000000"/>
        </w:rPr>
        <w:t>otational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6021" w:rsidRPr="000A456E">
        <w:rPr>
          <w:rFonts w:ascii="Book Antiqua" w:eastAsia="Book Antiqua" w:hAnsi="Book Antiqua" w:cs="Book Antiqua"/>
          <w:color w:val="000000"/>
        </w:rPr>
        <w:t>thrombelastometry</w:t>
      </w:r>
      <w:proofErr w:type="spellEnd"/>
      <w:r w:rsidR="003E7254">
        <w:rPr>
          <w:rFonts w:ascii="Book Antiqua" w:eastAsia="Book Antiqua" w:hAnsi="Book Antiqua" w:cs="Book Antiqua"/>
          <w:color w:val="000000"/>
        </w:rPr>
        <w:t>.</w:t>
      </w:r>
    </w:p>
    <w:p w14:paraId="1320DF97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F2E5AED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0632357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64FBA5D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757C634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D5BA6F5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2020FEB1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2CD77F2E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236C7FF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AA37BFE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1CD8B0DE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4005F636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3FC34CFC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426D3172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720EAA58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37A9DA32" w14:textId="77777777" w:rsidR="00513566" w:rsidRDefault="00513566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7F98CE36" w14:textId="77777777" w:rsidR="00F14A27" w:rsidRDefault="00F14A27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242BE01C" w14:textId="77777777" w:rsidR="00F14A27" w:rsidRDefault="00F14A27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42415AA1" w14:textId="77777777" w:rsidR="00F14A27" w:rsidRDefault="00F14A27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03E9EC3" w14:textId="77777777" w:rsidR="00F14A27" w:rsidRDefault="00F14A27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D5D9B98" w14:textId="77777777" w:rsidR="00F14A27" w:rsidRDefault="00F14A27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1DA6AD0D" w14:textId="4E9CB428" w:rsidR="002024B4" w:rsidRDefault="002024B4" w:rsidP="00513566">
      <w:pPr>
        <w:pStyle w:val="a6"/>
        <w:spacing w:line="360" w:lineRule="auto"/>
        <w:rPr>
          <w:rFonts w:ascii="Book Antiqua" w:hAnsi="Book Antiqua"/>
          <w:b/>
          <w:sz w:val="24"/>
          <w:szCs w:val="24"/>
        </w:rPr>
      </w:pPr>
      <w:r w:rsidRPr="000A456E">
        <w:rPr>
          <w:rFonts w:ascii="Book Antiqua" w:hAnsi="Book Antiqua"/>
          <w:b/>
          <w:sz w:val="24"/>
          <w:szCs w:val="24"/>
        </w:rPr>
        <w:lastRenderedPageBreak/>
        <w:t>Table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3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Randomised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control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trials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assessing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the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use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of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739BE" w:rsidRPr="008739BE">
        <w:rPr>
          <w:rFonts w:ascii="Book Antiqua" w:hAnsi="Book Antiqua"/>
          <w:b/>
          <w:sz w:val="24"/>
          <w:szCs w:val="24"/>
        </w:rPr>
        <w:t>thromboelastography</w:t>
      </w:r>
      <w:proofErr w:type="spellEnd"/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in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liver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disease</w:t>
      </w:r>
    </w:p>
    <w:tbl>
      <w:tblPr>
        <w:tblW w:w="12386" w:type="dxa"/>
        <w:tblInd w:w="93" w:type="dxa"/>
        <w:tblLook w:val="04A0" w:firstRow="1" w:lastRow="0" w:firstColumn="1" w:lastColumn="0" w:noHBand="0" w:noVBand="1"/>
      </w:tblPr>
      <w:tblGrid>
        <w:gridCol w:w="1208"/>
        <w:gridCol w:w="719"/>
        <w:gridCol w:w="1113"/>
        <w:gridCol w:w="1545"/>
        <w:gridCol w:w="1985"/>
        <w:gridCol w:w="1984"/>
        <w:gridCol w:w="1985"/>
        <w:gridCol w:w="1847"/>
      </w:tblGrid>
      <w:tr w:rsidR="00513566" w:rsidRPr="00513566" w14:paraId="4F1B85DB" w14:textId="77777777" w:rsidTr="00513566">
        <w:trPr>
          <w:trHeight w:val="1665"/>
        </w:trPr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B6AAC8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4" w:name="RANGE!C5"/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  <w:bookmarkEnd w:id="4"/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2BAB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Year 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819BE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No. of patients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47BBB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Method of TEG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F88B61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TEG thresholds for transfusion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0801D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SOC thresholds for transfusion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3BB42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Outcomes: blood product usage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7C141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Outcomes: other</w:t>
            </w:r>
          </w:p>
        </w:tc>
      </w:tr>
      <w:tr w:rsidR="00513566" w:rsidRPr="00513566" w14:paraId="4C6FF3A3" w14:textId="77777777" w:rsidTr="00513566">
        <w:trPr>
          <w:trHeight w:val="1890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F1A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Wang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[20]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9938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2010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E0AB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EC7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TEG 5000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8418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 titrated to maintain R time &lt; 10 min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7804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 titrated to maintain PT and APTT at less than one and a half times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0F7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FFP use in TEG group (12.8 units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21.5 units in control group,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0.05)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06AD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Trend towards reduction in blood loss in the TEG arm (not statistically significant) </w:t>
            </w:r>
          </w:p>
        </w:tc>
      </w:tr>
      <w:tr w:rsidR="00513566" w:rsidRPr="00513566" w14:paraId="7F172304" w14:textId="77777777" w:rsidTr="00513566">
        <w:trPr>
          <w:trHeight w:val="132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2976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7D09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204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14 TEG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FB2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Kaolin activated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5D0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SDAP when MA &lt; 55 mm*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255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Platelets to maintain a platelet count ≥ 50 × 10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427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reduction in RBC, Platelet or cryoprecipitate use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B038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statistically significant difference in mortality at 3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</w:tr>
      <w:tr w:rsidR="00513566" w:rsidRPr="00513566" w14:paraId="024273B7" w14:textId="77777777" w:rsidTr="00513566">
        <w:trPr>
          <w:trHeight w:val="31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74604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5E124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0C2D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14 SOC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FBF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99A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BB31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15A1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784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13566" w:rsidRPr="00513566" w14:paraId="3EA774D6" w14:textId="77777777" w:rsidTr="00513566">
        <w:trPr>
          <w:trHeight w:val="189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DF0F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3455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4896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99DB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279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5 pooled units of cryoprecipitate when alpha angle &lt; 45</w:t>
            </w:r>
            <w:r w:rsidRPr="00513566">
              <w:rPr>
                <w:rFonts w:ascii="Arial" w:eastAsia="等线" w:hAnsi="Arial" w:cs="Arial"/>
                <w:color w:val="000000"/>
                <w:lang w:eastAsia="zh-CN"/>
              </w:rPr>
              <w:t xml:space="preserve">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degrees**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E58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Cryoprecipitate to maintain fibrinogen &gt; 1 g/L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8126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7A7A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513566" w:rsidRPr="00513566" w14:paraId="2BB91BD3" w14:textId="77777777" w:rsidTr="00513566">
        <w:trPr>
          <w:trHeight w:val="4725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F96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De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Pietri</w:t>
            </w:r>
            <w:proofErr w:type="spellEnd"/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[21]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BF16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5A3A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357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TEG 5000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038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FFP, 10 mL/kg*** when R time &gt; 40 min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58C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FFP, 10 ml/kg*** when INR &gt; 1.8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DB16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FFP use in TEG group. (Total amount of FFP transfused in those undergoing a low risk procedure: 4000 mL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11050 mL in SOC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group,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0.002) (Total amount of FFP transfused in those undergoing a high-risk procedure: 0 mL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6500 mL in SOC group)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A55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 statistically significant difference in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periprocedural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bleeding complications.</w:t>
            </w:r>
          </w:p>
        </w:tc>
      </w:tr>
      <w:tr w:rsidR="00513566" w:rsidRPr="00513566" w14:paraId="0DE97B79" w14:textId="77777777" w:rsidTr="00513566">
        <w:trPr>
          <w:trHeight w:val="220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D29B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751C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7E4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30 TEG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906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Native blood (no activators)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CAF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SDAP when MA &lt; 30 mm*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3B01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SDAP when platelets &lt; 50 × 10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9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3D9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platelets transfused. (6.7% required a platelet transfusion in the TEG arm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33.3% in the SOC arm,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0.021)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052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Periprocedural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bleeding events were rare with only one patient experiencing post procedure bleeding.</w:t>
            </w:r>
          </w:p>
        </w:tc>
      </w:tr>
      <w:tr w:rsidR="00513566" w:rsidRPr="00513566" w14:paraId="561A151D" w14:textId="77777777" w:rsidTr="00513566">
        <w:trPr>
          <w:trHeight w:val="31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888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D80E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3B04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30 SOC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C4EB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5B9D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739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6F94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7248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513566" w:rsidRPr="00513566" w14:paraId="5FEC735A" w14:textId="77777777" w:rsidTr="00513566">
        <w:trPr>
          <w:trHeight w:val="2835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D506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Rout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[22]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18B5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2019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7CD9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40F1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MonoTEM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-A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0231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FFP, 5 mL/kg*** when R time &gt; 15 min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E4D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FFP, 5 ml/kg*** when INR &gt; 1.8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300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FFP use. (13.3% receiving FFP in the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46.7% in the SOC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0.010. 1345 ml LFFP transfused in the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4605 mL in the SOC)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0096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No difference in initial control of bleeding</w:t>
            </w:r>
          </w:p>
        </w:tc>
      </w:tr>
      <w:tr w:rsidR="00513566" w:rsidRPr="00513566" w14:paraId="2071A700" w14:textId="77777777" w:rsidTr="00513566">
        <w:trPr>
          <w:trHeight w:val="315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21D0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FC35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FD3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30 TEG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A5D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Native (no activators)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A6F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 pooled units of platelets when MA &lt; 30 mm*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147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 pooled units of platelets when platelet count &lt; 50 × 10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9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F98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platelets transfused (10%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vs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70% SOC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P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&lt; 0.001. Total vol. of platelets transfused: 450 mL platelets in the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3450 mL in the SOC)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262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No difference in rates of re-bleeding at 5 d</w:t>
            </w:r>
          </w:p>
        </w:tc>
      </w:tr>
      <w:tr w:rsidR="00513566" w:rsidRPr="00513566" w14:paraId="12435482" w14:textId="77777777" w:rsidTr="00513566">
        <w:trPr>
          <w:trHeight w:val="31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0813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B03F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B9E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30 SOC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C212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E183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488A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B55D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ABD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13566" w:rsidRPr="00513566" w14:paraId="30680C2F" w14:textId="77777777" w:rsidTr="00513566">
        <w:trPr>
          <w:trHeight w:val="189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DC210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ABA8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38BCA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692B0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164C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2978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9B7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No difference in RBC transfusion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DB68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rebleeding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at 42 d (10% in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the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36.7% in SOC,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0.012)</w:t>
            </w:r>
          </w:p>
        </w:tc>
      </w:tr>
      <w:tr w:rsidR="00513566" w:rsidRPr="00513566" w14:paraId="4915F96E" w14:textId="77777777" w:rsidTr="00513566">
        <w:trPr>
          <w:trHeight w:val="157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83F7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8852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86AAE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5C52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77BA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EE6B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3C29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E10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difference in mortality at 6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wk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(13.3%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26.7% in SOC,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0.176) </w:t>
            </w:r>
          </w:p>
        </w:tc>
      </w:tr>
      <w:tr w:rsidR="00513566" w:rsidRPr="00513566" w14:paraId="6D5F81C6" w14:textId="77777777" w:rsidTr="00513566">
        <w:trPr>
          <w:trHeight w:val="2265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C9E6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Kumar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[23]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6DB3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2019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2A24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96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972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TEG 5000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42A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FFP, 10 mL/kg*** when R time &gt; 10 min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1DE9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FFP, 10 ml/kg*** if INR &gt; 1.8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646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FFP use (Total FFP transfused 440 mL in TEG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880 mL in SOC,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0.01)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F82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transfusion related adverse events (30.6%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74.5% in SOC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0.01)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513566" w:rsidRPr="00513566" w14:paraId="19AA5502" w14:textId="77777777" w:rsidTr="00513566">
        <w:trPr>
          <w:trHeight w:val="220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27D1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4E3D8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BA2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49 TEG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089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Kaolin activated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7F20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SDAP when MA &lt; 55 mm*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AD7D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5" w:name="RANGE!H19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SDAP when platelets &lt; 50 × 10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9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*</w:t>
            </w:r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7D7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Statistically significant reduction in platelets transfused (Average of 1 SDAP unit per patient in TEG group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 SDAP units in SOC,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E4A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ICU length of stay (median of 2 d in TEG arm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3 d in SOC.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0.012) </w:t>
            </w:r>
          </w:p>
        </w:tc>
      </w:tr>
      <w:tr w:rsidR="00513566" w:rsidRPr="00513566" w14:paraId="17578A8F" w14:textId="77777777" w:rsidTr="00513566">
        <w:trPr>
          <w:trHeight w:val="31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BDBE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F42B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6477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47 SOC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0338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5AF4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13C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8FB5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BD2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13566" w:rsidRPr="00513566" w14:paraId="66904BF3" w14:textId="77777777" w:rsidTr="00513566">
        <w:trPr>
          <w:trHeight w:val="567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B5530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FBF9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6FE8C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F4C9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982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5 pooled units of cryoprecipitate when alpha angle &lt; 45 degrees**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5DB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5 pooled units of cryoprecipitate if fibrinogen &lt; 80 mg/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dL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129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amount of cryoprecipitate used. (4 units in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16 in SOC group.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0.01)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4EF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difference in failure to control bleeding at day 5 or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rebleeding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at day 42.</w:t>
            </w:r>
          </w:p>
        </w:tc>
      </w:tr>
      <w:tr w:rsidR="00513566" w:rsidRPr="00513566" w14:paraId="04BB3D26" w14:textId="77777777" w:rsidTr="00513566">
        <w:trPr>
          <w:trHeight w:val="1575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20CB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E1EA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78B0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1C76F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E2D1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1834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9081" w14:textId="77777777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8A3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No difference in 5-d and 42-d mortality</w:t>
            </w:r>
          </w:p>
        </w:tc>
      </w:tr>
      <w:tr w:rsidR="00513566" w:rsidRPr="00513566" w14:paraId="584541C0" w14:textId="77777777" w:rsidTr="00513566">
        <w:trPr>
          <w:trHeight w:val="2205"/>
        </w:trPr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259F5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Vuyyuru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[19]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5F9458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2019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BA7B" w14:textId="77777777" w:rsidR="00513566" w:rsidRPr="00513566" w:rsidRDefault="00513566" w:rsidP="00513566">
            <w:pPr>
              <w:spacing w:line="360" w:lineRule="auto"/>
              <w:jc w:val="right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58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B13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MonoTEM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-A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3F9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 5 ml/kg when R time &gt; 14 min***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3B5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FFP 5 ml/kg*** if INR ≥ 1.8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08D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statistically significant difference in the amount of FFP transfused (24.1% requiring FFP in the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27.6% in the SOC,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0.764)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F016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No difference in post procedure bleeding complications (0% in both groups)</w:t>
            </w:r>
          </w:p>
        </w:tc>
      </w:tr>
      <w:tr w:rsidR="00513566" w:rsidRPr="00513566" w14:paraId="596D5585" w14:textId="77777777" w:rsidTr="00513566">
        <w:trPr>
          <w:trHeight w:val="2835"/>
        </w:trPr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F840B5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D7576B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5A7F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29 TEG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7D93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Native (no activators)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362A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 pooled units of platelets when MA &lt; 32 mm*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AC52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6" w:name="RANGE!H25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3 pooled units of platelets when platelet count &lt; 50 × 10</w:t>
            </w:r>
            <w:r w:rsidRPr="0051356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9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*</w:t>
            </w:r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8F11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Statistically significant reduction in platelets transfused (10.3% requiring platelet transfusion in the TEG group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75.9% in the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SOC group,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0.001)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71B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 difference in pre and post procedure </w:t>
            </w:r>
            <w:proofErr w:type="spellStart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haemoglobin</w:t>
            </w:r>
            <w:proofErr w:type="spellEnd"/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levels (TEG group: 11.3 ± 2.1 g/dl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11.2 ± 2.0 g/dl,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0.979; SOC group: 10.4 ± 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2.1 g/dl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10.2 ± 2.0 g/dl, </w:t>
            </w:r>
            <w:r w:rsidRPr="0051356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P</w:t>
            </w: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0.205)</w:t>
            </w:r>
          </w:p>
        </w:tc>
      </w:tr>
      <w:tr w:rsidR="00513566" w:rsidRPr="00513566" w14:paraId="2E3421FB" w14:textId="77777777" w:rsidTr="00513566">
        <w:trPr>
          <w:trHeight w:val="330"/>
        </w:trPr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76C4CE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68E57C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3886F0" w14:textId="7777777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13566">
              <w:rPr>
                <w:rFonts w:ascii="Book Antiqua" w:eastAsia="等线" w:hAnsi="Book Antiqua" w:cs="宋体"/>
                <w:color w:val="000000"/>
                <w:lang w:eastAsia="zh-CN"/>
              </w:rPr>
              <w:t>29SOC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9D6434" w14:textId="37CB3434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19EF84" w14:textId="099E90E7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065F83" w14:textId="23299183" w:rsidR="00513566" w:rsidRPr="00513566" w:rsidRDefault="00513566" w:rsidP="00513566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8B0625" w14:textId="0CC00CC9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77A64F" w14:textId="3EB7255B" w:rsidR="00513566" w:rsidRPr="00513566" w:rsidRDefault="00513566" w:rsidP="00513566">
            <w:pP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C1FD750" w14:textId="7D7205D4" w:rsidR="002024B4" w:rsidRPr="003C2596" w:rsidRDefault="000A456E" w:rsidP="00513566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A456E">
        <w:rPr>
          <w:rFonts w:ascii="Book Antiqua" w:hAnsi="Book Antiqua"/>
          <w:bCs/>
          <w:lang w:eastAsia="zh-CN"/>
        </w:rPr>
        <w:t>*</w:t>
      </w:r>
      <w:r w:rsidRPr="000A456E">
        <w:rPr>
          <w:rFonts w:ascii="Book Antiqua" w:hAnsi="Book Antiqua"/>
          <w:lang w:eastAsia="zh-CN"/>
        </w:rPr>
        <w:t>In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the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above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clinical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trials,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1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SDAP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unit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corresponds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to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6-8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pooled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platelet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units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from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whole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blood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donation</w:t>
      </w:r>
      <w:r w:rsidR="003C2596">
        <w:rPr>
          <w:rFonts w:ascii="Book Antiqua" w:hAnsi="Book Antiqua"/>
          <w:lang w:eastAsia="zh-CN"/>
        </w:rPr>
        <w:t>;</w:t>
      </w:r>
      <w:r w:rsidR="00F86F7B">
        <w:rPr>
          <w:rFonts w:ascii="Book Antiqua" w:hAnsi="Book Antiqua" w:hint="eastAsia"/>
          <w:bCs/>
          <w:lang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**When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whole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source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for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cryoprecipitate,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5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pooled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units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equivalent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to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700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fibrinogen</w:t>
      </w:r>
      <w:r w:rsidR="003C2596"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***Ideal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body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weight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used.</w:t>
      </w:r>
      <w:r w:rsidR="00F86F7B">
        <w:rPr>
          <w:rFonts w:ascii="Book Antiqua" w:hAnsi="Book Antiqua" w:hint="eastAsia"/>
          <w:bCs/>
          <w:lang w:eastAsia="zh-CN"/>
        </w:rPr>
        <w:t xml:space="preserve"> </w:t>
      </w:r>
      <w:r w:rsidR="00024097">
        <w:rPr>
          <w:rFonts w:ascii="Book Antiqua" w:hAnsi="Book Antiqua"/>
          <w:vertAlign w:val="superscript"/>
          <w:lang w:val="en-NZ" w:eastAsia="zh-CN"/>
        </w:rPr>
        <w:t>1</w:t>
      </w:r>
      <w:r w:rsidRPr="000A456E">
        <w:rPr>
          <w:rFonts w:ascii="Book Antiqua" w:hAnsi="Book Antiqua"/>
          <w:lang w:val="en-NZ" w:eastAsia="zh-CN"/>
        </w:rPr>
        <w:t>Natural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whole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without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added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activators.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Normal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using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TEG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method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12-26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min</w:t>
      </w:r>
      <w:r w:rsidR="008B3EB5"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="00024097">
        <w:rPr>
          <w:rFonts w:ascii="Book Antiqua" w:hAnsi="Book Antiqua"/>
          <w:vertAlign w:val="superscript"/>
          <w:lang w:val="en-NZ" w:eastAsia="zh-CN"/>
        </w:rPr>
        <w:t>2</w:t>
      </w:r>
      <w:r w:rsidRPr="000A456E">
        <w:rPr>
          <w:rFonts w:ascii="Book Antiqua" w:hAnsi="Book Antiqua"/>
          <w:lang w:val="en-NZ" w:eastAsia="zh-CN"/>
        </w:rPr>
        <w:t>Higher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than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expected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adverse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reaction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rate,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including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TRALI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rates,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discussed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paper.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information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given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about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type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components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FD78BF">
        <w:rPr>
          <w:rFonts w:ascii="Book Antiqua" w:hAnsi="Book Antiqua"/>
          <w:i/>
          <w:lang w:val="en-NZ" w:eastAsia="zh-CN"/>
        </w:rPr>
        <w:t>i.e.</w:t>
      </w:r>
      <w:r w:rsidR="00FD78BF">
        <w:rPr>
          <w:rFonts w:ascii="Book Antiqua" w:hAnsi="Book Antiqua"/>
          <w:lang w:val="en-NZ" w:eastAsia="zh-CN"/>
        </w:rPr>
        <w:t>,</w:t>
      </w:r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0A456E">
        <w:rPr>
          <w:rFonts w:ascii="Book Antiqua" w:hAnsi="Book Antiqua"/>
          <w:lang w:val="en-NZ" w:eastAsia="zh-CN"/>
        </w:rPr>
        <w:t>leucodepleted</w:t>
      </w:r>
      <w:proofErr w:type="spellEnd"/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FD78BF">
        <w:rPr>
          <w:rFonts w:ascii="Book Antiqua" w:hAnsi="Book Antiqua"/>
          <w:i/>
          <w:lang w:val="en-NZ" w:eastAsia="zh-CN"/>
        </w:rPr>
        <w:t>vs</w:t>
      </w:r>
      <w:proofErr w:type="spellEnd"/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non-</w:t>
      </w:r>
      <w:proofErr w:type="spellStart"/>
      <w:r w:rsidRPr="000A456E">
        <w:rPr>
          <w:rFonts w:ascii="Book Antiqua" w:hAnsi="Book Antiqua"/>
          <w:lang w:val="en-NZ" w:eastAsia="zh-CN"/>
        </w:rPr>
        <w:t>leucodepleted</w:t>
      </w:r>
      <w:proofErr w:type="spellEnd"/>
      <w:r w:rsidRPr="000A456E">
        <w:rPr>
          <w:rFonts w:ascii="Book Antiqua" w:hAnsi="Book Antiqua"/>
          <w:lang w:val="en-NZ" w:eastAsia="zh-CN"/>
        </w:rPr>
        <w:t>.</w:t>
      </w:r>
      <w:r w:rsidR="00F86F7B">
        <w:rPr>
          <w:rFonts w:ascii="Book Antiqua" w:hAnsi="Book Antiqua"/>
          <w:bCs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APTT</w:t>
      </w:r>
      <w:r>
        <w:rPr>
          <w:rFonts w:ascii="Book Antiqua" w:hAnsi="Book Antiqua" w:hint="eastAsi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a</w:t>
      </w:r>
      <w:r w:rsidRPr="000A456E">
        <w:rPr>
          <w:rFonts w:ascii="Book Antiqua" w:hAnsi="Book Antiqua"/>
          <w:lang w:val="en-NZ" w:eastAsia="zh-CN"/>
        </w:rPr>
        <w:t>ctivated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partial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thromboplastin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FFP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f</w:t>
      </w:r>
      <w:r w:rsidRPr="000A456E">
        <w:rPr>
          <w:rFonts w:ascii="Book Antiqua" w:hAnsi="Book Antiqua"/>
          <w:lang w:val="en-NZ" w:eastAsia="zh-CN"/>
        </w:rPr>
        <w:t>resh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frozen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plasma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INR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i</w:t>
      </w:r>
      <w:r w:rsidRPr="000A456E">
        <w:rPr>
          <w:rFonts w:ascii="Book Antiqua" w:hAnsi="Book Antiqua"/>
          <w:lang w:val="en-NZ" w:eastAsia="zh-CN"/>
        </w:rPr>
        <w:t>nternational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normalised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ratio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MA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m</w:t>
      </w:r>
      <w:r w:rsidRPr="000A456E">
        <w:rPr>
          <w:rFonts w:ascii="Book Antiqua" w:hAnsi="Book Antiqua"/>
          <w:lang w:val="en-NZ" w:eastAsia="zh-CN"/>
        </w:rPr>
        <w:t>aximum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amplitude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PT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p</w:t>
      </w:r>
      <w:r w:rsidRPr="000A456E">
        <w:rPr>
          <w:rFonts w:ascii="Book Antiqua" w:hAnsi="Book Antiqua"/>
          <w:lang w:val="en-NZ" w:eastAsia="zh-CN"/>
        </w:rPr>
        <w:t>rothrombin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r</w:t>
      </w:r>
      <w:r w:rsidRPr="000A456E">
        <w:rPr>
          <w:rFonts w:ascii="Book Antiqua" w:hAnsi="Book Antiqua"/>
          <w:lang w:val="en-NZ" w:eastAsia="zh-CN"/>
        </w:rPr>
        <w:t>eaction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RBC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r</w:t>
      </w:r>
      <w:r w:rsidRPr="000A456E">
        <w:rPr>
          <w:rFonts w:ascii="Book Antiqua" w:hAnsi="Book Antiqua"/>
          <w:lang w:val="en-NZ" w:eastAsia="zh-CN"/>
        </w:rPr>
        <w:t>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cells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SDAP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s</w:t>
      </w:r>
      <w:r w:rsidRPr="000A456E">
        <w:rPr>
          <w:rFonts w:ascii="Book Antiqua" w:hAnsi="Book Antiqua"/>
          <w:lang w:val="en-NZ" w:eastAsia="zh-CN"/>
        </w:rPr>
        <w:t>ingle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donor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apheresis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platelets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SOC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s</w:t>
      </w:r>
      <w:r w:rsidRPr="000A456E">
        <w:rPr>
          <w:rFonts w:ascii="Book Antiqua" w:hAnsi="Book Antiqua"/>
          <w:lang w:val="en-NZ" w:eastAsia="zh-CN"/>
        </w:rPr>
        <w:t>tandard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care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TEG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0A456E">
        <w:rPr>
          <w:rFonts w:ascii="Book Antiqua" w:hAnsi="Book Antiqua"/>
          <w:caps/>
          <w:lang w:val="en-NZ" w:eastAsia="zh-CN"/>
        </w:rPr>
        <w:t>t</w:t>
      </w:r>
      <w:r w:rsidRPr="000A456E">
        <w:rPr>
          <w:rFonts w:ascii="Book Antiqua" w:hAnsi="Book Antiqua"/>
          <w:lang w:val="en-NZ" w:eastAsia="zh-CN"/>
        </w:rPr>
        <w:t>hromboelastography</w:t>
      </w:r>
      <w:proofErr w:type="spellEnd"/>
      <w:r w:rsidRPr="000A456E">
        <w:rPr>
          <w:rFonts w:ascii="Book Antiqua" w:hAnsi="Book Antiqua"/>
          <w:lang w:val="en-NZ" w:eastAsia="zh-CN"/>
        </w:rPr>
        <w:t>.</w:t>
      </w:r>
    </w:p>
    <w:sectPr w:rsidR="002024B4" w:rsidRPr="003C2596" w:rsidSect="002024B4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6CE8E" w14:textId="77777777" w:rsidR="00444C2D" w:rsidRDefault="00444C2D" w:rsidP="009178BF">
      <w:r>
        <w:separator/>
      </w:r>
    </w:p>
  </w:endnote>
  <w:endnote w:type="continuationSeparator" w:id="0">
    <w:p w14:paraId="5257E9AE" w14:textId="77777777" w:rsidR="00444C2D" w:rsidRDefault="00444C2D" w:rsidP="0091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281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98077406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02165F7" w14:textId="00750386" w:rsidR="00D60E68" w:rsidRPr="009178BF" w:rsidRDefault="00D60E68" w:rsidP="009178BF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9178BF">
              <w:rPr>
                <w:bCs/>
                <w:sz w:val="24"/>
                <w:szCs w:val="24"/>
              </w:rPr>
              <w:fldChar w:fldCharType="begin"/>
            </w:r>
            <w:r w:rsidRPr="009178BF">
              <w:rPr>
                <w:bCs/>
                <w:sz w:val="24"/>
                <w:szCs w:val="24"/>
              </w:rPr>
              <w:instrText>PAGE</w:instrText>
            </w:r>
            <w:r w:rsidRPr="009178BF">
              <w:rPr>
                <w:bCs/>
                <w:sz w:val="24"/>
                <w:szCs w:val="24"/>
              </w:rPr>
              <w:fldChar w:fldCharType="separate"/>
            </w:r>
            <w:r w:rsidR="003839BA">
              <w:rPr>
                <w:bCs/>
                <w:noProof/>
                <w:sz w:val="24"/>
                <w:szCs w:val="24"/>
              </w:rPr>
              <w:t>3</w:t>
            </w:r>
            <w:r w:rsidRPr="009178BF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9178BF">
              <w:rPr>
                <w:sz w:val="24"/>
                <w:szCs w:val="24"/>
                <w:lang w:val="zh-CN" w:eastAsia="zh-CN"/>
              </w:rPr>
              <w:t>/</w:t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9178BF">
              <w:rPr>
                <w:bCs/>
                <w:sz w:val="24"/>
                <w:szCs w:val="24"/>
              </w:rPr>
              <w:fldChar w:fldCharType="begin"/>
            </w:r>
            <w:r w:rsidRPr="009178BF">
              <w:rPr>
                <w:bCs/>
                <w:sz w:val="24"/>
                <w:szCs w:val="24"/>
              </w:rPr>
              <w:instrText>NUMPAGES</w:instrText>
            </w:r>
            <w:r w:rsidRPr="009178BF">
              <w:rPr>
                <w:bCs/>
                <w:sz w:val="24"/>
                <w:szCs w:val="24"/>
              </w:rPr>
              <w:fldChar w:fldCharType="separate"/>
            </w:r>
            <w:r w:rsidR="003839BA">
              <w:rPr>
                <w:bCs/>
                <w:noProof/>
                <w:sz w:val="24"/>
                <w:szCs w:val="24"/>
              </w:rPr>
              <w:t>39</w:t>
            </w:r>
            <w:r w:rsidRPr="009178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197DD" w14:textId="77777777" w:rsidR="00D60E68" w:rsidRDefault="00D60E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66E2" w14:textId="77777777" w:rsidR="00444C2D" w:rsidRDefault="00444C2D" w:rsidP="009178BF">
      <w:r>
        <w:separator/>
      </w:r>
    </w:p>
  </w:footnote>
  <w:footnote w:type="continuationSeparator" w:id="0">
    <w:p w14:paraId="27719F35" w14:textId="77777777" w:rsidR="00444C2D" w:rsidRDefault="00444C2D" w:rsidP="0091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2E7"/>
    <w:rsid w:val="00024097"/>
    <w:rsid w:val="000362AD"/>
    <w:rsid w:val="00040919"/>
    <w:rsid w:val="0004251D"/>
    <w:rsid w:val="00044601"/>
    <w:rsid w:val="00060FFC"/>
    <w:rsid w:val="000745A3"/>
    <w:rsid w:val="0007747C"/>
    <w:rsid w:val="00080D63"/>
    <w:rsid w:val="0009103D"/>
    <w:rsid w:val="00097FCC"/>
    <w:rsid w:val="000A0804"/>
    <w:rsid w:val="000A2E36"/>
    <w:rsid w:val="000A456E"/>
    <w:rsid w:val="000A73EF"/>
    <w:rsid w:val="000B071C"/>
    <w:rsid w:val="000B12FF"/>
    <w:rsid w:val="000C4424"/>
    <w:rsid w:val="000E3F18"/>
    <w:rsid w:val="000E498D"/>
    <w:rsid w:val="000E7EE1"/>
    <w:rsid w:val="0012249E"/>
    <w:rsid w:val="00137E35"/>
    <w:rsid w:val="00141D13"/>
    <w:rsid w:val="0016369D"/>
    <w:rsid w:val="001A1222"/>
    <w:rsid w:val="001B0440"/>
    <w:rsid w:val="001B2519"/>
    <w:rsid w:val="001D1A82"/>
    <w:rsid w:val="001E71B9"/>
    <w:rsid w:val="001F51CE"/>
    <w:rsid w:val="002024B4"/>
    <w:rsid w:val="00211216"/>
    <w:rsid w:val="00211EA6"/>
    <w:rsid w:val="002202CC"/>
    <w:rsid w:val="00222FFC"/>
    <w:rsid w:val="0023197D"/>
    <w:rsid w:val="002434E9"/>
    <w:rsid w:val="00252555"/>
    <w:rsid w:val="00254D7A"/>
    <w:rsid w:val="002711AC"/>
    <w:rsid w:val="00290F80"/>
    <w:rsid w:val="00297484"/>
    <w:rsid w:val="002B3FAB"/>
    <w:rsid w:val="002B786D"/>
    <w:rsid w:val="002D4C10"/>
    <w:rsid w:val="0030547C"/>
    <w:rsid w:val="00314B08"/>
    <w:rsid w:val="00317802"/>
    <w:rsid w:val="003423E3"/>
    <w:rsid w:val="00356C57"/>
    <w:rsid w:val="003839BA"/>
    <w:rsid w:val="003860D2"/>
    <w:rsid w:val="003971D2"/>
    <w:rsid w:val="003C2596"/>
    <w:rsid w:val="003D55D6"/>
    <w:rsid w:val="003D757B"/>
    <w:rsid w:val="003E0B4F"/>
    <w:rsid w:val="003E494B"/>
    <w:rsid w:val="003E7254"/>
    <w:rsid w:val="003F7769"/>
    <w:rsid w:val="00405571"/>
    <w:rsid w:val="0042683F"/>
    <w:rsid w:val="00436FE2"/>
    <w:rsid w:val="00440C04"/>
    <w:rsid w:val="00444C2D"/>
    <w:rsid w:val="00450049"/>
    <w:rsid w:val="00451275"/>
    <w:rsid w:val="00455D67"/>
    <w:rsid w:val="00471C97"/>
    <w:rsid w:val="00483E00"/>
    <w:rsid w:val="00497AF0"/>
    <w:rsid w:val="004C3415"/>
    <w:rsid w:val="004D4089"/>
    <w:rsid w:val="004E39DE"/>
    <w:rsid w:val="004E6BC3"/>
    <w:rsid w:val="004F1870"/>
    <w:rsid w:val="00503674"/>
    <w:rsid w:val="00510511"/>
    <w:rsid w:val="00513566"/>
    <w:rsid w:val="00525A4A"/>
    <w:rsid w:val="005263F4"/>
    <w:rsid w:val="00527B04"/>
    <w:rsid w:val="005320A4"/>
    <w:rsid w:val="00534497"/>
    <w:rsid w:val="00557674"/>
    <w:rsid w:val="00575589"/>
    <w:rsid w:val="00591645"/>
    <w:rsid w:val="00593291"/>
    <w:rsid w:val="00597D39"/>
    <w:rsid w:val="00597FD6"/>
    <w:rsid w:val="005A2A79"/>
    <w:rsid w:val="005B0181"/>
    <w:rsid w:val="005B3951"/>
    <w:rsid w:val="005D57C3"/>
    <w:rsid w:val="005D60FA"/>
    <w:rsid w:val="005E07AF"/>
    <w:rsid w:val="005E2D05"/>
    <w:rsid w:val="005E577F"/>
    <w:rsid w:val="005F039B"/>
    <w:rsid w:val="005F107F"/>
    <w:rsid w:val="005F3A93"/>
    <w:rsid w:val="0060427E"/>
    <w:rsid w:val="0060655C"/>
    <w:rsid w:val="0061205F"/>
    <w:rsid w:val="00622C66"/>
    <w:rsid w:val="00624425"/>
    <w:rsid w:val="00630F61"/>
    <w:rsid w:val="006616E9"/>
    <w:rsid w:val="00676A74"/>
    <w:rsid w:val="006805E9"/>
    <w:rsid w:val="00680D8E"/>
    <w:rsid w:val="00691F61"/>
    <w:rsid w:val="006C0720"/>
    <w:rsid w:val="006D6036"/>
    <w:rsid w:val="006F326E"/>
    <w:rsid w:val="0070693D"/>
    <w:rsid w:val="00710A73"/>
    <w:rsid w:val="00721F95"/>
    <w:rsid w:val="0072250D"/>
    <w:rsid w:val="00736A52"/>
    <w:rsid w:val="00741227"/>
    <w:rsid w:val="00761856"/>
    <w:rsid w:val="007740F4"/>
    <w:rsid w:val="007767B1"/>
    <w:rsid w:val="00781920"/>
    <w:rsid w:val="007B3D32"/>
    <w:rsid w:val="007B76A2"/>
    <w:rsid w:val="007F109B"/>
    <w:rsid w:val="007F2319"/>
    <w:rsid w:val="007F68F9"/>
    <w:rsid w:val="007F7236"/>
    <w:rsid w:val="007F7F4D"/>
    <w:rsid w:val="008018C1"/>
    <w:rsid w:val="00811760"/>
    <w:rsid w:val="00845662"/>
    <w:rsid w:val="00846E96"/>
    <w:rsid w:val="00850489"/>
    <w:rsid w:val="0085265D"/>
    <w:rsid w:val="00860A71"/>
    <w:rsid w:val="0086560F"/>
    <w:rsid w:val="008672BF"/>
    <w:rsid w:val="008739BE"/>
    <w:rsid w:val="00895E9C"/>
    <w:rsid w:val="008A0543"/>
    <w:rsid w:val="008B1C6C"/>
    <w:rsid w:val="008B3C54"/>
    <w:rsid w:val="008B3EB5"/>
    <w:rsid w:val="008C680B"/>
    <w:rsid w:val="008D2BF9"/>
    <w:rsid w:val="008D48A9"/>
    <w:rsid w:val="008D5DE6"/>
    <w:rsid w:val="008E030C"/>
    <w:rsid w:val="008F3193"/>
    <w:rsid w:val="009159B5"/>
    <w:rsid w:val="009178BF"/>
    <w:rsid w:val="00927AB7"/>
    <w:rsid w:val="00942808"/>
    <w:rsid w:val="009461C3"/>
    <w:rsid w:val="009506A3"/>
    <w:rsid w:val="00953AE7"/>
    <w:rsid w:val="009565CE"/>
    <w:rsid w:val="009932BC"/>
    <w:rsid w:val="009A0686"/>
    <w:rsid w:val="009B3714"/>
    <w:rsid w:val="009D7A2C"/>
    <w:rsid w:val="009E1BC6"/>
    <w:rsid w:val="009E3D85"/>
    <w:rsid w:val="009E63A6"/>
    <w:rsid w:val="009F64CE"/>
    <w:rsid w:val="00A03F6B"/>
    <w:rsid w:val="00A11777"/>
    <w:rsid w:val="00A2366C"/>
    <w:rsid w:val="00A30CAC"/>
    <w:rsid w:val="00A31FCA"/>
    <w:rsid w:val="00A36B71"/>
    <w:rsid w:val="00A63FF8"/>
    <w:rsid w:val="00A651F0"/>
    <w:rsid w:val="00A76700"/>
    <w:rsid w:val="00A77B3E"/>
    <w:rsid w:val="00A9694D"/>
    <w:rsid w:val="00A96CC2"/>
    <w:rsid w:val="00AA47AB"/>
    <w:rsid w:val="00AB2D8B"/>
    <w:rsid w:val="00AB5C2C"/>
    <w:rsid w:val="00AC0F92"/>
    <w:rsid w:val="00AD0CA7"/>
    <w:rsid w:val="00AD7E5A"/>
    <w:rsid w:val="00AE78B5"/>
    <w:rsid w:val="00B11661"/>
    <w:rsid w:val="00B134D4"/>
    <w:rsid w:val="00B23894"/>
    <w:rsid w:val="00B31A7B"/>
    <w:rsid w:val="00B37D44"/>
    <w:rsid w:val="00B5351D"/>
    <w:rsid w:val="00B56021"/>
    <w:rsid w:val="00B6169A"/>
    <w:rsid w:val="00B62122"/>
    <w:rsid w:val="00B74F22"/>
    <w:rsid w:val="00B77158"/>
    <w:rsid w:val="00BA0E70"/>
    <w:rsid w:val="00BB4574"/>
    <w:rsid w:val="00BB7843"/>
    <w:rsid w:val="00BC16A4"/>
    <w:rsid w:val="00BC7685"/>
    <w:rsid w:val="00BD0751"/>
    <w:rsid w:val="00BF71B7"/>
    <w:rsid w:val="00C116C2"/>
    <w:rsid w:val="00C156FC"/>
    <w:rsid w:val="00C47540"/>
    <w:rsid w:val="00C50CB5"/>
    <w:rsid w:val="00C76BBD"/>
    <w:rsid w:val="00C816E0"/>
    <w:rsid w:val="00C836E9"/>
    <w:rsid w:val="00C91052"/>
    <w:rsid w:val="00CA2466"/>
    <w:rsid w:val="00CA2A55"/>
    <w:rsid w:val="00CC241C"/>
    <w:rsid w:val="00CC41A7"/>
    <w:rsid w:val="00CD001E"/>
    <w:rsid w:val="00CD34FA"/>
    <w:rsid w:val="00CD4815"/>
    <w:rsid w:val="00CE0C08"/>
    <w:rsid w:val="00CF5D9A"/>
    <w:rsid w:val="00D1194A"/>
    <w:rsid w:val="00D27C18"/>
    <w:rsid w:val="00D30193"/>
    <w:rsid w:val="00D36C9B"/>
    <w:rsid w:val="00D37E93"/>
    <w:rsid w:val="00D4011F"/>
    <w:rsid w:val="00D41456"/>
    <w:rsid w:val="00D43910"/>
    <w:rsid w:val="00D45A6A"/>
    <w:rsid w:val="00D5335E"/>
    <w:rsid w:val="00D60E68"/>
    <w:rsid w:val="00D63610"/>
    <w:rsid w:val="00D84428"/>
    <w:rsid w:val="00DC5736"/>
    <w:rsid w:val="00DD09DE"/>
    <w:rsid w:val="00DD195E"/>
    <w:rsid w:val="00E21D83"/>
    <w:rsid w:val="00E47988"/>
    <w:rsid w:val="00E6135B"/>
    <w:rsid w:val="00E61A45"/>
    <w:rsid w:val="00E734D5"/>
    <w:rsid w:val="00E827F2"/>
    <w:rsid w:val="00E85305"/>
    <w:rsid w:val="00E903B7"/>
    <w:rsid w:val="00E91BAE"/>
    <w:rsid w:val="00EC6589"/>
    <w:rsid w:val="00EE14A9"/>
    <w:rsid w:val="00EE42DD"/>
    <w:rsid w:val="00F02E54"/>
    <w:rsid w:val="00F06243"/>
    <w:rsid w:val="00F072D5"/>
    <w:rsid w:val="00F14A27"/>
    <w:rsid w:val="00F1576F"/>
    <w:rsid w:val="00F24524"/>
    <w:rsid w:val="00F443CD"/>
    <w:rsid w:val="00F44DC8"/>
    <w:rsid w:val="00F67220"/>
    <w:rsid w:val="00F86F7B"/>
    <w:rsid w:val="00F965E9"/>
    <w:rsid w:val="00F9727C"/>
    <w:rsid w:val="00FA0404"/>
    <w:rsid w:val="00FB207E"/>
    <w:rsid w:val="00FB4A1E"/>
    <w:rsid w:val="00FD78BF"/>
    <w:rsid w:val="00FE5FB8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1B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BF"/>
    <w:rPr>
      <w:sz w:val="18"/>
      <w:szCs w:val="18"/>
    </w:rPr>
  </w:style>
  <w:style w:type="paragraph" w:styleId="a5">
    <w:name w:val="List Paragraph"/>
    <w:basedOn w:val="a"/>
    <w:uiPriority w:val="34"/>
    <w:qFormat/>
    <w:rsid w:val="008A05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NZ"/>
    </w:rPr>
  </w:style>
  <w:style w:type="table" w:customStyle="1" w:styleId="GridTable4">
    <w:name w:val="Grid Table 4"/>
    <w:basedOn w:val="a1"/>
    <w:uiPriority w:val="49"/>
    <w:rsid w:val="007F23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No Spacing"/>
    <w:uiPriority w:val="1"/>
    <w:qFormat/>
    <w:rsid w:val="002024B4"/>
    <w:rPr>
      <w:rFonts w:asciiTheme="minorHAnsi" w:hAnsiTheme="minorHAnsi" w:cstheme="minorBidi"/>
      <w:sz w:val="22"/>
      <w:szCs w:val="22"/>
      <w:lang w:val="en-NZ"/>
    </w:rPr>
  </w:style>
  <w:style w:type="character" w:styleId="a7">
    <w:name w:val="annotation reference"/>
    <w:basedOn w:val="a0"/>
    <w:semiHidden/>
    <w:unhideWhenUsed/>
    <w:rsid w:val="009932BC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9932BC"/>
  </w:style>
  <w:style w:type="character" w:customStyle="1" w:styleId="Char1">
    <w:name w:val="批注文字 Char"/>
    <w:basedOn w:val="a0"/>
    <w:link w:val="a8"/>
    <w:semiHidden/>
    <w:rsid w:val="009932BC"/>
    <w:rPr>
      <w:sz w:val="24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9932BC"/>
    <w:rPr>
      <w:b/>
      <w:bCs/>
    </w:rPr>
  </w:style>
  <w:style w:type="character" w:customStyle="1" w:styleId="Char2">
    <w:name w:val="批注主题 Char"/>
    <w:basedOn w:val="Char1"/>
    <w:link w:val="a9"/>
    <w:semiHidden/>
    <w:rsid w:val="009932BC"/>
    <w:rPr>
      <w:b/>
      <w:bCs/>
      <w:sz w:val="24"/>
      <w:szCs w:val="24"/>
    </w:rPr>
  </w:style>
  <w:style w:type="paragraph" w:styleId="aa">
    <w:name w:val="Balloon Text"/>
    <w:basedOn w:val="a"/>
    <w:link w:val="Char3"/>
    <w:semiHidden/>
    <w:unhideWhenUsed/>
    <w:rsid w:val="009932BC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993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BF"/>
    <w:rPr>
      <w:sz w:val="18"/>
      <w:szCs w:val="18"/>
    </w:rPr>
  </w:style>
  <w:style w:type="paragraph" w:styleId="a5">
    <w:name w:val="List Paragraph"/>
    <w:basedOn w:val="a"/>
    <w:uiPriority w:val="34"/>
    <w:qFormat/>
    <w:rsid w:val="008A05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NZ"/>
    </w:rPr>
  </w:style>
  <w:style w:type="table" w:customStyle="1" w:styleId="GridTable4">
    <w:name w:val="Grid Table 4"/>
    <w:basedOn w:val="a1"/>
    <w:uiPriority w:val="49"/>
    <w:rsid w:val="007F23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No Spacing"/>
    <w:uiPriority w:val="1"/>
    <w:qFormat/>
    <w:rsid w:val="002024B4"/>
    <w:rPr>
      <w:rFonts w:asciiTheme="minorHAnsi" w:hAnsiTheme="minorHAnsi" w:cstheme="minorBidi"/>
      <w:sz w:val="22"/>
      <w:szCs w:val="22"/>
      <w:lang w:val="en-NZ"/>
    </w:rPr>
  </w:style>
  <w:style w:type="character" w:styleId="a7">
    <w:name w:val="annotation reference"/>
    <w:basedOn w:val="a0"/>
    <w:semiHidden/>
    <w:unhideWhenUsed/>
    <w:rsid w:val="009932BC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9932BC"/>
  </w:style>
  <w:style w:type="character" w:customStyle="1" w:styleId="Char1">
    <w:name w:val="批注文字 Char"/>
    <w:basedOn w:val="a0"/>
    <w:link w:val="a8"/>
    <w:semiHidden/>
    <w:rsid w:val="009932BC"/>
    <w:rPr>
      <w:sz w:val="24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9932BC"/>
    <w:rPr>
      <w:b/>
      <w:bCs/>
    </w:rPr>
  </w:style>
  <w:style w:type="character" w:customStyle="1" w:styleId="Char2">
    <w:name w:val="批注主题 Char"/>
    <w:basedOn w:val="Char1"/>
    <w:link w:val="a9"/>
    <w:semiHidden/>
    <w:rsid w:val="009932BC"/>
    <w:rPr>
      <w:b/>
      <w:bCs/>
      <w:sz w:val="24"/>
      <w:szCs w:val="24"/>
    </w:rPr>
  </w:style>
  <w:style w:type="paragraph" w:styleId="aa">
    <w:name w:val="Balloon Text"/>
    <w:basedOn w:val="a"/>
    <w:link w:val="Char3"/>
    <w:semiHidden/>
    <w:unhideWhenUsed/>
    <w:rsid w:val="009932BC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993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FDDB-B8E1-4320-93E9-B20B76F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39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Wei</dc:creator>
  <cp:lastModifiedBy>马玉杰</cp:lastModifiedBy>
  <cp:revision>29</cp:revision>
  <dcterms:created xsi:type="dcterms:W3CDTF">2020-09-01T19:42:00Z</dcterms:created>
  <dcterms:modified xsi:type="dcterms:W3CDTF">2020-11-21T02:46:00Z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http://www.zotero.org/styles/world-journal-of-gastroenterology</vt:lpwstr>
  </property>
  <property fmtid="{D5CDD505-2E9C-101B-9397-08002B2CF9AE}" pid="4" name="Mendeley Unique User Id_1">
    <vt:lpwstr>085318ca-4579-35d4-81a3-c6e4a7f840e3</vt:lpwstr>
  </property>
</Properties>
</file>