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7771D8" w14:textId="77777777" w:rsidR="00A77B3E" w:rsidRPr="00C02EF6" w:rsidRDefault="00502E6C" w:rsidP="00476043">
      <w:pPr>
        <w:snapToGrid w:val="0"/>
        <w:spacing w:line="360" w:lineRule="auto"/>
        <w:jc w:val="both"/>
      </w:pPr>
      <w:r w:rsidRPr="00476043">
        <w:rPr>
          <w:rFonts w:ascii="Book Antiqua" w:eastAsia="Book Antiqua" w:hAnsi="Book Antiqua" w:cs="Book Antiqua"/>
          <w:b/>
        </w:rPr>
        <w:t xml:space="preserve">Name of Journal: </w:t>
      </w:r>
      <w:r w:rsidRPr="00476043">
        <w:rPr>
          <w:rFonts w:ascii="Book Antiqua" w:eastAsia="Book Antiqua" w:hAnsi="Book Antiqua" w:cs="Book Antiqua"/>
          <w:i/>
        </w:rPr>
        <w:t>World Journal of Gastroenterology</w:t>
      </w:r>
    </w:p>
    <w:p w14:paraId="20572564" w14:textId="77777777" w:rsidR="00A77B3E" w:rsidRPr="00C02EF6" w:rsidRDefault="00502E6C" w:rsidP="00476043">
      <w:pPr>
        <w:snapToGrid w:val="0"/>
        <w:spacing w:line="360" w:lineRule="auto"/>
        <w:jc w:val="both"/>
      </w:pPr>
      <w:r w:rsidRPr="00476043">
        <w:rPr>
          <w:rFonts w:ascii="Book Antiqua" w:eastAsia="Book Antiqua" w:hAnsi="Book Antiqua" w:cs="Book Antiqua"/>
          <w:b/>
        </w:rPr>
        <w:t xml:space="preserve">Manuscript NO: </w:t>
      </w:r>
      <w:r w:rsidRPr="00476043">
        <w:rPr>
          <w:rFonts w:ascii="Book Antiqua" w:eastAsia="Book Antiqua" w:hAnsi="Book Antiqua" w:cs="Book Antiqua"/>
        </w:rPr>
        <w:t>56537</w:t>
      </w:r>
    </w:p>
    <w:p w14:paraId="4A423077" w14:textId="77777777" w:rsidR="00A77B3E" w:rsidRPr="00C02EF6" w:rsidRDefault="00502E6C" w:rsidP="00476043">
      <w:pPr>
        <w:snapToGrid w:val="0"/>
        <w:spacing w:line="360" w:lineRule="auto"/>
        <w:jc w:val="both"/>
      </w:pPr>
      <w:r w:rsidRPr="00476043">
        <w:rPr>
          <w:rFonts w:ascii="Book Antiqua" w:eastAsia="Book Antiqua" w:hAnsi="Book Antiqua" w:cs="Book Antiqua"/>
          <w:b/>
        </w:rPr>
        <w:t xml:space="preserve">Manuscript Type: </w:t>
      </w:r>
      <w:r w:rsidRPr="00476043">
        <w:rPr>
          <w:rFonts w:ascii="Book Antiqua" w:eastAsia="Book Antiqua" w:hAnsi="Book Antiqua" w:cs="Book Antiqua"/>
        </w:rPr>
        <w:t>CASE REPORT</w:t>
      </w:r>
    </w:p>
    <w:p w14:paraId="684A157A" w14:textId="77777777" w:rsidR="00A77B3E" w:rsidRPr="00C02EF6" w:rsidRDefault="00A77B3E" w:rsidP="00476043">
      <w:pPr>
        <w:snapToGrid w:val="0"/>
        <w:spacing w:line="360" w:lineRule="auto"/>
        <w:jc w:val="both"/>
      </w:pPr>
    </w:p>
    <w:p w14:paraId="7D26D7C3" w14:textId="77777777" w:rsidR="00A77B3E" w:rsidRPr="00C02EF6" w:rsidRDefault="00502E6C" w:rsidP="00476043">
      <w:pPr>
        <w:snapToGrid w:val="0"/>
        <w:spacing w:line="360" w:lineRule="auto"/>
        <w:jc w:val="both"/>
      </w:pPr>
      <w:r w:rsidRPr="00476043">
        <w:rPr>
          <w:rFonts w:ascii="Book Antiqua" w:eastAsia="Book Antiqua" w:hAnsi="Book Antiqua" w:cs="Book Antiqua"/>
          <w:b/>
          <w:bCs/>
        </w:rPr>
        <w:t>Compromised therapeutic value of pediatric liver transplantation in ethylmalonic encephalopathy: A case report</w:t>
      </w:r>
    </w:p>
    <w:p w14:paraId="56304A00" w14:textId="77777777" w:rsidR="00A77B3E" w:rsidRPr="00C02EF6" w:rsidRDefault="00A77B3E" w:rsidP="00476043">
      <w:pPr>
        <w:snapToGrid w:val="0"/>
        <w:spacing w:line="360" w:lineRule="auto"/>
        <w:jc w:val="both"/>
      </w:pPr>
    </w:p>
    <w:p w14:paraId="1593CD13" w14:textId="1FEF6AEE" w:rsidR="00A77B3E" w:rsidRPr="00C02EF6" w:rsidRDefault="007E4764" w:rsidP="00476043">
      <w:pPr>
        <w:snapToGrid w:val="0"/>
        <w:spacing w:line="360" w:lineRule="auto"/>
        <w:jc w:val="both"/>
      </w:pPr>
      <w:r w:rsidRPr="00476043">
        <w:rPr>
          <w:rFonts w:ascii="Book Antiqua" w:eastAsia="Book Antiqua" w:hAnsi="Book Antiqua" w:cs="Book Antiqua"/>
        </w:rPr>
        <w:t xml:space="preserve">Zhou GP </w:t>
      </w:r>
      <w:r w:rsidRPr="00476043">
        <w:rPr>
          <w:rFonts w:ascii="Book Antiqua" w:eastAsia="Book Antiqua" w:hAnsi="Book Antiqua" w:cs="Book Antiqua"/>
          <w:i/>
          <w:iCs/>
        </w:rPr>
        <w:t>et al</w:t>
      </w:r>
      <w:r w:rsidRPr="00476043">
        <w:rPr>
          <w:rFonts w:ascii="Book Antiqua" w:eastAsia="Book Antiqua" w:hAnsi="Book Antiqua" w:cs="Book Antiqua"/>
        </w:rPr>
        <w:t>. L</w:t>
      </w:r>
      <w:r w:rsidR="00502E6C" w:rsidRPr="00476043">
        <w:rPr>
          <w:rFonts w:ascii="Book Antiqua" w:eastAsia="Book Antiqua" w:hAnsi="Book Antiqua" w:cs="Book Antiqua"/>
        </w:rPr>
        <w:t>iver transplantation for ethylmalonic encephalopathy</w:t>
      </w:r>
    </w:p>
    <w:p w14:paraId="622F1B08" w14:textId="77777777" w:rsidR="00A77B3E" w:rsidRPr="00C02EF6" w:rsidRDefault="00A77B3E" w:rsidP="00476043">
      <w:pPr>
        <w:snapToGrid w:val="0"/>
        <w:spacing w:line="360" w:lineRule="auto"/>
        <w:jc w:val="both"/>
      </w:pPr>
    </w:p>
    <w:p w14:paraId="442CE689" w14:textId="77777777" w:rsidR="00A77B3E" w:rsidRPr="00C02EF6" w:rsidRDefault="00502E6C" w:rsidP="00476043">
      <w:pPr>
        <w:snapToGrid w:val="0"/>
        <w:spacing w:line="360" w:lineRule="auto"/>
        <w:jc w:val="both"/>
      </w:pPr>
      <w:r w:rsidRPr="00476043">
        <w:rPr>
          <w:rFonts w:ascii="Book Antiqua" w:eastAsia="Book Antiqua" w:hAnsi="Book Antiqua" w:cs="Book Antiqua"/>
        </w:rPr>
        <w:t>Guang-Peng Zhou, Wei Qu, Zhi-Jun Zhu, Li-Ying Sun, Lin Wei, Zhi-Gui Zeng, Ying Liu</w:t>
      </w:r>
    </w:p>
    <w:p w14:paraId="0994ED70" w14:textId="77777777" w:rsidR="00A77B3E" w:rsidRPr="00C02EF6" w:rsidRDefault="00A77B3E" w:rsidP="00476043">
      <w:pPr>
        <w:snapToGrid w:val="0"/>
        <w:spacing w:line="360" w:lineRule="auto"/>
        <w:jc w:val="both"/>
      </w:pPr>
    </w:p>
    <w:p w14:paraId="3165A918" w14:textId="01167641"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Guang-Peng Zhou, Wei Qu, Zhi-Jun Zhu, Lin Wei, Zhi-Gui Zeng, Ying Liu, </w:t>
      </w:r>
      <w:r w:rsidRPr="00476043">
        <w:rPr>
          <w:rFonts w:ascii="Book Antiqua" w:eastAsia="Book Antiqua" w:hAnsi="Book Antiqua" w:cs="Book Antiqua"/>
        </w:rPr>
        <w:t xml:space="preserve">Liver Transplantation Center, </w:t>
      </w:r>
      <w:r w:rsidR="00B66ABC" w:rsidRPr="00546E7C">
        <w:rPr>
          <w:rFonts w:ascii="Book Antiqua" w:hAnsi="Book Antiqua" w:cs="Arial"/>
          <w:bCs/>
        </w:rPr>
        <w:t xml:space="preserve">National Clinical Research Center for Digestive Diseases, </w:t>
      </w:r>
      <w:r w:rsidRPr="00476043">
        <w:rPr>
          <w:rFonts w:ascii="Book Antiqua" w:eastAsia="Book Antiqua" w:hAnsi="Book Antiqua" w:cs="Book Antiqua"/>
        </w:rPr>
        <w:t>Beijing Friendship Hospital, Capital Medical University, Beijing 100050, China</w:t>
      </w:r>
    </w:p>
    <w:p w14:paraId="2414DB88" w14:textId="77777777" w:rsidR="00A77B3E" w:rsidRPr="00C02EF6" w:rsidRDefault="00A77B3E" w:rsidP="00476043">
      <w:pPr>
        <w:snapToGrid w:val="0"/>
        <w:spacing w:line="360" w:lineRule="auto"/>
        <w:jc w:val="both"/>
      </w:pPr>
    </w:p>
    <w:p w14:paraId="4F36B3C4" w14:textId="77777777"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Li-Ying Sun, </w:t>
      </w:r>
      <w:r w:rsidRPr="00476043">
        <w:rPr>
          <w:rFonts w:ascii="Book Antiqua" w:eastAsia="Book Antiqua" w:hAnsi="Book Antiqua" w:cs="Book Antiqua"/>
        </w:rPr>
        <w:t>Liver Transplantation Center, Intensive Care Unit, Beijing Friendship Hospital, Capital Medical University, Beijing 100050, China</w:t>
      </w:r>
    </w:p>
    <w:p w14:paraId="009B4B5C" w14:textId="77777777" w:rsidR="00A77B3E" w:rsidRPr="00C02EF6" w:rsidRDefault="00A77B3E" w:rsidP="00476043">
      <w:pPr>
        <w:snapToGrid w:val="0"/>
        <w:spacing w:line="360" w:lineRule="auto"/>
        <w:jc w:val="both"/>
      </w:pPr>
    </w:p>
    <w:p w14:paraId="60A6C423" w14:textId="17072887"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Author contributions: </w:t>
      </w:r>
      <w:r w:rsidRPr="00476043">
        <w:rPr>
          <w:rFonts w:ascii="Book Antiqua" w:eastAsia="Book Antiqua" w:hAnsi="Book Antiqua" w:cs="Book Antiqua"/>
        </w:rPr>
        <w:t>Zhu</w:t>
      </w:r>
      <w:r w:rsidR="00843A50" w:rsidRPr="00476043">
        <w:rPr>
          <w:rFonts w:ascii="Book Antiqua" w:eastAsia="Book Antiqua" w:hAnsi="Book Antiqua" w:cs="Book Antiqua"/>
        </w:rPr>
        <w:t xml:space="preserve"> ZJ</w:t>
      </w:r>
      <w:r w:rsidRPr="00476043">
        <w:rPr>
          <w:rFonts w:ascii="Book Antiqua" w:eastAsia="Book Antiqua" w:hAnsi="Book Antiqua" w:cs="Book Antiqua"/>
        </w:rPr>
        <w:t xml:space="preserve"> contributed to conception and design of the study and performed the operation for the patient; Zhou</w:t>
      </w:r>
      <w:r w:rsidR="00843A50" w:rsidRPr="00476043">
        <w:rPr>
          <w:rFonts w:ascii="Book Antiqua" w:eastAsia="Book Antiqua" w:hAnsi="Book Antiqua" w:cs="Book Antiqua"/>
        </w:rPr>
        <w:t xml:space="preserve"> GP</w:t>
      </w:r>
      <w:r w:rsidRPr="00476043">
        <w:rPr>
          <w:rFonts w:ascii="Book Antiqua" w:eastAsia="Book Antiqua" w:hAnsi="Book Antiqua" w:cs="Book Antiqua"/>
        </w:rPr>
        <w:t xml:space="preserve"> collected the data, performed the data analysis, and wrote the initial draft of the manuscript; Qu</w:t>
      </w:r>
      <w:r w:rsidR="00843A50" w:rsidRPr="00476043">
        <w:rPr>
          <w:rFonts w:ascii="Book Antiqua" w:eastAsia="Book Antiqua" w:hAnsi="Book Antiqua" w:cs="Book Antiqua"/>
        </w:rPr>
        <w:t xml:space="preserve"> W</w:t>
      </w:r>
      <w:r w:rsidRPr="00476043">
        <w:rPr>
          <w:rFonts w:ascii="Book Antiqua" w:eastAsia="Book Antiqua" w:hAnsi="Book Antiqua" w:cs="Book Antiqua"/>
        </w:rPr>
        <w:t>, Sun</w:t>
      </w:r>
      <w:r w:rsidR="00843A50" w:rsidRPr="00476043">
        <w:rPr>
          <w:rFonts w:ascii="Book Antiqua" w:eastAsia="Book Antiqua" w:hAnsi="Book Antiqua" w:cs="Book Antiqua"/>
        </w:rPr>
        <w:t xml:space="preserve"> LY</w:t>
      </w:r>
      <w:r w:rsidRPr="00476043">
        <w:rPr>
          <w:rFonts w:ascii="Book Antiqua" w:eastAsia="Book Antiqua" w:hAnsi="Book Antiqua" w:cs="Book Antiqua"/>
        </w:rPr>
        <w:t>, Wei</w:t>
      </w:r>
      <w:r w:rsidR="00843A50" w:rsidRPr="00476043">
        <w:rPr>
          <w:rFonts w:ascii="Book Antiqua" w:eastAsia="Book Antiqua" w:hAnsi="Book Antiqua" w:cs="Book Antiqua"/>
        </w:rPr>
        <w:t xml:space="preserve"> L</w:t>
      </w:r>
      <w:r w:rsidRPr="00476043">
        <w:rPr>
          <w:rFonts w:ascii="Book Antiqua" w:eastAsia="Book Antiqua" w:hAnsi="Book Antiqua" w:cs="Book Antiqua"/>
        </w:rPr>
        <w:t>, Zeng</w:t>
      </w:r>
      <w:r w:rsidR="00843A50" w:rsidRPr="00476043">
        <w:rPr>
          <w:rFonts w:ascii="Book Antiqua" w:eastAsia="Book Antiqua" w:hAnsi="Book Antiqua" w:cs="Book Antiqua"/>
        </w:rPr>
        <w:t xml:space="preserve"> ZG</w:t>
      </w:r>
      <w:r w:rsidRPr="00476043">
        <w:rPr>
          <w:rFonts w:ascii="Book Antiqua" w:eastAsia="Book Antiqua" w:hAnsi="Book Antiqua" w:cs="Book Antiqua"/>
        </w:rPr>
        <w:t>, and Liu</w:t>
      </w:r>
      <w:r w:rsidR="00843A50" w:rsidRPr="00476043">
        <w:rPr>
          <w:rFonts w:ascii="Book Antiqua" w:eastAsia="Book Antiqua" w:hAnsi="Book Antiqua" w:cs="Book Antiqua"/>
        </w:rPr>
        <w:t xml:space="preserve"> Y</w:t>
      </w:r>
      <w:r w:rsidRPr="00476043">
        <w:rPr>
          <w:rFonts w:ascii="Book Antiqua" w:eastAsia="Book Antiqua" w:hAnsi="Book Antiqua" w:cs="Book Antiqua"/>
        </w:rPr>
        <w:t xml:space="preserve"> participated in the clinical management and follow-up of the patient and analysis and interpretation of data; </w:t>
      </w:r>
      <w:r w:rsidR="00C02EF6">
        <w:rPr>
          <w:rFonts w:ascii="Book Antiqua" w:eastAsia="Book Antiqua" w:hAnsi="Book Antiqua" w:cs="Book Antiqua"/>
        </w:rPr>
        <w:t>A</w:t>
      </w:r>
      <w:r w:rsidRPr="00476043">
        <w:rPr>
          <w:rFonts w:ascii="Book Antiqua" w:eastAsia="Book Antiqua" w:hAnsi="Book Antiqua" w:cs="Book Antiqua"/>
        </w:rPr>
        <w:t>ll authors contributed to manuscript drafting and revision and issued final approval for the submitted version.</w:t>
      </w:r>
    </w:p>
    <w:p w14:paraId="78BF6A00" w14:textId="77777777" w:rsidR="00A77B3E" w:rsidRPr="00C02EF6" w:rsidRDefault="00A77B3E" w:rsidP="00476043">
      <w:pPr>
        <w:snapToGrid w:val="0"/>
        <w:spacing w:line="360" w:lineRule="auto"/>
        <w:jc w:val="both"/>
      </w:pPr>
    </w:p>
    <w:p w14:paraId="62526DE5" w14:textId="0E18E36C"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Supported by </w:t>
      </w:r>
      <w:r w:rsidR="00B3041F" w:rsidRPr="00476043">
        <w:rPr>
          <w:rFonts w:ascii="Book Antiqua" w:eastAsia="Book Antiqua" w:hAnsi="Book Antiqua" w:cs="Book Antiqua"/>
        </w:rPr>
        <w:t>Beijing Municipal Science &amp; Technology Commission</w:t>
      </w:r>
      <w:r w:rsidR="00FB2D3B" w:rsidRPr="00476043">
        <w:rPr>
          <w:rFonts w:ascii="Book Antiqua" w:eastAsia="Book Antiqua" w:hAnsi="Book Antiqua" w:cs="Book Antiqua"/>
        </w:rPr>
        <w:t xml:space="preserve">, No. </w:t>
      </w:r>
      <w:r w:rsidRPr="00476043">
        <w:rPr>
          <w:rFonts w:ascii="Book Antiqua" w:eastAsia="Book Antiqua" w:hAnsi="Book Antiqua" w:cs="Book Antiqua"/>
        </w:rPr>
        <w:t>Z181100001718220</w:t>
      </w:r>
      <w:r w:rsidR="00BC0DFA" w:rsidRPr="00476043">
        <w:rPr>
          <w:rFonts w:ascii="Book Antiqua" w:eastAsia="Book Antiqua" w:hAnsi="Book Antiqua" w:cs="Book Antiqua"/>
        </w:rPr>
        <w:t>,</w:t>
      </w:r>
      <w:r w:rsidRPr="00476043">
        <w:rPr>
          <w:rFonts w:ascii="Book Antiqua" w:eastAsia="Book Antiqua" w:hAnsi="Book Antiqua" w:cs="Book Antiqua"/>
        </w:rPr>
        <w:t xml:space="preserve"> and </w:t>
      </w:r>
      <w:r w:rsidR="00B3041F" w:rsidRPr="00B3041F">
        <w:rPr>
          <w:rFonts w:ascii="Book Antiqua" w:eastAsia="Book Antiqua" w:hAnsi="Book Antiqua" w:cs="Book Antiqua"/>
        </w:rPr>
        <w:t>Capital's Funds for Health Improvement and Research</w:t>
      </w:r>
      <w:r w:rsidR="00FB2D3B" w:rsidRPr="00476043">
        <w:rPr>
          <w:rFonts w:ascii="Book Antiqua" w:eastAsia="Book Antiqua" w:hAnsi="Book Antiqua" w:cs="Book Antiqua"/>
        </w:rPr>
        <w:t xml:space="preserve">, </w:t>
      </w:r>
      <w:r w:rsidRPr="00476043">
        <w:rPr>
          <w:rFonts w:ascii="Book Antiqua" w:eastAsia="Book Antiqua" w:hAnsi="Book Antiqua" w:cs="Book Antiqua"/>
        </w:rPr>
        <w:t>No.</w:t>
      </w:r>
      <w:r w:rsidR="00FB2D3B" w:rsidRPr="00476043">
        <w:rPr>
          <w:rFonts w:ascii="Book Antiqua" w:eastAsia="Book Antiqua" w:hAnsi="Book Antiqua" w:cs="Book Antiqua"/>
        </w:rPr>
        <w:t xml:space="preserve"> </w:t>
      </w:r>
      <w:r w:rsidRPr="00476043">
        <w:rPr>
          <w:rFonts w:ascii="Book Antiqua" w:eastAsia="Book Antiqua" w:hAnsi="Book Antiqua" w:cs="Book Antiqua"/>
        </w:rPr>
        <w:t>2020-1-2024.</w:t>
      </w:r>
    </w:p>
    <w:p w14:paraId="0F4ED99D" w14:textId="77777777" w:rsidR="00A77B3E" w:rsidRPr="00C02EF6" w:rsidRDefault="00A77B3E" w:rsidP="00476043">
      <w:pPr>
        <w:snapToGrid w:val="0"/>
        <w:spacing w:line="360" w:lineRule="auto"/>
        <w:jc w:val="both"/>
      </w:pPr>
    </w:p>
    <w:p w14:paraId="5EFF1355" w14:textId="2F473B49" w:rsidR="00A77B3E" w:rsidRPr="00C02EF6" w:rsidRDefault="00502E6C" w:rsidP="00476043">
      <w:pPr>
        <w:snapToGrid w:val="0"/>
        <w:spacing w:line="360" w:lineRule="auto"/>
        <w:jc w:val="both"/>
      </w:pPr>
      <w:r w:rsidRPr="00476043">
        <w:rPr>
          <w:rFonts w:ascii="Book Antiqua" w:eastAsia="Book Antiqua" w:hAnsi="Book Antiqua" w:cs="Book Antiqua"/>
          <w:b/>
          <w:bCs/>
        </w:rPr>
        <w:lastRenderedPageBreak/>
        <w:t>Corresponding author: Zhi-Jun Zhu, MD, PhD, Chief Doctor,</w:t>
      </w:r>
      <w:r w:rsidR="00DF083F" w:rsidRPr="00476043">
        <w:rPr>
          <w:rFonts w:ascii="Book Antiqua" w:eastAsia="Book Antiqua" w:hAnsi="Book Antiqua" w:cs="Book Antiqua"/>
          <w:b/>
          <w:bCs/>
        </w:rPr>
        <w:t xml:space="preserve"> </w:t>
      </w:r>
      <w:r w:rsidRPr="00476043">
        <w:rPr>
          <w:rFonts w:ascii="Book Antiqua" w:eastAsia="Book Antiqua" w:hAnsi="Book Antiqua" w:cs="Book Antiqua"/>
          <w:b/>
          <w:bCs/>
        </w:rPr>
        <w:t xml:space="preserve">Professor, Surgeon, </w:t>
      </w:r>
      <w:r w:rsidRPr="00476043">
        <w:rPr>
          <w:rFonts w:ascii="Book Antiqua" w:eastAsia="Book Antiqua" w:hAnsi="Book Antiqua" w:cs="Book Antiqua"/>
        </w:rPr>
        <w:t>Liver Transplantation Center, Beijing Friendship Hospital, Capital Medical Univ</w:t>
      </w:r>
      <w:r w:rsidR="005468DC" w:rsidRPr="00476043">
        <w:rPr>
          <w:rFonts w:ascii="Book Antiqua" w:eastAsia="Book Antiqua" w:hAnsi="Book Antiqua" w:cs="Book Antiqua"/>
        </w:rPr>
        <w:t>ersity, No. 95 Yong-an Road, Xic</w:t>
      </w:r>
      <w:r w:rsidRPr="00476043">
        <w:rPr>
          <w:rFonts w:ascii="Book Antiqua" w:eastAsia="Book Antiqua" w:hAnsi="Book Antiqua" w:cs="Book Antiqua"/>
        </w:rPr>
        <w:t>heng District, Beijing 100050, China. zhu-zhijun@outlook.com</w:t>
      </w:r>
    </w:p>
    <w:p w14:paraId="7A957FAA" w14:textId="77777777" w:rsidR="00A77B3E" w:rsidRPr="00C02EF6" w:rsidRDefault="00A77B3E" w:rsidP="00476043">
      <w:pPr>
        <w:snapToGrid w:val="0"/>
        <w:spacing w:line="360" w:lineRule="auto"/>
        <w:jc w:val="both"/>
      </w:pPr>
    </w:p>
    <w:p w14:paraId="544F8A27" w14:textId="77777777"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Received: </w:t>
      </w:r>
      <w:r w:rsidRPr="00476043">
        <w:rPr>
          <w:rFonts w:ascii="Book Antiqua" w:eastAsia="Book Antiqua" w:hAnsi="Book Antiqua" w:cs="Book Antiqua"/>
        </w:rPr>
        <w:t>May 12, 2020</w:t>
      </w:r>
    </w:p>
    <w:p w14:paraId="0A73DB81" w14:textId="77777777"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Revised: </w:t>
      </w:r>
      <w:r w:rsidRPr="00476043">
        <w:rPr>
          <w:rFonts w:ascii="Book Antiqua" w:eastAsia="Book Antiqua" w:hAnsi="Book Antiqua" w:cs="Book Antiqua"/>
        </w:rPr>
        <w:t>June 25, 2020</w:t>
      </w:r>
    </w:p>
    <w:p w14:paraId="19B89578" w14:textId="5DCE769A" w:rsidR="00A77B3E" w:rsidRPr="00476043" w:rsidRDefault="00502E6C" w:rsidP="00476043">
      <w:pPr>
        <w:snapToGrid w:val="0"/>
        <w:spacing w:line="360" w:lineRule="auto"/>
        <w:jc w:val="both"/>
        <w:rPr>
          <w:rFonts w:ascii="Book Antiqua" w:hAnsi="Book Antiqua" w:cs="Arial"/>
          <w:shd w:val="clear" w:color="auto" w:fill="FFFFFF"/>
        </w:rPr>
      </w:pPr>
      <w:r w:rsidRPr="00476043">
        <w:rPr>
          <w:rFonts w:ascii="Book Antiqua" w:eastAsia="Book Antiqua" w:hAnsi="Book Antiqua" w:cs="Book Antiqua"/>
          <w:b/>
          <w:bCs/>
        </w:rPr>
        <w:t xml:space="preserve">Accepted: </w:t>
      </w:r>
      <w:bookmarkStart w:id="0" w:name="_Hlk50781202"/>
      <w:bookmarkStart w:id="1" w:name="OLE_LINK106"/>
      <w:r w:rsidR="001B71E4" w:rsidRPr="00476043">
        <w:rPr>
          <w:rFonts w:ascii="Book Antiqua" w:hAnsi="Book Antiqua" w:cs="Arial"/>
          <w:shd w:val="clear" w:color="auto" w:fill="FFFFFF"/>
        </w:rPr>
        <w:t>September 18, 2020</w:t>
      </w:r>
      <w:bookmarkEnd w:id="0"/>
      <w:bookmarkEnd w:id="1"/>
    </w:p>
    <w:p w14:paraId="594AD982" w14:textId="77777777"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Published online: </w:t>
      </w:r>
    </w:p>
    <w:p w14:paraId="278743EB" w14:textId="77777777" w:rsidR="00D24A9F" w:rsidRDefault="00D24A9F" w:rsidP="00476043">
      <w:pPr>
        <w:snapToGrid w:val="0"/>
        <w:spacing w:line="360" w:lineRule="auto"/>
        <w:jc w:val="both"/>
        <w:sectPr w:rsidR="00D24A9F">
          <w:headerReference w:type="even" r:id="rId7"/>
          <w:headerReference w:type="default" r:id="rId8"/>
          <w:footerReference w:type="default" r:id="rId9"/>
          <w:pgSz w:w="12240" w:h="15840"/>
          <w:pgMar w:top="1440" w:right="1440" w:bottom="1440" w:left="1440" w:header="720" w:footer="720" w:gutter="0"/>
          <w:cols w:space="720"/>
          <w:docGrid w:linePitch="360"/>
        </w:sectPr>
      </w:pPr>
    </w:p>
    <w:p w14:paraId="0B45533C" w14:textId="77777777" w:rsidR="00A77B3E" w:rsidRPr="00C02EF6" w:rsidRDefault="00502E6C" w:rsidP="00476043">
      <w:pPr>
        <w:snapToGrid w:val="0"/>
        <w:spacing w:line="360" w:lineRule="auto"/>
        <w:jc w:val="both"/>
      </w:pPr>
      <w:r w:rsidRPr="00476043">
        <w:rPr>
          <w:rFonts w:ascii="Book Antiqua" w:eastAsia="Book Antiqua" w:hAnsi="Book Antiqua" w:cs="Book Antiqua"/>
          <w:b/>
        </w:rPr>
        <w:lastRenderedPageBreak/>
        <w:t>Abstract</w:t>
      </w:r>
    </w:p>
    <w:p w14:paraId="7D96D57F" w14:textId="77777777" w:rsidR="00A77B3E" w:rsidRPr="00C02EF6" w:rsidRDefault="00502E6C" w:rsidP="00476043">
      <w:pPr>
        <w:snapToGrid w:val="0"/>
        <w:spacing w:line="360" w:lineRule="auto"/>
        <w:jc w:val="both"/>
      </w:pPr>
      <w:r w:rsidRPr="00476043">
        <w:rPr>
          <w:rFonts w:ascii="Book Antiqua" w:eastAsia="Book Antiqua" w:hAnsi="Book Antiqua" w:cs="Book Antiqua"/>
        </w:rPr>
        <w:t>BACKGROUND</w:t>
      </w:r>
    </w:p>
    <w:p w14:paraId="1E896BE4" w14:textId="77777777" w:rsidR="00A77B3E" w:rsidRPr="00C02EF6" w:rsidRDefault="00502E6C" w:rsidP="00476043">
      <w:pPr>
        <w:snapToGrid w:val="0"/>
        <w:spacing w:line="360" w:lineRule="auto"/>
        <w:jc w:val="both"/>
      </w:pPr>
      <w:r w:rsidRPr="00476043">
        <w:rPr>
          <w:rFonts w:ascii="Book Antiqua" w:eastAsia="Book Antiqua" w:hAnsi="Book Antiqua" w:cs="Book Antiqua"/>
        </w:rPr>
        <w:t>Ethylmalonic encephalopathy (EE) is a rare autosomal recessive metabolic disorder caused by impaired mitochondrial sulfur dioxygenase. Due to poor therapeutic effect of current conventional treatments, progressive psychomotor regression and neurological impairment usually contribute to early death in the first decade of life. Liver transplantation (LT) is emerging as a novel therapeutic option for EE; however, worldwide experience is still limited.</w:t>
      </w:r>
    </w:p>
    <w:p w14:paraId="18FCBBF5" w14:textId="77777777" w:rsidR="00A77B3E" w:rsidRPr="00C02EF6" w:rsidRDefault="00A77B3E" w:rsidP="00476043">
      <w:pPr>
        <w:snapToGrid w:val="0"/>
        <w:spacing w:line="360" w:lineRule="auto"/>
        <w:jc w:val="both"/>
      </w:pPr>
    </w:p>
    <w:p w14:paraId="32C36D56" w14:textId="77777777" w:rsidR="00A77B3E" w:rsidRPr="00C02EF6" w:rsidRDefault="00502E6C" w:rsidP="00476043">
      <w:pPr>
        <w:snapToGrid w:val="0"/>
        <w:spacing w:line="360" w:lineRule="auto"/>
        <w:jc w:val="both"/>
      </w:pPr>
      <w:r w:rsidRPr="00476043">
        <w:rPr>
          <w:rFonts w:ascii="Book Antiqua" w:eastAsia="Book Antiqua" w:hAnsi="Book Antiqua" w:cs="Book Antiqua"/>
        </w:rPr>
        <w:t>CASE SUMMARY</w:t>
      </w:r>
    </w:p>
    <w:p w14:paraId="0E465316" w14:textId="700532F3" w:rsidR="00A77B3E" w:rsidRPr="00C02EF6" w:rsidRDefault="00502E6C" w:rsidP="00476043">
      <w:pPr>
        <w:snapToGrid w:val="0"/>
        <w:spacing w:line="360" w:lineRule="auto"/>
        <w:jc w:val="both"/>
      </w:pPr>
      <w:r w:rsidRPr="00476043">
        <w:rPr>
          <w:rFonts w:ascii="Book Antiqua" w:eastAsia="Book Antiqua" w:hAnsi="Book Antiqua" w:cs="Book Antiqua"/>
        </w:rPr>
        <w:t xml:space="preserve">An 18-mo-old patient with the diagnosis of EE received a living donor liver transplant in our institution, which, to our knowledge, is the first case in Asian-Pacific countries. During 20 mo of follow-up, the longitudinal metabolic evaluations revealed a wild fluctuation in urinary EMA levels, still far beyond the normal range. Urinary 2-methylsuccinic acid levels gradually restored to normal, whereas the concentrations of urinary isobutyrylglycine and plasma C4- and C5-acylcarnitines fluctuated markedly and still remained above the reference limits. Only mild amelioration of petechiae and ecchymosis was observed, and no dramatic reversion of chronic mucoid diarrhea and orthostatic acrocyanosis occurred. Although brain </w:t>
      </w:r>
      <w:r w:rsidR="007A39E4" w:rsidRPr="00476043">
        <w:rPr>
          <w:rFonts w:ascii="Book Antiqua" w:eastAsia="Book Antiqua" w:hAnsi="Book Antiqua" w:cs="Book Antiqua"/>
        </w:rPr>
        <w:t>magnetic resonance imaging</w:t>
      </w:r>
      <w:r w:rsidRPr="00476043">
        <w:rPr>
          <w:rFonts w:ascii="Book Antiqua" w:eastAsia="Book Antiqua" w:hAnsi="Book Antiqua" w:cs="Book Antiqua"/>
        </w:rPr>
        <w:t xml:space="preserve"> suggested a certain improvement in basal ganglia lesions, the patient still presented developmental delay and neurologic disability.</w:t>
      </w:r>
    </w:p>
    <w:p w14:paraId="3AEE3A79" w14:textId="77777777" w:rsidR="00A77B3E" w:rsidRPr="00C02EF6" w:rsidRDefault="00A77B3E" w:rsidP="00476043">
      <w:pPr>
        <w:snapToGrid w:val="0"/>
        <w:spacing w:line="360" w:lineRule="auto"/>
        <w:jc w:val="both"/>
      </w:pPr>
    </w:p>
    <w:p w14:paraId="604618BC" w14:textId="77777777" w:rsidR="00A77B3E" w:rsidRPr="00C02EF6" w:rsidRDefault="00502E6C" w:rsidP="00476043">
      <w:pPr>
        <w:snapToGrid w:val="0"/>
        <w:spacing w:line="360" w:lineRule="auto"/>
        <w:jc w:val="both"/>
      </w:pPr>
      <w:r w:rsidRPr="00476043">
        <w:rPr>
          <w:rFonts w:ascii="Book Antiqua" w:eastAsia="Book Antiqua" w:hAnsi="Book Antiqua" w:cs="Book Antiqua"/>
        </w:rPr>
        <w:t>CONCLUSION</w:t>
      </w:r>
    </w:p>
    <w:p w14:paraId="7C2FC9E5" w14:textId="77777777" w:rsidR="00A77B3E" w:rsidRPr="00C02EF6" w:rsidRDefault="00502E6C" w:rsidP="00476043">
      <w:pPr>
        <w:snapToGrid w:val="0"/>
        <w:spacing w:line="360" w:lineRule="auto"/>
        <w:jc w:val="both"/>
      </w:pPr>
      <w:r w:rsidRPr="00476043">
        <w:rPr>
          <w:rFonts w:ascii="Book Antiqua" w:eastAsia="Book Antiqua" w:hAnsi="Book Antiqua" w:cs="Book Antiqua"/>
        </w:rPr>
        <w:t xml:space="preserve">LT may bring about a partial but not complete cure to EE. Given its definite role in defending against the devastating natural progression of EE, LT should still be considered for patients with EE in the absence of other superior therapeutic options. Early establishment of diagnosis and initiation of conventional treatment pre-transplant, timely LT, and continuous administration of metabolism-correcting medications post-transplant </w:t>
      </w:r>
      <w:r w:rsidRPr="00476043">
        <w:rPr>
          <w:rFonts w:ascii="Book Antiqua" w:eastAsia="Book Antiqua" w:hAnsi="Book Antiqua" w:cs="Book Antiqua"/>
        </w:rPr>
        <w:lastRenderedPageBreak/>
        <w:t>may be helpful in minimizing the neurologic impairment and maximizing the therapeutic value of LT in EE.</w:t>
      </w:r>
    </w:p>
    <w:p w14:paraId="50616215" w14:textId="77777777" w:rsidR="00A77B3E" w:rsidRPr="00C02EF6" w:rsidRDefault="00A77B3E" w:rsidP="00476043">
      <w:pPr>
        <w:snapToGrid w:val="0"/>
        <w:spacing w:line="360" w:lineRule="auto"/>
        <w:jc w:val="both"/>
      </w:pPr>
    </w:p>
    <w:p w14:paraId="42FC9E43" w14:textId="77777777"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Key Words: </w:t>
      </w:r>
      <w:r w:rsidRPr="00476043">
        <w:rPr>
          <w:rFonts w:ascii="Book Antiqua" w:eastAsia="Book Antiqua" w:hAnsi="Book Antiqua" w:cs="Book Antiqua"/>
        </w:rPr>
        <w:t>Ethylmalonic encephalopathy; Liver transplantation; Mitochondrial disorder; ETHE1; Pediatric; Case report</w:t>
      </w:r>
    </w:p>
    <w:p w14:paraId="705059FC" w14:textId="77777777" w:rsidR="00A77B3E" w:rsidRPr="00C02EF6" w:rsidRDefault="00A77B3E" w:rsidP="00476043">
      <w:pPr>
        <w:snapToGrid w:val="0"/>
        <w:spacing w:line="360" w:lineRule="auto"/>
        <w:jc w:val="both"/>
      </w:pPr>
    </w:p>
    <w:p w14:paraId="55991D18" w14:textId="77777777" w:rsidR="00A77B3E" w:rsidRPr="00C02EF6" w:rsidRDefault="00502E6C" w:rsidP="00476043">
      <w:pPr>
        <w:snapToGrid w:val="0"/>
        <w:spacing w:line="360" w:lineRule="auto"/>
        <w:jc w:val="both"/>
      </w:pPr>
      <w:r w:rsidRPr="00476043">
        <w:rPr>
          <w:rFonts w:ascii="Book Antiqua" w:eastAsia="Book Antiqua" w:hAnsi="Book Antiqua" w:cs="Book Antiqua"/>
        </w:rPr>
        <w:t xml:space="preserve">Zhou GP, Qu W, Zhu ZJ, Sun LY, Wei L, Zeng ZG, Liu Y. Compromised therapeutic value of pediatric liver transplantation in ethylmalonic encephalopathy: A case report. </w:t>
      </w:r>
      <w:r w:rsidRPr="00476043">
        <w:rPr>
          <w:rFonts w:ascii="Book Antiqua" w:eastAsia="Book Antiqua" w:hAnsi="Book Antiqua" w:cs="Book Antiqua"/>
          <w:i/>
          <w:iCs/>
        </w:rPr>
        <w:t>World J Gastroenterol</w:t>
      </w:r>
      <w:r w:rsidRPr="00476043">
        <w:rPr>
          <w:rFonts w:ascii="Book Antiqua" w:eastAsia="Book Antiqua" w:hAnsi="Book Antiqua" w:cs="Book Antiqua"/>
        </w:rPr>
        <w:t xml:space="preserve"> 2020; In press</w:t>
      </w:r>
    </w:p>
    <w:p w14:paraId="6DFE07FE" w14:textId="77777777" w:rsidR="00A77B3E" w:rsidRPr="00C02EF6" w:rsidRDefault="00A77B3E" w:rsidP="00476043">
      <w:pPr>
        <w:snapToGrid w:val="0"/>
        <w:spacing w:line="360" w:lineRule="auto"/>
        <w:jc w:val="both"/>
      </w:pPr>
    </w:p>
    <w:p w14:paraId="31514D01" w14:textId="790E3926"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Core Tip: </w:t>
      </w:r>
      <w:r w:rsidRPr="00476043">
        <w:rPr>
          <w:rFonts w:ascii="Book Antiqua" w:eastAsia="Book Antiqua" w:hAnsi="Book Antiqua" w:cs="Book Antiqua"/>
        </w:rPr>
        <w:t>Liver transplantation (LT) is emerging as a novel therapeutic option for ethylmalonic encephalopathy (EE). However, worldwide experience is still limited. Our case of LT for EE, to the best of our knowledge, is the first case in Asian-Pacific countries. The case suggests that despite only a partial cure, LT does have a definite role in defending against the devastating natural progression of EE. Early establishment of diagnosis and initiation of conventional treatment pre-transplant, timely LT, and continuous administration of metabolism-correcting medications post-transplant may be helpful in minimizing the neurologic impairment and maximizing the therapeutic value of LT in EE.</w:t>
      </w:r>
    </w:p>
    <w:p w14:paraId="1703DF0E" w14:textId="7C16281F" w:rsidR="00A77B3E" w:rsidRPr="00C02EF6" w:rsidRDefault="007A39E4" w:rsidP="00476043">
      <w:pPr>
        <w:snapToGrid w:val="0"/>
        <w:spacing w:line="360" w:lineRule="auto"/>
        <w:jc w:val="both"/>
      </w:pPr>
      <w:r w:rsidRPr="00476043">
        <w:rPr>
          <w:rFonts w:ascii="Book Antiqua" w:eastAsia="Book Antiqua" w:hAnsi="Book Antiqua" w:cs="Book Antiqua"/>
          <w:b/>
          <w:caps/>
          <w:u w:val="single"/>
        </w:rPr>
        <w:br w:type="page"/>
      </w:r>
      <w:r w:rsidR="00502E6C" w:rsidRPr="00476043">
        <w:rPr>
          <w:rFonts w:ascii="Book Antiqua" w:eastAsia="Book Antiqua" w:hAnsi="Book Antiqua" w:cs="Book Antiqua"/>
          <w:b/>
          <w:caps/>
          <w:u w:val="single"/>
        </w:rPr>
        <w:lastRenderedPageBreak/>
        <w:t>INTRODUCTION</w:t>
      </w:r>
    </w:p>
    <w:p w14:paraId="0A90DEB3" w14:textId="32C5EC4F" w:rsidR="00A77B3E" w:rsidRPr="00C02EF6" w:rsidRDefault="00502E6C" w:rsidP="00476043">
      <w:pPr>
        <w:snapToGrid w:val="0"/>
        <w:spacing w:line="360" w:lineRule="auto"/>
        <w:jc w:val="both"/>
      </w:pPr>
      <w:r w:rsidRPr="00476043">
        <w:rPr>
          <w:rFonts w:ascii="Book Antiqua" w:eastAsia="Book Antiqua" w:hAnsi="Book Antiqua" w:cs="Book Antiqua"/>
        </w:rPr>
        <w:t xml:space="preserve">Ethylmalonic encephalopathy </w:t>
      </w:r>
      <w:r w:rsidR="00FF45A4" w:rsidRPr="00476043">
        <w:rPr>
          <w:rFonts w:ascii="Book Antiqua" w:eastAsia="Book Antiqua" w:hAnsi="Book Antiqua" w:cs="Book Antiqua"/>
        </w:rPr>
        <w:t>[</w:t>
      </w:r>
      <w:r w:rsidRPr="00476043">
        <w:rPr>
          <w:rFonts w:ascii="Book Antiqua" w:eastAsia="Book Antiqua" w:hAnsi="Book Antiqua" w:cs="Book Antiqua"/>
        </w:rPr>
        <w:t>EE</w:t>
      </w:r>
      <w:r w:rsidR="00FF45A4" w:rsidRPr="00476043">
        <w:rPr>
          <w:rFonts w:ascii="Book Antiqua" w:eastAsia="Book Antiqua" w:hAnsi="Book Antiqua" w:cs="Book Antiqua"/>
        </w:rPr>
        <w:t>,</w:t>
      </w:r>
      <w:r w:rsidRPr="00476043">
        <w:rPr>
          <w:rFonts w:ascii="Book Antiqua" w:eastAsia="Book Antiqua" w:hAnsi="Book Antiqua" w:cs="Book Antiqua"/>
        </w:rPr>
        <w:t xml:space="preserve"> Online Mendelian Inheritance in Man number #602473</w:t>
      </w:r>
      <w:r w:rsidR="00FF45A4" w:rsidRPr="00476043">
        <w:rPr>
          <w:rFonts w:ascii="Book Antiqua" w:eastAsia="Book Antiqua" w:hAnsi="Book Antiqua" w:cs="Book Antiqua"/>
        </w:rPr>
        <w:t>]</w:t>
      </w:r>
      <w:r w:rsidRPr="00476043">
        <w:rPr>
          <w:rFonts w:ascii="Book Antiqua" w:eastAsia="Book Antiqua" w:hAnsi="Book Antiqua" w:cs="Book Antiqua"/>
          <w:vertAlign w:val="superscript"/>
        </w:rPr>
        <w:t>[1]</w:t>
      </w:r>
      <w:r w:rsidRPr="00476043">
        <w:rPr>
          <w:rFonts w:ascii="Book Antiqua" w:eastAsia="Book Antiqua" w:hAnsi="Book Antiqua" w:cs="Book Antiqua"/>
        </w:rPr>
        <w:t xml:space="preserve"> is a rare autosomal recessively inherited disorder of mitochondrial metabolism caused by homozygous or compound heterozygous mutations in the </w:t>
      </w:r>
      <w:r w:rsidRPr="00476043">
        <w:rPr>
          <w:rFonts w:ascii="Book Antiqua" w:eastAsia="Book Antiqua" w:hAnsi="Book Antiqua" w:cs="Book Antiqua"/>
          <w:i/>
          <w:iCs/>
        </w:rPr>
        <w:t>ETHE1</w:t>
      </w:r>
      <w:r w:rsidRPr="00476043">
        <w:rPr>
          <w:rFonts w:ascii="Book Antiqua" w:eastAsia="Book Antiqua" w:hAnsi="Book Antiqua" w:cs="Book Antiqua"/>
        </w:rPr>
        <w:t xml:space="preserve"> gene, which is located on chromosome 19q13</w:t>
      </w:r>
      <w:r w:rsidR="00FF45A4" w:rsidRPr="00476043">
        <w:rPr>
          <w:rFonts w:ascii="Book Antiqua" w:eastAsia="Book Antiqua" w:hAnsi="Book Antiqua" w:cs="Book Antiqua"/>
          <w:vertAlign w:val="superscript"/>
        </w:rPr>
        <w:t>[2]</w:t>
      </w:r>
      <w:r w:rsidRPr="00476043">
        <w:rPr>
          <w:rFonts w:ascii="Book Antiqua" w:eastAsia="Book Antiqua" w:hAnsi="Book Antiqua" w:cs="Book Antiqua"/>
        </w:rPr>
        <w:t xml:space="preserve">. To date, more than 100 patients with EE have been reported </w:t>
      </w:r>
      <w:proofErr w:type="gramStart"/>
      <w:r w:rsidRPr="00476043">
        <w:rPr>
          <w:rFonts w:ascii="Book Antiqua" w:eastAsia="Book Antiqua" w:hAnsi="Book Antiqua" w:cs="Book Antiqua"/>
        </w:rPr>
        <w:t>worldwide</w:t>
      </w:r>
      <w:r w:rsidR="00FF45A4" w:rsidRPr="00476043">
        <w:rPr>
          <w:rFonts w:ascii="Book Antiqua" w:eastAsia="Book Antiqua" w:hAnsi="Book Antiqua" w:cs="Book Antiqua"/>
          <w:vertAlign w:val="superscript"/>
        </w:rPr>
        <w:t>[</w:t>
      </w:r>
      <w:proofErr w:type="gramEnd"/>
      <w:r w:rsidR="00FF45A4" w:rsidRPr="00476043">
        <w:rPr>
          <w:rFonts w:ascii="Book Antiqua" w:eastAsia="Book Antiqua" w:hAnsi="Book Antiqua" w:cs="Book Antiqua"/>
          <w:vertAlign w:val="superscript"/>
        </w:rPr>
        <w:t>3]</w:t>
      </w:r>
      <w:r w:rsidRPr="00476043">
        <w:rPr>
          <w:rFonts w:ascii="Book Antiqua" w:eastAsia="Book Antiqua" w:hAnsi="Book Antiqua" w:cs="Book Antiqua"/>
        </w:rPr>
        <w:t xml:space="preserve"> but rarely reported in China. However, based on the results of newborn screening from Jining city in 2014-2015, live-birth incidence of EE is approximately 1:25000</w:t>
      </w:r>
      <w:r w:rsidR="00FF45A4" w:rsidRPr="00476043">
        <w:rPr>
          <w:rFonts w:ascii="Book Antiqua" w:eastAsia="Book Antiqua" w:hAnsi="Book Antiqua" w:cs="Book Antiqua"/>
          <w:vertAlign w:val="superscript"/>
        </w:rPr>
        <w:t>[4]</w:t>
      </w:r>
      <w:r w:rsidRPr="00476043">
        <w:rPr>
          <w:rFonts w:ascii="Book Antiqua" w:eastAsia="Book Antiqua" w:hAnsi="Book Antiqua" w:cs="Book Antiqua"/>
        </w:rPr>
        <w:t>. ETHE1 deficiency results in chronic accumulation of hydrogen sulfide (H</w:t>
      </w:r>
      <w:r w:rsidRPr="00476043">
        <w:rPr>
          <w:rFonts w:ascii="Book Antiqua" w:eastAsia="Book Antiqua" w:hAnsi="Book Antiqua" w:cs="Book Antiqua"/>
          <w:vertAlign w:val="subscript"/>
        </w:rPr>
        <w:t>2</w:t>
      </w:r>
      <w:r w:rsidRPr="00476043">
        <w:rPr>
          <w:rFonts w:ascii="Book Antiqua" w:eastAsia="Book Antiqua" w:hAnsi="Book Antiqua" w:cs="Book Antiqua"/>
        </w:rPr>
        <w:t>S) and its derivative thiosulfate in multisystemic tissues such as colonic mucosa, liver, muscle, and brain</w:t>
      </w:r>
      <w:r w:rsidR="00FF45A4" w:rsidRPr="00476043">
        <w:rPr>
          <w:rFonts w:ascii="Book Antiqua" w:eastAsia="Book Antiqua" w:hAnsi="Book Antiqua" w:cs="Book Antiqua"/>
          <w:vertAlign w:val="superscript"/>
        </w:rPr>
        <w:t>[5,6]</w:t>
      </w:r>
      <w:r w:rsidRPr="00476043">
        <w:rPr>
          <w:rFonts w:ascii="Book Antiqua" w:eastAsia="Book Antiqua" w:hAnsi="Book Antiqua" w:cs="Book Antiqua"/>
        </w:rPr>
        <w:t xml:space="preserve">. Characteristic patients with ETHE1 disease present with (1) progressive neurological degeneration, including global neurodevelopmental delay, early-onset psychomotor regression, progressive pyramidal and extrapyramidal signs, and seizures and (2) diffuse microvasculature injury, including recurrent petechial purpura, orthostatic acrocyanosis, and chronic hemorrhagic </w:t>
      </w:r>
      <w:proofErr w:type="gramStart"/>
      <w:r w:rsidRPr="00476043">
        <w:rPr>
          <w:rFonts w:ascii="Book Antiqua" w:eastAsia="Book Antiqua" w:hAnsi="Book Antiqua" w:cs="Book Antiqua"/>
        </w:rPr>
        <w:t>diarrhea</w:t>
      </w:r>
      <w:r w:rsidR="00FF45A4" w:rsidRPr="00476043">
        <w:rPr>
          <w:rFonts w:ascii="Book Antiqua" w:eastAsia="Book Antiqua" w:hAnsi="Book Antiqua" w:cs="Book Antiqua"/>
          <w:vertAlign w:val="superscript"/>
        </w:rPr>
        <w:t>[</w:t>
      </w:r>
      <w:proofErr w:type="gramEnd"/>
      <w:r w:rsidR="00FF45A4" w:rsidRPr="00476043">
        <w:rPr>
          <w:rFonts w:ascii="Book Antiqua" w:eastAsia="Book Antiqua" w:hAnsi="Book Antiqua" w:cs="Book Antiqua"/>
          <w:vertAlign w:val="superscript"/>
        </w:rPr>
        <w:t>6,7]</w:t>
      </w:r>
      <w:r w:rsidRPr="00476043">
        <w:rPr>
          <w:rFonts w:ascii="Book Antiqua" w:eastAsia="Book Antiqua" w:hAnsi="Book Antiqua" w:cs="Book Antiqua"/>
        </w:rPr>
        <w:t>. Currently, the mainstay of conservative treatment options aimed at lowering production and promoting detoxification of H</w:t>
      </w:r>
      <w:r w:rsidRPr="00476043">
        <w:rPr>
          <w:rFonts w:ascii="Book Antiqua" w:eastAsia="Book Antiqua" w:hAnsi="Book Antiqua" w:cs="Book Antiqua"/>
          <w:vertAlign w:val="subscript"/>
        </w:rPr>
        <w:t>2</w:t>
      </w:r>
      <w:r w:rsidRPr="00476043">
        <w:rPr>
          <w:rFonts w:ascii="Book Antiqua" w:eastAsia="Book Antiqua" w:hAnsi="Book Antiqua" w:cs="Book Antiqua"/>
        </w:rPr>
        <w:t>S is a methionine and isoleucine restricted diet and combined use of metronidazole (an antibiotic against enterobacterial anaerobic flora) and N-acetylcysteine (a cell-permeable precursor of the H</w:t>
      </w:r>
      <w:r w:rsidRPr="00476043">
        <w:rPr>
          <w:rFonts w:ascii="Book Antiqua" w:eastAsia="Book Antiqua" w:hAnsi="Book Antiqua" w:cs="Book Antiqua"/>
          <w:vertAlign w:val="subscript"/>
        </w:rPr>
        <w:t>2</w:t>
      </w:r>
      <w:r w:rsidRPr="00476043">
        <w:rPr>
          <w:rFonts w:ascii="Book Antiqua" w:eastAsia="Book Antiqua" w:hAnsi="Book Antiqua" w:cs="Book Antiqua"/>
        </w:rPr>
        <w:t>S scavenger glutathione)</w:t>
      </w:r>
      <w:r w:rsidR="00FF45A4" w:rsidRPr="00476043">
        <w:rPr>
          <w:rFonts w:ascii="Book Antiqua" w:eastAsia="Book Antiqua" w:hAnsi="Book Antiqua" w:cs="Book Antiqua"/>
          <w:vertAlign w:val="superscript"/>
        </w:rPr>
        <w:t>[8]</w:t>
      </w:r>
      <w:r w:rsidRPr="00476043">
        <w:rPr>
          <w:rFonts w:ascii="Book Antiqua" w:eastAsia="Book Antiqua" w:hAnsi="Book Antiqua" w:cs="Book Antiqua"/>
        </w:rPr>
        <w:t>. For EE patients presenting with severe encephalopathy, intravenous N-acetylcysteine infusion therapy may be more effective</w:t>
      </w:r>
      <w:r w:rsidR="00FF45A4" w:rsidRPr="00476043">
        <w:rPr>
          <w:rFonts w:ascii="Book Antiqua" w:eastAsia="Book Antiqua" w:hAnsi="Book Antiqua" w:cs="Book Antiqua"/>
          <w:vertAlign w:val="superscript"/>
        </w:rPr>
        <w:t>[9]</w:t>
      </w:r>
      <w:r w:rsidRPr="00476043">
        <w:rPr>
          <w:rFonts w:ascii="Book Antiqua" w:eastAsia="Book Antiqua" w:hAnsi="Book Antiqua" w:cs="Book Antiqua"/>
        </w:rPr>
        <w:t xml:space="preserve">. Since most affected individuals are compound heterozygotes resulting in unclear genotype-phenotype correlation, some patients with milder courses of EE who receive combined treatments with metronidazole and N-acetylcysteine may survive into childhood and adolescence, even though they are likely to suffer acute episodes of metabolic decompensation. Kitzler </w:t>
      </w:r>
      <w:r w:rsidRPr="00476043">
        <w:rPr>
          <w:rFonts w:ascii="Book Antiqua" w:eastAsia="Book Antiqua" w:hAnsi="Book Antiqua" w:cs="Book Antiqua"/>
          <w:i/>
          <w:iCs/>
        </w:rPr>
        <w:t>et al</w:t>
      </w:r>
      <w:r w:rsidR="00FF45A4" w:rsidRPr="00476043">
        <w:rPr>
          <w:rFonts w:ascii="Book Antiqua" w:eastAsia="Book Antiqua" w:hAnsi="Book Antiqua" w:cs="Book Antiqua"/>
          <w:vertAlign w:val="superscript"/>
        </w:rPr>
        <w:t>[10]</w:t>
      </w:r>
      <w:r w:rsidRPr="00476043">
        <w:rPr>
          <w:rFonts w:ascii="Book Antiqua" w:eastAsia="Book Antiqua" w:hAnsi="Book Antiqua" w:cs="Book Antiqua"/>
        </w:rPr>
        <w:t xml:space="preserve"> found that during an acute episode of metabolic decompensation, continuous renal replacement therapy may help to regain metabolic control in patients with EE. Despite this, the overall outcome of this devastating disorder remains poor. Progressive clinical deterioration along with psychomotor regression usually result in death within the first few years of life.</w:t>
      </w:r>
    </w:p>
    <w:p w14:paraId="72BC3EDC" w14:textId="2E5FF5DB" w:rsidR="00A77B3E" w:rsidRPr="00C02EF6" w:rsidRDefault="00502E6C" w:rsidP="00476043">
      <w:pPr>
        <w:snapToGrid w:val="0"/>
        <w:spacing w:line="360" w:lineRule="auto"/>
        <w:ind w:firstLineChars="100" w:firstLine="240"/>
        <w:jc w:val="both"/>
      </w:pPr>
      <w:r w:rsidRPr="00476043">
        <w:rPr>
          <w:rFonts w:ascii="Book Antiqua" w:eastAsia="Book Antiqua" w:hAnsi="Book Antiqua" w:cs="Book Antiqua"/>
        </w:rPr>
        <w:lastRenderedPageBreak/>
        <w:t xml:space="preserve">Since 2016, Dionisi-Vici </w:t>
      </w:r>
      <w:r w:rsidRPr="00476043">
        <w:rPr>
          <w:rFonts w:ascii="Book Antiqua" w:eastAsia="Book Antiqua" w:hAnsi="Book Antiqua" w:cs="Book Antiqua"/>
          <w:i/>
          <w:iCs/>
        </w:rPr>
        <w:t>et al</w:t>
      </w:r>
      <w:r w:rsidR="00FF45A4" w:rsidRPr="00476043">
        <w:rPr>
          <w:rFonts w:ascii="Book Antiqua" w:eastAsia="Book Antiqua" w:hAnsi="Book Antiqua" w:cs="Book Antiqua"/>
          <w:vertAlign w:val="superscript"/>
        </w:rPr>
        <w:t>[3]</w:t>
      </w:r>
      <w:r w:rsidRPr="00476043">
        <w:rPr>
          <w:rFonts w:ascii="Book Antiqua" w:eastAsia="Book Antiqua" w:hAnsi="Book Antiqua" w:cs="Book Antiqua"/>
        </w:rPr>
        <w:t xml:space="preserve"> and Tam </w:t>
      </w:r>
      <w:r w:rsidRPr="00476043">
        <w:rPr>
          <w:rFonts w:ascii="Book Antiqua" w:eastAsia="Book Antiqua" w:hAnsi="Book Antiqua" w:cs="Book Antiqua"/>
          <w:i/>
          <w:iCs/>
        </w:rPr>
        <w:t>et al</w:t>
      </w:r>
      <w:r w:rsidR="00FF45A4" w:rsidRPr="00476043">
        <w:rPr>
          <w:rFonts w:ascii="Book Antiqua" w:eastAsia="Book Antiqua" w:hAnsi="Book Antiqua" w:cs="Book Antiqua"/>
          <w:vertAlign w:val="superscript"/>
        </w:rPr>
        <w:t>[11]</w:t>
      </w:r>
      <w:r w:rsidRPr="00476043">
        <w:rPr>
          <w:rFonts w:ascii="Book Antiqua" w:eastAsia="Book Antiqua" w:hAnsi="Book Antiqua" w:cs="Book Antiqua"/>
        </w:rPr>
        <w:t xml:space="preserve"> successively performed liver transplantation (LT) in three children with EE. Although psychomotor delay remained after liver transplant, progressive improvements of neurological function and psychomotor development and dramatic amelioration of biochemical abnormalities were observed. These results suggest that LT may be a promising therapeutic approach that can improve the prognosis of EE. However, worldwide experience is still limited, and potential benefits of LT must be weighed against the potentially high risk of this procedure. Herein we describe a case of living donor liver transplantation (LDLT) for an 18-mo-old patient with EE. To our knowledge, this is the first case in Asian-Pacific countries.</w:t>
      </w:r>
    </w:p>
    <w:p w14:paraId="3AC462DA" w14:textId="77777777" w:rsidR="00A77B3E" w:rsidRPr="00C02EF6" w:rsidRDefault="00A77B3E" w:rsidP="00476043">
      <w:pPr>
        <w:snapToGrid w:val="0"/>
        <w:spacing w:line="360" w:lineRule="auto"/>
        <w:jc w:val="both"/>
      </w:pPr>
    </w:p>
    <w:p w14:paraId="1B111273" w14:textId="77777777" w:rsidR="00A77B3E" w:rsidRPr="00C02EF6" w:rsidRDefault="00502E6C" w:rsidP="00476043">
      <w:pPr>
        <w:snapToGrid w:val="0"/>
        <w:spacing w:line="360" w:lineRule="auto"/>
        <w:jc w:val="both"/>
      </w:pPr>
      <w:r w:rsidRPr="00476043">
        <w:rPr>
          <w:rFonts w:ascii="Book Antiqua" w:eastAsia="Book Antiqua" w:hAnsi="Book Antiqua" w:cs="Book Antiqua"/>
          <w:b/>
          <w:caps/>
          <w:u w:val="single"/>
        </w:rPr>
        <w:t>CASE PRESENTATION</w:t>
      </w:r>
    </w:p>
    <w:p w14:paraId="78FD83AA" w14:textId="77777777" w:rsidR="00A77B3E" w:rsidRPr="00C02EF6" w:rsidRDefault="00502E6C" w:rsidP="00476043">
      <w:pPr>
        <w:snapToGrid w:val="0"/>
        <w:spacing w:line="360" w:lineRule="auto"/>
        <w:jc w:val="both"/>
      </w:pPr>
      <w:r w:rsidRPr="00476043">
        <w:rPr>
          <w:rFonts w:ascii="Book Antiqua" w:eastAsia="Book Antiqua" w:hAnsi="Book Antiqua" w:cs="Book Antiqua"/>
          <w:b/>
          <w:i/>
        </w:rPr>
        <w:t>Chief complaints</w:t>
      </w:r>
    </w:p>
    <w:p w14:paraId="30B1124F" w14:textId="3267AE32" w:rsidR="00A77B3E" w:rsidRPr="00C02EF6" w:rsidRDefault="00502E6C" w:rsidP="00476043">
      <w:pPr>
        <w:snapToGrid w:val="0"/>
        <w:spacing w:line="360" w:lineRule="auto"/>
        <w:jc w:val="both"/>
      </w:pPr>
      <w:r w:rsidRPr="00476043">
        <w:rPr>
          <w:rFonts w:ascii="Book Antiqua" w:eastAsia="Book Antiqua" w:hAnsi="Book Antiqua" w:cs="Book Antiqua"/>
        </w:rPr>
        <w:t>A 15-mo-old boy with the diagnosis of EE was admitted for consideration of LT.</w:t>
      </w:r>
    </w:p>
    <w:p w14:paraId="14183CCA" w14:textId="77777777" w:rsidR="00A77B3E" w:rsidRPr="00C02EF6" w:rsidRDefault="00A77B3E" w:rsidP="00476043">
      <w:pPr>
        <w:snapToGrid w:val="0"/>
        <w:spacing w:line="360" w:lineRule="auto"/>
        <w:jc w:val="both"/>
      </w:pPr>
    </w:p>
    <w:p w14:paraId="00E0CDEE" w14:textId="77777777" w:rsidR="00A77B3E" w:rsidRPr="00C02EF6" w:rsidRDefault="00502E6C" w:rsidP="00476043">
      <w:pPr>
        <w:snapToGrid w:val="0"/>
        <w:spacing w:line="360" w:lineRule="auto"/>
        <w:jc w:val="both"/>
      </w:pPr>
      <w:r w:rsidRPr="00476043">
        <w:rPr>
          <w:rFonts w:ascii="Book Antiqua" w:eastAsia="Book Antiqua" w:hAnsi="Book Antiqua" w:cs="Book Antiqua"/>
          <w:b/>
          <w:i/>
        </w:rPr>
        <w:t>History of present illness</w:t>
      </w:r>
    </w:p>
    <w:p w14:paraId="4B48CDF2" w14:textId="4E92939F" w:rsidR="00A77B3E" w:rsidRPr="00C02EF6" w:rsidRDefault="00502E6C" w:rsidP="00476043">
      <w:pPr>
        <w:snapToGrid w:val="0"/>
        <w:spacing w:line="360" w:lineRule="auto"/>
        <w:jc w:val="both"/>
      </w:pPr>
      <w:r w:rsidRPr="00476043">
        <w:rPr>
          <w:rFonts w:ascii="Book Antiqua" w:eastAsia="Book Antiqua" w:hAnsi="Book Antiqua" w:cs="Book Antiqua"/>
        </w:rPr>
        <w:t>The patient was the first child of non-consanguineous parents after an uncomplicated pregnancy. He had persistent mucoid diarrhea since birth, and scattered petechiae and ecchymosis occurred in the periocular and extremities (Figure 1A). By 9 mo of age, the boy still had poor head control and no ability to sit or roll over unaided. Then</w:t>
      </w:r>
      <w:r w:rsidR="0079753D" w:rsidRPr="00476043">
        <w:rPr>
          <w:rFonts w:ascii="Book Antiqua" w:eastAsia="Book Antiqua" w:hAnsi="Book Antiqua" w:cs="Book Antiqua"/>
        </w:rPr>
        <w:t>,</w:t>
      </w:r>
      <w:r w:rsidRPr="00476043">
        <w:rPr>
          <w:rFonts w:ascii="Book Antiqua" w:eastAsia="Book Antiqua" w:hAnsi="Book Antiqua" w:cs="Book Antiqua"/>
        </w:rPr>
        <w:t xml:space="preserve"> he was referred to a local children hospital. A lactose-free diet and administration of levocarnitine, benzhexol hydrochloride, coenzyme Q10</w:t>
      </w:r>
      <w:r w:rsidR="0079753D" w:rsidRPr="00476043">
        <w:rPr>
          <w:rFonts w:ascii="Book Antiqua" w:eastAsia="Book Antiqua" w:hAnsi="Book Antiqua" w:cs="Book Antiqua"/>
        </w:rPr>
        <w:t>,</w:t>
      </w:r>
      <w:r w:rsidRPr="00476043">
        <w:rPr>
          <w:rFonts w:ascii="Book Antiqua" w:eastAsia="Book Antiqua" w:hAnsi="Book Antiqua" w:cs="Book Antiqua"/>
        </w:rPr>
        <w:t xml:space="preserve"> and multivitamins were initiated. However, during 3-mo follow-up, no obvious improvements in diarrhea, acrocyanosis</w:t>
      </w:r>
      <w:r w:rsidR="0079753D" w:rsidRPr="00476043">
        <w:rPr>
          <w:rFonts w:ascii="Book Antiqua" w:eastAsia="Book Antiqua" w:hAnsi="Book Antiqua" w:cs="Book Antiqua"/>
        </w:rPr>
        <w:t>,</w:t>
      </w:r>
      <w:r w:rsidRPr="00476043">
        <w:rPr>
          <w:rFonts w:ascii="Book Antiqua" w:eastAsia="Book Antiqua" w:hAnsi="Book Antiqua" w:cs="Book Antiqua"/>
        </w:rPr>
        <w:t xml:space="preserve"> and developmental retardation occurred to him.</w:t>
      </w:r>
    </w:p>
    <w:p w14:paraId="43119661" w14:textId="77777777" w:rsidR="00A77B3E" w:rsidRPr="00C02EF6" w:rsidRDefault="00A77B3E" w:rsidP="00476043">
      <w:pPr>
        <w:snapToGrid w:val="0"/>
        <w:spacing w:line="360" w:lineRule="auto"/>
        <w:jc w:val="both"/>
      </w:pPr>
    </w:p>
    <w:p w14:paraId="14C2E7E6" w14:textId="77777777" w:rsidR="00A77B3E" w:rsidRPr="00C02EF6" w:rsidRDefault="00502E6C" w:rsidP="00476043">
      <w:pPr>
        <w:snapToGrid w:val="0"/>
        <w:spacing w:line="360" w:lineRule="auto"/>
        <w:jc w:val="both"/>
      </w:pPr>
      <w:r w:rsidRPr="00476043">
        <w:rPr>
          <w:rFonts w:ascii="Book Antiqua" w:eastAsia="Book Antiqua" w:hAnsi="Book Antiqua" w:cs="Book Antiqua"/>
          <w:b/>
          <w:i/>
        </w:rPr>
        <w:t>History of past illness</w:t>
      </w:r>
    </w:p>
    <w:p w14:paraId="1447222C" w14:textId="31E5760B" w:rsidR="00A77B3E" w:rsidRPr="00C02EF6" w:rsidRDefault="00502E6C" w:rsidP="00476043">
      <w:pPr>
        <w:snapToGrid w:val="0"/>
        <w:spacing w:line="360" w:lineRule="auto"/>
        <w:jc w:val="both"/>
      </w:pPr>
      <w:r w:rsidRPr="00476043">
        <w:rPr>
          <w:rFonts w:ascii="Book Antiqua" w:eastAsia="Book Antiqua" w:hAnsi="Book Antiqua" w:cs="Book Antiqua"/>
        </w:rPr>
        <w:t>The patient had no other significant medical history.</w:t>
      </w:r>
    </w:p>
    <w:p w14:paraId="07F6ADA2" w14:textId="77777777" w:rsidR="00A77B3E" w:rsidRPr="00C02EF6" w:rsidRDefault="00A77B3E" w:rsidP="00476043">
      <w:pPr>
        <w:snapToGrid w:val="0"/>
        <w:spacing w:line="360" w:lineRule="auto"/>
        <w:jc w:val="both"/>
      </w:pPr>
    </w:p>
    <w:p w14:paraId="1D6FC372" w14:textId="77777777" w:rsidR="00A77B3E" w:rsidRPr="00C02EF6" w:rsidRDefault="00502E6C" w:rsidP="00476043">
      <w:pPr>
        <w:snapToGrid w:val="0"/>
        <w:spacing w:line="360" w:lineRule="auto"/>
        <w:jc w:val="both"/>
      </w:pPr>
      <w:r w:rsidRPr="00476043">
        <w:rPr>
          <w:rFonts w:ascii="Book Antiqua" w:eastAsia="Book Antiqua" w:hAnsi="Book Antiqua" w:cs="Book Antiqua"/>
          <w:b/>
          <w:i/>
        </w:rPr>
        <w:t>Personal and family history</w:t>
      </w:r>
    </w:p>
    <w:p w14:paraId="63A9AA9A" w14:textId="77777777" w:rsidR="00A77B3E" w:rsidRPr="00C02EF6" w:rsidRDefault="00502E6C" w:rsidP="00476043">
      <w:pPr>
        <w:snapToGrid w:val="0"/>
        <w:spacing w:line="360" w:lineRule="auto"/>
        <w:jc w:val="both"/>
      </w:pPr>
      <w:r w:rsidRPr="00476043">
        <w:rPr>
          <w:rFonts w:ascii="Book Antiqua" w:eastAsia="Book Antiqua" w:hAnsi="Book Antiqua" w:cs="Book Antiqua"/>
        </w:rPr>
        <w:lastRenderedPageBreak/>
        <w:t>There was no significant personal and family medical history.</w:t>
      </w:r>
    </w:p>
    <w:p w14:paraId="7F02CD01" w14:textId="77777777" w:rsidR="00A77B3E" w:rsidRPr="00C02EF6" w:rsidRDefault="00A77B3E" w:rsidP="00476043">
      <w:pPr>
        <w:snapToGrid w:val="0"/>
        <w:spacing w:line="360" w:lineRule="auto"/>
        <w:jc w:val="both"/>
      </w:pPr>
    </w:p>
    <w:p w14:paraId="297F9142" w14:textId="77777777" w:rsidR="00A77B3E" w:rsidRPr="00C02EF6" w:rsidRDefault="00502E6C" w:rsidP="00476043">
      <w:pPr>
        <w:snapToGrid w:val="0"/>
        <w:spacing w:line="360" w:lineRule="auto"/>
        <w:jc w:val="both"/>
      </w:pPr>
      <w:r w:rsidRPr="00476043">
        <w:rPr>
          <w:rFonts w:ascii="Book Antiqua" w:eastAsia="Book Antiqua" w:hAnsi="Book Antiqua" w:cs="Book Antiqua"/>
          <w:b/>
          <w:i/>
        </w:rPr>
        <w:t>Physical examination</w:t>
      </w:r>
    </w:p>
    <w:p w14:paraId="1DF4480D" w14:textId="7BD3C2A7" w:rsidR="00A77B3E" w:rsidRPr="00C02EF6" w:rsidRDefault="00502E6C" w:rsidP="00476043">
      <w:pPr>
        <w:snapToGrid w:val="0"/>
        <w:spacing w:line="360" w:lineRule="auto"/>
        <w:jc w:val="both"/>
      </w:pPr>
      <w:r w:rsidRPr="00476043">
        <w:rPr>
          <w:rFonts w:ascii="Book Antiqua" w:eastAsia="Book Antiqua" w:hAnsi="Book Antiqua" w:cs="Book Antiqua"/>
        </w:rPr>
        <w:t>The neurological examination revealed significant axial hypotonia, muscle weakness, increased deep tendon reflexes, clonus</w:t>
      </w:r>
      <w:r w:rsidR="0079753D" w:rsidRPr="00476043">
        <w:rPr>
          <w:rFonts w:ascii="Book Antiqua" w:eastAsia="Book Antiqua" w:hAnsi="Book Antiqua" w:cs="Book Antiqua"/>
        </w:rPr>
        <w:t>,</w:t>
      </w:r>
      <w:r w:rsidRPr="00476043">
        <w:rPr>
          <w:rFonts w:ascii="Book Antiqua" w:eastAsia="Book Antiqua" w:hAnsi="Book Antiqua" w:cs="Book Antiqua"/>
        </w:rPr>
        <w:t xml:space="preserve"> and sustained bilateral Babinski sign.</w:t>
      </w:r>
    </w:p>
    <w:p w14:paraId="3F7CE19B" w14:textId="77777777" w:rsidR="00A77B3E" w:rsidRPr="00C02EF6" w:rsidRDefault="00A77B3E" w:rsidP="00476043">
      <w:pPr>
        <w:snapToGrid w:val="0"/>
        <w:spacing w:line="360" w:lineRule="auto"/>
        <w:jc w:val="both"/>
      </w:pPr>
    </w:p>
    <w:p w14:paraId="34E7CAB4" w14:textId="77777777" w:rsidR="00A77B3E" w:rsidRPr="00C02EF6" w:rsidRDefault="00502E6C" w:rsidP="00476043">
      <w:pPr>
        <w:snapToGrid w:val="0"/>
        <w:spacing w:line="360" w:lineRule="auto"/>
        <w:jc w:val="both"/>
      </w:pPr>
      <w:r w:rsidRPr="00476043">
        <w:rPr>
          <w:rFonts w:ascii="Book Antiqua" w:eastAsia="Book Antiqua" w:hAnsi="Book Antiqua" w:cs="Book Antiqua"/>
          <w:b/>
          <w:i/>
        </w:rPr>
        <w:t>Laboratory examinations</w:t>
      </w:r>
    </w:p>
    <w:p w14:paraId="3B583B99" w14:textId="68362455" w:rsidR="00A77B3E" w:rsidRPr="00C02EF6" w:rsidRDefault="00502E6C" w:rsidP="00476043">
      <w:pPr>
        <w:snapToGrid w:val="0"/>
        <w:spacing w:line="360" w:lineRule="auto"/>
        <w:jc w:val="both"/>
      </w:pPr>
      <w:r w:rsidRPr="00476043">
        <w:rPr>
          <w:rFonts w:ascii="Book Antiqua" w:eastAsia="Book Antiqua" w:hAnsi="Book Antiqua" w:cs="Book Antiqua"/>
        </w:rPr>
        <w:t>Urine organic acid profile revealed elevated EMA at 142.53 (reference range: 0.00-6.20) and a slight increased isobutyrylglycine and 2-methylsuccinic acid at 3.61</w:t>
      </w:r>
      <w:r w:rsidR="00D315A0" w:rsidRPr="00476043">
        <w:rPr>
          <w:rFonts w:ascii="Book Antiqua" w:eastAsia="Book Antiqua" w:hAnsi="Book Antiqua" w:cs="Book Antiqua"/>
        </w:rPr>
        <w:t xml:space="preserve"> </w:t>
      </w:r>
      <w:r w:rsidRPr="00476043">
        <w:rPr>
          <w:rFonts w:ascii="Book Antiqua" w:eastAsia="Book Antiqua" w:hAnsi="Book Antiqua" w:cs="Book Antiqua"/>
        </w:rPr>
        <w:t xml:space="preserve">(reference range: 0.00-0.40) and 7.99 (reference range: 0.00-6.40), respectively. Plasma acylcarnitine profile revealed elevated C4 at 2.61 μmol/L (reference range: &lt; 1.00 μmol/L) and C5 at 1.11 μmol/L (reference range: &lt; 0.65 μmol/L) (Figure 2). Gene sequencing analysis showed compound heterozygous mutations in the </w:t>
      </w:r>
      <w:r w:rsidRPr="00476043">
        <w:rPr>
          <w:rFonts w:ascii="Book Antiqua" w:eastAsia="Book Antiqua" w:hAnsi="Book Antiqua" w:cs="Book Antiqua"/>
          <w:i/>
          <w:iCs/>
        </w:rPr>
        <w:t>ETHE1</w:t>
      </w:r>
      <w:r w:rsidRPr="00476043">
        <w:rPr>
          <w:rFonts w:ascii="Book Antiqua" w:eastAsia="Book Antiqua" w:hAnsi="Book Antiqua" w:cs="Book Antiqua"/>
        </w:rPr>
        <w:t xml:space="preserve"> gene, a previously reported pathogenic mutation (c.375+5G&gt;A chr19:44030348 splicing)</w:t>
      </w:r>
      <w:r w:rsidRPr="00476043">
        <w:rPr>
          <w:rFonts w:ascii="Book Antiqua" w:eastAsia="Book Antiqua" w:hAnsi="Book Antiqua" w:cs="Book Antiqua"/>
          <w:vertAlign w:val="superscript"/>
        </w:rPr>
        <w:t>[2]</w:t>
      </w:r>
      <w:r w:rsidRPr="00476043">
        <w:rPr>
          <w:rFonts w:ascii="Book Antiqua" w:eastAsia="Book Antiqua" w:hAnsi="Book Antiqua" w:cs="Book Antiqua"/>
        </w:rPr>
        <w:t xml:space="preserve"> and a novel mutation (c.462T&gt;A chr19:44015632 p.D154E) (Figure 1B).</w:t>
      </w:r>
    </w:p>
    <w:p w14:paraId="42F33F1D" w14:textId="77777777" w:rsidR="00A77B3E" w:rsidRPr="00C02EF6" w:rsidRDefault="00A77B3E" w:rsidP="00476043">
      <w:pPr>
        <w:snapToGrid w:val="0"/>
        <w:spacing w:line="360" w:lineRule="auto"/>
        <w:jc w:val="both"/>
      </w:pPr>
    </w:p>
    <w:p w14:paraId="08C90FE8" w14:textId="77777777" w:rsidR="00A77B3E" w:rsidRPr="00C02EF6" w:rsidRDefault="00502E6C" w:rsidP="00476043">
      <w:pPr>
        <w:snapToGrid w:val="0"/>
        <w:spacing w:line="360" w:lineRule="auto"/>
        <w:jc w:val="both"/>
      </w:pPr>
      <w:r w:rsidRPr="00476043">
        <w:rPr>
          <w:rFonts w:ascii="Book Antiqua" w:eastAsia="Book Antiqua" w:hAnsi="Book Antiqua" w:cs="Book Antiqua"/>
          <w:b/>
          <w:i/>
        </w:rPr>
        <w:t>Imaging examinations</w:t>
      </w:r>
    </w:p>
    <w:p w14:paraId="2473FEFD" w14:textId="056B6C96" w:rsidR="00A77B3E" w:rsidRPr="00C02EF6" w:rsidRDefault="00502E6C" w:rsidP="00476043">
      <w:pPr>
        <w:snapToGrid w:val="0"/>
        <w:spacing w:line="360" w:lineRule="auto"/>
        <w:jc w:val="both"/>
      </w:pPr>
      <w:r w:rsidRPr="00476043">
        <w:rPr>
          <w:rFonts w:ascii="Book Antiqua" w:eastAsia="Book Antiqua" w:hAnsi="Book Antiqua" w:cs="Book Antiqua"/>
        </w:rPr>
        <w:t xml:space="preserve">Brain </w:t>
      </w:r>
      <w:r w:rsidR="00D315A0" w:rsidRPr="00476043">
        <w:rPr>
          <w:rFonts w:ascii="Book Antiqua" w:eastAsia="Book Antiqua" w:hAnsi="Book Antiqua" w:cs="Book Antiqua"/>
        </w:rPr>
        <w:t>magnetic resonance imaging (MRI)</w:t>
      </w:r>
      <w:r w:rsidRPr="00476043">
        <w:rPr>
          <w:rFonts w:ascii="Book Antiqua" w:eastAsia="Book Antiqua" w:hAnsi="Book Antiqua" w:cs="Book Antiqua"/>
        </w:rPr>
        <w:t xml:space="preserve"> by our institution revealed fronto-temporal atrophy with multiple bilateral symmetrical abnormal low and high signal intensity of basal ganglia in T1</w:t>
      </w:r>
      <w:r w:rsidR="005E25FD" w:rsidRPr="00476043">
        <w:rPr>
          <w:rFonts w:ascii="Book Antiqua" w:eastAsia="Book Antiqua" w:hAnsi="Book Antiqua" w:cs="Book Antiqua"/>
        </w:rPr>
        <w:t>-</w:t>
      </w:r>
      <w:r w:rsidRPr="00476043">
        <w:rPr>
          <w:rFonts w:ascii="Book Antiqua" w:eastAsia="Book Antiqua" w:hAnsi="Book Antiqua" w:cs="Book Antiqua"/>
        </w:rPr>
        <w:t xml:space="preserve"> and T2-weighted images, respectively (Figure 3).</w:t>
      </w:r>
    </w:p>
    <w:p w14:paraId="110A033C" w14:textId="77777777" w:rsidR="00A77B3E" w:rsidRPr="00C02EF6" w:rsidRDefault="00A77B3E" w:rsidP="00476043">
      <w:pPr>
        <w:snapToGrid w:val="0"/>
        <w:spacing w:line="360" w:lineRule="auto"/>
        <w:jc w:val="both"/>
      </w:pPr>
    </w:p>
    <w:p w14:paraId="482AC7AC" w14:textId="77777777" w:rsidR="00A77B3E" w:rsidRPr="00C02EF6" w:rsidRDefault="00502E6C" w:rsidP="00476043">
      <w:pPr>
        <w:snapToGrid w:val="0"/>
        <w:spacing w:line="360" w:lineRule="auto"/>
        <w:jc w:val="both"/>
      </w:pPr>
      <w:r w:rsidRPr="00476043">
        <w:rPr>
          <w:rFonts w:ascii="Book Antiqua" w:eastAsia="Book Antiqua" w:hAnsi="Book Antiqua" w:cs="Book Antiqua"/>
          <w:b/>
          <w:caps/>
          <w:u w:val="single"/>
        </w:rPr>
        <w:t>FINAL DIAGNOSIS</w:t>
      </w:r>
    </w:p>
    <w:p w14:paraId="2C3AF823" w14:textId="77777777" w:rsidR="00A77B3E" w:rsidRPr="00C02EF6" w:rsidRDefault="00502E6C" w:rsidP="00476043">
      <w:pPr>
        <w:snapToGrid w:val="0"/>
        <w:spacing w:line="360" w:lineRule="auto"/>
        <w:jc w:val="both"/>
      </w:pPr>
      <w:r w:rsidRPr="00476043">
        <w:rPr>
          <w:rFonts w:ascii="Book Antiqua" w:eastAsia="Book Antiqua" w:hAnsi="Book Antiqua" w:cs="Book Antiqua"/>
        </w:rPr>
        <w:t>The patient was diagnosed with EE.</w:t>
      </w:r>
    </w:p>
    <w:p w14:paraId="6D4E2AB5" w14:textId="77777777" w:rsidR="00A77B3E" w:rsidRPr="00C02EF6" w:rsidRDefault="00A77B3E" w:rsidP="00476043">
      <w:pPr>
        <w:snapToGrid w:val="0"/>
        <w:spacing w:line="360" w:lineRule="auto"/>
        <w:jc w:val="both"/>
      </w:pPr>
    </w:p>
    <w:p w14:paraId="6AC95358" w14:textId="77777777" w:rsidR="00A77B3E" w:rsidRPr="00C02EF6" w:rsidRDefault="00502E6C" w:rsidP="00476043">
      <w:pPr>
        <w:snapToGrid w:val="0"/>
        <w:spacing w:line="360" w:lineRule="auto"/>
        <w:jc w:val="both"/>
      </w:pPr>
      <w:r w:rsidRPr="00476043">
        <w:rPr>
          <w:rFonts w:ascii="Book Antiqua" w:eastAsia="Book Antiqua" w:hAnsi="Book Antiqua" w:cs="Book Antiqua"/>
          <w:b/>
          <w:caps/>
          <w:u w:val="single"/>
        </w:rPr>
        <w:t>TREATMENT</w:t>
      </w:r>
    </w:p>
    <w:p w14:paraId="488F3EE5" w14:textId="001CCE77" w:rsidR="00A77B3E" w:rsidRPr="00C02EF6" w:rsidRDefault="00502E6C" w:rsidP="00476043">
      <w:pPr>
        <w:snapToGrid w:val="0"/>
        <w:spacing w:line="360" w:lineRule="auto"/>
        <w:jc w:val="both"/>
      </w:pPr>
      <w:r w:rsidRPr="00476043">
        <w:rPr>
          <w:rFonts w:ascii="Book Antiqua" w:eastAsia="Book Antiqua" w:hAnsi="Book Antiqua" w:cs="Book Antiqua"/>
        </w:rPr>
        <w:t xml:space="preserve">A sulfur-containing amino acids restricted diet and the combined use of metronidazole (30 mg/kg/d) and N-acetylcysteine (80 mg/kg/d) were started for the boy until we found that he was allergic to N-acetylcysteine (manifested by fever and rash), for which N-acetylcysteine was stopped immediately. Following </w:t>
      </w:r>
      <w:r w:rsidR="0079753D" w:rsidRPr="00476043">
        <w:rPr>
          <w:rFonts w:ascii="Book Antiqua" w:eastAsia="Book Antiqua" w:hAnsi="Book Antiqua" w:cs="Book Antiqua"/>
        </w:rPr>
        <w:t xml:space="preserve">3 </w:t>
      </w:r>
      <w:proofErr w:type="spellStart"/>
      <w:r w:rsidR="0079753D" w:rsidRPr="00476043">
        <w:rPr>
          <w:rFonts w:ascii="Book Antiqua" w:eastAsia="Book Antiqua" w:hAnsi="Book Antiqua" w:cs="Book Antiqua"/>
        </w:rPr>
        <w:t>mo</w:t>
      </w:r>
      <w:proofErr w:type="spellEnd"/>
      <w:r w:rsidRPr="00476043">
        <w:rPr>
          <w:rFonts w:ascii="Book Antiqua" w:eastAsia="Book Antiqua" w:hAnsi="Book Antiqua" w:cs="Book Antiqua"/>
        </w:rPr>
        <w:t xml:space="preserve"> of combined medical and </w:t>
      </w:r>
      <w:r w:rsidRPr="00476043">
        <w:rPr>
          <w:rFonts w:ascii="Book Antiqua" w:eastAsia="Book Antiqua" w:hAnsi="Book Antiqua" w:cs="Book Antiqua"/>
        </w:rPr>
        <w:lastRenderedPageBreak/>
        <w:t>dietary treatments, urinary EMA levels decreased slightly, but remained elevated at 74.93, and values of isobutyrylglycine and 2-methylsuccinic acid rose to 5.84 and 11.31, respectively. Plasma acylcarnitine profile showed a slight decrease in C4 (2.40 μmol/L) and increase in C5 (1.42 μmol/L) (Figure 2). No obvious improvements were observed in his clinical conditions.</w:t>
      </w:r>
    </w:p>
    <w:p w14:paraId="3A6CAEA2" w14:textId="7AF04002" w:rsidR="00A77B3E" w:rsidRPr="00C02EF6" w:rsidRDefault="00502E6C" w:rsidP="00476043">
      <w:pPr>
        <w:snapToGrid w:val="0"/>
        <w:spacing w:line="360" w:lineRule="auto"/>
        <w:ind w:firstLineChars="100" w:firstLine="240"/>
        <w:jc w:val="both"/>
      </w:pPr>
      <w:r w:rsidRPr="00476043">
        <w:rPr>
          <w:rFonts w:ascii="Book Antiqua" w:eastAsia="Book Antiqua" w:hAnsi="Book Antiqua" w:cs="Book Antiqua"/>
        </w:rPr>
        <w:t>At the age of 18 mo, the boy received a LDLT with reduced-size left lateral lobe donated by his heterozygous mother under the approval of the Ethical Committee of Beijing Friendship Hospital, Capital Medical University.</w:t>
      </w:r>
    </w:p>
    <w:p w14:paraId="767455B7" w14:textId="77777777" w:rsidR="00A77B3E" w:rsidRPr="00C02EF6" w:rsidRDefault="00A77B3E" w:rsidP="00476043">
      <w:pPr>
        <w:snapToGrid w:val="0"/>
        <w:spacing w:line="360" w:lineRule="auto"/>
        <w:jc w:val="both"/>
      </w:pPr>
    </w:p>
    <w:p w14:paraId="680937A7" w14:textId="77777777" w:rsidR="00A77B3E" w:rsidRPr="00C02EF6" w:rsidRDefault="00502E6C" w:rsidP="00476043">
      <w:pPr>
        <w:snapToGrid w:val="0"/>
        <w:spacing w:line="360" w:lineRule="auto"/>
        <w:jc w:val="both"/>
      </w:pPr>
      <w:r w:rsidRPr="00476043">
        <w:rPr>
          <w:rFonts w:ascii="Book Antiqua" w:eastAsia="Book Antiqua" w:hAnsi="Book Antiqua" w:cs="Book Antiqua"/>
          <w:b/>
          <w:caps/>
          <w:u w:val="single"/>
        </w:rPr>
        <w:t>OUTCOME AND FOLLOW-UP</w:t>
      </w:r>
    </w:p>
    <w:p w14:paraId="521CB04F" w14:textId="322034FD" w:rsidR="0092149A" w:rsidRPr="00476043" w:rsidRDefault="0092149A" w:rsidP="00476043">
      <w:pPr>
        <w:snapToGrid w:val="0"/>
        <w:spacing w:line="360" w:lineRule="auto"/>
        <w:jc w:val="both"/>
        <w:rPr>
          <w:rFonts w:ascii="Book Antiqua" w:eastAsia="Book Antiqua" w:hAnsi="Book Antiqua" w:cs="Book Antiqua"/>
        </w:rPr>
      </w:pPr>
      <w:r w:rsidRPr="00476043">
        <w:rPr>
          <w:rFonts w:ascii="Book Antiqua" w:eastAsia="Book Antiqua" w:hAnsi="Book Antiqua" w:cs="Book Antiqua"/>
        </w:rPr>
        <w:t>The patient underwent a smooth operation</w:t>
      </w:r>
      <w:r w:rsidR="0079753D" w:rsidRPr="00476043">
        <w:rPr>
          <w:rFonts w:ascii="Book Antiqua" w:eastAsia="Book Antiqua" w:hAnsi="Book Antiqua" w:cs="Book Antiqua"/>
        </w:rPr>
        <w:t>,</w:t>
      </w:r>
      <w:r w:rsidRPr="00476043">
        <w:rPr>
          <w:rFonts w:ascii="Book Antiqua" w:eastAsia="Book Antiqua" w:hAnsi="Book Antiqua" w:cs="Book Antiqua"/>
        </w:rPr>
        <w:t xml:space="preserve"> and postoperative course was uneventful. Immunosuppressive treatments consisted of tacrolimus and low-dose corticosteroids. Administration of metronidazole and levocarnitine was continued during the perioperative period, and metabolite levels decreased evidently. Urinary EMA, isobutyrylglycine</w:t>
      </w:r>
      <w:r w:rsidR="0079753D" w:rsidRPr="00476043">
        <w:rPr>
          <w:rFonts w:ascii="Book Antiqua" w:eastAsia="Book Antiqua" w:hAnsi="Book Antiqua" w:cs="Book Antiqua"/>
        </w:rPr>
        <w:t>,</w:t>
      </w:r>
      <w:r w:rsidRPr="00476043">
        <w:rPr>
          <w:rFonts w:ascii="Book Antiqua" w:eastAsia="Book Antiqua" w:hAnsi="Book Antiqua" w:cs="Book Antiqua"/>
        </w:rPr>
        <w:t xml:space="preserve"> and 2-methylsuccinic acid levels decreased to 9.90, 0.30</w:t>
      </w:r>
      <w:r w:rsidR="0079753D" w:rsidRPr="00476043">
        <w:rPr>
          <w:rFonts w:ascii="Book Antiqua" w:eastAsia="Book Antiqua" w:hAnsi="Book Antiqua" w:cs="Book Antiqua"/>
        </w:rPr>
        <w:t>,</w:t>
      </w:r>
      <w:r w:rsidRPr="00476043">
        <w:rPr>
          <w:rFonts w:ascii="Book Antiqua" w:eastAsia="Book Antiqua" w:hAnsi="Book Antiqua" w:cs="Book Antiqua"/>
        </w:rPr>
        <w:t xml:space="preserve"> and 2.41, respectively, on post-transplantation day 9. Plasma C4 increased and C5 decreased, and they did not return to normal levels (Figure 2). However, due to the recipient’s intolerance of metronidazole, the administration was privately discontinued by his mother 2 mo after transplantation.</w:t>
      </w:r>
    </w:p>
    <w:p w14:paraId="1F33024B" w14:textId="6FB2AB07" w:rsidR="00A77B3E" w:rsidRPr="00C02EF6" w:rsidRDefault="0092149A" w:rsidP="00476043">
      <w:pPr>
        <w:snapToGrid w:val="0"/>
        <w:spacing w:line="360" w:lineRule="auto"/>
        <w:ind w:firstLineChars="100" w:firstLine="240"/>
        <w:jc w:val="both"/>
      </w:pPr>
      <w:r w:rsidRPr="00476043">
        <w:rPr>
          <w:rFonts w:ascii="Book Antiqua" w:eastAsia="Book Antiqua" w:hAnsi="Book Antiqua" w:cs="Book Antiqua"/>
        </w:rPr>
        <w:t>During the 20-mo follow-up period, the patient was administered levocarnitine supplementation without a strict protein-restriction diet. Although his liver graft function remained constantly in the normal range, no remarkable amelioration of clinical conditions and neurological development was observed. The longitudinal evaluations disclosed a wild fluctuation in urinary EMA levels, far beyond the normal range. Urinary 2-methylsuccinic acid levels gradually restored to normal</w:t>
      </w:r>
      <w:r w:rsidR="0079753D" w:rsidRPr="00476043">
        <w:rPr>
          <w:rFonts w:ascii="Book Antiqua" w:eastAsia="Book Antiqua" w:hAnsi="Book Antiqua" w:cs="Book Antiqua"/>
        </w:rPr>
        <w:t>,</w:t>
      </w:r>
      <w:r w:rsidRPr="00476043">
        <w:rPr>
          <w:rFonts w:ascii="Book Antiqua" w:eastAsia="Book Antiqua" w:hAnsi="Book Antiqua" w:cs="Book Antiqua"/>
        </w:rPr>
        <w:t xml:space="preserve"> whereas the concentrations of urinary isobutyrylglycine and plasma C4- and C5-acylcarnitines fluctuated markedly and still remained above the reference limits (Figure 2). Only mild amelioration of petechiae and ecchymosis was observed, and no dramatic reversion of chronic mucoid diarrhea and orthostatic acrocyanosis occurred (Figure 1). Although brain MRI suggested </w:t>
      </w:r>
      <w:r w:rsidRPr="00476043">
        <w:rPr>
          <w:rFonts w:ascii="Book Antiqua" w:eastAsia="Book Antiqua" w:hAnsi="Book Antiqua" w:cs="Book Antiqua"/>
        </w:rPr>
        <w:lastRenderedPageBreak/>
        <w:t>a certain improvement in basal ganglia lesions (Figure 3), developmental delay and neurologic disability continued. Now, at the age of 38 mo, the boy has a certain extent of head control, but is still unable to roll over, sit, stand</w:t>
      </w:r>
      <w:r w:rsidR="0079753D" w:rsidRPr="00476043">
        <w:rPr>
          <w:rFonts w:ascii="Book Antiqua" w:eastAsia="Book Antiqua" w:hAnsi="Book Antiqua" w:cs="Book Antiqua"/>
        </w:rPr>
        <w:t>,</w:t>
      </w:r>
      <w:r w:rsidRPr="00476043">
        <w:rPr>
          <w:rFonts w:ascii="Book Antiqua" w:eastAsia="Book Antiqua" w:hAnsi="Book Antiqua" w:cs="Book Antiqua"/>
        </w:rPr>
        <w:t xml:space="preserve"> or walk by himself. He can just say several simple words, such as mama and papa. Meanwhile, the living donor recovered well with no postoperative complications during the follow-up.</w:t>
      </w:r>
    </w:p>
    <w:p w14:paraId="02EBC64D" w14:textId="77777777" w:rsidR="00A77B3E" w:rsidRPr="00C02EF6" w:rsidRDefault="00A77B3E" w:rsidP="00476043">
      <w:pPr>
        <w:snapToGrid w:val="0"/>
        <w:spacing w:line="360" w:lineRule="auto"/>
        <w:jc w:val="both"/>
      </w:pPr>
    </w:p>
    <w:p w14:paraId="2A231D4A" w14:textId="77777777" w:rsidR="00A77B3E" w:rsidRPr="00C02EF6" w:rsidRDefault="00502E6C" w:rsidP="00476043">
      <w:pPr>
        <w:snapToGrid w:val="0"/>
        <w:spacing w:line="360" w:lineRule="auto"/>
        <w:jc w:val="both"/>
      </w:pPr>
      <w:r w:rsidRPr="00476043">
        <w:rPr>
          <w:rFonts w:ascii="Book Antiqua" w:eastAsia="Book Antiqua" w:hAnsi="Book Antiqua" w:cs="Book Antiqua"/>
          <w:b/>
          <w:caps/>
          <w:u w:val="single"/>
        </w:rPr>
        <w:t>DISCUSSION</w:t>
      </w:r>
    </w:p>
    <w:p w14:paraId="202764E5" w14:textId="2B4B9CC8" w:rsidR="00A77B3E" w:rsidRPr="00C02EF6" w:rsidRDefault="00502E6C" w:rsidP="00476043">
      <w:pPr>
        <w:snapToGrid w:val="0"/>
        <w:spacing w:line="360" w:lineRule="auto"/>
        <w:jc w:val="both"/>
      </w:pPr>
      <w:r w:rsidRPr="00476043">
        <w:rPr>
          <w:rFonts w:ascii="Book Antiqua" w:eastAsia="Book Antiqua" w:hAnsi="Book Antiqua" w:cs="Book Antiqua"/>
        </w:rPr>
        <w:t>EE is an inborn error of metabolism caused by a defect in the mitochondrial sulfur dioxygenase. The widely distributed metabolic deficit leads to significant accumulation of toxic metabolites in multiple organs. Patients with ETHE1 deficiency are characterized by a relentless progressive clinical deterioration, usually leading to death within the first decade of life. Current therapeutic approaches are most often supportive, having no remarkable impact on the natural history of EE</w:t>
      </w:r>
      <w:r w:rsidR="00DC553B" w:rsidRPr="00476043">
        <w:rPr>
          <w:rFonts w:ascii="Book Antiqua" w:eastAsia="Book Antiqua" w:hAnsi="Book Antiqua" w:cs="Book Antiqua"/>
          <w:vertAlign w:val="superscript"/>
        </w:rPr>
        <w:t>[8,12]</w:t>
      </w:r>
      <w:r w:rsidRPr="00476043">
        <w:rPr>
          <w:rFonts w:ascii="Book Antiqua" w:eastAsia="Book Antiqua" w:hAnsi="Book Antiqua" w:cs="Book Antiqua"/>
        </w:rPr>
        <w:t>.</w:t>
      </w:r>
    </w:p>
    <w:p w14:paraId="22567AD6" w14:textId="1EE1C0B3" w:rsidR="00A77B3E" w:rsidRPr="00C02EF6" w:rsidRDefault="00502E6C" w:rsidP="00476043">
      <w:pPr>
        <w:snapToGrid w:val="0"/>
        <w:spacing w:line="360" w:lineRule="auto"/>
        <w:ind w:firstLineChars="100" w:firstLine="240"/>
        <w:jc w:val="both"/>
      </w:pPr>
      <w:r w:rsidRPr="00476043">
        <w:rPr>
          <w:rFonts w:ascii="Book Antiqua" w:eastAsia="Book Antiqua" w:hAnsi="Book Antiqua" w:cs="Book Antiqua"/>
        </w:rPr>
        <w:t xml:space="preserve">Di Meo </w:t>
      </w:r>
      <w:r w:rsidRPr="00476043">
        <w:rPr>
          <w:rFonts w:ascii="Book Antiqua" w:eastAsia="Book Antiqua" w:hAnsi="Book Antiqua" w:cs="Book Antiqua"/>
          <w:i/>
          <w:iCs/>
        </w:rPr>
        <w:t>et al</w:t>
      </w:r>
      <w:r w:rsidR="00DC553B" w:rsidRPr="00476043">
        <w:rPr>
          <w:rFonts w:ascii="Book Antiqua" w:eastAsia="Book Antiqua" w:hAnsi="Book Antiqua" w:cs="Book Antiqua"/>
          <w:vertAlign w:val="superscript"/>
        </w:rPr>
        <w:t>[13]</w:t>
      </w:r>
      <w:r w:rsidRPr="00476043">
        <w:rPr>
          <w:rFonts w:ascii="Book Antiqua" w:eastAsia="Book Antiqua" w:hAnsi="Book Antiqua" w:cs="Book Antiqua"/>
        </w:rPr>
        <w:t xml:space="preserve"> found that intravenous injection of adeno-associated virus 2/8 carrying the </w:t>
      </w:r>
      <w:r w:rsidRPr="00476043">
        <w:rPr>
          <w:rFonts w:ascii="Book Antiqua" w:eastAsia="Book Antiqua" w:hAnsi="Book Antiqua" w:cs="Book Antiqua"/>
          <w:i/>
          <w:iCs/>
        </w:rPr>
        <w:t>ETHE1</w:t>
      </w:r>
      <w:r w:rsidRPr="00476043">
        <w:rPr>
          <w:rFonts w:ascii="Book Antiqua" w:eastAsia="Book Antiqua" w:hAnsi="Book Antiqua" w:cs="Book Antiqua"/>
        </w:rPr>
        <w:t xml:space="preserve"> gene into the livers of</w:t>
      </w:r>
      <w:r w:rsidRPr="00476043">
        <w:rPr>
          <w:rFonts w:ascii="Book Antiqua" w:eastAsia="Book Antiqua" w:hAnsi="Book Antiqua" w:cs="Book Antiqua"/>
          <w:i/>
          <w:iCs/>
        </w:rPr>
        <w:t xml:space="preserve"> </w:t>
      </w:r>
      <w:r w:rsidRPr="00476043">
        <w:rPr>
          <w:rFonts w:ascii="Book Antiqua" w:eastAsia="Book Antiqua" w:hAnsi="Book Antiqua" w:cs="Book Antiqua"/>
        </w:rPr>
        <w:t xml:space="preserve">constitutive </w:t>
      </w:r>
      <w:r w:rsidRPr="00476043">
        <w:rPr>
          <w:rFonts w:ascii="Book Antiqua" w:eastAsia="Book Antiqua" w:hAnsi="Book Antiqua" w:cs="Book Antiqua"/>
          <w:i/>
          <w:iCs/>
        </w:rPr>
        <w:t>Ethe1</w:t>
      </w:r>
      <w:r w:rsidRPr="00476043">
        <w:rPr>
          <w:rFonts w:ascii="Book Antiqua" w:eastAsia="Book Antiqua" w:hAnsi="Book Antiqua" w:cs="Book Antiqua"/>
          <w:i/>
          <w:iCs/>
          <w:vertAlign w:val="superscript"/>
        </w:rPr>
        <w:t>−/−</w:t>
      </w:r>
      <w:r w:rsidRPr="00476043">
        <w:rPr>
          <w:rFonts w:ascii="Book Antiqua" w:eastAsia="Book Antiqua" w:hAnsi="Book Antiqua" w:cs="Book Antiqua"/>
        </w:rPr>
        <w:t xml:space="preserve"> mice resulted in obvious amelioration of clinical phenotypes, spectacular prolongation of survival, and improvements in biochemical parameters. Based on the above findings, replacing the metabolically defective liver may help regain enzyme activity</w:t>
      </w:r>
      <w:r w:rsidR="00392A8A" w:rsidRPr="00476043">
        <w:rPr>
          <w:rFonts w:ascii="Book Antiqua" w:eastAsia="Book Antiqua" w:hAnsi="Book Antiqua" w:cs="Book Antiqua"/>
        </w:rPr>
        <w:t>,</w:t>
      </w:r>
      <w:r w:rsidRPr="00476043">
        <w:rPr>
          <w:rFonts w:ascii="Book Antiqua" w:eastAsia="Book Antiqua" w:hAnsi="Book Antiqua" w:cs="Book Antiqua"/>
        </w:rPr>
        <w:t xml:space="preserve"> and thus LT has been viewed as one of the most potential treatment modalities for EE. Since the first attempt in 2016, LT is emerging as a promising therapeutic option for this devastating disease</w:t>
      </w:r>
      <w:r w:rsidR="00DC553B" w:rsidRPr="00476043">
        <w:rPr>
          <w:rFonts w:ascii="Book Antiqua" w:eastAsia="Book Antiqua" w:hAnsi="Book Antiqua" w:cs="Book Antiqua"/>
          <w:vertAlign w:val="superscript"/>
        </w:rPr>
        <w:t>[3,11]</w:t>
      </w:r>
      <w:r w:rsidRPr="00476043">
        <w:rPr>
          <w:rFonts w:ascii="Book Antiqua" w:eastAsia="Book Antiqua" w:hAnsi="Book Antiqua" w:cs="Book Antiqua"/>
        </w:rPr>
        <w:t xml:space="preserve">. However, the clinical outcomes of LT in our patient was not favorable. Though 20 mo have elapsed since LT, the recipient merely achieved minimal improvements in biochemical features as well as the lesions in the </w:t>
      </w:r>
      <w:r w:rsidR="00DC553B" w:rsidRPr="00476043">
        <w:rPr>
          <w:rFonts w:ascii="Book Antiqua" w:eastAsia="Book Antiqua" w:hAnsi="Book Antiqua" w:cs="Book Antiqua"/>
        </w:rPr>
        <w:t>b</w:t>
      </w:r>
      <w:r w:rsidRPr="00476043">
        <w:rPr>
          <w:rFonts w:ascii="Book Antiqua" w:eastAsia="Book Antiqua" w:hAnsi="Book Antiqua" w:cs="Book Antiqua"/>
        </w:rPr>
        <w:t>rain MRI without significant clinical and neurological amelioration, which compromised the promising therapeutic value of LT in EE.</w:t>
      </w:r>
    </w:p>
    <w:p w14:paraId="6AB32ED1" w14:textId="55AA5869" w:rsidR="00A77B3E" w:rsidRPr="00C02EF6" w:rsidRDefault="00502E6C" w:rsidP="00476043">
      <w:pPr>
        <w:snapToGrid w:val="0"/>
        <w:spacing w:line="360" w:lineRule="auto"/>
        <w:ind w:firstLineChars="100" w:firstLine="240"/>
        <w:jc w:val="both"/>
      </w:pPr>
      <w:r w:rsidRPr="00476043">
        <w:rPr>
          <w:rFonts w:ascii="Book Antiqua" w:eastAsia="Book Antiqua" w:hAnsi="Book Antiqua" w:cs="Book Antiqua"/>
        </w:rPr>
        <w:t xml:space="preserve">Since EE is a multisystemic disease, the underlying enzymatic defect also exits in other tissues besides liver. Although the implanted liver graft containing normal </w:t>
      </w:r>
      <w:r w:rsidRPr="00476043">
        <w:rPr>
          <w:rFonts w:ascii="Book Antiqua" w:eastAsia="Book Antiqua" w:hAnsi="Book Antiqua" w:cs="Book Antiqua"/>
          <w:i/>
          <w:iCs/>
        </w:rPr>
        <w:t>ETHE1</w:t>
      </w:r>
      <w:r w:rsidRPr="00476043">
        <w:rPr>
          <w:rFonts w:ascii="Book Antiqua" w:eastAsia="Book Antiqua" w:hAnsi="Book Antiqua" w:cs="Book Antiqua"/>
        </w:rPr>
        <w:t xml:space="preserve"> gene expression could help regain missing enzymatic activity, the overall metabolic defect is only partially corrected, as extrahepatic synthesis and accumulation of toxic metabolites </w:t>
      </w:r>
      <w:r w:rsidRPr="00476043">
        <w:rPr>
          <w:rFonts w:ascii="Book Antiqua" w:eastAsia="Book Antiqua" w:hAnsi="Book Antiqua" w:cs="Book Antiqua"/>
        </w:rPr>
        <w:lastRenderedPageBreak/>
        <w:t>remain</w:t>
      </w:r>
      <w:r w:rsidR="008D4276" w:rsidRPr="00476043">
        <w:rPr>
          <w:rFonts w:ascii="Book Antiqua" w:eastAsia="Book Antiqua" w:hAnsi="Book Antiqua" w:cs="Book Antiqua"/>
          <w:vertAlign w:val="superscript"/>
        </w:rPr>
        <w:t>[6]</w:t>
      </w:r>
      <w:r w:rsidRPr="00476043">
        <w:rPr>
          <w:rFonts w:ascii="Book Antiqua" w:eastAsia="Book Antiqua" w:hAnsi="Book Antiqua" w:cs="Book Antiqua"/>
        </w:rPr>
        <w:t>. Illustrating this fact, after successful LT, postoperative levels of blood and urine metabolites among three previous recipients</w:t>
      </w:r>
      <w:r w:rsidRPr="00476043">
        <w:rPr>
          <w:rFonts w:ascii="Book Antiqua" w:eastAsia="Book Antiqua" w:hAnsi="Book Antiqua" w:cs="Book Antiqua"/>
          <w:vertAlign w:val="superscript"/>
        </w:rPr>
        <w:t>[3,11]</w:t>
      </w:r>
      <w:r w:rsidRPr="00476043">
        <w:rPr>
          <w:rFonts w:ascii="Book Antiqua" w:eastAsia="Book Antiqua" w:hAnsi="Book Antiqua" w:cs="Book Antiqua"/>
        </w:rPr>
        <w:t xml:space="preserve"> and our patient did not decrease to the normal ranges. Nevertheless, cases including ours suggest that LT does have a definite role in defending against the devastating natural progression of EE. Moreover, satisfactory neurodevelopmental improvements and partial reversal of biochemical abnormalities were observed in those three liver transplant recipients. Our patient, by contrast, has not yet fully benefited from the promising therapeutic effects of LT. The detailed characteristics of these four patients are summarized in Table 1. It can be inferred that our patient’s unfavorable prognosis may be attributed to the late diagnosis of EE, late initiation of conventional treatment, pre-transplant administration of metronidazole alone</w:t>
      </w:r>
      <w:r w:rsidR="00392A8A" w:rsidRPr="00476043">
        <w:rPr>
          <w:rFonts w:ascii="Book Antiqua" w:eastAsia="Book Antiqua" w:hAnsi="Book Antiqua" w:cs="Book Antiqua"/>
        </w:rPr>
        <w:t>,</w:t>
      </w:r>
      <w:r w:rsidRPr="00476043">
        <w:rPr>
          <w:rFonts w:ascii="Book Antiqua" w:eastAsia="Book Antiqua" w:hAnsi="Book Antiqua" w:cs="Book Antiqua"/>
        </w:rPr>
        <w:t xml:space="preserve"> and post-transplant discontinuation of metronidazole. Furthermore, undefined genotype-phenotype correlation and the use of a heterozygous carrier donor in LDLT may also lead to the post-transplant suboptimal clinical outcomes of our patient.</w:t>
      </w:r>
    </w:p>
    <w:p w14:paraId="77180846" w14:textId="6C2948D3" w:rsidR="00A77B3E" w:rsidRPr="00C02EF6" w:rsidRDefault="00502E6C" w:rsidP="00476043">
      <w:pPr>
        <w:snapToGrid w:val="0"/>
        <w:spacing w:line="360" w:lineRule="auto"/>
        <w:ind w:firstLineChars="100" w:firstLine="240"/>
        <w:jc w:val="both"/>
      </w:pPr>
      <w:r w:rsidRPr="00476043">
        <w:rPr>
          <w:rFonts w:ascii="Book Antiqua" w:eastAsia="Book Antiqua" w:hAnsi="Book Antiqua" w:cs="Book Antiqua"/>
        </w:rPr>
        <w:t>The long-term clinical prognosis, especially neurodevelopmental outcomes, of liver transplant recipients depends largely on the pre- and post-transplant metabolic control. Early establishment of diagnosis and early initiation of conventional supportive management before the onset of clinical symptoms are of paramount importance as they can control the H</w:t>
      </w:r>
      <w:r w:rsidRPr="00476043">
        <w:rPr>
          <w:rFonts w:ascii="Book Antiqua" w:eastAsia="Book Antiqua" w:hAnsi="Book Antiqua" w:cs="Book Antiqua"/>
          <w:vertAlign w:val="subscript"/>
        </w:rPr>
        <w:t>2</w:t>
      </w:r>
      <w:r w:rsidRPr="00476043">
        <w:rPr>
          <w:rFonts w:ascii="Book Antiqua" w:eastAsia="Book Antiqua" w:hAnsi="Book Antiqua" w:cs="Book Antiqua"/>
        </w:rPr>
        <w:t>S overload, thereby improving clinical outcomes and biochemical markers</w:t>
      </w:r>
      <w:r w:rsidR="008D4276" w:rsidRPr="00476043">
        <w:rPr>
          <w:rFonts w:ascii="Book Antiqua" w:eastAsia="Book Antiqua" w:hAnsi="Book Antiqua" w:cs="Book Antiqua"/>
          <w:vertAlign w:val="superscript"/>
        </w:rPr>
        <w:t>[14]</w:t>
      </w:r>
      <w:r w:rsidRPr="00476043">
        <w:rPr>
          <w:rFonts w:ascii="Book Antiqua" w:eastAsia="Book Antiqua" w:hAnsi="Book Antiqua" w:cs="Book Antiqua"/>
        </w:rPr>
        <w:t>. The early clinical manifestations and neurologic deterioration arising from EE may present soon after birth</w:t>
      </w:r>
      <w:r w:rsidR="008D4276" w:rsidRPr="00476043">
        <w:rPr>
          <w:rFonts w:ascii="Book Antiqua" w:eastAsia="Book Antiqua" w:hAnsi="Book Antiqua" w:cs="Book Antiqua"/>
          <w:vertAlign w:val="superscript"/>
        </w:rPr>
        <w:t>[12]</w:t>
      </w:r>
      <w:r w:rsidRPr="00476043">
        <w:rPr>
          <w:rFonts w:ascii="Book Antiqua" w:eastAsia="Book Antiqua" w:hAnsi="Book Antiqua" w:cs="Book Antiqua"/>
        </w:rPr>
        <w:t>. It is necessary for physicians to strengthen their understanding of EE in order to make an early and correct diagnosis for these patients. After the diagnosis and before LT, combined medical and dietary treatments should be initiated without delay. It should be emphasized that only correct medical and dietary treatments, namely the combined use of metronidazole and N-acetylcysteine and a diet restricted in sulfur-containing amino acids, can help minimize H</w:t>
      </w:r>
      <w:r w:rsidRPr="00476043">
        <w:rPr>
          <w:rFonts w:ascii="Book Antiqua" w:eastAsia="Book Antiqua" w:hAnsi="Book Antiqua" w:cs="Book Antiqua"/>
          <w:vertAlign w:val="subscript"/>
        </w:rPr>
        <w:t>2</w:t>
      </w:r>
      <w:r w:rsidRPr="00476043">
        <w:rPr>
          <w:rFonts w:ascii="Book Antiqua" w:eastAsia="Book Antiqua" w:hAnsi="Book Antiqua" w:cs="Book Antiqua"/>
        </w:rPr>
        <w:t xml:space="preserve">S toxicity. Given LT cannot be performed until optimal age and weight criteria for liver transplant are achieved, conventional treatments in newborns until transplant could therefore contribute to opportune LT. The continuous administration of metronidazole and N-acetylcysteine is also necessary after liver transplant to minimize accumulation of toxic </w:t>
      </w:r>
      <w:r w:rsidRPr="00476043">
        <w:rPr>
          <w:rFonts w:ascii="Book Antiqua" w:eastAsia="Book Antiqua" w:hAnsi="Book Antiqua" w:cs="Book Antiqua"/>
        </w:rPr>
        <w:lastRenderedPageBreak/>
        <w:t>metabolites and maximize therapeutic effect of LT. Nevertheless, heterogenous genotype-phenotype correlations may influence the residual ETHE1 enzymatic activity, severity of phenotypes</w:t>
      </w:r>
      <w:r w:rsidR="00392A8A" w:rsidRPr="00476043">
        <w:rPr>
          <w:rFonts w:ascii="Book Antiqua" w:eastAsia="Book Antiqua" w:hAnsi="Book Antiqua" w:cs="Book Antiqua"/>
        </w:rPr>
        <w:t>,</w:t>
      </w:r>
      <w:r w:rsidRPr="00476043">
        <w:rPr>
          <w:rFonts w:ascii="Book Antiqua" w:eastAsia="Book Antiqua" w:hAnsi="Book Antiqua" w:cs="Book Antiqua"/>
        </w:rPr>
        <w:t xml:space="preserve"> and response to conventional interventions in patients with EE, which may partially explain the difference in outcomes with LT among the present several patients. In addition, although previous study suggested that the use of asymptomatic heterozygous carrier donor in LDLT for this autosomal-recessive condition was viable with satisfactory clinical outcomes</w:t>
      </w:r>
      <w:r w:rsidR="008D4276" w:rsidRPr="00476043">
        <w:rPr>
          <w:rFonts w:ascii="Book Antiqua" w:eastAsia="Book Antiqua" w:hAnsi="Book Antiqua" w:cs="Book Antiqua"/>
          <w:vertAlign w:val="superscript"/>
        </w:rPr>
        <w:t>[3]</w:t>
      </w:r>
      <w:r w:rsidRPr="00476043">
        <w:rPr>
          <w:rFonts w:ascii="Book Antiqua" w:eastAsia="Book Antiqua" w:hAnsi="Book Antiqua" w:cs="Book Antiqua"/>
        </w:rPr>
        <w:t>, ETHE1 enzyme activity within the different heterozygous carrier donors’ livers may vary. However, due to the unavailability of enzyme activity measurement technology, we did not perform donor enzyme activity assay before LT. Thus, whether the compromised therapeutic effect in our patient is associated with the use of a heterozygous carrier donor remains unclear. Notably, there was no description of dietary restriction for the three previous liver transplant recipients</w:t>
      </w:r>
      <w:r w:rsidR="00392A8A" w:rsidRPr="00476043">
        <w:rPr>
          <w:rFonts w:ascii="Book Antiqua" w:eastAsia="Book Antiqua" w:hAnsi="Book Antiqua" w:cs="Book Antiqua"/>
        </w:rPr>
        <w:t>. W</w:t>
      </w:r>
      <w:r w:rsidRPr="00476043">
        <w:rPr>
          <w:rFonts w:ascii="Book Antiqua" w:eastAsia="Book Antiqua" w:hAnsi="Book Antiqua" w:cs="Book Antiqua"/>
        </w:rPr>
        <w:t>hether a diet restricted in sulfur-containing amino acids could further improve liver transplant recipients’ clinical prognosis deserves further research.</w:t>
      </w:r>
    </w:p>
    <w:p w14:paraId="70026B66" w14:textId="06DBBD32" w:rsidR="00A77B3E" w:rsidRPr="00C02EF6" w:rsidRDefault="00502E6C" w:rsidP="00476043">
      <w:pPr>
        <w:snapToGrid w:val="0"/>
        <w:spacing w:line="360" w:lineRule="auto"/>
        <w:ind w:firstLineChars="100" w:firstLine="240"/>
        <w:jc w:val="both"/>
      </w:pPr>
      <w:r w:rsidRPr="00476043">
        <w:rPr>
          <w:rFonts w:ascii="Book Antiqua" w:eastAsia="Book Antiqua" w:hAnsi="Book Antiqua" w:cs="Book Antiqua"/>
        </w:rPr>
        <w:t>Although the reversal of neurological damage still needs to be further observed in</w:t>
      </w:r>
      <w:r w:rsidR="00392A8A" w:rsidRPr="00476043">
        <w:rPr>
          <w:rFonts w:ascii="Book Antiqua" w:eastAsia="Book Antiqua" w:hAnsi="Book Antiqua" w:cs="Book Antiqua"/>
        </w:rPr>
        <w:t xml:space="preserve"> the</w:t>
      </w:r>
      <w:r w:rsidRPr="00476043">
        <w:rPr>
          <w:rFonts w:ascii="Book Antiqua" w:eastAsia="Book Antiqua" w:hAnsi="Book Antiqua" w:cs="Book Antiqua"/>
        </w:rPr>
        <w:t xml:space="preserve"> long run, the possibility of irreversibility of neurological disability posttransplant should always be kept in the mind of doctors and patients’ guardians. Taking into account the perioperative morbidity, transplant-related complications</w:t>
      </w:r>
      <w:r w:rsidR="00392A8A" w:rsidRPr="00476043">
        <w:rPr>
          <w:rFonts w:ascii="Book Antiqua" w:eastAsia="Book Antiqua" w:hAnsi="Book Antiqua" w:cs="Book Antiqua"/>
        </w:rPr>
        <w:t>,</w:t>
      </w:r>
      <w:r w:rsidRPr="00476043">
        <w:rPr>
          <w:rFonts w:ascii="Book Antiqua" w:eastAsia="Book Antiqua" w:hAnsi="Book Antiqua" w:cs="Book Antiqua"/>
        </w:rPr>
        <w:t xml:space="preserve"> and long-term immunosuppression, scrupulous preoperative clinical assessment of patient’s overall clinical conditions, especially severity of neurological damage, is necessary for the evaluation of the benefit–risk ratio. More importantly, the joint participation of a multidisciplinary team including metabolism physicians, pediatric hepatologists, pediatric neurologists, pediatric transplantation team, metabolic nutritionists, and neurorehabilitation physicians, is indispensable for the long-term management of patients with EE.</w:t>
      </w:r>
    </w:p>
    <w:p w14:paraId="27DF1F91" w14:textId="77777777" w:rsidR="00A77B3E" w:rsidRPr="00C02EF6" w:rsidRDefault="00A77B3E" w:rsidP="00476043">
      <w:pPr>
        <w:snapToGrid w:val="0"/>
        <w:spacing w:line="360" w:lineRule="auto"/>
        <w:jc w:val="both"/>
      </w:pPr>
    </w:p>
    <w:p w14:paraId="35CACCBA" w14:textId="77777777" w:rsidR="00A77B3E" w:rsidRPr="00C02EF6" w:rsidRDefault="00502E6C" w:rsidP="00476043">
      <w:pPr>
        <w:snapToGrid w:val="0"/>
        <w:spacing w:line="360" w:lineRule="auto"/>
        <w:jc w:val="both"/>
      </w:pPr>
      <w:r w:rsidRPr="00476043">
        <w:rPr>
          <w:rFonts w:ascii="Book Antiqua" w:eastAsia="Book Antiqua" w:hAnsi="Book Antiqua" w:cs="Book Antiqua"/>
          <w:b/>
          <w:caps/>
          <w:u w:val="single"/>
        </w:rPr>
        <w:t>CONCLUSION</w:t>
      </w:r>
    </w:p>
    <w:p w14:paraId="401CC740" w14:textId="77777777" w:rsidR="00A77B3E" w:rsidRPr="00C02EF6" w:rsidRDefault="00502E6C" w:rsidP="00476043">
      <w:pPr>
        <w:snapToGrid w:val="0"/>
        <w:spacing w:line="360" w:lineRule="auto"/>
        <w:jc w:val="both"/>
      </w:pPr>
      <w:r w:rsidRPr="00476043">
        <w:rPr>
          <w:rFonts w:ascii="Book Antiqua" w:eastAsia="Book Antiqua" w:hAnsi="Book Antiqua" w:cs="Book Antiqua"/>
        </w:rPr>
        <w:t xml:space="preserve">LT does have a definite role in defending against the devastating natural progression of EE. Despite only a partial cure, LT should still be considered for patients with EE in the </w:t>
      </w:r>
      <w:r w:rsidRPr="00476043">
        <w:rPr>
          <w:rFonts w:ascii="Book Antiqua" w:eastAsia="Book Antiqua" w:hAnsi="Book Antiqua" w:cs="Book Antiqua"/>
        </w:rPr>
        <w:lastRenderedPageBreak/>
        <w:t>absence of other superior therapeutic options. Early establishment of diagnosis and initiation of conventional treatment pre-transplant, timely LT, and continuous administration of metabolism-correcting medications post-transplant may be helpful in minimizing the neurologic impairment and maximizing the therapeutic value of LT in EE.</w:t>
      </w:r>
    </w:p>
    <w:p w14:paraId="2B14A743" w14:textId="77777777" w:rsidR="00A77B3E" w:rsidRPr="00C02EF6" w:rsidRDefault="00A77B3E" w:rsidP="00476043">
      <w:pPr>
        <w:snapToGrid w:val="0"/>
        <w:spacing w:line="360" w:lineRule="auto"/>
        <w:jc w:val="both"/>
      </w:pPr>
    </w:p>
    <w:p w14:paraId="526173FB" w14:textId="77777777" w:rsidR="00A77B3E" w:rsidRPr="00C02EF6" w:rsidRDefault="00502E6C" w:rsidP="00476043">
      <w:pPr>
        <w:snapToGrid w:val="0"/>
        <w:spacing w:line="360" w:lineRule="auto"/>
        <w:jc w:val="both"/>
      </w:pPr>
      <w:r w:rsidRPr="00476043">
        <w:rPr>
          <w:rFonts w:ascii="Book Antiqua" w:eastAsia="Book Antiqua" w:hAnsi="Book Antiqua" w:cs="Book Antiqua"/>
          <w:b/>
          <w:caps/>
          <w:u w:val="single"/>
        </w:rPr>
        <w:t>ACKNOWLEDGEMENTS</w:t>
      </w:r>
    </w:p>
    <w:p w14:paraId="7FAB3853" w14:textId="0CE635D5" w:rsidR="00A77B3E" w:rsidRPr="00C02EF6" w:rsidRDefault="00502E6C" w:rsidP="00476043">
      <w:pPr>
        <w:snapToGrid w:val="0"/>
        <w:spacing w:line="360" w:lineRule="auto"/>
        <w:jc w:val="both"/>
      </w:pPr>
      <w:r w:rsidRPr="00476043">
        <w:rPr>
          <w:rFonts w:ascii="Book Antiqua" w:eastAsia="Book Antiqua" w:hAnsi="Book Antiqua" w:cs="Book Antiqua"/>
        </w:rPr>
        <w:t>We would like to thank He</w:t>
      </w:r>
      <w:r w:rsidR="008D4276" w:rsidRPr="00476043">
        <w:rPr>
          <w:rFonts w:ascii="Book Antiqua" w:eastAsia="Book Antiqua" w:hAnsi="Book Antiqua" w:cs="Book Antiqua"/>
        </w:rPr>
        <w:t xml:space="preserve"> EH</w:t>
      </w:r>
      <w:r w:rsidRPr="00476043">
        <w:rPr>
          <w:rFonts w:ascii="Book Antiqua" w:eastAsia="Book Antiqua" w:hAnsi="Book Antiqua" w:cs="Book Antiqua"/>
        </w:rPr>
        <w:t xml:space="preserve">, Xu </w:t>
      </w:r>
      <w:r w:rsidR="008D4276" w:rsidRPr="00476043">
        <w:rPr>
          <w:rFonts w:ascii="Book Antiqua" w:eastAsia="Book Antiqua" w:hAnsi="Book Antiqua" w:cs="Book Antiqua"/>
        </w:rPr>
        <w:t xml:space="preserve">RF </w:t>
      </w:r>
      <w:r w:rsidRPr="00476043">
        <w:rPr>
          <w:rFonts w:ascii="Book Antiqua" w:eastAsia="Book Antiqua" w:hAnsi="Book Antiqua" w:cs="Book Antiqua"/>
        </w:rPr>
        <w:t xml:space="preserve">and Yi </w:t>
      </w:r>
      <w:r w:rsidR="008D4276" w:rsidRPr="00476043">
        <w:rPr>
          <w:rFonts w:ascii="Book Antiqua" w:eastAsia="Book Antiqua" w:hAnsi="Book Antiqua" w:cs="Book Antiqua"/>
        </w:rPr>
        <w:t xml:space="preserve">ZX </w:t>
      </w:r>
      <w:r w:rsidRPr="00476043">
        <w:rPr>
          <w:rFonts w:ascii="Book Antiqua" w:eastAsia="Book Antiqua" w:hAnsi="Book Antiqua" w:cs="Book Antiqua"/>
        </w:rPr>
        <w:t>who contributed to ultrasound monitoring in this patient.</w:t>
      </w:r>
    </w:p>
    <w:p w14:paraId="669CC7AE" w14:textId="77777777" w:rsidR="00A77B3E" w:rsidRPr="00C02EF6" w:rsidRDefault="00A77B3E" w:rsidP="00476043">
      <w:pPr>
        <w:snapToGrid w:val="0"/>
        <w:spacing w:line="360" w:lineRule="auto"/>
        <w:jc w:val="both"/>
      </w:pPr>
    </w:p>
    <w:p w14:paraId="27A53E0C" w14:textId="77777777" w:rsidR="00A77B3E" w:rsidRPr="00C02EF6" w:rsidRDefault="00502E6C" w:rsidP="00476043">
      <w:pPr>
        <w:snapToGrid w:val="0"/>
        <w:spacing w:line="360" w:lineRule="auto"/>
        <w:jc w:val="both"/>
      </w:pPr>
      <w:r w:rsidRPr="00476043">
        <w:rPr>
          <w:rFonts w:ascii="Book Antiqua" w:eastAsia="Book Antiqua" w:hAnsi="Book Antiqua" w:cs="Book Antiqua"/>
          <w:b/>
        </w:rPr>
        <w:t>REFERENCES</w:t>
      </w:r>
    </w:p>
    <w:p w14:paraId="094A120D" w14:textId="3216CA28" w:rsidR="00A77B3E" w:rsidRPr="00C02EF6" w:rsidRDefault="006445F6" w:rsidP="00476043">
      <w:pPr>
        <w:snapToGrid w:val="0"/>
        <w:spacing w:line="360" w:lineRule="auto"/>
        <w:jc w:val="both"/>
      </w:pPr>
      <w:r w:rsidRPr="00476043">
        <w:rPr>
          <w:rFonts w:ascii="Book Antiqua" w:eastAsia="Book Antiqua" w:hAnsi="Book Antiqua" w:cs="Book Antiqua"/>
        </w:rPr>
        <w:t xml:space="preserve">1 </w:t>
      </w:r>
      <w:r w:rsidR="00502E6C" w:rsidRPr="00476043">
        <w:rPr>
          <w:rFonts w:ascii="Book Antiqua" w:eastAsia="Book Antiqua" w:hAnsi="Book Antiqua" w:cs="Book Antiqua"/>
        </w:rPr>
        <w:t>Online Mendelian Inheritance in Man</w:t>
      </w:r>
      <w:r w:rsidRPr="00476043">
        <w:rPr>
          <w:rFonts w:ascii="Book Antiqua" w:eastAsia="Book Antiqua" w:hAnsi="Book Antiqua" w:cs="Book Antiqua"/>
        </w:rPr>
        <w:t xml:space="preserve"> </w:t>
      </w:r>
      <w:r w:rsidRPr="00476043">
        <w:rPr>
          <w:rFonts w:ascii="Book Antiqua" w:eastAsia="宋体" w:hAnsi="Book Antiqua"/>
        </w:rPr>
        <w:t>[Internet]</w:t>
      </w:r>
      <w:r w:rsidR="00502E6C" w:rsidRPr="00476043">
        <w:rPr>
          <w:rFonts w:ascii="Book Antiqua" w:eastAsia="Book Antiqua" w:hAnsi="Book Antiqua" w:cs="Book Antiqua"/>
        </w:rPr>
        <w:t xml:space="preserve">. </w:t>
      </w:r>
      <w:r w:rsidRPr="00476043">
        <w:rPr>
          <w:rFonts w:ascii="Book Antiqua" w:eastAsia="Book Antiqua" w:hAnsi="Book Antiqua" w:cs="Book Antiqua"/>
        </w:rPr>
        <w:t xml:space="preserve">Available from: </w:t>
      </w:r>
      <w:hyperlink r:id="rId10" w:history="1">
        <w:r w:rsidR="000362F3" w:rsidRPr="00476043">
          <w:rPr>
            <w:rStyle w:val="a7"/>
            <w:rFonts w:ascii="Book Antiqua" w:eastAsia="Book Antiqua" w:hAnsi="Book Antiqua" w:cs="Book Antiqua"/>
            <w:color w:val="auto"/>
          </w:rPr>
          <w:t>https://www.omim.org/entry/602473</w:t>
        </w:r>
      </w:hyperlink>
      <w:r w:rsidR="000362F3" w:rsidRPr="00476043">
        <w:rPr>
          <w:rFonts w:ascii="Book Antiqua" w:eastAsia="Book Antiqua" w:hAnsi="Book Antiqua" w:cs="Book Antiqua"/>
        </w:rPr>
        <w:t xml:space="preserve"> </w:t>
      </w:r>
    </w:p>
    <w:p w14:paraId="79A33F55" w14:textId="68B973E0" w:rsidR="00A77B3E" w:rsidRPr="00C02EF6" w:rsidRDefault="00502E6C" w:rsidP="00476043">
      <w:pPr>
        <w:snapToGrid w:val="0"/>
        <w:spacing w:line="360" w:lineRule="auto"/>
        <w:jc w:val="both"/>
      </w:pPr>
      <w:r w:rsidRPr="00476043">
        <w:rPr>
          <w:rFonts w:ascii="Book Antiqua" w:eastAsia="Book Antiqua" w:hAnsi="Book Antiqua" w:cs="Book Antiqua"/>
        </w:rPr>
        <w:t>2</w:t>
      </w:r>
      <w:r w:rsidR="006445F6" w:rsidRPr="00476043">
        <w:rPr>
          <w:rFonts w:ascii="Book Antiqua" w:eastAsia="Book Antiqua" w:hAnsi="Book Antiqua" w:cs="Book Antiqua"/>
        </w:rPr>
        <w:t xml:space="preserve"> </w:t>
      </w:r>
      <w:proofErr w:type="spellStart"/>
      <w:r w:rsidRPr="00476043">
        <w:rPr>
          <w:rFonts w:ascii="Book Antiqua" w:eastAsia="Book Antiqua" w:hAnsi="Book Antiqua" w:cs="Book Antiqua"/>
          <w:b/>
          <w:bCs/>
        </w:rPr>
        <w:t>Tiranti</w:t>
      </w:r>
      <w:proofErr w:type="spellEnd"/>
      <w:r w:rsidRPr="00476043">
        <w:rPr>
          <w:rFonts w:ascii="Book Antiqua" w:eastAsia="Book Antiqua" w:hAnsi="Book Antiqua" w:cs="Book Antiqua"/>
          <w:b/>
          <w:bCs/>
        </w:rPr>
        <w:t xml:space="preserve"> V</w:t>
      </w:r>
      <w:r w:rsidRPr="00476043">
        <w:rPr>
          <w:rFonts w:ascii="Book Antiqua" w:eastAsia="Book Antiqua" w:hAnsi="Book Antiqua" w:cs="Book Antiqua"/>
        </w:rPr>
        <w:t xml:space="preserve">, </w:t>
      </w:r>
      <w:proofErr w:type="spellStart"/>
      <w:r w:rsidRPr="00476043">
        <w:rPr>
          <w:rFonts w:ascii="Book Antiqua" w:eastAsia="Book Antiqua" w:hAnsi="Book Antiqua" w:cs="Book Antiqua"/>
        </w:rPr>
        <w:t>D'Adamo</w:t>
      </w:r>
      <w:proofErr w:type="spellEnd"/>
      <w:r w:rsidRPr="00476043">
        <w:rPr>
          <w:rFonts w:ascii="Book Antiqua" w:eastAsia="Book Antiqua" w:hAnsi="Book Antiqua" w:cs="Book Antiqua"/>
        </w:rPr>
        <w:t xml:space="preserve"> P, </w:t>
      </w:r>
      <w:proofErr w:type="spellStart"/>
      <w:r w:rsidRPr="00476043">
        <w:rPr>
          <w:rFonts w:ascii="Book Antiqua" w:eastAsia="Book Antiqua" w:hAnsi="Book Antiqua" w:cs="Book Antiqua"/>
        </w:rPr>
        <w:t>Briem</w:t>
      </w:r>
      <w:proofErr w:type="spellEnd"/>
      <w:r w:rsidRPr="00476043">
        <w:rPr>
          <w:rFonts w:ascii="Book Antiqua" w:eastAsia="Book Antiqua" w:hAnsi="Book Antiqua" w:cs="Book Antiqua"/>
        </w:rPr>
        <w:t xml:space="preserve"> E, Ferrari G, </w:t>
      </w:r>
      <w:proofErr w:type="spellStart"/>
      <w:r w:rsidRPr="00476043">
        <w:rPr>
          <w:rFonts w:ascii="Book Antiqua" w:eastAsia="Book Antiqua" w:hAnsi="Book Antiqua" w:cs="Book Antiqua"/>
        </w:rPr>
        <w:t>Mineri</w:t>
      </w:r>
      <w:proofErr w:type="spellEnd"/>
      <w:r w:rsidRPr="00476043">
        <w:rPr>
          <w:rFonts w:ascii="Book Antiqua" w:eastAsia="Book Antiqua" w:hAnsi="Book Antiqua" w:cs="Book Antiqua"/>
        </w:rPr>
        <w:t xml:space="preserve"> R, </w:t>
      </w:r>
      <w:proofErr w:type="spellStart"/>
      <w:r w:rsidRPr="00476043">
        <w:rPr>
          <w:rFonts w:ascii="Book Antiqua" w:eastAsia="Book Antiqua" w:hAnsi="Book Antiqua" w:cs="Book Antiqua"/>
        </w:rPr>
        <w:t>Lamantea</w:t>
      </w:r>
      <w:proofErr w:type="spellEnd"/>
      <w:r w:rsidRPr="00476043">
        <w:rPr>
          <w:rFonts w:ascii="Book Antiqua" w:eastAsia="Book Antiqua" w:hAnsi="Book Antiqua" w:cs="Book Antiqua"/>
        </w:rPr>
        <w:t xml:space="preserve"> E, Mandel H, Balestri P, Garcia-Silva MT, Vollmer B, Rinaldo P, Hahn SH, Leonard J, Rahman S, </w:t>
      </w:r>
      <w:proofErr w:type="spellStart"/>
      <w:r w:rsidRPr="00476043">
        <w:rPr>
          <w:rFonts w:ascii="Book Antiqua" w:eastAsia="Book Antiqua" w:hAnsi="Book Antiqua" w:cs="Book Antiqua"/>
        </w:rPr>
        <w:t>Dionisi</w:t>
      </w:r>
      <w:proofErr w:type="spellEnd"/>
      <w:r w:rsidRPr="00476043">
        <w:rPr>
          <w:rFonts w:ascii="Book Antiqua" w:eastAsia="Book Antiqua" w:hAnsi="Book Antiqua" w:cs="Book Antiqua"/>
        </w:rPr>
        <w:t xml:space="preserve">-Vici C, </w:t>
      </w:r>
      <w:proofErr w:type="spellStart"/>
      <w:r w:rsidRPr="00476043">
        <w:rPr>
          <w:rFonts w:ascii="Book Antiqua" w:eastAsia="Book Antiqua" w:hAnsi="Book Antiqua" w:cs="Book Antiqua"/>
        </w:rPr>
        <w:t>Garavaglia</w:t>
      </w:r>
      <w:proofErr w:type="spellEnd"/>
      <w:r w:rsidRPr="00476043">
        <w:rPr>
          <w:rFonts w:ascii="Book Antiqua" w:eastAsia="Book Antiqua" w:hAnsi="Book Antiqua" w:cs="Book Antiqua"/>
        </w:rPr>
        <w:t xml:space="preserve"> B, Gasparini P, </w:t>
      </w:r>
      <w:proofErr w:type="spellStart"/>
      <w:r w:rsidRPr="00476043">
        <w:rPr>
          <w:rFonts w:ascii="Book Antiqua" w:eastAsia="Book Antiqua" w:hAnsi="Book Antiqua" w:cs="Book Antiqua"/>
        </w:rPr>
        <w:t>Zeviani</w:t>
      </w:r>
      <w:proofErr w:type="spellEnd"/>
      <w:r w:rsidRPr="00476043">
        <w:rPr>
          <w:rFonts w:ascii="Book Antiqua" w:eastAsia="Book Antiqua" w:hAnsi="Book Antiqua" w:cs="Book Antiqua"/>
        </w:rPr>
        <w:t xml:space="preserve"> M. Ethylmalonic encephalopathy is caused by mutations in ETHE1, a gene encoding a mitochondrial matrix protein.</w:t>
      </w:r>
      <w:r w:rsidRPr="00476043">
        <w:rPr>
          <w:rFonts w:ascii="Book Antiqua" w:eastAsia="Book Antiqua" w:hAnsi="Book Antiqua" w:cs="Book Antiqua"/>
          <w:i/>
          <w:iCs/>
        </w:rPr>
        <w:t xml:space="preserve"> Am J Hum Genet </w:t>
      </w:r>
      <w:r w:rsidRPr="00476043">
        <w:rPr>
          <w:rFonts w:ascii="Book Antiqua" w:eastAsia="Book Antiqua" w:hAnsi="Book Antiqua" w:cs="Book Antiqua"/>
        </w:rPr>
        <w:t xml:space="preserve">2004; </w:t>
      </w:r>
      <w:r w:rsidRPr="00476043">
        <w:rPr>
          <w:rFonts w:ascii="Book Antiqua" w:eastAsia="Book Antiqua" w:hAnsi="Book Antiqua" w:cs="Book Antiqua"/>
          <w:b/>
          <w:bCs/>
        </w:rPr>
        <w:t>74</w:t>
      </w:r>
      <w:r w:rsidRPr="00476043">
        <w:rPr>
          <w:rFonts w:ascii="Book Antiqua" w:eastAsia="Book Antiqua" w:hAnsi="Book Antiqua" w:cs="Book Antiqua"/>
        </w:rPr>
        <w:t>: 239-252 [PMID: 14732903 DOI: 10.1086/381653]</w:t>
      </w:r>
    </w:p>
    <w:p w14:paraId="06C18C14" w14:textId="79F64EF1" w:rsidR="00A77B3E" w:rsidRPr="00C02EF6" w:rsidRDefault="00502E6C" w:rsidP="00476043">
      <w:pPr>
        <w:snapToGrid w:val="0"/>
        <w:spacing w:line="360" w:lineRule="auto"/>
        <w:jc w:val="both"/>
      </w:pPr>
      <w:r w:rsidRPr="00476043">
        <w:rPr>
          <w:rFonts w:ascii="Book Antiqua" w:eastAsia="Book Antiqua" w:hAnsi="Book Antiqua" w:cs="Book Antiqua"/>
        </w:rPr>
        <w:t>3</w:t>
      </w:r>
      <w:r w:rsidR="006445F6" w:rsidRPr="00476043">
        <w:rPr>
          <w:rFonts w:ascii="Book Antiqua" w:eastAsia="Book Antiqua" w:hAnsi="Book Antiqua" w:cs="Book Antiqua"/>
        </w:rPr>
        <w:t xml:space="preserve"> </w:t>
      </w:r>
      <w:proofErr w:type="spellStart"/>
      <w:r w:rsidRPr="00476043">
        <w:rPr>
          <w:rFonts w:ascii="Book Antiqua" w:eastAsia="Book Antiqua" w:hAnsi="Book Antiqua" w:cs="Book Antiqua"/>
          <w:b/>
          <w:bCs/>
        </w:rPr>
        <w:t>Dionisi</w:t>
      </w:r>
      <w:proofErr w:type="spellEnd"/>
      <w:r w:rsidRPr="00476043">
        <w:rPr>
          <w:rFonts w:ascii="Book Antiqua" w:eastAsia="Book Antiqua" w:hAnsi="Book Antiqua" w:cs="Book Antiqua"/>
          <w:b/>
          <w:bCs/>
        </w:rPr>
        <w:t>-Vici C</w:t>
      </w:r>
      <w:r w:rsidRPr="00476043">
        <w:rPr>
          <w:rFonts w:ascii="Book Antiqua" w:eastAsia="Book Antiqua" w:hAnsi="Book Antiqua" w:cs="Book Antiqua"/>
        </w:rPr>
        <w:t xml:space="preserve">, </w:t>
      </w:r>
      <w:proofErr w:type="spellStart"/>
      <w:r w:rsidRPr="00476043">
        <w:rPr>
          <w:rFonts w:ascii="Book Antiqua" w:eastAsia="Book Antiqua" w:hAnsi="Book Antiqua" w:cs="Book Antiqua"/>
        </w:rPr>
        <w:t>Diodato</w:t>
      </w:r>
      <w:proofErr w:type="spellEnd"/>
      <w:r w:rsidRPr="00476043">
        <w:rPr>
          <w:rFonts w:ascii="Book Antiqua" w:eastAsia="Book Antiqua" w:hAnsi="Book Antiqua" w:cs="Book Antiqua"/>
        </w:rPr>
        <w:t xml:space="preserve"> D, Torre G, </w:t>
      </w:r>
      <w:proofErr w:type="spellStart"/>
      <w:r w:rsidRPr="00476043">
        <w:rPr>
          <w:rFonts w:ascii="Book Antiqua" w:eastAsia="Book Antiqua" w:hAnsi="Book Antiqua" w:cs="Book Antiqua"/>
        </w:rPr>
        <w:t>Picca</w:t>
      </w:r>
      <w:proofErr w:type="spellEnd"/>
      <w:r w:rsidRPr="00476043">
        <w:rPr>
          <w:rFonts w:ascii="Book Antiqua" w:eastAsia="Book Antiqua" w:hAnsi="Book Antiqua" w:cs="Book Antiqua"/>
        </w:rPr>
        <w:t xml:space="preserve"> S, </w:t>
      </w:r>
      <w:proofErr w:type="spellStart"/>
      <w:r w:rsidRPr="00476043">
        <w:rPr>
          <w:rFonts w:ascii="Book Antiqua" w:eastAsia="Book Antiqua" w:hAnsi="Book Antiqua" w:cs="Book Antiqua"/>
        </w:rPr>
        <w:t>Pariante</w:t>
      </w:r>
      <w:proofErr w:type="spellEnd"/>
      <w:r w:rsidRPr="00476043">
        <w:rPr>
          <w:rFonts w:ascii="Book Antiqua" w:eastAsia="Book Antiqua" w:hAnsi="Book Antiqua" w:cs="Book Antiqua"/>
        </w:rPr>
        <w:t xml:space="preserve"> R, Giuseppe Picardo S, Di Meo I, Rizzo C, </w:t>
      </w:r>
      <w:proofErr w:type="spellStart"/>
      <w:r w:rsidRPr="00476043">
        <w:rPr>
          <w:rFonts w:ascii="Book Antiqua" w:eastAsia="Book Antiqua" w:hAnsi="Book Antiqua" w:cs="Book Antiqua"/>
        </w:rPr>
        <w:t>Tiranti</w:t>
      </w:r>
      <w:proofErr w:type="spellEnd"/>
      <w:r w:rsidRPr="00476043">
        <w:rPr>
          <w:rFonts w:ascii="Book Antiqua" w:eastAsia="Book Antiqua" w:hAnsi="Book Antiqua" w:cs="Book Antiqua"/>
        </w:rPr>
        <w:t xml:space="preserve"> V, </w:t>
      </w:r>
      <w:proofErr w:type="spellStart"/>
      <w:r w:rsidRPr="00476043">
        <w:rPr>
          <w:rFonts w:ascii="Book Antiqua" w:eastAsia="Book Antiqua" w:hAnsi="Book Antiqua" w:cs="Book Antiqua"/>
        </w:rPr>
        <w:t>Zeviani</w:t>
      </w:r>
      <w:proofErr w:type="spellEnd"/>
      <w:r w:rsidRPr="00476043">
        <w:rPr>
          <w:rFonts w:ascii="Book Antiqua" w:eastAsia="Book Antiqua" w:hAnsi="Book Antiqua" w:cs="Book Antiqua"/>
        </w:rPr>
        <w:t xml:space="preserve"> M, De Ville De </w:t>
      </w:r>
      <w:proofErr w:type="spellStart"/>
      <w:r w:rsidRPr="00476043">
        <w:rPr>
          <w:rFonts w:ascii="Book Antiqua" w:eastAsia="Book Antiqua" w:hAnsi="Book Antiqua" w:cs="Book Antiqua"/>
        </w:rPr>
        <w:t>Goyet</w:t>
      </w:r>
      <w:proofErr w:type="spellEnd"/>
      <w:r w:rsidRPr="00476043">
        <w:rPr>
          <w:rFonts w:ascii="Book Antiqua" w:eastAsia="Book Antiqua" w:hAnsi="Book Antiqua" w:cs="Book Antiqua"/>
        </w:rPr>
        <w:t xml:space="preserve"> J. Liver transplant in ethylmalonic encephalopathy: a new treatment for an otherwise fatal disease.</w:t>
      </w:r>
      <w:r w:rsidRPr="00476043">
        <w:rPr>
          <w:rFonts w:ascii="Book Antiqua" w:eastAsia="Book Antiqua" w:hAnsi="Book Antiqua" w:cs="Book Antiqua"/>
          <w:i/>
          <w:iCs/>
        </w:rPr>
        <w:t xml:space="preserve"> Brain </w:t>
      </w:r>
      <w:r w:rsidRPr="00476043">
        <w:rPr>
          <w:rFonts w:ascii="Book Antiqua" w:eastAsia="Book Antiqua" w:hAnsi="Book Antiqua" w:cs="Book Antiqua"/>
        </w:rPr>
        <w:t xml:space="preserve">2016; </w:t>
      </w:r>
      <w:r w:rsidRPr="00476043">
        <w:rPr>
          <w:rFonts w:ascii="Book Antiqua" w:eastAsia="Book Antiqua" w:hAnsi="Book Antiqua" w:cs="Book Antiqua"/>
          <w:b/>
          <w:bCs/>
        </w:rPr>
        <w:t>139</w:t>
      </w:r>
      <w:r w:rsidRPr="00476043">
        <w:rPr>
          <w:rFonts w:ascii="Book Antiqua" w:eastAsia="Book Antiqua" w:hAnsi="Book Antiqua" w:cs="Book Antiqua"/>
        </w:rPr>
        <w:t>: 1045-1051 [PMID: 26917598 DOI: 10.1093/brain/aww013]</w:t>
      </w:r>
    </w:p>
    <w:p w14:paraId="4A2799D5" w14:textId="365582D6" w:rsidR="00A77B3E" w:rsidRPr="00C02EF6" w:rsidRDefault="00502E6C" w:rsidP="00476043">
      <w:pPr>
        <w:snapToGrid w:val="0"/>
        <w:spacing w:line="360" w:lineRule="auto"/>
        <w:jc w:val="both"/>
      </w:pPr>
      <w:r w:rsidRPr="00476043">
        <w:rPr>
          <w:rFonts w:ascii="Book Antiqua" w:eastAsia="Book Antiqua" w:hAnsi="Book Antiqua" w:cs="Book Antiqua"/>
        </w:rPr>
        <w:t>4</w:t>
      </w:r>
      <w:r w:rsidR="006445F6" w:rsidRPr="00476043">
        <w:rPr>
          <w:rFonts w:ascii="Book Antiqua" w:eastAsia="Book Antiqua" w:hAnsi="Book Antiqua" w:cs="Book Antiqua"/>
        </w:rPr>
        <w:t xml:space="preserve"> </w:t>
      </w:r>
      <w:r w:rsidRPr="00476043">
        <w:rPr>
          <w:rFonts w:ascii="Book Antiqua" w:eastAsia="Book Antiqua" w:hAnsi="Book Antiqua" w:cs="Book Antiqua"/>
          <w:b/>
          <w:bCs/>
        </w:rPr>
        <w:t>Yang CJ</w:t>
      </w:r>
      <w:r w:rsidRPr="00476043">
        <w:rPr>
          <w:rFonts w:ascii="Book Antiqua" w:eastAsia="Book Antiqua" w:hAnsi="Book Antiqua" w:cs="Book Antiqua"/>
        </w:rPr>
        <w:t>, Wei N, Li M, Xie K, Li JQ, Huang CG, Xiao YS, Liu WH, Chen XG. Diagnosis and therapeutic monitoring of inborn errors of metabolism in 100,077 newborns from Jining city in China.</w:t>
      </w:r>
      <w:r w:rsidRPr="00476043">
        <w:rPr>
          <w:rFonts w:ascii="Book Antiqua" w:eastAsia="Book Antiqua" w:hAnsi="Book Antiqua" w:cs="Book Antiqua"/>
          <w:i/>
          <w:iCs/>
        </w:rPr>
        <w:t xml:space="preserve"> BMC </w:t>
      </w:r>
      <w:proofErr w:type="spellStart"/>
      <w:r w:rsidRPr="00476043">
        <w:rPr>
          <w:rFonts w:ascii="Book Antiqua" w:eastAsia="Book Antiqua" w:hAnsi="Book Antiqua" w:cs="Book Antiqua"/>
          <w:i/>
          <w:iCs/>
        </w:rPr>
        <w:t>Pediatr</w:t>
      </w:r>
      <w:proofErr w:type="spellEnd"/>
      <w:r w:rsidRPr="00476043">
        <w:rPr>
          <w:rFonts w:ascii="Book Antiqua" w:eastAsia="Book Antiqua" w:hAnsi="Book Antiqua" w:cs="Book Antiqua"/>
          <w:i/>
          <w:iCs/>
        </w:rPr>
        <w:t xml:space="preserve"> </w:t>
      </w:r>
      <w:r w:rsidRPr="00476043">
        <w:rPr>
          <w:rFonts w:ascii="Book Antiqua" w:eastAsia="Book Antiqua" w:hAnsi="Book Antiqua" w:cs="Book Antiqua"/>
        </w:rPr>
        <w:t xml:space="preserve">2018; </w:t>
      </w:r>
      <w:r w:rsidRPr="00476043">
        <w:rPr>
          <w:rFonts w:ascii="Book Antiqua" w:eastAsia="Book Antiqua" w:hAnsi="Book Antiqua" w:cs="Book Antiqua"/>
          <w:b/>
          <w:bCs/>
        </w:rPr>
        <w:t>18</w:t>
      </w:r>
      <w:r w:rsidRPr="00476043">
        <w:rPr>
          <w:rFonts w:ascii="Book Antiqua" w:eastAsia="Book Antiqua" w:hAnsi="Book Antiqua" w:cs="Book Antiqua"/>
        </w:rPr>
        <w:t>: 110 [PMID: 29534692 DOI: 10.1186/s12887-018-1090-2]</w:t>
      </w:r>
    </w:p>
    <w:p w14:paraId="6C454D8D" w14:textId="11207ED2" w:rsidR="00A77B3E" w:rsidRPr="00C02EF6" w:rsidRDefault="00502E6C" w:rsidP="00476043">
      <w:pPr>
        <w:snapToGrid w:val="0"/>
        <w:spacing w:line="360" w:lineRule="auto"/>
        <w:jc w:val="both"/>
      </w:pPr>
      <w:r w:rsidRPr="00476043">
        <w:rPr>
          <w:rFonts w:ascii="Book Antiqua" w:eastAsia="Book Antiqua" w:hAnsi="Book Antiqua" w:cs="Book Antiqua"/>
        </w:rPr>
        <w:t>5</w:t>
      </w:r>
      <w:r w:rsidR="006445F6" w:rsidRPr="00476043">
        <w:rPr>
          <w:rFonts w:ascii="Book Antiqua" w:eastAsia="Book Antiqua" w:hAnsi="Book Antiqua" w:cs="Book Antiqua"/>
        </w:rPr>
        <w:t xml:space="preserve"> </w:t>
      </w:r>
      <w:proofErr w:type="spellStart"/>
      <w:r w:rsidRPr="00476043">
        <w:rPr>
          <w:rFonts w:ascii="Book Antiqua" w:eastAsia="Book Antiqua" w:hAnsi="Book Antiqua" w:cs="Book Antiqua"/>
          <w:b/>
          <w:bCs/>
        </w:rPr>
        <w:t>Tiranti</w:t>
      </w:r>
      <w:proofErr w:type="spellEnd"/>
      <w:r w:rsidRPr="00476043">
        <w:rPr>
          <w:rFonts w:ascii="Book Antiqua" w:eastAsia="Book Antiqua" w:hAnsi="Book Antiqua" w:cs="Book Antiqua"/>
          <w:b/>
          <w:bCs/>
        </w:rPr>
        <w:t xml:space="preserve"> V</w:t>
      </w:r>
      <w:r w:rsidRPr="00476043">
        <w:rPr>
          <w:rFonts w:ascii="Book Antiqua" w:eastAsia="Book Antiqua" w:hAnsi="Book Antiqua" w:cs="Book Antiqua"/>
        </w:rPr>
        <w:t xml:space="preserve">, Viscomi C, Hildebrandt T, Di </w:t>
      </w:r>
      <w:proofErr w:type="spellStart"/>
      <w:r w:rsidRPr="00476043">
        <w:rPr>
          <w:rFonts w:ascii="Book Antiqua" w:eastAsia="Book Antiqua" w:hAnsi="Book Antiqua" w:cs="Book Antiqua"/>
        </w:rPr>
        <w:t>Meo</w:t>
      </w:r>
      <w:proofErr w:type="spellEnd"/>
      <w:r w:rsidRPr="00476043">
        <w:rPr>
          <w:rFonts w:ascii="Book Antiqua" w:eastAsia="Book Antiqua" w:hAnsi="Book Antiqua" w:cs="Book Antiqua"/>
        </w:rPr>
        <w:t xml:space="preserve"> I, </w:t>
      </w:r>
      <w:proofErr w:type="spellStart"/>
      <w:r w:rsidRPr="00476043">
        <w:rPr>
          <w:rFonts w:ascii="Book Antiqua" w:eastAsia="Book Antiqua" w:hAnsi="Book Antiqua" w:cs="Book Antiqua"/>
        </w:rPr>
        <w:t>Mineri</w:t>
      </w:r>
      <w:proofErr w:type="spellEnd"/>
      <w:r w:rsidRPr="00476043">
        <w:rPr>
          <w:rFonts w:ascii="Book Antiqua" w:eastAsia="Book Antiqua" w:hAnsi="Book Antiqua" w:cs="Book Antiqua"/>
        </w:rPr>
        <w:t xml:space="preserve"> R, </w:t>
      </w:r>
      <w:proofErr w:type="spellStart"/>
      <w:r w:rsidRPr="00476043">
        <w:rPr>
          <w:rFonts w:ascii="Book Antiqua" w:eastAsia="Book Antiqua" w:hAnsi="Book Antiqua" w:cs="Book Antiqua"/>
        </w:rPr>
        <w:t>Tiveron</w:t>
      </w:r>
      <w:proofErr w:type="spellEnd"/>
      <w:r w:rsidRPr="00476043">
        <w:rPr>
          <w:rFonts w:ascii="Book Antiqua" w:eastAsia="Book Antiqua" w:hAnsi="Book Antiqua" w:cs="Book Antiqua"/>
        </w:rPr>
        <w:t xml:space="preserve"> C, Levitt MD, </w:t>
      </w:r>
      <w:proofErr w:type="spellStart"/>
      <w:r w:rsidRPr="00476043">
        <w:rPr>
          <w:rFonts w:ascii="Book Antiqua" w:eastAsia="Book Antiqua" w:hAnsi="Book Antiqua" w:cs="Book Antiqua"/>
        </w:rPr>
        <w:t>Prelle</w:t>
      </w:r>
      <w:proofErr w:type="spellEnd"/>
      <w:r w:rsidRPr="00476043">
        <w:rPr>
          <w:rFonts w:ascii="Book Antiqua" w:eastAsia="Book Antiqua" w:hAnsi="Book Antiqua" w:cs="Book Antiqua"/>
        </w:rPr>
        <w:t xml:space="preserve"> A, </w:t>
      </w:r>
      <w:proofErr w:type="spellStart"/>
      <w:r w:rsidRPr="00476043">
        <w:rPr>
          <w:rFonts w:ascii="Book Antiqua" w:eastAsia="Book Antiqua" w:hAnsi="Book Antiqua" w:cs="Book Antiqua"/>
        </w:rPr>
        <w:t>Fagiolari</w:t>
      </w:r>
      <w:proofErr w:type="spellEnd"/>
      <w:r w:rsidRPr="00476043">
        <w:rPr>
          <w:rFonts w:ascii="Book Antiqua" w:eastAsia="Book Antiqua" w:hAnsi="Book Antiqua" w:cs="Book Antiqua"/>
        </w:rPr>
        <w:t xml:space="preserve"> G, </w:t>
      </w:r>
      <w:proofErr w:type="spellStart"/>
      <w:r w:rsidRPr="00476043">
        <w:rPr>
          <w:rFonts w:ascii="Book Antiqua" w:eastAsia="Book Antiqua" w:hAnsi="Book Antiqua" w:cs="Book Antiqua"/>
        </w:rPr>
        <w:t>Rimoldi</w:t>
      </w:r>
      <w:proofErr w:type="spellEnd"/>
      <w:r w:rsidRPr="00476043">
        <w:rPr>
          <w:rFonts w:ascii="Book Antiqua" w:eastAsia="Book Antiqua" w:hAnsi="Book Antiqua" w:cs="Book Antiqua"/>
        </w:rPr>
        <w:t xml:space="preserve"> M, </w:t>
      </w:r>
      <w:proofErr w:type="spellStart"/>
      <w:r w:rsidRPr="00476043">
        <w:rPr>
          <w:rFonts w:ascii="Book Antiqua" w:eastAsia="Book Antiqua" w:hAnsi="Book Antiqua" w:cs="Book Antiqua"/>
        </w:rPr>
        <w:t>Zeviani</w:t>
      </w:r>
      <w:proofErr w:type="spellEnd"/>
      <w:r w:rsidRPr="00476043">
        <w:rPr>
          <w:rFonts w:ascii="Book Antiqua" w:eastAsia="Book Antiqua" w:hAnsi="Book Antiqua" w:cs="Book Antiqua"/>
        </w:rPr>
        <w:t xml:space="preserve"> M. Loss of ETHE1, a mitochondrial dioxygenase, </w:t>
      </w:r>
      <w:r w:rsidRPr="00476043">
        <w:rPr>
          <w:rFonts w:ascii="Book Antiqua" w:eastAsia="Book Antiqua" w:hAnsi="Book Antiqua" w:cs="Book Antiqua"/>
        </w:rPr>
        <w:lastRenderedPageBreak/>
        <w:t>causes fatal sulfide toxicity in ethylmalonic encephalopathy.</w:t>
      </w:r>
      <w:r w:rsidRPr="00476043">
        <w:rPr>
          <w:rFonts w:ascii="Book Antiqua" w:eastAsia="Book Antiqua" w:hAnsi="Book Antiqua" w:cs="Book Antiqua"/>
          <w:i/>
          <w:iCs/>
        </w:rPr>
        <w:t xml:space="preserve"> Nat Med </w:t>
      </w:r>
      <w:r w:rsidRPr="00476043">
        <w:rPr>
          <w:rFonts w:ascii="Book Antiqua" w:eastAsia="Book Antiqua" w:hAnsi="Book Antiqua" w:cs="Book Antiqua"/>
        </w:rPr>
        <w:t xml:space="preserve">2009; </w:t>
      </w:r>
      <w:r w:rsidRPr="00476043">
        <w:rPr>
          <w:rFonts w:ascii="Book Antiqua" w:eastAsia="Book Antiqua" w:hAnsi="Book Antiqua" w:cs="Book Antiqua"/>
          <w:b/>
          <w:bCs/>
        </w:rPr>
        <w:t>15</w:t>
      </w:r>
      <w:r w:rsidRPr="00476043">
        <w:rPr>
          <w:rFonts w:ascii="Book Antiqua" w:eastAsia="Book Antiqua" w:hAnsi="Book Antiqua" w:cs="Book Antiqua"/>
        </w:rPr>
        <w:t>: 200-205 [PMID: 19136963 DOI: 10.1038/nm.1907]</w:t>
      </w:r>
    </w:p>
    <w:p w14:paraId="39BD1DDF" w14:textId="409E683A" w:rsidR="00A77B3E" w:rsidRPr="00C02EF6" w:rsidRDefault="00502E6C" w:rsidP="00476043">
      <w:pPr>
        <w:snapToGrid w:val="0"/>
        <w:spacing w:line="360" w:lineRule="auto"/>
        <w:jc w:val="both"/>
      </w:pPr>
      <w:r w:rsidRPr="00476043">
        <w:rPr>
          <w:rFonts w:ascii="Book Antiqua" w:eastAsia="Book Antiqua" w:hAnsi="Book Antiqua" w:cs="Book Antiqua"/>
        </w:rPr>
        <w:t>6</w:t>
      </w:r>
      <w:r w:rsidR="006445F6" w:rsidRPr="00476043">
        <w:rPr>
          <w:rFonts w:ascii="Book Antiqua" w:eastAsia="Book Antiqua" w:hAnsi="Book Antiqua" w:cs="Book Antiqua"/>
        </w:rPr>
        <w:t xml:space="preserve"> </w:t>
      </w:r>
      <w:proofErr w:type="spellStart"/>
      <w:r w:rsidRPr="00476043">
        <w:rPr>
          <w:rFonts w:ascii="Book Antiqua" w:eastAsia="Book Antiqua" w:hAnsi="Book Antiqua" w:cs="Book Antiqua"/>
          <w:b/>
          <w:bCs/>
        </w:rPr>
        <w:t>Tiranti</w:t>
      </w:r>
      <w:proofErr w:type="spellEnd"/>
      <w:r w:rsidRPr="00476043">
        <w:rPr>
          <w:rFonts w:ascii="Book Antiqua" w:eastAsia="Book Antiqua" w:hAnsi="Book Antiqua" w:cs="Book Antiqua"/>
          <w:b/>
          <w:bCs/>
        </w:rPr>
        <w:t xml:space="preserve"> V</w:t>
      </w:r>
      <w:r w:rsidRPr="00476043">
        <w:rPr>
          <w:rFonts w:ascii="Book Antiqua" w:eastAsia="Book Antiqua" w:hAnsi="Book Antiqua" w:cs="Book Antiqua"/>
        </w:rPr>
        <w:t xml:space="preserve">, </w:t>
      </w:r>
      <w:proofErr w:type="spellStart"/>
      <w:r w:rsidRPr="00476043">
        <w:rPr>
          <w:rFonts w:ascii="Book Antiqua" w:eastAsia="Book Antiqua" w:hAnsi="Book Antiqua" w:cs="Book Antiqua"/>
        </w:rPr>
        <w:t>Zeviani</w:t>
      </w:r>
      <w:proofErr w:type="spellEnd"/>
      <w:r w:rsidRPr="00476043">
        <w:rPr>
          <w:rFonts w:ascii="Book Antiqua" w:eastAsia="Book Antiqua" w:hAnsi="Book Antiqua" w:cs="Book Antiqua"/>
        </w:rPr>
        <w:t xml:space="preserve"> M. Altered sulfide (H(2)S) metabolism in ethylmalonic encephalopathy.</w:t>
      </w:r>
      <w:r w:rsidRPr="00476043">
        <w:rPr>
          <w:rFonts w:ascii="Book Antiqua" w:eastAsia="Book Antiqua" w:hAnsi="Book Antiqua" w:cs="Book Antiqua"/>
          <w:i/>
          <w:iCs/>
        </w:rPr>
        <w:t xml:space="preserve"> Cold Spring </w:t>
      </w:r>
      <w:proofErr w:type="spellStart"/>
      <w:r w:rsidRPr="00476043">
        <w:rPr>
          <w:rFonts w:ascii="Book Antiqua" w:eastAsia="Book Antiqua" w:hAnsi="Book Antiqua" w:cs="Book Antiqua"/>
          <w:i/>
          <w:iCs/>
        </w:rPr>
        <w:t>Harb</w:t>
      </w:r>
      <w:proofErr w:type="spellEnd"/>
      <w:r w:rsidRPr="00476043">
        <w:rPr>
          <w:rFonts w:ascii="Book Antiqua" w:eastAsia="Book Antiqua" w:hAnsi="Book Antiqua" w:cs="Book Antiqua"/>
          <w:i/>
          <w:iCs/>
        </w:rPr>
        <w:t xml:space="preserve"> </w:t>
      </w:r>
      <w:proofErr w:type="spellStart"/>
      <w:r w:rsidRPr="00476043">
        <w:rPr>
          <w:rFonts w:ascii="Book Antiqua" w:eastAsia="Book Antiqua" w:hAnsi="Book Antiqua" w:cs="Book Antiqua"/>
          <w:i/>
          <w:iCs/>
        </w:rPr>
        <w:t>Perspect</w:t>
      </w:r>
      <w:proofErr w:type="spellEnd"/>
      <w:r w:rsidRPr="00476043">
        <w:rPr>
          <w:rFonts w:ascii="Book Antiqua" w:eastAsia="Book Antiqua" w:hAnsi="Book Antiqua" w:cs="Book Antiqua"/>
          <w:i/>
          <w:iCs/>
        </w:rPr>
        <w:t xml:space="preserve"> Biol </w:t>
      </w:r>
      <w:r w:rsidRPr="00476043">
        <w:rPr>
          <w:rFonts w:ascii="Book Antiqua" w:eastAsia="Book Antiqua" w:hAnsi="Book Antiqua" w:cs="Book Antiqua"/>
        </w:rPr>
        <w:t xml:space="preserve">2013; </w:t>
      </w:r>
      <w:r w:rsidRPr="00476043">
        <w:rPr>
          <w:rFonts w:ascii="Book Antiqua" w:eastAsia="Book Antiqua" w:hAnsi="Book Antiqua" w:cs="Book Antiqua"/>
          <w:b/>
          <w:bCs/>
        </w:rPr>
        <w:t>5</w:t>
      </w:r>
      <w:r w:rsidRPr="00476043">
        <w:rPr>
          <w:rFonts w:ascii="Book Antiqua" w:eastAsia="Book Antiqua" w:hAnsi="Book Antiqua" w:cs="Book Antiqua"/>
        </w:rPr>
        <w:t>: a011437 [PMID: 23284046 DOI: 10.1101/cshperspect.a011437]</w:t>
      </w:r>
    </w:p>
    <w:p w14:paraId="272FD366" w14:textId="46E8F5CC" w:rsidR="00A77B3E" w:rsidRPr="00C02EF6" w:rsidRDefault="00502E6C" w:rsidP="00476043">
      <w:pPr>
        <w:snapToGrid w:val="0"/>
        <w:spacing w:line="360" w:lineRule="auto"/>
        <w:jc w:val="both"/>
      </w:pPr>
      <w:r w:rsidRPr="00476043">
        <w:rPr>
          <w:rFonts w:ascii="Book Antiqua" w:eastAsia="Book Antiqua" w:hAnsi="Book Antiqua" w:cs="Book Antiqua"/>
        </w:rPr>
        <w:t>7</w:t>
      </w:r>
      <w:r w:rsidR="006445F6" w:rsidRPr="00476043">
        <w:rPr>
          <w:rFonts w:ascii="Book Antiqua" w:eastAsia="Book Antiqua" w:hAnsi="Book Antiqua" w:cs="Book Antiqua"/>
        </w:rPr>
        <w:t xml:space="preserve"> </w:t>
      </w:r>
      <w:r w:rsidRPr="00476043">
        <w:rPr>
          <w:rFonts w:ascii="Book Antiqua" w:eastAsia="Book Antiqua" w:hAnsi="Book Antiqua" w:cs="Book Antiqua"/>
          <w:b/>
          <w:bCs/>
        </w:rPr>
        <w:t xml:space="preserve">Di </w:t>
      </w:r>
      <w:proofErr w:type="spellStart"/>
      <w:r w:rsidRPr="00476043">
        <w:rPr>
          <w:rFonts w:ascii="Book Antiqua" w:eastAsia="Book Antiqua" w:hAnsi="Book Antiqua" w:cs="Book Antiqua"/>
          <w:b/>
          <w:bCs/>
        </w:rPr>
        <w:t>Meo</w:t>
      </w:r>
      <w:proofErr w:type="spellEnd"/>
      <w:r w:rsidRPr="00476043">
        <w:rPr>
          <w:rFonts w:ascii="Book Antiqua" w:eastAsia="Book Antiqua" w:hAnsi="Book Antiqua" w:cs="Book Antiqua"/>
          <w:b/>
          <w:bCs/>
        </w:rPr>
        <w:t xml:space="preserve"> I</w:t>
      </w:r>
      <w:r w:rsidRPr="00476043">
        <w:rPr>
          <w:rFonts w:ascii="Book Antiqua" w:eastAsia="Book Antiqua" w:hAnsi="Book Antiqua" w:cs="Book Antiqua"/>
        </w:rPr>
        <w:t xml:space="preserve">, </w:t>
      </w:r>
      <w:proofErr w:type="spellStart"/>
      <w:r w:rsidRPr="00476043">
        <w:rPr>
          <w:rFonts w:ascii="Book Antiqua" w:eastAsia="Book Antiqua" w:hAnsi="Book Antiqua" w:cs="Book Antiqua"/>
        </w:rPr>
        <w:t>Lamperti</w:t>
      </w:r>
      <w:proofErr w:type="spellEnd"/>
      <w:r w:rsidRPr="00476043">
        <w:rPr>
          <w:rFonts w:ascii="Book Antiqua" w:eastAsia="Book Antiqua" w:hAnsi="Book Antiqua" w:cs="Book Antiqua"/>
        </w:rPr>
        <w:t xml:space="preserve"> C, </w:t>
      </w:r>
      <w:proofErr w:type="spellStart"/>
      <w:r w:rsidRPr="00476043">
        <w:rPr>
          <w:rFonts w:ascii="Book Antiqua" w:eastAsia="Book Antiqua" w:hAnsi="Book Antiqua" w:cs="Book Antiqua"/>
        </w:rPr>
        <w:t>Tiranti</w:t>
      </w:r>
      <w:proofErr w:type="spellEnd"/>
      <w:r w:rsidRPr="00476043">
        <w:rPr>
          <w:rFonts w:ascii="Book Antiqua" w:eastAsia="Book Antiqua" w:hAnsi="Book Antiqua" w:cs="Book Antiqua"/>
        </w:rPr>
        <w:t xml:space="preserve"> V. Mitochondrial diseases caused by toxic compound accumulation: from etiopathology to therapeutic approaches.</w:t>
      </w:r>
      <w:r w:rsidRPr="00476043">
        <w:rPr>
          <w:rFonts w:ascii="Book Antiqua" w:eastAsia="Book Antiqua" w:hAnsi="Book Antiqua" w:cs="Book Antiqua"/>
          <w:i/>
          <w:iCs/>
        </w:rPr>
        <w:t xml:space="preserve"> EMBO Mol Med </w:t>
      </w:r>
      <w:r w:rsidRPr="00476043">
        <w:rPr>
          <w:rFonts w:ascii="Book Antiqua" w:eastAsia="Book Antiqua" w:hAnsi="Book Antiqua" w:cs="Book Antiqua"/>
        </w:rPr>
        <w:t xml:space="preserve">2015; </w:t>
      </w:r>
      <w:r w:rsidRPr="00476043">
        <w:rPr>
          <w:rFonts w:ascii="Book Antiqua" w:eastAsia="Book Antiqua" w:hAnsi="Book Antiqua" w:cs="Book Antiqua"/>
          <w:b/>
          <w:bCs/>
        </w:rPr>
        <w:t>7</w:t>
      </w:r>
      <w:r w:rsidRPr="00476043">
        <w:rPr>
          <w:rFonts w:ascii="Book Antiqua" w:eastAsia="Book Antiqua" w:hAnsi="Book Antiqua" w:cs="Book Antiqua"/>
        </w:rPr>
        <w:t>: 1257-1266 [PMID: 26194912 DOI: 10.15252/emmm.201505040]</w:t>
      </w:r>
    </w:p>
    <w:p w14:paraId="70CDAC4B" w14:textId="6420A485" w:rsidR="00A77B3E" w:rsidRPr="00C02EF6" w:rsidRDefault="00502E6C" w:rsidP="00476043">
      <w:pPr>
        <w:snapToGrid w:val="0"/>
        <w:spacing w:line="360" w:lineRule="auto"/>
        <w:jc w:val="both"/>
      </w:pPr>
      <w:r w:rsidRPr="00476043">
        <w:rPr>
          <w:rFonts w:ascii="Book Antiqua" w:eastAsia="Book Antiqua" w:hAnsi="Book Antiqua" w:cs="Book Antiqua"/>
        </w:rPr>
        <w:t>8</w:t>
      </w:r>
      <w:r w:rsidR="006445F6" w:rsidRPr="00476043">
        <w:rPr>
          <w:rFonts w:ascii="Book Antiqua" w:eastAsia="Book Antiqua" w:hAnsi="Book Antiqua" w:cs="Book Antiqua"/>
        </w:rPr>
        <w:t xml:space="preserve"> </w:t>
      </w:r>
      <w:r w:rsidRPr="00476043">
        <w:rPr>
          <w:rFonts w:ascii="Book Antiqua" w:eastAsia="Book Antiqua" w:hAnsi="Book Antiqua" w:cs="Book Antiqua"/>
          <w:b/>
          <w:bCs/>
        </w:rPr>
        <w:t>Viscomi C</w:t>
      </w:r>
      <w:r w:rsidRPr="00476043">
        <w:rPr>
          <w:rFonts w:ascii="Book Antiqua" w:eastAsia="Book Antiqua" w:hAnsi="Book Antiqua" w:cs="Book Antiqua"/>
        </w:rPr>
        <w:t xml:space="preserve">, </w:t>
      </w:r>
      <w:proofErr w:type="spellStart"/>
      <w:r w:rsidRPr="00476043">
        <w:rPr>
          <w:rFonts w:ascii="Book Antiqua" w:eastAsia="Book Antiqua" w:hAnsi="Book Antiqua" w:cs="Book Antiqua"/>
        </w:rPr>
        <w:t>Burlina</w:t>
      </w:r>
      <w:proofErr w:type="spellEnd"/>
      <w:r w:rsidRPr="00476043">
        <w:rPr>
          <w:rFonts w:ascii="Book Antiqua" w:eastAsia="Book Antiqua" w:hAnsi="Book Antiqua" w:cs="Book Antiqua"/>
        </w:rPr>
        <w:t xml:space="preserve"> AB, </w:t>
      </w:r>
      <w:proofErr w:type="spellStart"/>
      <w:r w:rsidRPr="00476043">
        <w:rPr>
          <w:rFonts w:ascii="Book Antiqua" w:eastAsia="Book Antiqua" w:hAnsi="Book Antiqua" w:cs="Book Antiqua"/>
        </w:rPr>
        <w:t>Dweikat</w:t>
      </w:r>
      <w:proofErr w:type="spellEnd"/>
      <w:r w:rsidRPr="00476043">
        <w:rPr>
          <w:rFonts w:ascii="Book Antiqua" w:eastAsia="Book Antiqua" w:hAnsi="Book Antiqua" w:cs="Book Antiqua"/>
        </w:rPr>
        <w:t xml:space="preserve"> I, </w:t>
      </w:r>
      <w:proofErr w:type="spellStart"/>
      <w:r w:rsidRPr="00476043">
        <w:rPr>
          <w:rFonts w:ascii="Book Antiqua" w:eastAsia="Book Antiqua" w:hAnsi="Book Antiqua" w:cs="Book Antiqua"/>
        </w:rPr>
        <w:t>Savoiardo</w:t>
      </w:r>
      <w:proofErr w:type="spellEnd"/>
      <w:r w:rsidRPr="00476043">
        <w:rPr>
          <w:rFonts w:ascii="Book Antiqua" w:eastAsia="Book Antiqua" w:hAnsi="Book Antiqua" w:cs="Book Antiqua"/>
        </w:rPr>
        <w:t xml:space="preserve"> M, </w:t>
      </w:r>
      <w:proofErr w:type="spellStart"/>
      <w:r w:rsidRPr="00476043">
        <w:rPr>
          <w:rFonts w:ascii="Book Antiqua" w:eastAsia="Book Antiqua" w:hAnsi="Book Antiqua" w:cs="Book Antiqua"/>
        </w:rPr>
        <w:t>Lamperti</w:t>
      </w:r>
      <w:proofErr w:type="spellEnd"/>
      <w:r w:rsidRPr="00476043">
        <w:rPr>
          <w:rFonts w:ascii="Book Antiqua" w:eastAsia="Book Antiqua" w:hAnsi="Book Antiqua" w:cs="Book Antiqua"/>
        </w:rPr>
        <w:t xml:space="preserve"> C, Hildebrandt T, </w:t>
      </w:r>
      <w:proofErr w:type="spellStart"/>
      <w:r w:rsidRPr="00476043">
        <w:rPr>
          <w:rFonts w:ascii="Book Antiqua" w:eastAsia="Book Antiqua" w:hAnsi="Book Antiqua" w:cs="Book Antiqua"/>
        </w:rPr>
        <w:t>Tiranti</w:t>
      </w:r>
      <w:proofErr w:type="spellEnd"/>
      <w:r w:rsidRPr="00476043">
        <w:rPr>
          <w:rFonts w:ascii="Book Antiqua" w:eastAsia="Book Antiqua" w:hAnsi="Book Antiqua" w:cs="Book Antiqua"/>
        </w:rPr>
        <w:t xml:space="preserve"> V, </w:t>
      </w:r>
      <w:proofErr w:type="spellStart"/>
      <w:r w:rsidRPr="00476043">
        <w:rPr>
          <w:rFonts w:ascii="Book Antiqua" w:eastAsia="Book Antiqua" w:hAnsi="Book Antiqua" w:cs="Book Antiqua"/>
        </w:rPr>
        <w:t>Zeviani</w:t>
      </w:r>
      <w:proofErr w:type="spellEnd"/>
      <w:r w:rsidRPr="00476043">
        <w:rPr>
          <w:rFonts w:ascii="Book Antiqua" w:eastAsia="Book Antiqua" w:hAnsi="Book Antiqua" w:cs="Book Antiqua"/>
        </w:rPr>
        <w:t xml:space="preserve"> M. Combined treatment with oral metronidazole and N-acetylcysteine is effective in ethylmalonic encephalopathy.</w:t>
      </w:r>
      <w:r w:rsidRPr="00476043">
        <w:rPr>
          <w:rFonts w:ascii="Book Antiqua" w:eastAsia="Book Antiqua" w:hAnsi="Book Antiqua" w:cs="Book Antiqua"/>
          <w:i/>
          <w:iCs/>
        </w:rPr>
        <w:t xml:space="preserve"> Nat Med </w:t>
      </w:r>
      <w:r w:rsidRPr="00476043">
        <w:rPr>
          <w:rFonts w:ascii="Book Antiqua" w:eastAsia="Book Antiqua" w:hAnsi="Book Antiqua" w:cs="Book Antiqua"/>
        </w:rPr>
        <w:t xml:space="preserve">2010; </w:t>
      </w:r>
      <w:r w:rsidRPr="00476043">
        <w:rPr>
          <w:rFonts w:ascii="Book Antiqua" w:eastAsia="Book Antiqua" w:hAnsi="Book Antiqua" w:cs="Book Antiqua"/>
          <w:b/>
          <w:bCs/>
        </w:rPr>
        <w:t>16</w:t>
      </w:r>
      <w:r w:rsidRPr="00476043">
        <w:rPr>
          <w:rFonts w:ascii="Book Antiqua" w:eastAsia="Book Antiqua" w:hAnsi="Book Antiqua" w:cs="Book Antiqua"/>
        </w:rPr>
        <w:t>: 869-871 [PMID: 20657580 DOI: 10.1038/nm.2188]</w:t>
      </w:r>
    </w:p>
    <w:p w14:paraId="1D57BAF3" w14:textId="72CD3846" w:rsidR="00A77B3E" w:rsidRPr="00C02EF6" w:rsidRDefault="00502E6C" w:rsidP="00476043">
      <w:pPr>
        <w:snapToGrid w:val="0"/>
        <w:spacing w:line="360" w:lineRule="auto"/>
        <w:jc w:val="both"/>
      </w:pPr>
      <w:r w:rsidRPr="00476043">
        <w:rPr>
          <w:rFonts w:ascii="Book Antiqua" w:eastAsia="Book Antiqua" w:hAnsi="Book Antiqua" w:cs="Book Antiqua"/>
        </w:rPr>
        <w:t>9</w:t>
      </w:r>
      <w:r w:rsidR="006445F6" w:rsidRPr="00476043">
        <w:rPr>
          <w:rFonts w:ascii="Book Antiqua" w:eastAsia="Book Antiqua" w:hAnsi="Book Antiqua" w:cs="Book Antiqua"/>
        </w:rPr>
        <w:t xml:space="preserve"> </w:t>
      </w:r>
      <w:proofErr w:type="spellStart"/>
      <w:r w:rsidR="006445F6" w:rsidRPr="00476043">
        <w:rPr>
          <w:rFonts w:ascii="Book Antiqua" w:eastAsia="Book Antiqua" w:hAnsi="Book Antiqua" w:cs="Book Antiqua"/>
          <w:b/>
          <w:bCs/>
        </w:rPr>
        <w:t>Kılıç</w:t>
      </w:r>
      <w:proofErr w:type="spellEnd"/>
      <w:r w:rsidR="006445F6" w:rsidRPr="00476043">
        <w:rPr>
          <w:rFonts w:ascii="Book Antiqua" w:eastAsia="Book Antiqua" w:hAnsi="Book Antiqua" w:cs="Book Antiqua"/>
          <w:b/>
          <w:bCs/>
        </w:rPr>
        <w:t xml:space="preserve"> M, </w:t>
      </w:r>
      <w:proofErr w:type="spellStart"/>
      <w:r w:rsidR="006445F6" w:rsidRPr="00476043">
        <w:rPr>
          <w:rFonts w:ascii="Book Antiqua" w:eastAsia="Book Antiqua" w:hAnsi="Book Antiqua" w:cs="Book Antiqua"/>
        </w:rPr>
        <w:t>Dedeoğlu</w:t>
      </w:r>
      <w:proofErr w:type="spellEnd"/>
      <w:r w:rsidR="006445F6" w:rsidRPr="00476043">
        <w:rPr>
          <w:rFonts w:ascii="Book Antiqua" w:eastAsia="Book Antiqua" w:hAnsi="Book Antiqua" w:cs="Book Antiqua"/>
        </w:rPr>
        <w:t xml:space="preserve"> Ö, </w:t>
      </w:r>
      <w:proofErr w:type="spellStart"/>
      <w:r w:rsidR="006445F6" w:rsidRPr="00476043">
        <w:rPr>
          <w:rFonts w:ascii="Book Antiqua" w:eastAsia="Book Antiqua" w:hAnsi="Book Antiqua" w:cs="Book Antiqua"/>
        </w:rPr>
        <w:t>Göçmen</w:t>
      </w:r>
      <w:proofErr w:type="spellEnd"/>
      <w:r w:rsidR="006445F6" w:rsidRPr="00476043">
        <w:rPr>
          <w:rFonts w:ascii="Book Antiqua" w:eastAsia="Book Antiqua" w:hAnsi="Book Antiqua" w:cs="Book Antiqua"/>
        </w:rPr>
        <w:t xml:space="preserve"> R, </w:t>
      </w:r>
      <w:proofErr w:type="spellStart"/>
      <w:r w:rsidR="006445F6" w:rsidRPr="00476043">
        <w:rPr>
          <w:rFonts w:ascii="Book Antiqua" w:eastAsia="Book Antiqua" w:hAnsi="Book Antiqua" w:cs="Book Antiqua"/>
        </w:rPr>
        <w:t>Kesici</w:t>
      </w:r>
      <w:proofErr w:type="spellEnd"/>
      <w:r w:rsidR="006445F6" w:rsidRPr="00476043">
        <w:rPr>
          <w:rFonts w:ascii="Book Antiqua" w:eastAsia="Book Antiqua" w:hAnsi="Book Antiqua" w:cs="Book Antiqua"/>
        </w:rPr>
        <w:t xml:space="preserve"> S, </w:t>
      </w:r>
      <w:proofErr w:type="spellStart"/>
      <w:r w:rsidR="006445F6" w:rsidRPr="00476043">
        <w:rPr>
          <w:rFonts w:ascii="Book Antiqua" w:eastAsia="Book Antiqua" w:hAnsi="Book Antiqua" w:cs="Book Antiqua"/>
        </w:rPr>
        <w:t>Yüksel</w:t>
      </w:r>
      <w:proofErr w:type="spellEnd"/>
      <w:r w:rsidR="006445F6" w:rsidRPr="00476043">
        <w:rPr>
          <w:rFonts w:ascii="Book Antiqua" w:eastAsia="Book Antiqua" w:hAnsi="Book Antiqua" w:cs="Book Antiqua"/>
        </w:rPr>
        <w:t xml:space="preserve"> D</w:t>
      </w:r>
      <w:r w:rsidRPr="00476043">
        <w:rPr>
          <w:rFonts w:ascii="Book Antiqua" w:eastAsia="Book Antiqua" w:hAnsi="Book Antiqua" w:cs="Book Antiqua"/>
        </w:rPr>
        <w:t>. Successful treatment of a patient with ethylmalonic encephalopathy by intravenous N-acetylcysteine.</w:t>
      </w:r>
      <w:r w:rsidRPr="00476043">
        <w:rPr>
          <w:rFonts w:ascii="Book Antiqua" w:eastAsia="Book Antiqua" w:hAnsi="Book Antiqua" w:cs="Book Antiqua"/>
          <w:i/>
          <w:iCs/>
        </w:rPr>
        <w:t xml:space="preserve"> </w:t>
      </w:r>
      <w:proofErr w:type="spellStart"/>
      <w:r w:rsidRPr="00476043">
        <w:rPr>
          <w:rFonts w:ascii="Book Antiqua" w:eastAsia="Book Antiqua" w:hAnsi="Book Antiqua" w:cs="Book Antiqua"/>
          <w:i/>
          <w:iCs/>
        </w:rPr>
        <w:t>Metab</w:t>
      </w:r>
      <w:proofErr w:type="spellEnd"/>
      <w:r w:rsidRPr="00476043">
        <w:rPr>
          <w:rFonts w:ascii="Book Antiqua" w:eastAsia="Book Antiqua" w:hAnsi="Book Antiqua" w:cs="Book Antiqua"/>
          <w:i/>
          <w:iCs/>
        </w:rPr>
        <w:t xml:space="preserve"> Brain Dis </w:t>
      </w:r>
      <w:r w:rsidRPr="00476043">
        <w:rPr>
          <w:rFonts w:ascii="Book Antiqua" w:eastAsia="Book Antiqua" w:hAnsi="Book Antiqua" w:cs="Book Antiqua"/>
        </w:rPr>
        <w:t xml:space="preserve">2017; </w:t>
      </w:r>
      <w:r w:rsidRPr="00476043">
        <w:rPr>
          <w:rFonts w:ascii="Book Antiqua" w:eastAsia="Book Antiqua" w:hAnsi="Book Antiqua" w:cs="Book Antiqua"/>
          <w:b/>
          <w:bCs/>
        </w:rPr>
        <w:t>32</w:t>
      </w:r>
      <w:r w:rsidRPr="00476043">
        <w:rPr>
          <w:rFonts w:ascii="Book Antiqua" w:eastAsia="Book Antiqua" w:hAnsi="Book Antiqua" w:cs="Book Antiqua"/>
        </w:rPr>
        <w:t>: 293-296 [PMID: 27830356 DOI: 10.1007/s11011-016-9928-5]</w:t>
      </w:r>
    </w:p>
    <w:p w14:paraId="49ABBFF0" w14:textId="0E1DDC38" w:rsidR="00A77B3E" w:rsidRPr="00C02EF6" w:rsidRDefault="00502E6C" w:rsidP="00476043">
      <w:pPr>
        <w:snapToGrid w:val="0"/>
        <w:spacing w:line="360" w:lineRule="auto"/>
        <w:jc w:val="both"/>
      </w:pPr>
      <w:r w:rsidRPr="00476043">
        <w:rPr>
          <w:rFonts w:ascii="Book Antiqua" w:eastAsia="Book Antiqua" w:hAnsi="Book Antiqua" w:cs="Book Antiqua"/>
        </w:rPr>
        <w:t>1</w:t>
      </w:r>
      <w:r w:rsidR="006445F6" w:rsidRPr="00476043">
        <w:rPr>
          <w:rFonts w:ascii="Book Antiqua" w:eastAsia="Book Antiqua" w:hAnsi="Book Antiqua" w:cs="Book Antiqua"/>
        </w:rPr>
        <w:t xml:space="preserve">0 </w:t>
      </w:r>
      <w:r w:rsidRPr="00476043">
        <w:rPr>
          <w:rFonts w:ascii="Book Antiqua" w:eastAsia="Book Antiqua" w:hAnsi="Book Antiqua" w:cs="Book Antiqua"/>
          <w:b/>
          <w:bCs/>
        </w:rPr>
        <w:t>Kitzler TM</w:t>
      </w:r>
      <w:r w:rsidRPr="00476043">
        <w:rPr>
          <w:rFonts w:ascii="Book Antiqua" w:eastAsia="Book Antiqua" w:hAnsi="Book Antiqua" w:cs="Book Antiqua"/>
        </w:rPr>
        <w:t xml:space="preserve">, Gupta IR, Osterman B, Poulin C, </w:t>
      </w:r>
      <w:proofErr w:type="spellStart"/>
      <w:r w:rsidRPr="00476043">
        <w:rPr>
          <w:rFonts w:ascii="Book Antiqua" w:eastAsia="Book Antiqua" w:hAnsi="Book Antiqua" w:cs="Book Antiqua"/>
        </w:rPr>
        <w:t>Trakadis</w:t>
      </w:r>
      <w:proofErr w:type="spellEnd"/>
      <w:r w:rsidRPr="00476043">
        <w:rPr>
          <w:rFonts w:ascii="Book Antiqua" w:eastAsia="Book Antiqua" w:hAnsi="Book Antiqua" w:cs="Book Antiqua"/>
        </w:rPr>
        <w:t xml:space="preserve"> Y, Waters PJ, </w:t>
      </w:r>
      <w:proofErr w:type="spellStart"/>
      <w:r w:rsidRPr="00476043">
        <w:rPr>
          <w:rFonts w:ascii="Book Antiqua" w:eastAsia="Book Antiqua" w:hAnsi="Book Antiqua" w:cs="Book Antiqua"/>
        </w:rPr>
        <w:t>Buhas</w:t>
      </w:r>
      <w:proofErr w:type="spellEnd"/>
      <w:r w:rsidRPr="00476043">
        <w:rPr>
          <w:rFonts w:ascii="Book Antiqua" w:eastAsia="Book Antiqua" w:hAnsi="Book Antiqua" w:cs="Book Antiqua"/>
        </w:rPr>
        <w:t xml:space="preserve"> DC. Acute and Chronic Management in an Atypical Case of Ethylmalonic Encephalopathy.</w:t>
      </w:r>
      <w:r w:rsidRPr="00476043">
        <w:rPr>
          <w:rFonts w:ascii="Book Antiqua" w:eastAsia="Book Antiqua" w:hAnsi="Book Antiqua" w:cs="Book Antiqua"/>
          <w:i/>
          <w:iCs/>
        </w:rPr>
        <w:t xml:space="preserve"> JIMD Rep </w:t>
      </w:r>
      <w:r w:rsidRPr="00476043">
        <w:rPr>
          <w:rFonts w:ascii="Book Antiqua" w:eastAsia="Book Antiqua" w:hAnsi="Book Antiqua" w:cs="Book Antiqua"/>
        </w:rPr>
        <w:t xml:space="preserve">2019; </w:t>
      </w:r>
      <w:r w:rsidRPr="00476043">
        <w:rPr>
          <w:rFonts w:ascii="Book Antiqua" w:eastAsia="Book Antiqua" w:hAnsi="Book Antiqua" w:cs="Book Antiqua"/>
          <w:b/>
          <w:bCs/>
        </w:rPr>
        <w:t>45</w:t>
      </w:r>
      <w:r w:rsidRPr="00476043">
        <w:rPr>
          <w:rFonts w:ascii="Book Antiqua" w:eastAsia="Book Antiqua" w:hAnsi="Book Antiqua" w:cs="Book Antiqua"/>
        </w:rPr>
        <w:t>: 57-63 [PMID: 30349987 DOI: 10.1007/8904_2018_136]</w:t>
      </w:r>
    </w:p>
    <w:p w14:paraId="5CEF34D9" w14:textId="5F671A67" w:rsidR="00A77B3E" w:rsidRPr="00C02EF6" w:rsidRDefault="00502E6C" w:rsidP="00476043">
      <w:pPr>
        <w:snapToGrid w:val="0"/>
        <w:spacing w:line="360" w:lineRule="auto"/>
        <w:jc w:val="both"/>
      </w:pPr>
      <w:r w:rsidRPr="00476043">
        <w:rPr>
          <w:rFonts w:ascii="Book Antiqua" w:eastAsia="Book Antiqua" w:hAnsi="Book Antiqua" w:cs="Book Antiqua"/>
        </w:rPr>
        <w:t>1</w:t>
      </w:r>
      <w:r w:rsidR="006445F6" w:rsidRPr="00476043">
        <w:rPr>
          <w:rFonts w:ascii="Book Antiqua" w:eastAsia="Book Antiqua" w:hAnsi="Book Antiqua" w:cs="Book Antiqua"/>
        </w:rPr>
        <w:t xml:space="preserve">1 </w:t>
      </w:r>
      <w:r w:rsidRPr="00476043">
        <w:rPr>
          <w:rFonts w:ascii="Book Antiqua" w:eastAsia="Book Antiqua" w:hAnsi="Book Antiqua" w:cs="Book Antiqua"/>
          <w:b/>
          <w:bCs/>
        </w:rPr>
        <w:t>Tam A</w:t>
      </w:r>
      <w:r w:rsidRPr="00476043">
        <w:rPr>
          <w:rFonts w:ascii="Book Antiqua" w:eastAsia="Book Antiqua" w:hAnsi="Book Antiqua" w:cs="Book Antiqua"/>
        </w:rPr>
        <w:t xml:space="preserve">, </w:t>
      </w:r>
      <w:proofErr w:type="spellStart"/>
      <w:r w:rsidRPr="00476043">
        <w:rPr>
          <w:rFonts w:ascii="Book Antiqua" w:eastAsia="Book Antiqua" w:hAnsi="Book Antiqua" w:cs="Book Antiqua"/>
        </w:rPr>
        <w:t>AlDhaheri</w:t>
      </w:r>
      <w:proofErr w:type="spellEnd"/>
      <w:r w:rsidRPr="00476043">
        <w:rPr>
          <w:rFonts w:ascii="Book Antiqua" w:eastAsia="Book Antiqua" w:hAnsi="Book Antiqua" w:cs="Book Antiqua"/>
        </w:rPr>
        <w:t xml:space="preserve"> NS, Mysore K, Tessier ME, Goss J, Fernandez LA, D'Alessandro AM, </w:t>
      </w:r>
      <w:proofErr w:type="spellStart"/>
      <w:r w:rsidRPr="00476043">
        <w:rPr>
          <w:rFonts w:ascii="Book Antiqua" w:eastAsia="Book Antiqua" w:hAnsi="Book Antiqua" w:cs="Book Antiqua"/>
        </w:rPr>
        <w:t>Schwoerer</w:t>
      </w:r>
      <w:proofErr w:type="spellEnd"/>
      <w:r w:rsidRPr="00476043">
        <w:rPr>
          <w:rFonts w:ascii="Book Antiqua" w:eastAsia="Book Antiqua" w:hAnsi="Book Antiqua" w:cs="Book Antiqua"/>
        </w:rPr>
        <w:t xml:space="preserve"> JS, Rice GM, </w:t>
      </w:r>
      <w:proofErr w:type="spellStart"/>
      <w:r w:rsidRPr="00476043">
        <w:rPr>
          <w:rFonts w:ascii="Book Antiqua" w:eastAsia="Book Antiqua" w:hAnsi="Book Antiqua" w:cs="Book Antiqua"/>
        </w:rPr>
        <w:t>Elsea</w:t>
      </w:r>
      <w:proofErr w:type="spellEnd"/>
      <w:r w:rsidRPr="00476043">
        <w:rPr>
          <w:rFonts w:ascii="Book Antiqua" w:eastAsia="Book Antiqua" w:hAnsi="Book Antiqua" w:cs="Book Antiqua"/>
        </w:rPr>
        <w:t xml:space="preserve"> SH, Scaglia F. Improved clinical outcome following liver transplant in patients with ethylmalonic encephalopathy.</w:t>
      </w:r>
      <w:r w:rsidRPr="00476043">
        <w:rPr>
          <w:rFonts w:ascii="Book Antiqua" w:eastAsia="Book Antiqua" w:hAnsi="Book Antiqua" w:cs="Book Antiqua"/>
          <w:i/>
          <w:iCs/>
        </w:rPr>
        <w:t xml:space="preserve"> Am J Med Genet A </w:t>
      </w:r>
      <w:r w:rsidRPr="00476043">
        <w:rPr>
          <w:rFonts w:ascii="Book Antiqua" w:eastAsia="Book Antiqua" w:hAnsi="Book Antiqua" w:cs="Book Antiqua"/>
        </w:rPr>
        <w:t xml:space="preserve">2019; </w:t>
      </w:r>
      <w:r w:rsidRPr="00476043">
        <w:rPr>
          <w:rFonts w:ascii="Book Antiqua" w:eastAsia="Book Antiqua" w:hAnsi="Book Antiqua" w:cs="Book Antiqua"/>
          <w:b/>
          <w:bCs/>
        </w:rPr>
        <w:t>179</w:t>
      </w:r>
      <w:r w:rsidRPr="00476043">
        <w:rPr>
          <w:rFonts w:ascii="Book Antiqua" w:eastAsia="Book Antiqua" w:hAnsi="Book Antiqua" w:cs="Book Antiqua"/>
        </w:rPr>
        <w:t>: 1015-1019 [PMID: 30864297 DOI: 10.1002/ajmg.a.61104]</w:t>
      </w:r>
    </w:p>
    <w:p w14:paraId="5FCB60CA" w14:textId="0B11EBC8" w:rsidR="00A77B3E" w:rsidRPr="00C02EF6" w:rsidRDefault="00502E6C" w:rsidP="00476043">
      <w:pPr>
        <w:snapToGrid w:val="0"/>
        <w:spacing w:line="360" w:lineRule="auto"/>
        <w:jc w:val="both"/>
      </w:pPr>
      <w:r w:rsidRPr="00476043">
        <w:rPr>
          <w:rFonts w:ascii="Book Antiqua" w:eastAsia="Book Antiqua" w:hAnsi="Book Antiqua" w:cs="Book Antiqua"/>
        </w:rPr>
        <w:t>12</w:t>
      </w:r>
      <w:r w:rsidR="006445F6" w:rsidRPr="00476043">
        <w:rPr>
          <w:rFonts w:ascii="Book Antiqua" w:eastAsia="Book Antiqua" w:hAnsi="Book Antiqua" w:cs="Book Antiqua"/>
        </w:rPr>
        <w:t xml:space="preserve"> </w:t>
      </w:r>
      <w:r w:rsidRPr="00476043">
        <w:rPr>
          <w:rFonts w:ascii="Book Antiqua" w:eastAsia="Book Antiqua" w:hAnsi="Book Antiqua" w:cs="Book Antiqua"/>
          <w:b/>
          <w:bCs/>
        </w:rPr>
        <w:t>Boyer M</w:t>
      </w:r>
      <w:r w:rsidRPr="00476043">
        <w:rPr>
          <w:rFonts w:ascii="Book Antiqua" w:eastAsia="Book Antiqua" w:hAnsi="Book Antiqua" w:cs="Book Antiqua"/>
        </w:rPr>
        <w:t xml:space="preserve">, Sowa M, Di </w:t>
      </w:r>
      <w:proofErr w:type="spellStart"/>
      <w:r w:rsidRPr="00476043">
        <w:rPr>
          <w:rFonts w:ascii="Book Antiqua" w:eastAsia="Book Antiqua" w:hAnsi="Book Antiqua" w:cs="Book Antiqua"/>
        </w:rPr>
        <w:t>Meo</w:t>
      </w:r>
      <w:proofErr w:type="spellEnd"/>
      <w:r w:rsidRPr="00476043">
        <w:rPr>
          <w:rFonts w:ascii="Book Antiqua" w:eastAsia="Book Antiqua" w:hAnsi="Book Antiqua" w:cs="Book Antiqua"/>
        </w:rPr>
        <w:t xml:space="preserve"> I, </w:t>
      </w:r>
      <w:proofErr w:type="spellStart"/>
      <w:r w:rsidRPr="00476043">
        <w:rPr>
          <w:rFonts w:ascii="Book Antiqua" w:eastAsia="Book Antiqua" w:hAnsi="Book Antiqua" w:cs="Book Antiqua"/>
        </w:rPr>
        <w:t>Eftekharian</w:t>
      </w:r>
      <w:proofErr w:type="spellEnd"/>
      <w:r w:rsidRPr="00476043">
        <w:rPr>
          <w:rFonts w:ascii="Book Antiqua" w:eastAsia="Book Antiqua" w:hAnsi="Book Antiqua" w:cs="Book Antiqua"/>
        </w:rPr>
        <w:t xml:space="preserve"> S, </w:t>
      </w:r>
      <w:proofErr w:type="spellStart"/>
      <w:r w:rsidRPr="00476043">
        <w:rPr>
          <w:rFonts w:ascii="Book Antiqua" w:eastAsia="Book Antiqua" w:hAnsi="Book Antiqua" w:cs="Book Antiqua"/>
        </w:rPr>
        <w:t>Steenari</w:t>
      </w:r>
      <w:proofErr w:type="spellEnd"/>
      <w:r w:rsidRPr="00476043">
        <w:rPr>
          <w:rFonts w:ascii="Book Antiqua" w:eastAsia="Book Antiqua" w:hAnsi="Book Antiqua" w:cs="Book Antiqua"/>
        </w:rPr>
        <w:t xml:space="preserve"> MR, </w:t>
      </w:r>
      <w:proofErr w:type="spellStart"/>
      <w:r w:rsidRPr="00476043">
        <w:rPr>
          <w:rFonts w:ascii="Book Antiqua" w:eastAsia="Book Antiqua" w:hAnsi="Book Antiqua" w:cs="Book Antiqua"/>
        </w:rPr>
        <w:t>Tiranti</w:t>
      </w:r>
      <w:proofErr w:type="spellEnd"/>
      <w:r w:rsidRPr="00476043">
        <w:rPr>
          <w:rFonts w:ascii="Book Antiqua" w:eastAsia="Book Antiqua" w:hAnsi="Book Antiqua" w:cs="Book Antiqua"/>
        </w:rPr>
        <w:t xml:space="preserve"> V, </w:t>
      </w:r>
      <w:proofErr w:type="spellStart"/>
      <w:r w:rsidRPr="00476043">
        <w:rPr>
          <w:rFonts w:ascii="Book Antiqua" w:eastAsia="Book Antiqua" w:hAnsi="Book Antiqua" w:cs="Book Antiqua"/>
        </w:rPr>
        <w:t>Abdenur</w:t>
      </w:r>
      <w:proofErr w:type="spellEnd"/>
      <w:r w:rsidRPr="00476043">
        <w:rPr>
          <w:rFonts w:ascii="Book Antiqua" w:eastAsia="Book Antiqua" w:hAnsi="Book Antiqua" w:cs="Book Antiqua"/>
        </w:rPr>
        <w:t xml:space="preserve"> JE. Response to medical and a novel dietary treatment in newborn screen identified patients with ethylmalonic encephalopathy.</w:t>
      </w:r>
      <w:r w:rsidRPr="00476043">
        <w:rPr>
          <w:rFonts w:ascii="Book Antiqua" w:eastAsia="Book Antiqua" w:hAnsi="Book Antiqua" w:cs="Book Antiqua"/>
          <w:i/>
          <w:iCs/>
        </w:rPr>
        <w:t xml:space="preserve"> Mol Genet </w:t>
      </w:r>
      <w:proofErr w:type="spellStart"/>
      <w:r w:rsidRPr="00476043">
        <w:rPr>
          <w:rFonts w:ascii="Book Antiqua" w:eastAsia="Book Antiqua" w:hAnsi="Book Antiqua" w:cs="Book Antiqua"/>
          <w:i/>
          <w:iCs/>
        </w:rPr>
        <w:t>Metab</w:t>
      </w:r>
      <w:proofErr w:type="spellEnd"/>
      <w:r w:rsidRPr="00476043">
        <w:rPr>
          <w:rFonts w:ascii="Book Antiqua" w:eastAsia="Book Antiqua" w:hAnsi="Book Antiqua" w:cs="Book Antiqua"/>
          <w:i/>
          <w:iCs/>
        </w:rPr>
        <w:t xml:space="preserve"> </w:t>
      </w:r>
      <w:r w:rsidRPr="00476043">
        <w:rPr>
          <w:rFonts w:ascii="Book Antiqua" w:eastAsia="Book Antiqua" w:hAnsi="Book Antiqua" w:cs="Book Antiqua"/>
        </w:rPr>
        <w:t xml:space="preserve">2018; </w:t>
      </w:r>
      <w:r w:rsidRPr="00476043">
        <w:rPr>
          <w:rFonts w:ascii="Book Antiqua" w:eastAsia="Book Antiqua" w:hAnsi="Book Antiqua" w:cs="Book Antiqua"/>
          <w:b/>
          <w:bCs/>
        </w:rPr>
        <w:t>124</w:t>
      </w:r>
      <w:r w:rsidRPr="00476043">
        <w:rPr>
          <w:rFonts w:ascii="Book Antiqua" w:eastAsia="Book Antiqua" w:hAnsi="Book Antiqua" w:cs="Book Antiqua"/>
        </w:rPr>
        <w:t>: 57-63 [PMID: 29526615 DOI: 10.1016/j.ymgme.2018.02.008]</w:t>
      </w:r>
    </w:p>
    <w:p w14:paraId="184D1E2C" w14:textId="4E31E2E5" w:rsidR="00A77B3E" w:rsidRPr="00C02EF6" w:rsidRDefault="00502E6C" w:rsidP="00476043">
      <w:pPr>
        <w:snapToGrid w:val="0"/>
        <w:spacing w:line="360" w:lineRule="auto"/>
        <w:jc w:val="both"/>
      </w:pPr>
      <w:r w:rsidRPr="00476043">
        <w:rPr>
          <w:rFonts w:ascii="Book Antiqua" w:eastAsia="Book Antiqua" w:hAnsi="Book Antiqua" w:cs="Book Antiqua"/>
        </w:rPr>
        <w:t>13</w:t>
      </w:r>
      <w:r w:rsidR="006445F6" w:rsidRPr="00476043">
        <w:rPr>
          <w:rFonts w:ascii="Book Antiqua" w:eastAsia="Book Antiqua" w:hAnsi="Book Antiqua" w:cs="Book Antiqua"/>
        </w:rPr>
        <w:t xml:space="preserve"> </w:t>
      </w:r>
      <w:r w:rsidRPr="00476043">
        <w:rPr>
          <w:rFonts w:ascii="Book Antiqua" w:eastAsia="Book Antiqua" w:hAnsi="Book Antiqua" w:cs="Book Antiqua"/>
          <w:b/>
          <w:bCs/>
        </w:rPr>
        <w:t xml:space="preserve">Di </w:t>
      </w:r>
      <w:proofErr w:type="spellStart"/>
      <w:r w:rsidRPr="00476043">
        <w:rPr>
          <w:rFonts w:ascii="Book Antiqua" w:eastAsia="Book Antiqua" w:hAnsi="Book Antiqua" w:cs="Book Antiqua"/>
          <w:b/>
          <w:bCs/>
        </w:rPr>
        <w:t>Meo</w:t>
      </w:r>
      <w:proofErr w:type="spellEnd"/>
      <w:r w:rsidRPr="00476043">
        <w:rPr>
          <w:rFonts w:ascii="Book Antiqua" w:eastAsia="Book Antiqua" w:hAnsi="Book Antiqua" w:cs="Book Antiqua"/>
          <w:b/>
          <w:bCs/>
        </w:rPr>
        <w:t xml:space="preserve"> I</w:t>
      </w:r>
      <w:r w:rsidRPr="00476043">
        <w:rPr>
          <w:rFonts w:ascii="Book Antiqua" w:eastAsia="Book Antiqua" w:hAnsi="Book Antiqua" w:cs="Book Antiqua"/>
        </w:rPr>
        <w:t xml:space="preserve">, </w:t>
      </w:r>
      <w:proofErr w:type="spellStart"/>
      <w:r w:rsidRPr="00476043">
        <w:rPr>
          <w:rFonts w:ascii="Book Antiqua" w:eastAsia="Book Antiqua" w:hAnsi="Book Antiqua" w:cs="Book Antiqua"/>
        </w:rPr>
        <w:t>Auricchio</w:t>
      </w:r>
      <w:proofErr w:type="spellEnd"/>
      <w:r w:rsidRPr="00476043">
        <w:rPr>
          <w:rFonts w:ascii="Book Antiqua" w:eastAsia="Book Antiqua" w:hAnsi="Book Antiqua" w:cs="Book Antiqua"/>
        </w:rPr>
        <w:t xml:space="preserve"> A, </w:t>
      </w:r>
      <w:proofErr w:type="spellStart"/>
      <w:r w:rsidRPr="00476043">
        <w:rPr>
          <w:rFonts w:ascii="Book Antiqua" w:eastAsia="Book Antiqua" w:hAnsi="Book Antiqua" w:cs="Book Antiqua"/>
        </w:rPr>
        <w:t>Lamperti</w:t>
      </w:r>
      <w:proofErr w:type="spellEnd"/>
      <w:r w:rsidRPr="00476043">
        <w:rPr>
          <w:rFonts w:ascii="Book Antiqua" w:eastAsia="Book Antiqua" w:hAnsi="Book Antiqua" w:cs="Book Antiqua"/>
        </w:rPr>
        <w:t xml:space="preserve"> C, </w:t>
      </w:r>
      <w:proofErr w:type="spellStart"/>
      <w:r w:rsidRPr="00476043">
        <w:rPr>
          <w:rFonts w:ascii="Book Antiqua" w:eastAsia="Book Antiqua" w:hAnsi="Book Antiqua" w:cs="Book Antiqua"/>
        </w:rPr>
        <w:t>Burlina</w:t>
      </w:r>
      <w:proofErr w:type="spellEnd"/>
      <w:r w:rsidRPr="00476043">
        <w:rPr>
          <w:rFonts w:ascii="Book Antiqua" w:eastAsia="Book Antiqua" w:hAnsi="Book Antiqua" w:cs="Book Antiqua"/>
        </w:rPr>
        <w:t xml:space="preserve"> A, Viscomi C, </w:t>
      </w:r>
      <w:proofErr w:type="spellStart"/>
      <w:r w:rsidRPr="00476043">
        <w:rPr>
          <w:rFonts w:ascii="Book Antiqua" w:eastAsia="Book Antiqua" w:hAnsi="Book Antiqua" w:cs="Book Antiqua"/>
        </w:rPr>
        <w:t>Zeviani</w:t>
      </w:r>
      <w:proofErr w:type="spellEnd"/>
      <w:r w:rsidRPr="00476043">
        <w:rPr>
          <w:rFonts w:ascii="Book Antiqua" w:eastAsia="Book Antiqua" w:hAnsi="Book Antiqua" w:cs="Book Antiqua"/>
        </w:rPr>
        <w:t xml:space="preserve"> M. Effective AAV-mediated gene therapy in a mouse model of ethylmalonic encephalopathy.</w:t>
      </w:r>
      <w:r w:rsidRPr="00476043">
        <w:rPr>
          <w:rFonts w:ascii="Book Antiqua" w:eastAsia="Book Antiqua" w:hAnsi="Book Antiqua" w:cs="Book Antiqua"/>
          <w:i/>
          <w:iCs/>
        </w:rPr>
        <w:t xml:space="preserve"> EMBO Mol Med </w:t>
      </w:r>
      <w:r w:rsidRPr="00476043">
        <w:rPr>
          <w:rFonts w:ascii="Book Antiqua" w:eastAsia="Book Antiqua" w:hAnsi="Book Antiqua" w:cs="Book Antiqua"/>
        </w:rPr>
        <w:t xml:space="preserve">2012; </w:t>
      </w:r>
      <w:r w:rsidRPr="00476043">
        <w:rPr>
          <w:rFonts w:ascii="Book Antiqua" w:eastAsia="Book Antiqua" w:hAnsi="Book Antiqua" w:cs="Book Antiqua"/>
          <w:b/>
          <w:bCs/>
        </w:rPr>
        <w:t>4</w:t>
      </w:r>
      <w:r w:rsidRPr="00476043">
        <w:rPr>
          <w:rFonts w:ascii="Book Antiqua" w:eastAsia="Book Antiqua" w:hAnsi="Book Antiqua" w:cs="Book Antiqua"/>
        </w:rPr>
        <w:t>: 1008-1014 [PMID: 22903887 DOI: 10.1002/emmm.201201433]</w:t>
      </w:r>
    </w:p>
    <w:p w14:paraId="618B29F7" w14:textId="7525D6CF" w:rsidR="00A77B3E" w:rsidRPr="00C02EF6" w:rsidRDefault="00502E6C" w:rsidP="00476043">
      <w:pPr>
        <w:snapToGrid w:val="0"/>
        <w:spacing w:line="360" w:lineRule="auto"/>
        <w:jc w:val="both"/>
      </w:pPr>
      <w:r w:rsidRPr="00476043">
        <w:rPr>
          <w:rFonts w:ascii="Book Antiqua" w:eastAsia="Book Antiqua" w:hAnsi="Book Antiqua" w:cs="Book Antiqua"/>
        </w:rPr>
        <w:lastRenderedPageBreak/>
        <w:t>14</w:t>
      </w:r>
      <w:r w:rsidR="006445F6" w:rsidRPr="00476043">
        <w:rPr>
          <w:rFonts w:ascii="Book Antiqua" w:eastAsia="Book Antiqua" w:hAnsi="Book Antiqua" w:cs="Book Antiqua"/>
        </w:rPr>
        <w:t xml:space="preserve"> </w:t>
      </w:r>
      <w:proofErr w:type="spellStart"/>
      <w:r w:rsidRPr="00476043">
        <w:rPr>
          <w:rFonts w:ascii="Book Antiqua" w:eastAsia="Book Antiqua" w:hAnsi="Book Antiqua" w:cs="Book Antiqua"/>
          <w:b/>
          <w:bCs/>
        </w:rPr>
        <w:t>Govindaraj</w:t>
      </w:r>
      <w:proofErr w:type="spellEnd"/>
      <w:r w:rsidRPr="00476043">
        <w:rPr>
          <w:rFonts w:ascii="Book Antiqua" w:eastAsia="Book Antiqua" w:hAnsi="Book Antiqua" w:cs="Book Antiqua"/>
          <w:b/>
          <w:bCs/>
        </w:rPr>
        <w:t xml:space="preserve"> P</w:t>
      </w:r>
      <w:r w:rsidRPr="00476043">
        <w:rPr>
          <w:rFonts w:ascii="Book Antiqua" w:eastAsia="Book Antiqua" w:hAnsi="Book Antiqua" w:cs="Book Antiqua"/>
        </w:rPr>
        <w:t xml:space="preserve">, </w:t>
      </w:r>
      <w:proofErr w:type="spellStart"/>
      <w:r w:rsidRPr="00476043">
        <w:rPr>
          <w:rFonts w:ascii="Book Antiqua" w:eastAsia="Book Antiqua" w:hAnsi="Book Antiqua" w:cs="Book Antiqua"/>
        </w:rPr>
        <w:t>Parayil</w:t>
      </w:r>
      <w:proofErr w:type="spellEnd"/>
      <w:r w:rsidRPr="00476043">
        <w:rPr>
          <w:rFonts w:ascii="Book Antiqua" w:eastAsia="Book Antiqua" w:hAnsi="Book Antiqua" w:cs="Book Antiqua"/>
        </w:rPr>
        <w:t xml:space="preserve"> Sankaran B, </w:t>
      </w:r>
      <w:proofErr w:type="spellStart"/>
      <w:r w:rsidRPr="00476043">
        <w:rPr>
          <w:rFonts w:ascii="Book Antiqua" w:eastAsia="Book Antiqua" w:hAnsi="Book Antiqua" w:cs="Book Antiqua"/>
        </w:rPr>
        <w:t>Nagappa</w:t>
      </w:r>
      <w:proofErr w:type="spellEnd"/>
      <w:r w:rsidRPr="00476043">
        <w:rPr>
          <w:rFonts w:ascii="Book Antiqua" w:eastAsia="Book Antiqua" w:hAnsi="Book Antiqua" w:cs="Book Antiqua"/>
        </w:rPr>
        <w:t xml:space="preserve"> M, </w:t>
      </w:r>
      <w:proofErr w:type="spellStart"/>
      <w:r w:rsidRPr="00476043">
        <w:rPr>
          <w:rFonts w:ascii="Book Antiqua" w:eastAsia="Book Antiqua" w:hAnsi="Book Antiqua" w:cs="Book Antiqua"/>
        </w:rPr>
        <w:t>Arvinda</w:t>
      </w:r>
      <w:proofErr w:type="spellEnd"/>
      <w:r w:rsidRPr="00476043">
        <w:rPr>
          <w:rFonts w:ascii="Book Antiqua" w:eastAsia="Book Antiqua" w:hAnsi="Book Antiqua" w:cs="Book Antiqua"/>
        </w:rPr>
        <w:t xml:space="preserve"> HR, </w:t>
      </w:r>
      <w:proofErr w:type="spellStart"/>
      <w:r w:rsidRPr="00476043">
        <w:rPr>
          <w:rFonts w:ascii="Book Antiqua" w:eastAsia="Book Antiqua" w:hAnsi="Book Antiqua" w:cs="Book Antiqua"/>
        </w:rPr>
        <w:t>Deepha</w:t>
      </w:r>
      <w:proofErr w:type="spellEnd"/>
      <w:r w:rsidRPr="00476043">
        <w:rPr>
          <w:rFonts w:ascii="Book Antiqua" w:eastAsia="Book Antiqua" w:hAnsi="Book Antiqua" w:cs="Book Antiqua"/>
        </w:rPr>
        <w:t xml:space="preserve"> S, </w:t>
      </w:r>
      <w:proofErr w:type="spellStart"/>
      <w:r w:rsidRPr="00476043">
        <w:rPr>
          <w:rFonts w:ascii="Book Antiqua" w:eastAsia="Book Antiqua" w:hAnsi="Book Antiqua" w:cs="Book Antiqua"/>
        </w:rPr>
        <w:t>Jessiena</w:t>
      </w:r>
      <w:proofErr w:type="spellEnd"/>
      <w:r w:rsidRPr="00476043">
        <w:rPr>
          <w:rFonts w:ascii="Book Antiqua" w:eastAsia="Book Antiqua" w:hAnsi="Book Antiqua" w:cs="Book Antiqua"/>
        </w:rPr>
        <w:t xml:space="preserve"> </w:t>
      </w:r>
      <w:proofErr w:type="spellStart"/>
      <w:r w:rsidRPr="00476043">
        <w:rPr>
          <w:rFonts w:ascii="Book Antiqua" w:eastAsia="Book Antiqua" w:hAnsi="Book Antiqua" w:cs="Book Antiqua"/>
        </w:rPr>
        <w:t>Ponmalar</w:t>
      </w:r>
      <w:proofErr w:type="spellEnd"/>
      <w:r w:rsidRPr="00476043">
        <w:rPr>
          <w:rFonts w:ascii="Book Antiqua" w:eastAsia="Book Antiqua" w:hAnsi="Book Antiqua" w:cs="Book Antiqua"/>
        </w:rPr>
        <w:t xml:space="preserve"> JN, Sinha S, Gayathri N, </w:t>
      </w:r>
      <w:proofErr w:type="spellStart"/>
      <w:r w:rsidRPr="00476043">
        <w:rPr>
          <w:rFonts w:ascii="Book Antiqua" w:eastAsia="Book Antiqua" w:hAnsi="Book Antiqua" w:cs="Book Antiqua"/>
        </w:rPr>
        <w:t>Taly</w:t>
      </w:r>
      <w:proofErr w:type="spellEnd"/>
      <w:r w:rsidRPr="00476043">
        <w:rPr>
          <w:rFonts w:ascii="Book Antiqua" w:eastAsia="Book Antiqua" w:hAnsi="Book Antiqua" w:cs="Book Antiqua"/>
        </w:rPr>
        <w:t xml:space="preserve"> AB. Child Neurology: Ethylmalonic encephalopathy.</w:t>
      </w:r>
      <w:r w:rsidRPr="00476043">
        <w:rPr>
          <w:rFonts w:ascii="Book Antiqua" w:eastAsia="Book Antiqua" w:hAnsi="Book Antiqua" w:cs="Book Antiqua"/>
          <w:i/>
          <w:iCs/>
        </w:rPr>
        <w:t xml:space="preserve"> Neurology </w:t>
      </w:r>
      <w:r w:rsidRPr="00476043">
        <w:rPr>
          <w:rFonts w:ascii="Book Antiqua" w:eastAsia="Book Antiqua" w:hAnsi="Book Antiqua" w:cs="Book Antiqua"/>
        </w:rPr>
        <w:t xml:space="preserve">2020; </w:t>
      </w:r>
      <w:r w:rsidRPr="00476043">
        <w:rPr>
          <w:rFonts w:ascii="Book Antiqua" w:eastAsia="Book Antiqua" w:hAnsi="Book Antiqua" w:cs="Book Antiqua"/>
          <w:b/>
          <w:bCs/>
        </w:rPr>
        <w:t>94</w:t>
      </w:r>
      <w:r w:rsidRPr="00476043">
        <w:rPr>
          <w:rFonts w:ascii="Book Antiqua" w:eastAsia="Book Antiqua" w:hAnsi="Book Antiqua" w:cs="Book Antiqua"/>
        </w:rPr>
        <w:t>: e1336-e1339 [PMID: 32111695 DOI: 10.1212/WNL.0000000000009144]</w:t>
      </w:r>
    </w:p>
    <w:p w14:paraId="32D5DA79" w14:textId="77777777" w:rsidR="00D24A9F" w:rsidRDefault="00D24A9F" w:rsidP="00476043">
      <w:pPr>
        <w:snapToGrid w:val="0"/>
        <w:spacing w:line="360" w:lineRule="auto"/>
        <w:jc w:val="both"/>
        <w:sectPr w:rsidR="00D24A9F">
          <w:pgSz w:w="12240" w:h="15840"/>
          <w:pgMar w:top="1440" w:right="1440" w:bottom="1440" w:left="1440" w:header="720" w:footer="720" w:gutter="0"/>
          <w:cols w:space="720"/>
          <w:docGrid w:linePitch="360"/>
        </w:sectPr>
      </w:pPr>
    </w:p>
    <w:p w14:paraId="512B2375" w14:textId="77777777" w:rsidR="00A77B3E" w:rsidRPr="00C02EF6" w:rsidRDefault="00502E6C" w:rsidP="00476043">
      <w:pPr>
        <w:snapToGrid w:val="0"/>
        <w:spacing w:line="360" w:lineRule="auto"/>
        <w:jc w:val="both"/>
      </w:pPr>
      <w:r w:rsidRPr="00476043">
        <w:rPr>
          <w:rFonts w:ascii="Book Antiqua" w:eastAsia="Book Antiqua" w:hAnsi="Book Antiqua" w:cs="Book Antiqua"/>
          <w:b/>
        </w:rPr>
        <w:lastRenderedPageBreak/>
        <w:t>Footnotes</w:t>
      </w:r>
    </w:p>
    <w:p w14:paraId="7EFC0EA0" w14:textId="1C40E86E"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Informed consent statement: </w:t>
      </w:r>
      <w:r w:rsidRPr="00476043">
        <w:rPr>
          <w:rFonts w:ascii="Book Antiqua" w:eastAsia="Book Antiqua" w:hAnsi="Book Antiqua" w:cs="Book Antiqua"/>
        </w:rPr>
        <w:t>Informed written consent was obtained from the patient for publication of this report and any accompanying images.</w:t>
      </w:r>
    </w:p>
    <w:p w14:paraId="26CA0923" w14:textId="77777777" w:rsidR="00A77B3E" w:rsidRPr="00C02EF6" w:rsidRDefault="00A77B3E" w:rsidP="00476043">
      <w:pPr>
        <w:snapToGrid w:val="0"/>
        <w:spacing w:line="360" w:lineRule="auto"/>
        <w:jc w:val="both"/>
      </w:pPr>
    </w:p>
    <w:p w14:paraId="2FCD44AE" w14:textId="77777777"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Conflict-of-interest statement: </w:t>
      </w:r>
      <w:r w:rsidRPr="00476043">
        <w:rPr>
          <w:rFonts w:ascii="Book Antiqua" w:eastAsia="Book Antiqua" w:hAnsi="Book Antiqua" w:cs="Book Antiqua"/>
          <w:shd w:val="clear" w:color="auto" w:fill="FFFFFF"/>
        </w:rPr>
        <w:t>The authors declare that they have no conflicts of interest.</w:t>
      </w:r>
    </w:p>
    <w:p w14:paraId="70D08D31" w14:textId="77777777" w:rsidR="00A77B3E" w:rsidRPr="00C02EF6" w:rsidRDefault="00A77B3E" w:rsidP="00476043">
      <w:pPr>
        <w:snapToGrid w:val="0"/>
        <w:spacing w:line="360" w:lineRule="auto"/>
        <w:jc w:val="both"/>
      </w:pPr>
    </w:p>
    <w:p w14:paraId="0BC583AB" w14:textId="77777777"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CARE Checklist (2016) statement: </w:t>
      </w:r>
      <w:r w:rsidRPr="00476043">
        <w:rPr>
          <w:rFonts w:ascii="Book Antiqua" w:eastAsia="Book Antiqua" w:hAnsi="Book Antiqua" w:cs="Book Antiqua"/>
        </w:rPr>
        <w:t>The authors have read the CARE Checklist (2016), and the manuscript was prepared and revised according to the CARE Checklist (2016).</w:t>
      </w:r>
    </w:p>
    <w:p w14:paraId="3358FC22" w14:textId="77777777" w:rsidR="00A77B3E" w:rsidRPr="00C02EF6" w:rsidRDefault="00A77B3E" w:rsidP="00476043">
      <w:pPr>
        <w:snapToGrid w:val="0"/>
        <w:spacing w:line="360" w:lineRule="auto"/>
        <w:jc w:val="both"/>
      </w:pPr>
    </w:p>
    <w:p w14:paraId="77CD62FD" w14:textId="77777777"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Open-Access: </w:t>
      </w:r>
      <w:r w:rsidRPr="00476043">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D5B7E6C" w14:textId="77777777" w:rsidR="00A77B3E" w:rsidRPr="00C02EF6" w:rsidRDefault="00A77B3E" w:rsidP="00476043">
      <w:pPr>
        <w:snapToGrid w:val="0"/>
        <w:spacing w:line="360" w:lineRule="auto"/>
        <w:jc w:val="both"/>
      </w:pPr>
    </w:p>
    <w:p w14:paraId="5A0DA81C" w14:textId="7DBBC0AA" w:rsidR="00A77B3E" w:rsidRPr="00C02EF6" w:rsidRDefault="00502E6C" w:rsidP="00476043">
      <w:pPr>
        <w:snapToGrid w:val="0"/>
        <w:spacing w:line="360" w:lineRule="auto"/>
        <w:jc w:val="both"/>
      </w:pPr>
      <w:r w:rsidRPr="00476043">
        <w:rPr>
          <w:rFonts w:ascii="Book Antiqua" w:eastAsia="Book Antiqua" w:hAnsi="Book Antiqua" w:cs="Book Antiqua"/>
          <w:b/>
        </w:rPr>
        <w:t xml:space="preserve">Manuscript source: </w:t>
      </w:r>
      <w:r w:rsidRPr="00476043">
        <w:rPr>
          <w:rFonts w:ascii="Book Antiqua" w:eastAsia="Book Antiqua" w:hAnsi="Book Antiqua" w:cs="Book Antiqua"/>
        </w:rPr>
        <w:t xml:space="preserve">Unsolicited </w:t>
      </w:r>
      <w:r w:rsidR="006E7E50" w:rsidRPr="00476043">
        <w:rPr>
          <w:rFonts w:ascii="Book Antiqua" w:eastAsia="Book Antiqua" w:hAnsi="Book Antiqua" w:cs="Book Antiqua"/>
        </w:rPr>
        <w:t>m</w:t>
      </w:r>
      <w:r w:rsidRPr="00476043">
        <w:rPr>
          <w:rFonts w:ascii="Book Antiqua" w:eastAsia="Book Antiqua" w:hAnsi="Book Antiqua" w:cs="Book Antiqua"/>
        </w:rPr>
        <w:t>anuscript</w:t>
      </w:r>
    </w:p>
    <w:p w14:paraId="58F720D3" w14:textId="77777777" w:rsidR="00A77B3E" w:rsidRPr="00C02EF6" w:rsidRDefault="00A77B3E" w:rsidP="00476043">
      <w:pPr>
        <w:snapToGrid w:val="0"/>
        <w:spacing w:line="360" w:lineRule="auto"/>
        <w:jc w:val="both"/>
      </w:pPr>
    </w:p>
    <w:p w14:paraId="1BB312A6" w14:textId="77777777" w:rsidR="00A77B3E" w:rsidRPr="00C02EF6" w:rsidRDefault="00502E6C" w:rsidP="00476043">
      <w:pPr>
        <w:snapToGrid w:val="0"/>
        <w:spacing w:line="360" w:lineRule="auto"/>
        <w:jc w:val="both"/>
      </w:pPr>
      <w:r w:rsidRPr="00476043">
        <w:rPr>
          <w:rFonts w:ascii="Book Antiqua" w:eastAsia="Book Antiqua" w:hAnsi="Book Antiqua" w:cs="Book Antiqua"/>
          <w:b/>
        </w:rPr>
        <w:t xml:space="preserve">Peer-review started: </w:t>
      </w:r>
      <w:r w:rsidRPr="00476043">
        <w:rPr>
          <w:rFonts w:ascii="Book Antiqua" w:eastAsia="Book Antiqua" w:hAnsi="Book Antiqua" w:cs="Book Antiqua"/>
        </w:rPr>
        <w:t>May 12, 2020</w:t>
      </w:r>
    </w:p>
    <w:p w14:paraId="3FDF3588" w14:textId="77777777" w:rsidR="00A77B3E" w:rsidRPr="00C02EF6" w:rsidRDefault="00502E6C" w:rsidP="00476043">
      <w:pPr>
        <w:snapToGrid w:val="0"/>
        <w:spacing w:line="360" w:lineRule="auto"/>
        <w:jc w:val="both"/>
      </w:pPr>
      <w:r w:rsidRPr="00476043">
        <w:rPr>
          <w:rFonts w:ascii="Book Antiqua" w:eastAsia="Book Antiqua" w:hAnsi="Book Antiqua" w:cs="Book Antiqua"/>
          <w:b/>
        </w:rPr>
        <w:t xml:space="preserve">First decision: </w:t>
      </w:r>
      <w:r w:rsidRPr="00476043">
        <w:rPr>
          <w:rFonts w:ascii="Book Antiqua" w:eastAsia="Book Antiqua" w:hAnsi="Book Antiqua" w:cs="Book Antiqua"/>
        </w:rPr>
        <w:t>June 18, 2020</w:t>
      </w:r>
    </w:p>
    <w:p w14:paraId="71158A54" w14:textId="77777777" w:rsidR="00A77B3E" w:rsidRPr="00C02EF6" w:rsidRDefault="00502E6C" w:rsidP="00476043">
      <w:pPr>
        <w:snapToGrid w:val="0"/>
        <w:spacing w:line="360" w:lineRule="auto"/>
        <w:jc w:val="both"/>
      </w:pPr>
      <w:r w:rsidRPr="00476043">
        <w:rPr>
          <w:rFonts w:ascii="Book Antiqua" w:eastAsia="Book Antiqua" w:hAnsi="Book Antiqua" w:cs="Book Antiqua"/>
          <w:b/>
        </w:rPr>
        <w:t xml:space="preserve">Article in press: </w:t>
      </w:r>
    </w:p>
    <w:p w14:paraId="6268B63E" w14:textId="77777777" w:rsidR="00A77B3E" w:rsidRPr="00C02EF6" w:rsidRDefault="00A77B3E" w:rsidP="00476043">
      <w:pPr>
        <w:snapToGrid w:val="0"/>
        <w:spacing w:line="360" w:lineRule="auto"/>
        <w:jc w:val="both"/>
      </w:pPr>
    </w:p>
    <w:p w14:paraId="662460EE" w14:textId="71E6307C" w:rsidR="00A77B3E" w:rsidRPr="00C02EF6" w:rsidRDefault="00502E6C" w:rsidP="00476043">
      <w:pPr>
        <w:snapToGrid w:val="0"/>
        <w:spacing w:line="360" w:lineRule="auto"/>
        <w:jc w:val="both"/>
      </w:pPr>
      <w:r w:rsidRPr="00476043">
        <w:rPr>
          <w:rFonts w:ascii="Book Antiqua" w:eastAsia="Book Antiqua" w:hAnsi="Book Antiqua" w:cs="Book Antiqua"/>
          <w:b/>
        </w:rPr>
        <w:t xml:space="preserve">Specialty type: </w:t>
      </w:r>
      <w:r w:rsidR="006B22A7" w:rsidRPr="00476043">
        <w:rPr>
          <w:rFonts w:ascii="Book Antiqua" w:eastAsia="Book Antiqua" w:hAnsi="Book Antiqua" w:cs="Book Antiqua"/>
        </w:rPr>
        <w:t>Gastroenterology and hepatology</w:t>
      </w:r>
    </w:p>
    <w:p w14:paraId="1CA786B2" w14:textId="77777777" w:rsidR="00A77B3E" w:rsidRPr="00C02EF6" w:rsidRDefault="00502E6C" w:rsidP="00476043">
      <w:pPr>
        <w:snapToGrid w:val="0"/>
        <w:spacing w:line="360" w:lineRule="auto"/>
        <w:jc w:val="both"/>
      </w:pPr>
      <w:r w:rsidRPr="00476043">
        <w:rPr>
          <w:rFonts w:ascii="Book Antiqua" w:eastAsia="Book Antiqua" w:hAnsi="Book Antiqua" w:cs="Book Antiqua"/>
          <w:b/>
        </w:rPr>
        <w:t xml:space="preserve">Country/Territory of origin: </w:t>
      </w:r>
      <w:r w:rsidRPr="00476043">
        <w:rPr>
          <w:rFonts w:ascii="Book Antiqua" w:eastAsia="Book Antiqua" w:hAnsi="Book Antiqua" w:cs="Book Antiqua"/>
        </w:rPr>
        <w:t>China</w:t>
      </w:r>
    </w:p>
    <w:p w14:paraId="61E71448" w14:textId="77777777" w:rsidR="00A77B3E" w:rsidRPr="00C02EF6" w:rsidRDefault="00502E6C" w:rsidP="00476043">
      <w:pPr>
        <w:snapToGrid w:val="0"/>
        <w:spacing w:line="360" w:lineRule="auto"/>
        <w:jc w:val="both"/>
      </w:pPr>
      <w:r w:rsidRPr="00476043">
        <w:rPr>
          <w:rFonts w:ascii="Book Antiqua" w:eastAsia="Book Antiqua" w:hAnsi="Book Antiqua" w:cs="Book Antiqua"/>
          <w:b/>
        </w:rPr>
        <w:t>Peer-review report’s scientific quality classification</w:t>
      </w:r>
    </w:p>
    <w:p w14:paraId="79020224" w14:textId="77777777" w:rsidR="00A77B3E" w:rsidRPr="00C02EF6" w:rsidRDefault="00502E6C" w:rsidP="00476043">
      <w:pPr>
        <w:snapToGrid w:val="0"/>
        <w:spacing w:line="360" w:lineRule="auto"/>
        <w:jc w:val="both"/>
      </w:pPr>
      <w:r w:rsidRPr="00476043">
        <w:rPr>
          <w:rFonts w:ascii="Book Antiqua" w:eastAsia="Book Antiqua" w:hAnsi="Book Antiqua" w:cs="Book Antiqua"/>
        </w:rPr>
        <w:t>Grade A (Excellent): 0</w:t>
      </w:r>
    </w:p>
    <w:p w14:paraId="5D19262C" w14:textId="77777777" w:rsidR="00A77B3E" w:rsidRPr="00C02EF6" w:rsidRDefault="00502E6C" w:rsidP="00476043">
      <w:pPr>
        <w:snapToGrid w:val="0"/>
        <w:spacing w:line="360" w:lineRule="auto"/>
        <w:jc w:val="both"/>
      </w:pPr>
      <w:r w:rsidRPr="00476043">
        <w:rPr>
          <w:rFonts w:ascii="Book Antiqua" w:eastAsia="Book Antiqua" w:hAnsi="Book Antiqua" w:cs="Book Antiqua"/>
        </w:rPr>
        <w:t>Grade B (Very good): B, B</w:t>
      </w:r>
    </w:p>
    <w:p w14:paraId="28DA5302" w14:textId="77777777" w:rsidR="00A77B3E" w:rsidRPr="00C02EF6" w:rsidRDefault="00502E6C" w:rsidP="00476043">
      <w:pPr>
        <w:snapToGrid w:val="0"/>
        <w:spacing w:line="360" w:lineRule="auto"/>
        <w:jc w:val="both"/>
      </w:pPr>
      <w:r w:rsidRPr="00476043">
        <w:rPr>
          <w:rFonts w:ascii="Book Antiqua" w:eastAsia="Book Antiqua" w:hAnsi="Book Antiqua" w:cs="Book Antiqua"/>
        </w:rPr>
        <w:t>Grade C (Good): 0</w:t>
      </w:r>
    </w:p>
    <w:p w14:paraId="5AAF3237" w14:textId="77777777" w:rsidR="00A77B3E" w:rsidRPr="00C02EF6" w:rsidRDefault="00502E6C" w:rsidP="00476043">
      <w:pPr>
        <w:snapToGrid w:val="0"/>
        <w:spacing w:line="360" w:lineRule="auto"/>
        <w:jc w:val="both"/>
      </w:pPr>
      <w:r w:rsidRPr="00476043">
        <w:rPr>
          <w:rFonts w:ascii="Book Antiqua" w:eastAsia="Book Antiqua" w:hAnsi="Book Antiqua" w:cs="Book Antiqua"/>
        </w:rPr>
        <w:t>Grade D (Fair): 0</w:t>
      </w:r>
    </w:p>
    <w:p w14:paraId="0E26548E" w14:textId="77777777" w:rsidR="00A77B3E" w:rsidRPr="00C02EF6" w:rsidRDefault="00502E6C" w:rsidP="00476043">
      <w:pPr>
        <w:snapToGrid w:val="0"/>
        <w:spacing w:line="360" w:lineRule="auto"/>
        <w:jc w:val="both"/>
      </w:pPr>
      <w:r w:rsidRPr="00476043">
        <w:rPr>
          <w:rFonts w:ascii="Book Antiqua" w:eastAsia="Book Antiqua" w:hAnsi="Book Antiqua" w:cs="Book Antiqua"/>
        </w:rPr>
        <w:lastRenderedPageBreak/>
        <w:t>Grade E (Poor): 0</w:t>
      </w:r>
    </w:p>
    <w:p w14:paraId="6F8686A0" w14:textId="77777777" w:rsidR="00A77B3E" w:rsidRPr="00C02EF6" w:rsidRDefault="00A77B3E" w:rsidP="00476043">
      <w:pPr>
        <w:snapToGrid w:val="0"/>
        <w:spacing w:line="360" w:lineRule="auto"/>
        <w:jc w:val="both"/>
      </w:pPr>
    </w:p>
    <w:p w14:paraId="16E7AD6D" w14:textId="36F5D04D" w:rsidR="00EE5E5F" w:rsidRPr="00476043" w:rsidRDefault="00502E6C" w:rsidP="00476043">
      <w:pPr>
        <w:snapToGrid w:val="0"/>
        <w:spacing w:line="360" w:lineRule="auto"/>
        <w:jc w:val="both"/>
        <w:rPr>
          <w:rFonts w:ascii="Book Antiqua" w:eastAsia="Book Antiqua" w:hAnsi="Book Antiqua" w:cs="Book Antiqua"/>
          <w:b/>
        </w:rPr>
      </w:pPr>
      <w:r w:rsidRPr="00476043">
        <w:rPr>
          <w:rFonts w:ascii="Book Antiqua" w:eastAsia="Book Antiqua" w:hAnsi="Book Antiqua" w:cs="Book Antiqua"/>
          <w:b/>
        </w:rPr>
        <w:t xml:space="preserve">P-Reviewer: </w:t>
      </w:r>
      <w:r w:rsidRPr="00476043">
        <w:rPr>
          <w:rFonts w:ascii="Book Antiqua" w:eastAsia="Book Antiqua" w:hAnsi="Book Antiqua" w:cs="Book Antiqua"/>
        </w:rPr>
        <w:t>Iliescu EL, Verran DJ</w:t>
      </w:r>
      <w:r w:rsidRPr="00476043">
        <w:rPr>
          <w:rFonts w:ascii="Book Antiqua" w:eastAsia="Book Antiqua" w:hAnsi="Book Antiqua" w:cs="Book Antiqua"/>
          <w:b/>
        </w:rPr>
        <w:t xml:space="preserve"> S-Editor: </w:t>
      </w:r>
      <w:r w:rsidRPr="00476043">
        <w:rPr>
          <w:rFonts w:ascii="Book Antiqua" w:eastAsia="Book Antiqua" w:hAnsi="Book Antiqua" w:cs="Book Antiqua"/>
        </w:rPr>
        <w:t>Huang P</w:t>
      </w:r>
      <w:r w:rsidRPr="00476043">
        <w:rPr>
          <w:rFonts w:ascii="Book Antiqua" w:eastAsia="Book Antiqua" w:hAnsi="Book Antiqua" w:cs="Book Antiqua"/>
          <w:b/>
        </w:rPr>
        <w:t xml:space="preserve"> L-Editor: </w:t>
      </w:r>
      <w:r w:rsidR="007E6DE3" w:rsidRPr="00476043">
        <w:rPr>
          <w:rFonts w:ascii="Book Antiqua" w:eastAsia="Book Antiqua" w:hAnsi="Book Antiqua" w:cs="Book Antiqua"/>
          <w:bCs/>
        </w:rPr>
        <w:t>Filipodia</w:t>
      </w:r>
      <w:r w:rsidRPr="00476043">
        <w:rPr>
          <w:rFonts w:ascii="Book Antiqua" w:eastAsia="Book Antiqua" w:hAnsi="Book Antiqua" w:cs="Book Antiqua"/>
          <w:b/>
        </w:rPr>
        <w:t xml:space="preserve"> P-Editor: </w:t>
      </w:r>
    </w:p>
    <w:p w14:paraId="33D4D6E1" w14:textId="279AC0B3" w:rsidR="00EE5A7D" w:rsidRPr="00476043" w:rsidRDefault="00EE5E5F" w:rsidP="00476043">
      <w:pPr>
        <w:snapToGrid w:val="0"/>
        <w:spacing w:line="360" w:lineRule="auto"/>
        <w:jc w:val="both"/>
        <w:rPr>
          <w:rFonts w:ascii="Book Antiqua" w:hAnsi="Book Antiqua" w:cs="Book Antiqua"/>
          <w:b/>
          <w:lang w:eastAsia="zh-CN"/>
        </w:rPr>
      </w:pPr>
      <w:r w:rsidRPr="00476043">
        <w:rPr>
          <w:rFonts w:ascii="Book Antiqua" w:eastAsia="Book Antiqua" w:hAnsi="Book Antiqua" w:cs="Book Antiqua"/>
          <w:b/>
        </w:rPr>
        <w:br w:type="page"/>
      </w:r>
      <w:r w:rsidR="00EE5A7D" w:rsidRPr="00476043">
        <w:rPr>
          <w:rFonts w:ascii="Book Antiqua" w:hAnsi="Book Antiqua" w:cs="Book Antiqua"/>
          <w:b/>
          <w:lang w:eastAsia="zh-CN"/>
        </w:rPr>
        <w:lastRenderedPageBreak/>
        <w:t>Figure Legends</w:t>
      </w:r>
    </w:p>
    <w:p w14:paraId="76DF6C0A" w14:textId="37BA2BB3" w:rsidR="00EE5A7D" w:rsidRPr="00476043" w:rsidRDefault="00EE5A7D" w:rsidP="00476043">
      <w:pPr>
        <w:snapToGrid w:val="0"/>
        <w:spacing w:line="360" w:lineRule="auto"/>
        <w:jc w:val="both"/>
        <w:rPr>
          <w:rFonts w:ascii="Book Antiqua" w:hAnsi="Book Antiqua" w:cs="Book Antiqua"/>
          <w:b/>
          <w:lang w:eastAsia="zh-CN"/>
        </w:rPr>
      </w:pPr>
      <w:r w:rsidRPr="00B66ABC">
        <w:rPr>
          <w:rFonts w:ascii="Book Antiqua" w:hAnsi="Book Antiqua" w:cs="Calibri"/>
          <w:b/>
          <w:noProof/>
          <w:lang w:eastAsia="zh-CN"/>
        </w:rPr>
        <w:drawing>
          <wp:inline distT="0" distB="0" distL="0" distR="0" wp14:anchorId="75BE59B0" wp14:editId="228399F1">
            <wp:extent cx="5270500" cy="3448685"/>
            <wp:effectExtent l="0" t="0" r="0" b="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3448685"/>
                    </a:xfrm>
                    <a:prstGeom prst="rect">
                      <a:avLst/>
                    </a:prstGeom>
                  </pic:spPr>
                </pic:pic>
              </a:graphicData>
            </a:graphic>
          </wp:inline>
        </w:drawing>
      </w:r>
    </w:p>
    <w:p w14:paraId="7C2B4A24" w14:textId="0F44E91A" w:rsidR="00EE5A7D" w:rsidRPr="00C02EF6" w:rsidRDefault="00EE5A7D" w:rsidP="00476043">
      <w:pPr>
        <w:autoSpaceDE w:val="0"/>
        <w:autoSpaceDN w:val="0"/>
        <w:adjustRightInd w:val="0"/>
        <w:snapToGrid w:val="0"/>
        <w:spacing w:line="360" w:lineRule="auto"/>
        <w:jc w:val="both"/>
        <w:rPr>
          <w:rFonts w:ascii="Book Antiqua" w:hAnsi="Book Antiqua" w:cs="Calibri"/>
          <w:b/>
          <w:bCs/>
        </w:rPr>
      </w:pPr>
      <w:r w:rsidRPr="00C02EF6">
        <w:rPr>
          <w:rFonts w:ascii="Book Antiqua" w:hAnsi="Book Antiqua" w:cs="Calibri"/>
          <w:b/>
          <w:bCs/>
        </w:rPr>
        <w:t xml:space="preserve">Figure 1 </w:t>
      </w:r>
      <w:bookmarkStart w:id="2" w:name="OLE_LINK291"/>
      <w:bookmarkStart w:id="3" w:name="OLE_LINK292"/>
      <w:bookmarkStart w:id="4" w:name="OLE_LINK380"/>
      <w:bookmarkStart w:id="5" w:name="OLE_LINK381"/>
      <w:r w:rsidR="00C02EF6">
        <w:rPr>
          <w:rFonts w:ascii="Book Antiqua" w:hAnsi="Book Antiqua" w:cs="Calibri"/>
          <w:b/>
          <w:bCs/>
        </w:rPr>
        <w:t>C</w:t>
      </w:r>
      <w:r w:rsidRPr="00C02EF6">
        <w:rPr>
          <w:rFonts w:ascii="Book Antiqua" w:hAnsi="Book Antiqua" w:cs="Calibri"/>
          <w:b/>
          <w:bCs/>
        </w:rPr>
        <w:t xml:space="preserve">linical symptoms and gene sequencing analysis. </w:t>
      </w:r>
      <w:r w:rsidRPr="00C02EF6">
        <w:rPr>
          <w:rFonts w:ascii="Book Antiqua" w:hAnsi="Book Antiqua" w:cs="Calibri"/>
        </w:rPr>
        <w:t>A</w:t>
      </w:r>
      <w:r w:rsidR="00F12EB6" w:rsidRPr="00C02EF6">
        <w:rPr>
          <w:rFonts w:ascii="Book Antiqua" w:hAnsi="Book Antiqua" w:cs="Calibri"/>
        </w:rPr>
        <w:t>:</w:t>
      </w:r>
      <w:r w:rsidRPr="00C02EF6">
        <w:rPr>
          <w:rFonts w:ascii="Book Antiqua" w:hAnsi="Book Antiqua" w:cs="Calibri"/>
        </w:rPr>
        <w:t xml:space="preserve"> The pre- and post-transplant</w:t>
      </w:r>
      <w:bookmarkEnd w:id="2"/>
      <w:bookmarkEnd w:id="3"/>
      <w:r w:rsidRPr="00C02EF6">
        <w:rPr>
          <w:rFonts w:ascii="Book Antiqua" w:hAnsi="Book Antiqua" w:cs="Calibri"/>
        </w:rPr>
        <w:t xml:space="preserve"> scattered petechiae in the extremities and orthostatic acrocyanosis</w:t>
      </w:r>
      <w:r w:rsidR="00F12EB6" w:rsidRPr="00C02EF6">
        <w:rPr>
          <w:rFonts w:ascii="Book Antiqua" w:hAnsi="Book Antiqua" w:cs="Calibri"/>
        </w:rPr>
        <w:t>;</w:t>
      </w:r>
      <w:r w:rsidRPr="00C02EF6">
        <w:rPr>
          <w:rFonts w:ascii="Book Antiqua" w:hAnsi="Book Antiqua" w:cs="Calibri"/>
        </w:rPr>
        <w:t xml:space="preserve"> B</w:t>
      </w:r>
      <w:r w:rsidR="00F12EB6" w:rsidRPr="00C02EF6">
        <w:rPr>
          <w:rFonts w:ascii="Book Antiqua" w:hAnsi="Book Antiqua" w:cs="Calibri"/>
        </w:rPr>
        <w:t>:</w:t>
      </w:r>
      <w:r w:rsidRPr="00C02EF6">
        <w:rPr>
          <w:rFonts w:ascii="Book Antiqua" w:hAnsi="Book Antiqua" w:cs="Calibri"/>
        </w:rPr>
        <w:t xml:space="preserve"> Sequence electropherogram of the compound heterozygous mutation (c.375+5G&gt;A and c.462T&gt;A) in patient, heterozygous mutation in mother</w:t>
      </w:r>
      <w:r w:rsidR="000B3A04" w:rsidRPr="00C02EF6">
        <w:rPr>
          <w:rFonts w:ascii="Book Antiqua" w:hAnsi="Book Antiqua" w:cs="Calibri"/>
        </w:rPr>
        <w:t>,</w:t>
      </w:r>
      <w:r w:rsidRPr="00C02EF6">
        <w:rPr>
          <w:rFonts w:ascii="Book Antiqua" w:hAnsi="Book Antiqua" w:cs="Calibri"/>
        </w:rPr>
        <w:t xml:space="preserve"> and no mutation in father.</w:t>
      </w:r>
      <w:bookmarkEnd w:id="4"/>
      <w:bookmarkEnd w:id="5"/>
    </w:p>
    <w:p w14:paraId="602832E7" w14:textId="1B30AFCF" w:rsidR="00EE5A7D" w:rsidRPr="00C02EF6" w:rsidRDefault="00EE5A7D" w:rsidP="00476043">
      <w:pPr>
        <w:autoSpaceDE w:val="0"/>
        <w:autoSpaceDN w:val="0"/>
        <w:adjustRightInd w:val="0"/>
        <w:snapToGrid w:val="0"/>
        <w:spacing w:line="360" w:lineRule="auto"/>
        <w:jc w:val="both"/>
        <w:rPr>
          <w:rFonts w:ascii="Book Antiqua" w:hAnsi="Book Antiqua" w:cs="Calibri"/>
          <w:b/>
          <w:bCs/>
        </w:rPr>
      </w:pPr>
      <w:r w:rsidRPr="00C02EF6">
        <w:rPr>
          <w:rFonts w:ascii="Book Antiqua" w:hAnsi="Book Antiqua" w:cs="Calibri"/>
          <w:b/>
          <w:bCs/>
        </w:rPr>
        <w:br w:type="page"/>
      </w:r>
      <w:r w:rsidR="00001EB6" w:rsidRPr="00B66ABC">
        <w:rPr>
          <w:rFonts w:ascii="Book Antiqua" w:hAnsi="Book Antiqua" w:cs="Calibri"/>
          <w:b/>
          <w:bCs/>
          <w:noProof/>
          <w:lang w:eastAsia="zh-CN"/>
        </w:rPr>
        <w:lastRenderedPageBreak/>
        <w:drawing>
          <wp:inline distT="0" distB="0" distL="0" distR="0" wp14:anchorId="35D56B39" wp14:editId="477D4CF9">
            <wp:extent cx="5090160" cy="7162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2">
                      <a:extLst>
                        <a:ext uri="{28A0092B-C50C-407E-A947-70E740481C1C}">
                          <a14:useLocalDpi xmlns:a14="http://schemas.microsoft.com/office/drawing/2010/main" val="0"/>
                        </a:ext>
                      </a:extLst>
                    </a:blip>
                    <a:stretch>
                      <a:fillRect/>
                    </a:stretch>
                  </pic:blipFill>
                  <pic:spPr>
                    <a:xfrm>
                      <a:off x="0" y="0"/>
                      <a:ext cx="5090160" cy="7162800"/>
                    </a:xfrm>
                    <a:prstGeom prst="rect">
                      <a:avLst/>
                    </a:prstGeom>
                  </pic:spPr>
                </pic:pic>
              </a:graphicData>
            </a:graphic>
          </wp:inline>
        </w:drawing>
      </w:r>
    </w:p>
    <w:p w14:paraId="1A74D086" w14:textId="19D364D3" w:rsidR="00EE5A7D" w:rsidRPr="00C02EF6" w:rsidRDefault="00EE5A7D" w:rsidP="00476043">
      <w:pPr>
        <w:autoSpaceDE w:val="0"/>
        <w:autoSpaceDN w:val="0"/>
        <w:adjustRightInd w:val="0"/>
        <w:snapToGrid w:val="0"/>
        <w:spacing w:line="360" w:lineRule="auto"/>
        <w:jc w:val="both"/>
        <w:rPr>
          <w:rFonts w:ascii="Book Antiqua" w:hAnsi="Book Antiqua" w:cs="Calibri"/>
          <w:b/>
          <w:bCs/>
        </w:rPr>
      </w:pPr>
      <w:r w:rsidRPr="00C02EF6">
        <w:rPr>
          <w:rFonts w:ascii="Book Antiqua" w:hAnsi="Book Antiqua" w:cs="Calibri"/>
          <w:b/>
          <w:bCs/>
        </w:rPr>
        <w:t>Figure 2</w:t>
      </w:r>
      <w:r w:rsidRPr="00C02EF6">
        <w:rPr>
          <w:rFonts w:ascii="Book Antiqua" w:hAnsi="Book Antiqua" w:cs="Calibri"/>
        </w:rPr>
        <w:t xml:space="preserve"> </w:t>
      </w:r>
      <w:r w:rsidR="00C02EF6">
        <w:rPr>
          <w:rFonts w:ascii="Book Antiqua" w:hAnsi="Book Antiqua" w:cs="Calibri"/>
          <w:b/>
          <w:bCs/>
        </w:rPr>
        <w:t>C</w:t>
      </w:r>
      <w:r w:rsidRPr="00C02EF6">
        <w:rPr>
          <w:rFonts w:ascii="Book Antiqua" w:hAnsi="Book Antiqua" w:cs="Calibri"/>
          <w:b/>
          <w:bCs/>
        </w:rPr>
        <w:t xml:space="preserve">hanges of pre- and post-transplant urine organic acid profile and plasma acylcarnitine profile in the patient with </w:t>
      </w:r>
      <w:bookmarkStart w:id="6" w:name="OLE_LINK55"/>
      <w:bookmarkStart w:id="7" w:name="OLE_LINK56"/>
      <w:r w:rsidRPr="00C02EF6">
        <w:rPr>
          <w:rFonts w:ascii="Book Antiqua" w:hAnsi="Book Antiqua" w:cs="Calibri"/>
          <w:b/>
          <w:bCs/>
        </w:rPr>
        <w:t>ethylmalonic encephalopathy</w:t>
      </w:r>
      <w:r w:rsidRPr="001978FB">
        <w:rPr>
          <w:rFonts w:ascii="Book Antiqua" w:hAnsi="Book Antiqua" w:cs="Calibri"/>
          <w:b/>
          <w:bCs/>
        </w:rPr>
        <w:t>.</w:t>
      </w:r>
    </w:p>
    <w:p w14:paraId="1D5358FE" w14:textId="29DAB994" w:rsidR="00EE5A7D" w:rsidRPr="00C02EF6" w:rsidRDefault="00EE5A7D" w:rsidP="00476043">
      <w:pPr>
        <w:autoSpaceDE w:val="0"/>
        <w:autoSpaceDN w:val="0"/>
        <w:adjustRightInd w:val="0"/>
        <w:snapToGrid w:val="0"/>
        <w:spacing w:line="360" w:lineRule="auto"/>
        <w:jc w:val="both"/>
        <w:rPr>
          <w:rFonts w:ascii="Book Antiqua" w:hAnsi="Book Antiqua" w:cs="Calibri"/>
          <w:b/>
          <w:bCs/>
        </w:rPr>
      </w:pPr>
      <w:r w:rsidRPr="00C02EF6">
        <w:rPr>
          <w:rFonts w:ascii="Book Antiqua" w:hAnsi="Book Antiqua" w:cs="Calibri"/>
          <w:b/>
          <w:bCs/>
        </w:rPr>
        <w:br w:type="page"/>
      </w:r>
      <w:bookmarkEnd w:id="6"/>
      <w:bookmarkEnd w:id="7"/>
      <w:r w:rsidRPr="00B66ABC">
        <w:rPr>
          <w:rFonts w:ascii="Book Antiqua" w:hAnsi="Book Antiqua" w:cs="Calibri"/>
          <w:b/>
          <w:bCs/>
          <w:noProof/>
          <w:lang w:eastAsia="zh-CN"/>
        </w:rPr>
        <w:lastRenderedPageBreak/>
        <w:drawing>
          <wp:inline distT="0" distB="0" distL="0" distR="0" wp14:anchorId="55E4D788" wp14:editId="472D6A7A">
            <wp:extent cx="5270500" cy="3952875"/>
            <wp:effectExtent l="0" t="0" r="0" b="0"/>
            <wp:docPr id="3" name="图片 3" descr="图片包含 照片, 不同, 旧,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60BE7BB9" w14:textId="6AC184C0" w:rsidR="00EE5A7D" w:rsidRPr="00C02EF6" w:rsidRDefault="00EE5A7D" w:rsidP="00476043">
      <w:pPr>
        <w:autoSpaceDE w:val="0"/>
        <w:autoSpaceDN w:val="0"/>
        <w:adjustRightInd w:val="0"/>
        <w:snapToGrid w:val="0"/>
        <w:spacing w:line="360" w:lineRule="auto"/>
        <w:jc w:val="both"/>
        <w:rPr>
          <w:rFonts w:ascii="Book Antiqua" w:hAnsi="Book Antiqua" w:cs="Calibri"/>
        </w:rPr>
      </w:pPr>
      <w:r w:rsidRPr="00C02EF6">
        <w:rPr>
          <w:rFonts w:ascii="Book Antiqua" w:hAnsi="Book Antiqua" w:cs="Calibri"/>
          <w:b/>
          <w:bCs/>
        </w:rPr>
        <w:t>Figure 3</w:t>
      </w:r>
      <w:r w:rsidRPr="00C02EF6">
        <w:rPr>
          <w:rFonts w:ascii="Book Antiqua" w:hAnsi="Book Antiqua" w:cs="Calibri"/>
        </w:rPr>
        <w:t xml:space="preserve"> </w:t>
      </w:r>
      <w:bookmarkStart w:id="8" w:name="OLE_LINK382"/>
      <w:bookmarkStart w:id="9" w:name="OLE_LINK383"/>
      <w:r w:rsidR="00C02EF6">
        <w:rPr>
          <w:rFonts w:ascii="Book Antiqua" w:hAnsi="Book Antiqua" w:cs="Calibri"/>
          <w:b/>
          <w:bCs/>
        </w:rPr>
        <w:t>P</w:t>
      </w:r>
      <w:r w:rsidRPr="00C02EF6">
        <w:rPr>
          <w:rFonts w:ascii="Book Antiqua" w:hAnsi="Book Antiqua" w:cs="Calibri"/>
          <w:b/>
          <w:bCs/>
        </w:rPr>
        <w:t>re- and post-transplant axial sections of brain magnetic resonance imaging scan.</w:t>
      </w:r>
      <w:r w:rsidRPr="00C02EF6">
        <w:rPr>
          <w:rFonts w:ascii="Book Antiqua" w:hAnsi="Book Antiqua" w:cs="Calibri"/>
        </w:rPr>
        <w:t xml:space="preserve"> Before liver transplantation,</w:t>
      </w:r>
      <w:r w:rsidRPr="00C02EF6">
        <w:rPr>
          <w:rFonts w:ascii="Book Antiqua" w:hAnsi="Book Antiqua"/>
        </w:rPr>
        <w:t xml:space="preserve"> </w:t>
      </w:r>
      <w:r w:rsidRPr="00C02EF6">
        <w:rPr>
          <w:rFonts w:ascii="Book Antiqua" w:hAnsi="Book Antiqua" w:cs="Calibri"/>
        </w:rPr>
        <w:t xml:space="preserve">brain </w:t>
      </w:r>
      <w:r w:rsidR="00001EB6" w:rsidRPr="00C02EF6">
        <w:rPr>
          <w:rFonts w:ascii="Book Antiqua" w:hAnsi="Book Antiqua" w:cs="Calibri"/>
        </w:rPr>
        <w:t xml:space="preserve">magnetic resonance imaging </w:t>
      </w:r>
      <w:r w:rsidRPr="00C02EF6">
        <w:rPr>
          <w:rFonts w:ascii="Book Antiqua" w:hAnsi="Book Antiqua" w:cs="Calibri"/>
        </w:rPr>
        <w:t>shows</w:t>
      </w:r>
      <w:bookmarkStart w:id="10" w:name="OLE_LINK49"/>
      <w:bookmarkStart w:id="11" w:name="OLE_LINK50"/>
      <w:r w:rsidRPr="00C02EF6">
        <w:rPr>
          <w:rFonts w:ascii="Book Antiqua" w:hAnsi="Book Antiqua" w:cs="Calibri"/>
        </w:rPr>
        <w:t xml:space="preserve"> </w:t>
      </w:r>
      <w:proofErr w:type="spellStart"/>
      <w:r w:rsidRPr="00C02EF6">
        <w:rPr>
          <w:rFonts w:ascii="Book Antiqua" w:hAnsi="Book Antiqua" w:cs="Calibri"/>
        </w:rPr>
        <w:t>fronto</w:t>
      </w:r>
      <w:proofErr w:type="spellEnd"/>
      <w:r w:rsidRPr="00C02EF6">
        <w:rPr>
          <w:rFonts w:ascii="Book Antiqua" w:hAnsi="Book Antiqua" w:cs="Calibri"/>
        </w:rPr>
        <w:t>-temporal atrophy with multiple bilateral symmetrical abnormal low and high signal intensity involving caudate nucleus and lentiform nucleus in T1</w:t>
      </w:r>
      <w:r w:rsidR="00001EB6" w:rsidRPr="00C02EF6">
        <w:rPr>
          <w:rFonts w:ascii="Book Antiqua" w:hAnsi="Book Antiqua" w:cs="Calibri"/>
        </w:rPr>
        <w:t>-</w:t>
      </w:r>
      <w:r w:rsidRPr="00C02EF6">
        <w:rPr>
          <w:rFonts w:ascii="Book Antiqua" w:hAnsi="Book Antiqua" w:cs="Calibri"/>
        </w:rPr>
        <w:t xml:space="preserve"> and T2-weighted sections, </w:t>
      </w:r>
      <w:bookmarkEnd w:id="10"/>
      <w:bookmarkEnd w:id="11"/>
      <w:r w:rsidRPr="00C02EF6">
        <w:rPr>
          <w:rFonts w:ascii="Book Antiqua" w:hAnsi="Book Antiqua" w:cs="Calibri"/>
        </w:rPr>
        <w:t xml:space="preserve">respectively. </w:t>
      </w:r>
      <w:r w:rsidR="00DC7820" w:rsidRPr="00C02EF6">
        <w:rPr>
          <w:rFonts w:ascii="Book Antiqua" w:hAnsi="Book Antiqua" w:cs="Calibri"/>
        </w:rPr>
        <w:t>Twenty</w:t>
      </w:r>
      <w:r w:rsidRPr="00C02EF6">
        <w:rPr>
          <w:rFonts w:ascii="Book Antiqua" w:hAnsi="Book Antiqua" w:cs="Calibri"/>
        </w:rPr>
        <w:t xml:space="preserve"> months after transplantation, brain </w:t>
      </w:r>
      <w:r w:rsidR="000B3A04" w:rsidRPr="00C02EF6">
        <w:rPr>
          <w:rFonts w:ascii="Book Antiqua" w:hAnsi="Book Antiqua" w:cs="Calibri"/>
        </w:rPr>
        <w:t xml:space="preserve">magnetic resonance imaging </w:t>
      </w:r>
      <w:r w:rsidRPr="00C02EF6">
        <w:rPr>
          <w:rFonts w:ascii="Book Antiqua" w:hAnsi="Book Antiqua" w:cs="Calibri"/>
        </w:rPr>
        <w:t xml:space="preserve">shows </w:t>
      </w:r>
      <w:bookmarkStart w:id="12" w:name="OLE_LINK5"/>
      <w:bookmarkStart w:id="13" w:name="OLE_LINK6"/>
      <w:r w:rsidRPr="00C02EF6">
        <w:rPr>
          <w:rFonts w:ascii="Book Antiqua" w:hAnsi="Book Antiqua" w:cs="Calibri"/>
        </w:rPr>
        <w:t>lesions remained but ameliorated</w:t>
      </w:r>
      <w:bookmarkEnd w:id="12"/>
      <w:bookmarkEnd w:id="13"/>
      <w:r w:rsidRPr="00C02EF6">
        <w:rPr>
          <w:rFonts w:ascii="Book Antiqua" w:hAnsi="Book Antiqua" w:cs="Calibri"/>
        </w:rPr>
        <w:t>.</w:t>
      </w:r>
      <w:bookmarkEnd w:id="8"/>
      <w:bookmarkEnd w:id="9"/>
    </w:p>
    <w:p w14:paraId="6BF45DDD" w14:textId="1BBA9A4F" w:rsidR="00D24A9F" w:rsidRDefault="00D24A9F" w:rsidP="00476043">
      <w:pPr>
        <w:autoSpaceDE w:val="0"/>
        <w:autoSpaceDN w:val="0"/>
        <w:adjustRightInd w:val="0"/>
        <w:snapToGrid w:val="0"/>
        <w:spacing w:line="360" w:lineRule="auto"/>
        <w:jc w:val="both"/>
        <w:rPr>
          <w:rFonts w:ascii="Book Antiqua" w:hAnsi="Book Antiqua" w:cs="Calibri"/>
        </w:rPr>
        <w:sectPr w:rsidR="00D24A9F">
          <w:pgSz w:w="12240" w:h="15840"/>
          <w:pgMar w:top="1440" w:right="1440" w:bottom="1440" w:left="1440" w:header="720" w:footer="720" w:gutter="0"/>
          <w:cols w:space="720"/>
          <w:docGrid w:linePitch="360"/>
        </w:sectPr>
      </w:pPr>
    </w:p>
    <w:p w14:paraId="470E36C3" w14:textId="36454210" w:rsidR="00EE5A7D" w:rsidRPr="00476043" w:rsidRDefault="00B87326" w:rsidP="00476043">
      <w:pPr>
        <w:snapToGrid w:val="0"/>
        <w:spacing w:line="360" w:lineRule="auto"/>
        <w:jc w:val="both"/>
        <w:rPr>
          <w:rFonts w:ascii="Book Antiqua" w:eastAsia="Book Antiqua" w:hAnsi="Book Antiqua" w:cs="Book Antiqua"/>
          <w:b/>
          <w:bCs/>
        </w:rPr>
      </w:pPr>
      <w:r w:rsidRPr="00C02EF6">
        <w:rPr>
          <w:rFonts w:ascii="Book Antiqua" w:hAnsi="Book Antiqua" w:cs="Calibri"/>
          <w:b/>
          <w:bCs/>
        </w:rPr>
        <w:lastRenderedPageBreak/>
        <w:t xml:space="preserve">Table 1 The characteristics of liver transplant recipients with ethylmalonic encephalopathy before and after </w:t>
      </w:r>
      <w:r w:rsidRPr="00476043">
        <w:rPr>
          <w:rFonts w:ascii="Book Antiqua" w:eastAsia="Book Antiqua" w:hAnsi="Book Antiqua" w:cs="Book Antiqua"/>
          <w:b/>
          <w:bCs/>
        </w:rPr>
        <w:t>liver transplantation</w:t>
      </w:r>
    </w:p>
    <w:tbl>
      <w:tblPr>
        <w:tblStyle w:val="a8"/>
        <w:tblW w:w="52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2"/>
        <w:gridCol w:w="556"/>
        <w:gridCol w:w="695"/>
        <w:gridCol w:w="976"/>
        <w:gridCol w:w="1393"/>
        <w:gridCol w:w="1396"/>
        <w:gridCol w:w="976"/>
        <w:gridCol w:w="840"/>
        <w:gridCol w:w="1396"/>
        <w:gridCol w:w="1254"/>
        <w:gridCol w:w="837"/>
        <w:gridCol w:w="1810"/>
      </w:tblGrid>
      <w:tr w:rsidR="00C02EF6" w:rsidRPr="00C02EF6" w14:paraId="21D45897" w14:textId="0BAA5D4B" w:rsidTr="002404FC">
        <w:tc>
          <w:tcPr>
            <w:tcW w:w="551" w:type="pct"/>
            <w:tcBorders>
              <w:top w:val="single" w:sz="4" w:space="0" w:color="auto"/>
              <w:bottom w:val="single" w:sz="4" w:space="0" w:color="auto"/>
            </w:tcBorders>
          </w:tcPr>
          <w:p w14:paraId="3EC3AE38" w14:textId="0BB90C72"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Ref.</w:t>
            </w:r>
          </w:p>
        </w:tc>
        <w:tc>
          <w:tcPr>
            <w:tcW w:w="204" w:type="pct"/>
            <w:tcBorders>
              <w:top w:val="single" w:sz="4" w:space="0" w:color="auto"/>
              <w:bottom w:val="single" w:sz="4" w:space="0" w:color="auto"/>
            </w:tcBorders>
          </w:tcPr>
          <w:p w14:paraId="09BC1E5E" w14:textId="0F0FF05A"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 xml:space="preserve">Case </w:t>
            </w:r>
            <w:r w:rsidR="00C02EF6">
              <w:rPr>
                <w:rFonts w:ascii="Book Antiqua" w:hAnsi="Book Antiqua" w:cs="Calibri"/>
                <w:b/>
                <w:bCs/>
              </w:rPr>
              <w:t>number</w:t>
            </w:r>
          </w:p>
        </w:tc>
        <w:tc>
          <w:tcPr>
            <w:tcW w:w="255" w:type="pct"/>
            <w:tcBorders>
              <w:top w:val="single" w:sz="4" w:space="0" w:color="auto"/>
              <w:bottom w:val="single" w:sz="4" w:space="0" w:color="auto"/>
            </w:tcBorders>
          </w:tcPr>
          <w:p w14:paraId="0FED95B6" w14:textId="52F14B14"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Gender</w:t>
            </w:r>
          </w:p>
        </w:tc>
        <w:tc>
          <w:tcPr>
            <w:tcW w:w="358" w:type="pct"/>
            <w:tcBorders>
              <w:top w:val="single" w:sz="4" w:space="0" w:color="auto"/>
              <w:bottom w:val="single" w:sz="4" w:space="0" w:color="auto"/>
            </w:tcBorders>
          </w:tcPr>
          <w:p w14:paraId="3F6EAE5D" w14:textId="28745A7C"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Age at diagnosis</w:t>
            </w:r>
          </w:p>
        </w:tc>
        <w:tc>
          <w:tcPr>
            <w:tcW w:w="511" w:type="pct"/>
            <w:tcBorders>
              <w:top w:val="single" w:sz="4" w:space="0" w:color="auto"/>
              <w:bottom w:val="single" w:sz="4" w:space="0" w:color="auto"/>
            </w:tcBorders>
          </w:tcPr>
          <w:p w14:paraId="54F2A11F" w14:textId="12C03249"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Pre-LT dietary restriction</w:t>
            </w:r>
          </w:p>
        </w:tc>
        <w:tc>
          <w:tcPr>
            <w:tcW w:w="512" w:type="pct"/>
            <w:tcBorders>
              <w:top w:val="single" w:sz="4" w:space="0" w:color="auto"/>
              <w:bottom w:val="single" w:sz="4" w:space="0" w:color="auto"/>
            </w:tcBorders>
          </w:tcPr>
          <w:p w14:paraId="2217301E" w14:textId="7F241B01"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Pre-LT medical treatment</w:t>
            </w:r>
          </w:p>
        </w:tc>
        <w:tc>
          <w:tcPr>
            <w:tcW w:w="358" w:type="pct"/>
            <w:tcBorders>
              <w:top w:val="single" w:sz="4" w:space="0" w:color="auto"/>
              <w:bottom w:val="single" w:sz="4" w:space="0" w:color="auto"/>
            </w:tcBorders>
          </w:tcPr>
          <w:p w14:paraId="5E04350C" w14:textId="001C5622"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Age at LT</w:t>
            </w:r>
            <w:r w:rsidR="00C02EF6">
              <w:rPr>
                <w:rFonts w:ascii="Book Antiqua" w:hAnsi="Book Antiqua" w:cs="Calibri"/>
                <w:b/>
                <w:bCs/>
              </w:rPr>
              <w:t xml:space="preserve"> in</w:t>
            </w:r>
            <w:r w:rsidRPr="00C02EF6">
              <w:rPr>
                <w:rFonts w:ascii="Book Antiqua" w:hAnsi="Book Antiqua" w:cs="Calibri"/>
                <w:b/>
                <w:bCs/>
              </w:rPr>
              <w:t xml:space="preserve"> </w:t>
            </w:r>
            <w:proofErr w:type="spellStart"/>
            <w:r w:rsidRPr="00C02EF6">
              <w:rPr>
                <w:rFonts w:ascii="Book Antiqua" w:hAnsi="Book Antiqua" w:cs="Calibri"/>
                <w:b/>
                <w:bCs/>
              </w:rPr>
              <w:t>mo</w:t>
            </w:r>
            <w:proofErr w:type="spellEnd"/>
          </w:p>
        </w:tc>
        <w:tc>
          <w:tcPr>
            <w:tcW w:w="308" w:type="pct"/>
            <w:tcBorders>
              <w:top w:val="single" w:sz="4" w:space="0" w:color="auto"/>
              <w:bottom w:val="single" w:sz="4" w:space="0" w:color="auto"/>
            </w:tcBorders>
          </w:tcPr>
          <w:p w14:paraId="29A7F85F" w14:textId="057E4262"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Type of graft</w:t>
            </w:r>
          </w:p>
        </w:tc>
        <w:tc>
          <w:tcPr>
            <w:tcW w:w="512" w:type="pct"/>
            <w:tcBorders>
              <w:top w:val="single" w:sz="4" w:space="0" w:color="auto"/>
              <w:bottom w:val="single" w:sz="4" w:space="0" w:color="auto"/>
            </w:tcBorders>
          </w:tcPr>
          <w:p w14:paraId="4E6FBE0F" w14:textId="75BB6752"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Post-LT dietary restriction</w:t>
            </w:r>
          </w:p>
        </w:tc>
        <w:tc>
          <w:tcPr>
            <w:tcW w:w="460" w:type="pct"/>
            <w:tcBorders>
              <w:top w:val="single" w:sz="4" w:space="0" w:color="auto"/>
              <w:bottom w:val="single" w:sz="4" w:space="0" w:color="auto"/>
            </w:tcBorders>
          </w:tcPr>
          <w:p w14:paraId="0DE6F4FB" w14:textId="4E2E575D"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Post-LT medical treatment</w:t>
            </w:r>
          </w:p>
        </w:tc>
        <w:tc>
          <w:tcPr>
            <w:tcW w:w="307" w:type="pct"/>
            <w:tcBorders>
              <w:top w:val="single" w:sz="4" w:space="0" w:color="auto"/>
              <w:bottom w:val="single" w:sz="4" w:space="0" w:color="auto"/>
            </w:tcBorders>
          </w:tcPr>
          <w:p w14:paraId="2D5B65E2" w14:textId="3F2FAAF3"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Follow-up</w:t>
            </w:r>
            <w:r w:rsidR="00C02EF6">
              <w:rPr>
                <w:rFonts w:ascii="Book Antiqua" w:hAnsi="Book Antiqua" w:cs="Calibri"/>
                <w:b/>
                <w:bCs/>
              </w:rPr>
              <w:t xml:space="preserve"> in</w:t>
            </w:r>
            <w:r w:rsidRPr="00C02EF6">
              <w:rPr>
                <w:rFonts w:ascii="Book Antiqua" w:hAnsi="Book Antiqua" w:cs="Calibri"/>
                <w:b/>
                <w:bCs/>
              </w:rPr>
              <w:t xml:space="preserve"> </w:t>
            </w:r>
            <w:proofErr w:type="spellStart"/>
            <w:r w:rsidRPr="00C02EF6">
              <w:rPr>
                <w:rFonts w:ascii="Book Antiqua" w:hAnsi="Book Antiqua" w:cs="Calibri"/>
                <w:b/>
                <w:bCs/>
              </w:rPr>
              <w:t>mo</w:t>
            </w:r>
            <w:proofErr w:type="spellEnd"/>
            <w:r w:rsidRPr="00C02EF6">
              <w:rPr>
                <w:rFonts w:ascii="Book Antiqua" w:hAnsi="Book Antiqua" w:cs="Calibri"/>
                <w:b/>
                <w:bCs/>
              </w:rPr>
              <w:t xml:space="preserve"> </w:t>
            </w:r>
          </w:p>
        </w:tc>
        <w:tc>
          <w:tcPr>
            <w:tcW w:w="664" w:type="pct"/>
            <w:tcBorders>
              <w:top w:val="single" w:sz="4" w:space="0" w:color="auto"/>
              <w:bottom w:val="single" w:sz="4" w:space="0" w:color="auto"/>
            </w:tcBorders>
          </w:tcPr>
          <w:p w14:paraId="66E47461" w14:textId="6E546E4A"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Neurodevelopmental outcomes</w:t>
            </w:r>
          </w:p>
        </w:tc>
      </w:tr>
      <w:tr w:rsidR="00C02EF6" w:rsidRPr="00C02EF6" w14:paraId="57EDAE67" w14:textId="5148D280" w:rsidTr="002404FC">
        <w:tc>
          <w:tcPr>
            <w:tcW w:w="551" w:type="pct"/>
            <w:tcBorders>
              <w:top w:val="single" w:sz="4" w:space="0" w:color="auto"/>
            </w:tcBorders>
          </w:tcPr>
          <w:p w14:paraId="6A576116" w14:textId="4EC66C4B"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 xml:space="preserve">Dionisi-Vici </w:t>
            </w:r>
            <w:r w:rsidRPr="00C02EF6">
              <w:rPr>
                <w:rFonts w:ascii="Book Antiqua" w:hAnsi="Book Antiqua" w:cs="Calibri"/>
                <w:i/>
                <w:iCs/>
              </w:rPr>
              <w:t>et al</w:t>
            </w:r>
            <w:r w:rsidRPr="00476043">
              <w:rPr>
                <w:rFonts w:ascii="Book Antiqua" w:hAnsi="Book Antiqua" w:cs="Calibri"/>
                <w:vertAlign w:val="superscript"/>
              </w:rPr>
              <w:t>[3]</w:t>
            </w:r>
            <w:r w:rsidRPr="00C02EF6">
              <w:rPr>
                <w:rFonts w:ascii="Book Antiqua" w:hAnsi="Book Antiqua" w:cs="Calibri"/>
              </w:rPr>
              <w:t xml:space="preserve"> 2016</w:t>
            </w:r>
          </w:p>
        </w:tc>
        <w:tc>
          <w:tcPr>
            <w:tcW w:w="204" w:type="pct"/>
            <w:tcBorders>
              <w:top w:val="single" w:sz="4" w:space="0" w:color="auto"/>
            </w:tcBorders>
          </w:tcPr>
          <w:p w14:paraId="55E2E68E" w14:textId="171050E9"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1</w:t>
            </w:r>
          </w:p>
        </w:tc>
        <w:tc>
          <w:tcPr>
            <w:tcW w:w="255" w:type="pct"/>
            <w:tcBorders>
              <w:top w:val="single" w:sz="4" w:space="0" w:color="auto"/>
            </w:tcBorders>
          </w:tcPr>
          <w:p w14:paraId="7D0FD508" w14:textId="0DDA1C87"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Female</w:t>
            </w:r>
          </w:p>
        </w:tc>
        <w:tc>
          <w:tcPr>
            <w:tcW w:w="358" w:type="pct"/>
            <w:tcBorders>
              <w:top w:val="single" w:sz="4" w:space="0" w:color="auto"/>
            </w:tcBorders>
          </w:tcPr>
          <w:p w14:paraId="42B3BE93" w14:textId="7E0BA275"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7 mo</w:t>
            </w:r>
          </w:p>
        </w:tc>
        <w:tc>
          <w:tcPr>
            <w:tcW w:w="511" w:type="pct"/>
            <w:tcBorders>
              <w:top w:val="single" w:sz="4" w:space="0" w:color="auto"/>
            </w:tcBorders>
          </w:tcPr>
          <w:p w14:paraId="7AE58BA6" w14:textId="7255E392"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N/A</w:t>
            </w:r>
          </w:p>
        </w:tc>
        <w:tc>
          <w:tcPr>
            <w:tcW w:w="512" w:type="pct"/>
            <w:tcBorders>
              <w:top w:val="single" w:sz="4" w:space="0" w:color="auto"/>
            </w:tcBorders>
          </w:tcPr>
          <w:p w14:paraId="32BE13C7" w14:textId="2AC7899E"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Metronidazole, N-acetylcysteine</w:t>
            </w:r>
          </w:p>
        </w:tc>
        <w:tc>
          <w:tcPr>
            <w:tcW w:w="358" w:type="pct"/>
            <w:tcBorders>
              <w:top w:val="single" w:sz="4" w:space="0" w:color="auto"/>
            </w:tcBorders>
          </w:tcPr>
          <w:p w14:paraId="1875A7C8" w14:textId="75D8D304"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9</w:t>
            </w:r>
          </w:p>
        </w:tc>
        <w:tc>
          <w:tcPr>
            <w:tcW w:w="308" w:type="pct"/>
            <w:tcBorders>
              <w:top w:val="single" w:sz="4" w:space="0" w:color="auto"/>
            </w:tcBorders>
          </w:tcPr>
          <w:p w14:paraId="3693F6DD" w14:textId="57C56B8A"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LDLT</w:t>
            </w:r>
          </w:p>
        </w:tc>
        <w:tc>
          <w:tcPr>
            <w:tcW w:w="512" w:type="pct"/>
            <w:tcBorders>
              <w:top w:val="single" w:sz="4" w:space="0" w:color="auto"/>
            </w:tcBorders>
          </w:tcPr>
          <w:p w14:paraId="02D95C3E" w14:textId="3177ACC0"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N/A</w:t>
            </w:r>
          </w:p>
        </w:tc>
        <w:tc>
          <w:tcPr>
            <w:tcW w:w="460" w:type="pct"/>
            <w:tcBorders>
              <w:top w:val="single" w:sz="4" w:space="0" w:color="auto"/>
            </w:tcBorders>
          </w:tcPr>
          <w:p w14:paraId="6C598DFA" w14:textId="3E7E5C22" w:rsidR="00040CBF" w:rsidRPr="00C02EF6" w:rsidRDefault="00E55F74" w:rsidP="00476043">
            <w:pPr>
              <w:snapToGrid w:val="0"/>
              <w:spacing w:line="360" w:lineRule="auto"/>
              <w:jc w:val="both"/>
              <w:rPr>
                <w:rFonts w:ascii="Book Antiqua" w:hAnsi="Book Antiqua" w:cs="Calibri"/>
                <w:b/>
                <w:bCs/>
              </w:rPr>
            </w:pPr>
            <w:r w:rsidRPr="00C02EF6">
              <w:rPr>
                <w:rFonts w:ascii="Book Antiqua" w:hAnsi="Book Antiqua" w:cs="Calibri"/>
              </w:rPr>
              <w:t>C</w:t>
            </w:r>
            <w:r w:rsidR="00040CBF" w:rsidRPr="00C02EF6">
              <w:rPr>
                <w:rFonts w:ascii="Book Antiqua" w:hAnsi="Book Antiqua" w:cs="Calibri"/>
              </w:rPr>
              <w:t>arnitine, metronidazole</w:t>
            </w:r>
          </w:p>
        </w:tc>
        <w:tc>
          <w:tcPr>
            <w:tcW w:w="307" w:type="pct"/>
            <w:tcBorders>
              <w:top w:val="single" w:sz="4" w:space="0" w:color="auto"/>
            </w:tcBorders>
          </w:tcPr>
          <w:p w14:paraId="5C3F105E" w14:textId="29C79812"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12</w:t>
            </w:r>
          </w:p>
        </w:tc>
        <w:tc>
          <w:tcPr>
            <w:tcW w:w="664" w:type="pct"/>
            <w:tcBorders>
              <w:top w:val="single" w:sz="4" w:space="0" w:color="auto"/>
            </w:tcBorders>
          </w:tcPr>
          <w:p w14:paraId="050DEC8D" w14:textId="3CA6BE39"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Striking neurological improvement, remarkable achievements in psychomotor development.</w:t>
            </w:r>
          </w:p>
        </w:tc>
      </w:tr>
      <w:tr w:rsidR="00C02EF6" w:rsidRPr="00C02EF6" w14:paraId="2D49563F" w14:textId="7CC44703" w:rsidTr="002404FC">
        <w:tc>
          <w:tcPr>
            <w:tcW w:w="551" w:type="pct"/>
          </w:tcPr>
          <w:p w14:paraId="54488FD1" w14:textId="4E73015F"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 xml:space="preserve">Tam </w:t>
            </w:r>
            <w:r w:rsidRPr="00C02EF6">
              <w:rPr>
                <w:rFonts w:ascii="Book Antiqua" w:hAnsi="Book Antiqua" w:cs="Calibri"/>
                <w:i/>
                <w:iCs/>
              </w:rPr>
              <w:t>et al</w:t>
            </w:r>
            <w:r w:rsidR="002404FC" w:rsidRPr="00476043">
              <w:rPr>
                <w:rFonts w:ascii="Book Antiqua" w:hAnsi="Book Antiqua" w:cs="Calibri"/>
                <w:vertAlign w:val="superscript"/>
              </w:rPr>
              <w:t>[11]</w:t>
            </w:r>
            <w:r w:rsidRPr="00C02EF6">
              <w:rPr>
                <w:rFonts w:ascii="Book Antiqua" w:hAnsi="Book Antiqua" w:cs="Calibri"/>
              </w:rPr>
              <w:t xml:space="preserve"> 2019</w:t>
            </w:r>
          </w:p>
        </w:tc>
        <w:tc>
          <w:tcPr>
            <w:tcW w:w="204" w:type="pct"/>
          </w:tcPr>
          <w:p w14:paraId="16DBDD90" w14:textId="67FCB709"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2</w:t>
            </w:r>
          </w:p>
        </w:tc>
        <w:tc>
          <w:tcPr>
            <w:tcW w:w="255" w:type="pct"/>
          </w:tcPr>
          <w:p w14:paraId="568672FC" w14:textId="03852DDB"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Female</w:t>
            </w:r>
          </w:p>
        </w:tc>
        <w:tc>
          <w:tcPr>
            <w:tcW w:w="358" w:type="pct"/>
          </w:tcPr>
          <w:p w14:paraId="791800FC" w14:textId="1F644C9B"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13 mo</w:t>
            </w:r>
          </w:p>
        </w:tc>
        <w:tc>
          <w:tcPr>
            <w:tcW w:w="511" w:type="pct"/>
          </w:tcPr>
          <w:p w14:paraId="426ECACD" w14:textId="64085C10"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N/A</w:t>
            </w:r>
          </w:p>
        </w:tc>
        <w:tc>
          <w:tcPr>
            <w:tcW w:w="512" w:type="pct"/>
          </w:tcPr>
          <w:p w14:paraId="25F42152" w14:textId="3B435294" w:rsidR="00040CBF" w:rsidRPr="00C02EF6" w:rsidRDefault="002404FC" w:rsidP="00476043">
            <w:pPr>
              <w:snapToGrid w:val="0"/>
              <w:spacing w:line="360" w:lineRule="auto"/>
              <w:jc w:val="both"/>
              <w:rPr>
                <w:rFonts w:ascii="Book Antiqua" w:hAnsi="Book Antiqua" w:cs="Calibri"/>
                <w:b/>
                <w:bCs/>
              </w:rPr>
            </w:pPr>
            <w:r w:rsidRPr="00C02EF6">
              <w:rPr>
                <w:rFonts w:ascii="Book Antiqua" w:hAnsi="Book Antiqua" w:cs="Calibri"/>
              </w:rPr>
              <w:t>M</w:t>
            </w:r>
            <w:r w:rsidR="00040CBF" w:rsidRPr="00C02EF6">
              <w:rPr>
                <w:rFonts w:ascii="Book Antiqua" w:hAnsi="Book Antiqua" w:cs="Calibri"/>
              </w:rPr>
              <w:t>etronidazole, N-acetylcysteine</w:t>
            </w:r>
          </w:p>
        </w:tc>
        <w:tc>
          <w:tcPr>
            <w:tcW w:w="358" w:type="pct"/>
          </w:tcPr>
          <w:p w14:paraId="7A74B19F" w14:textId="7861A659"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19</w:t>
            </w:r>
          </w:p>
        </w:tc>
        <w:tc>
          <w:tcPr>
            <w:tcW w:w="308" w:type="pct"/>
          </w:tcPr>
          <w:p w14:paraId="6AA1A65C" w14:textId="4BBB60FA"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DDLT</w:t>
            </w:r>
          </w:p>
        </w:tc>
        <w:tc>
          <w:tcPr>
            <w:tcW w:w="512" w:type="pct"/>
          </w:tcPr>
          <w:p w14:paraId="0E703DE5" w14:textId="572B143F"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N/A</w:t>
            </w:r>
          </w:p>
        </w:tc>
        <w:tc>
          <w:tcPr>
            <w:tcW w:w="460" w:type="pct"/>
          </w:tcPr>
          <w:p w14:paraId="5CDD2345" w14:textId="13D412E8" w:rsidR="00040CBF" w:rsidRPr="00C02EF6" w:rsidRDefault="002404FC" w:rsidP="00476043">
            <w:pPr>
              <w:snapToGrid w:val="0"/>
              <w:spacing w:line="360" w:lineRule="auto"/>
              <w:jc w:val="both"/>
              <w:rPr>
                <w:rFonts w:ascii="Book Antiqua" w:hAnsi="Book Antiqua" w:cs="Calibri"/>
                <w:b/>
                <w:bCs/>
              </w:rPr>
            </w:pPr>
            <w:r w:rsidRPr="00C02EF6">
              <w:rPr>
                <w:rFonts w:ascii="Book Antiqua" w:hAnsi="Book Antiqua" w:cs="Calibri"/>
              </w:rPr>
              <w:t>C</w:t>
            </w:r>
            <w:r w:rsidR="00040CBF" w:rsidRPr="00C02EF6">
              <w:rPr>
                <w:rFonts w:ascii="Book Antiqua" w:hAnsi="Book Antiqua" w:cs="Calibri"/>
              </w:rPr>
              <w:t>arnitine, metronidazole, N-</w:t>
            </w:r>
            <w:r w:rsidR="00040CBF" w:rsidRPr="00C02EF6">
              <w:rPr>
                <w:rFonts w:ascii="Book Antiqua" w:hAnsi="Book Antiqua" w:cs="Calibri"/>
              </w:rPr>
              <w:lastRenderedPageBreak/>
              <w:t>acetylcysteine</w:t>
            </w:r>
          </w:p>
        </w:tc>
        <w:tc>
          <w:tcPr>
            <w:tcW w:w="307" w:type="pct"/>
          </w:tcPr>
          <w:p w14:paraId="617B2B0D" w14:textId="4D6C6672"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lastRenderedPageBreak/>
              <w:t>9</w:t>
            </w:r>
          </w:p>
        </w:tc>
        <w:tc>
          <w:tcPr>
            <w:tcW w:w="664" w:type="pct"/>
          </w:tcPr>
          <w:p w14:paraId="5041C71F" w14:textId="69EF5595" w:rsidR="00040CBF" w:rsidRPr="00C02EF6" w:rsidRDefault="002404FC" w:rsidP="00476043">
            <w:pPr>
              <w:snapToGrid w:val="0"/>
              <w:spacing w:line="360" w:lineRule="auto"/>
              <w:jc w:val="both"/>
              <w:rPr>
                <w:rFonts w:ascii="Book Antiqua" w:hAnsi="Book Antiqua" w:cs="Calibri"/>
                <w:b/>
                <w:bCs/>
              </w:rPr>
            </w:pPr>
            <w:r w:rsidRPr="00C02EF6">
              <w:rPr>
                <w:rFonts w:ascii="Book Antiqua" w:hAnsi="Book Antiqua" w:cs="Calibri"/>
              </w:rPr>
              <w:t>D</w:t>
            </w:r>
            <w:r w:rsidR="00040CBF" w:rsidRPr="00C02EF6">
              <w:rPr>
                <w:rFonts w:ascii="Book Antiqua" w:hAnsi="Book Antiqua" w:cs="Calibri"/>
              </w:rPr>
              <w:t>rastically improved social interaction and language</w:t>
            </w:r>
            <w:r w:rsidRPr="00C02EF6">
              <w:rPr>
                <w:rFonts w:ascii="Book Antiqua" w:hAnsi="Book Antiqua" w:cs="Calibri"/>
              </w:rPr>
              <w:t>.</w:t>
            </w:r>
          </w:p>
        </w:tc>
      </w:tr>
      <w:tr w:rsidR="00C02EF6" w:rsidRPr="00C02EF6" w14:paraId="39B9E8E6" w14:textId="44B91ED2" w:rsidTr="002404FC">
        <w:tc>
          <w:tcPr>
            <w:tcW w:w="551" w:type="pct"/>
          </w:tcPr>
          <w:p w14:paraId="717E898C" w14:textId="77777777" w:rsidR="00040CBF" w:rsidRPr="00C02EF6" w:rsidRDefault="00040CBF" w:rsidP="00476043">
            <w:pPr>
              <w:snapToGrid w:val="0"/>
              <w:spacing w:line="360" w:lineRule="auto"/>
              <w:jc w:val="both"/>
              <w:rPr>
                <w:rFonts w:ascii="Book Antiqua" w:hAnsi="Book Antiqua" w:cs="Calibri"/>
                <w:b/>
                <w:bCs/>
              </w:rPr>
            </w:pPr>
          </w:p>
        </w:tc>
        <w:tc>
          <w:tcPr>
            <w:tcW w:w="204" w:type="pct"/>
          </w:tcPr>
          <w:p w14:paraId="35C15DBE" w14:textId="6506BD8B"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3</w:t>
            </w:r>
          </w:p>
        </w:tc>
        <w:tc>
          <w:tcPr>
            <w:tcW w:w="255" w:type="pct"/>
          </w:tcPr>
          <w:p w14:paraId="424C32B2" w14:textId="273CD0A0"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Male</w:t>
            </w:r>
          </w:p>
        </w:tc>
        <w:tc>
          <w:tcPr>
            <w:tcW w:w="358" w:type="pct"/>
          </w:tcPr>
          <w:p w14:paraId="506D399E" w14:textId="65DB9193"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8 wk</w:t>
            </w:r>
          </w:p>
        </w:tc>
        <w:tc>
          <w:tcPr>
            <w:tcW w:w="511" w:type="pct"/>
          </w:tcPr>
          <w:p w14:paraId="1AFC9B25" w14:textId="2FC0ADC0"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N/A</w:t>
            </w:r>
          </w:p>
        </w:tc>
        <w:tc>
          <w:tcPr>
            <w:tcW w:w="512" w:type="pct"/>
          </w:tcPr>
          <w:p w14:paraId="53C631B7" w14:textId="7B96B7A3" w:rsidR="00040CBF" w:rsidRPr="00C02EF6" w:rsidRDefault="002404FC" w:rsidP="00476043">
            <w:pPr>
              <w:snapToGrid w:val="0"/>
              <w:spacing w:line="360" w:lineRule="auto"/>
              <w:jc w:val="both"/>
              <w:rPr>
                <w:rFonts w:ascii="Book Antiqua" w:hAnsi="Book Antiqua" w:cs="Calibri"/>
                <w:b/>
                <w:bCs/>
              </w:rPr>
            </w:pPr>
            <w:r w:rsidRPr="00C02EF6">
              <w:rPr>
                <w:rFonts w:ascii="Book Antiqua" w:hAnsi="Book Antiqua" w:cs="Calibri"/>
              </w:rPr>
              <w:t>M</w:t>
            </w:r>
            <w:r w:rsidR="00040CBF" w:rsidRPr="00C02EF6">
              <w:rPr>
                <w:rFonts w:ascii="Book Antiqua" w:hAnsi="Book Antiqua" w:cs="Calibri"/>
              </w:rPr>
              <w:t>etronidazole, N-acetylcysteine</w:t>
            </w:r>
          </w:p>
        </w:tc>
        <w:tc>
          <w:tcPr>
            <w:tcW w:w="358" w:type="pct"/>
          </w:tcPr>
          <w:p w14:paraId="49787DC1" w14:textId="52EC4ABA"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13</w:t>
            </w:r>
          </w:p>
        </w:tc>
        <w:tc>
          <w:tcPr>
            <w:tcW w:w="308" w:type="pct"/>
          </w:tcPr>
          <w:p w14:paraId="56CD96B4" w14:textId="6E843A79"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OLT</w:t>
            </w:r>
          </w:p>
        </w:tc>
        <w:tc>
          <w:tcPr>
            <w:tcW w:w="512" w:type="pct"/>
          </w:tcPr>
          <w:p w14:paraId="2C6905E1" w14:textId="2AB48E34"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N/A</w:t>
            </w:r>
          </w:p>
        </w:tc>
        <w:tc>
          <w:tcPr>
            <w:tcW w:w="460" w:type="pct"/>
          </w:tcPr>
          <w:p w14:paraId="2EF10CE9" w14:textId="5EFD8F7A" w:rsidR="00040CBF" w:rsidRPr="00C02EF6" w:rsidRDefault="002404FC" w:rsidP="00476043">
            <w:pPr>
              <w:snapToGrid w:val="0"/>
              <w:spacing w:line="360" w:lineRule="auto"/>
              <w:jc w:val="both"/>
              <w:rPr>
                <w:rFonts w:ascii="Book Antiqua" w:hAnsi="Book Antiqua" w:cs="Calibri"/>
                <w:b/>
                <w:bCs/>
              </w:rPr>
            </w:pPr>
            <w:r w:rsidRPr="00C02EF6">
              <w:rPr>
                <w:rFonts w:ascii="Book Antiqua" w:hAnsi="Book Antiqua" w:cs="Calibri"/>
              </w:rPr>
              <w:t>M</w:t>
            </w:r>
            <w:r w:rsidR="00040CBF" w:rsidRPr="00C02EF6">
              <w:rPr>
                <w:rFonts w:ascii="Book Antiqua" w:hAnsi="Book Antiqua" w:cs="Calibri"/>
              </w:rPr>
              <w:t>etronidazole, N-acetylcysteine</w:t>
            </w:r>
          </w:p>
        </w:tc>
        <w:tc>
          <w:tcPr>
            <w:tcW w:w="307" w:type="pct"/>
          </w:tcPr>
          <w:p w14:paraId="33AAD208" w14:textId="54F3D497"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22</w:t>
            </w:r>
          </w:p>
        </w:tc>
        <w:tc>
          <w:tcPr>
            <w:tcW w:w="664" w:type="pct"/>
          </w:tcPr>
          <w:p w14:paraId="1429E365" w14:textId="16FCEDDF" w:rsidR="00040CBF" w:rsidRPr="00C02EF6" w:rsidRDefault="002404FC" w:rsidP="00476043">
            <w:pPr>
              <w:snapToGrid w:val="0"/>
              <w:spacing w:line="360" w:lineRule="auto"/>
              <w:jc w:val="both"/>
              <w:rPr>
                <w:rFonts w:ascii="Book Antiqua" w:hAnsi="Book Antiqua" w:cs="Calibri"/>
                <w:b/>
                <w:bCs/>
              </w:rPr>
            </w:pPr>
            <w:r w:rsidRPr="00C02EF6">
              <w:rPr>
                <w:rFonts w:ascii="Book Antiqua" w:hAnsi="Book Antiqua" w:cs="Calibri"/>
              </w:rPr>
              <w:t>N</w:t>
            </w:r>
            <w:r w:rsidR="00040CBF" w:rsidRPr="00C02EF6">
              <w:rPr>
                <w:rFonts w:ascii="Book Antiqua" w:hAnsi="Book Antiqua" w:cs="Calibri"/>
              </w:rPr>
              <w:t>o other encephalopathic episodes and slow developmental progress</w:t>
            </w:r>
            <w:r w:rsidRPr="00C02EF6">
              <w:rPr>
                <w:rFonts w:ascii="Book Antiqua" w:hAnsi="Book Antiqua" w:cs="Calibri"/>
              </w:rPr>
              <w:t>.</w:t>
            </w:r>
          </w:p>
        </w:tc>
      </w:tr>
      <w:tr w:rsidR="00C02EF6" w:rsidRPr="00C02EF6" w14:paraId="39C7D978" w14:textId="77777777" w:rsidTr="002404FC">
        <w:tc>
          <w:tcPr>
            <w:tcW w:w="551" w:type="pct"/>
            <w:tcBorders>
              <w:bottom w:val="single" w:sz="4" w:space="0" w:color="auto"/>
            </w:tcBorders>
          </w:tcPr>
          <w:p w14:paraId="6292DF34" w14:textId="42EEB479"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Present case</w:t>
            </w:r>
          </w:p>
        </w:tc>
        <w:tc>
          <w:tcPr>
            <w:tcW w:w="204" w:type="pct"/>
            <w:tcBorders>
              <w:bottom w:val="single" w:sz="4" w:space="0" w:color="auto"/>
            </w:tcBorders>
          </w:tcPr>
          <w:p w14:paraId="764D6E24" w14:textId="4EA25F34"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4</w:t>
            </w:r>
          </w:p>
        </w:tc>
        <w:tc>
          <w:tcPr>
            <w:tcW w:w="255" w:type="pct"/>
            <w:tcBorders>
              <w:bottom w:val="single" w:sz="4" w:space="0" w:color="auto"/>
            </w:tcBorders>
          </w:tcPr>
          <w:p w14:paraId="6FFDFA7C" w14:textId="631C4817"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Male</w:t>
            </w:r>
          </w:p>
        </w:tc>
        <w:tc>
          <w:tcPr>
            <w:tcW w:w="358" w:type="pct"/>
            <w:tcBorders>
              <w:bottom w:val="single" w:sz="4" w:space="0" w:color="auto"/>
            </w:tcBorders>
          </w:tcPr>
          <w:p w14:paraId="359486CE" w14:textId="336CA83E"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9 mo</w:t>
            </w:r>
          </w:p>
        </w:tc>
        <w:tc>
          <w:tcPr>
            <w:tcW w:w="511" w:type="pct"/>
            <w:tcBorders>
              <w:bottom w:val="single" w:sz="4" w:space="0" w:color="auto"/>
            </w:tcBorders>
          </w:tcPr>
          <w:p w14:paraId="799E23FB" w14:textId="2FB4F68B" w:rsidR="00040CBF" w:rsidRPr="00C02EF6" w:rsidRDefault="00040CBF" w:rsidP="00476043">
            <w:pPr>
              <w:autoSpaceDE w:val="0"/>
              <w:autoSpaceDN w:val="0"/>
              <w:adjustRightInd w:val="0"/>
              <w:snapToGrid w:val="0"/>
              <w:spacing w:line="360" w:lineRule="auto"/>
              <w:jc w:val="both"/>
              <w:rPr>
                <w:rFonts w:ascii="Book Antiqua" w:hAnsi="Book Antiqua" w:cs="Calibri"/>
              </w:rPr>
            </w:pPr>
            <w:r w:rsidRPr="00C02EF6">
              <w:rPr>
                <w:rFonts w:ascii="Book Antiqua" w:hAnsi="Book Antiqua" w:cs="Calibri"/>
              </w:rPr>
              <w:t>Yes</w:t>
            </w:r>
            <w:r w:rsidR="002404FC" w:rsidRPr="00C02EF6">
              <w:rPr>
                <w:rFonts w:ascii="Book Antiqua" w:hAnsi="Book Antiqua" w:cs="Calibri"/>
              </w:rPr>
              <w:t xml:space="preserve"> </w:t>
            </w:r>
            <w:r w:rsidRPr="00C02EF6">
              <w:rPr>
                <w:rFonts w:ascii="Book Antiqua" w:hAnsi="Book Antiqua" w:cs="Calibri"/>
              </w:rPr>
              <w:t>(start from 15 m</w:t>
            </w:r>
            <w:r w:rsidR="002404FC" w:rsidRPr="00C02EF6">
              <w:rPr>
                <w:rFonts w:ascii="Book Antiqua" w:hAnsi="Book Antiqua" w:cs="Calibri"/>
              </w:rPr>
              <w:t>o</w:t>
            </w:r>
            <w:r w:rsidRPr="00C02EF6">
              <w:rPr>
                <w:rFonts w:ascii="Book Antiqua" w:hAnsi="Book Antiqua" w:cs="Calibri"/>
              </w:rPr>
              <w:t>)</w:t>
            </w:r>
          </w:p>
        </w:tc>
        <w:tc>
          <w:tcPr>
            <w:tcW w:w="512" w:type="pct"/>
            <w:tcBorders>
              <w:bottom w:val="single" w:sz="4" w:space="0" w:color="auto"/>
            </w:tcBorders>
          </w:tcPr>
          <w:p w14:paraId="1C0D3546" w14:textId="0A8A62B5" w:rsidR="00040CBF" w:rsidRPr="00C02EF6" w:rsidRDefault="002404FC" w:rsidP="00476043">
            <w:pPr>
              <w:snapToGrid w:val="0"/>
              <w:spacing w:line="360" w:lineRule="auto"/>
              <w:jc w:val="both"/>
              <w:rPr>
                <w:rFonts w:ascii="Book Antiqua" w:hAnsi="Book Antiqua" w:cs="Calibri"/>
                <w:b/>
                <w:bCs/>
              </w:rPr>
            </w:pPr>
            <w:r w:rsidRPr="00C02EF6">
              <w:rPr>
                <w:rFonts w:ascii="Book Antiqua" w:hAnsi="Book Antiqua" w:cs="Calibri"/>
              </w:rPr>
              <w:t>C</w:t>
            </w:r>
            <w:r w:rsidR="00040CBF" w:rsidRPr="00C02EF6">
              <w:rPr>
                <w:rFonts w:ascii="Book Antiqua" w:hAnsi="Book Antiqua" w:cs="Calibri"/>
              </w:rPr>
              <w:t>arnitine, metronidazole, (start from 15 m)</w:t>
            </w:r>
          </w:p>
        </w:tc>
        <w:tc>
          <w:tcPr>
            <w:tcW w:w="358" w:type="pct"/>
            <w:tcBorders>
              <w:bottom w:val="single" w:sz="4" w:space="0" w:color="auto"/>
            </w:tcBorders>
          </w:tcPr>
          <w:p w14:paraId="13C13557" w14:textId="46FC0E89"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18</w:t>
            </w:r>
          </w:p>
        </w:tc>
        <w:tc>
          <w:tcPr>
            <w:tcW w:w="308" w:type="pct"/>
            <w:tcBorders>
              <w:bottom w:val="single" w:sz="4" w:space="0" w:color="auto"/>
            </w:tcBorders>
          </w:tcPr>
          <w:p w14:paraId="3C3028C9" w14:textId="61C4241F"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LDLT</w:t>
            </w:r>
          </w:p>
        </w:tc>
        <w:tc>
          <w:tcPr>
            <w:tcW w:w="512" w:type="pct"/>
            <w:tcBorders>
              <w:bottom w:val="single" w:sz="4" w:space="0" w:color="auto"/>
            </w:tcBorders>
          </w:tcPr>
          <w:p w14:paraId="062FB6A7" w14:textId="6BC02825"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No</w:t>
            </w:r>
          </w:p>
        </w:tc>
        <w:tc>
          <w:tcPr>
            <w:tcW w:w="460" w:type="pct"/>
            <w:tcBorders>
              <w:bottom w:val="single" w:sz="4" w:space="0" w:color="auto"/>
            </w:tcBorders>
          </w:tcPr>
          <w:p w14:paraId="53E1928F" w14:textId="28C9C997" w:rsidR="00040CBF" w:rsidRPr="00C02EF6" w:rsidRDefault="002404FC" w:rsidP="00476043">
            <w:pPr>
              <w:snapToGrid w:val="0"/>
              <w:spacing w:line="360" w:lineRule="auto"/>
              <w:jc w:val="both"/>
              <w:rPr>
                <w:rFonts w:ascii="Book Antiqua" w:hAnsi="Book Antiqua" w:cs="Calibri"/>
                <w:b/>
                <w:bCs/>
              </w:rPr>
            </w:pPr>
            <w:r w:rsidRPr="00C02EF6">
              <w:rPr>
                <w:rFonts w:ascii="Book Antiqua" w:hAnsi="Book Antiqua" w:cs="Calibri"/>
              </w:rPr>
              <w:t>C</w:t>
            </w:r>
            <w:r w:rsidR="00040CBF" w:rsidRPr="00C02EF6">
              <w:rPr>
                <w:rFonts w:ascii="Book Antiqua" w:hAnsi="Book Antiqua" w:cs="Calibri"/>
              </w:rPr>
              <w:t>arnitine, metronidazole (stop 2</w:t>
            </w:r>
            <w:r w:rsidRPr="00C02EF6">
              <w:rPr>
                <w:rFonts w:ascii="Book Antiqua" w:hAnsi="Book Antiqua" w:cs="Calibri"/>
              </w:rPr>
              <w:t xml:space="preserve"> </w:t>
            </w:r>
            <w:r w:rsidR="00040CBF" w:rsidRPr="00C02EF6">
              <w:rPr>
                <w:rFonts w:ascii="Book Antiqua" w:hAnsi="Book Antiqua" w:cs="Calibri"/>
              </w:rPr>
              <w:t>m</w:t>
            </w:r>
            <w:r w:rsidRPr="00C02EF6">
              <w:rPr>
                <w:rFonts w:ascii="Book Antiqua" w:hAnsi="Book Antiqua" w:cs="Calibri"/>
              </w:rPr>
              <w:t>o</w:t>
            </w:r>
            <w:r w:rsidR="00040CBF" w:rsidRPr="00C02EF6">
              <w:rPr>
                <w:rFonts w:ascii="Book Antiqua" w:hAnsi="Book Antiqua" w:cs="Calibri"/>
              </w:rPr>
              <w:t xml:space="preserve"> post-LT)</w:t>
            </w:r>
          </w:p>
        </w:tc>
        <w:tc>
          <w:tcPr>
            <w:tcW w:w="307" w:type="pct"/>
            <w:tcBorders>
              <w:bottom w:val="single" w:sz="4" w:space="0" w:color="auto"/>
            </w:tcBorders>
          </w:tcPr>
          <w:p w14:paraId="5F46454D" w14:textId="20106DD6"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20</w:t>
            </w:r>
          </w:p>
        </w:tc>
        <w:tc>
          <w:tcPr>
            <w:tcW w:w="664" w:type="pct"/>
            <w:tcBorders>
              <w:bottom w:val="single" w:sz="4" w:space="0" w:color="auto"/>
            </w:tcBorders>
          </w:tcPr>
          <w:p w14:paraId="3309CC55" w14:textId="2EDE6529" w:rsidR="00040CBF" w:rsidRPr="00C02EF6" w:rsidRDefault="002404FC" w:rsidP="00476043">
            <w:pPr>
              <w:snapToGrid w:val="0"/>
              <w:spacing w:line="360" w:lineRule="auto"/>
              <w:jc w:val="both"/>
              <w:rPr>
                <w:rFonts w:ascii="Book Antiqua" w:hAnsi="Book Antiqua" w:cs="Calibri"/>
                <w:b/>
                <w:bCs/>
              </w:rPr>
            </w:pPr>
            <w:r w:rsidRPr="00C02EF6">
              <w:rPr>
                <w:rFonts w:ascii="Book Antiqua" w:hAnsi="Book Antiqua" w:cs="Calibri"/>
              </w:rPr>
              <w:t>N</w:t>
            </w:r>
            <w:r w:rsidR="00040CBF" w:rsidRPr="00C02EF6">
              <w:rPr>
                <w:rFonts w:ascii="Book Antiqua" w:hAnsi="Book Antiqua" w:cs="Calibri"/>
              </w:rPr>
              <w:t>o obvious improvement</w:t>
            </w:r>
          </w:p>
        </w:tc>
      </w:tr>
    </w:tbl>
    <w:p w14:paraId="3C2B1F0D" w14:textId="74B15A21" w:rsidR="002404FC" w:rsidRPr="00C02EF6" w:rsidRDefault="002404FC" w:rsidP="00476043">
      <w:pPr>
        <w:snapToGrid w:val="0"/>
        <w:spacing w:line="360" w:lineRule="auto"/>
        <w:jc w:val="both"/>
        <w:rPr>
          <w:rFonts w:ascii="Book Antiqua" w:hAnsi="Book Antiqua" w:cs="Calibri"/>
        </w:rPr>
      </w:pPr>
      <w:r w:rsidRPr="00C02EF6">
        <w:rPr>
          <w:rFonts w:ascii="Book Antiqua" w:hAnsi="Book Antiqua" w:cs="Calibri"/>
        </w:rPr>
        <w:t>DDLT: Decreased donor liver transplantation; N/A: Not available; LT: Liver transplantation; LDLT: Living donor liver transplantation; OLT: Orthotopic liver transplantation.</w:t>
      </w:r>
    </w:p>
    <w:sectPr w:rsidR="002404FC" w:rsidRPr="00C02EF6" w:rsidSect="00B8732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D37901" w14:textId="77777777" w:rsidR="009466C8" w:rsidRDefault="009466C8" w:rsidP="00FF45A4">
      <w:r>
        <w:separator/>
      </w:r>
    </w:p>
  </w:endnote>
  <w:endnote w:type="continuationSeparator" w:id="0">
    <w:p w14:paraId="49E43E57" w14:textId="77777777" w:rsidR="009466C8" w:rsidRDefault="009466C8" w:rsidP="00FF4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105572950"/>
      <w:docPartObj>
        <w:docPartGallery w:val="Page Numbers (Bottom of Page)"/>
        <w:docPartUnique/>
      </w:docPartObj>
    </w:sdtPr>
    <w:sdtEndPr>
      <w:rPr>
        <w:noProof/>
      </w:rPr>
    </w:sdtEndPr>
    <w:sdtContent>
      <w:p w14:paraId="4AE7CCDE" w14:textId="3C25F9F2" w:rsidR="0079753D" w:rsidRPr="00476043" w:rsidRDefault="0079753D">
        <w:pPr>
          <w:pStyle w:val="a5"/>
          <w:jc w:val="right"/>
          <w:rPr>
            <w:rFonts w:ascii="Book Antiqua" w:hAnsi="Book Antiqua"/>
            <w:sz w:val="24"/>
            <w:szCs w:val="24"/>
          </w:rPr>
        </w:pPr>
        <w:r w:rsidRPr="00476043">
          <w:rPr>
            <w:rFonts w:ascii="Book Antiqua" w:hAnsi="Book Antiqua"/>
            <w:sz w:val="24"/>
            <w:szCs w:val="24"/>
          </w:rPr>
          <w:fldChar w:fldCharType="begin"/>
        </w:r>
        <w:r w:rsidRPr="00476043">
          <w:rPr>
            <w:rFonts w:ascii="Book Antiqua" w:hAnsi="Book Antiqua"/>
            <w:sz w:val="24"/>
            <w:szCs w:val="24"/>
          </w:rPr>
          <w:instrText xml:space="preserve"> PAGE   \* MERGEFORMAT </w:instrText>
        </w:r>
        <w:r w:rsidRPr="00476043">
          <w:rPr>
            <w:rFonts w:ascii="Book Antiqua" w:hAnsi="Book Antiqua"/>
            <w:sz w:val="24"/>
            <w:szCs w:val="24"/>
          </w:rPr>
          <w:fldChar w:fldCharType="separate"/>
        </w:r>
        <w:r w:rsidRPr="00476043">
          <w:rPr>
            <w:rFonts w:ascii="Book Antiqua" w:hAnsi="Book Antiqua"/>
            <w:noProof/>
            <w:sz w:val="24"/>
            <w:szCs w:val="24"/>
          </w:rPr>
          <w:t>2</w:t>
        </w:r>
        <w:r w:rsidRPr="00476043">
          <w:rPr>
            <w:rFonts w:ascii="Book Antiqua" w:hAnsi="Book Antiqua"/>
            <w:noProof/>
            <w:sz w:val="24"/>
            <w:szCs w:val="24"/>
          </w:rPr>
          <w:fldChar w:fldCharType="end"/>
        </w:r>
        <w:r w:rsidR="00C02EF6">
          <w:rPr>
            <w:rFonts w:ascii="Book Antiqua" w:hAnsi="Book Antiqua"/>
            <w:noProof/>
            <w:sz w:val="24"/>
            <w:szCs w:val="24"/>
          </w:rPr>
          <w:t xml:space="preserve"> </w:t>
        </w:r>
        <w:r w:rsidRPr="00476043">
          <w:rPr>
            <w:rFonts w:ascii="Book Antiqua" w:hAnsi="Book Antiqua"/>
            <w:noProof/>
            <w:sz w:val="24"/>
            <w:szCs w:val="24"/>
          </w:rPr>
          <w:t>/</w:t>
        </w:r>
        <w:r w:rsidR="00C02EF6">
          <w:rPr>
            <w:rFonts w:ascii="Book Antiqua" w:hAnsi="Book Antiqua"/>
            <w:noProof/>
            <w:sz w:val="24"/>
            <w:szCs w:val="24"/>
          </w:rPr>
          <w:t xml:space="preserve"> </w:t>
        </w:r>
        <w:r w:rsidR="000B3A04">
          <w:rPr>
            <w:rFonts w:ascii="Book Antiqua" w:hAnsi="Book Antiqua"/>
            <w:noProof/>
            <w:sz w:val="24"/>
            <w:szCs w:val="24"/>
          </w:rPr>
          <w:t>2</w:t>
        </w:r>
        <w:r w:rsidR="00476043">
          <w:rPr>
            <w:rFonts w:ascii="Book Antiqua" w:hAnsi="Book Antiqua"/>
            <w:noProof/>
            <w:sz w:val="24"/>
            <w:szCs w:val="24"/>
          </w:rPr>
          <w:t>1</w:t>
        </w:r>
      </w:p>
    </w:sdtContent>
  </w:sdt>
  <w:p w14:paraId="1E24CA91" w14:textId="77777777" w:rsidR="00FF45A4" w:rsidRDefault="00FF45A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FC0B24" w14:textId="77777777" w:rsidR="009466C8" w:rsidRDefault="009466C8" w:rsidP="00FF45A4">
      <w:r>
        <w:separator/>
      </w:r>
    </w:p>
  </w:footnote>
  <w:footnote w:type="continuationSeparator" w:id="0">
    <w:p w14:paraId="15E867F5" w14:textId="77777777" w:rsidR="009466C8" w:rsidRDefault="009466C8" w:rsidP="00FF4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C9C4D" w14:textId="77777777" w:rsidR="00EE5A7D" w:rsidRDefault="00EE5A7D" w:rsidP="00EE5A7D">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38E67" w14:textId="77777777" w:rsidR="00EE5A7D" w:rsidRDefault="00EE5A7D" w:rsidP="00EE5A7D">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EB6"/>
    <w:rsid w:val="000362F3"/>
    <w:rsid w:val="00040CBF"/>
    <w:rsid w:val="00047CB5"/>
    <w:rsid w:val="00081D13"/>
    <w:rsid w:val="000B3A04"/>
    <w:rsid w:val="000C2899"/>
    <w:rsid w:val="001442C7"/>
    <w:rsid w:val="00181AC2"/>
    <w:rsid w:val="001978FB"/>
    <w:rsid w:val="001B71E4"/>
    <w:rsid w:val="001E4652"/>
    <w:rsid w:val="001F0608"/>
    <w:rsid w:val="002404FC"/>
    <w:rsid w:val="00352E97"/>
    <w:rsid w:val="00392A8A"/>
    <w:rsid w:val="003C632A"/>
    <w:rsid w:val="00474079"/>
    <w:rsid w:val="00476043"/>
    <w:rsid w:val="004B1F0F"/>
    <w:rsid w:val="00502E6C"/>
    <w:rsid w:val="005468DC"/>
    <w:rsid w:val="005E25FD"/>
    <w:rsid w:val="006445F6"/>
    <w:rsid w:val="006B22A7"/>
    <w:rsid w:val="006E7E50"/>
    <w:rsid w:val="0073055B"/>
    <w:rsid w:val="00745CAF"/>
    <w:rsid w:val="00757466"/>
    <w:rsid w:val="0079753D"/>
    <w:rsid w:val="007A39E4"/>
    <w:rsid w:val="007C3664"/>
    <w:rsid w:val="007E4764"/>
    <w:rsid w:val="007E6DE3"/>
    <w:rsid w:val="007F55AD"/>
    <w:rsid w:val="0080505F"/>
    <w:rsid w:val="00843A50"/>
    <w:rsid w:val="0085065C"/>
    <w:rsid w:val="00863A5A"/>
    <w:rsid w:val="00870B35"/>
    <w:rsid w:val="00876062"/>
    <w:rsid w:val="008D4276"/>
    <w:rsid w:val="0092128C"/>
    <w:rsid w:val="0092149A"/>
    <w:rsid w:val="009466C8"/>
    <w:rsid w:val="009B4710"/>
    <w:rsid w:val="009E495F"/>
    <w:rsid w:val="009E601E"/>
    <w:rsid w:val="00A144B8"/>
    <w:rsid w:val="00A501AE"/>
    <w:rsid w:val="00A77B3E"/>
    <w:rsid w:val="00A90AC5"/>
    <w:rsid w:val="00AC076C"/>
    <w:rsid w:val="00AD7D78"/>
    <w:rsid w:val="00B10767"/>
    <w:rsid w:val="00B3041F"/>
    <w:rsid w:val="00B35530"/>
    <w:rsid w:val="00B66ABC"/>
    <w:rsid w:val="00B71652"/>
    <w:rsid w:val="00B77DB3"/>
    <w:rsid w:val="00B87326"/>
    <w:rsid w:val="00BA6DD4"/>
    <w:rsid w:val="00BC0DFA"/>
    <w:rsid w:val="00C02EF6"/>
    <w:rsid w:val="00C27F8B"/>
    <w:rsid w:val="00CA2A55"/>
    <w:rsid w:val="00CF6A14"/>
    <w:rsid w:val="00D24A9F"/>
    <w:rsid w:val="00D315A0"/>
    <w:rsid w:val="00D41A0C"/>
    <w:rsid w:val="00D5305C"/>
    <w:rsid w:val="00D73727"/>
    <w:rsid w:val="00DA33D3"/>
    <w:rsid w:val="00DC553B"/>
    <w:rsid w:val="00DC7820"/>
    <w:rsid w:val="00DF083F"/>
    <w:rsid w:val="00E55F74"/>
    <w:rsid w:val="00EA0EDA"/>
    <w:rsid w:val="00EA72C1"/>
    <w:rsid w:val="00EC2454"/>
    <w:rsid w:val="00EE5A7D"/>
    <w:rsid w:val="00EE5E5F"/>
    <w:rsid w:val="00F0605D"/>
    <w:rsid w:val="00F12EB6"/>
    <w:rsid w:val="00F57015"/>
    <w:rsid w:val="00FB2D3B"/>
    <w:rsid w:val="00FF4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60BB43"/>
  <w15:docId w15:val="{B4567AC3-A7B5-4E24-BCC9-96E5A8AB2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F45A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F45A4"/>
    <w:rPr>
      <w:sz w:val="18"/>
      <w:szCs w:val="18"/>
    </w:rPr>
  </w:style>
  <w:style w:type="paragraph" w:styleId="a5">
    <w:name w:val="footer"/>
    <w:basedOn w:val="a"/>
    <w:link w:val="a6"/>
    <w:uiPriority w:val="99"/>
    <w:unhideWhenUsed/>
    <w:rsid w:val="00FF45A4"/>
    <w:pPr>
      <w:tabs>
        <w:tab w:val="center" w:pos="4153"/>
        <w:tab w:val="right" w:pos="8306"/>
      </w:tabs>
      <w:snapToGrid w:val="0"/>
    </w:pPr>
    <w:rPr>
      <w:sz w:val="18"/>
      <w:szCs w:val="18"/>
    </w:rPr>
  </w:style>
  <w:style w:type="character" w:customStyle="1" w:styleId="a6">
    <w:name w:val="页脚 字符"/>
    <w:basedOn w:val="a0"/>
    <w:link w:val="a5"/>
    <w:uiPriority w:val="99"/>
    <w:rsid w:val="00FF45A4"/>
    <w:rPr>
      <w:sz w:val="18"/>
      <w:szCs w:val="18"/>
    </w:rPr>
  </w:style>
  <w:style w:type="character" w:styleId="a7">
    <w:name w:val="Hyperlink"/>
    <w:basedOn w:val="a0"/>
    <w:unhideWhenUsed/>
    <w:rsid w:val="006445F6"/>
    <w:rPr>
      <w:color w:val="0000FF" w:themeColor="hyperlink"/>
      <w:u w:val="single"/>
    </w:rPr>
  </w:style>
  <w:style w:type="character" w:customStyle="1" w:styleId="1">
    <w:name w:val="未处理的提及1"/>
    <w:basedOn w:val="a0"/>
    <w:uiPriority w:val="99"/>
    <w:semiHidden/>
    <w:unhideWhenUsed/>
    <w:rsid w:val="006445F6"/>
    <w:rPr>
      <w:color w:val="605E5C"/>
      <w:shd w:val="clear" w:color="auto" w:fill="E1DFDD"/>
    </w:rPr>
  </w:style>
  <w:style w:type="table" w:styleId="a8">
    <w:name w:val="Table Grid"/>
    <w:basedOn w:val="a1"/>
    <w:uiPriority w:val="39"/>
    <w:rsid w:val="00EE5A7D"/>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a1"/>
    <w:next w:val="a8"/>
    <w:uiPriority w:val="39"/>
    <w:rsid w:val="00B87326"/>
    <w:rPr>
      <w:rFonts w:ascii="等线" w:hAnsi="等线"/>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semiHidden/>
    <w:unhideWhenUsed/>
    <w:rsid w:val="0079753D"/>
    <w:rPr>
      <w:rFonts w:ascii="Segoe UI" w:hAnsi="Segoe UI" w:cs="Segoe UI"/>
      <w:sz w:val="18"/>
      <w:szCs w:val="18"/>
    </w:rPr>
  </w:style>
  <w:style w:type="character" w:customStyle="1" w:styleId="aa">
    <w:name w:val="批注框文本 字符"/>
    <w:basedOn w:val="a0"/>
    <w:link w:val="a9"/>
    <w:semiHidden/>
    <w:rsid w:val="0079753D"/>
    <w:rPr>
      <w:rFonts w:ascii="Segoe UI" w:hAnsi="Segoe UI" w:cs="Segoe UI"/>
      <w:sz w:val="18"/>
      <w:szCs w:val="18"/>
    </w:rPr>
  </w:style>
  <w:style w:type="character" w:styleId="ab">
    <w:name w:val="annotation reference"/>
    <w:basedOn w:val="a0"/>
    <w:semiHidden/>
    <w:unhideWhenUsed/>
    <w:rsid w:val="000B3A04"/>
    <w:rPr>
      <w:sz w:val="16"/>
      <w:szCs w:val="16"/>
    </w:rPr>
  </w:style>
  <w:style w:type="paragraph" w:styleId="ac">
    <w:name w:val="annotation text"/>
    <w:basedOn w:val="a"/>
    <w:link w:val="ad"/>
    <w:semiHidden/>
    <w:unhideWhenUsed/>
    <w:rsid w:val="000B3A04"/>
    <w:rPr>
      <w:sz w:val="20"/>
      <w:szCs w:val="20"/>
    </w:rPr>
  </w:style>
  <w:style w:type="character" w:customStyle="1" w:styleId="ad">
    <w:name w:val="批注文字 字符"/>
    <w:basedOn w:val="a0"/>
    <w:link w:val="ac"/>
    <w:semiHidden/>
    <w:rsid w:val="000B3A04"/>
  </w:style>
  <w:style w:type="paragraph" w:styleId="ae">
    <w:name w:val="annotation subject"/>
    <w:basedOn w:val="ac"/>
    <w:next w:val="ac"/>
    <w:link w:val="af"/>
    <w:semiHidden/>
    <w:unhideWhenUsed/>
    <w:rsid w:val="000B3A04"/>
    <w:rPr>
      <w:b/>
      <w:bCs/>
    </w:rPr>
  </w:style>
  <w:style w:type="character" w:customStyle="1" w:styleId="af">
    <w:name w:val="批注主题 字符"/>
    <w:basedOn w:val="ad"/>
    <w:link w:val="ae"/>
    <w:semiHidden/>
    <w:rsid w:val="000B3A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0B801-AFA2-4126-8D3F-6425F318A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21</Pages>
  <Words>4035</Words>
  <Characters>23004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7</cp:revision>
  <dcterms:created xsi:type="dcterms:W3CDTF">2020-09-18T16:01:00Z</dcterms:created>
  <dcterms:modified xsi:type="dcterms:W3CDTF">2020-09-25T07:38:00Z</dcterms:modified>
</cp:coreProperties>
</file>