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Name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of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Journal: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i/>
        </w:rPr>
        <w:t>World</w:t>
      </w:r>
      <w:r w:rsidR="00EB221E" w:rsidRPr="003E6753">
        <w:rPr>
          <w:rFonts w:ascii="Book Antiqua" w:eastAsia="Book Antiqua" w:hAnsi="Book Antiqua" w:cs="Book Antiqua"/>
          <w:i/>
        </w:rPr>
        <w:t xml:space="preserve"> </w:t>
      </w:r>
      <w:r w:rsidRPr="003E6753">
        <w:rPr>
          <w:rFonts w:ascii="Book Antiqua" w:eastAsia="Book Antiqua" w:hAnsi="Book Antiqua" w:cs="Book Antiqua"/>
          <w:i/>
        </w:rPr>
        <w:t>Journal</w:t>
      </w:r>
      <w:r w:rsidR="00EB221E" w:rsidRPr="003E6753">
        <w:rPr>
          <w:rFonts w:ascii="Book Antiqua" w:eastAsia="Book Antiqua" w:hAnsi="Book Antiqua" w:cs="Book Antiqua"/>
          <w:i/>
        </w:rPr>
        <w:t xml:space="preserve"> </w:t>
      </w:r>
      <w:r w:rsidRPr="003E6753">
        <w:rPr>
          <w:rFonts w:ascii="Book Antiqua" w:eastAsia="Book Antiqua" w:hAnsi="Book Antiqua" w:cs="Book Antiqua"/>
          <w:i/>
        </w:rPr>
        <w:t>of</w:t>
      </w:r>
      <w:r w:rsidR="00EB221E" w:rsidRPr="003E6753">
        <w:rPr>
          <w:rFonts w:ascii="Book Antiqua" w:eastAsia="Book Antiqua" w:hAnsi="Book Antiqua" w:cs="Book Antiqua"/>
          <w:i/>
        </w:rPr>
        <w:t xml:space="preserve"> </w:t>
      </w:r>
      <w:r w:rsidRPr="003E6753">
        <w:rPr>
          <w:rFonts w:ascii="Book Antiqua" w:eastAsia="Book Antiqua" w:hAnsi="Book Antiqua" w:cs="Book Antiqua"/>
          <w:i/>
        </w:rPr>
        <w:t>Clinical</w:t>
      </w:r>
      <w:r w:rsidR="00EB221E" w:rsidRPr="003E6753">
        <w:rPr>
          <w:rFonts w:ascii="Book Antiqua" w:eastAsia="Book Antiqua" w:hAnsi="Book Antiqua" w:cs="Book Antiqua"/>
          <w:i/>
        </w:rPr>
        <w:t xml:space="preserve"> </w:t>
      </w:r>
      <w:r w:rsidRPr="003E6753">
        <w:rPr>
          <w:rFonts w:ascii="Book Antiqua" w:eastAsia="Book Antiqua" w:hAnsi="Book Antiqua" w:cs="Book Antiqua"/>
          <w:i/>
        </w:rPr>
        <w:t>Cases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Manuscript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NO: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56551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Manuscript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Type: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047"/>
      <w:bookmarkStart w:id="1" w:name="OLE_LINK2048"/>
      <w:r w:rsidRPr="003E6753">
        <w:rPr>
          <w:rFonts w:ascii="Book Antiqua" w:eastAsia="Book Antiqua" w:hAnsi="Book Antiqua" w:cs="Book Antiqua"/>
          <w:b/>
          <w:bCs/>
        </w:rPr>
        <w:t>Meta-analysis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reveals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an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association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between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acute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pancreatitis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and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the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risk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of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pancreatic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cancer</w:t>
      </w:r>
    </w:p>
    <w:bookmarkEnd w:id="0"/>
    <w:bookmarkEnd w:id="1"/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al.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E6753">
        <w:rPr>
          <w:rFonts w:ascii="Book Antiqua" w:eastAsia="Book Antiqua" w:hAnsi="Book Antiqua" w:cs="Book Antiqua"/>
        </w:rPr>
        <w:t>Jie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E6753">
        <w:rPr>
          <w:rFonts w:ascii="Book Antiqua" w:eastAsia="Book Antiqua" w:hAnsi="Book Antiqua" w:cs="Book Antiqua"/>
          <w:b/>
          <w:bCs/>
        </w:rPr>
        <w:t>Jie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Liu,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Yue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Yu,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Department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Gastroenterology,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Affiliated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Provincial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Hospital,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Anhui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Medical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University,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Hefei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230001,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Anhui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Province,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China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Ying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Wang,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Endoscopy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Center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Department,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The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eastAsia="Book Antiqua" w:hAnsi="Book Antiqua" w:cs="Book Antiqua"/>
        </w:rPr>
        <w:t>First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Affiliated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Hospital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USTC,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Division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of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Life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Sciences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and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Medicine,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eastAsia="Book Antiqua" w:hAnsi="Book Antiqua" w:cs="Book Antiqua"/>
        </w:rPr>
        <w:t>University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Science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Technology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of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China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Hefei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hAnsi="Book Antiqua" w:cs="Book Antiqua"/>
          <w:lang w:eastAsia="zh-CN"/>
        </w:rPr>
        <w:t>230036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Anhui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Province,</w:t>
      </w:r>
      <w:r w:rsidR="00EB221E" w:rsidRPr="003E6753">
        <w:rPr>
          <w:rFonts w:ascii="Book Antiqua" w:hAnsi="Book Antiqua" w:cs="Book Antiqua"/>
          <w:lang w:eastAsia="zh-CN"/>
        </w:rPr>
        <w:t xml:space="preserve"> </w:t>
      </w:r>
      <w:r w:rsidRPr="003E6753">
        <w:rPr>
          <w:rFonts w:ascii="Book Antiqua" w:eastAsia="Book Antiqua" w:hAnsi="Book Antiqua" w:cs="Book Antiqua"/>
        </w:rPr>
        <w:t>China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Author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contributions: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Yu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contributed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plan</w:t>
      </w:r>
      <w:r w:rsidR="00651644" w:rsidRPr="003E6753">
        <w:rPr>
          <w:rFonts w:ascii="Book Antiqua" w:eastAsia="Book Antiqua" w:hAnsi="Book Antiqua" w:cs="Book Antiqua"/>
        </w:rPr>
        <w:t>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collect</w:t>
      </w:r>
      <w:r w:rsidR="00651644" w:rsidRPr="003E6753">
        <w:rPr>
          <w:rFonts w:ascii="Book Antiqua" w:eastAsia="Book Antiqua" w:hAnsi="Book Antiqua" w:cs="Book Antiqua"/>
        </w:rPr>
        <w:t>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assembl</w:t>
      </w:r>
      <w:r w:rsidR="00651644" w:rsidRPr="003E6753">
        <w:rPr>
          <w:rFonts w:ascii="Book Antiqua" w:eastAsia="Book Antiqua" w:hAnsi="Book Antiqua" w:cs="Book Antiqua"/>
        </w:rPr>
        <w:t>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651644"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contributed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collect</w:t>
      </w:r>
      <w:r w:rsidR="00651644" w:rsidRPr="003E6753">
        <w:rPr>
          <w:rFonts w:ascii="Book Antiqua" w:eastAsia="Book Antiqua" w:hAnsi="Book Antiqua" w:cs="Book Antiqua"/>
        </w:rPr>
        <w:t>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interpret</w:t>
      </w:r>
      <w:r w:rsidR="00651644" w:rsidRPr="003E6753">
        <w:rPr>
          <w:rFonts w:ascii="Book Antiqua" w:eastAsia="Book Antiqua" w:hAnsi="Book Antiqua" w:cs="Book Antiqua"/>
        </w:rPr>
        <w:t>ing 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contributed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draft</w:t>
      </w:r>
      <w:r w:rsidR="00651644" w:rsidRPr="003E6753">
        <w:rPr>
          <w:rFonts w:ascii="Book Antiqua" w:eastAsia="Book Antiqua" w:hAnsi="Book Antiqua" w:cs="Book Antiqua"/>
        </w:rPr>
        <w:t>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manuscript;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contributed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equally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work;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7533FE" w:rsidRPr="003E6753">
        <w:rPr>
          <w:rFonts w:ascii="Book Antiqua" w:eastAsia="Book Antiqua" w:hAnsi="Book Antiqua" w:cs="Book Antiqua"/>
        </w:rPr>
        <w:t xml:space="preserve">all </w:t>
      </w:r>
      <w:r w:rsidRPr="003E6753">
        <w:rPr>
          <w:rFonts w:ascii="Book Antiqua" w:eastAsia="Book Antiqua" w:hAnsi="Book Antiqua" w:cs="Book Antiqua"/>
        </w:rPr>
        <w:t>authors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approved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manuscript.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E6753">
        <w:rPr>
          <w:rFonts w:ascii="Book Antiqua" w:eastAsia="Book Antiqua" w:hAnsi="Book Antiqua" w:cs="Book Antiqua"/>
          <w:b/>
          <w:bCs/>
        </w:rPr>
        <w:t>Supported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by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="00EB221E"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National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Natural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Science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Foundation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31870993.</w:t>
      </w:r>
      <w:proofErr w:type="gramEnd"/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Corresponding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author: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Yue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Yu,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MD,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PhD,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Chief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Doctor,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Professor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, </w:t>
      </w:r>
      <w:r w:rsidRPr="003E6753">
        <w:rPr>
          <w:rFonts w:ascii="Book Antiqua" w:eastAsia="Book Antiqua" w:hAnsi="Book Antiqua" w:cs="Book Antiqua"/>
        </w:rPr>
        <w:t>Department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Gastroenterology,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Affiliated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Provincial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Hospital,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Anhui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Medical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University,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Lujiang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Road,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Hefei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230001,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Anhui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Province,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yuyuemd@163.com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Revised: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June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26,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</w:rPr>
      </w:pPr>
      <w:r w:rsidRPr="003E6753">
        <w:rPr>
          <w:rFonts w:ascii="Book Antiqua" w:eastAsia="Book Antiqua" w:hAnsi="Book Antiqua" w:cs="Book Antiqua"/>
          <w:b/>
          <w:bCs/>
        </w:rPr>
        <w:t>Accepted: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="000B212E" w:rsidRPr="003E6753">
        <w:rPr>
          <w:rFonts w:ascii="Book Antiqua" w:hAnsi="Book Antiqua" w:cs="Arial"/>
          <w:shd w:val="clear" w:color="auto" w:fill="FFFFFF"/>
        </w:rPr>
        <w:t>August 26, 2020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Published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online: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="0086657D" w:rsidRPr="00EF218B">
        <w:rPr>
          <w:rFonts w:ascii="Book Antiqua" w:eastAsia="Book Antiqua" w:hAnsi="Book Antiqua" w:cs="Book Antiqua"/>
          <w:bCs/>
          <w:color w:val="000000"/>
        </w:rPr>
        <w:t>October 6</w:t>
      </w:r>
      <w:r w:rsidR="0086657D" w:rsidRPr="00EF218B">
        <w:rPr>
          <w:rFonts w:ascii="Book Antiqua" w:hAnsi="Book Antiqua" w:cs="Book Antiqua" w:hint="eastAsia"/>
          <w:bCs/>
          <w:color w:val="000000"/>
        </w:rPr>
        <w:t>, 2020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  <w:sectPr w:rsidR="0040323E" w:rsidRPr="003E6753" w:rsidSect="003E675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lastRenderedPageBreak/>
        <w:t>Abstract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BACKGROUND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bookmarkStart w:id="2" w:name="OLE_LINK2049"/>
      <w:bookmarkStart w:id="3" w:name="OLE_LINK2050"/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bookmarkEnd w:id="2"/>
      <w:bookmarkEnd w:id="3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(PC),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(AP)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unclear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651644" w:rsidRPr="003E6753">
        <w:rPr>
          <w:rFonts w:ascii="Book Antiqua" w:eastAsia="Book Antiqua" w:hAnsi="Book Antiqua" w:cs="Book Antiqua"/>
        </w:rPr>
        <w:t xml:space="preserve">due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inconsistent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contradict</w:t>
      </w:r>
      <w:r w:rsidR="00651644" w:rsidRPr="003E6753">
        <w:rPr>
          <w:rFonts w:ascii="Book Antiqua" w:eastAsia="Book Antiqua" w:hAnsi="Book Antiqua" w:cs="Book Antiqua"/>
        </w:rPr>
        <w:t>ory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AIM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retrospective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explore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METHODS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first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searched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original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651644" w:rsidRPr="003E6753">
        <w:rPr>
          <w:rFonts w:ascii="Book Antiqua" w:eastAsia="Book Antiqua" w:hAnsi="Book Antiqua" w:cs="Book Antiqua"/>
        </w:rPr>
        <w:t xml:space="preserve">on the </w:t>
      </w:r>
      <w:r w:rsidRPr="003E6753">
        <w:rPr>
          <w:rFonts w:ascii="Book Antiqua" w:eastAsia="Book Antiqua" w:hAnsi="Book Antiqua" w:cs="Book Antiqua"/>
        </w:rPr>
        <w:t>associati</w:t>
      </w:r>
      <w:r w:rsidR="00651644" w:rsidRPr="003E6753">
        <w:rPr>
          <w:rFonts w:ascii="Book Antiqua" w:eastAsia="Book Antiqua" w:hAnsi="Book Antiqua" w:cs="Book Antiqua"/>
        </w:rPr>
        <w:t>on 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PubMed,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Web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Science,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Cochrane,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EMBASE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databases.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651644" w:rsidRPr="003E6753">
        <w:rPr>
          <w:rFonts w:ascii="Book Antiqua" w:eastAsia="Book Antiqua" w:hAnsi="Book Antiqua" w:cs="Book Antiqua"/>
        </w:rPr>
        <w:t>Then w</w:t>
      </w:r>
      <w:r w:rsidRPr="003E6753">
        <w:rPr>
          <w:rFonts w:ascii="Book Antiqua" w:eastAsia="Book Antiqua" w:hAnsi="Book Antiqua" w:cs="Book Antiqua"/>
        </w:rPr>
        <w:t>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calculated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combined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overall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estimates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confidence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(CI)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deploying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random-effects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model</w:t>
      </w:r>
      <w:r w:rsidR="00651644" w:rsidRPr="003E6753">
        <w:rPr>
          <w:rFonts w:ascii="Book Antiqua" w:eastAsia="Book Antiqua" w:hAnsi="Book Antiqua" w:cs="Book Antiqua"/>
        </w:rPr>
        <w:t>,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I</w:t>
      </w:r>
      <w:r w:rsidRPr="003E6753">
        <w:rPr>
          <w:rFonts w:ascii="Book Antiqua" w:eastAsia="Book Antiqua" w:hAnsi="Book Antiqua" w:cs="Book Antiqua"/>
          <w:vertAlign w:val="superscript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test.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combined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also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Furthermore,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sensitivity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explain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RESULTS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Eleven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standards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1.36-2.78)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Additionally,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651644" w:rsidRPr="003E6753">
        <w:rPr>
          <w:rFonts w:ascii="Book Antiqua" w:eastAsia="Book Antiqua" w:hAnsi="Book Antiqua" w:cs="Book Antiqua"/>
        </w:rPr>
        <w:t xml:space="preserve">five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103961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1442158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subjects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74538F">
        <w:rPr>
          <w:rFonts w:ascii="Book Antiqua" w:eastAsia="Book Antiqua" w:hAnsi="Book Antiqua" w:cs="Book Antiqua"/>
        </w:rPr>
        <w:t>relative 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7.81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5.00-12.19).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also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type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23.47,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3.26-43.68),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9.82,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3.01-16.64),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2.47,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1.93-3.02),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1.69,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1.26-2.11),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&gt;</w:t>
      </w:r>
      <w:r w:rsidR="00651644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1.17,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0.78-1.57).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regards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3.03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-1.02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7.08),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whereas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1.22-2.97)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CONCLUSION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Overall,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findings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indicated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unlikely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Key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words: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Pancreatic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World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86657D" w:rsidRPr="00EF218B">
        <w:rPr>
          <w:rFonts w:ascii="Book Antiqua" w:eastAsia="Book Antiqua" w:hAnsi="Book Antiqua" w:cs="Book Antiqua"/>
          <w:color w:val="000000"/>
        </w:rPr>
        <w:t>8(1</w:t>
      </w:r>
      <w:r w:rsidR="0086657D" w:rsidRPr="00EF218B">
        <w:rPr>
          <w:rFonts w:ascii="Book Antiqua" w:hAnsi="Book Antiqua" w:cs="Book Antiqua" w:hint="eastAsia"/>
          <w:color w:val="000000"/>
        </w:rPr>
        <w:t>9</w:t>
      </w:r>
      <w:r w:rsidR="005836F0">
        <w:rPr>
          <w:rFonts w:ascii="Book Antiqua" w:eastAsia="Book Antiqua" w:hAnsi="Book Antiqua" w:cs="Book Antiqua"/>
          <w:color w:val="000000"/>
        </w:rPr>
        <w:t xml:space="preserve">): </w:t>
      </w:r>
      <w:bookmarkStart w:id="4" w:name="_GoBack"/>
      <w:r w:rsidR="005836F0">
        <w:rPr>
          <w:rFonts w:ascii="Book Antiqua" w:eastAsia="Book Antiqua" w:hAnsi="Book Antiqua" w:cs="Book Antiqua"/>
          <w:color w:val="000000"/>
        </w:rPr>
        <w:t>4416-4430</w:t>
      </w:r>
      <w:r w:rsidR="0086657D" w:rsidRPr="00EF218B">
        <w:rPr>
          <w:rFonts w:ascii="Book Antiqua" w:eastAsia="Book Antiqua" w:hAnsi="Book Antiqua" w:cs="Book Antiqua"/>
          <w:color w:val="000000"/>
        </w:rPr>
        <w:t xml:space="preserve"> URL: </w:t>
      </w:r>
      <w:hyperlink r:id="rId9" w:history="1">
        <w:r w:rsidR="005836F0" w:rsidRPr="008D3674">
          <w:rPr>
            <w:rStyle w:val="aa"/>
            <w:rFonts w:ascii="Book Antiqua" w:eastAsia="Book Antiqua" w:hAnsi="Book Antiqua" w:cs="Book Antiqua"/>
          </w:rPr>
          <w:t>https://www.wjgnet.com/2307-8960/full/v8/i1</w:t>
        </w:r>
        <w:r w:rsidR="005836F0" w:rsidRPr="008D3674">
          <w:rPr>
            <w:rStyle w:val="aa"/>
            <w:rFonts w:ascii="Book Antiqua" w:hAnsi="Book Antiqua" w:cs="Book Antiqua" w:hint="eastAsia"/>
          </w:rPr>
          <w:t>9</w:t>
        </w:r>
        <w:r w:rsidR="005836F0" w:rsidRPr="008D3674">
          <w:rPr>
            <w:rStyle w:val="aa"/>
            <w:rFonts w:ascii="Book Antiqua" w:eastAsia="Book Antiqua" w:hAnsi="Book Antiqua" w:cs="Book Antiqua"/>
          </w:rPr>
          <w:t>/4416.htm</w:t>
        </w:r>
      </w:hyperlink>
      <w:r w:rsidR="005836F0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86657D" w:rsidRPr="00EF218B">
        <w:rPr>
          <w:rFonts w:ascii="Book Antiqua" w:eastAsia="Book Antiqua" w:hAnsi="Book Antiqua" w:cs="Book Antiqua"/>
          <w:color w:val="000000"/>
        </w:rPr>
        <w:t>DOI: https://dx.doi.org/10.12998/wjcc.v8.i1</w:t>
      </w:r>
      <w:r w:rsidR="0086657D" w:rsidRPr="00EF218B">
        <w:rPr>
          <w:rFonts w:ascii="Book Antiqua" w:hAnsi="Book Antiqua" w:cs="Book Antiqua" w:hint="eastAsia"/>
          <w:color w:val="000000"/>
        </w:rPr>
        <w:t>9</w:t>
      </w:r>
      <w:r w:rsidR="0086657D" w:rsidRPr="00EF218B">
        <w:rPr>
          <w:rFonts w:ascii="Book Antiqua" w:eastAsia="Book Antiqua" w:hAnsi="Book Antiqua" w:cs="Book Antiqua"/>
          <w:color w:val="000000"/>
        </w:rPr>
        <w:t>.</w:t>
      </w:r>
      <w:r w:rsidR="005836F0">
        <w:rPr>
          <w:rFonts w:ascii="Book Antiqua" w:eastAsia="Book Antiqua" w:hAnsi="Book Antiqua" w:cs="Book Antiqua"/>
          <w:color w:val="000000"/>
        </w:rPr>
        <w:t>4416</w:t>
      </w:r>
    </w:p>
    <w:bookmarkEnd w:id="4"/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hAnsi="Book Antiqua"/>
          <w:b/>
        </w:rPr>
        <w:t>Core</w:t>
      </w:r>
      <w:r w:rsidR="00EB221E" w:rsidRPr="003E6753">
        <w:rPr>
          <w:rFonts w:ascii="Book Antiqua" w:hAnsi="Book Antiqua"/>
          <w:b/>
        </w:rPr>
        <w:t xml:space="preserve"> </w:t>
      </w:r>
      <w:r w:rsidR="00070465">
        <w:rPr>
          <w:rFonts w:ascii="Book Antiqua" w:hAnsi="Book Antiqua" w:hint="eastAsia"/>
          <w:b/>
          <w:lang w:eastAsia="zh-CN"/>
        </w:rPr>
        <w:t>T</w:t>
      </w:r>
      <w:r w:rsidRPr="003E6753">
        <w:rPr>
          <w:rFonts w:ascii="Book Antiqua" w:hAnsi="Book Antiqua"/>
          <w:b/>
        </w:rPr>
        <w:t>ip: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well-known</w:t>
      </w:r>
      <w:r w:rsidR="00651644" w:rsidRPr="003E6753">
        <w:rPr>
          <w:rFonts w:ascii="Book Antiqua" w:hAnsi="Book Antiqua"/>
        </w:rPr>
        <w:t xml:space="preserve"> that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acute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pancreatitis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(AP)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might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earliest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clinical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presentation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of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pancreatic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cancer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(PC).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However,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relationship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between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risk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of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remains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unclear</w:t>
      </w:r>
      <w:r w:rsidR="00EB221E" w:rsidRPr="003E6753">
        <w:rPr>
          <w:rFonts w:ascii="Book Antiqua" w:hAnsi="Book Antiqua"/>
        </w:rPr>
        <w:t xml:space="preserve"> </w:t>
      </w:r>
      <w:r w:rsidR="00651644" w:rsidRPr="003E6753">
        <w:rPr>
          <w:rFonts w:ascii="Book Antiqua" w:hAnsi="Book Antiqua"/>
        </w:rPr>
        <w:t xml:space="preserve">due </w:t>
      </w:r>
      <w:r w:rsidRPr="003E6753">
        <w:rPr>
          <w:rFonts w:ascii="Book Antiqua" w:hAnsi="Book Antiqua"/>
        </w:rPr>
        <w:t>to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inconsistent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contradict</w:t>
      </w:r>
      <w:r w:rsidR="00651644" w:rsidRPr="003E6753">
        <w:rPr>
          <w:rFonts w:ascii="Book Antiqua" w:hAnsi="Book Antiqua"/>
        </w:rPr>
        <w:t>ory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results.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current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study,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we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conducted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meta-analysis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of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retrospective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prospective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studies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to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explore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association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between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risk.</w:t>
      </w:r>
      <w:r w:rsidR="00EB221E" w:rsidRPr="003E6753">
        <w:rPr>
          <w:rFonts w:ascii="Book Antiqua" w:hAnsi="Book Antiqua"/>
        </w:rPr>
        <w:t xml:space="preserve"> </w:t>
      </w:r>
      <w:r w:rsidR="00651644" w:rsidRPr="003E6753">
        <w:rPr>
          <w:rFonts w:ascii="Book Antiqua" w:hAnsi="Book Antiqua"/>
        </w:rPr>
        <w:t>O</w:t>
      </w:r>
      <w:r w:rsidRPr="003E6753">
        <w:rPr>
          <w:rFonts w:ascii="Book Antiqua" w:hAnsi="Book Antiqua"/>
        </w:rPr>
        <w:t>ur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findings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suggest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that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might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not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direct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cause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of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risk,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but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its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occurrence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could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indicator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of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PC.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Future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studies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are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expected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to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analyze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association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between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and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risk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across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different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follow-up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times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order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to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improve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early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identification.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Overall,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more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focus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should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be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directed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to</w:t>
      </w:r>
      <w:r w:rsidR="00651644" w:rsidRPr="003E6753">
        <w:rPr>
          <w:rFonts w:ascii="Book Antiqua" w:hAnsi="Book Antiqua"/>
        </w:rPr>
        <w:t>wards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improving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PC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prevention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approaches,</w:t>
      </w:r>
      <w:r w:rsidR="00EB221E" w:rsidRPr="003E6753">
        <w:rPr>
          <w:rFonts w:ascii="Book Antiqua" w:hAnsi="Book Antiqua"/>
        </w:rPr>
        <w:t xml:space="preserve"> </w:t>
      </w:r>
      <w:r w:rsidR="00651644" w:rsidRPr="003E6753">
        <w:rPr>
          <w:rFonts w:ascii="Book Antiqua" w:hAnsi="Book Antiqua"/>
        </w:rPr>
        <w:t xml:space="preserve">of which a </w:t>
      </w:r>
      <w:r w:rsidRPr="003E6753">
        <w:rPr>
          <w:rFonts w:ascii="Book Antiqua" w:hAnsi="Book Antiqua"/>
        </w:rPr>
        <w:t>key</w:t>
      </w:r>
      <w:r w:rsidR="00EB221E" w:rsidRPr="003E6753">
        <w:rPr>
          <w:rFonts w:ascii="Book Antiqua" w:hAnsi="Book Antiqua"/>
        </w:rPr>
        <w:t xml:space="preserve"> </w:t>
      </w:r>
      <w:r w:rsidR="00651644" w:rsidRPr="003E6753">
        <w:rPr>
          <w:rFonts w:ascii="Book Antiqua" w:hAnsi="Book Antiqua"/>
        </w:rPr>
        <w:t>element is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early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screening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for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patients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at</w:t>
      </w:r>
      <w:r w:rsidR="00EB221E" w:rsidRPr="003E6753">
        <w:rPr>
          <w:rFonts w:ascii="Book Antiqua" w:hAnsi="Book Antiqua"/>
        </w:rPr>
        <w:t xml:space="preserve"> </w:t>
      </w:r>
      <w:r w:rsidR="00651644" w:rsidRPr="003E6753">
        <w:rPr>
          <w:rFonts w:ascii="Book Antiqua" w:hAnsi="Book Antiqua"/>
        </w:rPr>
        <w:t xml:space="preserve">the </w:t>
      </w:r>
      <w:r w:rsidRPr="003E6753">
        <w:rPr>
          <w:rFonts w:ascii="Book Antiqua" w:hAnsi="Book Antiqua"/>
        </w:rPr>
        <w:t>onset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of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AP.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8D02E6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u w:val="single"/>
        </w:rPr>
        <w:br w:type="page"/>
      </w:r>
      <w:r w:rsidR="00A557ED" w:rsidRPr="003E6753">
        <w:rPr>
          <w:rFonts w:ascii="Book Antiqua" w:eastAsia="Book Antiqua" w:hAnsi="Book Antiqua" w:cs="Book Antiqua"/>
          <w:b/>
          <w:u w:val="single"/>
        </w:rPr>
        <w:lastRenderedPageBreak/>
        <w:t>INTRODUCTION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Considerable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progress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management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(PC)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surgery,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chemotherapy,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fields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1]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long-term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unsatisfactory.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According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latest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National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Center,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7.2</w:t>
      </w:r>
      <w:proofErr w:type="gramStart"/>
      <w:r w:rsidRPr="003E6753">
        <w:rPr>
          <w:rFonts w:ascii="Book Antiqua" w:eastAsia="Book Antiqua" w:hAnsi="Book Antiqua" w:cs="Book Antiqua"/>
        </w:rPr>
        <w:t>%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patients’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symptoms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resolved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because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advanced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irreversible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3]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therefore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become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major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cancer-related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deaths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worldwide,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poor </w:t>
      </w:r>
      <w:proofErr w:type="gramStart"/>
      <w:r w:rsidRPr="003E6753">
        <w:rPr>
          <w:rFonts w:ascii="Book Antiqua" w:eastAsia="Book Antiqua" w:hAnsi="Book Antiqua" w:cs="Book Antiqua"/>
        </w:rPr>
        <w:t>prognosis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4,5]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Curative-intent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surgery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approach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fewer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surgery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disease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progression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metastasis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4]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Avoiding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early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therefore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essential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ways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improve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patients.</w:t>
      </w:r>
    </w:p>
    <w:p w:rsidR="0040323E" w:rsidRPr="003E6753" w:rsidRDefault="00A557ED" w:rsidP="003E675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Previous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several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diabetes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6]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smoking</w:t>
      </w:r>
      <w:r w:rsidRPr="003E6753">
        <w:rPr>
          <w:rFonts w:ascii="Book Antiqua" w:eastAsia="Book Antiqua" w:hAnsi="Book Antiqua" w:cs="Book Antiqua"/>
          <w:vertAlign w:val="superscript"/>
        </w:rPr>
        <w:t>[7]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Pr="003E6753">
        <w:rPr>
          <w:rFonts w:ascii="Book Antiqua" w:eastAsia="Book Antiqua" w:hAnsi="Book Antiqua" w:cs="Book Antiqua"/>
          <w:vertAlign w:val="superscript"/>
        </w:rPr>
        <w:t>[8]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(AP)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unclear.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common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gastrointestinal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diseases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requires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hospitalization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patients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9]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condition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also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likely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exhibited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onset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PC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10]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Consequently,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initially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exhibit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likely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early,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contributing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a </w:t>
      </w:r>
      <w:r w:rsidRPr="003E6753">
        <w:rPr>
          <w:rFonts w:ascii="Book Antiqua" w:eastAsia="Book Antiqua" w:hAnsi="Book Antiqua" w:cs="Book Antiqua"/>
        </w:rPr>
        <w:t>better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prognosis.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Generally,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evidence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shown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PC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8]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plausibly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suggesting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also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Moreover,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an </w:t>
      </w:r>
      <w:r w:rsidRPr="003E6753">
        <w:rPr>
          <w:rFonts w:ascii="Book Antiqua" w:eastAsia="Book Antiqua" w:hAnsi="Book Antiqua" w:cs="Book Antiqua"/>
        </w:rPr>
        <w:t>animal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model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implicated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induction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brief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inflammation</w:t>
      </w:r>
      <w:r w:rsidR="00B46C83"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which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enhances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PC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11,12]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outcomes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have been </w:t>
      </w:r>
      <w:r w:rsidRPr="003E6753">
        <w:rPr>
          <w:rFonts w:ascii="Book Antiqua" w:eastAsia="Book Antiqua" w:hAnsi="Book Antiqua" w:cs="Book Antiqua"/>
        </w:rPr>
        <w:t>either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inconsistent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conflicting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13,14]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B46C83" w:rsidRPr="003E6753">
        <w:rPr>
          <w:rFonts w:ascii="Book Antiqua" w:eastAsia="Book Antiqua" w:hAnsi="Book Antiqua" w:cs="Book Antiqua"/>
        </w:rPr>
        <w:t>refore, 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current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B46C83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evaluate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u w:val="single"/>
        </w:rPr>
        <w:t>MATERIALS</w:t>
      </w:r>
      <w:r w:rsidR="00EB221E" w:rsidRPr="003E6753">
        <w:rPr>
          <w:rFonts w:ascii="Book Antiqua" w:eastAsia="Book Antiqua" w:hAnsi="Book Antiqua" w:cs="Book Antiqua"/>
          <w:b/>
          <w:u w:val="single"/>
        </w:rPr>
        <w:t xml:space="preserve"> </w:t>
      </w:r>
      <w:r w:rsidRPr="003E6753">
        <w:rPr>
          <w:rFonts w:ascii="Book Antiqua" w:eastAsia="Book Antiqua" w:hAnsi="Book Antiqua" w:cs="Book Antiqua"/>
          <w:b/>
          <w:u w:val="single"/>
        </w:rPr>
        <w:t>AND</w:t>
      </w:r>
      <w:r w:rsidR="00EB221E" w:rsidRPr="003E6753">
        <w:rPr>
          <w:rFonts w:ascii="Book Antiqua" w:eastAsia="Book Antiqua" w:hAnsi="Book Antiqua" w:cs="Book Antiqua"/>
          <w:b/>
          <w:u w:val="single"/>
        </w:rPr>
        <w:t xml:space="preserve"> </w:t>
      </w:r>
      <w:r w:rsidRPr="003E6753">
        <w:rPr>
          <w:rFonts w:ascii="Book Antiqua" w:eastAsia="Book Antiqua" w:hAnsi="Book Antiqua" w:cs="Book Antiqua"/>
          <w:b/>
          <w:u w:val="single"/>
        </w:rPr>
        <w:t>METHODS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strategy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comprehensive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literature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identify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original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describing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B46C83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across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PubMed,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Web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Science,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MEDLINE</w:t>
      </w:r>
      <w:r w:rsidR="00B46C83"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EMBASE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databases.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variably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combined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text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MeSH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heading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strategy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select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guidelines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Observational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Epidemiology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15]</w:t>
      </w:r>
      <w:r w:rsidR="00EB221E" w:rsidRPr="003E6753">
        <w:rPr>
          <w:rFonts w:ascii="Book Antiqua" w:eastAsia="Book Antiqua" w:hAnsi="Book Antiqua" w:cs="Book Antiqua"/>
          <w:vertAlign w:val="superscript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terms: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(“AP”)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(“PC”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neoplasm”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tumor”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tumor”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carcinoma”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malignancy”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adenocarcinoma”)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(“prospective”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“cohort”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“retrospective”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“case-control”).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published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establishment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databases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April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were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retrieved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Reference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lists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comprising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relevant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papers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simultaneously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further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references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published,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comprehensive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were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language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restrictions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applied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during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screen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selection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process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Inclusion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standards: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(1</w:t>
      </w:r>
      <w:r w:rsidR="00DE5E46" w:rsidRPr="003726BA">
        <w:rPr>
          <w:rFonts w:ascii="Book Antiqua" w:hAnsi="Book Antiqua" w:cs="Book Antiqua"/>
          <w:lang w:eastAsia="zh-CN"/>
        </w:rPr>
        <w:t>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retrospective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(2)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E</w:t>
      </w:r>
      <w:r w:rsidRPr="003E6753">
        <w:rPr>
          <w:rFonts w:ascii="Book Antiqua" w:eastAsia="Book Antiqua" w:hAnsi="Book Antiqua" w:cs="Book Antiqua"/>
        </w:rPr>
        <w:t>xamined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subsequent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(3)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="00DE5E46" w:rsidRPr="003726BA">
        <w:rPr>
          <w:rFonts w:ascii="Book Antiqua" w:hAnsi="Book Antiqua" w:cs="Book Antiqua" w:hint="eastAsia"/>
          <w:lang w:eastAsia="zh-CN"/>
        </w:rPr>
        <w:t>W</w:t>
      </w:r>
      <w:r w:rsidR="00ED2644" w:rsidRPr="003E6753">
        <w:rPr>
          <w:rFonts w:ascii="Book Antiqua" w:eastAsia="Book Antiqua" w:hAnsi="Book Antiqua" w:cs="Book Antiqua"/>
        </w:rPr>
        <w:t>ere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population-based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(4)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P</w:t>
      </w:r>
      <w:r w:rsidRPr="003E6753">
        <w:rPr>
          <w:rFonts w:ascii="Book Antiqua" w:eastAsia="Book Antiqua" w:hAnsi="Book Antiqua" w:cs="Book Antiqua"/>
        </w:rPr>
        <w:t>rovided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relevant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</w:t>
      </w:r>
      <w:r w:rsidR="00EB221E" w:rsidRPr="003E6753">
        <w:rPr>
          <w:rFonts w:ascii="Book Antiqua" w:eastAsia="Book Antiqua" w:hAnsi="Book Antiqua" w:cs="Book Antiqua"/>
        </w:rPr>
        <w:t>-</w:t>
      </w:r>
      <w:r w:rsidRPr="003E6753">
        <w:rPr>
          <w:rFonts w:ascii="Book Antiqua" w:eastAsia="Book Antiqua" w:hAnsi="Book Antiqua" w:cs="Book Antiqua"/>
        </w:rPr>
        <w:t>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Conversely,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according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standards: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(1)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L</w:t>
      </w:r>
      <w:r w:rsidRPr="003E6753">
        <w:rPr>
          <w:rFonts w:ascii="Book Antiqua" w:eastAsia="Book Antiqua" w:hAnsi="Book Antiqua" w:cs="Book Antiqua"/>
        </w:rPr>
        <w:t>ow</w:t>
      </w:r>
      <w:r w:rsidR="00ED2644" w:rsidRPr="003E6753">
        <w:rPr>
          <w:rFonts w:ascii="Book Antiqua" w:eastAsia="Book Antiqua" w:hAnsi="Book Antiqua" w:cs="Book Antiqua"/>
        </w:rPr>
        <w:t>-</w:t>
      </w:r>
      <w:r w:rsidRPr="003E6753">
        <w:rPr>
          <w:rFonts w:ascii="Book Antiqua" w:eastAsia="Book Antiqua" w:hAnsi="Book Antiqua" w:cs="Book Antiqua"/>
        </w:rPr>
        <w:t>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(2)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C</w:t>
      </w:r>
      <w:r w:rsidRPr="003E6753">
        <w:rPr>
          <w:rFonts w:ascii="Book Antiqua" w:eastAsia="Book Antiqua" w:hAnsi="Book Antiqua" w:cs="Book Antiqua"/>
        </w:rPr>
        <w:t>linical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trials,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commentaries,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letters,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conference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abstracts;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(3)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A</w:t>
      </w:r>
      <w:r w:rsidRPr="003E6753">
        <w:rPr>
          <w:rFonts w:ascii="Book Antiqua" w:eastAsia="Book Antiqua" w:hAnsi="Book Antiqua" w:cs="Book Antiqua"/>
        </w:rPr>
        <w:t>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without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critical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ED2644" w:rsidRPr="003E6753">
        <w:rPr>
          <w:rFonts w:ascii="Book Antiqua" w:eastAsia="Book Antiqua" w:hAnsi="Book Antiqua" w:cs="Book Antiqua"/>
        </w:rPr>
        <w:t xml:space="preserve">that </w:t>
      </w:r>
      <w:r w:rsidRPr="003E6753">
        <w:rPr>
          <w:rFonts w:ascii="Book Antiqua" w:eastAsia="Book Antiqua" w:hAnsi="Book Antiqua" w:cs="Book Antiqua"/>
        </w:rPr>
        <w:t>c</w:t>
      </w:r>
      <w:r w:rsidR="00ED2644" w:rsidRPr="003E6753">
        <w:rPr>
          <w:rFonts w:ascii="Book Antiqua" w:eastAsia="Book Antiqua" w:hAnsi="Book Antiqua" w:cs="Book Antiqua"/>
        </w:rPr>
        <w:t>ould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used.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extraction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screened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two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independently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standards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ED2644" w:rsidRPr="003E6753">
        <w:rPr>
          <w:rFonts w:ascii="Book Antiqua" w:eastAsia="Book Antiqua" w:hAnsi="Book Antiqua" w:cs="Book Antiqua"/>
        </w:rPr>
        <w:t xml:space="preserve">by </w:t>
      </w:r>
      <w:r w:rsidRPr="003E6753">
        <w:rPr>
          <w:rFonts w:ascii="Book Antiqua" w:eastAsia="Book Antiqua" w:hAnsi="Book Antiqua" w:cs="Book Antiqua"/>
        </w:rPr>
        <w:t>reading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titles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abstracts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eligibility.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excluding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preliminarily,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ED2644" w:rsidRPr="003E6753">
        <w:rPr>
          <w:rFonts w:ascii="Book Antiqua" w:eastAsia="Book Antiqua" w:hAnsi="Book Antiqua" w:cs="Book Antiqua"/>
        </w:rPr>
        <w:t xml:space="preserve">the entire </w:t>
      </w:r>
      <w:r w:rsidRPr="003E6753">
        <w:rPr>
          <w:rFonts w:ascii="Book Antiqua" w:eastAsia="Book Antiqua" w:hAnsi="Book Antiqua" w:cs="Book Antiqua"/>
        </w:rPr>
        <w:t>article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extracted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items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S</w:t>
      </w:r>
      <w:r w:rsidRPr="003E6753">
        <w:rPr>
          <w:rFonts w:ascii="Book Antiqua" w:eastAsia="Book Antiqua" w:hAnsi="Book Antiqua" w:cs="Book Antiqua"/>
        </w:rPr>
        <w:t>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design,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name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first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author,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country,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age,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ratio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females,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enrollment,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numbers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E13C4" w:rsidRPr="003E6753">
        <w:rPr>
          <w:rFonts w:ascii="Book Antiqua" w:eastAsia="Book Antiqua" w:hAnsi="Book Antiqua" w:cs="Book Antiqua"/>
        </w:rPr>
        <w:t>standardized incidence ratio (</w:t>
      </w:r>
      <w:r w:rsidRPr="003E6753">
        <w:rPr>
          <w:rFonts w:ascii="Book Antiqua" w:eastAsia="Book Antiqua" w:hAnsi="Book Antiqua" w:cs="Book Antiqua"/>
        </w:rPr>
        <w:t>SIR</w:t>
      </w:r>
      <w:r w:rsidR="004E13C4" w:rsidRPr="003E6753">
        <w:rPr>
          <w:rFonts w:ascii="Book Antiqua" w:eastAsia="Book Antiqua" w:hAnsi="Book Antiqua" w:cs="Book Antiqua"/>
        </w:rPr>
        <w:t>)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E13C4" w:rsidRPr="003E6753">
        <w:rPr>
          <w:rFonts w:ascii="Book Antiqua" w:eastAsia="Book Antiqua" w:hAnsi="Book Antiqua" w:cs="Book Antiqua"/>
        </w:rPr>
        <w:t>relative risk (</w:t>
      </w:r>
      <w:r w:rsidRPr="003E6753">
        <w:rPr>
          <w:rFonts w:ascii="Book Antiqua" w:eastAsia="Book Antiqua" w:hAnsi="Book Antiqua" w:cs="Book Antiqua"/>
        </w:rPr>
        <w:t>RR</w:t>
      </w:r>
      <w:r w:rsidR="004E13C4" w:rsidRPr="003E6753">
        <w:rPr>
          <w:rFonts w:ascii="Book Antiqua" w:eastAsia="Book Antiqua" w:hAnsi="Book Antiqua" w:cs="Book Antiqua"/>
        </w:rPr>
        <w:t>)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E13C4" w:rsidRPr="003E6753">
        <w:rPr>
          <w:rFonts w:ascii="Book Antiqua" w:eastAsia="Book Antiqua" w:hAnsi="Book Antiqua" w:cs="Book Antiqua"/>
        </w:rPr>
        <w:lastRenderedPageBreak/>
        <w:t>hazard ratio (</w:t>
      </w:r>
      <w:r w:rsidRPr="003E6753">
        <w:rPr>
          <w:rFonts w:ascii="Book Antiqua" w:eastAsia="Book Antiqua" w:hAnsi="Book Antiqua" w:cs="Book Antiqua"/>
        </w:rPr>
        <w:t>HR</w:t>
      </w:r>
      <w:r w:rsidR="004E13C4" w:rsidRPr="003E6753">
        <w:rPr>
          <w:rFonts w:ascii="Book Antiqua" w:eastAsia="Book Antiqua" w:hAnsi="Book Antiqua" w:cs="Book Antiqua"/>
        </w:rPr>
        <w:t>)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E13C4" w:rsidRPr="003E6753">
        <w:rPr>
          <w:rFonts w:ascii="Book Antiqua" w:eastAsia="Book Antiqua" w:hAnsi="Book Antiqua" w:cs="Book Antiqua"/>
        </w:rPr>
        <w:t>odds ratio (</w:t>
      </w:r>
      <w:r w:rsidRPr="003E6753">
        <w:rPr>
          <w:rFonts w:ascii="Book Antiqua" w:eastAsia="Book Antiqua" w:hAnsi="Book Antiqua" w:cs="Book Antiqua"/>
        </w:rPr>
        <w:t>OR</w:t>
      </w:r>
      <w:r w:rsidR="004E13C4" w:rsidRPr="003E6753">
        <w:rPr>
          <w:rFonts w:ascii="Book Antiqua" w:eastAsia="Book Antiqua" w:hAnsi="Book Antiqua" w:cs="Book Antiqua"/>
        </w:rPr>
        <w:t>)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covariate</w:t>
      </w:r>
      <w:r w:rsidR="004E13C4" w:rsidRPr="003E6753">
        <w:rPr>
          <w:rFonts w:ascii="Book Antiqua" w:eastAsia="Book Antiqua" w:hAnsi="Book Antiqua" w:cs="Book Antiqua"/>
        </w:rPr>
        <w:t>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adjustment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discrepancies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two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settled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third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(Yu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Newcastle-Ottawa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="0074538F">
        <w:rPr>
          <w:rFonts w:ascii="Book Antiqua" w:eastAsia="Book Antiqua" w:hAnsi="Book Antiqua" w:cs="Book Antiqua"/>
        </w:rPr>
        <w:t>s</w:t>
      </w:r>
      <w:r w:rsidRPr="003E6753">
        <w:rPr>
          <w:rFonts w:ascii="Book Antiqua" w:eastAsia="Book Antiqua" w:hAnsi="Book Antiqua" w:cs="Book Antiqua"/>
        </w:rPr>
        <w:t>cale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16]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provides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comprehensive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system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E13C4" w:rsidRPr="003E6753">
        <w:rPr>
          <w:rFonts w:ascii="Book Antiqua" w:eastAsia="Book Antiqua" w:hAnsi="Book Antiqua" w:cs="Book Antiqua"/>
        </w:rPr>
        <w:t>eight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items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both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adopted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methodological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items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A</w:t>
      </w:r>
      <w:r w:rsidRPr="003E6753">
        <w:rPr>
          <w:rFonts w:ascii="Book Antiqua" w:eastAsia="Book Antiqua" w:hAnsi="Book Antiqua" w:cs="Book Antiqua"/>
        </w:rPr>
        <w:t>dequate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definition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representativeness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patients’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selection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definition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items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comparison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important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additional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ascertaining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exposure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same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participants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non-response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hand,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items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DE5E46" w:rsidRPr="003726BA">
        <w:rPr>
          <w:rFonts w:ascii="Book Antiqua" w:hAnsi="Book Antiqua" w:cs="Book Antiqua" w:hint="eastAsia"/>
          <w:lang w:eastAsia="zh-CN"/>
        </w:rPr>
        <w:t>T</w:t>
      </w:r>
      <w:r w:rsidRPr="003E6753">
        <w:rPr>
          <w:rFonts w:ascii="Book Antiqua" w:eastAsia="Book Antiqua" w:hAnsi="Book Antiqua" w:cs="Book Antiqua"/>
        </w:rPr>
        <w:t>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level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representativeness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selection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non-exposed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ascertaining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exposure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outcomes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presented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design-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analysis-based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comparisons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allows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outcomes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occur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outcomes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adequate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evaluation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(0-1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calculated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item.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E13C4" w:rsidRPr="003E6753">
        <w:rPr>
          <w:rFonts w:ascii="Book Antiqua" w:eastAsia="Book Antiqua" w:hAnsi="Book Antiqua" w:cs="Book Antiqua"/>
        </w:rPr>
        <w:t xml:space="preserve">were </w:t>
      </w:r>
      <w:r w:rsidRPr="003E6753">
        <w:rPr>
          <w:rFonts w:ascii="Book Antiqua" w:eastAsia="Book Antiqua" w:hAnsi="Book Antiqua" w:cs="Book Antiqua"/>
        </w:rPr>
        <w:t>considered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high-quality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methodological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973EEB" w:rsidRPr="003E6753">
        <w:rPr>
          <w:rFonts w:ascii="Book Antiqua" w:eastAsia="Book Antiqua" w:hAnsi="Book Antiqua" w:cs="Book Antiqua"/>
        </w:rPr>
        <w:t xml:space="preserve"> 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ignore</w:t>
      </w:r>
      <w:r w:rsidR="00973EEB" w:rsidRPr="003E6753">
        <w:rPr>
          <w:rFonts w:ascii="Book Antiqua" w:eastAsia="Book Antiqua" w:hAnsi="Book Antiqua" w:cs="Book Antiqua"/>
        </w:rPr>
        <w:t>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distinctions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estimates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terms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SIR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17]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determine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random-effects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model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deployed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calculating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overall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estimates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confidence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intervals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973EEB" w:rsidRPr="003E6753">
        <w:rPr>
          <w:rFonts w:ascii="Book Antiqua" w:eastAsia="Book Antiqua" w:hAnsi="Book Antiqua" w:cs="Book Antiqua"/>
        </w:rPr>
        <w:t xml:space="preserve">(CIs),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extracted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according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measures,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considered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single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before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Cochran’s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caps/>
        </w:rPr>
        <w:t>p</w:t>
      </w:r>
      <w:r w:rsidRPr="003E6753">
        <w:rPr>
          <w:rFonts w:ascii="Book Antiqua" w:eastAsia="Book Antiqua" w:hAnsi="Book Antiqua" w:cs="Book Antiqua"/>
        </w:rPr>
        <w:t>-value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0.10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significance.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Furthermore,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graded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I</w:t>
      </w:r>
      <w:r w:rsidRPr="003E6753">
        <w:rPr>
          <w:rFonts w:ascii="Book Antiqua" w:eastAsia="Book Antiqua" w:hAnsi="Book Antiqua" w:cs="Book Antiqua"/>
          <w:vertAlign w:val="superscript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25%,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50%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75%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denoting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low,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moderate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levels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respectively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18]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according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type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Sensitivity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investigate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robustness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Egger’s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funnel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plots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bias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19]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correct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identify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asymmetry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funnel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trim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12.0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</w:t>
      </w:r>
      <w:proofErr w:type="spellStart"/>
      <w:r w:rsidRPr="003E6753">
        <w:rPr>
          <w:rFonts w:ascii="Book Antiqua" w:eastAsia="Book Antiqua" w:hAnsi="Book Antiqua" w:cs="Book Antiqua"/>
        </w:rPr>
        <w:t>StataCorp</w:t>
      </w:r>
      <w:proofErr w:type="spellEnd"/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Station,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United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States).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u w:val="single"/>
        </w:rPr>
        <w:t>RESULTS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Studies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included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Databases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manual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searches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identified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1695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Specifically,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accounted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1056,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Cochrane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324,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Web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Science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156,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3E6753">
        <w:rPr>
          <w:rFonts w:ascii="Book Antiqua" w:eastAsia="Book Antiqua" w:hAnsi="Book Antiqua" w:cs="Book Antiqua"/>
        </w:rPr>
        <w:t>Embase</w:t>
      </w:r>
      <w:proofErr w:type="spellEnd"/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yielded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159,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whereas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manual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produced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removal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duplicate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</w:t>
      </w:r>
      <w:r w:rsidRPr="003E6753">
        <w:rPr>
          <w:rFonts w:ascii="Book Antiqua" w:eastAsia="Book Antiqua" w:hAnsi="Book Antiqua" w:cs="Book Antiqua"/>
          <w:i/>
          <w:iCs/>
        </w:rPr>
        <w:t>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560)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screening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1150,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1043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failed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meet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criteria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unqualified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titles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and/or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abstracts.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973EEB" w:rsidRPr="003E6753">
        <w:rPr>
          <w:rFonts w:ascii="Book Antiqua" w:eastAsia="Book Antiqua" w:hAnsi="Book Antiqua" w:cs="Book Antiqua"/>
        </w:rPr>
        <w:t xml:space="preserve">subsequently </w:t>
      </w:r>
      <w:r w:rsidRPr="003E6753">
        <w:rPr>
          <w:rFonts w:ascii="Book Antiqua" w:eastAsia="Book Antiqua" w:hAnsi="Book Antiqua" w:cs="Book Antiqua"/>
        </w:rPr>
        <w:t>examined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eligibility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aforementioned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standards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reading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full-text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various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reasons.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Among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97</w:t>
      </w:r>
      <w:r w:rsidR="00973EEB" w:rsidRPr="003E6753">
        <w:rPr>
          <w:rFonts w:ascii="Book Antiqua" w:eastAsia="Book Antiqua" w:hAnsi="Book Antiqua" w:cs="Book Antiqua"/>
        </w:rPr>
        <w:t xml:space="preserve"> studies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lacked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sufficient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letters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comments,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abstracts,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Finally,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summary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retrieval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process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outlined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retrospective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design,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published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1994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2018</w:t>
      </w:r>
      <w:proofErr w:type="gramEnd"/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Among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973EEB" w:rsidRPr="003E6753">
        <w:rPr>
          <w:rFonts w:ascii="Book Antiqua" w:eastAsia="Book Antiqua" w:hAnsi="Book Antiqua" w:cs="Book Antiqua"/>
        </w:rPr>
        <w:t>three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(each)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United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Sweden,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973EEB" w:rsidRPr="003E6753">
        <w:rPr>
          <w:rFonts w:ascii="Book Antiqua" w:eastAsia="Book Antiqua" w:hAnsi="Book Antiqua" w:cs="Book Antiqua"/>
        </w:rPr>
        <w:t>two 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single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(each)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973EEB" w:rsidRPr="003E6753">
        <w:rPr>
          <w:rFonts w:ascii="Book Antiqua" w:eastAsia="Book Antiqua" w:hAnsi="Book Antiqua" w:cs="Book Antiqua"/>
        </w:rPr>
        <w:t xml:space="preserve">was conducted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Britain,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Netherlands,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Denmark.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measures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two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two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three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973EEB" w:rsidRPr="003E6753">
        <w:rPr>
          <w:rFonts w:ascii="Book Antiqua" w:eastAsia="Book Antiqua" w:hAnsi="Book Antiqua" w:cs="Book Antiqua"/>
        </w:rPr>
        <w:t xml:space="preserve">were </w:t>
      </w:r>
      <w:r w:rsidRPr="003E6753">
        <w:rPr>
          <w:rFonts w:ascii="Book Antiqua" w:eastAsia="Book Antiqua" w:hAnsi="Book Antiqua" w:cs="Book Antiqua"/>
        </w:rPr>
        <w:t>SIR</w:t>
      </w:r>
      <w:r w:rsidR="00973EEB"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HR.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detailed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description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characteristics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presented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</w:t>
      </w:r>
      <w:r w:rsidRPr="003E6753">
        <w:rPr>
          <w:rFonts w:ascii="Book Antiqua" w:eastAsia="Book Antiqua" w:hAnsi="Book Antiqua" w:cs="Book Antiqua"/>
          <w:vertAlign w:val="superscript"/>
        </w:rPr>
        <w:t>[10</w:t>
      </w:r>
      <w:proofErr w:type="gramStart"/>
      <w:r w:rsidRPr="003E6753">
        <w:rPr>
          <w:rFonts w:ascii="Book Antiqua" w:eastAsia="Book Antiqua" w:hAnsi="Book Antiqua" w:cs="Book Antiqua"/>
          <w:vertAlign w:val="superscript"/>
        </w:rPr>
        <w:t>,13,14,20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-27]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while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outline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ratings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across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general,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methodological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considered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quality</w:t>
      </w:r>
      <w:r w:rsidR="00973EEB" w:rsidRPr="003E6753">
        <w:rPr>
          <w:rFonts w:ascii="Book Antiqua" w:eastAsia="Book Antiqua" w:hAnsi="Book Antiqua" w:cs="Book Antiqua"/>
        </w:rPr>
        <w:t xml:space="preserve"> with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higher.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AP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PC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risk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Eleven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exhibited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1.36-2.78),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statistically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significant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I</w:t>
      </w:r>
      <w:r w:rsidRPr="003E6753">
        <w:rPr>
          <w:rFonts w:ascii="Book Antiqua" w:eastAsia="Book Antiqua" w:hAnsi="Book Antiqua" w:cs="Book Antiqua"/>
          <w:vertAlign w:val="superscript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78.9%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</w:t>
      </w:r>
      <w:r w:rsidRPr="003E6753">
        <w:rPr>
          <w:rFonts w:ascii="Book Antiqua" w:eastAsia="Book Antiqua" w:hAnsi="Book Antiqua" w:cs="Book Antiqua"/>
          <w:i/>
          <w:iCs/>
        </w:rPr>
        <w:t>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&lt;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0.001).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Consequently,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random-effect</w:t>
      </w:r>
      <w:r w:rsidR="001B469A" w:rsidRPr="003E6753">
        <w:rPr>
          <w:rFonts w:ascii="Book Antiqua" w:eastAsia="Book Antiqua" w:hAnsi="Book Antiqua" w:cs="Book Antiqua"/>
        </w:rPr>
        <w:t>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model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Furthermore,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comprising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103961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1442158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subjects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number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1B469A" w:rsidRPr="003E6753">
        <w:rPr>
          <w:rFonts w:ascii="Book Antiqua" w:eastAsia="Book Antiqua" w:hAnsi="Book Antiqua" w:cs="Book Antiqua"/>
        </w:rPr>
        <w:t xml:space="preserve">is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Supplementary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7.81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5.00-12.19)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random-effects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model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3).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Subgroup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estimates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1B469A" w:rsidRPr="003E6753">
        <w:rPr>
          <w:rFonts w:ascii="Book Antiqua" w:eastAsia="Book Antiqua" w:hAnsi="Book Antiqua" w:cs="Book Antiqua"/>
        </w:rPr>
        <w:t xml:space="preserve">are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Supplementary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type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23.47,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3.26-43.68),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9.82,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3.01-16.64),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2.47,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1.93-3.02),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1.69,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1.26-2.11),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&gt;</w:t>
      </w:r>
      <w:r w:rsidR="001F1744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1.17,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0.78-1.57),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indicating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diminishes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long-term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described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4).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hand,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1F1744" w:rsidRPr="003E6753">
        <w:rPr>
          <w:rFonts w:ascii="Book Antiqua" w:eastAsia="Book Antiqua" w:hAnsi="Book Antiqua" w:cs="Book Antiqua"/>
        </w:rPr>
        <w:t>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3.03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-1.02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7.08,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P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0.141),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</w:t>
      </w:r>
      <w:r w:rsidR="001F1744" w:rsidRPr="003E6753">
        <w:rPr>
          <w:rFonts w:ascii="Book Antiqua" w:eastAsia="Book Antiqua" w:hAnsi="Book Antiqua" w:cs="Book Antiqua"/>
        </w:rPr>
        <w:t>ereas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1.22-2.97)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demonstrated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stronger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3E6753">
        <w:rPr>
          <w:rFonts w:ascii="Book Antiqua" w:eastAsia="Book Antiqua" w:hAnsi="Book Antiqua" w:cs="Book Antiqua"/>
          <w:b/>
          <w:bCs/>
          <w:i/>
          <w:iCs/>
        </w:rPr>
        <w:t>Publication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sensitivity</w:t>
      </w:r>
      <w:r w:rsidR="00EB221E" w:rsidRPr="003E6753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funnel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depicted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obvious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Egger’s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evidence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</w:t>
      </w:r>
      <w:r w:rsidRPr="003E6753">
        <w:rPr>
          <w:rFonts w:ascii="Book Antiqua" w:eastAsia="Book Antiqua" w:hAnsi="Book Antiqua" w:cs="Book Antiqua"/>
          <w:i/>
          <w:iCs/>
        </w:rPr>
        <w:t>P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0.106)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(Supplementary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Meanwhile,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</w:t>
      </w:r>
      <w:r w:rsidRPr="003E6753">
        <w:rPr>
          <w:rFonts w:ascii="Book Antiqua" w:eastAsia="Book Antiqua" w:hAnsi="Book Antiqua" w:cs="Book Antiqua"/>
          <w:i/>
          <w:iCs/>
        </w:rPr>
        <w:t>P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0.025)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recorded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Calculations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trim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variance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indicating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missing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literature,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could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ignored.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895E5E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trimming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filling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895E5E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results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funnel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shown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Supplementary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Furthermore,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sensitivity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explain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found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significant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influence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895E5E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two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studies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24,26]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(Figure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7).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u w:val="single"/>
        </w:rPr>
        <w:t>DISCUSSION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Previous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PC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28]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analyzed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differences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number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exposure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but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value.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hypothesized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adequately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describe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need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comprehensive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current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first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</w:t>
      </w:r>
      <w:r w:rsidR="00895E5E" w:rsidRPr="003E6753">
        <w:rPr>
          <w:rFonts w:ascii="Book Antiqua" w:eastAsia="Book Antiqua" w:hAnsi="Book Antiqua" w:cs="Book Antiqua"/>
        </w:rPr>
        <w:t>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summarize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current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demonstrate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existence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1.36-2.78).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Interestingly,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23.47,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3.26-43.68)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declined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long-term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Subsequently,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did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over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>example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Kirkegård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8]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confirmed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increase</w:t>
      </w:r>
      <w:r w:rsidR="00353FD1" w:rsidRPr="003E6753">
        <w:rPr>
          <w:rFonts w:ascii="Book Antiqua" w:eastAsia="Book Antiqua" w:hAnsi="Book Antiqua" w:cs="Book Antiqua"/>
        </w:rPr>
        <w:t>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16.60;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12.59-20.73),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found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diminishing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long-term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follow-up.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Similarly,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29]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7.05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6.42-7.75)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found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also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2.12;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1.59-2.83)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>two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demonstrate</w:t>
      </w:r>
      <w:r w:rsidR="00353FD1" w:rsidRPr="003E6753">
        <w:rPr>
          <w:rFonts w:ascii="Book Antiqua" w:eastAsia="Book Antiqua" w:hAnsi="Book Antiqua" w:cs="Book Antiqua"/>
        </w:rPr>
        <w:t>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almost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same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results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</w:p>
    <w:p w:rsidR="0040323E" w:rsidRPr="003E6753" w:rsidRDefault="00A557ED" w:rsidP="003E675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Chung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24]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investigated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Chinese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During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747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(1.47%)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who </w:t>
      </w:r>
      <w:r w:rsidRPr="003E6753">
        <w:rPr>
          <w:rFonts w:ascii="Book Antiqua" w:eastAsia="Book Antiqua" w:hAnsi="Book Antiqua" w:cs="Book Antiqua"/>
        </w:rPr>
        <w:t>developed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5976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(0.17%),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suggesting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a </w:t>
      </w:r>
      <w:r w:rsidRPr="003E6753">
        <w:rPr>
          <w:rFonts w:ascii="Book Antiqua" w:eastAsia="Book Antiqua" w:hAnsi="Book Antiqua" w:cs="Book Antiqua"/>
        </w:rPr>
        <w:t>9-fold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greater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(HR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9.10;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3.81-21.76)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from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another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Goldacre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26]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British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matched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closely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>EE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27.0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21.4-33.8)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vs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5.7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4.54</w:t>
      </w:r>
      <w:r w:rsidR="00EB221E" w:rsidRPr="003E6753">
        <w:rPr>
          <w:rFonts w:ascii="Book Antiqua" w:eastAsia="Book Antiqua" w:hAnsi="Book Antiqua" w:cs="Book Antiqua"/>
        </w:rPr>
        <w:t>-</w:t>
      </w:r>
      <w:r w:rsidRPr="003E6753">
        <w:rPr>
          <w:rFonts w:ascii="Book Antiqua" w:eastAsia="Book Antiqua" w:hAnsi="Book Antiqua" w:cs="Book Antiqua"/>
        </w:rPr>
        <w:t>7.08),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ignored.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Similarly,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731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Rijkers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20]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>O</w:t>
      </w:r>
      <w:r w:rsidRPr="003E6753">
        <w:rPr>
          <w:rFonts w:ascii="Book Antiqua" w:eastAsia="Book Antiqua" w:hAnsi="Book Antiqua" w:cs="Book Antiqua"/>
        </w:rPr>
        <w:t>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680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without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353FD1" w:rsidRPr="003E6753">
        <w:rPr>
          <w:rFonts w:ascii="Book Antiqua" w:eastAsia="Book Antiqua" w:hAnsi="Book Antiqua" w:cs="Book Antiqua"/>
        </w:rPr>
        <w:t xml:space="preserve">,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development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0.3-3.3).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is </w:t>
      </w:r>
      <w:r w:rsidRPr="003E6753">
        <w:rPr>
          <w:rFonts w:ascii="Book Antiqua" w:eastAsia="Book Antiqua" w:hAnsi="Book Antiqua" w:cs="Book Antiqua"/>
        </w:rPr>
        <w:t>worth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mentioning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of 51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with chronic pancreatitis </w:t>
      </w:r>
      <w:r w:rsidRPr="003E6753">
        <w:rPr>
          <w:rFonts w:ascii="Book Antiqua" w:eastAsia="Book Antiqua" w:hAnsi="Book Antiqua" w:cs="Book Antiqua"/>
        </w:rPr>
        <w:t>developed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almost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</w:t>
      </w:r>
      <w:r w:rsidR="00353FD1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(SIR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9.0;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2.3-35.7)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to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without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Kirkegård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21]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found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elevated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during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 xml:space="preserve">the </w:t>
      </w:r>
      <w:r w:rsidRPr="003E6753">
        <w:rPr>
          <w:rFonts w:ascii="Book Antiqua" w:eastAsia="Book Antiqua" w:hAnsi="Book Antiqua" w:cs="Book Antiqua"/>
        </w:rPr>
        <w:t>5-year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353FD1" w:rsidRPr="003E6753">
        <w:rPr>
          <w:rFonts w:ascii="Book Antiqua" w:eastAsia="Book Antiqua" w:hAnsi="Book Antiqua" w:cs="Book Antiqua"/>
        </w:rPr>
        <w:t>appearing to 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vulnerable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AC3186" w:rsidRPr="003E6753">
        <w:rPr>
          <w:rFonts w:ascii="Book Antiqua" w:eastAsia="Book Antiqua" w:hAnsi="Book Antiqua" w:cs="Book Antiqua"/>
        </w:rPr>
        <w:t>age- and sex-</w:t>
      </w:r>
      <w:r w:rsidRPr="003E6753">
        <w:rPr>
          <w:rFonts w:ascii="Book Antiqua" w:eastAsia="Book Antiqua" w:hAnsi="Book Antiqua" w:cs="Book Antiqua"/>
        </w:rPr>
        <w:t>match</w:t>
      </w:r>
      <w:r w:rsidR="00AC3186" w:rsidRPr="003E6753">
        <w:rPr>
          <w:rFonts w:ascii="Book Antiqua" w:eastAsia="Book Antiqua" w:hAnsi="Book Antiqua" w:cs="Book Antiqua"/>
        </w:rPr>
        <w:t>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seem</w:t>
      </w:r>
      <w:r w:rsidR="00AC3186" w:rsidRPr="003E6753">
        <w:rPr>
          <w:rFonts w:ascii="Book Antiqua" w:eastAsia="Book Antiqua" w:hAnsi="Book Antiqua" w:cs="Book Antiqua"/>
        </w:rPr>
        <w:t>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decline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long-term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fluctuation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AC3186" w:rsidRPr="003E6753">
        <w:rPr>
          <w:rFonts w:ascii="Book Antiqua" w:eastAsia="Book Antiqua" w:hAnsi="Book Antiqua" w:cs="Book Antiqua"/>
        </w:rPr>
        <w:t xml:space="preserve">was </w:t>
      </w:r>
      <w:r w:rsidRPr="003E6753">
        <w:rPr>
          <w:rFonts w:ascii="Book Antiqua" w:eastAsia="Book Antiqua" w:hAnsi="Book Antiqua" w:cs="Book Antiqua"/>
        </w:rPr>
        <w:t>comparatively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placid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</w:t>
      </w:r>
      <w:r w:rsidR="00AC3186" w:rsidRPr="003E6753">
        <w:rPr>
          <w:rFonts w:ascii="Book Antiqua" w:eastAsia="Book Antiqua" w:hAnsi="Book Antiqua" w:cs="Book Antiqua"/>
        </w:rPr>
        <w:t>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AC3186" w:rsidRPr="003E6753">
        <w:rPr>
          <w:rFonts w:ascii="Book Antiqua" w:eastAsia="Book Antiqua" w:hAnsi="Book Antiqua" w:cs="Book Antiqua"/>
        </w:rPr>
        <w:t xml:space="preserve">a </w:t>
      </w:r>
      <w:r w:rsidRPr="003E6753">
        <w:rPr>
          <w:rFonts w:ascii="Book Antiqua" w:eastAsia="Book Antiqua" w:hAnsi="Book Antiqua" w:cs="Book Antiqua"/>
        </w:rPr>
        <w:t>high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level,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AC3186" w:rsidRPr="003E6753">
        <w:rPr>
          <w:rFonts w:ascii="Book Antiqua" w:eastAsia="Book Antiqua" w:hAnsi="Book Antiqua" w:cs="Book Antiqua"/>
        </w:rPr>
        <w:t xml:space="preserve">as </w:t>
      </w:r>
      <w:r w:rsidRPr="003E6753">
        <w:rPr>
          <w:rFonts w:ascii="Book Antiqua" w:eastAsia="Book Antiqua" w:hAnsi="Book Antiqua" w:cs="Book Antiqua"/>
        </w:rPr>
        <w:t>shown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</w:t>
      </w:r>
      <w:r w:rsidR="00AC3186" w:rsidRPr="003E6753">
        <w:rPr>
          <w:rFonts w:ascii="Book Antiqua" w:eastAsia="Book Antiqua" w:hAnsi="Book Antiqua" w:cs="Book Antiqua"/>
        </w:rPr>
        <w:t>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long-</w:t>
      </w:r>
      <w:r w:rsidR="00AC3186" w:rsidRPr="003E6753">
        <w:rPr>
          <w:rFonts w:ascii="Book Antiqua" w:eastAsia="Book Antiqua" w:hAnsi="Book Antiqua" w:cs="Book Antiqua"/>
        </w:rPr>
        <w:t>term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observation</w:t>
      </w:r>
      <w:r w:rsidR="00AC3186" w:rsidRPr="003E6753">
        <w:rPr>
          <w:rFonts w:ascii="Book Antiqua" w:eastAsia="Book Antiqua" w:hAnsi="Book Antiqua" w:cs="Book Antiqua"/>
        </w:rPr>
        <w:t>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(HR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2.02;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1.57-2.61).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addition,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million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people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[22]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found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individuals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8-fold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(HR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8.26;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3.42-19.98).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30]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suggesting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shorter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overall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ductal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those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without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history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mortality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1.808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1.241-2.632).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Similarly,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independent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recurrence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4.13;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1.41-12.10)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disease-free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PC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31]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Therefore,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show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stronger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compared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</w:t>
      </w:r>
      <w:r w:rsidR="00DB123D" w:rsidRPr="003E6753">
        <w:rPr>
          <w:rFonts w:ascii="Book Antiqua" w:eastAsia="Book Antiqua" w:hAnsi="Book Antiqua" w:cs="Book Antiqua"/>
        </w:rPr>
        <w:t>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should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taken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seriously.</w:t>
      </w:r>
    </w:p>
    <w:p w:rsidR="0040323E" w:rsidRPr="003E6753" w:rsidRDefault="00A557ED" w:rsidP="003E675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Notably,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numerous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demonstrated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shortly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onset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likely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23.47,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3.26-43.68),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estimates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across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required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adequate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validation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findings.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showed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declining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trend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across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points,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evidenced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2.47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1.93-3.02),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1.69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1.26-2.11),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1.17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0.78-1.57)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&gt;</w:t>
      </w:r>
      <w:r w:rsidR="00DB123D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respectively.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consistent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previous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20-fold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first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diagnosis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23,24]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Generally,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initially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manifest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symptoms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similar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Consequently,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inaccurately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AP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32]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al</w:t>
      </w:r>
      <w:r w:rsidRPr="003E6753">
        <w:rPr>
          <w:rFonts w:ascii="Book Antiqua" w:eastAsia="Book Antiqua" w:hAnsi="Book Antiqua" w:cs="Book Antiqua"/>
          <w:vertAlign w:val="superscript"/>
        </w:rPr>
        <w:t>[33]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suggested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occurrence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indicator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affirming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need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early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examinations,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wk</w:t>
      </w:r>
      <w:proofErr w:type="spellEnd"/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allow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resolution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inflammatory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changes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secondary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episode,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especially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high-risk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Consequently,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spuriously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overall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misdiagnosed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explain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strong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observed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diminishing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diagnosis.</w:t>
      </w:r>
    </w:p>
    <w:p w:rsidR="0040323E" w:rsidRPr="003E6753" w:rsidRDefault="00A557ED" w:rsidP="003E6753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some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limitations.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First,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pre-existing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might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undetected,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which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clinically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presented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attributed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reasons</w:t>
      </w:r>
      <w:r w:rsidR="00DB123D"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(1)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possible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physician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treated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common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disease,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gallstones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alcohol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abuse,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focusing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pre-existing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DB123D"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(2)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imaging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examination,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C17E0D" w:rsidRPr="003E6753">
        <w:rPr>
          <w:rFonts w:ascii="Book Antiqua" w:eastAsia="Book Antiqua" w:hAnsi="Book Antiqua" w:cs="Book Antiqua"/>
        </w:rPr>
        <w:t>contrast-enhanced computed tomography (</w:t>
      </w:r>
      <w:r w:rsidRPr="003E6753">
        <w:rPr>
          <w:rFonts w:ascii="Book Antiqua" w:eastAsia="Book Antiqua" w:hAnsi="Book Antiqua" w:cs="Book Antiqua"/>
        </w:rPr>
        <w:t>CECT</w:t>
      </w:r>
      <w:r w:rsidR="00C17E0D" w:rsidRPr="003E6753">
        <w:rPr>
          <w:rFonts w:ascii="Book Antiqua" w:eastAsia="Book Antiqua" w:hAnsi="Book Antiqua" w:cs="Book Antiqua"/>
        </w:rPr>
        <w:t>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C17E0D" w:rsidRPr="003E6753">
        <w:rPr>
          <w:rFonts w:ascii="Book Antiqua" w:eastAsia="Book Antiqua" w:hAnsi="Book Antiqua" w:cs="Book Antiqua"/>
        </w:rPr>
        <w:t xml:space="preserve">magnetic resonance imaging </w:t>
      </w:r>
      <w:r w:rsidR="00C17E0D" w:rsidRPr="003E6753">
        <w:rPr>
          <w:rFonts w:ascii="Book Antiqua" w:eastAsia="Book Antiqua" w:hAnsi="Book Antiqua" w:cs="Book Antiqua"/>
        </w:rPr>
        <w:lastRenderedPageBreak/>
        <w:t>(</w:t>
      </w:r>
      <w:r w:rsidRPr="003E6753">
        <w:rPr>
          <w:rFonts w:ascii="Book Antiqua" w:eastAsia="Book Antiqua" w:hAnsi="Book Antiqua" w:cs="Book Antiqua"/>
        </w:rPr>
        <w:t>MRI</w:t>
      </w:r>
      <w:r w:rsidR="00C17E0D" w:rsidRPr="003E6753">
        <w:rPr>
          <w:rFonts w:ascii="Book Antiqua" w:eastAsia="Book Antiqua" w:hAnsi="Book Antiqua" w:cs="Book Antiqua"/>
        </w:rPr>
        <w:t>)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tumor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might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mistaken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inflammatory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setting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even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MRI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34]</w:t>
      </w:r>
      <w:r w:rsidR="00DB123D"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(3)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MRI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standard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tools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pancreatitis</w:t>
      </w:r>
      <w:r w:rsidRPr="003E6753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E6753">
        <w:rPr>
          <w:rFonts w:ascii="Book Antiqua" w:eastAsia="Book Antiqua" w:hAnsi="Book Antiqua" w:cs="Book Antiqua"/>
          <w:vertAlign w:val="superscript"/>
        </w:rPr>
        <w:t>35]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several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subjected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examinations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during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hospitalization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subsequent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possible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pre-existing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missed.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Second,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some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old.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field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C17E0D" w:rsidRPr="003E6753">
        <w:rPr>
          <w:rFonts w:ascii="Book Antiqua" w:eastAsia="Book Antiqua" w:hAnsi="Book Antiqua" w:cs="Book Antiqua"/>
        </w:rPr>
        <w:t xml:space="preserve">confirm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current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knowledge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area.</w:t>
      </w:r>
    </w:p>
    <w:p w:rsidR="00EB221E" w:rsidRPr="003E6753" w:rsidRDefault="00EB221E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:rsidR="00EB221E" w:rsidRPr="003E6753" w:rsidRDefault="00EB221E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u w:val="single"/>
        </w:rPr>
      </w:pPr>
      <w:r w:rsidRPr="003E6753">
        <w:rPr>
          <w:rFonts w:ascii="Book Antiqua" w:eastAsia="Book Antiqua" w:hAnsi="Book Antiqua" w:cs="Book Antiqua"/>
          <w:b/>
          <w:bCs/>
          <w:u w:val="single"/>
        </w:rPr>
        <w:t>CONCLUSION</w:t>
      </w:r>
    </w:p>
    <w:p w:rsidR="00EB221E" w:rsidRPr="003E6753" w:rsidRDefault="00EB221E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Overall, our findings indicated an association between AP and PC risk. Based on subgroup analyses, AP is unlikely to be a causal factor for PC.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u w:val="single"/>
        </w:rPr>
        <w:t>ARTICLE</w:t>
      </w:r>
      <w:r w:rsidR="00EB221E" w:rsidRPr="003E6753">
        <w:rPr>
          <w:rFonts w:ascii="Book Antiqua" w:eastAsia="Book Antiqua" w:hAnsi="Book Antiqua" w:cs="Book Antiqua"/>
          <w:b/>
          <w:u w:val="single"/>
        </w:rPr>
        <w:t xml:space="preserve"> </w:t>
      </w:r>
      <w:r w:rsidRPr="003E6753">
        <w:rPr>
          <w:rFonts w:ascii="Book Antiqua" w:eastAsia="Book Antiqua" w:hAnsi="Book Antiqua" w:cs="Book Antiqua"/>
          <w:b/>
          <w:u w:val="single"/>
        </w:rPr>
        <w:t>HIGHLIGHTS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background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(PC)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major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cancer-related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deaths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worldwide.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prognosis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curative-intent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surgery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approach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improving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However,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fewer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surgery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local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disease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progression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metastasis.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Therefore,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avoiding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early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represent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essential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approaches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improving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motivation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Previous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several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including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diabetes,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smoking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(AP)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remains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unclear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4357F" w:rsidRPr="003E6753">
        <w:rPr>
          <w:rFonts w:ascii="Book Antiqua" w:eastAsia="Book Antiqua" w:hAnsi="Book Antiqua" w:cs="Book Antiqua"/>
        </w:rPr>
        <w:t xml:space="preserve">due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inconsistent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contradictory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objectives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lastRenderedPageBreak/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explored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retrospective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methods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first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searched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PubMed,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Web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Science,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Cochrane,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EMBASE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databases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original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calculated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combined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overall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effect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estimates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(EEs)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confidence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(CI),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random-effects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model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assessed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</w:rPr>
        <w:t>I</w:t>
      </w:r>
      <w:r w:rsidRPr="003E6753">
        <w:rPr>
          <w:rFonts w:ascii="Book Antiqua" w:eastAsia="Book Antiqua" w:hAnsi="Book Antiqua" w:cs="Book Antiqua"/>
          <w:vertAlign w:val="superscript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test.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Thereafter,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examined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combined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(RR),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95%CI.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Furthermore,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conducted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publication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then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analyzed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sensitivities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explain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observed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results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Eleven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eligible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inclusion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resulted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1.36-2.78)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Additionally,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="0044357F" w:rsidRPr="003E6753">
        <w:rPr>
          <w:rFonts w:ascii="Book Antiqua" w:eastAsia="Book Antiqua" w:hAnsi="Book Antiqua" w:cs="Book Antiqua"/>
        </w:rPr>
        <w:t xml:space="preserve">five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103961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1442158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subjects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7.81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5.00-12.19).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performed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23.47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3.26-43.68),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9.82,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3.01-16.64),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2.47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1.93-3.02),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1.69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1.26-2.11)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1.17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0.78-1.57)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&gt;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10-year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periods,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respectively.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Similar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targeting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type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research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revealed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3.03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-1.02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7.08,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P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</w:rPr>
        <w:t>=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0.141)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2.09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(95%CI: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1.22-2.97)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case-control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respectively.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conclusions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Overall,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findings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indicated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unlikely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i/>
        </w:rPr>
        <w:t>Research</w:t>
      </w:r>
      <w:r w:rsidR="00EB221E" w:rsidRPr="003E6753">
        <w:rPr>
          <w:rFonts w:ascii="Book Antiqua" w:eastAsia="Book Antiqua" w:hAnsi="Book Antiqua" w:cs="Book Antiqua"/>
          <w:b/>
          <w:i/>
        </w:rPr>
        <w:t xml:space="preserve"> </w:t>
      </w:r>
      <w:r w:rsidRPr="003E6753">
        <w:rPr>
          <w:rFonts w:ascii="Book Antiqua" w:eastAsia="Book Antiqua" w:hAnsi="Book Antiqua" w:cs="Book Antiqua"/>
          <w:b/>
          <w:i/>
        </w:rPr>
        <w:t>perspectives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lastRenderedPageBreak/>
        <w:t>Although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might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direct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cause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occurrence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could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indicators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Future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expected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elucidate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across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times,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order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improve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early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REFERENCES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Lambert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Schwarz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Borbath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Henry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Laethem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Malka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Ducreux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Conroy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update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treatment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options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Adv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Med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Oncol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2019;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11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1758835919875568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31598142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10.1177/1758835919875568]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Zeng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H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Zheng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Zou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Xia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Zhou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Jiang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Wei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Zhao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Jiang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Zhou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Gu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Hua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Bray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Jemal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Changing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during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2003-15: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population-based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registries.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Lancet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Glob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Health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2018;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6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e555-e567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29653628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10.1016/S2214-</w:t>
      </w:r>
      <w:proofErr w:type="gramStart"/>
      <w:r w:rsidRPr="003E6753">
        <w:rPr>
          <w:rFonts w:ascii="Book Antiqua" w:eastAsia="Book Antiqua" w:hAnsi="Book Antiqua" w:cs="Book Antiqua"/>
        </w:rPr>
        <w:t>109X(</w:t>
      </w:r>
      <w:proofErr w:type="gramEnd"/>
      <w:r w:rsidRPr="003E6753">
        <w:rPr>
          <w:rFonts w:ascii="Book Antiqua" w:eastAsia="Book Antiqua" w:hAnsi="Book Antiqua" w:cs="Book Antiqua"/>
        </w:rPr>
        <w:t>18)30127-X]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Miller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KD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Siegel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Mariotto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AB,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Kramer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Rowland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Stein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Alteri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Jemal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treatment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survivorship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2016.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2016;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66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271-289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27253694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10.3322/caac.21349]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E6753">
        <w:rPr>
          <w:rFonts w:ascii="Book Antiqua" w:eastAsia="Book Antiqua" w:hAnsi="Book Antiqua" w:cs="Book Antiqua"/>
        </w:rPr>
        <w:t>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Ryan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DP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Bardeesy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N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2014;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371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1039-1049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25207767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10.1056/NEJMra1404198]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E6753">
        <w:rPr>
          <w:rFonts w:ascii="Book Antiqua" w:eastAsia="Book Antiqua" w:hAnsi="Book Antiqua" w:cs="Book Antiqua"/>
        </w:rPr>
        <w:t>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Siegel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RL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Miller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Jemal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statistics,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2019.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2019;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69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7-34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30620402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10.3322/caac.21551]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Molina-Montes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E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Hoogstraten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Gomez-Rubio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Löhr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Sharp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Molero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Márquez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Michalski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CW,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Farré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Perea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O'Rorke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Greenhalf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Ilzarbe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Tardon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Gress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Barberà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Crnogorac-Jurcevic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Muñoz-</w:t>
      </w:r>
      <w:proofErr w:type="spellStart"/>
      <w:r w:rsidRPr="003E6753">
        <w:rPr>
          <w:rFonts w:ascii="Book Antiqua" w:eastAsia="Book Antiqua" w:hAnsi="Book Antiqua" w:cs="Book Antiqua"/>
        </w:rPr>
        <w:t>Bellvis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Domínguez</w:t>
      </w:r>
      <w:proofErr w:type="spellEnd"/>
      <w:r w:rsidRPr="003E6753">
        <w:rPr>
          <w:rFonts w:ascii="Book Antiqua" w:eastAsia="Book Antiqua" w:hAnsi="Book Antiqua" w:cs="Book Antiqua"/>
        </w:rPr>
        <w:t>-Muñoz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Balsells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Costello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Iglesias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Kleeff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O'Driscoll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Poves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Scarpa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Hidalgo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Carrato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Lawlor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Malats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PanGenEU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Investigators.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Lifetime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Smoking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Patterns,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Tobacco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Type,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Dose-Response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Relationships.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Epidemiol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Biomarkers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29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1009-1018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32051190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10.1158/1055-9965.EPI-19-1027]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Rahn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Zimmermann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Viol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Knaack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Stemmer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Peters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Lenk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Ungefroren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Saur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Schäfer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Helm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3E6753">
        <w:rPr>
          <w:rFonts w:ascii="Book Antiqua" w:eastAsia="Book Antiqua" w:hAnsi="Book Antiqua" w:cs="Book Antiqua"/>
        </w:rPr>
        <w:t>Sebens</w:t>
      </w:r>
      <w:proofErr w:type="spellEnd"/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Diabetes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Hyperglycemia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promotes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epithelial-mesenchymal-transition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stem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properties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ductal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epithelial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cells.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Lett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2018;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415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129-150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29222037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10.1016/j.canlet.2017.12.004]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Kirkegård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J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Mortensen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FV,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Cronin-Fenton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Chronic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Systematic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Am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112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1366-1372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28762376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10.1038/ajg.2017.218]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E6753">
        <w:rPr>
          <w:rFonts w:ascii="Book Antiqua" w:eastAsia="Book Antiqua" w:hAnsi="Book Antiqua" w:cs="Book Antiqua"/>
        </w:rPr>
        <w:t>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Majidi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Golembioski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Wilson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Thompson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EC.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Etiology,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Pathology,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Diagnosis,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Treatment.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South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Med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110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727-732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29100225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10.14423/SMJ.0000000000000727]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Sadr-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Azodi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O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Oskarsson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Discacciati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Videhult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Askling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Ekbom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Population-based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Matched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Am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2018;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113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1711-1719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30315287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10.1038/s41395-018-0255-9]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Carrière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Young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Gunn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Longnecker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Korc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accelerates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initiation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progression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expressing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oncogenic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Kras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nestin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cell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lineage.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One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2011;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6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e27725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22140463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10.1371/journal.pone.0027725]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Carrière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Young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Gunn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Longnecker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Korc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markedly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accelerates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progression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expressing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oncogenic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Kras</w:t>
      </w:r>
      <w:proofErr w:type="spellEnd"/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Res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2009;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382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561-565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19292977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10.1016/j.bbrc.2009.03.068]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Duell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EJ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Casella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Burk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Kelsey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Inflammation,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genetic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polymorphisms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proinflammatory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genes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TNF-A,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RANTES,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CCR5,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Epidemiol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Biomarkers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2006;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726-731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16614115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10.1158/1055-9965.EPI-05-0797]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lastRenderedPageBreak/>
        <w:t>14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Karlson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BM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Ekbom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Josefsson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McLaughlin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Fraumeni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Nyrén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confounding?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Gastroenterology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1997;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113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587-592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9247480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10.1053/gast.1997.v113.pm9247480]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Stroup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DF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Berlin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Morton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Olkin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Williamson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Rennie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Becker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Sipe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Thacker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SB.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observational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epidemiology: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proposal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reporting.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Observational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Epidemiology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(MOOSE)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JAMA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283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2008-2012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10789670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10.1001/jama.283.15.2008]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The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Newcastle-Ottawa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Scale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(NOS)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for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Assessing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the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Quality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if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Nonrandomized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Studies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in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Meta-Analyses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2011.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hAnsi="Book Antiqua"/>
        </w:rPr>
        <w:t>Available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from: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http://www.ohri.ca/programs/clinical_epidemiology/oxford.htm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E6753">
        <w:rPr>
          <w:rFonts w:ascii="Book Antiqua" w:eastAsia="Book Antiqua" w:hAnsi="Book Antiqua" w:cs="Book Antiqua"/>
        </w:rPr>
        <w:t>17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Greenland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</w:t>
      </w:r>
      <w:r w:rsidRPr="003E6753">
        <w:rPr>
          <w:rFonts w:ascii="Book Antiqua" w:eastAsia="Book Antiqua" w:hAnsi="Book Antiqua" w:cs="Book Antiqua"/>
        </w:rPr>
        <w:t>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Quantitative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methods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epidemiologic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literature.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Epidemiol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Rev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1987;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9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1-30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3678409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10.1093/oxfordjournals.epirev.a036298]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Higgins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JP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Thompson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SG.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Quantifying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heterogeneity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Stat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2002;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21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1539-1558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12111919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10.1002/sim.1186]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19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Egger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M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Davey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Smith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Schneider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Minder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Bias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detected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simple,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graphical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test.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BMJ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1997;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315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629-634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9310563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10.1136/bmj.315.7109.629]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Rijkers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AP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Bakker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Ahmed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Hagenaars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JCJP,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Santvoort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Besselink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Bollen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Eijck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Dutch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After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Primary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Episode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Pancreas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2017;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46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1018-1022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28797012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10.1097/MPA.0000000000000879]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E6753">
        <w:rPr>
          <w:rFonts w:ascii="Book Antiqua" w:eastAsia="Book Antiqua" w:hAnsi="Book Antiqua" w:cs="Book Antiqua"/>
        </w:rPr>
        <w:t>21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Kirkegård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J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Cronin-Fenton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Heide-</w:t>
      </w:r>
      <w:proofErr w:type="spellStart"/>
      <w:r w:rsidRPr="003E6753">
        <w:rPr>
          <w:rFonts w:ascii="Book Antiqua" w:eastAsia="Book Antiqua" w:hAnsi="Book Antiqua" w:cs="Book Antiqua"/>
        </w:rPr>
        <w:t>Jørgensen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Mortensen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FV.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Nationwide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Matched-Cohort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Denmark.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Gastroenterology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2018;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154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1729-1736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29432727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10.1053/j.gastro.2018.02.011]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Pang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Y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Kartsonaki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Turnbull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Guo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Bian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Millwood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Bragg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Holmes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MV,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Metabolic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lifestyle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Chinese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adults: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lastRenderedPageBreak/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0.5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million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people.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Med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2018;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e1002618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30067849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10.1371/journal.pmed.1002618]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Munigala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Kanwal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Xian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Scherrer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JF,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Agarwal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2014;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12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1143-1150.e1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24440214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10.1016/j.cgh.2013.12.033]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Chung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SD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Xirasagar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Tsai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More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9-times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among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Chinese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Pancreas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2012;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41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142-146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21946811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10.1097/MPA.0b013e31822363c3]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Ekbom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A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McLaughlin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Karlsson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Nyrén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Gridley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Adami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HO,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Fraumeni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Jr.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population-based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Natl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Inst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1994;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86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625-627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8145277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10.1093/</w:t>
      </w:r>
      <w:proofErr w:type="spellStart"/>
      <w:r w:rsidRPr="003E6753">
        <w:rPr>
          <w:rFonts w:ascii="Book Antiqua" w:eastAsia="Book Antiqua" w:hAnsi="Book Antiqua" w:cs="Book Antiqua"/>
        </w:rPr>
        <w:t>jnci</w:t>
      </w:r>
      <w:proofErr w:type="spellEnd"/>
      <w:r w:rsidRPr="003E6753">
        <w:rPr>
          <w:rFonts w:ascii="Book Antiqua" w:eastAsia="Book Antiqua" w:hAnsi="Book Antiqua" w:cs="Book Antiqua"/>
        </w:rPr>
        <w:t>/86.8.625]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Goldacre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MJ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Wotton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Yeates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Seagroatt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Collier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Liver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cirrhosis,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other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liver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diseases,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subsequent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record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linkage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2008;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20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384-392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18403939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10.1097/MEG.0b013e3282f4489f]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Bansal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P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Sonnenberg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factor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Gastroenterology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1995;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109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247-251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7797022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10.1016/0016-5085(95)90291-0]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28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Zhang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X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Tian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Zhao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Increased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meta-analysis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prospective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cohort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Res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2019;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43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e39-e41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30392817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10.1016/j.clinre.2018.09.008]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29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Tong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GX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Geng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Chai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XR,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DB.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Association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between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subsequent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risk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systematic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epidemiological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studies.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Asian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Pac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Cancer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2014;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5029-5034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24998582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10.7314/apjcp.2014.15.12.5029]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30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Gong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Y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Luo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Huang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Qian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Q,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Prior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history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predicts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poor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resectable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ductal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adenocarcinoma.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Pancreatology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20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716-721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32249060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10.1016/j.pan.2020.02.016]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lastRenderedPageBreak/>
        <w:t>31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Feng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Q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Zhang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CL,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Liu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XB,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Chen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YH.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Recurrence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survival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after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surgery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cancer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without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World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2019;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6006-6015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31660036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10.3748/wjg.v25.i39.6006]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32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Mujica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VR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Barkin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VL.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secondary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carcinoma.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Study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Group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Participants.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Pancreas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2000;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21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329-332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11075985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10.1097/00006676-200011000-00001]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33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Cho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JH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Choi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Hwang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Park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Jeon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Kim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HM,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Cho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JH.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Usefulness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scheduled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follow-up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discharged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patients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Pancreatology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2015;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15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642-646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26422300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10.1016/j.pan.2015.09.004]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34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b/>
          <w:bCs/>
        </w:rPr>
        <w:t>Frampas</w:t>
      </w:r>
      <w:proofErr w:type="spellEnd"/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E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Morla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Regenet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Eugène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Dupas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Meurette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solid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mass: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tumour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inflammation?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Imaging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2013;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94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741-755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23751230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10.1016/j.diii.2013.03.013]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35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Tenner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</w:t>
      </w:r>
      <w:r w:rsidRPr="003E6753">
        <w:rPr>
          <w:rFonts w:ascii="Book Antiqua" w:eastAsia="Book Antiqua" w:hAnsi="Book Antiqua" w:cs="Book Antiqua"/>
        </w:rPr>
        <w:t>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Baillie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DeWitt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J,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Vege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SS;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American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Gastroenterology.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American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College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Gastroenterology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guideline: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management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acute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pancreatitis.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Am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r w:rsidRPr="003E6753">
        <w:rPr>
          <w:rFonts w:ascii="Book Antiqua" w:eastAsia="Book Antiqua" w:hAnsi="Book Antiqua" w:cs="Book Antiqua"/>
          <w:i/>
          <w:iCs/>
        </w:rPr>
        <w:t>J</w:t>
      </w:r>
      <w:r w:rsidR="00EB221E" w:rsidRPr="003E675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2013;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108</w:t>
      </w:r>
      <w:r w:rsidRPr="003E6753">
        <w:rPr>
          <w:rFonts w:ascii="Book Antiqua" w:eastAsia="Book Antiqua" w:hAnsi="Book Antiqua" w:cs="Book Antiqua"/>
        </w:rPr>
        <w:t>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1400-15;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1416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[PMID: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23896955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DOI: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10.1038/ajg.2013.218]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  <w:sectPr w:rsidR="0040323E" w:rsidRPr="003E6753" w:rsidSect="003E67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lastRenderedPageBreak/>
        <w:t>Footnotes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Conflict-of-interest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statement: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All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authors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have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conflict(s)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of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interest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declare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relation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manuscript.</w:t>
      </w:r>
      <w:r w:rsidR="00EB221E" w:rsidRPr="003E6753">
        <w:rPr>
          <w:rFonts w:ascii="Book Antiqua" w:eastAsia="Book Antiqua" w:hAnsi="Book Antiqua" w:cs="Book Antiqua"/>
        </w:rPr>
        <w:t xml:space="preserve"> 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3E6753">
        <w:rPr>
          <w:rFonts w:ascii="Book Antiqua" w:eastAsia="Book Antiqua" w:hAnsi="Book Antiqua" w:cs="Book Antiqua"/>
          <w:b/>
          <w:bCs/>
        </w:rPr>
        <w:t>PRISMA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2009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Checklist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/>
          <w:bCs/>
        </w:rPr>
        <w:t>statement</w:t>
      </w:r>
      <w:r w:rsidRPr="003E6753">
        <w:rPr>
          <w:rFonts w:ascii="Book Antiqua" w:eastAsia="Book Antiqua" w:hAnsi="Book Antiqua" w:cs="Book Antiqua"/>
          <w:b/>
          <w:bCs/>
          <w:iCs/>
        </w:rPr>
        <w:t>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The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authors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have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read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the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PRISMA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2009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Checklist,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and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the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manuscript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was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prepared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and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revised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in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accordance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with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this</w:t>
      </w:r>
      <w:r w:rsidR="00EB221E" w:rsidRPr="003E6753">
        <w:rPr>
          <w:rFonts w:ascii="Book Antiqua" w:eastAsia="Book Antiqua" w:hAnsi="Book Antiqua" w:cs="Book Antiqua"/>
          <w:bCs/>
        </w:rPr>
        <w:t xml:space="preserve"> </w:t>
      </w:r>
      <w:r w:rsidRPr="003E6753">
        <w:rPr>
          <w:rFonts w:ascii="Book Antiqua" w:eastAsia="Book Antiqua" w:hAnsi="Book Antiqua" w:cs="Book Antiqua"/>
          <w:bCs/>
        </w:rPr>
        <w:t>checklist.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  <w:bCs/>
        </w:rPr>
        <w:t>Open-Access:</w:t>
      </w:r>
      <w:r w:rsidR="00EB221E" w:rsidRPr="003E6753">
        <w:rPr>
          <w:rFonts w:ascii="Book Antiqua" w:eastAsia="Book Antiqua" w:hAnsi="Book Antiqua" w:cs="Book Antiqua"/>
          <w:b/>
          <w:bCs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open-access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article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that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was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selected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in-house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editor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fully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peer-reviewed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external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reviewers.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distributed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accordance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with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Creative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Commons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Attribution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NonCommercial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(CC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BY-NC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4.0)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license,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which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permits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others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to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distribute,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remix,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adapt,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build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upon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non-commercially,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license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their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derivative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works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on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different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terms,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provided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original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work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properly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cited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and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the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use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is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non-commercial.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See: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http://creativecommons.org/licenses/by-nc/4.0/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Manuscript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source: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Unsolicited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manuscript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Peer-review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started: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May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6,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First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decision: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June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18,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2020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Article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in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press: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="0086657D" w:rsidRPr="003E6753">
        <w:rPr>
          <w:rFonts w:ascii="Book Antiqua" w:hAnsi="Book Antiqua" w:cs="Arial"/>
          <w:shd w:val="clear" w:color="auto" w:fill="FFFFFF"/>
        </w:rPr>
        <w:t>August 26, 2020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Specialty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type: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bookmarkStart w:id="5" w:name="OLE_LINK1952"/>
      <w:bookmarkStart w:id="6" w:name="OLE_LINK1953"/>
      <w:r w:rsidR="008D649A" w:rsidRPr="003E6753">
        <w:rPr>
          <w:rFonts w:ascii="Book Antiqua" w:eastAsia="微软雅黑" w:hAnsi="Book Antiqua" w:cs="宋体"/>
        </w:rPr>
        <w:t>Medicine, research and experimental</w:t>
      </w:r>
      <w:bookmarkEnd w:id="5"/>
      <w:bookmarkEnd w:id="6"/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Country/Territory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of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origin: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China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  <w:b/>
        </w:rPr>
        <w:t>Peer-review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report’s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scientific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quality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classification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Grade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gramStart"/>
      <w:r w:rsidRPr="003E6753">
        <w:rPr>
          <w:rFonts w:ascii="Book Antiqua" w:eastAsia="Book Antiqua" w:hAnsi="Book Antiqua" w:cs="Book Antiqua"/>
        </w:rPr>
        <w:t>A</w:t>
      </w:r>
      <w:proofErr w:type="gram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(Excellent):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Grade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(Very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good):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B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Grade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(Good):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C</w:t>
      </w:r>
      <w:r w:rsidR="008D649A" w:rsidRPr="003E6753">
        <w:rPr>
          <w:rFonts w:ascii="Book Antiqua" w:eastAsia="Book Antiqua" w:hAnsi="Book Antiqua" w:cs="Book Antiqua"/>
        </w:rPr>
        <w:t>, C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Grade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(Fair):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D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eastAsia="Book Antiqua" w:hAnsi="Book Antiqua" w:cs="Book Antiqua"/>
        </w:rPr>
        <w:t>Grade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E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(Poor):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0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726BA" w:rsidRDefault="00A557ED" w:rsidP="003E6753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3E6753">
        <w:rPr>
          <w:rFonts w:ascii="Book Antiqua" w:eastAsia="Book Antiqua" w:hAnsi="Book Antiqua" w:cs="Book Antiqua"/>
          <w:b/>
        </w:rPr>
        <w:t>P-Reviewer: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Chiba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T,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Eleftheriadis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N,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Jadallah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KA,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Tsolakis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A,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3E6753">
        <w:rPr>
          <w:rFonts w:ascii="Book Antiqua" w:eastAsia="Book Antiqua" w:hAnsi="Book Antiqua" w:cs="Book Antiqua"/>
        </w:rPr>
        <w:t>Tsoulfas</w:t>
      </w:r>
      <w:proofErr w:type="spellEnd"/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S-Editor: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</w:rPr>
        <w:t>Gong</w:t>
      </w:r>
      <w:r w:rsidR="00EB221E" w:rsidRPr="003E6753">
        <w:rPr>
          <w:rFonts w:ascii="Book Antiqua" w:eastAsia="Book Antiqua" w:hAnsi="Book Antiqua" w:cs="Book Antiqua"/>
        </w:rPr>
        <w:t xml:space="preserve"> </w:t>
      </w:r>
      <w:r w:rsidRPr="003E6753">
        <w:rPr>
          <w:rFonts w:ascii="Book Antiqua" w:eastAsia="Book Antiqua" w:hAnsi="Book Antiqua" w:cs="Book Antiqua"/>
        </w:rPr>
        <w:t>ZM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L-Editor: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EF0227" w:rsidRPr="003E6753">
        <w:rPr>
          <w:rFonts w:ascii="Book Antiqua" w:eastAsia="Book Antiqua" w:hAnsi="Book Antiqua" w:cs="Book Antiqua"/>
          <w:bCs/>
        </w:rPr>
        <w:t>Filipodia</w:t>
      </w:r>
      <w:proofErr w:type="spellEnd"/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P-Editor: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="0086657D" w:rsidRPr="003726BA">
        <w:rPr>
          <w:rFonts w:ascii="Book Antiqua" w:hAnsi="Book Antiqua" w:cs="Book Antiqua" w:hint="eastAsia"/>
          <w:lang w:eastAsia="zh-CN"/>
        </w:rPr>
        <w:t>Wang LL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E6753">
        <w:rPr>
          <w:rFonts w:ascii="Book Antiqua" w:eastAsia="Book Antiqua" w:hAnsi="Book Antiqua" w:cs="Book Antiqua"/>
          <w:b/>
        </w:rPr>
        <w:br w:type="page"/>
      </w:r>
      <w:r w:rsidRPr="003E6753">
        <w:rPr>
          <w:rFonts w:ascii="Book Antiqua" w:eastAsia="Book Antiqua" w:hAnsi="Book Antiqua" w:cs="Book Antiqua"/>
          <w:b/>
        </w:rPr>
        <w:lastRenderedPageBreak/>
        <w:t>Figure</w:t>
      </w:r>
      <w:r w:rsidR="00EB221E" w:rsidRPr="003E6753">
        <w:rPr>
          <w:rFonts w:ascii="Book Antiqua" w:eastAsia="Book Antiqua" w:hAnsi="Book Antiqua" w:cs="Book Antiqua"/>
          <w:b/>
        </w:rPr>
        <w:t xml:space="preserve"> </w:t>
      </w:r>
      <w:r w:rsidRPr="003E6753">
        <w:rPr>
          <w:rFonts w:ascii="Book Antiqua" w:eastAsia="Book Antiqua" w:hAnsi="Book Antiqua" w:cs="Book Antiqua"/>
          <w:b/>
        </w:rPr>
        <w:t>Legends</w:t>
      </w: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hAnsi="Book Antiqua" w:cs="Book Antiqua"/>
          <w:b/>
          <w:noProof/>
          <w:lang w:eastAsia="zh-CN"/>
        </w:rPr>
        <w:drawing>
          <wp:inline distT="0" distB="0" distL="0" distR="0">
            <wp:extent cx="5186680" cy="5588000"/>
            <wp:effectExtent l="0" t="0" r="0" b="0"/>
            <wp:docPr id="1" name="图片 8" descr="}P~BU$0$I{KD14O]1)75W%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}P~BU$0$I{KD14O]1)75W%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1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Flow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diagram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representing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the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selection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studies.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</w:rPr>
      </w:pP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496560" cy="3896360"/>
            <wp:effectExtent l="0" t="0" r="8890" b="8890"/>
            <wp:docPr id="2" name="内容占位符 3" descr="Graph1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 descr="Graph1.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2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Forest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plot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the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risk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pancreatic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cancer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associated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with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acute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pancreatitis.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</w:rPr>
        <w:t>Hollow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diamonds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represent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pooled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effect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estimates.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501640" cy="4033520"/>
            <wp:effectExtent l="0" t="0" r="3810" b="5080"/>
            <wp:docPr id="3" name="内容占位符 3" descr="fig.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 descr="fig.3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3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Forest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plot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the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association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acute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pancreatitis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and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pancreatic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cancer.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Hollow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diamonds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represent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pooled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relative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risk.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450840" cy="5196840"/>
            <wp:effectExtent l="0" t="0" r="0" b="3810"/>
            <wp:docPr id="4" name="内容占位符 3" descr="fig4. (2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 descr="fig4. (2)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4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Subgroup</w:t>
      </w:r>
      <w:r w:rsidR="00EB221E" w:rsidRPr="003E6753">
        <w:rPr>
          <w:rFonts w:ascii="Book Antiqua" w:hAnsi="Book Antiqua"/>
          <w:b/>
          <w:bCs/>
        </w:rPr>
        <w:t xml:space="preserve"> </w:t>
      </w:r>
      <w:proofErr w:type="gramStart"/>
      <w:r w:rsidRPr="003E6753">
        <w:rPr>
          <w:rFonts w:ascii="Book Antiqua" w:hAnsi="Book Antiqua"/>
          <w:b/>
          <w:bCs/>
        </w:rPr>
        <w:t>analysis</w:t>
      </w:r>
      <w:proofErr w:type="gramEnd"/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different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follow-up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times.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</w:rPr>
        <w:t>AP</w:t>
      </w:r>
      <w:r w:rsidR="008D649A" w:rsidRPr="003E6753">
        <w:rPr>
          <w:rFonts w:ascii="Book Antiqua" w:hAnsi="Book Antiqua"/>
        </w:rPr>
        <w:t>:</w:t>
      </w:r>
      <w:r w:rsidR="00EB221E" w:rsidRPr="003E6753">
        <w:rPr>
          <w:rFonts w:ascii="Book Antiqua" w:hAnsi="Book Antiqua"/>
        </w:rPr>
        <w:t xml:space="preserve"> </w:t>
      </w:r>
      <w:r w:rsidR="008D649A" w:rsidRPr="003E6753">
        <w:rPr>
          <w:rFonts w:ascii="Book Antiqua" w:hAnsi="Book Antiqua"/>
        </w:rPr>
        <w:t>A</w:t>
      </w:r>
      <w:r w:rsidRPr="003E6753">
        <w:rPr>
          <w:rFonts w:ascii="Book Antiqua" w:hAnsi="Book Antiqua"/>
        </w:rPr>
        <w:t>cute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pancreatitis;</w:t>
      </w:r>
      <w:r w:rsidR="00EB221E" w:rsidRPr="003E6753">
        <w:rPr>
          <w:rFonts w:ascii="Book Antiqua" w:hAnsi="Book Antiqua"/>
        </w:rPr>
        <w:t xml:space="preserve"> </w:t>
      </w:r>
      <w:r w:rsidR="0074538F" w:rsidRPr="003E6753">
        <w:rPr>
          <w:rFonts w:ascii="Book Antiqua" w:hAnsi="Book Antiqua"/>
        </w:rPr>
        <w:t>CI: Confidence interval</w:t>
      </w:r>
      <w:r w:rsidR="0074538F">
        <w:rPr>
          <w:rFonts w:ascii="Book Antiqua" w:hAnsi="Book Antiqua"/>
        </w:rPr>
        <w:t>;</w:t>
      </w:r>
      <w:r w:rsidR="0074538F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EEs</w:t>
      </w:r>
      <w:r w:rsidR="008D649A" w:rsidRPr="003E6753">
        <w:rPr>
          <w:rFonts w:ascii="Book Antiqua" w:hAnsi="Book Antiqua"/>
        </w:rPr>
        <w:t>:</w:t>
      </w:r>
      <w:r w:rsidR="00EB221E" w:rsidRPr="003E6753">
        <w:rPr>
          <w:rFonts w:ascii="Book Antiqua" w:hAnsi="Book Antiqua"/>
        </w:rPr>
        <w:t xml:space="preserve"> </w:t>
      </w:r>
      <w:r w:rsidR="008D649A" w:rsidRPr="003E6753">
        <w:rPr>
          <w:rFonts w:ascii="Book Antiqua" w:hAnsi="Book Antiqua"/>
        </w:rPr>
        <w:t>E</w:t>
      </w:r>
      <w:r w:rsidRPr="003E6753">
        <w:rPr>
          <w:rFonts w:ascii="Book Antiqua" w:hAnsi="Book Antiqua"/>
        </w:rPr>
        <w:t>ffect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estimates;</w:t>
      </w:r>
      <w:r w:rsidR="0074538F" w:rsidRPr="0074538F">
        <w:rPr>
          <w:rFonts w:ascii="Book Antiqua" w:hAnsi="Book Antiqua"/>
        </w:rPr>
        <w:t xml:space="preserve"> </w:t>
      </w:r>
      <w:r w:rsidR="0074538F" w:rsidRPr="003E6753">
        <w:rPr>
          <w:rFonts w:ascii="Book Antiqua" w:hAnsi="Book Antiqua"/>
        </w:rPr>
        <w:t xml:space="preserve">PC: </w:t>
      </w:r>
      <w:r w:rsidR="0074538F" w:rsidRPr="003E6753">
        <w:rPr>
          <w:rFonts w:ascii="Book Antiqua" w:eastAsia="Book Antiqua" w:hAnsi="Book Antiqua" w:cs="Book Antiqua"/>
        </w:rPr>
        <w:t>Pancreatic cancer</w:t>
      </w:r>
      <w:r w:rsidR="0074538F">
        <w:rPr>
          <w:rFonts w:ascii="Book Antiqua" w:hAnsi="Book Antiqua"/>
        </w:rPr>
        <w:t>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455920" cy="4460240"/>
            <wp:effectExtent l="0" t="0" r="0" b="0"/>
            <wp:docPr id="5" name="内容占位符 3" descr="fig5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 descr="fig5.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5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Subgroup</w:t>
      </w:r>
      <w:r w:rsidR="00EB221E" w:rsidRPr="003E6753">
        <w:rPr>
          <w:rFonts w:ascii="Book Antiqua" w:hAnsi="Book Antiqua"/>
          <w:b/>
          <w:bCs/>
        </w:rPr>
        <w:t xml:space="preserve"> </w:t>
      </w:r>
      <w:proofErr w:type="gramStart"/>
      <w:r w:rsidRPr="003E6753">
        <w:rPr>
          <w:rFonts w:ascii="Book Antiqua" w:hAnsi="Book Antiqua"/>
          <w:b/>
          <w:bCs/>
        </w:rPr>
        <w:t>analysis</w:t>
      </w:r>
      <w:proofErr w:type="gramEnd"/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the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type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research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method.</w:t>
      </w:r>
      <w:r w:rsidR="00EB221E" w:rsidRPr="003E6753">
        <w:rPr>
          <w:rFonts w:ascii="Book Antiqua" w:hAnsi="Book Antiqua"/>
          <w:b/>
          <w:bCs/>
        </w:rPr>
        <w:t xml:space="preserve"> 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486400" cy="4343400"/>
            <wp:effectExtent l="0" t="0" r="0" b="0"/>
            <wp:docPr id="6" name="内容占位符 3" descr="fig6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 descr="fig6.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6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Risk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publication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bias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developing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acute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pancreatitis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in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pancreatic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cancer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risk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based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="00AC3186" w:rsidRPr="003E6753">
        <w:rPr>
          <w:rFonts w:ascii="Book Antiqua" w:hAnsi="Book Antiqua"/>
          <w:b/>
          <w:bCs/>
        </w:rPr>
        <w:t xml:space="preserve">the </w:t>
      </w:r>
      <w:r w:rsidRPr="003E6753">
        <w:rPr>
          <w:rFonts w:ascii="Book Antiqua" w:hAnsi="Book Antiqua"/>
          <w:b/>
          <w:bCs/>
        </w:rPr>
        <w:t>Egger’s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test.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40323E" w:rsidRPr="003E6753" w:rsidRDefault="00520BF8" w:rsidP="003E6753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>
            <wp:extent cx="5440680" cy="3804920"/>
            <wp:effectExtent l="0" t="0" r="7620" b="5080"/>
            <wp:docPr id="7" name="内容占位符 3" descr="fig7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 descr="fig7.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E6753">
        <w:rPr>
          <w:rFonts w:ascii="Book Antiqua" w:hAnsi="Book Antiqua"/>
          <w:b/>
          <w:bCs/>
        </w:rPr>
        <w:t>Figure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7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Sensitivity</w:t>
      </w:r>
      <w:r w:rsidR="00EB221E" w:rsidRPr="003E6753">
        <w:rPr>
          <w:rFonts w:ascii="Book Antiqua" w:hAnsi="Book Antiqua"/>
          <w:b/>
          <w:bCs/>
        </w:rPr>
        <w:t xml:space="preserve"> </w:t>
      </w:r>
      <w:proofErr w:type="gramStart"/>
      <w:r w:rsidRPr="003E6753">
        <w:rPr>
          <w:rFonts w:ascii="Book Antiqua" w:hAnsi="Book Antiqua"/>
          <w:b/>
          <w:bCs/>
        </w:rPr>
        <w:t>analysis</w:t>
      </w:r>
      <w:proofErr w:type="gramEnd"/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included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studies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for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developing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acute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pancreatitis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in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pancreatic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cancer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risk.</w:t>
      </w: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40323E" w:rsidRPr="003E6753" w:rsidSect="003E67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E6753">
        <w:rPr>
          <w:rFonts w:ascii="Book Antiqua" w:hAnsi="Book Antiqua"/>
          <w:b/>
          <w:bCs/>
        </w:rPr>
        <w:lastRenderedPageBreak/>
        <w:t>Table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1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Demographics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and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characteristics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of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studies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included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in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this</w:t>
      </w:r>
      <w:r w:rsidR="00EB221E" w:rsidRPr="003E6753">
        <w:rPr>
          <w:rFonts w:ascii="Book Antiqua" w:hAnsi="Book Antiqua"/>
          <w:b/>
          <w:bCs/>
        </w:rPr>
        <w:t xml:space="preserve"> </w:t>
      </w:r>
      <w:r w:rsidRPr="003E6753">
        <w:rPr>
          <w:rFonts w:ascii="Book Antiqua" w:hAnsi="Book Antiqua"/>
          <w:b/>
          <w:bCs/>
        </w:rPr>
        <w:t>meta-analysis</w:t>
      </w:r>
    </w:p>
    <w:tbl>
      <w:tblPr>
        <w:tblpPr w:leftFromText="180" w:rightFromText="180" w:vertAnchor="page" w:horzAnchor="margin" w:tblpX="74" w:tblpY="2461"/>
        <w:tblOverlap w:val="never"/>
        <w:tblW w:w="124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25"/>
        <w:gridCol w:w="922"/>
        <w:gridCol w:w="1441"/>
        <w:gridCol w:w="1530"/>
        <w:gridCol w:w="1201"/>
        <w:gridCol w:w="1461"/>
        <w:gridCol w:w="1237"/>
        <w:gridCol w:w="1566"/>
      </w:tblGrid>
      <w:tr w:rsidR="0040323E" w:rsidRPr="003E6753" w:rsidTr="004E2707">
        <w:trPr>
          <w:trHeight w:val="932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M/F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ratio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Age</w:t>
            </w:r>
            <w:r w:rsidR="009C7617">
              <w:rPr>
                <w:rFonts w:ascii="Book Antiqua" w:hAnsi="Book Antiqua"/>
                <w:b/>
              </w:rPr>
              <w:t>,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mean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or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median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Period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recruitment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PC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cases/AP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cases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AP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verification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PC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verification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Effect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value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and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95%CI</w:t>
            </w:r>
          </w:p>
        </w:tc>
      </w:tr>
      <w:tr w:rsidR="0040323E" w:rsidRPr="003E6753" w:rsidTr="004E2707">
        <w:trPr>
          <w:trHeight w:val="470"/>
        </w:trPr>
        <w:tc>
          <w:tcPr>
            <w:tcW w:w="1246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Cohort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studies</w:t>
            </w:r>
          </w:p>
        </w:tc>
      </w:tr>
      <w:tr w:rsidR="0040323E" w:rsidRPr="003E6753" w:rsidTr="004E2707">
        <w:trPr>
          <w:trHeight w:val="550"/>
        </w:trPr>
        <w:tc>
          <w:tcPr>
            <w:tcW w:w="1583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Rijkers</w:t>
            </w:r>
            <w:proofErr w:type="spellEnd"/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[20]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2017</w:t>
            </w:r>
          </w:p>
        </w:tc>
        <w:tc>
          <w:tcPr>
            <w:tcW w:w="1525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Netherlands</w:t>
            </w:r>
          </w:p>
        </w:tc>
        <w:tc>
          <w:tcPr>
            <w:tcW w:w="922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1.19</w:t>
            </w:r>
          </w:p>
        </w:tc>
        <w:tc>
          <w:tcPr>
            <w:tcW w:w="1441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58.0</w:t>
            </w:r>
          </w:p>
        </w:tc>
        <w:tc>
          <w:tcPr>
            <w:tcW w:w="1530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2004-2007</w:t>
            </w:r>
          </w:p>
        </w:tc>
        <w:tc>
          <w:tcPr>
            <w:tcW w:w="1201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5/731</w:t>
            </w:r>
          </w:p>
        </w:tc>
        <w:tc>
          <w:tcPr>
            <w:tcW w:w="1461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Clinical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evaluation</w:t>
            </w:r>
          </w:p>
        </w:tc>
        <w:tc>
          <w:tcPr>
            <w:tcW w:w="1237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Clinical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evaluation</w:t>
            </w:r>
          </w:p>
        </w:tc>
        <w:tc>
          <w:tcPr>
            <w:tcW w:w="1566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SIR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1.1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(0.3-3.3)</w:t>
            </w:r>
          </w:p>
        </w:tc>
      </w:tr>
      <w:tr w:rsidR="0040323E" w:rsidRPr="003E6753" w:rsidTr="004E2707">
        <w:trPr>
          <w:trHeight w:val="530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Kirkegård</w:t>
            </w:r>
            <w:proofErr w:type="spellEnd"/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[21]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2018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Denmark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1.21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55.8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1980-2013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937/41669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HR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2.02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(1.57-2.61)</w:t>
            </w:r>
            <w:r w:rsidRPr="003E6753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40323E" w:rsidRPr="003E6753" w:rsidTr="004E2707">
        <w:trPr>
          <w:trHeight w:val="530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Pang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[22]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2018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China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0.69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51.5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2004-2008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13/1066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HR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9.99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(3.20-31.16)</w:t>
            </w:r>
            <w:r w:rsidRPr="003E6753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40323E" w:rsidRPr="003E6753" w:rsidTr="004E2707">
        <w:trPr>
          <w:trHeight w:val="530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Munigala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[23]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2014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United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States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13.29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57.0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1998-2000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86/5720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RR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1.05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(0.14-7.68)</w:t>
            </w:r>
            <w:r w:rsidRPr="003E6753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40323E" w:rsidRPr="003E6753" w:rsidTr="004E2707">
        <w:trPr>
          <w:trHeight w:val="693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Chung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[24]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2012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China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1.96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&gt;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40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2000-2003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11/747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HR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9.10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(3.81-21.76)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</w:p>
        </w:tc>
      </w:tr>
      <w:tr w:rsidR="0040323E" w:rsidRPr="003E6753" w:rsidTr="004E2707">
        <w:trPr>
          <w:trHeight w:val="548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Ekbom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[25]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1994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Sweden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1.19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55.6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1965-1983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NA/NA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SIR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0.9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(0.2-2.5)</w:t>
            </w:r>
            <w:r w:rsidRPr="003E6753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40323E" w:rsidRPr="003E6753" w:rsidTr="004E2707">
        <w:trPr>
          <w:trHeight w:val="548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Sadr-</w:t>
            </w:r>
            <w:proofErr w:type="spellStart"/>
            <w:r w:rsidRPr="003E6753">
              <w:rPr>
                <w:rFonts w:ascii="Book Antiqua" w:hAnsi="Book Antiqua"/>
              </w:rPr>
              <w:t>Azodi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[10]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2018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Sweden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1.06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62.0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1997-2013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536/49749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HR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1.24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(0.68-2.25)</w:t>
            </w:r>
            <w:r w:rsidRPr="003E6753">
              <w:rPr>
                <w:rFonts w:ascii="Book Antiqua" w:hAnsi="Book Antiqua"/>
                <w:vertAlign w:val="superscript"/>
              </w:rPr>
              <w:t>2</w:t>
            </w:r>
            <w:r w:rsidR="00EB221E" w:rsidRPr="003E6753">
              <w:rPr>
                <w:rFonts w:ascii="Book Antiqua" w:hAnsi="Book Antiqua"/>
              </w:rPr>
              <w:t xml:space="preserve">  </w:t>
            </w:r>
          </w:p>
        </w:tc>
      </w:tr>
      <w:tr w:rsidR="0040323E" w:rsidRPr="003E6753" w:rsidTr="004E2707">
        <w:trPr>
          <w:trHeight w:val="548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lastRenderedPageBreak/>
              <w:t>Goldacre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[26]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2008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Britain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0.88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NA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1963-1999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91/24993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RR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5.70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(4.54-7.08)</w:t>
            </w:r>
          </w:p>
        </w:tc>
      </w:tr>
      <w:tr w:rsidR="0040323E" w:rsidRPr="003E6753" w:rsidTr="004E2707">
        <w:trPr>
          <w:trHeight w:val="548"/>
        </w:trPr>
        <w:tc>
          <w:tcPr>
            <w:tcW w:w="1583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EB221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 xml:space="preserve"> </w:t>
            </w:r>
            <w:proofErr w:type="spellStart"/>
            <w:r w:rsidR="00A557ED" w:rsidRPr="003E6753">
              <w:rPr>
                <w:rFonts w:ascii="Book Antiqua" w:hAnsi="Book Antiqua"/>
              </w:rPr>
              <w:t>Karlson</w:t>
            </w:r>
            <w:proofErr w:type="spellEnd"/>
            <w:r w:rsidRPr="003E6753">
              <w:rPr>
                <w:rFonts w:ascii="Book Antiqua" w:hAnsi="Book Antiqua"/>
                <w:i/>
              </w:rPr>
              <w:t xml:space="preserve"> </w:t>
            </w:r>
            <w:r w:rsidR="00A557ED" w:rsidRPr="003E6753">
              <w:rPr>
                <w:rFonts w:ascii="Book Antiqua" w:hAnsi="Book Antiqua"/>
                <w:i/>
              </w:rPr>
              <w:t>et</w:t>
            </w:r>
            <w:r w:rsidRPr="003E6753">
              <w:rPr>
                <w:rFonts w:ascii="Book Antiqua" w:hAnsi="Book Antiqua"/>
                <w:i/>
              </w:rPr>
              <w:t xml:space="preserve"> </w:t>
            </w:r>
            <w:r w:rsidR="00A557ED" w:rsidRPr="003E6753">
              <w:rPr>
                <w:rFonts w:ascii="Book Antiqua" w:hAnsi="Book Antiqua"/>
                <w:i/>
              </w:rPr>
              <w:t>al</w:t>
            </w:r>
            <w:r w:rsidR="00A557ED" w:rsidRPr="003E6753">
              <w:rPr>
                <w:rFonts w:ascii="Book Antiqua" w:hAnsi="Book Antiqua"/>
                <w:vertAlign w:val="superscript"/>
              </w:rPr>
              <w:t>[14]</w:t>
            </w:r>
            <w:r w:rsidR="00A557ED" w:rsidRPr="003E6753">
              <w:rPr>
                <w:rFonts w:ascii="Book Antiqua" w:hAnsi="Book Antiqua"/>
              </w:rPr>
              <w:t>,</w:t>
            </w:r>
            <w:r w:rsidRPr="003E6753">
              <w:rPr>
                <w:rFonts w:ascii="Book Antiqua" w:hAnsi="Book Antiqua"/>
              </w:rPr>
              <w:t xml:space="preserve"> </w:t>
            </w:r>
            <w:r w:rsidR="00A557ED" w:rsidRPr="003E6753">
              <w:rPr>
                <w:rFonts w:ascii="Book Antiqua" w:hAnsi="Book Antiqua"/>
              </w:rPr>
              <w:t>1997</w:t>
            </w:r>
            <w:r w:rsidR="00A557ED"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Sweden</w:t>
            </w:r>
          </w:p>
        </w:tc>
        <w:tc>
          <w:tcPr>
            <w:tcW w:w="922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1.49</w:t>
            </w:r>
          </w:p>
        </w:tc>
        <w:tc>
          <w:tcPr>
            <w:tcW w:w="1441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54.5</w:t>
            </w:r>
          </w:p>
        </w:tc>
        <w:tc>
          <w:tcPr>
            <w:tcW w:w="1530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1965-1983</w:t>
            </w:r>
          </w:p>
        </w:tc>
        <w:tc>
          <w:tcPr>
            <w:tcW w:w="1201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152/24753</w:t>
            </w:r>
          </w:p>
        </w:tc>
        <w:tc>
          <w:tcPr>
            <w:tcW w:w="1461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bottom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SIR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1.6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(1.3-2.0)</w:t>
            </w:r>
            <w:r w:rsidRPr="003E6753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40323E" w:rsidRPr="003E6753" w:rsidTr="004E2707">
        <w:trPr>
          <w:trHeight w:val="470"/>
        </w:trPr>
        <w:tc>
          <w:tcPr>
            <w:tcW w:w="1246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Case-control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studies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40323E" w:rsidRPr="003E6753" w:rsidTr="004E2707">
        <w:trPr>
          <w:trHeight w:val="569"/>
        </w:trPr>
        <w:tc>
          <w:tcPr>
            <w:tcW w:w="1583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Bansal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[27]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1995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United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States</w:t>
            </w:r>
          </w:p>
        </w:tc>
        <w:tc>
          <w:tcPr>
            <w:tcW w:w="922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NA</w:t>
            </w:r>
          </w:p>
        </w:tc>
        <w:tc>
          <w:tcPr>
            <w:tcW w:w="1441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57.0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1988-1992</w:t>
            </w:r>
          </w:p>
        </w:tc>
        <w:tc>
          <w:tcPr>
            <w:tcW w:w="1201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2639/64</w:t>
            </w:r>
          </w:p>
        </w:tc>
        <w:tc>
          <w:tcPr>
            <w:tcW w:w="1461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237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ICD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code</w:t>
            </w:r>
          </w:p>
        </w:tc>
        <w:tc>
          <w:tcPr>
            <w:tcW w:w="1566" w:type="dxa"/>
            <w:tcBorders>
              <w:top w:val="nil"/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OR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1.76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(1.28-2.41)</w:t>
            </w:r>
          </w:p>
        </w:tc>
      </w:tr>
      <w:tr w:rsidR="0040323E" w:rsidRPr="003E6753" w:rsidTr="004E2707">
        <w:trPr>
          <w:trHeight w:val="701"/>
        </w:trPr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Duell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[13]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2006</w:t>
            </w:r>
            <w:r w:rsidRPr="003E6753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United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States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NA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&gt;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1995-1999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308/16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self-reported(physician</w:t>
            </w:r>
          </w:p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diagnosed)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Pathology+</w:t>
            </w:r>
          </w:p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physician</w:t>
            </w:r>
          </w:p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reported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OR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6.4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(2.7-15)</w:t>
            </w:r>
          </w:p>
        </w:tc>
      </w:tr>
    </w:tbl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</w:rPr>
      </w:pPr>
      <w:r w:rsidRPr="003E6753">
        <w:rPr>
          <w:rFonts w:ascii="Book Antiqua" w:hAnsi="Book Antiqua"/>
          <w:vertAlign w:val="superscript"/>
        </w:rPr>
        <w:t>1</w:t>
      </w:r>
      <w:r w:rsidRPr="003E6753">
        <w:rPr>
          <w:rFonts w:ascii="Book Antiqua" w:hAnsi="Book Antiqua"/>
        </w:rPr>
        <w:t>Effect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values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</w:t>
      </w:r>
      <w:r w:rsidR="00EB221E" w:rsidRPr="003E6753">
        <w:rPr>
          <w:rFonts w:ascii="Book Antiqua" w:hAnsi="Book Antiqua"/>
        </w:rPr>
        <w:t xml:space="preserve"> </w:t>
      </w:r>
      <w:r w:rsidR="00AC3186" w:rsidRPr="003E6753">
        <w:rPr>
          <w:rFonts w:ascii="Book Antiqua" w:hAnsi="Book Antiqua"/>
        </w:rPr>
        <w:t xml:space="preserve">the </w:t>
      </w:r>
      <w:r w:rsidRPr="003E6753">
        <w:rPr>
          <w:rFonts w:ascii="Book Antiqua" w:hAnsi="Book Antiqua"/>
        </w:rPr>
        <w:t>study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have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matched/adjustment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variables</w:t>
      </w:r>
      <w:r w:rsidR="008D649A" w:rsidRPr="003E6753">
        <w:rPr>
          <w:rFonts w:ascii="Book Antiqua" w:hAnsi="Book Antiqua"/>
        </w:rPr>
        <w:t>;</w:t>
      </w:r>
      <w:r w:rsidR="00EB221E" w:rsidRPr="003E6753">
        <w:rPr>
          <w:rFonts w:ascii="Book Antiqua" w:hAnsi="Book Antiqua"/>
          <w:lang w:eastAsia="zh-CN"/>
        </w:rPr>
        <w:t xml:space="preserve"> </w:t>
      </w:r>
      <w:r w:rsidRPr="003E6753">
        <w:rPr>
          <w:rFonts w:ascii="Book Antiqua" w:hAnsi="Book Antiqua"/>
          <w:vertAlign w:val="superscript"/>
        </w:rPr>
        <w:t>2</w:t>
      </w:r>
      <w:r w:rsidRPr="003E6753">
        <w:rPr>
          <w:rFonts w:ascii="Book Antiqua" w:hAnsi="Book Antiqua"/>
        </w:rPr>
        <w:t>Effect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values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are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extracted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from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included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studies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according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to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the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longest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follow-up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time.</w:t>
      </w:r>
      <w:r w:rsidR="00EB221E" w:rsidRPr="003E6753">
        <w:rPr>
          <w:rFonts w:ascii="Book Antiqua" w:hAnsi="Book Antiqua"/>
          <w:lang w:eastAsia="zh-CN"/>
        </w:rPr>
        <w:t xml:space="preserve"> </w:t>
      </w:r>
      <w:r w:rsidR="009C7617" w:rsidRPr="003E6753">
        <w:rPr>
          <w:rFonts w:ascii="Book Antiqua" w:hAnsi="Book Antiqua"/>
        </w:rPr>
        <w:t xml:space="preserve">AP: </w:t>
      </w:r>
      <w:r w:rsidR="009C7617" w:rsidRPr="003E6753">
        <w:rPr>
          <w:rFonts w:ascii="Book Antiqua" w:hAnsi="Book Antiqua"/>
          <w:caps/>
        </w:rPr>
        <w:t>a</w:t>
      </w:r>
      <w:r w:rsidR="009C7617" w:rsidRPr="003E6753">
        <w:rPr>
          <w:rFonts w:ascii="Book Antiqua" w:hAnsi="Book Antiqua"/>
        </w:rPr>
        <w:t>cute pancreatitis; CI: Confidence interval</w:t>
      </w:r>
      <w:r w:rsidR="009C7617">
        <w:rPr>
          <w:rFonts w:ascii="Book Antiqua" w:hAnsi="Book Antiqua"/>
        </w:rPr>
        <w:t>;</w:t>
      </w:r>
      <w:r w:rsidR="009C7617" w:rsidRPr="003E6753">
        <w:rPr>
          <w:rFonts w:ascii="Book Antiqua" w:hAnsi="Book Antiqua"/>
        </w:rPr>
        <w:t xml:space="preserve"> F: </w:t>
      </w:r>
      <w:r w:rsidR="009C7617" w:rsidRPr="003E6753">
        <w:rPr>
          <w:rFonts w:ascii="Book Antiqua" w:hAnsi="Book Antiqua"/>
          <w:caps/>
        </w:rPr>
        <w:t>f</w:t>
      </w:r>
      <w:r w:rsidR="009C7617" w:rsidRPr="003E6753">
        <w:rPr>
          <w:rFonts w:ascii="Book Antiqua" w:hAnsi="Book Antiqua"/>
        </w:rPr>
        <w:t xml:space="preserve">emale; HR: </w:t>
      </w:r>
      <w:r w:rsidR="009C7617" w:rsidRPr="003E6753">
        <w:rPr>
          <w:rFonts w:ascii="Book Antiqua" w:hAnsi="Book Antiqua"/>
          <w:caps/>
        </w:rPr>
        <w:t>h</w:t>
      </w:r>
      <w:r w:rsidR="009C7617" w:rsidRPr="003E6753">
        <w:rPr>
          <w:rFonts w:ascii="Book Antiqua" w:hAnsi="Book Antiqua"/>
        </w:rPr>
        <w:t xml:space="preserve">azard ratio; ICD: International Classification of Diseases; </w:t>
      </w:r>
      <w:r w:rsidRPr="003E6753">
        <w:rPr>
          <w:rFonts w:ascii="Book Antiqua" w:hAnsi="Book Antiqua"/>
        </w:rPr>
        <w:t>M: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  <w:caps/>
        </w:rPr>
        <w:t>m</w:t>
      </w:r>
      <w:r w:rsidRPr="003E6753">
        <w:rPr>
          <w:rFonts w:ascii="Book Antiqua" w:hAnsi="Book Antiqua"/>
        </w:rPr>
        <w:t>ale;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OR: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  <w:caps/>
        </w:rPr>
        <w:t>o</w:t>
      </w:r>
      <w:r w:rsidRPr="003E6753">
        <w:rPr>
          <w:rFonts w:ascii="Book Antiqua" w:hAnsi="Book Antiqua"/>
        </w:rPr>
        <w:t>dds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ratio;</w:t>
      </w:r>
      <w:r w:rsidR="00EB221E" w:rsidRPr="003E6753">
        <w:rPr>
          <w:rFonts w:ascii="Book Antiqua" w:hAnsi="Book Antiqua"/>
        </w:rPr>
        <w:t xml:space="preserve"> </w:t>
      </w:r>
      <w:r w:rsidR="009C7617" w:rsidRPr="003E6753">
        <w:rPr>
          <w:rFonts w:ascii="Book Antiqua" w:hAnsi="Book Antiqua"/>
        </w:rPr>
        <w:t xml:space="preserve">PC: </w:t>
      </w:r>
      <w:r w:rsidR="009C7617" w:rsidRPr="003E6753">
        <w:rPr>
          <w:rFonts w:ascii="Book Antiqua" w:hAnsi="Book Antiqua"/>
          <w:caps/>
        </w:rPr>
        <w:t>p</w:t>
      </w:r>
      <w:r w:rsidR="009C7617" w:rsidRPr="003E6753">
        <w:rPr>
          <w:rFonts w:ascii="Book Antiqua" w:hAnsi="Book Antiqua"/>
        </w:rPr>
        <w:t xml:space="preserve">ancreatic cancer; RR: </w:t>
      </w:r>
      <w:r w:rsidR="009C7617" w:rsidRPr="003E6753">
        <w:rPr>
          <w:rFonts w:ascii="Book Antiqua" w:hAnsi="Book Antiqua"/>
          <w:caps/>
        </w:rPr>
        <w:t>r</w:t>
      </w:r>
      <w:r w:rsidR="009C7617" w:rsidRPr="003E6753">
        <w:rPr>
          <w:rFonts w:ascii="Book Antiqua" w:hAnsi="Book Antiqua"/>
        </w:rPr>
        <w:t xml:space="preserve">elative risk; </w:t>
      </w:r>
      <w:r w:rsidRPr="003E6753">
        <w:rPr>
          <w:rFonts w:ascii="Book Antiqua" w:hAnsi="Book Antiqua"/>
        </w:rPr>
        <w:t>SIR: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  <w:caps/>
        </w:rPr>
        <w:t>s</w:t>
      </w:r>
      <w:r w:rsidRPr="003E6753">
        <w:rPr>
          <w:rFonts w:ascii="Book Antiqua" w:hAnsi="Book Antiqua"/>
        </w:rPr>
        <w:t>tandardized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incidence</w:t>
      </w:r>
      <w:r w:rsidR="00EB221E" w:rsidRPr="003E6753">
        <w:rPr>
          <w:rFonts w:ascii="Book Antiqua" w:hAnsi="Book Antiqua"/>
        </w:rPr>
        <w:t xml:space="preserve"> </w:t>
      </w:r>
      <w:r w:rsidRPr="003E6753">
        <w:rPr>
          <w:rFonts w:ascii="Book Antiqua" w:hAnsi="Book Antiqua"/>
        </w:rPr>
        <w:t>ratio.</w:t>
      </w:r>
      <w:r w:rsidR="00EB221E" w:rsidRPr="003E6753">
        <w:rPr>
          <w:rFonts w:ascii="Book Antiqua" w:hAnsi="Book Antiqua"/>
        </w:rPr>
        <w:t xml:space="preserve">  </w:t>
      </w:r>
    </w:p>
    <w:p w:rsidR="0040323E" w:rsidRPr="003E6753" w:rsidRDefault="00A557ED" w:rsidP="003E6753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3E6753">
        <w:rPr>
          <w:rFonts w:ascii="Book Antiqua" w:hAnsi="Book Antiqua"/>
        </w:rPr>
        <w:br w:type="page"/>
      </w:r>
      <w:r w:rsidRPr="003E6753">
        <w:rPr>
          <w:rFonts w:ascii="Book Antiqua" w:hAnsi="Book Antiqua"/>
          <w:b/>
        </w:rPr>
        <w:lastRenderedPageBreak/>
        <w:t>Table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2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Quality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assessment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of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included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studies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in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this</w:t>
      </w:r>
      <w:r w:rsidR="00EB221E" w:rsidRPr="003E6753">
        <w:rPr>
          <w:rFonts w:ascii="Book Antiqua" w:hAnsi="Book Antiqua"/>
          <w:b/>
        </w:rPr>
        <w:t xml:space="preserve"> </w:t>
      </w:r>
      <w:r w:rsidRPr="003E6753">
        <w:rPr>
          <w:rFonts w:ascii="Book Antiqua" w:hAnsi="Book Antiqua"/>
          <w:b/>
        </w:rPr>
        <w:t>meta-analysis</w:t>
      </w:r>
    </w:p>
    <w:tbl>
      <w:tblPr>
        <w:tblpPr w:leftFromText="180" w:rightFromText="180" w:vertAnchor="text" w:horzAnchor="page" w:tblpX="1036" w:tblpY="208"/>
        <w:tblOverlap w:val="never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380"/>
        <w:gridCol w:w="1380"/>
        <w:gridCol w:w="1584"/>
        <w:gridCol w:w="1477"/>
        <w:gridCol w:w="1348"/>
        <w:gridCol w:w="1714"/>
        <w:gridCol w:w="862"/>
        <w:gridCol w:w="1288"/>
        <w:gridCol w:w="1286"/>
        <w:gridCol w:w="915"/>
      </w:tblGrid>
      <w:tr w:rsidR="0040323E" w:rsidRPr="003E6753" w:rsidTr="004E2707">
        <w:trPr>
          <w:trHeight w:val="1669"/>
        </w:trPr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Representativeness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the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exposed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cohort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Selection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the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non-exposed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cohort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Ascertainment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exposure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Outcome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interest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was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not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present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at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start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study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Based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on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the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design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or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analysis</w:t>
            </w: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Assessment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outcome</w:t>
            </w:r>
          </w:p>
        </w:tc>
        <w:tc>
          <w:tcPr>
            <w:tcW w:w="1288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Follow-up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long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enough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for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outcomes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to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occur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Adequacy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follow-up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of</w:t>
            </w:r>
            <w:r w:rsidR="00EB221E" w:rsidRPr="003E6753">
              <w:rPr>
                <w:rFonts w:ascii="Book Antiqua" w:hAnsi="Book Antiqua"/>
                <w:b/>
              </w:rPr>
              <w:t xml:space="preserve"> </w:t>
            </w:r>
            <w:r w:rsidRPr="003E6753">
              <w:rPr>
                <w:rFonts w:ascii="Book Antiqua" w:hAnsi="Book Antiqua"/>
                <w:b/>
              </w:rPr>
              <w:t>cohorts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Overall</w:t>
            </w:r>
          </w:p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6753">
              <w:rPr>
                <w:rFonts w:ascii="Book Antiqua" w:hAnsi="Book Antiqua"/>
                <w:b/>
              </w:rPr>
              <w:t>Score</w:t>
            </w:r>
          </w:p>
        </w:tc>
      </w:tr>
      <w:tr w:rsidR="0040323E" w:rsidRPr="003E6753" w:rsidTr="004E2707">
        <w:trPr>
          <w:trHeight w:val="562"/>
        </w:trPr>
        <w:tc>
          <w:tcPr>
            <w:tcW w:w="111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Cohort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studies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Rijkers</w:t>
            </w:r>
            <w:proofErr w:type="spellEnd"/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[20]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2017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553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Kirkegård</w:t>
            </w:r>
            <w:proofErr w:type="spellEnd"/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[21]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307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Pang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[22]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9</w:t>
            </w:r>
          </w:p>
        </w:tc>
      </w:tr>
      <w:tr w:rsidR="0040323E" w:rsidRPr="003E6753" w:rsidTr="004E2707">
        <w:trPr>
          <w:trHeight w:val="553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Munigala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[23]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458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Chung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[24]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9</w:t>
            </w:r>
          </w:p>
        </w:tc>
      </w:tr>
      <w:tr w:rsidR="0040323E" w:rsidRPr="003E6753" w:rsidTr="004E2707">
        <w:trPr>
          <w:trHeight w:val="553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Ekbom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lastRenderedPageBreak/>
              <w:t>al</w:t>
            </w:r>
            <w:r w:rsidRPr="003E6753">
              <w:rPr>
                <w:rFonts w:ascii="Book Antiqua" w:hAnsi="Book Antiqua"/>
                <w:vertAlign w:val="superscript"/>
              </w:rPr>
              <w:t>[25]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1994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553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Sadr-</w:t>
            </w:r>
            <w:proofErr w:type="spellStart"/>
            <w:r w:rsidRPr="003E6753">
              <w:rPr>
                <w:rFonts w:ascii="Book Antiqua" w:hAnsi="Book Antiqua"/>
              </w:rPr>
              <w:t>Azodi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[10]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9</w:t>
            </w:r>
          </w:p>
        </w:tc>
      </w:tr>
      <w:tr w:rsidR="0040323E" w:rsidRPr="003E6753" w:rsidTr="004E2707">
        <w:trPr>
          <w:trHeight w:val="553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Goldacre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[26]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553"/>
        </w:trPr>
        <w:tc>
          <w:tcPr>
            <w:tcW w:w="1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EB221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 xml:space="preserve"> </w:t>
            </w:r>
            <w:proofErr w:type="spellStart"/>
            <w:r w:rsidR="00A557ED" w:rsidRPr="003E6753">
              <w:rPr>
                <w:rFonts w:ascii="Book Antiqua" w:hAnsi="Book Antiqua"/>
              </w:rPr>
              <w:t>Karlson</w:t>
            </w:r>
            <w:proofErr w:type="spellEnd"/>
            <w:r w:rsidRPr="003E6753">
              <w:rPr>
                <w:rFonts w:ascii="Book Antiqua" w:hAnsi="Book Antiqua"/>
                <w:i/>
              </w:rPr>
              <w:t xml:space="preserve"> </w:t>
            </w:r>
            <w:r w:rsidR="00A557ED" w:rsidRPr="003E6753">
              <w:rPr>
                <w:rFonts w:ascii="Book Antiqua" w:hAnsi="Book Antiqua"/>
                <w:i/>
              </w:rPr>
              <w:t>et</w:t>
            </w:r>
            <w:r w:rsidRPr="003E6753">
              <w:rPr>
                <w:rFonts w:ascii="Book Antiqua" w:hAnsi="Book Antiqua"/>
                <w:i/>
              </w:rPr>
              <w:t xml:space="preserve"> </w:t>
            </w:r>
            <w:r w:rsidR="00A557ED" w:rsidRPr="003E6753">
              <w:rPr>
                <w:rFonts w:ascii="Book Antiqua" w:hAnsi="Book Antiqua"/>
                <w:i/>
              </w:rPr>
              <w:t>al</w:t>
            </w:r>
            <w:r w:rsidR="00A557ED" w:rsidRPr="003E6753">
              <w:rPr>
                <w:rFonts w:ascii="Book Antiqua" w:hAnsi="Book Antiqua"/>
                <w:vertAlign w:val="superscript"/>
              </w:rPr>
              <w:t>[14]</w:t>
            </w:r>
            <w:r w:rsidR="00A557ED" w:rsidRPr="003E6753">
              <w:rPr>
                <w:rFonts w:ascii="Book Antiqua" w:hAnsi="Book Antiqua"/>
              </w:rPr>
              <w:t>,</w:t>
            </w:r>
            <w:r w:rsidRPr="003E6753">
              <w:rPr>
                <w:rFonts w:ascii="Book Antiqua" w:hAnsi="Book Antiqua"/>
              </w:rPr>
              <w:t xml:space="preserve"> </w:t>
            </w:r>
            <w:r w:rsidR="00A557ED" w:rsidRPr="003E6753">
              <w:rPr>
                <w:rFonts w:ascii="Book Antiqua" w:hAnsi="Book Antiqua"/>
              </w:rPr>
              <w:t>1997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435"/>
        </w:trPr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Case-control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studies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Bansal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[27]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1995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8</w:t>
            </w:r>
          </w:p>
        </w:tc>
      </w:tr>
      <w:tr w:rsidR="0040323E" w:rsidRPr="003E6753" w:rsidTr="004E2707">
        <w:trPr>
          <w:trHeight w:val="339"/>
        </w:trPr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0323E" w:rsidRPr="003E6753" w:rsidRDefault="0040323E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6753">
              <w:rPr>
                <w:rFonts w:ascii="Book Antiqua" w:hAnsi="Book Antiqua"/>
              </w:rPr>
              <w:t>Duell</w:t>
            </w:r>
            <w:proofErr w:type="spellEnd"/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et</w:t>
            </w:r>
            <w:r w:rsidR="00EB221E" w:rsidRPr="003E6753">
              <w:rPr>
                <w:rFonts w:ascii="Book Antiqua" w:hAnsi="Book Antiqua"/>
                <w:i/>
              </w:rPr>
              <w:t xml:space="preserve"> </w:t>
            </w:r>
            <w:r w:rsidRPr="003E6753">
              <w:rPr>
                <w:rFonts w:ascii="Book Antiqua" w:hAnsi="Book Antiqua"/>
                <w:i/>
              </w:rPr>
              <w:t>al</w:t>
            </w:r>
            <w:r w:rsidRPr="003E6753">
              <w:rPr>
                <w:rFonts w:ascii="Book Antiqua" w:hAnsi="Book Antiqua"/>
                <w:vertAlign w:val="superscript"/>
              </w:rPr>
              <w:t>[13]</w:t>
            </w:r>
            <w:r w:rsidRPr="003E6753">
              <w:rPr>
                <w:rFonts w:ascii="Book Antiqua" w:hAnsi="Book Antiqua"/>
              </w:rPr>
              <w:t>,</w:t>
            </w:r>
            <w:r w:rsidR="00EB221E" w:rsidRPr="003E6753">
              <w:rPr>
                <w:rFonts w:ascii="Book Antiqua" w:hAnsi="Book Antiqua"/>
              </w:rPr>
              <w:t xml:space="preserve"> </w:t>
            </w:r>
            <w:r w:rsidRPr="003E6753">
              <w:rPr>
                <w:rFonts w:ascii="Book Antiqua" w:hAnsi="Book Antiqua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323E" w:rsidRPr="003E6753" w:rsidRDefault="00A557ED" w:rsidP="003E675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6753">
              <w:rPr>
                <w:rFonts w:ascii="Book Antiqua" w:hAnsi="Book Antiqua"/>
              </w:rPr>
              <w:t>6</w:t>
            </w:r>
          </w:p>
        </w:tc>
      </w:tr>
    </w:tbl>
    <w:p w:rsidR="0040323E" w:rsidRPr="003E6753" w:rsidRDefault="0040323E" w:rsidP="003E6753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sectPr w:rsidR="0040323E" w:rsidRPr="003E6753" w:rsidSect="003E6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40" w:rsidRDefault="004A7940">
      <w:r>
        <w:separator/>
      </w:r>
    </w:p>
  </w:endnote>
  <w:endnote w:type="continuationSeparator" w:id="0">
    <w:p w:rsidR="004A7940" w:rsidRDefault="004A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3E" w:rsidRPr="007533FE" w:rsidRDefault="00EB221E">
    <w:pPr>
      <w:pStyle w:val="a5"/>
      <w:jc w:val="right"/>
      <w:rPr>
        <w:rFonts w:ascii="Book Antiqua" w:hAnsi="Book Antiqua"/>
        <w:sz w:val="24"/>
        <w:szCs w:val="24"/>
      </w:rPr>
    </w:pPr>
    <w:r>
      <w:rPr>
        <w:lang w:val="zh-CN" w:eastAsia="zh-CN"/>
      </w:rPr>
      <w:t xml:space="preserve"> </w:t>
    </w:r>
    <w:r w:rsidR="00A557ED" w:rsidRPr="007533FE">
      <w:rPr>
        <w:rFonts w:ascii="Book Antiqua" w:hAnsi="Book Antiqua"/>
        <w:sz w:val="24"/>
        <w:szCs w:val="24"/>
      </w:rPr>
      <w:fldChar w:fldCharType="begin"/>
    </w:r>
    <w:r w:rsidR="00A557ED" w:rsidRPr="007533FE">
      <w:rPr>
        <w:rFonts w:ascii="Book Antiqua" w:hAnsi="Book Antiqua"/>
        <w:sz w:val="24"/>
        <w:szCs w:val="24"/>
      </w:rPr>
      <w:instrText>PAGE</w:instrText>
    </w:r>
    <w:r w:rsidR="00A557ED" w:rsidRPr="007533FE">
      <w:rPr>
        <w:rFonts w:ascii="Book Antiqua" w:hAnsi="Book Antiqua"/>
        <w:sz w:val="24"/>
        <w:szCs w:val="24"/>
      </w:rPr>
      <w:fldChar w:fldCharType="separate"/>
    </w:r>
    <w:r w:rsidR="005836F0">
      <w:rPr>
        <w:rFonts w:ascii="Book Antiqua" w:hAnsi="Book Antiqua"/>
        <w:noProof/>
        <w:sz w:val="24"/>
        <w:szCs w:val="24"/>
      </w:rPr>
      <w:t>4</w:t>
    </w:r>
    <w:r w:rsidR="00A557ED" w:rsidRPr="007533FE">
      <w:rPr>
        <w:rFonts w:ascii="Book Antiqua" w:hAnsi="Book Antiqua"/>
        <w:sz w:val="24"/>
        <w:szCs w:val="24"/>
      </w:rPr>
      <w:fldChar w:fldCharType="end"/>
    </w:r>
    <w:r w:rsidRPr="007533FE">
      <w:rPr>
        <w:rFonts w:ascii="Book Antiqua" w:hAnsi="Book Antiqua"/>
        <w:sz w:val="24"/>
        <w:szCs w:val="24"/>
        <w:lang w:val="zh-CN" w:eastAsia="zh-CN"/>
      </w:rPr>
      <w:t xml:space="preserve"> </w:t>
    </w:r>
    <w:r w:rsidR="00A557ED" w:rsidRPr="007533FE">
      <w:rPr>
        <w:rFonts w:ascii="Book Antiqua" w:hAnsi="Book Antiqua"/>
        <w:sz w:val="24"/>
        <w:szCs w:val="24"/>
        <w:lang w:val="zh-CN" w:eastAsia="zh-CN"/>
      </w:rPr>
      <w:t>/</w:t>
    </w:r>
    <w:r w:rsidRPr="007533FE">
      <w:rPr>
        <w:rFonts w:ascii="Book Antiqua" w:hAnsi="Book Antiqua"/>
        <w:sz w:val="24"/>
        <w:szCs w:val="24"/>
        <w:lang w:val="zh-CN" w:eastAsia="zh-CN"/>
      </w:rPr>
      <w:t xml:space="preserve"> </w:t>
    </w:r>
    <w:r w:rsidR="00A557ED" w:rsidRPr="007533FE">
      <w:rPr>
        <w:rFonts w:ascii="Book Antiqua" w:hAnsi="Book Antiqua"/>
        <w:sz w:val="24"/>
        <w:szCs w:val="24"/>
      </w:rPr>
      <w:fldChar w:fldCharType="begin"/>
    </w:r>
    <w:r w:rsidR="00A557ED" w:rsidRPr="007533FE">
      <w:rPr>
        <w:rFonts w:ascii="Book Antiqua" w:hAnsi="Book Antiqua"/>
        <w:sz w:val="24"/>
        <w:szCs w:val="24"/>
      </w:rPr>
      <w:instrText>NUMPAGES</w:instrText>
    </w:r>
    <w:r w:rsidR="00A557ED" w:rsidRPr="007533FE">
      <w:rPr>
        <w:rFonts w:ascii="Book Antiqua" w:hAnsi="Book Antiqua"/>
        <w:sz w:val="24"/>
        <w:szCs w:val="24"/>
      </w:rPr>
      <w:fldChar w:fldCharType="separate"/>
    </w:r>
    <w:r w:rsidR="005836F0">
      <w:rPr>
        <w:rFonts w:ascii="Book Antiqua" w:hAnsi="Book Antiqua"/>
        <w:noProof/>
        <w:sz w:val="24"/>
        <w:szCs w:val="24"/>
      </w:rPr>
      <w:t>32</w:t>
    </w:r>
    <w:r w:rsidR="00A557ED" w:rsidRPr="007533FE">
      <w:rPr>
        <w:rFonts w:ascii="Book Antiqua" w:hAnsi="Book Antiqua"/>
        <w:sz w:val="24"/>
        <w:szCs w:val="24"/>
      </w:rPr>
      <w:fldChar w:fldCharType="end"/>
    </w:r>
  </w:p>
  <w:p w:rsidR="0040323E" w:rsidRDefault="00403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40" w:rsidRDefault="004A7940">
      <w:r>
        <w:separator/>
      </w:r>
    </w:p>
  </w:footnote>
  <w:footnote w:type="continuationSeparator" w:id="0">
    <w:p w:rsidR="004A7940" w:rsidRDefault="004A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C6"/>
    <w:rsid w:val="000061EA"/>
    <w:rsid w:val="00010551"/>
    <w:rsid w:val="000579A6"/>
    <w:rsid w:val="00070465"/>
    <w:rsid w:val="00075AD8"/>
    <w:rsid w:val="000B212E"/>
    <w:rsid w:val="00126552"/>
    <w:rsid w:val="00142E79"/>
    <w:rsid w:val="00164C10"/>
    <w:rsid w:val="00167C00"/>
    <w:rsid w:val="00175CE8"/>
    <w:rsid w:val="00183921"/>
    <w:rsid w:val="00190231"/>
    <w:rsid w:val="00192CBE"/>
    <w:rsid w:val="001B0D54"/>
    <w:rsid w:val="001B26CA"/>
    <w:rsid w:val="001B469A"/>
    <w:rsid w:val="001F1744"/>
    <w:rsid w:val="001F6A22"/>
    <w:rsid w:val="00203335"/>
    <w:rsid w:val="002220E0"/>
    <w:rsid w:val="00245A87"/>
    <w:rsid w:val="00254723"/>
    <w:rsid w:val="00255246"/>
    <w:rsid w:val="00281152"/>
    <w:rsid w:val="00284D7F"/>
    <w:rsid w:val="002A0824"/>
    <w:rsid w:val="002A18F4"/>
    <w:rsid w:val="003236BE"/>
    <w:rsid w:val="00323A5D"/>
    <w:rsid w:val="00343C83"/>
    <w:rsid w:val="00347B7E"/>
    <w:rsid w:val="00353FD1"/>
    <w:rsid w:val="00367592"/>
    <w:rsid w:val="003701ED"/>
    <w:rsid w:val="003726BA"/>
    <w:rsid w:val="00384E7E"/>
    <w:rsid w:val="003E6753"/>
    <w:rsid w:val="0040323E"/>
    <w:rsid w:val="00412ED7"/>
    <w:rsid w:val="00432C1D"/>
    <w:rsid w:val="0044357F"/>
    <w:rsid w:val="0045361B"/>
    <w:rsid w:val="00470260"/>
    <w:rsid w:val="004868A0"/>
    <w:rsid w:val="00497E36"/>
    <w:rsid w:val="004A7940"/>
    <w:rsid w:val="004B5796"/>
    <w:rsid w:val="004C77B5"/>
    <w:rsid w:val="004D2E83"/>
    <w:rsid w:val="004E13C4"/>
    <w:rsid w:val="004E2707"/>
    <w:rsid w:val="00503F34"/>
    <w:rsid w:val="00505D73"/>
    <w:rsid w:val="00520BF8"/>
    <w:rsid w:val="005238EA"/>
    <w:rsid w:val="00527648"/>
    <w:rsid w:val="005330F0"/>
    <w:rsid w:val="00550E45"/>
    <w:rsid w:val="00561C03"/>
    <w:rsid w:val="00571393"/>
    <w:rsid w:val="005836F0"/>
    <w:rsid w:val="005B1E4B"/>
    <w:rsid w:val="0061385F"/>
    <w:rsid w:val="00627AC0"/>
    <w:rsid w:val="00627C4A"/>
    <w:rsid w:val="00627DDD"/>
    <w:rsid w:val="00635A3D"/>
    <w:rsid w:val="00645FFB"/>
    <w:rsid w:val="00651644"/>
    <w:rsid w:val="006754B5"/>
    <w:rsid w:val="00687FB1"/>
    <w:rsid w:val="006D5BBF"/>
    <w:rsid w:val="006F697A"/>
    <w:rsid w:val="00711E83"/>
    <w:rsid w:val="00722708"/>
    <w:rsid w:val="00722714"/>
    <w:rsid w:val="00732AD7"/>
    <w:rsid w:val="007348DD"/>
    <w:rsid w:val="0074538F"/>
    <w:rsid w:val="007533FE"/>
    <w:rsid w:val="00763C73"/>
    <w:rsid w:val="007776F7"/>
    <w:rsid w:val="00793E15"/>
    <w:rsid w:val="007A6468"/>
    <w:rsid w:val="007C5550"/>
    <w:rsid w:val="007D0010"/>
    <w:rsid w:val="00821528"/>
    <w:rsid w:val="00842415"/>
    <w:rsid w:val="0086657D"/>
    <w:rsid w:val="00895E5E"/>
    <w:rsid w:val="008C011B"/>
    <w:rsid w:val="008D02E6"/>
    <w:rsid w:val="008D649A"/>
    <w:rsid w:val="008F6B53"/>
    <w:rsid w:val="009245EF"/>
    <w:rsid w:val="00946C0F"/>
    <w:rsid w:val="00973EEB"/>
    <w:rsid w:val="00976A01"/>
    <w:rsid w:val="009930B3"/>
    <w:rsid w:val="009C25DF"/>
    <w:rsid w:val="009C7617"/>
    <w:rsid w:val="009E103D"/>
    <w:rsid w:val="00A1133B"/>
    <w:rsid w:val="00A362BD"/>
    <w:rsid w:val="00A51E5B"/>
    <w:rsid w:val="00A54418"/>
    <w:rsid w:val="00A557ED"/>
    <w:rsid w:val="00A56739"/>
    <w:rsid w:val="00A77B3E"/>
    <w:rsid w:val="00AA0BB7"/>
    <w:rsid w:val="00AC3186"/>
    <w:rsid w:val="00AE513C"/>
    <w:rsid w:val="00B07339"/>
    <w:rsid w:val="00B15B63"/>
    <w:rsid w:val="00B46C83"/>
    <w:rsid w:val="00B52598"/>
    <w:rsid w:val="00BB004F"/>
    <w:rsid w:val="00BC5A18"/>
    <w:rsid w:val="00BE1F66"/>
    <w:rsid w:val="00BE545E"/>
    <w:rsid w:val="00BE7138"/>
    <w:rsid w:val="00C17E0D"/>
    <w:rsid w:val="00C24C86"/>
    <w:rsid w:val="00C30D53"/>
    <w:rsid w:val="00C607E3"/>
    <w:rsid w:val="00C64D7B"/>
    <w:rsid w:val="00CA2A55"/>
    <w:rsid w:val="00CA375F"/>
    <w:rsid w:val="00CA51F8"/>
    <w:rsid w:val="00CE12A5"/>
    <w:rsid w:val="00CE18FF"/>
    <w:rsid w:val="00CE4CFB"/>
    <w:rsid w:val="00CE78F3"/>
    <w:rsid w:val="00D60370"/>
    <w:rsid w:val="00D84519"/>
    <w:rsid w:val="00DB123D"/>
    <w:rsid w:val="00DB36C2"/>
    <w:rsid w:val="00DC7692"/>
    <w:rsid w:val="00DE3FD4"/>
    <w:rsid w:val="00DE5E46"/>
    <w:rsid w:val="00E159FC"/>
    <w:rsid w:val="00E174DD"/>
    <w:rsid w:val="00E3519E"/>
    <w:rsid w:val="00E4188E"/>
    <w:rsid w:val="00E64A86"/>
    <w:rsid w:val="00E74427"/>
    <w:rsid w:val="00E87458"/>
    <w:rsid w:val="00E9287A"/>
    <w:rsid w:val="00E93E69"/>
    <w:rsid w:val="00E95E3C"/>
    <w:rsid w:val="00EB221E"/>
    <w:rsid w:val="00ED2644"/>
    <w:rsid w:val="00ED389C"/>
    <w:rsid w:val="00ED776D"/>
    <w:rsid w:val="00EE1168"/>
    <w:rsid w:val="00EE4570"/>
    <w:rsid w:val="00EF0227"/>
    <w:rsid w:val="00F07874"/>
    <w:rsid w:val="00F10A95"/>
    <w:rsid w:val="00F24033"/>
    <w:rsid w:val="00F302FC"/>
    <w:rsid w:val="00F47D2F"/>
    <w:rsid w:val="00F53391"/>
    <w:rsid w:val="00F757B8"/>
    <w:rsid w:val="08D8052C"/>
    <w:rsid w:val="21610A4F"/>
    <w:rsid w:val="2CF34BD5"/>
    <w:rsid w:val="2FC40E37"/>
    <w:rsid w:val="391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uiPriority="99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semiHidden/>
    <w:qFormat/>
    <w:rPr>
      <w:sz w:val="24"/>
      <w:szCs w:val="24"/>
    </w:rPr>
  </w:style>
  <w:style w:type="character" w:customStyle="1" w:styleId="Char3">
    <w:name w:val="批注主题 Char"/>
    <w:link w:val="a7"/>
    <w:semiHidden/>
    <w:qFormat/>
    <w:rPr>
      <w:b/>
      <w:bCs/>
      <w:sz w:val="24"/>
      <w:szCs w:val="24"/>
    </w:rPr>
  </w:style>
  <w:style w:type="character" w:customStyle="1" w:styleId="Char0">
    <w:name w:val="批注框文本 Char"/>
    <w:link w:val="a4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styleId="aa">
    <w:name w:val="Hyperlink"/>
    <w:basedOn w:val="a0"/>
    <w:unhideWhenUsed/>
    <w:rsid w:val="00583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uiPriority="99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semiHidden/>
    <w:qFormat/>
    <w:rPr>
      <w:sz w:val="24"/>
      <w:szCs w:val="24"/>
    </w:rPr>
  </w:style>
  <w:style w:type="character" w:customStyle="1" w:styleId="Char3">
    <w:name w:val="批注主题 Char"/>
    <w:link w:val="a7"/>
    <w:semiHidden/>
    <w:qFormat/>
    <w:rPr>
      <w:b/>
      <w:bCs/>
      <w:sz w:val="24"/>
      <w:szCs w:val="24"/>
    </w:rPr>
  </w:style>
  <w:style w:type="character" w:customStyle="1" w:styleId="Char0">
    <w:name w:val="批注框文本 Char"/>
    <w:link w:val="a4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styleId="aa">
    <w:name w:val="Hyperlink"/>
    <w:basedOn w:val="a0"/>
    <w:unhideWhenUsed/>
    <w:rsid w:val="00583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jgnet.com/2307-8960/full/v8/i19/4416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liujie</dc:creator>
  <cp:lastModifiedBy>邢燕霞</cp:lastModifiedBy>
  <cp:revision>3</cp:revision>
  <dcterms:created xsi:type="dcterms:W3CDTF">2020-09-25T07:54:00Z</dcterms:created>
  <dcterms:modified xsi:type="dcterms:W3CDTF">2020-09-25T17:44:00Z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