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4074" w14:textId="77777777"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 xml:space="preserve">Name of Journal: </w:t>
      </w:r>
      <w:r w:rsidRPr="007D1591">
        <w:rPr>
          <w:rFonts w:ascii="Book Antiqua" w:eastAsia="Book Antiqua" w:hAnsi="Book Antiqua" w:cs="Book Antiqua"/>
          <w:i/>
          <w:color w:val="000000"/>
        </w:rPr>
        <w:t>World Journal of Clinical Cases</w:t>
      </w:r>
    </w:p>
    <w:p w14:paraId="3539722A" w14:textId="77777777"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 xml:space="preserve">Manuscript NO: </w:t>
      </w:r>
      <w:r w:rsidRPr="007D1591">
        <w:rPr>
          <w:rFonts w:ascii="Book Antiqua" w:eastAsia="Book Antiqua" w:hAnsi="Book Antiqua" w:cs="Book Antiqua"/>
          <w:color w:val="000000"/>
        </w:rPr>
        <w:t>56603</w:t>
      </w:r>
    </w:p>
    <w:p w14:paraId="77DD8ECB" w14:textId="77777777"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 xml:space="preserve">Manuscript Type: </w:t>
      </w:r>
      <w:r w:rsidRPr="007D1591">
        <w:rPr>
          <w:rFonts w:ascii="Book Antiqua" w:eastAsia="Book Antiqua" w:hAnsi="Book Antiqua" w:cs="Book Antiqua"/>
          <w:color w:val="000000"/>
        </w:rPr>
        <w:t>CASE REPORT</w:t>
      </w:r>
    </w:p>
    <w:p w14:paraId="09BC0446" w14:textId="77777777" w:rsidR="00A77B3E" w:rsidRPr="007D1591" w:rsidRDefault="00A77B3E" w:rsidP="00B05E27">
      <w:pPr>
        <w:snapToGrid w:val="0"/>
        <w:spacing w:line="360" w:lineRule="auto"/>
        <w:jc w:val="both"/>
      </w:pPr>
    </w:p>
    <w:p w14:paraId="0CFCB518"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Small bowel obstruction caused by a bezoar following an adult simultaneous liver-kidney transplantation: A case report</w:t>
      </w:r>
    </w:p>
    <w:p w14:paraId="55BC0E05" w14:textId="77777777" w:rsidR="00A77B3E" w:rsidRPr="007D1591" w:rsidRDefault="00A77B3E" w:rsidP="00B05E27">
      <w:pPr>
        <w:snapToGrid w:val="0"/>
        <w:spacing w:line="360" w:lineRule="auto"/>
        <w:jc w:val="both"/>
      </w:pPr>
    </w:p>
    <w:p w14:paraId="2A72A76A" w14:textId="3FBE48B3" w:rsidR="00A77B3E" w:rsidRPr="007D1591" w:rsidRDefault="00B05E27" w:rsidP="00B05E27">
      <w:pPr>
        <w:snapToGrid w:val="0"/>
        <w:spacing w:line="360" w:lineRule="auto"/>
        <w:jc w:val="both"/>
      </w:pPr>
      <w:r w:rsidRPr="007D1591">
        <w:rPr>
          <w:rFonts w:ascii="Book Antiqua" w:eastAsia="Book Antiqua" w:hAnsi="Book Antiqua" w:cs="Book Antiqua"/>
          <w:color w:val="000000"/>
        </w:rPr>
        <w:t xml:space="preserve">Pan G </w:t>
      </w:r>
      <w:r w:rsidRPr="007D1591">
        <w:rPr>
          <w:rFonts w:ascii="Book Antiqua" w:eastAsia="Book Antiqua" w:hAnsi="Book Antiqua" w:cs="Book Antiqua"/>
          <w:i/>
          <w:color w:val="000000"/>
        </w:rPr>
        <w:t>et al</w:t>
      </w:r>
      <w:r w:rsidRPr="007D1591">
        <w:rPr>
          <w:rFonts w:ascii="Book Antiqua" w:eastAsia="Book Antiqua" w:hAnsi="Book Antiqua" w:cs="Book Antiqua"/>
          <w:color w:val="000000"/>
        </w:rPr>
        <w:t xml:space="preserve">. </w:t>
      </w:r>
      <w:r w:rsidR="00E030E9" w:rsidRPr="007D1591">
        <w:rPr>
          <w:rFonts w:ascii="Book Antiqua" w:eastAsia="Book Antiqua" w:hAnsi="Book Antiqua" w:cs="Book Antiqua"/>
          <w:color w:val="000000"/>
        </w:rPr>
        <w:t>SBO following a</w:t>
      </w:r>
      <w:r w:rsidR="00DC480C" w:rsidRPr="007D1591">
        <w:rPr>
          <w:rFonts w:ascii="Book Antiqua" w:eastAsia="Book Antiqua" w:hAnsi="Book Antiqua" w:cs="Book Antiqua"/>
          <w:color w:val="000000"/>
        </w:rPr>
        <w:t xml:space="preserve"> </w:t>
      </w:r>
      <w:r w:rsidR="00E030E9" w:rsidRPr="007D1591">
        <w:rPr>
          <w:rFonts w:ascii="Book Antiqua" w:eastAsia="Book Antiqua" w:hAnsi="Book Antiqua" w:cs="Book Antiqua"/>
          <w:color w:val="000000"/>
        </w:rPr>
        <w:t>simultaneous liver-kidney transplantation</w:t>
      </w:r>
    </w:p>
    <w:p w14:paraId="0B8D5FEF" w14:textId="77777777" w:rsidR="00B05E27" w:rsidRPr="007D1591" w:rsidRDefault="00B05E27" w:rsidP="00B05E27">
      <w:pPr>
        <w:snapToGrid w:val="0"/>
        <w:spacing w:line="360" w:lineRule="auto"/>
        <w:jc w:val="both"/>
      </w:pPr>
    </w:p>
    <w:p w14:paraId="49A5FFCF"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Gilbert Pan, Robin D Kim, Jeffrey Campsen, George Rofaiel</w:t>
      </w:r>
    </w:p>
    <w:p w14:paraId="00537395" w14:textId="77777777" w:rsidR="00A77B3E" w:rsidRPr="007D1591" w:rsidRDefault="00A77B3E" w:rsidP="00B05E27">
      <w:pPr>
        <w:snapToGrid w:val="0"/>
        <w:spacing w:line="360" w:lineRule="auto"/>
        <w:jc w:val="both"/>
      </w:pPr>
    </w:p>
    <w:p w14:paraId="1C85C444"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 xml:space="preserve">Gilbert Pan, Robin D Kim, Jeffrey Campsen, George Rofaiel, </w:t>
      </w:r>
      <w:r w:rsidRPr="007D1591">
        <w:rPr>
          <w:rFonts w:ascii="Book Antiqua" w:eastAsia="Book Antiqua" w:hAnsi="Book Antiqua" w:cs="Book Antiqua"/>
          <w:color w:val="000000"/>
        </w:rPr>
        <w:t>Department of Surgery, Division of Transplantation and Advanced Hepatobiliary Surgery, University of Utah School of Medicine, Salt Lake, U</w:t>
      </w:r>
      <w:r w:rsidRPr="007D1591">
        <w:rPr>
          <w:rFonts w:ascii="Book Antiqua" w:eastAsia="Book Antiqua" w:hAnsi="Book Antiqua" w:cs="Book Antiqua"/>
          <w:caps/>
          <w:color w:val="000000"/>
        </w:rPr>
        <w:t>t</w:t>
      </w:r>
      <w:r w:rsidR="004A2B9F" w:rsidRPr="007D1591">
        <w:rPr>
          <w:rFonts w:ascii="Book Antiqua" w:eastAsia="Book Antiqua" w:hAnsi="Book Antiqua" w:cs="Book Antiqua"/>
          <w:caps/>
          <w:color w:val="000000"/>
        </w:rPr>
        <w:t xml:space="preserve"> </w:t>
      </w:r>
      <w:r w:rsidRPr="007D1591">
        <w:rPr>
          <w:rFonts w:ascii="Book Antiqua" w:eastAsia="Book Antiqua" w:hAnsi="Book Antiqua" w:cs="Book Antiqua"/>
          <w:color w:val="000000"/>
        </w:rPr>
        <w:t>84132, United States</w:t>
      </w:r>
    </w:p>
    <w:p w14:paraId="52C733D4" w14:textId="77777777" w:rsidR="00A77B3E" w:rsidRPr="007D1591" w:rsidRDefault="00A77B3E" w:rsidP="00B05E27">
      <w:pPr>
        <w:snapToGrid w:val="0"/>
        <w:spacing w:line="360" w:lineRule="auto"/>
        <w:jc w:val="both"/>
      </w:pPr>
    </w:p>
    <w:p w14:paraId="3F1C2D0C"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 xml:space="preserve">Author contributions: </w:t>
      </w:r>
      <w:r w:rsidR="00594B32" w:rsidRPr="007D1591">
        <w:rPr>
          <w:rFonts w:ascii="Book Antiqua" w:eastAsia="Book Antiqua" w:hAnsi="Book Antiqua" w:cs="Book Antiqua"/>
          <w:color w:val="000000"/>
        </w:rPr>
        <w:t xml:space="preserve">Pan </w:t>
      </w:r>
      <w:r w:rsidRPr="007D1591">
        <w:rPr>
          <w:rFonts w:ascii="Book Antiqua" w:eastAsia="Book Antiqua" w:hAnsi="Book Antiqua" w:cs="Book Antiqua"/>
          <w:color w:val="000000"/>
        </w:rPr>
        <w:t>G</w:t>
      </w:r>
      <w:r w:rsidR="00594B32" w:rsidRPr="007D1591">
        <w:rPr>
          <w:rFonts w:ascii="Book Antiqua" w:eastAsia="Book Antiqua" w:hAnsi="Book Antiqua" w:cs="Book Antiqua"/>
          <w:color w:val="000000"/>
        </w:rPr>
        <w:t xml:space="preserve"> </w:t>
      </w:r>
      <w:r w:rsidRPr="007D1591">
        <w:rPr>
          <w:rFonts w:ascii="Book Antiqua" w:eastAsia="Book Antiqua" w:hAnsi="Book Antiqua" w:cs="Book Antiqua"/>
          <w:color w:val="000000"/>
        </w:rPr>
        <w:t>participated in manuscript writing, data analysis, and proofreading/reviewing</w:t>
      </w:r>
      <w:r w:rsidR="004C1566" w:rsidRPr="007D1591">
        <w:rPr>
          <w:rFonts w:ascii="Book Antiqua" w:eastAsia="Book Antiqua" w:hAnsi="Book Antiqua" w:cs="Book Antiqua"/>
          <w:color w:val="000000"/>
        </w:rPr>
        <w:t xml:space="preserve">; </w:t>
      </w:r>
      <w:r w:rsidR="00594B32" w:rsidRPr="007D1591">
        <w:rPr>
          <w:rFonts w:ascii="Book Antiqua" w:eastAsia="Book Antiqua" w:hAnsi="Book Antiqua" w:cs="Book Antiqua"/>
          <w:color w:val="000000"/>
        </w:rPr>
        <w:t xml:space="preserve">Kim </w:t>
      </w:r>
      <w:r w:rsidRPr="007D1591">
        <w:rPr>
          <w:rFonts w:ascii="Book Antiqua" w:eastAsia="Book Antiqua" w:hAnsi="Book Antiqua" w:cs="Book Antiqua"/>
          <w:color w:val="000000"/>
        </w:rPr>
        <w:t xml:space="preserve">RD </w:t>
      </w:r>
      <w:r w:rsidR="004C1566" w:rsidRPr="007D1591">
        <w:rPr>
          <w:rFonts w:ascii="Book Antiqua" w:eastAsia="Book Antiqua" w:hAnsi="Book Antiqua" w:cs="Book Antiqua"/>
          <w:color w:val="000000"/>
        </w:rPr>
        <w:t xml:space="preserve">and Campsen J </w:t>
      </w:r>
      <w:r w:rsidRPr="007D1591">
        <w:rPr>
          <w:rFonts w:ascii="Book Antiqua" w:eastAsia="Book Antiqua" w:hAnsi="Book Antiqua" w:cs="Book Antiqua"/>
          <w:color w:val="000000"/>
        </w:rPr>
        <w:t>participated in patient care, data acquisition, and proofreading/reviewing</w:t>
      </w:r>
      <w:r w:rsidR="004C1566" w:rsidRPr="007D1591">
        <w:rPr>
          <w:rFonts w:ascii="Book Antiqua" w:eastAsia="Book Antiqua" w:hAnsi="Book Antiqua" w:cs="Book Antiqua"/>
          <w:color w:val="000000"/>
        </w:rPr>
        <w:t xml:space="preserve">; </w:t>
      </w:r>
      <w:r w:rsidR="00594B32" w:rsidRPr="007D1591">
        <w:rPr>
          <w:rFonts w:ascii="Book Antiqua" w:eastAsia="Book Antiqua" w:hAnsi="Book Antiqua" w:cs="Book Antiqua"/>
          <w:color w:val="000000"/>
        </w:rPr>
        <w:t xml:space="preserve">Rofaiel </w:t>
      </w:r>
      <w:r w:rsidRPr="007D1591">
        <w:rPr>
          <w:rFonts w:ascii="Book Antiqua" w:eastAsia="Book Antiqua" w:hAnsi="Book Antiqua" w:cs="Book Antiqua"/>
          <w:color w:val="000000"/>
        </w:rPr>
        <w:t>G</w:t>
      </w:r>
      <w:r w:rsidR="00594B32" w:rsidRPr="007D1591">
        <w:rPr>
          <w:rFonts w:ascii="Book Antiqua" w:eastAsia="Book Antiqua" w:hAnsi="Book Antiqua" w:cs="Book Antiqua"/>
          <w:color w:val="000000"/>
        </w:rPr>
        <w:t xml:space="preserve"> </w:t>
      </w:r>
      <w:r w:rsidRPr="007D1591">
        <w:rPr>
          <w:rFonts w:ascii="Book Antiqua" w:eastAsia="Book Antiqua" w:hAnsi="Book Antiqua" w:cs="Book Antiqua"/>
          <w:color w:val="000000"/>
        </w:rPr>
        <w:t>participated in manuscript writing, patient care, data acquisition, data analysis, and proofreading/reviewing.</w:t>
      </w:r>
    </w:p>
    <w:p w14:paraId="36F907D1" w14:textId="77777777" w:rsidR="00A77B3E" w:rsidRPr="007D1591" w:rsidRDefault="00A77B3E" w:rsidP="00B05E27">
      <w:pPr>
        <w:snapToGrid w:val="0"/>
        <w:spacing w:line="360" w:lineRule="auto"/>
        <w:jc w:val="both"/>
      </w:pPr>
    </w:p>
    <w:p w14:paraId="0AADAA55"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 xml:space="preserve">Corresponding author: George Rofaiel, FACS, MD, Assistant Professor, Surgeon, </w:t>
      </w:r>
      <w:r w:rsidRPr="007D1591">
        <w:rPr>
          <w:rFonts w:ascii="Book Antiqua" w:eastAsia="Book Antiqua" w:hAnsi="Book Antiqua" w:cs="Book Antiqua"/>
          <w:color w:val="000000"/>
        </w:rPr>
        <w:t>Department of Surgery, Division of Transplantation and Advanced Hepatobiliary Surgery, University of Utah School of Medicine, 30 N 1900 E, Salt Lake, U</w:t>
      </w:r>
      <w:r w:rsidRPr="007D1591">
        <w:rPr>
          <w:rFonts w:ascii="Book Antiqua" w:eastAsia="Book Antiqua" w:hAnsi="Book Antiqua" w:cs="Book Antiqua"/>
          <w:caps/>
          <w:color w:val="000000"/>
        </w:rPr>
        <w:t>t</w:t>
      </w:r>
      <w:r w:rsidR="004A2B9F" w:rsidRPr="007D1591">
        <w:rPr>
          <w:rFonts w:ascii="Book Antiqua" w:eastAsia="Book Antiqua" w:hAnsi="Book Antiqua" w:cs="Book Antiqua"/>
          <w:color w:val="000000"/>
        </w:rPr>
        <w:t xml:space="preserve"> </w:t>
      </w:r>
      <w:r w:rsidRPr="007D1591">
        <w:rPr>
          <w:rFonts w:ascii="Book Antiqua" w:eastAsia="Book Antiqua" w:hAnsi="Book Antiqua" w:cs="Book Antiqua"/>
          <w:color w:val="000000"/>
        </w:rPr>
        <w:t>84132, United States. george.rofaiel@hsc.utah.edu</w:t>
      </w:r>
    </w:p>
    <w:p w14:paraId="436C2458" w14:textId="77777777" w:rsidR="00A77B3E" w:rsidRPr="007D1591" w:rsidRDefault="00A77B3E" w:rsidP="00B05E27">
      <w:pPr>
        <w:snapToGrid w:val="0"/>
        <w:spacing w:line="360" w:lineRule="auto"/>
        <w:jc w:val="both"/>
      </w:pPr>
    </w:p>
    <w:p w14:paraId="26BB16EB"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 xml:space="preserve">Received: </w:t>
      </w:r>
      <w:r w:rsidRPr="007D1591">
        <w:rPr>
          <w:rFonts w:ascii="Book Antiqua" w:eastAsia="Book Antiqua" w:hAnsi="Book Antiqua" w:cs="Book Antiqua"/>
          <w:color w:val="000000"/>
        </w:rPr>
        <w:t>May 7, 2020</w:t>
      </w:r>
    </w:p>
    <w:p w14:paraId="726AEBC4"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 xml:space="preserve">Revised: </w:t>
      </w:r>
      <w:r w:rsidRPr="007D1591">
        <w:rPr>
          <w:rFonts w:ascii="Book Antiqua" w:eastAsia="Book Antiqua" w:hAnsi="Book Antiqua" w:cs="Book Antiqua"/>
          <w:color w:val="000000"/>
        </w:rPr>
        <w:t>June 10, 2020</w:t>
      </w:r>
    </w:p>
    <w:p w14:paraId="28F0C170" w14:textId="77777777" w:rsidR="0086026F" w:rsidRPr="007D1591" w:rsidRDefault="00A5004B" w:rsidP="0086026F">
      <w:pPr>
        <w:snapToGrid w:val="0"/>
        <w:spacing w:line="360" w:lineRule="auto"/>
        <w:rPr>
          <w:rFonts w:ascii="Book Antiqua" w:hAnsi="Book Antiqua" w:cs="Arial"/>
          <w:color w:val="000000" w:themeColor="text1"/>
          <w:shd w:val="clear" w:color="auto" w:fill="FFFFFF"/>
        </w:rPr>
      </w:pPr>
      <w:r w:rsidRPr="007D1591">
        <w:rPr>
          <w:rFonts w:ascii="Book Antiqua" w:eastAsia="Book Antiqua" w:hAnsi="Book Antiqua" w:cs="Book Antiqua"/>
          <w:b/>
          <w:bCs/>
          <w:color w:val="000000"/>
        </w:rPr>
        <w:t xml:space="preserve">Accepted: </w:t>
      </w:r>
      <w:r w:rsidR="0086026F" w:rsidRPr="007D1591">
        <w:rPr>
          <w:rFonts w:ascii="Book Antiqua" w:hAnsi="Book Antiqua" w:cs="Arial"/>
          <w:color w:val="000000" w:themeColor="text1"/>
          <w:shd w:val="clear" w:color="auto" w:fill="FFFFFF"/>
        </w:rPr>
        <w:t>August 26, 2020</w:t>
      </w:r>
    </w:p>
    <w:p w14:paraId="5D4EB610" w14:textId="032D1DAA"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lastRenderedPageBreak/>
        <w:t xml:space="preserve">Published online: </w:t>
      </w:r>
      <w:r w:rsidR="00C94879" w:rsidRPr="007D1591">
        <w:rPr>
          <w:rFonts w:ascii="Book Antiqua" w:eastAsia="Book Antiqua" w:hAnsi="Book Antiqua" w:cs="Book Antiqua"/>
          <w:bCs/>
          <w:color w:val="000000"/>
        </w:rPr>
        <w:t xml:space="preserve">September </w:t>
      </w:r>
      <w:r w:rsidR="009A2F78" w:rsidRPr="007D1591">
        <w:rPr>
          <w:rFonts w:ascii="Book Antiqua" w:hAnsi="Book Antiqua" w:cs="Book Antiqua" w:hint="eastAsia"/>
          <w:bCs/>
          <w:color w:val="000000"/>
          <w:lang w:eastAsia="zh-CN"/>
        </w:rPr>
        <w:t>2</w:t>
      </w:r>
      <w:r w:rsidR="00C94879" w:rsidRPr="007D1591">
        <w:rPr>
          <w:rFonts w:ascii="Book Antiqua" w:eastAsia="Book Antiqua" w:hAnsi="Book Antiqua" w:cs="Book Antiqua"/>
          <w:bCs/>
          <w:color w:val="000000"/>
        </w:rPr>
        <w:t>6, 2020</w:t>
      </w:r>
    </w:p>
    <w:p w14:paraId="2FAB679E" w14:textId="77777777" w:rsidR="00B05E27" w:rsidRPr="007D1591" w:rsidRDefault="00B05E27" w:rsidP="00B05E27">
      <w:pPr>
        <w:snapToGrid w:val="0"/>
        <w:spacing w:line="360" w:lineRule="auto"/>
        <w:jc w:val="both"/>
      </w:pPr>
    </w:p>
    <w:p w14:paraId="5DB2F023" w14:textId="77777777"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Abstract</w:t>
      </w:r>
    </w:p>
    <w:p w14:paraId="34B36374"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BACKGROUND</w:t>
      </w:r>
    </w:p>
    <w:p w14:paraId="60FB32D4"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Small bowel obstructions (SBOs) are common following a large intra-abdominal operation; however, SBOs caused by bezoars are unreported in patients following liver-kidney transplantation procedures, particularly in adults.</w:t>
      </w:r>
    </w:p>
    <w:p w14:paraId="1FD9D91E" w14:textId="77777777" w:rsidR="00A77B3E" w:rsidRPr="007D1591" w:rsidRDefault="00A77B3E" w:rsidP="00B05E27">
      <w:pPr>
        <w:snapToGrid w:val="0"/>
        <w:spacing w:line="360" w:lineRule="auto"/>
        <w:jc w:val="both"/>
      </w:pPr>
    </w:p>
    <w:p w14:paraId="036B0F2C"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CASE SUMMARY</w:t>
      </w:r>
    </w:p>
    <w:p w14:paraId="3D31B219" w14:textId="7A415A03" w:rsidR="00A77B3E" w:rsidRPr="007D1591" w:rsidRDefault="00A5004B" w:rsidP="00B05E27">
      <w:pPr>
        <w:snapToGrid w:val="0"/>
        <w:spacing w:line="360" w:lineRule="auto"/>
        <w:jc w:val="both"/>
      </w:pPr>
      <w:r w:rsidRPr="007D1591">
        <w:rPr>
          <w:rFonts w:ascii="Book Antiqua" w:eastAsia="Book Antiqua" w:hAnsi="Book Antiqua" w:cs="Book Antiqua"/>
          <w:color w:val="000000"/>
        </w:rPr>
        <w:t>A 65-year-old Caucasian female presented with nausea and nonbilious emesis during her postoperative course following a simultaneous liver-kidney transplantation. She developed worsening nausea and vomiting with significant abdominal distension and obstipation. Computed tomography imaging showed a marked abnormal dilation of multiple small bowel loops with a distinct transition point that was suggestive of a small bowel obstruction. An exploratory laparotomy revealed a foreign body in the intestinal track approximately 30 cm from the ileocecal valve. The foreign body was extracted and identified as a bezoar with hair follicles and old digestive contents. Following the operation, the patient demonstrated rapid clinical improvement with resolution of nausea, emesis, and progress in bowel motility.</w:t>
      </w:r>
    </w:p>
    <w:p w14:paraId="368A3BE1" w14:textId="77777777" w:rsidR="00A77B3E" w:rsidRPr="007D1591" w:rsidRDefault="00A77B3E" w:rsidP="00B05E27">
      <w:pPr>
        <w:snapToGrid w:val="0"/>
        <w:spacing w:line="360" w:lineRule="auto"/>
        <w:jc w:val="both"/>
      </w:pPr>
    </w:p>
    <w:p w14:paraId="7027F58F"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CONCLUSION</w:t>
      </w:r>
    </w:p>
    <w:p w14:paraId="48047273"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SBOs caused by bezoars can occur immediately following a liver-kidney transplantation and should not be discounted as a diagnosis.</w:t>
      </w:r>
    </w:p>
    <w:p w14:paraId="6DA77739" w14:textId="77777777" w:rsidR="00A77B3E" w:rsidRPr="007D1591" w:rsidRDefault="00A77B3E" w:rsidP="00B05E27">
      <w:pPr>
        <w:snapToGrid w:val="0"/>
        <w:spacing w:line="360" w:lineRule="auto"/>
        <w:jc w:val="both"/>
      </w:pPr>
    </w:p>
    <w:p w14:paraId="4C95B08E"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 xml:space="preserve">Key words: </w:t>
      </w:r>
      <w:r w:rsidRPr="007D1591">
        <w:rPr>
          <w:rFonts w:ascii="Book Antiqua" w:eastAsia="Book Antiqua" w:hAnsi="Book Antiqua" w:cs="Book Antiqua"/>
          <w:color w:val="000000"/>
        </w:rPr>
        <w:t>Case report; Liver transplantation; Liver-kidney transplantation; Small bowel obstruction; Post-transplant complications; Transplantation</w:t>
      </w:r>
    </w:p>
    <w:p w14:paraId="25A31253" w14:textId="77777777" w:rsidR="00A77B3E" w:rsidRPr="007D1591" w:rsidRDefault="00A77B3E" w:rsidP="00B05E27">
      <w:pPr>
        <w:snapToGrid w:val="0"/>
        <w:spacing w:line="360" w:lineRule="auto"/>
        <w:jc w:val="both"/>
      </w:pPr>
    </w:p>
    <w:p w14:paraId="0446B7B8" w14:textId="543A6D49" w:rsidR="007D1591" w:rsidRDefault="007D1591" w:rsidP="00B05E27">
      <w:pPr>
        <w:snapToGrid w:val="0"/>
        <w:spacing w:line="360" w:lineRule="auto"/>
        <w:jc w:val="both"/>
        <w:rPr>
          <w:rFonts w:ascii="Book Antiqua" w:hAnsi="Book Antiqua" w:cs="Book Antiqua" w:hint="eastAsia"/>
          <w:color w:val="000000"/>
          <w:lang w:eastAsia="zh-CN"/>
        </w:rPr>
      </w:pPr>
      <w:r w:rsidRPr="007D1591">
        <w:rPr>
          <w:rFonts w:ascii="Book Antiqua" w:hAnsi="Book Antiqua" w:cs="Book Antiqua" w:hint="eastAsia"/>
          <w:b/>
          <w:color w:val="000000"/>
          <w:lang w:eastAsia="zh-CN"/>
        </w:rPr>
        <w:t xml:space="preserve">Citation: </w:t>
      </w:r>
      <w:r w:rsidR="00A5004B" w:rsidRPr="007D1591">
        <w:rPr>
          <w:rFonts w:ascii="Book Antiqua" w:eastAsia="Book Antiqua" w:hAnsi="Book Antiqua" w:cs="Book Antiqua"/>
          <w:color w:val="000000"/>
        </w:rPr>
        <w:t>Pan G, Kim RD, Campsen J, Rofaiel G. Small bowel obstruction caused by a bezoar following an adult simultaneous liver-kidney</w:t>
      </w:r>
      <w:r w:rsidR="006933D3" w:rsidRPr="007D1591">
        <w:rPr>
          <w:rFonts w:ascii="Book Antiqua" w:eastAsia="Book Antiqua" w:hAnsi="Book Antiqua" w:cs="Book Antiqua"/>
          <w:color w:val="000000"/>
        </w:rPr>
        <w:t xml:space="preserve"> transplantation: A case report</w:t>
      </w:r>
      <w:r w:rsidR="00A5004B" w:rsidRPr="007D1591">
        <w:rPr>
          <w:rFonts w:ascii="Book Antiqua" w:eastAsia="Book Antiqua" w:hAnsi="Book Antiqua" w:cs="Book Antiqua"/>
          <w:color w:val="000000"/>
        </w:rPr>
        <w:t xml:space="preserve">. </w:t>
      </w:r>
      <w:r w:rsidR="00A5004B" w:rsidRPr="007D1591">
        <w:rPr>
          <w:rFonts w:ascii="Book Antiqua" w:eastAsia="Book Antiqua" w:hAnsi="Book Antiqua" w:cs="Book Antiqua"/>
          <w:i/>
          <w:iCs/>
          <w:color w:val="000000"/>
        </w:rPr>
        <w:t>World J Clin Cases</w:t>
      </w:r>
      <w:r w:rsidR="00A5004B" w:rsidRPr="007D1591">
        <w:rPr>
          <w:rFonts w:ascii="Book Antiqua" w:eastAsia="Book Antiqua" w:hAnsi="Book Antiqua" w:cs="Book Antiqua"/>
          <w:color w:val="000000"/>
        </w:rPr>
        <w:t xml:space="preserve"> </w:t>
      </w:r>
      <w:r w:rsidR="00FE08A3" w:rsidRPr="007D1591">
        <w:rPr>
          <w:rFonts w:ascii="Book Antiqua" w:eastAsia="Book Antiqua" w:hAnsi="Book Antiqua" w:cs="Book Antiqua"/>
          <w:color w:val="000000"/>
        </w:rPr>
        <w:t>2020; 8(1</w:t>
      </w:r>
      <w:r w:rsidR="009A2F78" w:rsidRPr="007D1591">
        <w:rPr>
          <w:rFonts w:ascii="Book Antiqua" w:hAnsi="Book Antiqua" w:cs="Book Antiqua" w:hint="eastAsia"/>
          <w:color w:val="000000"/>
          <w:lang w:eastAsia="zh-CN"/>
        </w:rPr>
        <w:t>8</w:t>
      </w:r>
      <w:r w:rsidR="00FE08A3" w:rsidRPr="007D1591">
        <w:rPr>
          <w:rFonts w:ascii="Book Antiqua" w:eastAsia="Book Antiqua" w:hAnsi="Book Antiqua" w:cs="Book Antiqua"/>
          <w:color w:val="000000"/>
        </w:rPr>
        <w:t xml:space="preserve">): </w:t>
      </w:r>
      <w:r w:rsidR="00FC1968" w:rsidRPr="007D1591">
        <w:rPr>
          <w:rFonts w:ascii="Book Antiqua" w:eastAsia="Book Antiqua" w:hAnsi="Book Antiqua" w:cs="Book Antiqua"/>
          <w:color w:val="000000"/>
        </w:rPr>
        <w:t>4109-4113</w:t>
      </w:r>
      <w:r w:rsidR="00FE08A3" w:rsidRPr="007D1591">
        <w:rPr>
          <w:rFonts w:ascii="Book Antiqua" w:eastAsia="Book Antiqua" w:hAnsi="Book Antiqua" w:cs="Book Antiqua"/>
          <w:color w:val="000000"/>
        </w:rPr>
        <w:t xml:space="preserve">  </w:t>
      </w:r>
    </w:p>
    <w:p w14:paraId="0A861212" w14:textId="77777777" w:rsidR="007D1591" w:rsidRDefault="00FE08A3" w:rsidP="00B05E27">
      <w:pPr>
        <w:snapToGrid w:val="0"/>
        <w:spacing w:line="360" w:lineRule="auto"/>
        <w:jc w:val="both"/>
        <w:rPr>
          <w:rFonts w:ascii="Book Antiqua" w:hAnsi="Book Antiqua" w:cs="Book Antiqua" w:hint="eastAsia"/>
          <w:color w:val="000000"/>
          <w:lang w:eastAsia="zh-CN"/>
        </w:rPr>
      </w:pPr>
      <w:r w:rsidRPr="007D1591">
        <w:rPr>
          <w:rFonts w:ascii="Book Antiqua" w:eastAsia="Book Antiqua" w:hAnsi="Book Antiqua" w:cs="Book Antiqua"/>
          <w:b/>
          <w:color w:val="000000"/>
        </w:rPr>
        <w:t>URL:</w:t>
      </w:r>
      <w:r w:rsidRPr="007D1591">
        <w:rPr>
          <w:rFonts w:ascii="Book Antiqua" w:eastAsia="Book Antiqua" w:hAnsi="Book Antiqua" w:cs="Book Antiqua"/>
          <w:color w:val="000000"/>
        </w:rPr>
        <w:t xml:space="preserve"> https://www.wjgnet.com/2307-8960/full/v8/i1</w:t>
      </w:r>
      <w:r w:rsidR="009A2F78" w:rsidRPr="007D1591">
        <w:rPr>
          <w:rFonts w:ascii="Book Antiqua" w:hAnsi="Book Antiqua" w:cs="Book Antiqua" w:hint="eastAsia"/>
          <w:color w:val="000000"/>
          <w:lang w:eastAsia="zh-CN"/>
        </w:rPr>
        <w:t>8</w:t>
      </w:r>
      <w:r w:rsidRPr="007D1591">
        <w:rPr>
          <w:rFonts w:ascii="Book Antiqua" w:eastAsia="Book Antiqua" w:hAnsi="Book Antiqua" w:cs="Book Antiqua"/>
          <w:color w:val="000000"/>
        </w:rPr>
        <w:t>/</w:t>
      </w:r>
      <w:r w:rsidR="00FC1968" w:rsidRPr="007D1591">
        <w:rPr>
          <w:rFonts w:ascii="Book Antiqua" w:hAnsi="Book Antiqua" w:cs="Book Antiqua" w:hint="eastAsia"/>
          <w:color w:val="000000"/>
          <w:lang w:eastAsia="zh-CN"/>
        </w:rPr>
        <w:t>4109</w:t>
      </w:r>
      <w:r w:rsidRPr="007D1591">
        <w:rPr>
          <w:rFonts w:ascii="Book Antiqua" w:eastAsia="Book Antiqua" w:hAnsi="Book Antiqua" w:cs="Book Antiqua"/>
          <w:color w:val="000000"/>
        </w:rPr>
        <w:t xml:space="preserve">.htm  </w:t>
      </w:r>
    </w:p>
    <w:p w14:paraId="7C02D2B7" w14:textId="546FF9E8" w:rsidR="00A77B3E" w:rsidRPr="007D1591" w:rsidRDefault="00FE08A3" w:rsidP="00B05E27">
      <w:pPr>
        <w:snapToGrid w:val="0"/>
        <w:spacing w:line="360" w:lineRule="auto"/>
        <w:jc w:val="both"/>
        <w:rPr>
          <w:rFonts w:hint="eastAsia"/>
          <w:lang w:eastAsia="zh-CN"/>
        </w:rPr>
      </w:pPr>
      <w:bookmarkStart w:id="0" w:name="_GoBack"/>
      <w:r w:rsidRPr="007D1591">
        <w:rPr>
          <w:rFonts w:ascii="Book Antiqua" w:eastAsia="Book Antiqua" w:hAnsi="Book Antiqua" w:cs="Book Antiqua"/>
          <w:b/>
          <w:color w:val="000000"/>
        </w:rPr>
        <w:t xml:space="preserve">DOI: </w:t>
      </w:r>
      <w:bookmarkEnd w:id="0"/>
      <w:r w:rsidRPr="007D1591">
        <w:rPr>
          <w:rFonts w:ascii="Book Antiqua" w:eastAsia="Book Antiqua" w:hAnsi="Book Antiqua" w:cs="Book Antiqua"/>
          <w:color w:val="000000"/>
        </w:rPr>
        <w:t>https://dx.doi.org/10.12998/wjcc.v8.i1</w:t>
      </w:r>
      <w:r w:rsidR="009A2F78" w:rsidRPr="007D1591">
        <w:rPr>
          <w:rFonts w:ascii="Book Antiqua" w:hAnsi="Book Antiqua" w:cs="Book Antiqua" w:hint="eastAsia"/>
          <w:color w:val="000000"/>
          <w:lang w:eastAsia="zh-CN"/>
        </w:rPr>
        <w:t>8</w:t>
      </w:r>
      <w:r w:rsidRPr="007D1591">
        <w:rPr>
          <w:rFonts w:ascii="Book Antiqua" w:eastAsia="Book Antiqua" w:hAnsi="Book Antiqua" w:cs="Book Antiqua"/>
          <w:color w:val="000000"/>
        </w:rPr>
        <w:t>.</w:t>
      </w:r>
      <w:r w:rsidR="00FC1968" w:rsidRPr="007D1591">
        <w:rPr>
          <w:rFonts w:ascii="Book Antiqua" w:hAnsi="Book Antiqua" w:cs="Book Antiqua" w:hint="eastAsia"/>
          <w:color w:val="000000"/>
          <w:lang w:eastAsia="zh-CN"/>
        </w:rPr>
        <w:t>4109</w:t>
      </w:r>
    </w:p>
    <w:p w14:paraId="135AAB26" w14:textId="77777777" w:rsidR="00A77B3E" w:rsidRPr="007D1591" w:rsidRDefault="00A77B3E" w:rsidP="00B05E27">
      <w:pPr>
        <w:snapToGrid w:val="0"/>
        <w:spacing w:line="360" w:lineRule="auto"/>
        <w:jc w:val="both"/>
      </w:pPr>
    </w:p>
    <w:p w14:paraId="18647D3D"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 xml:space="preserve">Core tip: </w:t>
      </w:r>
      <w:bookmarkStart w:id="1" w:name="OLE_LINK2057"/>
      <w:bookmarkStart w:id="2" w:name="OLE_LINK2058"/>
      <w:r w:rsidRPr="007D1591">
        <w:rPr>
          <w:rFonts w:ascii="Book Antiqua" w:eastAsia="Book Antiqua" w:hAnsi="Book Antiqua" w:cs="Book Antiqua"/>
          <w:color w:val="000000"/>
        </w:rPr>
        <w:t>Herein we present the management of an adult patient with a small bowel obstruction caused by a bezoar a week following a simultaneous liver-kidney transplantation. Radiographic imaging demonstrated an obstruction that required immediate surgical intervention. An exploratory laparotomy revealed a bezoar. Bezoars can occur immediately following a liver-kidney transplantation and should not be discounted as a diagnosis for a small bowel obstruction.</w:t>
      </w:r>
      <w:bookmarkEnd w:id="1"/>
      <w:bookmarkEnd w:id="2"/>
    </w:p>
    <w:p w14:paraId="2B383BF5" w14:textId="77777777" w:rsidR="003A30BE" w:rsidRPr="007D1591" w:rsidRDefault="003A30BE" w:rsidP="00B05E27">
      <w:pPr>
        <w:snapToGrid w:val="0"/>
        <w:spacing w:line="360" w:lineRule="auto"/>
        <w:jc w:val="both"/>
        <w:sectPr w:rsidR="003A30BE" w:rsidRPr="007D1591" w:rsidSect="004C1566">
          <w:footerReference w:type="default" r:id="rId7"/>
          <w:pgSz w:w="12240" w:h="15840"/>
          <w:pgMar w:top="1440" w:right="1800" w:bottom="1440" w:left="1800" w:header="720" w:footer="720" w:gutter="0"/>
          <w:cols w:space="720"/>
          <w:docGrid w:linePitch="360"/>
        </w:sectPr>
      </w:pPr>
    </w:p>
    <w:p w14:paraId="4E46AFAF" w14:textId="77777777" w:rsidR="00A77B3E" w:rsidRPr="007D1591" w:rsidRDefault="00A5004B" w:rsidP="00B05E27">
      <w:pPr>
        <w:snapToGrid w:val="0"/>
        <w:spacing w:line="360" w:lineRule="auto"/>
        <w:jc w:val="both"/>
      </w:pPr>
      <w:r w:rsidRPr="007D1591">
        <w:rPr>
          <w:rFonts w:ascii="Book Antiqua" w:eastAsia="Book Antiqua" w:hAnsi="Book Antiqua" w:cs="Book Antiqua"/>
          <w:b/>
          <w:caps/>
          <w:color w:val="000000"/>
          <w:u w:val="single"/>
        </w:rPr>
        <w:t>INTRODUCTION</w:t>
      </w:r>
    </w:p>
    <w:p w14:paraId="08CE9DF3"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Liver transplantation remains the standard of care for patients with end-stage liver disease (ESLD). As with all intra-abdominal procedures, there remains the risk of forming intra-abdominal adhesions in about 95% of patients</w:t>
      </w:r>
      <w:r w:rsidR="007D20B1" w:rsidRPr="007D1591">
        <w:rPr>
          <w:rFonts w:ascii="Book Antiqua" w:eastAsia="Book Antiqua" w:hAnsi="Book Antiqua" w:cs="Book Antiqua"/>
          <w:color w:val="000000"/>
          <w:vertAlign w:val="superscript"/>
        </w:rPr>
        <w:t>[</w:t>
      </w:r>
      <w:r w:rsidRPr="007D1591">
        <w:rPr>
          <w:rFonts w:ascii="Book Antiqua" w:eastAsia="Book Antiqua" w:hAnsi="Book Antiqua" w:cs="Book Antiqua"/>
          <w:color w:val="000000"/>
          <w:szCs w:val="30"/>
          <w:vertAlign w:val="superscript"/>
        </w:rPr>
        <w:t>1</w:t>
      </w:r>
      <w:r w:rsidR="007D20B1" w:rsidRPr="007D1591">
        <w:rPr>
          <w:rFonts w:ascii="Book Antiqua" w:eastAsia="Book Antiqua" w:hAnsi="Book Antiqua" w:cs="Book Antiqua"/>
          <w:color w:val="000000"/>
          <w:szCs w:val="30"/>
          <w:vertAlign w:val="superscript"/>
        </w:rPr>
        <w:t>]</w:t>
      </w:r>
      <w:r w:rsidRPr="007D1591">
        <w:rPr>
          <w:rFonts w:ascii="Book Antiqua" w:eastAsia="Book Antiqua" w:hAnsi="Book Antiqua" w:cs="Book Antiqua"/>
          <w:color w:val="000000"/>
        </w:rPr>
        <w:t>. Small bowel obstructions (SBOs) are a common morbidity associated with abdominal surgery</w:t>
      </w:r>
      <w:r w:rsidR="007D20B1" w:rsidRPr="007D1591">
        <w:rPr>
          <w:rFonts w:ascii="Book Antiqua" w:eastAsia="Book Antiqua" w:hAnsi="Book Antiqua" w:cs="Book Antiqua"/>
          <w:color w:val="000000"/>
          <w:vertAlign w:val="superscript"/>
        </w:rPr>
        <w:t>[</w:t>
      </w:r>
      <w:r w:rsidR="007D20B1" w:rsidRPr="007D1591">
        <w:rPr>
          <w:rFonts w:ascii="Book Antiqua" w:eastAsia="Book Antiqua" w:hAnsi="Book Antiqua" w:cs="Book Antiqua"/>
          <w:color w:val="000000"/>
          <w:szCs w:val="30"/>
          <w:vertAlign w:val="superscript"/>
        </w:rPr>
        <w:t>2]</w:t>
      </w:r>
      <w:r w:rsidRPr="007D1591">
        <w:rPr>
          <w:rFonts w:ascii="Book Antiqua" w:eastAsia="Book Antiqua" w:hAnsi="Book Antiqua" w:cs="Book Antiqua"/>
          <w:color w:val="000000"/>
        </w:rPr>
        <w:t>. Treatment modalities include both operative and nonoperative management. Conservative, nonoperative management typically consists of bowel rest, intravenous fluid rehydration, and nasogastric intubation</w:t>
      </w:r>
      <w:r w:rsidR="007D20B1" w:rsidRPr="007D1591">
        <w:rPr>
          <w:rFonts w:ascii="Book Antiqua" w:eastAsia="Book Antiqua" w:hAnsi="Book Antiqua" w:cs="Book Antiqua"/>
          <w:color w:val="000000"/>
          <w:vertAlign w:val="superscript"/>
        </w:rPr>
        <w:t>[</w:t>
      </w:r>
      <w:r w:rsidR="007D20B1" w:rsidRPr="007D1591">
        <w:rPr>
          <w:rFonts w:ascii="Book Antiqua" w:eastAsia="Book Antiqua" w:hAnsi="Book Antiqua" w:cs="Book Antiqua"/>
          <w:color w:val="000000"/>
          <w:szCs w:val="30"/>
          <w:vertAlign w:val="superscript"/>
        </w:rPr>
        <w:t>3]</w:t>
      </w:r>
      <w:r w:rsidRPr="007D1591">
        <w:rPr>
          <w:rFonts w:ascii="Book Antiqua" w:eastAsia="Book Antiqua" w:hAnsi="Book Antiqua" w:cs="Book Antiqua"/>
          <w:color w:val="000000"/>
        </w:rPr>
        <w:t>. While most SBOs resolve without surgical intervention, an estimated 24% of SBOs require emergency surgery</w:t>
      </w:r>
      <w:r w:rsidR="007D20B1" w:rsidRPr="007D1591">
        <w:rPr>
          <w:rFonts w:ascii="Book Antiqua" w:eastAsia="Book Antiqua" w:hAnsi="Book Antiqua" w:cs="Book Antiqua"/>
          <w:color w:val="000000"/>
          <w:vertAlign w:val="superscript"/>
        </w:rPr>
        <w:t>[</w:t>
      </w:r>
      <w:r w:rsidR="007D20B1" w:rsidRPr="007D1591">
        <w:rPr>
          <w:rFonts w:ascii="Book Antiqua" w:eastAsia="Book Antiqua" w:hAnsi="Book Antiqua" w:cs="Book Antiqua"/>
          <w:color w:val="000000"/>
          <w:szCs w:val="30"/>
          <w:vertAlign w:val="superscript"/>
        </w:rPr>
        <w:t>4]</w:t>
      </w:r>
      <w:r w:rsidRPr="007D1591">
        <w:rPr>
          <w:rFonts w:ascii="Book Antiqua" w:eastAsia="Book Antiqua" w:hAnsi="Book Antiqua" w:cs="Book Antiqua"/>
          <w:color w:val="000000"/>
        </w:rPr>
        <w:t>. Computed tomography (CT) scans remain a valuable tool to evaluate the etiology of the SBO as well as provide information to determine management strategies</w:t>
      </w:r>
      <w:r w:rsidR="007D20B1" w:rsidRPr="007D1591">
        <w:rPr>
          <w:rFonts w:ascii="Book Antiqua" w:eastAsia="Book Antiqua" w:hAnsi="Book Antiqua" w:cs="Book Antiqua"/>
          <w:color w:val="000000"/>
          <w:vertAlign w:val="superscript"/>
        </w:rPr>
        <w:t>[</w:t>
      </w:r>
      <w:r w:rsidR="007D20B1" w:rsidRPr="007D1591">
        <w:rPr>
          <w:rFonts w:ascii="Book Antiqua" w:eastAsia="Book Antiqua" w:hAnsi="Book Antiqua" w:cs="Book Antiqua"/>
          <w:color w:val="000000"/>
          <w:szCs w:val="30"/>
          <w:vertAlign w:val="superscript"/>
        </w:rPr>
        <w:t>5-7]</w:t>
      </w:r>
      <w:r w:rsidRPr="007D1591">
        <w:rPr>
          <w:rFonts w:ascii="Book Antiqua" w:eastAsia="Book Antiqua" w:hAnsi="Book Antiqua" w:cs="Book Antiqua"/>
          <w:color w:val="000000"/>
        </w:rPr>
        <w:t>.</w:t>
      </w:r>
    </w:p>
    <w:p w14:paraId="798E30CA" w14:textId="77777777" w:rsidR="00A77B3E" w:rsidRPr="007D1591" w:rsidRDefault="00A5004B" w:rsidP="00B05E27">
      <w:pPr>
        <w:snapToGrid w:val="0"/>
        <w:spacing w:line="360" w:lineRule="auto"/>
        <w:ind w:firstLineChars="100" w:firstLine="240"/>
        <w:jc w:val="both"/>
      </w:pPr>
      <w:r w:rsidRPr="007D1591">
        <w:rPr>
          <w:rFonts w:ascii="Book Antiqua" w:eastAsia="Book Antiqua" w:hAnsi="Book Antiqua" w:cs="Book Antiqua"/>
          <w:color w:val="000000"/>
        </w:rPr>
        <w:t>Bezoars are foreign bodies composed of undigested material that often persist in the gastrointestinal tract without causing obstructions</w:t>
      </w:r>
      <w:r w:rsidR="0063366E" w:rsidRPr="007D1591">
        <w:rPr>
          <w:rFonts w:ascii="Book Antiqua" w:eastAsia="Book Antiqua" w:hAnsi="Book Antiqua" w:cs="Book Antiqua"/>
          <w:color w:val="000000"/>
          <w:vertAlign w:val="superscript"/>
        </w:rPr>
        <w:t>[</w:t>
      </w:r>
      <w:r w:rsidR="0063366E" w:rsidRPr="007D1591">
        <w:rPr>
          <w:rFonts w:ascii="Book Antiqua" w:eastAsia="Book Antiqua" w:hAnsi="Book Antiqua" w:cs="Book Antiqua"/>
          <w:color w:val="000000"/>
          <w:szCs w:val="30"/>
          <w:vertAlign w:val="superscript"/>
        </w:rPr>
        <w:t>8]</w:t>
      </w:r>
      <w:r w:rsidRPr="007D1591">
        <w:rPr>
          <w:rFonts w:ascii="Book Antiqua" w:eastAsia="Book Antiqua" w:hAnsi="Book Antiqua" w:cs="Book Antiqua"/>
          <w:color w:val="000000"/>
        </w:rPr>
        <w:t>. In fact, bezoars are a relatively uncommon form of SBO, affecting less than 4% of all cases</w:t>
      </w:r>
      <w:r w:rsidR="0063366E" w:rsidRPr="007D1591">
        <w:rPr>
          <w:rFonts w:ascii="Book Antiqua" w:eastAsia="Book Antiqua" w:hAnsi="Book Antiqua" w:cs="Book Antiqua"/>
          <w:color w:val="000000"/>
          <w:vertAlign w:val="superscript"/>
        </w:rPr>
        <w:t>[</w:t>
      </w:r>
      <w:r w:rsidR="0063366E" w:rsidRPr="007D1591">
        <w:rPr>
          <w:rFonts w:ascii="Book Antiqua" w:eastAsia="Book Antiqua" w:hAnsi="Book Antiqua" w:cs="Book Antiqua"/>
          <w:color w:val="000000"/>
          <w:szCs w:val="30"/>
          <w:vertAlign w:val="superscript"/>
        </w:rPr>
        <w:t>9]</w:t>
      </w:r>
      <w:r w:rsidRPr="007D1591">
        <w:rPr>
          <w:rFonts w:ascii="Book Antiqua" w:eastAsia="Book Antiqua" w:hAnsi="Book Antiqua" w:cs="Book Antiqua"/>
          <w:color w:val="000000"/>
        </w:rPr>
        <w:t>. We are here presenting a case of a bezoar causing an acute SBO requiring operative intervention. This occurred shortly after a simultaneous liver-kidney transplant.  </w:t>
      </w:r>
    </w:p>
    <w:p w14:paraId="5EF2BA74" w14:textId="77777777" w:rsidR="00A77B3E" w:rsidRPr="007D1591" w:rsidRDefault="00A77B3E" w:rsidP="00B05E27">
      <w:pPr>
        <w:snapToGrid w:val="0"/>
        <w:spacing w:line="360" w:lineRule="auto"/>
        <w:jc w:val="both"/>
      </w:pPr>
    </w:p>
    <w:p w14:paraId="20E7E4C3" w14:textId="77777777" w:rsidR="00A77B3E" w:rsidRPr="007D1591" w:rsidRDefault="00A5004B" w:rsidP="00B05E27">
      <w:pPr>
        <w:snapToGrid w:val="0"/>
        <w:spacing w:line="360" w:lineRule="auto"/>
        <w:jc w:val="both"/>
      </w:pPr>
      <w:r w:rsidRPr="007D1591">
        <w:rPr>
          <w:rFonts w:ascii="Book Antiqua" w:eastAsia="Book Antiqua" w:hAnsi="Book Antiqua" w:cs="Book Antiqua"/>
          <w:b/>
          <w:caps/>
          <w:color w:val="000000"/>
          <w:u w:val="single"/>
        </w:rPr>
        <w:t>CASE PRESENTATION</w:t>
      </w:r>
    </w:p>
    <w:p w14:paraId="7B3FC089" w14:textId="77777777" w:rsidR="00A77B3E" w:rsidRPr="007D1591" w:rsidRDefault="00A5004B" w:rsidP="00B05E27">
      <w:pPr>
        <w:snapToGrid w:val="0"/>
        <w:spacing w:line="360" w:lineRule="auto"/>
        <w:jc w:val="both"/>
      </w:pPr>
      <w:r w:rsidRPr="007D1591">
        <w:rPr>
          <w:rFonts w:ascii="Book Antiqua" w:eastAsia="Book Antiqua" w:hAnsi="Book Antiqua" w:cs="Book Antiqua"/>
          <w:b/>
          <w:i/>
          <w:color w:val="000000"/>
        </w:rPr>
        <w:t>Chief complaints</w:t>
      </w:r>
    </w:p>
    <w:p w14:paraId="57CA54B5"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A 65-year-old Caucasian female developed persistent nausea and vomiting during her postoperative course approximately a week following a simultaneous liver-kidney transplantation.</w:t>
      </w:r>
    </w:p>
    <w:p w14:paraId="08209739" w14:textId="77777777" w:rsidR="00A77B3E" w:rsidRPr="007D1591" w:rsidRDefault="00A77B3E" w:rsidP="00B05E27">
      <w:pPr>
        <w:snapToGrid w:val="0"/>
        <w:spacing w:line="360" w:lineRule="auto"/>
        <w:jc w:val="both"/>
      </w:pPr>
    </w:p>
    <w:p w14:paraId="655615A9" w14:textId="77777777" w:rsidR="00A77B3E" w:rsidRPr="007D1591" w:rsidRDefault="00A5004B" w:rsidP="00B05E27">
      <w:pPr>
        <w:snapToGrid w:val="0"/>
        <w:spacing w:line="360" w:lineRule="auto"/>
        <w:jc w:val="both"/>
      </w:pPr>
      <w:r w:rsidRPr="007D1591">
        <w:rPr>
          <w:rFonts w:ascii="Book Antiqua" w:eastAsia="Book Antiqua" w:hAnsi="Book Antiqua" w:cs="Book Antiqua"/>
          <w:b/>
          <w:i/>
          <w:color w:val="000000"/>
        </w:rPr>
        <w:t>History of present illness</w:t>
      </w:r>
    </w:p>
    <w:p w14:paraId="3289D7D3"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Post-operative days 1 and 2 were notable for nausea and nonbilious emesis. Ondansetron was administered with gradual improvement and symptom resolution. About a week later, the patient developed worsening of nausea and vomiting with significant abdominal distension and obstipation.</w:t>
      </w:r>
    </w:p>
    <w:p w14:paraId="6D2994EA" w14:textId="77777777" w:rsidR="00A77B3E" w:rsidRPr="007D1591" w:rsidRDefault="00A77B3E" w:rsidP="00B05E27">
      <w:pPr>
        <w:snapToGrid w:val="0"/>
        <w:spacing w:line="360" w:lineRule="auto"/>
        <w:jc w:val="both"/>
      </w:pPr>
    </w:p>
    <w:p w14:paraId="6F42B7FC" w14:textId="77777777" w:rsidR="00A77B3E" w:rsidRPr="007D1591" w:rsidRDefault="00A5004B" w:rsidP="00B05E27">
      <w:pPr>
        <w:snapToGrid w:val="0"/>
        <w:spacing w:line="360" w:lineRule="auto"/>
        <w:jc w:val="both"/>
      </w:pPr>
      <w:r w:rsidRPr="007D1591">
        <w:rPr>
          <w:rFonts w:ascii="Book Antiqua" w:eastAsia="Book Antiqua" w:hAnsi="Book Antiqua" w:cs="Book Antiqua"/>
          <w:b/>
          <w:i/>
          <w:color w:val="000000"/>
        </w:rPr>
        <w:t>History of past illness</w:t>
      </w:r>
    </w:p>
    <w:p w14:paraId="6D993CCC"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 xml:space="preserve">The patient has a history of liver cirrhosis secondary to primary biliary cholangitis and subsequent end-stage renal disease. She also had a history of inflammatory bowel disease. She received simultaneous liver-kidney transplantation after being placed on the waiting list. Her model for end-stage liver disease score at the time of transplant was 25. The donor was a 62-year-old female who had an intraventricular hemorrhage and was declared brain dead. The liver enzymes were within normal limits, and the terminal creatinine was 0.66 mg/dL. The Kidney Donor Profile Index score was 87%. </w:t>
      </w:r>
    </w:p>
    <w:p w14:paraId="2ABE60DC" w14:textId="77777777" w:rsidR="00A77B3E" w:rsidRPr="007D1591" w:rsidRDefault="00A5004B" w:rsidP="00B05E27">
      <w:pPr>
        <w:snapToGrid w:val="0"/>
        <w:spacing w:line="360" w:lineRule="auto"/>
        <w:ind w:firstLineChars="100" w:firstLine="240"/>
        <w:jc w:val="both"/>
      </w:pPr>
      <w:r w:rsidRPr="007D1591">
        <w:rPr>
          <w:rFonts w:ascii="Book Antiqua" w:eastAsia="Book Antiqua" w:hAnsi="Book Antiqua" w:cs="Book Antiqua"/>
          <w:color w:val="000000"/>
        </w:rPr>
        <w:t>The transplantation operation was performed using a standard Chevron incision for the liver transplant. The biliary reconstruction was performed using standard duct-to-duct anastomosis. The incision was extended in a paramedian fashion on the right side to perform the kidney transplant. The recipient’s intraoperative course related to transplantation was uncomplicated.</w:t>
      </w:r>
    </w:p>
    <w:p w14:paraId="6496B069" w14:textId="77777777" w:rsidR="00A77B3E" w:rsidRPr="007D1591" w:rsidRDefault="00A77B3E" w:rsidP="00B05E27">
      <w:pPr>
        <w:snapToGrid w:val="0"/>
        <w:spacing w:line="360" w:lineRule="auto"/>
        <w:jc w:val="both"/>
      </w:pPr>
    </w:p>
    <w:p w14:paraId="03FA99D8" w14:textId="77777777" w:rsidR="00A77B3E" w:rsidRPr="007D1591" w:rsidRDefault="00A5004B" w:rsidP="00B05E27">
      <w:pPr>
        <w:snapToGrid w:val="0"/>
        <w:spacing w:line="360" w:lineRule="auto"/>
        <w:jc w:val="both"/>
      </w:pPr>
      <w:r w:rsidRPr="007D1591">
        <w:rPr>
          <w:rFonts w:ascii="Book Antiqua" w:eastAsia="Book Antiqua" w:hAnsi="Book Antiqua" w:cs="Book Antiqua"/>
          <w:b/>
          <w:i/>
          <w:color w:val="000000"/>
        </w:rPr>
        <w:t>Laboratory examinations</w:t>
      </w:r>
    </w:p>
    <w:p w14:paraId="3FECA3F3"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Laboratory examination results were within normal limits following a simultaneous liver-kidney transplantation.</w:t>
      </w:r>
    </w:p>
    <w:p w14:paraId="745A68C2" w14:textId="77777777" w:rsidR="00A77B3E" w:rsidRPr="007D1591" w:rsidRDefault="00A77B3E" w:rsidP="00B05E27">
      <w:pPr>
        <w:snapToGrid w:val="0"/>
        <w:spacing w:line="360" w:lineRule="auto"/>
        <w:jc w:val="both"/>
      </w:pPr>
    </w:p>
    <w:p w14:paraId="4B71BF41" w14:textId="77777777" w:rsidR="00A77B3E" w:rsidRPr="007D1591" w:rsidRDefault="00A5004B" w:rsidP="00B05E27">
      <w:pPr>
        <w:snapToGrid w:val="0"/>
        <w:spacing w:line="360" w:lineRule="auto"/>
        <w:jc w:val="both"/>
      </w:pPr>
      <w:r w:rsidRPr="007D1591">
        <w:rPr>
          <w:rFonts w:ascii="Book Antiqua" w:eastAsia="Book Antiqua" w:hAnsi="Book Antiqua" w:cs="Book Antiqua"/>
          <w:b/>
          <w:i/>
          <w:color w:val="000000"/>
        </w:rPr>
        <w:t>Imaging examinations</w:t>
      </w:r>
    </w:p>
    <w:p w14:paraId="65C3064A"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Computed tomography (CT) imaging showed a marked abnormal dilation of multiple small bowel loops with a distinct transition point. This was suggestive of a small bowel obstruction (Figure 1).</w:t>
      </w:r>
    </w:p>
    <w:p w14:paraId="05D53162" w14:textId="77777777" w:rsidR="00A77B3E" w:rsidRPr="007D1591" w:rsidRDefault="00A77B3E" w:rsidP="00B05E27">
      <w:pPr>
        <w:snapToGrid w:val="0"/>
        <w:spacing w:line="360" w:lineRule="auto"/>
        <w:jc w:val="both"/>
      </w:pPr>
    </w:p>
    <w:p w14:paraId="5ED430AD" w14:textId="77777777" w:rsidR="00A77B3E" w:rsidRPr="007D1591" w:rsidRDefault="00A5004B" w:rsidP="00B05E27">
      <w:pPr>
        <w:snapToGrid w:val="0"/>
        <w:spacing w:line="360" w:lineRule="auto"/>
        <w:jc w:val="both"/>
      </w:pPr>
      <w:r w:rsidRPr="007D1591">
        <w:rPr>
          <w:rFonts w:ascii="Book Antiqua" w:eastAsia="Book Antiqua" w:hAnsi="Book Antiqua" w:cs="Book Antiqua"/>
          <w:b/>
          <w:caps/>
          <w:color w:val="000000"/>
          <w:u w:val="single"/>
        </w:rPr>
        <w:t>FINAL DIAGNOSIS</w:t>
      </w:r>
    </w:p>
    <w:p w14:paraId="0D5C3FE8"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Upon review of radiographic imaging, a small bowel obstruction was suspected that required immediate operative intervention.</w:t>
      </w:r>
    </w:p>
    <w:p w14:paraId="270C5FB4" w14:textId="77777777" w:rsidR="00A77B3E" w:rsidRPr="007D1591" w:rsidRDefault="00A77B3E" w:rsidP="00B05E27">
      <w:pPr>
        <w:snapToGrid w:val="0"/>
        <w:spacing w:line="360" w:lineRule="auto"/>
        <w:jc w:val="both"/>
      </w:pPr>
    </w:p>
    <w:p w14:paraId="20C04D9D" w14:textId="77777777" w:rsidR="00A77B3E" w:rsidRPr="007D1591" w:rsidRDefault="00A5004B" w:rsidP="00B05E27">
      <w:pPr>
        <w:snapToGrid w:val="0"/>
        <w:spacing w:line="360" w:lineRule="auto"/>
        <w:jc w:val="both"/>
      </w:pPr>
      <w:r w:rsidRPr="007D1591">
        <w:rPr>
          <w:rFonts w:ascii="Book Antiqua" w:eastAsia="Book Antiqua" w:hAnsi="Book Antiqua" w:cs="Book Antiqua"/>
          <w:b/>
          <w:caps/>
          <w:color w:val="000000"/>
          <w:u w:val="single"/>
        </w:rPr>
        <w:t>TREATMENT</w:t>
      </w:r>
    </w:p>
    <w:p w14:paraId="0C6E55FB"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An exploratory laparotomy was performed. After examining the whole small and large intestine, a foreign body was found approximately 30 cm from the ileocecal valve. The bowel was subsequently opened, and the foreign body was identified as a bezoar with hair follicles and old digestive contents (Figure 2). The bezoar was extracted, and the bowel was closed using a side-to-side anastomosis. Pathology was notable for mild serosal reactive tissue without chronic features to suggest inflammatory bowel disease.</w:t>
      </w:r>
    </w:p>
    <w:p w14:paraId="7FE53EC5" w14:textId="77777777" w:rsidR="00A77B3E" w:rsidRPr="007D1591" w:rsidRDefault="00A77B3E" w:rsidP="00B05E27">
      <w:pPr>
        <w:snapToGrid w:val="0"/>
        <w:spacing w:line="360" w:lineRule="auto"/>
        <w:jc w:val="both"/>
      </w:pPr>
    </w:p>
    <w:p w14:paraId="18A5FB70" w14:textId="77777777" w:rsidR="00A77B3E" w:rsidRPr="007D1591" w:rsidRDefault="00A5004B" w:rsidP="00B05E27">
      <w:pPr>
        <w:snapToGrid w:val="0"/>
        <w:spacing w:line="360" w:lineRule="auto"/>
        <w:jc w:val="both"/>
      </w:pPr>
      <w:r w:rsidRPr="007D1591">
        <w:rPr>
          <w:rFonts w:ascii="Book Antiqua" w:eastAsia="Book Antiqua" w:hAnsi="Book Antiqua" w:cs="Book Antiqua"/>
          <w:b/>
          <w:caps/>
          <w:color w:val="000000"/>
          <w:u w:val="single"/>
        </w:rPr>
        <w:t>OUTCOME AND FOLLOW-UP</w:t>
      </w:r>
    </w:p>
    <w:p w14:paraId="32ABB282"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There were no known intraoperative complications. Following the removal of the bezoar, the patient demonstrated rapid clinical improvement with resolution of nausea, emesis, and progress in bowel motility. Patient remains asymptomatic with no evidence of bowel obstruction or food intolerance 10 mo after exploration.</w:t>
      </w:r>
    </w:p>
    <w:p w14:paraId="7FEBEF41" w14:textId="77777777" w:rsidR="00A77B3E" w:rsidRPr="007D1591" w:rsidRDefault="00A77B3E" w:rsidP="00B05E27">
      <w:pPr>
        <w:snapToGrid w:val="0"/>
        <w:spacing w:line="360" w:lineRule="auto"/>
        <w:jc w:val="both"/>
      </w:pPr>
    </w:p>
    <w:p w14:paraId="19467C23" w14:textId="77777777" w:rsidR="00A77B3E" w:rsidRPr="007D1591" w:rsidRDefault="00A5004B" w:rsidP="00B05E27">
      <w:pPr>
        <w:snapToGrid w:val="0"/>
        <w:spacing w:line="360" w:lineRule="auto"/>
        <w:jc w:val="both"/>
      </w:pPr>
      <w:r w:rsidRPr="007D1591">
        <w:rPr>
          <w:rFonts w:ascii="Book Antiqua" w:eastAsia="Book Antiqua" w:hAnsi="Book Antiqua" w:cs="Book Antiqua"/>
          <w:b/>
          <w:caps/>
          <w:color w:val="000000"/>
          <w:u w:val="single"/>
        </w:rPr>
        <w:t>DISCUSSION</w:t>
      </w:r>
    </w:p>
    <w:p w14:paraId="4015175E"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Postoperative bowel obstruction is not an uncommon issue. The most common cause of bowel obstruction is adhesive disease</w:t>
      </w:r>
      <w:r w:rsidR="00093E2B" w:rsidRPr="007D1591">
        <w:rPr>
          <w:rFonts w:ascii="Book Antiqua" w:eastAsia="Book Antiqua" w:hAnsi="Book Antiqua" w:cs="Book Antiqua"/>
          <w:color w:val="000000"/>
          <w:vertAlign w:val="superscript"/>
        </w:rPr>
        <w:t>[</w:t>
      </w:r>
      <w:r w:rsidR="00093E2B" w:rsidRPr="007D1591">
        <w:rPr>
          <w:rFonts w:ascii="Book Antiqua" w:eastAsia="Book Antiqua" w:hAnsi="Book Antiqua" w:cs="Book Antiqua"/>
          <w:color w:val="000000"/>
          <w:szCs w:val="30"/>
          <w:vertAlign w:val="superscript"/>
        </w:rPr>
        <w:t>10]</w:t>
      </w:r>
      <w:r w:rsidRPr="007D1591">
        <w:rPr>
          <w:rFonts w:ascii="Book Antiqua" w:eastAsia="Book Antiqua" w:hAnsi="Book Antiqua" w:cs="Book Antiqua"/>
          <w:color w:val="000000"/>
        </w:rPr>
        <w:t>. Foreign body related obstruction is more common in pediatric populations</w:t>
      </w:r>
      <w:r w:rsidR="00093E2B" w:rsidRPr="007D1591">
        <w:rPr>
          <w:rFonts w:ascii="Book Antiqua" w:eastAsia="Book Antiqua" w:hAnsi="Book Antiqua" w:cs="Book Antiqua"/>
          <w:color w:val="000000"/>
          <w:vertAlign w:val="superscript"/>
        </w:rPr>
        <w:t>[</w:t>
      </w:r>
      <w:r w:rsidR="00093E2B" w:rsidRPr="007D1591">
        <w:rPr>
          <w:rFonts w:ascii="Book Antiqua" w:eastAsia="Book Antiqua" w:hAnsi="Book Antiqua" w:cs="Book Antiqua"/>
          <w:color w:val="000000"/>
          <w:szCs w:val="30"/>
          <w:vertAlign w:val="superscript"/>
        </w:rPr>
        <w:t>11]</w:t>
      </w:r>
      <w:r w:rsidRPr="007D1591">
        <w:rPr>
          <w:rFonts w:ascii="Book Antiqua" w:eastAsia="Book Antiqua" w:hAnsi="Book Antiqua" w:cs="Book Antiqua"/>
          <w:color w:val="000000"/>
        </w:rPr>
        <w:t>. It is however not described as a common cause in adults, especially in the immediate postoperative period</w:t>
      </w:r>
      <w:r w:rsidR="00093E2B" w:rsidRPr="007D1591">
        <w:rPr>
          <w:rFonts w:ascii="Book Antiqua" w:eastAsia="Book Antiqua" w:hAnsi="Book Antiqua" w:cs="Book Antiqua"/>
          <w:color w:val="000000"/>
          <w:vertAlign w:val="superscript"/>
        </w:rPr>
        <w:t>[</w:t>
      </w:r>
      <w:r w:rsidR="00093E2B" w:rsidRPr="007D1591">
        <w:rPr>
          <w:rFonts w:ascii="Book Antiqua" w:eastAsia="Book Antiqua" w:hAnsi="Book Antiqua" w:cs="Book Antiqua"/>
          <w:color w:val="000000"/>
          <w:szCs w:val="30"/>
          <w:vertAlign w:val="superscript"/>
        </w:rPr>
        <w:t>12]</w:t>
      </w:r>
      <w:r w:rsidRPr="007D1591">
        <w:rPr>
          <w:rFonts w:ascii="Book Antiqua" w:eastAsia="Book Antiqua" w:hAnsi="Book Antiqua" w:cs="Book Antiqua"/>
          <w:color w:val="000000"/>
        </w:rPr>
        <w:t>. In our case, the patient was practically not eating before the symptoms of bowel obstruction became apparent. She actually started having evidence of bowel function and then regressed. Workup in these scenarios should proceed following standard of care for a mechanical obstruction. CT scans are typically very sensitive in indicating the area of obstruction and suggesting a possible partial obstruction, which usually resolves spontaneously. In this case, there was clearly a complete mechanical obstruction. Adhesive disease was the presumed diagnosis, but the foreign body bezoar was the unusual incidental finding.</w:t>
      </w:r>
    </w:p>
    <w:p w14:paraId="042E4406" w14:textId="77777777" w:rsidR="00A77B3E" w:rsidRPr="007D1591" w:rsidRDefault="00A5004B" w:rsidP="00B05E27">
      <w:pPr>
        <w:snapToGrid w:val="0"/>
        <w:spacing w:line="360" w:lineRule="auto"/>
        <w:ind w:firstLineChars="100" w:firstLine="240"/>
        <w:jc w:val="both"/>
      </w:pPr>
      <w:r w:rsidRPr="007D1591">
        <w:rPr>
          <w:rFonts w:ascii="Book Antiqua" w:eastAsia="Book Antiqua" w:hAnsi="Book Antiqua" w:cs="Book Antiqua"/>
          <w:color w:val="000000"/>
        </w:rPr>
        <w:t>Bezoars are commonly separated into 4 categories based on their composition: phytobezoars (fruit or vegetable content), trichobezoars (hair), lactobezoars (milk), and pharmacobezoars (medication)</w:t>
      </w:r>
      <w:r w:rsidR="00071C76" w:rsidRPr="007D1591">
        <w:rPr>
          <w:rFonts w:ascii="Book Antiqua" w:eastAsia="Book Antiqua" w:hAnsi="Book Antiqua" w:cs="Book Antiqua"/>
          <w:color w:val="000000"/>
          <w:vertAlign w:val="superscript"/>
        </w:rPr>
        <w:t>[</w:t>
      </w:r>
      <w:r w:rsidR="00071C76" w:rsidRPr="007D1591">
        <w:rPr>
          <w:rFonts w:ascii="Book Antiqua" w:eastAsia="Book Antiqua" w:hAnsi="Book Antiqua" w:cs="Book Antiqua"/>
          <w:color w:val="000000"/>
          <w:szCs w:val="30"/>
          <w:vertAlign w:val="superscript"/>
        </w:rPr>
        <w:t>13]</w:t>
      </w:r>
      <w:r w:rsidRPr="007D1591">
        <w:rPr>
          <w:rFonts w:ascii="Book Antiqua" w:eastAsia="Book Antiqua" w:hAnsi="Book Antiqua" w:cs="Book Antiqua"/>
          <w:color w:val="000000"/>
        </w:rPr>
        <w:t>. Due to the narrow passage between the pylorus and small intestine, bezoars can cause an acute obstruction typically proximal to the ileocecal valve</w:t>
      </w:r>
      <w:r w:rsidR="00071C76" w:rsidRPr="007D1591">
        <w:rPr>
          <w:rFonts w:ascii="Book Antiqua" w:eastAsia="Book Antiqua" w:hAnsi="Book Antiqua" w:cs="Book Antiqua"/>
          <w:color w:val="000000"/>
          <w:vertAlign w:val="superscript"/>
        </w:rPr>
        <w:t>[</w:t>
      </w:r>
      <w:r w:rsidR="00071C76" w:rsidRPr="007D1591">
        <w:rPr>
          <w:rFonts w:ascii="Book Antiqua" w:eastAsia="Book Antiqua" w:hAnsi="Book Antiqua" w:cs="Book Antiqua"/>
          <w:color w:val="000000"/>
          <w:szCs w:val="30"/>
          <w:vertAlign w:val="superscript"/>
        </w:rPr>
        <w:t>14]</w:t>
      </w:r>
      <w:r w:rsidRPr="007D1591">
        <w:rPr>
          <w:rFonts w:ascii="Book Antiqua" w:eastAsia="Book Antiqua" w:hAnsi="Book Antiqua" w:cs="Book Antiqua"/>
          <w:color w:val="000000"/>
        </w:rPr>
        <w:t>. Trichobezoars are commonly described in children with the most extreme cases often attributed to Rapunzel syndrome</w:t>
      </w:r>
      <w:r w:rsidR="00937257" w:rsidRPr="007D1591">
        <w:rPr>
          <w:rFonts w:ascii="Book Antiqua" w:eastAsia="Book Antiqua" w:hAnsi="Book Antiqua" w:cs="Book Antiqua"/>
          <w:color w:val="000000"/>
          <w:vertAlign w:val="superscript"/>
        </w:rPr>
        <w:t>[</w:t>
      </w:r>
      <w:r w:rsidR="00937257" w:rsidRPr="007D1591">
        <w:rPr>
          <w:rFonts w:ascii="Book Antiqua" w:eastAsia="Book Antiqua" w:hAnsi="Book Antiqua" w:cs="Book Antiqua"/>
          <w:color w:val="000000"/>
          <w:szCs w:val="30"/>
          <w:vertAlign w:val="superscript"/>
        </w:rPr>
        <w:t>15]</w:t>
      </w:r>
      <w:r w:rsidRPr="007D1591">
        <w:rPr>
          <w:rFonts w:ascii="Book Antiqua" w:eastAsia="Book Antiqua" w:hAnsi="Book Antiqua" w:cs="Book Antiqua"/>
          <w:color w:val="000000"/>
        </w:rPr>
        <w:t>. Adult cases are uncommon and sparsely reported</w:t>
      </w:r>
      <w:r w:rsidR="00937257" w:rsidRPr="007D1591">
        <w:rPr>
          <w:rFonts w:ascii="Book Antiqua" w:eastAsia="Book Antiqua" w:hAnsi="Book Antiqua" w:cs="Book Antiqua"/>
          <w:color w:val="000000"/>
          <w:vertAlign w:val="superscript"/>
        </w:rPr>
        <w:t>[</w:t>
      </w:r>
      <w:r w:rsidR="00937257" w:rsidRPr="007D1591">
        <w:rPr>
          <w:rFonts w:ascii="Book Antiqua" w:eastAsia="Book Antiqua" w:hAnsi="Book Antiqua" w:cs="Book Antiqua"/>
          <w:color w:val="000000"/>
          <w:szCs w:val="30"/>
          <w:vertAlign w:val="superscript"/>
        </w:rPr>
        <w:t>16]</w:t>
      </w:r>
      <w:r w:rsidRPr="007D1591">
        <w:rPr>
          <w:rFonts w:ascii="Book Antiqua" w:eastAsia="Book Antiqua" w:hAnsi="Book Antiqua" w:cs="Book Antiqua"/>
          <w:color w:val="000000"/>
        </w:rPr>
        <w:t xml:space="preserve">. Gross pathological analysis of the bezoar specimen showed hair follicles present; however, a definite diagnosis of a trichobezoar was not reached. </w:t>
      </w:r>
    </w:p>
    <w:p w14:paraId="7DF4499B" w14:textId="77777777" w:rsidR="00A77B3E" w:rsidRPr="007D1591" w:rsidRDefault="00A5004B" w:rsidP="00B05E27">
      <w:pPr>
        <w:snapToGrid w:val="0"/>
        <w:spacing w:line="360" w:lineRule="auto"/>
        <w:ind w:firstLineChars="100" w:firstLine="240"/>
        <w:jc w:val="both"/>
      </w:pPr>
      <w:r w:rsidRPr="007D1591">
        <w:rPr>
          <w:rFonts w:ascii="Book Antiqua" w:eastAsia="Book Antiqua" w:hAnsi="Book Antiqua" w:cs="Book Antiqua"/>
          <w:color w:val="000000"/>
        </w:rPr>
        <w:t>Limited reports exist about SBOs caused by bezoars in post-transplant settings. Schwarzenberg and colleagues discuss the management gastric bezoars after pediatric liver transplantation in a case series of 3 patients</w:t>
      </w:r>
      <w:r w:rsidR="00697A52" w:rsidRPr="007D1591">
        <w:rPr>
          <w:rFonts w:ascii="Book Antiqua" w:eastAsia="Book Antiqua" w:hAnsi="Book Antiqua" w:cs="Book Antiqua"/>
          <w:color w:val="000000"/>
          <w:vertAlign w:val="superscript"/>
        </w:rPr>
        <w:t>[</w:t>
      </w:r>
      <w:r w:rsidR="00697A52" w:rsidRPr="007D1591">
        <w:rPr>
          <w:rFonts w:ascii="Book Antiqua" w:eastAsia="Book Antiqua" w:hAnsi="Book Antiqua" w:cs="Book Antiqua"/>
          <w:color w:val="000000"/>
          <w:szCs w:val="30"/>
          <w:vertAlign w:val="superscript"/>
        </w:rPr>
        <w:t>17]</w:t>
      </w:r>
      <w:r w:rsidRPr="007D1591">
        <w:rPr>
          <w:rFonts w:ascii="Book Antiqua" w:eastAsia="Book Antiqua" w:hAnsi="Book Antiqua" w:cs="Book Antiqua"/>
          <w:color w:val="000000"/>
        </w:rPr>
        <w:t>. Herein we present the management of an adult patient with SBO caused by a bezoar a week following a simultaneous liver-kidney transplantation.</w:t>
      </w:r>
    </w:p>
    <w:p w14:paraId="1FB8BEB0" w14:textId="77777777" w:rsidR="00A77B3E" w:rsidRPr="007D1591" w:rsidRDefault="00A77B3E" w:rsidP="00B05E27">
      <w:pPr>
        <w:snapToGrid w:val="0"/>
        <w:spacing w:line="360" w:lineRule="auto"/>
        <w:jc w:val="both"/>
      </w:pPr>
    </w:p>
    <w:p w14:paraId="0D7837B0" w14:textId="77777777" w:rsidR="00A77B3E" w:rsidRPr="007D1591" w:rsidRDefault="00A5004B" w:rsidP="00B05E27">
      <w:pPr>
        <w:snapToGrid w:val="0"/>
        <w:spacing w:line="360" w:lineRule="auto"/>
        <w:jc w:val="both"/>
      </w:pPr>
      <w:r w:rsidRPr="007D1591">
        <w:rPr>
          <w:rFonts w:ascii="Book Antiqua" w:eastAsia="Book Antiqua" w:hAnsi="Book Antiqua" w:cs="Book Antiqua"/>
          <w:b/>
          <w:caps/>
          <w:color w:val="000000"/>
          <w:u w:val="single"/>
        </w:rPr>
        <w:t>CONCLUSION</w:t>
      </w:r>
    </w:p>
    <w:p w14:paraId="57FD14EE"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shd w:val="clear" w:color="auto" w:fill="FEFEFE"/>
        </w:rPr>
        <w:t xml:space="preserve">Liver transplantation is a necessary major intra-abdominal operation for ESLD patients. Complications occur that often require surgical intervention. In a post-transplant setting, reoperation is in a hostile setting that is fraught with risks and altered anatomy. The management of an adult with an SBO caused by a bezoar post-transplant is unreported, particularly immediately following the transplantation. This case discusses a post-operative anomaly that cannot be discounted for adult transplant recipients following a large intra-abdominal operation. </w:t>
      </w:r>
    </w:p>
    <w:p w14:paraId="2318DEEE" w14:textId="77777777" w:rsidR="00A77B3E" w:rsidRPr="007D1591" w:rsidRDefault="00A77B3E" w:rsidP="00B05E27">
      <w:pPr>
        <w:snapToGrid w:val="0"/>
        <w:spacing w:line="360" w:lineRule="auto"/>
        <w:jc w:val="both"/>
      </w:pPr>
    </w:p>
    <w:p w14:paraId="0C2D1C97" w14:textId="77777777" w:rsidR="00A77B3E" w:rsidRPr="007D1591" w:rsidRDefault="00A5004B" w:rsidP="00B05E27">
      <w:pPr>
        <w:snapToGrid w:val="0"/>
        <w:spacing w:line="360" w:lineRule="auto"/>
        <w:jc w:val="both"/>
        <w:rPr>
          <w:rFonts w:ascii="Book Antiqua" w:eastAsia="Book Antiqua" w:hAnsi="Book Antiqua" w:cs="Book Antiqua"/>
          <w:b/>
          <w:color w:val="000000"/>
        </w:rPr>
      </w:pPr>
      <w:r w:rsidRPr="007D1591">
        <w:rPr>
          <w:rFonts w:ascii="Book Antiqua" w:eastAsia="Book Antiqua" w:hAnsi="Book Antiqua" w:cs="Book Antiqua"/>
          <w:b/>
          <w:color w:val="000000"/>
        </w:rPr>
        <w:t>REFERENCES</w:t>
      </w:r>
    </w:p>
    <w:p w14:paraId="39AE9550"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bookmarkStart w:id="3" w:name="OLE_LINK2054"/>
      <w:bookmarkStart w:id="4" w:name="OLE_LINK2055"/>
      <w:r w:rsidRPr="007D1591">
        <w:rPr>
          <w:rFonts w:ascii="Book Antiqua" w:eastAsia="宋体" w:hAnsi="Book Antiqua"/>
          <w:kern w:val="2"/>
          <w:lang w:eastAsia="zh-CN"/>
        </w:rPr>
        <w:t xml:space="preserve">1 </w:t>
      </w:r>
      <w:r w:rsidRPr="007D1591">
        <w:rPr>
          <w:rFonts w:ascii="Book Antiqua" w:eastAsia="宋体" w:hAnsi="Book Antiqua"/>
          <w:b/>
          <w:kern w:val="2"/>
          <w:lang w:eastAsia="zh-CN"/>
        </w:rPr>
        <w:t>Menzies D</w:t>
      </w:r>
      <w:r w:rsidRPr="007D1591">
        <w:rPr>
          <w:rFonts w:ascii="Book Antiqua" w:eastAsia="宋体" w:hAnsi="Book Antiqua"/>
          <w:kern w:val="2"/>
          <w:lang w:eastAsia="zh-CN"/>
        </w:rPr>
        <w:t xml:space="preserve">, Ellis H. Intestinal obstruction from adhesions--how big is the problem? </w:t>
      </w:r>
      <w:r w:rsidRPr="007D1591">
        <w:rPr>
          <w:rFonts w:ascii="Book Antiqua" w:eastAsia="宋体" w:hAnsi="Book Antiqua"/>
          <w:i/>
          <w:kern w:val="2"/>
          <w:lang w:eastAsia="zh-CN"/>
        </w:rPr>
        <w:t>Ann R Coll Surg Engl</w:t>
      </w:r>
      <w:r w:rsidRPr="007D1591">
        <w:rPr>
          <w:rFonts w:ascii="Book Antiqua" w:eastAsia="宋体" w:hAnsi="Book Antiqua"/>
          <w:kern w:val="2"/>
          <w:lang w:eastAsia="zh-CN"/>
        </w:rPr>
        <w:t xml:space="preserve"> 1990; </w:t>
      </w:r>
      <w:r w:rsidRPr="007D1591">
        <w:rPr>
          <w:rFonts w:ascii="Book Antiqua" w:eastAsia="宋体" w:hAnsi="Book Antiqua"/>
          <w:b/>
          <w:kern w:val="2"/>
          <w:lang w:eastAsia="zh-CN"/>
        </w:rPr>
        <w:t>72</w:t>
      </w:r>
      <w:r w:rsidRPr="007D1591">
        <w:rPr>
          <w:rFonts w:ascii="Book Antiqua" w:eastAsia="宋体" w:hAnsi="Book Antiqua"/>
          <w:kern w:val="2"/>
          <w:lang w:eastAsia="zh-CN"/>
        </w:rPr>
        <w:t>: 60-63 [PMID: 2301905]</w:t>
      </w:r>
    </w:p>
    <w:p w14:paraId="79A2EA56"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2 </w:t>
      </w:r>
      <w:r w:rsidRPr="007D1591">
        <w:rPr>
          <w:rFonts w:ascii="Book Antiqua" w:eastAsia="宋体" w:hAnsi="Book Antiqua"/>
          <w:b/>
          <w:kern w:val="2"/>
          <w:lang w:eastAsia="zh-CN"/>
        </w:rPr>
        <w:t>Duron JJ</w:t>
      </w:r>
      <w:r w:rsidRPr="007D1591">
        <w:rPr>
          <w:rFonts w:ascii="Book Antiqua" w:eastAsia="宋体" w:hAnsi="Book Antiqua"/>
          <w:kern w:val="2"/>
          <w:lang w:eastAsia="zh-CN"/>
        </w:rPr>
        <w:t xml:space="preserve">, Silva NJ, du Montcel ST, Berger A, Muscari F, Hennet H, Veyrieres M, Hay JM. Adhesive postoperative small bowel obstruction: incidence and risk factors of recurrence after surgical treatment: a multicenter prospective study. </w:t>
      </w:r>
      <w:r w:rsidRPr="007D1591">
        <w:rPr>
          <w:rFonts w:ascii="Book Antiqua" w:eastAsia="宋体" w:hAnsi="Book Antiqua"/>
          <w:i/>
          <w:kern w:val="2"/>
          <w:lang w:eastAsia="zh-CN"/>
        </w:rPr>
        <w:t>Ann Surg</w:t>
      </w:r>
      <w:r w:rsidRPr="007D1591">
        <w:rPr>
          <w:rFonts w:ascii="Book Antiqua" w:eastAsia="宋体" w:hAnsi="Book Antiqua"/>
          <w:kern w:val="2"/>
          <w:lang w:eastAsia="zh-CN"/>
        </w:rPr>
        <w:t xml:space="preserve"> 2006; </w:t>
      </w:r>
      <w:r w:rsidRPr="007D1591">
        <w:rPr>
          <w:rFonts w:ascii="Book Antiqua" w:eastAsia="宋体" w:hAnsi="Book Antiqua"/>
          <w:b/>
          <w:kern w:val="2"/>
          <w:lang w:eastAsia="zh-CN"/>
        </w:rPr>
        <w:t>244</w:t>
      </w:r>
      <w:r w:rsidRPr="007D1591">
        <w:rPr>
          <w:rFonts w:ascii="Book Antiqua" w:eastAsia="宋体" w:hAnsi="Book Antiqua"/>
          <w:kern w:val="2"/>
          <w:lang w:eastAsia="zh-CN"/>
        </w:rPr>
        <w:t>: 750-757 [PMID: 17060768 DOI: 10.1097/01.sla.0000225097.60142.68]</w:t>
      </w:r>
    </w:p>
    <w:p w14:paraId="7A04E1FF"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3 </w:t>
      </w:r>
      <w:r w:rsidRPr="007D1591">
        <w:rPr>
          <w:rFonts w:ascii="Book Antiqua" w:eastAsia="宋体" w:hAnsi="Book Antiqua"/>
          <w:b/>
          <w:kern w:val="2"/>
          <w:lang w:eastAsia="zh-CN"/>
        </w:rPr>
        <w:t>Kuehn F</w:t>
      </w:r>
      <w:r w:rsidRPr="007D1591">
        <w:rPr>
          <w:rFonts w:ascii="Book Antiqua" w:eastAsia="宋体" w:hAnsi="Book Antiqua"/>
          <w:kern w:val="2"/>
          <w:lang w:eastAsia="zh-CN"/>
        </w:rPr>
        <w:t xml:space="preserve">, Weinrich M, Ehmann S, Kloker K, Pergolini I, Klar E. Defining the Need for Surgery in Small-Bowel Obstruction. </w:t>
      </w:r>
      <w:r w:rsidRPr="007D1591">
        <w:rPr>
          <w:rFonts w:ascii="Book Antiqua" w:eastAsia="宋体" w:hAnsi="Book Antiqua"/>
          <w:i/>
          <w:kern w:val="2"/>
          <w:lang w:eastAsia="zh-CN"/>
        </w:rPr>
        <w:t>J Gastrointest Surg</w:t>
      </w:r>
      <w:r w:rsidRPr="007D1591">
        <w:rPr>
          <w:rFonts w:ascii="Book Antiqua" w:eastAsia="宋体" w:hAnsi="Book Antiqua"/>
          <w:kern w:val="2"/>
          <w:lang w:eastAsia="zh-CN"/>
        </w:rPr>
        <w:t xml:space="preserve"> 2017; </w:t>
      </w:r>
      <w:r w:rsidRPr="007D1591">
        <w:rPr>
          <w:rFonts w:ascii="Book Antiqua" w:eastAsia="宋体" w:hAnsi="Book Antiqua"/>
          <w:b/>
          <w:kern w:val="2"/>
          <w:lang w:eastAsia="zh-CN"/>
        </w:rPr>
        <w:t>21</w:t>
      </w:r>
      <w:r w:rsidRPr="007D1591">
        <w:rPr>
          <w:rFonts w:ascii="Book Antiqua" w:eastAsia="宋体" w:hAnsi="Book Antiqua"/>
          <w:kern w:val="2"/>
          <w:lang w:eastAsia="zh-CN"/>
        </w:rPr>
        <w:t>: 1136-1141 [PMID: 28409293 DOI: 10.1007/s11605-017-3418-x]</w:t>
      </w:r>
    </w:p>
    <w:p w14:paraId="285EDE1D"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4 </w:t>
      </w:r>
      <w:r w:rsidRPr="007D1591">
        <w:rPr>
          <w:rFonts w:ascii="Book Antiqua" w:eastAsia="宋体" w:hAnsi="Book Antiqua"/>
          <w:b/>
          <w:kern w:val="2"/>
          <w:lang w:eastAsia="zh-CN"/>
        </w:rPr>
        <w:t>Foster NM</w:t>
      </w:r>
      <w:r w:rsidRPr="007D1591">
        <w:rPr>
          <w:rFonts w:ascii="Book Antiqua" w:eastAsia="宋体" w:hAnsi="Book Antiqua"/>
          <w:kern w:val="2"/>
          <w:lang w:eastAsia="zh-CN"/>
        </w:rPr>
        <w:t xml:space="preserve">, McGory ML, Zingmond DS, Ko CY. Small bowel obstruction: a population-based appraisal. </w:t>
      </w:r>
      <w:r w:rsidRPr="007D1591">
        <w:rPr>
          <w:rFonts w:ascii="Book Antiqua" w:eastAsia="宋体" w:hAnsi="Book Antiqua"/>
          <w:i/>
          <w:kern w:val="2"/>
          <w:lang w:eastAsia="zh-CN"/>
        </w:rPr>
        <w:t>J Am Coll Surg</w:t>
      </w:r>
      <w:r w:rsidRPr="007D1591">
        <w:rPr>
          <w:rFonts w:ascii="Book Antiqua" w:eastAsia="宋体" w:hAnsi="Book Antiqua"/>
          <w:kern w:val="2"/>
          <w:lang w:eastAsia="zh-CN"/>
        </w:rPr>
        <w:t xml:space="preserve"> 2006; </w:t>
      </w:r>
      <w:r w:rsidRPr="007D1591">
        <w:rPr>
          <w:rFonts w:ascii="Book Antiqua" w:eastAsia="宋体" w:hAnsi="Book Antiqua"/>
          <w:b/>
          <w:kern w:val="2"/>
          <w:lang w:eastAsia="zh-CN"/>
        </w:rPr>
        <w:t>203</w:t>
      </w:r>
      <w:r w:rsidRPr="007D1591">
        <w:rPr>
          <w:rFonts w:ascii="Book Antiqua" w:eastAsia="宋体" w:hAnsi="Book Antiqua"/>
          <w:kern w:val="2"/>
          <w:lang w:eastAsia="zh-CN"/>
        </w:rPr>
        <w:t>: 170-176 [PMID: 16864029 DOI: 10.1016/j.jamcollsurg.2006.04.020]</w:t>
      </w:r>
    </w:p>
    <w:p w14:paraId="5A7BB65B"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5 </w:t>
      </w:r>
      <w:r w:rsidRPr="007D1591">
        <w:rPr>
          <w:rFonts w:ascii="Book Antiqua" w:eastAsia="宋体" w:hAnsi="Book Antiqua"/>
          <w:b/>
          <w:kern w:val="2"/>
          <w:lang w:eastAsia="zh-CN"/>
        </w:rPr>
        <w:t>Jang TB</w:t>
      </w:r>
      <w:r w:rsidRPr="007D1591">
        <w:rPr>
          <w:rFonts w:ascii="Book Antiqua" w:eastAsia="宋体" w:hAnsi="Book Antiqua"/>
          <w:kern w:val="2"/>
          <w:lang w:eastAsia="zh-CN"/>
        </w:rPr>
        <w:t xml:space="preserve">, Schindler D, Kaji AH. Predictive value of signs and symptoms for small bowel obstruction in patients with prior surgery. </w:t>
      </w:r>
      <w:r w:rsidRPr="007D1591">
        <w:rPr>
          <w:rFonts w:ascii="Book Antiqua" w:eastAsia="宋体" w:hAnsi="Book Antiqua"/>
          <w:i/>
          <w:kern w:val="2"/>
          <w:lang w:eastAsia="zh-CN"/>
        </w:rPr>
        <w:t>Emerg Med J</w:t>
      </w:r>
      <w:r w:rsidRPr="007D1591">
        <w:rPr>
          <w:rFonts w:ascii="Book Antiqua" w:eastAsia="宋体" w:hAnsi="Book Antiqua"/>
          <w:kern w:val="2"/>
          <w:lang w:eastAsia="zh-CN"/>
        </w:rPr>
        <w:t xml:space="preserve"> 2012; </w:t>
      </w:r>
      <w:r w:rsidRPr="007D1591">
        <w:rPr>
          <w:rFonts w:ascii="Book Antiqua" w:eastAsia="宋体" w:hAnsi="Book Antiqua"/>
          <w:b/>
          <w:kern w:val="2"/>
          <w:lang w:eastAsia="zh-CN"/>
        </w:rPr>
        <w:t>29</w:t>
      </w:r>
      <w:r w:rsidRPr="007D1591">
        <w:rPr>
          <w:rFonts w:ascii="Book Antiqua" w:eastAsia="宋体" w:hAnsi="Book Antiqua"/>
          <w:kern w:val="2"/>
          <w:lang w:eastAsia="zh-CN"/>
        </w:rPr>
        <w:t>: 769-770 [PMID: 21212228 DOI: 10.1136/emj.2010.100594]</w:t>
      </w:r>
    </w:p>
    <w:p w14:paraId="570FA742"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6 </w:t>
      </w:r>
      <w:r w:rsidRPr="007D1591">
        <w:rPr>
          <w:rFonts w:ascii="Book Antiqua" w:eastAsia="宋体" w:hAnsi="Book Antiqua"/>
          <w:b/>
          <w:kern w:val="2"/>
          <w:lang w:eastAsia="zh-CN"/>
        </w:rPr>
        <w:t>Azagury D</w:t>
      </w:r>
      <w:r w:rsidRPr="007D1591">
        <w:rPr>
          <w:rFonts w:ascii="Book Antiqua" w:eastAsia="宋体" w:hAnsi="Book Antiqua"/>
          <w:kern w:val="2"/>
          <w:lang w:eastAsia="zh-CN"/>
        </w:rPr>
        <w:t xml:space="preserve">, Liu RC, Morgan A, Spain DA. Small bowel obstruction: A practical step-by-step evidence-based approach to evaluation, decision making, and management. </w:t>
      </w:r>
      <w:r w:rsidRPr="007D1591">
        <w:rPr>
          <w:rFonts w:ascii="Book Antiqua" w:eastAsia="宋体" w:hAnsi="Book Antiqua"/>
          <w:i/>
          <w:kern w:val="2"/>
          <w:lang w:eastAsia="zh-CN"/>
        </w:rPr>
        <w:t>J Trauma Acute Care Surg</w:t>
      </w:r>
      <w:r w:rsidRPr="007D1591">
        <w:rPr>
          <w:rFonts w:ascii="Book Antiqua" w:eastAsia="宋体" w:hAnsi="Book Antiqua"/>
          <w:kern w:val="2"/>
          <w:lang w:eastAsia="zh-CN"/>
        </w:rPr>
        <w:t xml:space="preserve"> 2015; </w:t>
      </w:r>
      <w:r w:rsidRPr="007D1591">
        <w:rPr>
          <w:rFonts w:ascii="Book Antiqua" w:eastAsia="宋体" w:hAnsi="Book Antiqua"/>
          <w:b/>
          <w:kern w:val="2"/>
          <w:lang w:eastAsia="zh-CN"/>
        </w:rPr>
        <w:t>79</w:t>
      </w:r>
      <w:r w:rsidRPr="007D1591">
        <w:rPr>
          <w:rFonts w:ascii="Book Antiqua" w:eastAsia="宋体" w:hAnsi="Book Antiqua"/>
          <w:kern w:val="2"/>
          <w:lang w:eastAsia="zh-CN"/>
        </w:rPr>
        <w:t>: 661-668 [PMID: 26402543 DOI: 10.1097/TA.0000000000000824]</w:t>
      </w:r>
    </w:p>
    <w:p w14:paraId="0E9085E4"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7 </w:t>
      </w:r>
      <w:r w:rsidRPr="007D1591">
        <w:rPr>
          <w:rFonts w:ascii="Book Antiqua" w:eastAsia="宋体" w:hAnsi="Book Antiqua"/>
          <w:b/>
          <w:kern w:val="2"/>
          <w:lang w:eastAsia="zh-CN"/>
        </w:rPr>
        <w:t>Maung AA</w:t>
      </w:r>
      <w:r w:rsidRPr="007D1591">
        <w:rPr>
          <w:rFonts w:ascii="Book Antiqua" w:eastAsia="宋体" w:hAnsi="Book Antiqua"/>
          <w:kern w:val="2"/>
          <w:lang w:eastAsia="zh-CN"/>
        </w:rPr>
        <w:t xml:space="preserve">, Johnson DC, Piper GL, Barbosa RR, Rowell SE, Bokhari F, Collins JN, Gordon JR, Ra JH, Kerwin AJ; Eastern Association for the Surgery of Trauma. Evaluation and management of small-bowel obstruction: an Eastern Association for the Surgery of Trauma practice management guideline. </w:t>
      </w:r>
      <w:r w:rsidRPr="007D1591">
        <w:rPr>
          <w:rFonts w:ascii="Book Antiqua" w:eastAsia="宋体" w:hAnsi="Book Antiqua"/>
          <w:i/>
          <w:kern w:val="2"/>
          <w:lang w:eastAsia="zh-CN"/>
        </w:rPr>
        <w:t>J Trauma Acute Care Surg</w:t>
      </w:r>
      <w:r w:rsidRPr="007D1591">
        <w:rPr>
          <w:rFonts w:ascii="Book Antiqua" w:eastAsia="宋体" w:hAnsi="Book Antiqua"/>
          <w:kern w:val="2"/>
          <w:lang w:eastAsia="zh-CN"/>
        </w:rPr>
        <w:t xml:space="preserve"> 2012; </w:t>
      </w:r>
      <w:r w:rsidRPr="007D1591">
        <w:rPr>
          <w:rFonts w:ascii="Book Antiqua" w:eastAsia="宋体" w:hAnsi="Book Antiqua"/>
          <w:b/>
          <w:kern w:val="2"/>
          <w:lang w:eastAsia="zh-CN"/>
        </w:rPr>
        <w:t>73</w:t>
      </w:r>
      <w:r w:rsidRPr="007D1591">
        <w:rPr>
          <w:rFonts w:ascii="Book Antiqua" w:eastAsia="宋体" w:hAnsi="Book Antiqua"/>
          <w:kern w:val="2"/>
          <w:lang w:eastAsia="zh-CN"/>
        </w:rPr>
        <w:t>: S362-S369 [PMID: 23114494 DOI: 10.1097/TA.0b013e31827019de]</w:t>
      </w:r>
    </w:p>
    <w:p w14:paraId="596D396B"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8 </w:t>
      </w:r>
      <w:r w:rsidRPr="007D1591">
        <w:rPr>
          <w:rFonts w:ascii="Book Antiqua" w:eastAsia="宋体" w:hAnsi="Book Antiqua"/>
          <w:b/>
          <w:kern w:val="2"/>
          <w:lang w:eastAsia="zh-CN"/>
        </w:rPr>
        <w:t>Iwamuro M</w:t>
      </w:r>
      <w:r w:rsidRPr="007D1591">
        <w:rPr>
          <w:rFonts w:ascii="Book Antiqua" w:eastAsia="宋体" w:hAnsi="Book Antiqua"/>
          <w:kern w:val="2"/>
          <w:lang w:eastAsia="zh-CN"/>
        </w:rPr>
        <w:t xml:space="preserve">, Okada H, Matsueda K, Inaba T, Kusumoto C, Imagawa A, Yamamoto K. Review of the diagnosis and management of gastrointestinal bezoars. </w:t>
      </w:r>
      <w:r w:rsidRPr="007D1591">
        <w:rPr>
          <w:rFonts w:ascii="Book Antiqua" w:eastAsia="宋体" w:hAnsi="Book Antiqua"/>
          <w:i/>
          <w:kern w:val="2"/>
          <w:lang w:eastAsia="zh-CN"/>
        </w:rPr>
        <w:t>World J Gastrointest Endosc</w:t>
      </w:r>
      <w:r w:rsidRPr="007D1591">
        <w:rPr>
          <w:rFonts w:ascii="Book Antiqua" w:eastAsia="宋体" w:hAnsi="Book Antiqua"/>
          <w:kern w:val="2"/>
          <w:lang w:eastAsia="zh-CN"/>
        </w:rPr>
        <w:t xml:space="preserve"> 2015; </w:t>
      </w:r>
      <w:r w:rsidRPr="007D1591">
        <w:rPr>
          <w:rFonts w:ascii="Book Antiqua" w:eastAsia="宋体" w:hAnsi="Book Antiqua"/>
          <w:b/>
          <w:kern w:val="2"/>
          <w:lang w:eastAsia="zh-CN"/>
        </w:rPr>
        <w:t>7</w:t>
      </w:r>
      <w:r w:rsidRPr="007D1591">
        <w:rPr>
          <w:rFonts w:ascii="Book Antiqua" w:eastAsia="宋体" w:hAnsi="Book Antiqua"/>
          <w:kern w:val="2"/>
          <w:lang w:eastAsia="zh-CN"/>
        </w:rPr>
        <w:t>: 336-345 [PMID: 25901212 DOI: 10.4253/wjge.v7.i4.336]</w:t>
      </w:r>
    </w:p>
    <w:p w14:paraId="4E40A38C"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9 </w:t>
      </w:r>
      <w:r w:rsidRPr="007D1591">
        <w:rPr>
          <w:rFonts w:ascii="Book Antiqua" w:eastAsia="宋体" w:hAnsi="Book Antiqua"/>
          <w:b/>
          <w:kern w:val="2"/>
          <w:lang w:eastAsia="zh-CN"/>
        </w:rPr>
        <w:t>Dikicier E</w:t>
      </w:r>
      <w:r w:rsidRPr="007D1591">
        <w:rPr>
          <w:rFonts w:ascii="Book Antiqua" w:eastAsia="宋体" w:hAnsi="Book Antiqua"/>
          <w:kern w:val="2"/>
          <w:lang w:eastAsia="zh-CN"/>
        </w:rPr>
        <w:t xml:space="preserve">, Altintoprak F, Ozkan OV, Yagmurkaya O, Uzunoglu MY. Intestinal obstruction due to phytobezoars: An update. </w:t>
      </w:r>
      <w:r w:rsidRPr="007D1591">
        <w:rPr>
          <w:rFonts w:ascii="Book Antiqua" w:eastAsia="宋体" w:hAnsi="Book Antiqua"/>
          <w:i/>
          <w:kern w:val="2"/>
          <w:lang w:eastAsia="zh-CN"/>
        </w:rPr>
        <w:t>World J Clin Cases</w:t>
      </w:r>
      <w:r w:rsidRPr="007D1591">
        <w:rPr>
          <w:rFonts w:ascii="Book Antiqua" w:eastAsia="宋体" w:hAnsi="Book Antiqua"/>
          <w:kern w:val="2"/>
          <w:lang w:eastAsia="zh-CN"/>
        </w:rPr>
        <w:t xml:space="preserve"> 2015; </w:t>
      </w:r>
      <w:r w:rsidRPr="007D1591">
        <w:rPr>
          <w:rFonts w:ascii="Book Antiqua" w:eastAsia="宋体" w:hAnsi="Book Antiqua"/>
          <w:b/>
          <w:kern w:val="2"/>
          <w:lang w:eastAsia="zh-CN"/>
        </w:rPr>
        <w:t>3</w:t>
      </w:r>
      <w:r w:rsidRPr="007D1591">
        <w:rPr>
          <w:rFonts w:ascii="Book Antiqua" w:eastAsia="宋体" w:hAnsi="Book Antiqua"/>
          <w:kern w:val="2"/>
          <w:lang w:eastAsia="zh-CN"/>
        </w:rPr>
        <w:t>: 721-726 [PMID: 26301232 DOI: 10.12998/wjcc.v3.i8.721]</w:t>
      </w:r>
    </w:p>
    <w:p w14:paraId="20CF1E5C"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10 </w:t>
      </w:r>
      <w:r w:rsidRPr="007D1591">
        <w:rPr>
          <w:rFonts w:ascii="Book Antiqua" w:eastAsia="宋体" w:hAnsi="Book Antiqua"/>
          <w:b/>
          <w:kern w:val="2"/>
          <w:lang w:eastAsia="zh-CN"/>
        </w:rPr>
        <w:t>ten Broek RP</w:t>
      </w:r>
      <w:r w:rsidRPr="007D1591">
        <w:rPr>
          <w:rFonts w:ascii="Book Antiqua" w:eastAsia="宋体" w:hAnsi="Book Antiqua"/>
          <w:kern w:val="2"/>
          <w:lang w:eastAsia="zh-CN"/>
        </w:rPr>
        <w:t xml:space="preserve">, Issa Y, van Santbrink EJ, Bouvy ND, Kruitwagen RF, Jeekel J, Bakkum EA, Rovers MM, van Goor H. Burden of adhesions in abdominal and pelvic surgery: systematic review and met-analysis. </w:t>
      </w:r>
      <w:r w:rsidRPr="007D1591">
        <w:rPr>
          <w:rFonts w:ascii="Book Antiqua" w:eastAsia="宋体" w:hAnsi="Book Antiqua"/>
          <w:i/>
          <w:kern w:val="2"/>
          <w:lang w:eastAsia="zh-CN"/>
        </w:rPr>
        <w:t>BMJ</w:t>
      </w:r>
      <w:r w:rsidRPr="007D1591">
        <w:rPr>
          <w:rFonts w:ascii="Book Antiqua" w:eastAsia="宋体" w:hAnsi="Book Antiqua"/>
          <w:kern w:val="2"/>
          <w:lang w:eastAsia="zh-CN"/>
        </w:rPr>
        <w:t xml:space="preserve"> 2013; </w:t>
      </w:r>
      <w:r w:rsidRPr="007D1591">
        <w:rPr>
          <w:rFonts w:ascii="Book Antiqua" w:eastAsia="宋体" w:hAnsi="Book Antiqua"/>
          <w:b/>
          <w:kern w:val="2"/>
          <w:lang w:eastAsia="zh-CN"/>
        </w:rPr>
        <w:t>347</w:t>
      </w:r>
      <w:r w:rsidRPr="007D1591">
        <w:rPr>
          <w:rFonts w:ascii="Book Antiqua" w:eastAsia="宋体" w:hAnsi="Book Antiqua"/>
          <w:kern w:val="2"/>
          <w:lang w:eastAsia="zh-CN"/>
        </w:rPr>
        <w:t>: f5588 [PMID: 24092941 DOI: 10.1136/bmj.f5588]</w:t>
      </w:r>
    </w:p>
    <w:p w14:paraId="44CC637F"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11 </w:t>
      </w:r>
      <w:r w:rsidRPr="007D1591">
        <w:rPr>
          <w:rFonts w:ascii="Book Antiqua" w:eastAsia="宋体" w:hAnsi="Book Antiqua"/>
          <w:b/>
          <w:kern w:val="2"/>
          <w:lang w:eastAsia="zh-CN"/>
        </w:rPr>
        <w:t>Wright CC</w:t>
      </w:r>
      <w:r w:rsidRPr="007D1591">
        <w:rPr>
          <w:rFonts w:ascii="Book Antiqua" w:eastAsia="宋体" w:hAnsi="Book Antiqua"/>
          <w:kern w:val="2"/>
          <w:lang w:eastAsia="zh-CN"/>
        </w:rPr>
        <w:t xml:space="preserve">, Closson FT. Updates in pediatric gastrointestinal foreign bodies. </w:t>
      </w:r>
      <w:r w:rsidRPr="007D1591">
        <w:rPr>
          <w:rFonts w:ascii="Book Antiqua" w:eastAsia="宋体" w:hAnsi="Book Antiqua"/>
          <w:i/>
          <w:kern w:val="2"/>
          <w:lang w:eastAsia="zh-CN"/>
        </w:rPr>
        <w:t>Pediatr Clin North Am</w:t>
      </w:r>
      <w:r w:rsidRPr="007D1591">
        <w:rPr>
          <w:rFonts w:ascii="Book Antiqua" w:eastAsia="宋体" w:hAnsi="Book Antiqua"/>
          <w:kern w:val="2"/>
          <w:lang w:eastAsia="zh-CN"/>
        </w:rPr>
        <w:t xml:space="preserve"> 2013; </w:t>
      </w:r>
      <w:r w:rsidRPr="007D1591">
        <w:rPr>
          <w:rFonts w:ascii="Book Antiqua" w:eastAsia="宋体" w:hAnsi="Book Antiqua"/>
          <w:b/>
          <w:kern w:val="2"/>
          <w:lang w:eastAsia="zh-CN"/>
        </w:rPr>
        <w:t>60</w:t>
      </w:r>
      <w:r w:rsidRPr="007D1591">
        <w:rPr>
          <w:rFonts w:ascii="Book Antiqua" w:eastAsia="宋体" w:hAnsi="Book Antiqua"/>
          <w:kern w:val="2"/>
          <w:lang w:eastAsia="zh-CN"/>
        </w:rPr>
        <w:t>: 1221-1239 [PMID: 24093905 DOI: 10.1016/j.pcl.2013.06.007]</w:t>
      </w:r>
    </w:p>
    <w:p w14:paraId="7011E230"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12 </w:t>
      </w:r>
      <w:r w:rsidRPr="007D1591">
        <w:rPr>
          <w:rFonts w:ascii="Book Antiqua" w:eastAsia="宋体" w:hAnsi="Book Antiqua"/>
          <w:b/>
          <w:kern w:val="2"/>
          <w:lang w:eastAsia="zh-CN"/>
        </w:rPr>
        <w:t>Bower KL</w:t>
      </w:r>
      <w:r w:rsidRPr="007D1591">
        <w:rPr>
          <w:rFonts w:ascii="Book Antiqua" w:eastAsia="宋体" w:hAnsi="Book Antiqua"/>
          <w:kern w:val="2"/>
          <w:lang w:eastAsia="zh-CN"/>
        </w:rPr>
        <w:t xml:space="preserve">, Lollar DI, Williams SL, Adkins FC, Luyimbazi DT, Bower CE. Small Bowel Obstruction. </w:t>
      </w:r>
      <w:r w:rsidRPr="007D1591">
        <w:rPr>
          <w:rFonts w:ascii="Book Antiqua" w:eastAsia="宋体" w:hAnsi="Book Antiqua"/>
          <w:i/>
          <w:kern w:val="2"/>
          <w:lang w:eastAsia="zh-CN"/>
        </w:rPr>
        <w:t>Surg Clin North Am</w:t>
      </w:r>
      <w:r w:rsidRPr="007D1591">
        <w:rPr>
          <w:rFonts w:ascii="Book Antiqua" w:eastAsia="宋体" w:hAnsi="Book Antiqua"/>
          <w:kern w:val="2"/>
          <w:lang w:eastAsia="zh-CN"/>
        </w:rPr>
        <w:t xml:space="preserve"> 2018; </w:t>
      </w:r>
      <w:r w:rsidRPr="007D1591">
        <w:rPr>
          <w:rFonts w:ascii="Book Antiqua" w:eastAsia="宋体" w:hAnsi="Book Antiqua"/>
          <w:b/>
          <w:kern w:val="2"/>
          <w:lang w:eastAsia="zh-CN"/>
        </w:rPr>
        <w:t>98</w:t>
      </w:r>
      <w:r w:rsidRPr="007D1591">
        <w:rPr>
          <w:rFonts w:ascii="Book Antiqua" w:eastAsia="宋体" w:hAnsi="Book Antiqua"/>
          <w:kern w:val="2"/>
          <w:lang w:eastAsia="zh-CN"/>
        </w:rPr>
        <w:t>: 945-971 [PMID: 30243455 DOI: 10.1016/j.suc.2018.05.007]</w:t>
      </w:r>
    </w:p>
    <w:p w14:paraId="791F5095"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13 </w:t>
      </w:r>
      <w:r w:rsidRPr="007D1591">
        <w:rPr>
          <w:rFonts w:ascii="Book Antiqua" w:eastAsia="宋体" w:hAnsi="Book Antiqua"/>
          <w:b/>
          <w:kern w:val="2"/>
          <w:lang w:eastAsia="zh-CN"/>
        </w:rPr>
        <w:t>Khan S</w:t>
      </w:r>
      <w:r w:rsidRPr="007D1591">
        <w:rPr>
          <w:rFonts w:ascii="Book Antiqua" w:eastAsia="宋体" w:hAnsi="Book Antiqua"/>
          <w:kern w:val="2"/>
          <w:lang w:eastAsia="zh-CN"/>
        </w:rPr>
        <w:t xml:space="preserve">, Jiang K, Zhu LP, Khan IA, Ullah K, Khan S, Chen X, Wang BM. Upper Gastrointestinal Manifestation of Bezoars and the Etiological Factors: A Literature Review. </w:t>
      </w:r>
      <w:r w:rsidRPr="007D1591">
        <w:rPr>
          <w:rFonts w:ascii="Book Antiqua" w:eastAsia="宋体" w:hAnsi="Book Antiqua"/>
          <w:i/>
          <w:kern w:val="2"/>
          <w:lang w:eastAsia="zh-CN"/>
        </w:rPr>
        <w:t>Gastroenterol Res Pract</w:t>
      </w:r>
      <w:r w:rsidRPr="007D1591">
        <w:rPr>
          <w:rFonts w:ascii="Book Antiqua" w:eastAsia="宋体" w:hAnsi="Book Antiqua"/>
          <w:kern w:val="2"/>
          <w:lang w:eastAsia="zh-CN"/>
        </w:rPr>
        <w:t xml:space="preserve"> 2019; </w:t>
      </w:r>
      <w:r w:rsidRPr="007D1591">
        <w:rPr>
          <w:rFonts w:ascii="Book Antiqua" w:eastAsia="宋体" w:hAnsi="Book Antiqua"/>
          <w:b/>
          <w:kern w:val="2"/>
          <w:lang w:eastAsia="zh-CN"/>
        </w:rPr>
        <w:t>2019</w:t>
      </w:r>
      <w:r w:rsidRPr="007D1591">
        <w:rPr>
          <w:rFonts w:ascii="Book Antiqua" w:eastAsia="宋体" w:hAnsi="Book Antiqua"/>
          <w:kern w:val="2"/>
          <w:lang w:eastAsia="zh-CN"/>
        </w:rPr>
        <w:t>: 5698532 [PMID: 31396274 DOI: 10.1155/2019/5698532]</w:t>
      </w:r>
    </w:p>
    <w:p w14:paraId="41635BCA"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14 </w:t>
      </w:r>
      <w:r w:rsidRPr="007D1591">
        <w:rPr>
          <w:rFonts w:ascii="Book Antiqua" w:eastAsia="宋体" w:hAnsi="Book Antiqua"/>
          <w:b/>
          <w:kern w:val="2"/>
          <w:lang w:eastAsia="zh-CN"/>
        </w:rPr>
        <w:t>Goddard SA</w:t>
      </w:r>
      <w:r w:rsidRPr="007D1591">
        <w:rPr>
          <w:rFonts w:ascii="Book Antiqua" w:eastAsia="宋体" w:hAnsi="Book Antiqua"/>
          <w:kern w:val="2"/>
          <w:lang w:eastAsia="zh-CN"/>
        </w:rPr>
        <w:t xml:space="preserve">, Lundberg PW, Jones SD. Small-Bowel Obstruction in a 45-Year-Old Woman. </w:t>
      </w:r>
      <w:r w:rsidRPr="007D1591">
        <w:rPr>
          <w:rFonts w:ascii="Book Antiqua" w:eastAsia="宋体" w:hAnsi="Book Antiqua"/>
          <w:i/>
          <w:kern w:val="2"/>
          <w:lang w:eastAsia="zh-CN"/>
        </w:rPr>
        <w:t>JAMA Surg</w:t>
      </w:r>
      <w:r w:rsidRPr="007D1591">
        <w:rPr>
          <w:rFonts w:ascii="Book Antiqua" w:eastAsia="宋体" w:hAnsi="Book Antiqua"/>
          <w:kern w:val="2"/>
          <w:lang w:eastAsia="zh-CN"/>
        </w:rPr>
        <w:t xml:space="preserve"> 2017; </w:t>
      </w:r>
      <w:r w:rsidRPr="007D1591">
        <w:rPr>
          <w:rFonts w:ascii="Book Antiqua" w:eastAsia="宋体" w:hAnsi="Book Antiqua"/>
          <w:b/>
          <w:kern w:val="2"/>
          <w:lang w:eastAsia="zh-CN"/>
        </w:rPr>
        <w:t>152</w:t>
      </w:r>
      <w:r w:rsidRPr="007D1591">
        <w:rPr>
          <w:rFonts w:ascii="Book Antiqua" w:eastAsia="宋体" w:hAnsi="Book Antiqua"/>
          <w:kern w:val="2"/>
          <w:lang w:eastAsia="zh-CN"/>
        </w:rPr>
        <w:t>: 599-600 [PMID: 28445569 DOI: 10.1001/jamasurg.2017.0545]</w:t>
      </w:r>
    </w:p>
    <w:p w14:paraId="1BC5315F"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15 </w:t>
      </w:r>
      <w:r w:rsidRPr="007D1591">
        <w:rPr>
          <w:rFonts w:ascii="Book Antiqua" w:eastAsia="宋体" w:hAnsi="Book Antiqua"/>
          <w:b/>
          <w:kern w:val="2"/>
          <w:lang w:eastAsia="zh-CN"/>
        </w:rPr>
        <w:t>Fallon SC</w:t>
      </w:r>
      <w:r w:rsidRPr="007D1591">
        <w:rPr>
          <w:rFonts w:ascii="Book Antiqua" w:eastAsia="宋体" w:hAnsi="Book Antiqua"/>
          <w:kern w:val="2"/>
          <w:lang w:eastAsia="zh-CN"/>
        </w:rPr>
        <w:t xml:space="preserve">, Slater BJ, Larimer EL, Brandt ML, Lopez ME. The surgical management of Rapunzel syndrome: a case series and literature review. </w:t>
      </w:r>
      <w:r w:rsidRPr="007D1591">
        <w:rPr>
          <w:rFonts w:ascii="Book Antiqua" w:eastAsia="宋体" w:hAnsi="Book Antiqua"/>
          <w:i/>
          <w:kern w:val="2"/>
          <w:lang w:eastAsia="zh-CN"/>
        </w:rPr>
        <w:t>J Pediatr Surg</w:t>
      </w:r>
      <w:r w:rsidRPr="007D1591">
        <w:rPr>
          <w:rFonts w:ascii="Book Antiqua" w:eastAsia="宋体" w:hAnsi="Book Antiqua"/>
          <w:kern w:val="2"/>
          <w:lang w:eastAsia="zh-CN"/>
        </w:rPr>
        <w:t xml:space="preserve"> 2013; </w:t>
      </w:r>
      <w:r w:rsidRPr="007D1591">
        <w:rPr>
          <w:rFonts w:ascii="Book Antiqua" w:eastAsia="宋体" w:hAnsi="Book Antiqua"/>
          <w:b/>
          <w:kern w:val="2"/>
          <w:lang w:eastAsia="zh-CN"/>
        </w:rPr>
        <w:t>48</w:t>
      </w:r>
      <w:r w:rsidRPr="007D1591">
        <w:rPr>
          <w:rFonts w:ascii="Book Antiqua" w:eastAsia="宋体" w:hAnsi="Book Antiqua"/>
          <w:kern w:val="2"/>
          <w:lang w:eastAsia="zh-CN"/>
        </w:rPr>
        <w:t>: 830-834 [PMID: 23583142 DOI: 10.1016/j.jpedsurg.2012.07.046]</w:t>
      </w:r>
    </w:p>
    <w:p w14:paraId="7703CCF2"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16 </w:t>
      </w:r>
      <w:r w:rsidRPr="007D1591">
        <w:rPr>
          <w:rFonts w:ascii="Book Antiqua" w:eastAsia="宋体" w:hAnsi="Book Antiqua"/>
          <w:b/>
          <w:kern w:val="2"/>
          <w:lang w:eastAsia="zh-CN"/>
        </w:rPr>
        <w:t>Kumar N</w:t>
      </w:r>
      <w:r w:rsidRPr="007D1591">
        <w:rPr>
          <w:rFonts w:ascii="Book Antiqua" w:eastAsia="宋体" w:hAnsi="Book Antiqua"/>
          <w:kern w:val="2"/>
          <w:lang w:eastAsia="zh-CN"/>
        </w:rPr>
        <w:t xml:space="preserve">, Huda F, Gupta R, Payal YS, Kumar U, Mallik D. Rapunzel syndrome in adult with mysterious presentation: a rare case report with literature review. </w:t>
      </w:r>
      <w:r w:rsidRPr="007D1591">
        <w:rPr>
          <w:rFonts w:ascii="Book Antiqua" w:eastAsia="宋体" w:hAnsi="Book Antiqua"/>
          <w:i/>
          <w:kern w:val="2"/>
          <w:lang w:eastAsia="zh-CN"/>
        </w:rPr>
        <w:t>Trop Doct</w:t>
      </w:r>
      <w:r w:rsidRPr="007D1591">
        <w:rPr>
          <w:rFonts w:ascii="Book Antiqua" w:eastAsia="宋体" w:hAnsi="Book Antiqua"/>
          <w:kern w:val="2"/>
          <w:lang w:eastAsia="zh-CN"/>
        </w:rPr>
        <w:t xml:space="preserve"> 2019; </w:t>
      </w:r>
      <w:r w:rsidRPr="007D1591">
        <w:rPr>
          <w:rFonts w:ascii="Book Antiqua" w:eastAsia="宋体" w:hAnsi="Book Antiqua"/>
          <w:b/>
          <w:kern w:val="2"/>
          <w:lang w:eastAsia="zh-CN"/>
        </w:rPr>
        <w:t>49</w:t>
      </w:r>
      <w:r w:rsidRPr="007D1591">
        <w:rPr>
          <w:rFonts w:ascii="Book Antiqua" w:eastAsia="宋体" w:hAnsi="Book Antiqua"/>
          <w:kern w:val="2"/>
          <w:lang w:eastAsia="zh-CN"/>
        </w:rPr>
        <w:t>: 133-135 [PMID: 30722745 DOI: 10.1177/0049475519826477]</w:t>
      </w:r>
    </w:p>
    <w:p w14:paraId="67DA4C09" w14:textId="77777777" w:rsidR="006E4D84" w:rsidRPr="007D1591" w:rsidRDefault="006E4D84" w:rsidP="00B05E27">
      <w:pPr>
        <w:widowControl w:val="0"/>
        <w:snapToGrid w:val="0"/>
        <w:spacing w:line="360" w:lineRule="auto"/>
        <w:jc w:val="both"/>
        <w:rPr>
          <w:rFonts w:ascii="Book Antiqua" w:eastAsia="宋体" w:hAnsi="Book Antiqua"/>
          <w:kern w:val="2"/>
          <w:lang w:eastAsia="zh-CN"/>
        </w:rPr>
      </w:pPr>
      <w:r w:rsidRPr="007D1591">
        <w:rPr>
          <w:rFonts w:ascii="Book Antiqua" w:eastAsia="宋体" w:hAnsi="Book Antiqua"/>
          <w:kern w:val="2"/>
          <w:lang w:eastAsia="zh-CN"/>
        </w:rPr>
        <w:t xml:space="preserve">17 </w:t>
      </w:r>
      <w:r w:rsidRPr="007D1591">
        <w:rPr>
          <w:rFonts w:ascii="Book Antiqua" w:eastAsia="宋体" w:hAnsi="Book Antiqua"/>
          <w:b/>
          <w:kern w:val="2"/>
          <w:lang w:eastAsia="zh-CN"/>
        </w:rPr>
        <w:t>Schwarzenberg SJ</w:t>
      </w:r>
      <w:r w:rsidRPr="007D1591">
        <w:rPr>
          <w:rFonts w:ascii="Book Antiqua" w:eastAsia="宋体" w:hAnsi="Book Antiqua"/>
          <w:kern w:val="2"/>
          <w:lang w:eastAsia="zh-CN"/>
        </w:rPr>
        <w:t xml:space="preserve">, Freese DK, Payne WD, Ascher NL, Sharp HL. Gastric bezoar after hepatic transplantation. </w:t>
      </w:r>
      <w:r w:rsidRPr="007D1591">
        <w:rPr>
          <w:rFonts w:ascii="Book Antiqua" w:eastAsia="宋体" w:hAnsi="Book Antiqua"/>
          <w:i/>
          <w:kern w:val="2"/>
          <w:lang w:eastAsia="zh-CN"/>
        </w:rPr>
        <w:t>J Pediatr Gastroenterol Nutr</w:t>
      </w:r>
      <w:r w:rsidRPr="007D1591">
        <w:rPr>
          <w:rFonts w:ascii="Book Antiqua" w:eastAsia="宋体" w:hAnsi="Book Antiqua"/>
          <w:kern w:val="2"/>
          <w:lang w:eastAsia="zh-CN"/>
        </w:rPr>
        <w:t xml:space="preserve"> 1989; </w:t>
      </w:r>
      <w:r w:rsidRPr="007D1591">
        <w:rPr>
          <w:rFonts w:ascii="Book Antiqua" w:eastAsia="宋体" w:hAnsi="Book Antiqua"/>
          <w:b/>
          <w:kern w:val="2"/>
          <w:lang w:eastAsia="zh-CN"/>
        </w:rPr>
        <w:t>9</w:t>
      </w:r>
      <w:r w:rsidRPr="007D1591">
        <w:rPr>
          <w:rFonts w:ascii="Book Antiqua" w:eastAsia="宋体" w:hAnsi="Book Antiqua"/>
          <w:kern w:val="2"/>
          <w:lang w:eastAsia="zh-CN"/>
        </w:rPr>
        <w:t>: 119-122 [PMID: 2674381 DOI: 10.1097/00005176-198909010-00023]</w:t>
      </w:r>
    </w:p>
    <w:bookmarkEnd w:id="3"/>
    <w:bookmarkEnd w:id="4"/>
    <w:p w14:paraId="3CA3D34E" w14:textId="77777777" w:rsidR="006E4D84" w:rsidRPr="007D1591" w:rsidRDefault="006E4D84" w:rsidP="00B05E27">
      <w:pPr>
        <w:snapToGrid w:val="0"/>
        <w:spacing w:line="360" w:lineRule="auto"/>
        <w:jc w:val="both"/>
      </w:pPr>
    </w:p>
    <w:p w14:paraId="73EE2F99" w14:textId="77777777" w:rsidR="00A77B3E" w:rsidRPr="007D1591" w:rsidRDefault="006E4D84" w:rsidP="00B05E27">
      <w:pPr>
        <w:snapToGrid w:val="0"/>
        <w:spacing w:line="360" w:lineRule="auto"/>
        <w:jc w:val="both"/>
      </w:pPr>
      <w:r w:rsidRPr="007D1591">
        <w:rPr>
          <w:rFonts w:ascii="Book Antiqua" w:eastAsia="Book Antiqua" w:hAnsi="Book Antiqua" w:cs="Book Antiqua"/>
          <w:b/>
          <w:color w:val="000000"/>
        </w:rPr>
        <w:br w:type="page"/>
      </w:r>
      <w:r w:rsidR="00A5004B" w:rsidRPr="007D1591">
        <w:rPr>
          <w:rFonts w:ascii="Book Antiqua" w:eastAsia="Book Antiqua" w:hAnsi="Book Antiqua" w:cs="Book Antiqua"/>
          <w:b/>
          <w:color w:val="000000"/>
        </w:rPr>
        <w:t>Footnotes</w:t>
      </w:r>
    </w:p>
    <w:p w14:paraId="13A4FFBD"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 xml:space="preserve">Informed consent statement: </w:t>
      </w:r>
      <w:r w:rsidRPr="007D1591">
        <w:rPr>
          <w:rFonts w:ascii="Book Antiqua" w:eastAsia="Book Antiqua" w:hAnsi="Book Antiqua" w:cs="Book Antiqua"/>
          <w:color w:val="000000"/>
        </w:rPr>
        <w:t xml:space="preserve">Informed consent was not required for this study. Case report analysis used anonymous data and unidentifiable images that were obtained after the patient agreed to treatment by written consent. </w:t>
      </w:r>
    </w:p>
    <w:p w14:paraId="3BF3B294" w14:textId="77777777" w:rsidR="00A77B3E" w:rsidRPr="007D1591" w:rsidRDefault="00A77B3E" w:rsidP="00B05E27">
      <w:pPr>
        <w:snapToGrid w:val="0"/>
        <w:spacing w:line="360" w:lineRule="auto"/>
        <w:jc w:val="both"/>
      </w:pPr>
    </w:p>
    <w:p w14:paraId="0F16A518"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 xml:space="preserve">Conflict-of-interest statement: </w:t>
      </w:r>
      <w:r w:rsidRPr="007D1591">
        <w:rPr>
          <w:rFonts w:ascii="Book Antiqua" w:eastAsia="Book Antiqua" w:hAnsi="Book Antiqua" w:cs="Book Antiqua"/>
          <w:color w:val="000000"/>
        </w:rPr>
        <w:t>The author(s) have no conflict(s) of interest to disclose.</w:t>
      </w:r>
    </w:p>
    <w:p w14:paraId="72C84E93" w14:textId="77777777" w:rsidR="00A77B3E" w:rsidRPr="007D1591" w:rsidRDefault="00A77B3E" w:rsidP="00B05E27">
      <w:pPr>
        <w:snapToGrid w:val="0"/>
        <w:spacing w:line="360" w:lineRule="auto"/>
        <w:jc w:val="both"/>
      </w:pPr>
    </w:p>
    <w:p w14:paraId="097B5AD6" w14:textId="2E8DD79E"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CARE Checklist (2016) statement:</w:t>
      </w:r>
      <w:r w:rsidR="00DE26D7" w:rsidRPr="007D1591">
        <w:rPr>
          <w:rFonts w:ascii="Book Antiqua" w:eastAsia="Book Antiqua" w:hAnsi="Book Antiqua" w:cs="Book Antiqua"/>
          <w:b/>
          <w:bCs/>
          <w:color w:val="000000"/>
        </w:rPr>
        <w:t xml:space="preserve"> </w:t>
      </w:r>
      <w:r w:rsidR="00DE26D7" w:rsidRPr="007D1591">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5C5879EA" w14:textId="77777777" w:rsidR="00A77B3E" w:rsidRPr="007D1591" w:rsidRDefault="00A77B3E" w:rsidP="00B05E27">
      <w:pPr>
        <w:snapToGrid w:val="0"/>
        <w:spacing w:line="360" w:lineRule="auto"/>
        <w:jc w:val="both"/>
      </w:pPr>
    </w:p>
    <w:p w14:paraId="4949EC5C" w14:textId="77777777" w:rsidR="00A77B3E" w:rsidRPr="007D1591" w:rsidRDefault="00A5004B" w:rsidP="00B05E27">
      <w:pPr>
        <w:snapToGrid w:val="0"/>
        <w:spacing w:line="360" w:lineRule="auto"/>
        <w:jc w:val="both"/>
      </w:pPr>
      <w:r w:rsidRPr="007D1591">
        <w:rPr>
          <w:rFonts w:ascii="Book Antiqua" w:eastAsia="Book Antiqua" w:hAnsi="Book Antiqua" w:cs="Book Antiqua"/>
          <w:b/>
          <w:bCs/>
          <w:color w:val="000000"/>
        </w:rPr>
        <w:t xml:space="preserve">Open-Access: </w:t>
      </w:r>
      <w:r w:rsidRPr="007D159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FD63E8" w14:textId="77777777" w:rsidR="00A77B3E" w:rsidRPr="007D1591" w:rsidRDefault="00A77B3E" w:rsidP="00B05E27">
      <w:pPr>
        <w:snapToGrid w:val="0"/>
        <w:spacing w:line="360" w:lineRule="auto"/>
        <w:jc w:val="both"/>
      </w:pPr>
    </w:p>
    <w:p w14:paraId="1AEE96FF" w14:textId="77777777"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 xml:space="preserve">Manuscript source: </w:t>
      </w:r>
      <w:r w:rsidRPr="007D1591">
        <w:rPr>
          <w:rFonts w:ascii="Book Antiqua" w:eastAsia="Book Antiqua" w:hAnsi="Book Antiqua" w:cs="Book Antiqua"/>
          <w:color w:val="000000"/>
        </w:rPr>
        <w:t xml:space="preserve">Unsolicited </w:t>
      </w:r>
      <w:r w:rsidR="002266CF" w:rsidRPr="007D1591">
        <w:rPr>
          <w:rFonts w:ascii="Book Antiqua" w:eastAsia="Book Antiqua" w:hAnsi="Book Antiqua" w:cs="Book Antiqua"/>
          <w:color w:val="000000"/>
        </w:rPr>
        <w:t>m</w:t>
      </w:r>
      <w:r w:rsidRPr="007D1591">
        <w:rPr>
          <w:rFonts w:ascii="Book Antiqua" w:eastAsia="Book Antiqua" w:hAnsi="Book Antiqua" w:cs="Book Antiqua"/>
          <w:color w:val="000000"/>
        </w:rPr>
        <w:t>anuscript</w:t>
      </w:r>
    </w:p>
    <w:p w14:paraId="4E2374B3" w14:textId="77777777" w:rsidR="00A77B3E" w:rsidRPr="007D1591" w:rsidRDefault="00A77B3E" w:rsidP="00B05E27">
      <w:pPr>
        <w:snapToGrid w:val="0"/>
        <w:spacing w:line="360" w:lineRule="auto"/>
        <w:jc w:val="both"/>
      </w:pPr>
    </w:p>
    <w:p w14:paraId="4140DC7B" w14:textId="77777777"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 xml:space="preserve">Peer-review started: </w:t>
      </w:r>
      <w:r w:rsidRPr="007D1591">
        <w:rPr>
          <w:rFonts w:ascii="Book Antiqua" w:eastAsia="Book Antiqua" w:hAnsi="Book Antiqua" w:cs="Book Antiqua"/>
          <w:color w:val="000000"/>
        </w:rPr>
        <w:t>May 7, 2020</w:t>
      </w:r>
    </w:p>
    <w:p w14:paraId="70573246" w14:textId="77777777"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 xml:space="preserve">First decision: </w:t>
      </w:r>
      <w:r w:rsidRPr="007D1591">
        <w:rPr>
          <w:rFonts w:ascii="Book Antiqua" w:eastAsia="Book Antiqua" w:hAnsi="Book Antiqua" w:cs="Book Antiqua"/>
          <w:color w:val="000000"/>
        </w:rPr>
        <w:t>June 8, 2020</w:t>
      </w:r>
    </w:p>
    <w:p w14:paraId="5C308E3B" w14:textId="1077AF26"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 xml:space="preserve">Article in press: </w:t>
      </w:r>
      <w:r w:rsidR="00093BB2" w:rsidRPr="007D1591">
        <w:rPr>
          <w:rFonts w:ascii="Book Antiqua" w:hAnsi="Book Antiqua" w:cs="Arial"/>
          <w:color w:val="000000" w:themeColor="text1"/>
          <w:shd w:val="clear" w:color="auto" w:fill="FFFFFF"/>
        </w:rPr>
        <w:t>August 26, 2020</w:t>
      </w:r>
    </w:p>
    <w:p w14:paraId="4DCD4F5D" w14:textId="77777777" w:rsidR="00A77B3E" w:rsidRPr="007D1591" w:rsidRDefault="00A77B3E" w:rsidP="00B05E27">
      <w:pPr>
        <w:snapToGrid w:val="0"/>
        <w:spacing w:line="360" w:lineRule="auto"/>
        <w:jc w:val="both"/>
      </w:pPr>
    </w:p>
    <w:p w14:paraId="586A8C22" w14:textId="3A63B11C"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Specialty type:</w:t>
      </w:r>
      <w:bookmarkStart w:id="5" w:name="OLE_LINK1952"/>
      <w:bookmarkStart w:id="6" w:name="OLE_LINK1953"/>
      <w:r w:rsidR="003A30BE" w:rsidRPr="007D1591">
        <w:rPr>
          <w:rFonts w:ascii="Book Antiqua" w:eastAsia="微软雅黑" w:hAnsi="Book Antiqua" w:cs="宋体"/>
        </w:rPr>
        <w:t xml:space="preserve"> Medicine, research and experimental</w:t>
      </w:r>
      <w:bookmarkEnd w:id="5"/>
      <w:bookmarkEnd w:id="6"/>
    </w:p>
    <w:p w14:paraId="0A8EDD08" w14:textId="77777777"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 xml:space="preserve">Country/Territory of origin: </w:t>
      </w:r>
      <w:r w:rsidRPr="007D1591">
        <w:rPr>
          <w:rFonts w:ascii="Book Antiqua" w:eastAsia="Book Antiqua" w:hAnsi="Book Antiqua" w:cs="Book Antiqua"/>
          <w:color w:val="000000"/>
        </w:rPr>
        <w:t>United States</w:t>
      </w:r>
    </w:p>
    <w:p w14:paraId="25C225DE" w14:textId="77777777" w:rsidR="00A77B3E" w:rsidRPr="007D1591" w:rsidRDefault="00A5004B" w:rsidP="00B05E27">
      <w:pPr>
        <w:snapToGrid w:val="0"/>
        <w:spacing w:line="360" w:lineRule="auto"/>
        <w:jc w:val="both"/>
      </w:pPr>
      <w:r w:rsidRPr="007D1591">
        <w:rPr>
          <w:rFonts w:ascii="Book Antiqua" w:eastAsia="Book Antiqua" w:hAnsi="Book Antiqua" w:cs="Book Antiqua"/>
          <w:b/>
          <w:color w:val="000000"/>
        </w:rPr>
        <w:t>Peer-review report’s scientific quality classification</w:t>
      </w:r>
    </w:p>
    <w:p w14:paraId="243384B3"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Grade A (Excellent): 0</w:t>
      </w:r>
    </w:p>
    <w:p w14:paraId="677692B4"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Grade B (Very good): 0</w:t>
      </w:r>
    </w:p>
    <w:p w14:paraId="4AE6EEC3"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Grade C (Good): C</w:t>
      </w:r>
    </w:p>
    <w:p w14:paraId="186293D9"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Grade D (Fair): 0</w:t>
      </w:r>
    </w:p>
    <w:p w14:paraId="18CE999E" w14:textId="77777777" w:rsidR="00A77B3E" w:rsidRPr="007D1591" w:rsidRDefault="00A5004B" w:rsidP="00B05E27">
      <w:pPr>
        <w:snapToGrid w:val="0"/>
        <w:spacing w:line="360" w:lineRule="auto"/>
        <w:jc w:val="both"/>
      </w:pPr>
      <w:r w:rsidRPr="007D1591">
        <w:rPr>
          <w:rFonts w:ascii="Book Antiqua" w:eastAsia="Book Antiqua" w:hAnsi="Book Antiqua" w:cs="Book Antiqua"/>
          <w:color w:val="000000"/>
        </w:rPr>
        <w:t>Grade E (Poor): 0</w:t>
      </w:r>
    </w:p>
    <w:p w14:paraId="48E7F533" w14:textId="77777777" w:rsidR="00A77B3E" w:rsidRPr="007D1591" w:rsidRDefault="00A77B3E" w:rsidP="00B05E27">
      <w:pPr>
        <w:snapToGrid w:val="0"/>
        <w:spacing w:line="360" w:lineRule="auto"/>
        <w:jc w:val="both"/>
      </w:pPr>
    </w:p>
    <w:p w14:paraId="05B68537" w14:textId="714FE9A7" w:rsidR="00443B83" w:rsidRPr="007D1591" w:rsidRDefault="00A5004B" w:rsidP="00B05E27">
      <w:pPr>
        <w:snapToGrid w:val="0"/>
        <w:spacing w:line="360" w:lineRule="auto"/>
        <w:jc w:val="both"/>
        <w:rPr>
          <w:rFonts w:ascii="Book Antiqua" w:hAnsi="Book Antiqua" w:cs="Book Antiqua"/>
          <w:b/>
          <w:color w:val="000000"/>
          <w:lang w:eastAsia="zh-CN"/>
        </w:rPr>
      </w:pPr>
      <w:r w:rsidRPr="007D1591">
        <w:rPr>
          <w:rFonts w:ascii="Book Antiqua" w:eastAsia="Book Antiqua" w:hAnsi="Book Antiqua" w:cs="Book Antiqua"/>
          <w:b/>
          <w:color w:val="000000"/>
        </w:rPr>
        <w:t xml:space="preserve">P-Reviewer: </w:t>
      </w:r>
      <w:r w:rsidRPr="007D1591">
        <w:rPr>
          <w:rFonts w:ascii="Book Antiqua" w:eastAsia="Book Antiqua" w:hAnsi="Book Antiqua" w:cs="Book Antiqua"/>
          <w:color w:val="000000"/>
        </w:rPr>
        <w:t>Akarsu M</w:t>
      </w:r>
      <w:r w:rsidRPr="007D1591">
        <w:rPr>
          <w:rFonts w:ascii="Book Antiqua" w:eastAsia="Book Antiqua" w:hAnsi="Book Antiqua" w:cs="Book Antiqua"/>
          <w:b/>
          <w:color w:val="000000"/>
        </w:rPr>
        <w:t xml:space="preserve"> S-Editor: </w:t>
      </w:r>
      <w:r w:rsidRPr="007D1591">
        <w:rPr>
          <w:rFonts w:ascii="Book Antiqua" w:eastAsia="Book Antiqua" w:hAnsi="Book Antiqua" w:cs="Book Antiqua"/>
          <w:color w:val="000000"/>
        </w:rPr>
        <w:t>Gong ZM</w:t>
      </w:r>
      <w:r w:rsidRPr="007D1591">
        <w:rPr>
          <w:rFonts w:ascii="Book Antiqua" w:eastAsia="Book Antiqua" w:hAnsi="Book Antiqua" w:cs="Book Antiqua"/>
          <w:b/>
          <w:color w:val="000000"/>
        </w:rPr>
        <w:t xml:space="preserve"> L-Editor:</w:t>
      </w:r>
      <w:r w:rsidR="007528A9" w:rsidRPr="007D1591">
        <w:rPr>
          <w:rFonts w:ascii="Book Antiqua" w:hAnsi="Book Antiqua" w:cs="Book Antiqua" w:hint="eastAsia"/>
          <w:b/>
          <w:color w:val="000000"/>
          <w:lang w:eastAsia="zh-CN"/>
        </w:rPr>
        <w:t xml:space="preserve"> A </w:t>
      </w:r>
      <w:r w:rsidRPr="007D1591">
        <w:rPr>
          <w:rFonts w:ascii="Book Antiqua" w:eastAsia="Book Antiqua" w:hAnsi="Book Antiqua" w:cs="Book Antiqua"/>
          <w:b/>
          <w:color w:val="000000"/>
        </w:rPr>
        <w:t xml:space="preserve">P-Editor: </w:t>
      </w:r>
      <w:r w:rsidR="007528A9" w:rsidRPr="007D1591">
        <w:rPr>
          <w:rFonts w:ascii="Book Antiqua" w:hAnsi="Book Antiqua" w:cs="Book Antiqua" w:hint="eastAsia"/>
          <w:color w:val="000000"/>
          <w:lang w:eastAsia="zh-CN"/>
        </w:rPr>
        <w:t>Wu YXJ</w:t>
      </w:r>
    </w:p>
    <w:p w14:paraId="462140BC" w14:textId="77777777" w:rsidR="00443B83" w:rsidRPr="007D1591" w:rsidRDefault="00443B83" w:rsidP="00B05E27">
      <w:pPr>
        <w:snapToGrid w:val="0"/>
        <w:spacing w:line="360" w:lineRule="auto"/>
        <w:jc w:val="both"/>
        <w:rPr>
          <w:rFonts w:ascii="Book Antiqua" w:eastAsia="Book Antiqua" w:hAnsi="Book Antiqua" w:cs="Book Antiqua"/>
          <w:b/>
          <w:color w:val="000000"/>
        </w:rPr>
      </w:pPr>
      <w:r w:rsidRPr="007D1591">
        <w:rPr>
          <w:rFonts w:ascii="Book Antiqua" w:eastAsia="Book Antiqua" w:hAnsi="Book Antiqua" w:cs="Book Antiqua"/>
          <w:b/>
          <w:color w:val="000000"/>
        </w:rPr>
        <w:br w:type="page"/>
        <w:t>Figure Legends</w:t>
      </w:r>
    </w:p>
    <w:p w14:paraId="04BD3727" w14:textId="77777777" w:rsidR="00443B83" w:rsidRPr="007D1591" w:rsidRDefault="00443B83" w:rsidP="00B05E27">
      <w:pPr>
        <w:snapToGrid w:val="0"/>
        <w:spacing w:line="360" w:lineRule="auto"/>
        <w:jc w:val="both"/>
        <w:rPr>
          <w:rFonts w:ascii="Book Antiqua" w:eastAsia="Book Antiqua" w:hAnsi="Book Antiqua" w:cs="Book Antiqua"/>
          <w:b/>
          <w:color w:val="000000"/>
        </w:rPr>
      </w:pPr>
      <w:r w:rsidRPr="007D1591">
        <w:rPr>
          <w:noProof/>
          <w:lang w:eastAsia="zh-CN"/>
        </w:rPr>
        <w:drawing>
          <wp:inline distT="0" distB="0" distL="0" distR="0" wp14:anchorId="18F50D21" wp14:editId="0C056895">
            <wp:extent cx="3891102" cy="36019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5374" cy="3615152"/>
                    </a:xfrm>
                    <a:prstGeom prst="rect">
                      <a:avLst/>
                    </a:prstGeom>
                  </pic:spPr>
                </pic:pic>
              </a:graphicData>
            </a:graphic>
          </wp:inline>
        </w:drawing>
      </w:r>
    </w:p>
    <w:p w14:paraId="69F99840" w14:textId="1AD52482" w:rsidR="00443B83" w:rsidRPr="007D1591" w:rsidRDefault="00443B83" w:rsidP="00B05E27">
      <w:pPr>
        <w:snapToGrid w:val="0"/>
        <w:spacing w:line="360" w:lineRule="auto"/>
        <w:jc w:val="both"/>
        <w:rPr>
          <w:rFonts w:ascii="Book Antiqua" w:eastAsia="Book Antiqua" w:hAnsi="Book Antiqua" w:cs="Book Antiqua"/>
          <w:b/>
          <w:color w:val="000000"/>
        </w:rPr>
      </w:pPr>
      <w:r w:rsidRPr="007D1591">
        <w:rPr>
          <w:rFonts w:ascii="Book Antiqua" w:eastAsia="Book Antiqua" w:hAnsi="Book Antiqua" w:cs="Book Antiqua"/>
          <w:b/>
          <w:color w:val="000000"/>
        </w:rPr>
        <w:t>Figure 1</w:t>
      </w:r>
      <w:r w:rsidR="003B18EB" w:rsidRPr="007D1591">
        <w:rPr>
          <w:rFonts w:ascii="Book Antiqua" w:eastAsia="Book Antiqua" w:hAnsi="Book Antiqua" w:cs="Book Antiqua"/>
          <w:b/>
          <w:color w:val="000000"/>
        </w:rPr>
        <w:t xml:space="preserve"> Computed tomography </w:t>
      </w:r>
      <w:r w:rsidRPr="007D1591">
        <w:rPr>
          <w:rFonts w:ascii="Book Antiqua" w:eastAsia="Book Antiqua" w:hAnsi="Book Antiqua" w:cs="Book Antiqua"/>
          <w:b/>
          <w:color w:val="000000"/>
        </w:rPr>
        <w:t>imaging of patient with small bowel obstruction (arrow indicates area of obstruction)</w:t>
      </w:r>
      <w:r w:rsidR="00F65E1C" w:rsidRPr="007D1591">
        <w:rPr>
          <w:rFonts w:ascii="Book Antiqua" w:eastAsia="Book Antiqua" w:hAnsi="Book Antiqua" w:cs="Book Antiqua"/>
          <w:b/>
          <w:color w:val="000000"/>
        </w:rPr>
        <w:t>.</w:t>
      </w:r>
    </w:p>
    <w:p w14:paraId="2752BB39" w14:textId="77777777" w:rsidR="00443B83" w:rsidRPr="007D1591" w:rsidRDefault="00443B83" w:rsidP="00B05E27">
      <w:pPr>
        <w:snapToGrid w:val="0"/>
        <w:spacing w:line="360" w:lineRule="auto"/>
        <w:jc w:val="both"/>
        <w:rPr>
          <w:rFonts w:ascii="Book Antiqua" w:eastAsia="Book Antiqua" w:hAnsi="Book Antiqua" w:cs="Book Antiqua"/>
          <w:b/>
          <w:color w:val="000000"/>
        </w:rPr>
      </w:pPr>
      <w:r w:rsidRPr="007D1591">
        <w:rPr>
          <w:rFonts w:ascii="Book Antiqua" w:eastAsia="Book Antiqua" w:hAnsi="Book Antiqua" w:cs="Book Antiqua"/>
          <w:b/>
          <w:color w:val="000000"/>
        </w:rPr>
        <w:br w:type="page"/>
      </w:r>
      <w:r w:rsidRPr="007D1591">
        <w:rPr>
          <w:noProof/>
          <w:lang w:eastAsia="zh-CN"/>
        </w:rPr>
        <w:drawing>
          <wp:inline distT="0" distB="0" distL="0" distR="0" wp14:anchorId="4689DB71" wp14:editId="31B46A8C">
            <wp:extent cx="5943600" cy="3592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92830"/>
                    </a:xfrm>
                    <a:prstGeom prst="rect">
                      <a:avLst/>
                    </a:prstGeom>
                  </pic:spPr>
                </pic:pic>
              </a:graphicData>
            </a:graphic>
          </wp:inline>
        </w:drawing>
      </w:r>
    </w:p>
    <w:p w14:paraId="2BE549BB" w14:textId="39BEB51F" w:rsidR="00A77B3E" w:rsidRPr="005D3CC9" w:rsidRDefault="00443B83" w:rsidP="00B05E27">
      <w:pPr>
        <w:snapToGrid w:val="0"/>
        <w:spacing w:line="360" w:lineRule="auto"/>
        <w:jc w:val="both"/>
        <w:rPr>
          <w:bCs/>
          <w:lang w:eastAsia="zh-CN"/>
        </w:rPr>
      </w:pPr>
      <w:r w:rsidRPr="007D1591">
        <w:rPr>
          <w:rFonts w:ascii="Book Antiqua" w:eastAsia="Book Antiqua" w:hAnsi="Book Antiqua" w:cs="Book Antiqua"/>
          <w:b/>
          <w:color w:val="000000"/>
        </w:rPr>
        <w:t>Figure 2 Extraction of bezoar from small intestine</w:t>
      </w:r>
      <w:r w:rsidR="005D3CC9" w:rsidRPr="007D1591">
        <w:rPr>
          <w:rFonts w:ascii="Book Antiqua" w:hAnsi="Book Antiqua" w:cs="Book Antiqua"/>
          <w:b/>
          <w:color w:val="000000"/>
          <w:lang w:eastAsia="zh-CN"/>
        </w:rPr>
        <w:t>.</w:t>
      </w:r>
      <w:r w:rsidR="00C90E63" w:rsidRPr="007D1591">
        <w:rPr>
          <w:rFonts w:ascii="Book Antiqua" w:hAnsi="Book Antiqua" w:cs="Book Antiqua"/>
          <w:b/>
          <w:color w:val="000000"/>
          <w:lang w:eastAsia="zh-CN"/>
        </w:rPr>
        <w:t xml:space="preserve"> </w:t>
      </w:r>
      <w:r w:rsidR="00C90E63" w:rsidRPr="007D1591">
        <w:rPr>
          <w:rFonts w:ascii="Book Antiqua" w:hAnsi="Book Antiqua" w:cs="Book Antiqua"/>
          <w:bCs/>
          <w:color w:val="000000"/>
          <w:lang w:eastAsia="zh-CN"/>
        </w:rPr>
        <w:t>A</w:t>
      </w:r>
      <w:r w:rsidR="005D3CC9" w:rsidRPr="007D1591">
        <w:rPr>
          <w:rFonts w:ascii="Book Antiqua" w:hAnsi="Book Antiqua" w:cs="Book Antiqua"/>
          <w:bCs/>
          <w:color w:val="000000"/>
          <w:lang w:eastAsia="zh-CN"/>
        </w:rPr>
        <w:t>:</w:t>
      </w:r>
      <w:r w:rsidR="00C90E63" w:rsidRPr="007D1591">
        <w:rPr>
          <w:rFonts w:ascii="Book Antiqua" w:hAnsi="Book Antiqua" w:cs="Book Antiqua"/>
          <w:bCs/>
          <w:color w:val="000000"/>
          <w:lang w:eastAsia="zh-CN"/>
        </w:rPr>
        <w:t xml:space="preserve"> </w:t>
      </w:r>
      <w:r w:rsidR="00C90E63" w:rsidRPr="007D1591">
        <w:rPr>
          <w:rFonts w:ascii="Book Antiqua" w:hAnsi="Book Antiqua" w:cs="Book Antiqua"/>
          <w:bCs/>
          <w:caps/>
          <w:color w:val="000000"/>
          <w:lang w:eastAsia="zh-CN"/>
        </w:rPr>
        <w:t>e</w:t>
      </w:r>
      <w:r w:rsidR="00C90E63" w:rsidRPr="007D1591">
        <w:rPr>
          <w:rFonts w:ascii="Book Antiqua" w:hAnsi="Book Antiqua" w:cs="Book Antiqua"/>
          <w:bCs/>
          <w:color w:val="000000"/>
          <w:lang w:eastAsia="zh-CN"/>
        </w:rPr>
        <w:t>nterotomy of small bowel; B</w:t>
      </w:r>
      <w:r w:rsidR="005D3CC9" w:rsidRPr="007D1591">
        <w:rPr>
          <w:rFonts w:ascii="Book Antiqua" w:hAnsi="Book Antiqua" w:cs="Book Antiqua"/>
          <w:bCs/>
          <w:color w:val="000000"/>
          <w:lang w:eastAsia="zh-CN"/>
        </w:rPr>
        <w:t>:</w:t>
      </w:r>
      <w:r w:rsidR="00C90E63" w:rsidRPr="007D1591">
        <w:rPr>
          <w:rFonts w:ascii="Book Antiqua" w:hAnsi="Book Antiqua" w:cs="Book Antiqua"/>
          <w:bCs/>
          <w:color w:val="000000"/>
          <w:lang w:eastAsia="zh-CN"/>
        </w:rPr>
        <w:t xml:space="preserve"> </w:t>
      </w:r>
      <w:r w:rsidR="00C90E63" w:rsidRPr="007D1591">
        <w:rPr>
          <w:rFonts w:ascii="Book Antiqua" w:hAnsi="Book Antiqua" w:cs="Book Antiqua"/>
          <w:bCs/>
          <w:caps/>
          <w:color w:val="000000"/>
          <w:lang w:eastAsia="zh-CN"/>
        </w:rPr>
        <w:t>i</w:t>
      </w:r>
      <w:r w:rsidR="00C90E63" w:rsidRPr="007D1591">
        <w:rPr>
          <w:rFonts w:ascii="Book Antiqua" w:hAnsi="Book Antiqua" w:cs="Book Antiqua"/>
          <w:bCs/>
          <w:color w:val="000000"/>
          <w:lang w:eastAsia="zh-CN"/>
        </w:rPr>
        <w:t>dentification of bezoar-caused obstruction; C</w:t>
      </w:r>
      <w:r w:rsidR="005D3CC9" w:rsidRPr="007D1591">
        <w:rPr>
          <w:rFonts w:ascii="Book Antiqua" w:hAnsi="Book Antiqua" w:cs="Book Antiqua"/>
          <w:bCs/>
          <w:color w:val="000000"/>
          <w:lang w:eastAsia="zh-CN"/>
        </w:rPr>
        <w:t>:</w:t>
      </w:r>
      <w:r w:rsidR="00C90E63" w:rsidRPr="007D1591">
        <w:rPr>
          <w:rFonts w:ascii="Book Antiqua" w:hAnsi="Book Antiqua" w:cs="Book Antiqua"/>
          <w:bCs/>
          <w:color w:val="000000"/>
          <w:lang w:eastAsia="zh-CN"/>
        </w:rPr>
        <w:t xml:space="preserve"> </w:t>
      </w:r>
      <w:r w:rsidR="00C90E63" w:rsidRPr="007D1591">
        <w:rPr>
          <w:rFonts w:ascii="Book Antiqua" w:hAnsi="Book Antiqua" w:cs="Book Antiqua"/>
          <w:bCs/>
          <w:caps/>
          <w:color w:val="000000"/>
          <w:lang w:eastAsia="zh-CN"/>
        </w:rPr>
        <w:t>e</w:t>
      </w:r>
      <w:r w:rsidR="00C90E63" w:rsidRPr="007D1591">
        <w:rPr>
          <w:rFonts w:ascii="Book Antiqua" w:hAnsi="Book Antiqua" w:cs="Book Antiqua"/>
          <w:bCs/>
          <w:color w:val="000000"/>
          <w:lang w:eastAsia="zh-CN"/>
        </w:rPr>
        <w:t>xtraction and removal of bezoar</w:t>
      </w:r>
      <w:r w:rsidR="00710FBE" w:rsidRPr="007D1591">
        <w:rPr>
          <w:rFonts w:ascii="Book Antiqua" w:hAnsi="Book Antiqua" w:cs="Book Antiqua" w:hint="eastAsia"/>
          <w:bCs/>
          <w:color w:val="000000"/>
          <w:lang w:eastAsia="zh-CN"/>
        </w:rPr>
        <w:t>.</w:t>
      </w:r>
    </w:p>
    <w:sectPr w:rsidR="00A77B3E" w:rsidRPr="005D3CC9" w:rsidSect="004C15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11ABE" w14:textId="77777777" w:rsidR="009779CB" w:rsidRDefault="009779CB" w:rsidP="00686E7A">
      <w:r>
        <w:separator/>
      </w:r>
    </w:p>
  </w:endnote>
  <w:endnote w:type="continuationSeparator" w:id="0">
    <w:p w14:paraId="77381B90" w14:textId="77777777" w:rsidR="009779CB" w:rsidRDefault="009779CB" w:rsidP="0068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71708"/>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445756E6" w14:textId="77777777" w:rsidR="00686E7A" w:rsidRPr="00686E7A" w:rsidRDefault="00686E7A" w:rsidP="00686E7A">
            <w:pPr>
              <w:pStyle w:val="a4"/>
              <w:jc w:val="right"/>
              <w:rPr>
                <w:sz w:val="24"/>
                <w:szCs w:val="24"/>
              </w:rPr>
            </w:pPr>
            <w:r w:rsidRPr="00686E7A">
              <w:rPr>
                <w:sz w:val="24"/>
                <w:szCs w:val="24"/>
                <w:lang w:val="zh-CN" w:eastAsia="zh-CN"/>
              </w:rPr>
              <w:t xml:space="preserve"> </w:t>
            </w:r>
            <w:r w:rsidRPr="00686E7A">
              <w:rPr>
                <w:bCs/>
                <w:sz w:val="24"/>
                <w:szCs w:val="24"/>
              </w:rPr>
              <w:fldChar w:fldCharType="begin"/>
            </w:r>
            <w:r w:rsidRPr="00686E7A">
              <w:rPr>
                <w:bCs/>
                <w:sz w:val="24"/>
                <w:szCs w:val="24"/>
              </w:rPr>
              <w:instrText>PAGE</w:instrText>
            </w:r>
            <w:r w:rsidRPr="00686E7A">
              <w:rPr>
                <w:bCs/>
                <w:sz w:val="24"/>
                <w:szCs w:val="24"/>
              </w:rPr>
              <w:fldChar w:fldCharType="separate"/>
            </w:r>
            <w:r w:rsidR="009779CB">
              <w:rPr>
                <w:bCs/>
                <w:noProof/>
                <w:sz w:val="24"/>
                <w:szCs w:val="24"/>
              </w:rPr>
              <w:t>1</w:t>
            </w:r>
            <w:r w:rsidRPr="00686E7A">
              <w:rPr>
                <w:bCs/>
                <w:sz w:val="24"/>
                <w:szCs w:val="24"/>
              </w:rPr>
              <w:fldChar w:fldCharType="end"/>
            </w:r>
            <w:r w:rsidRPr="00686E7A">
              <w:rPr>
                <w:sz w:val="24"/>
                <w:szCs w:val="24"/>
                <w:lang w:val="zh-CN" w:eastAsia="zh-CN"/>
              </w:rPr>
              <w:t xml:space="preserve"> / </w:t>
            </w:r>
            <w:r w:rsidRPr="00686E7A">
              <w:rPr>
                <w:bCs/>
                <w:sz w:val="24"/>
                <w:szCs w:val="24"/>
              </w:rPr>
              <w:fldChar w:fldCharType="begin"/>
            </w:r>
            <w:r w:rsidRPr="00686E7A">
              <w:rPr>
                <w:bCs/>
                <w:sz w:val="24"/>
                <w:szCs w:val="24"/>
              </w:rPr>
              <w:instrText>NUMPAGES</w:instrText>
            </w:r>
            <w:r w:rsidRPr="00686E7A">
              <w:rPr>
                <w:bCs/>
                <w:sz w:val="24"/>
                <w:szCs w:val="24"/>
              </w:rPr>
              <w:fldChar w:fldCharType="separate"/>
            </w:r>
            <w:r w:rsidR="009779CB">
              <w:rPr>
                <w:bCs/>
                <w:noProof/>
                <w:sz w:val="24"/>
                <w:szCs w:val="24"/>
              </w:rPr>
              <w:t>1</w:t>
            </w:r>
            <w:r w:rsidRPr="00686E7A">
              <w:rPr>
                <w:bCs/>
                <w:sz w:val="24"/>
                <w:szCs w:val="24"/>
              </w:rPr>
              <w:fldChar w:fldCharType="end"/>
            </w:r>
          </w:p>
        </w:sdtContent>
      </w:sdt>
    </w:sdtContent>
  </w:sdt>
  <w:p w14:paraId="65AD97B5" w14:textId="77777777" w:rsidR="00686E7A" w:rsidRDefault="00686E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772C1" w14:textId="77777777" w:rsidR="009779CB" w:rsidRDefault="009779CB" w:rsidP="00686E7A">
      <w:r>
        <w:separator/>
      </w:r>
    </w:p>
  </w:footnote>
  <w:footnote w:type="continuationSeparator" w:id="0">
    <w:p w14:paraId="6112BFEA" w14:textId="77777777" w:rsidR="009779CB" w:rsidRDefault="009779CB" w:rsidP="00686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687"/>
    <w:rsid w:val="00071C76"/>
    <w:rsid w:val="000759AD"/>
    <w:rsid w:val="00093BB2"/>
    <w:rsid w:val="00093E2B"/>
    <w:rsid w:val="000E351A"/>
    <w:rsid w:val="001A730B"/>
    <w:rsid w:val="001B13B4"/>
    <w:rsid w:val="002266CF"/>
    <w:rsid w:val="00234CAE"/>
    <w:rsid w:val="002D4904"/>
    <w:rsid w:val="00331408"/>
    <w:rsid w:val="00361916"/>
    <w:rsid w:val="0036341A"/>
    <w:rsid w:val="003A30BE"/>
    <w:rsid w:val="003B18EB"/>
    <w:rsid w:val="003D233A"/>
    <w:rsid w:val="00443B83"/>
    <w:rsid w:val="00497673"/>
    <w:rsid w:val="004A2B9F"/>
    <w:rsid w:val="004B1C05"/>
    <w:rsid w:val="004C1566"/>
    <w:rsid w:val="004C4476"/>
    <w:rsid w:val="004D19D6"/>
    <w:rsid w:val="004E28C6"/>
    <w:rsid w:val="004E3319"/>
    <w:rsid w:val="00531E4D"/>
    <w:rsid w:val="00562173"/>
    <w:rsid w:val="0056244C"/>
    <w:rsid w:val="00594B32"/>
    <w:rsid w:val="005D3CC9"/>
    <w:rsid w:val="005D6E69"/>
    <w:rsid w:val="005F2FC5"/>
    <w:rsid w:val="00633101"/>
    <w:rsid w:val="0063366E"/>
    <w:rsid w:val="006718B1"/>
    <w:rsid w:val="00686E7A"/>
    <w:rsid w:val="006933D3"/>
    <w:rsid w:val="00697A52"/>
    <w:rsid w:val="006D0121"/>
    <w:rsid w:val="006D12EB"/>
    <w:rsid w:val="006E4D84"/>
    <w:rsid w:val="00710FBE"/>
    <w:rsid w:val="0072456B"/>
    <w:rsid w:val="007528A9"/>
    <w:rsid w:val="007C70D5"/>
    <w:rsid w:val="007D1591"/>
    <w:rsid w:val="007D20B1"/>
    <w:rsid w:val="00837BEE"/>
    <w:rsid w:val="0086026F"/>
    <w:rsid w:val="008F7630"/>
    <w:rsid w:val="00932610"/>
    <w:rsid w:val="00937257"/>
    <w:rsid w:val="00947B05"/>
    <w:rsid w:val="009779CB"/>
    <w:rsid w:val="009A2F78"/>
    <w:rsid w:val="009B22A3"/>
    <w:rsid w:val="009D0D69"/>
    <w:rsid w:val="00A5004B"/>
    <w:rsid w:val="00A5216F"/>
    <w:rsid w:val="00A77B3E"/>
    <w:rsid w:val="00B05E27"/>
    <w:rsid w:val="00B102EB"/>
    <w:rsid w:val="00B326B4"/>
    <w:rsid w:val="00B9480D"/>
    <w:rsid w:val="00BB0E2C"/>
    <w:rsid w:val="00BD4D2B"/>
    <w:rsid w:val="00C90E63"/>
    <w:rsid w:val="00C94879"/>
    <w:rsid w:val="00CA2A55"/>
    <w:rsid w:val="00D1620C"/>
    <w:rsid w:val="00D240E4"/>
    <w:rsid w:val="00D52C73"/>
    <w:rsid w:val="00DA2718"/>
    <w:rsid w:val="00DC480C"/>
    <w:rsid w:val="00DE26D7"/>
    <w:rsid w:val="00DF4234"/>
    <w:rsid w:val="00E030E9"/>
    <w:rsid w:val="00E27583"/>
    <w:rsid w:val="00EF30BE"/>
    <w:rsid w:val="00F12E1E"/>
    <w:rsid w:val="00F173FD"/>
    <w:rsid w:val="00F54D84"/>
    <w:rsid w:val="00F5592F"/>
    <w:rsid w:val="00F65E1C"/>
    <w:rsid w:val="00FC0F27"/>
    <w:rsid w:val="00FC1968"/>
    <w:rsid w:val="00FC6271"/>
    <w:rsid w:val="00FE0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5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6E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6E7A"/>
    <w:rPr>
      <w:sz w:val="18"/>
      <w:szCs w:val="18"/>
    </w:rPr>
  </w:style>
  <w:style w:type="paragraph" w:styleId="a4">
    <w:name w:val="footer"/>
    <w:basedOn w:val="a"/>
    <w:link w:val="Char0"/>
    <w:uiPriority w:val="99"/>
    <w:unhideWhenUsed/>
    <w:rsid w:val="00686E7A"/>
    <w:pPr>
      <w:tabs>
        <w:tab w:val="center" w:pos="4153"/>
        <w:tab w:val="right" w:pos="8306"/>
      </w:tabs>
      <w:snapToGrid w:val="0"/>
    </w:pPr>
    <w:rPr>
      <w:sz w:val="18"/>
      <w:szCs w:val="18"/>
    </w:rPr>
  </w:style>
  <w:style w:type="character" w:customStyle="1" w:styleId="Char0">
    <w:name w:val="页脚 Char"/>
    <w:basedOn w:val="a0"/>
    <w:link w:val="a4"/>
    <w:uiPriority w:val="99"/>
    <w:rsid w:val="00686E7A"/>
    <w:rPr>
      <w:sz w:val="18"/>
      <w:szCs w:val="18"/>
    </w:rPr>
  </w:style>
  <w:style w:type="character" w:styleId="a5">
    <w:name w:val="annotation reference"/>
    <w:basedOn w:val="a0"/>
    <w:semiHidden/>
    <w:unhideWhenUsed/>
    <w:rsid w:val="004B1C05"/>
    <w:rPr>
      <w:sz w:val="21"/>
      <w:szCs w:val="21"/>
    </w:rPr>
  </w:style>
  <w:style w:type="paragraph" w:styleId="a6">
    <w:name w:val="annotation text"/>
    <w:basedOn w:val="a"/>
    <w:link w:val="Char1"/>
    <w:semiHidden/>
    <w:unhideWhenUsed/>
    <w:rsid w:val="004B1C05"/>
  </w:style>
  <w:style w:type="character" w:customStyle="1" w:styleId="Char1">
    <w:name w:val="批注文字 Char"/>
    <w:basedOn w:val="a0"/>
    <w:link w:val="a6"/>
    <w:semiHidden/>
    <w:rsid w:val="004B1C05"/>
    <w:rPr>
      <w:sz w:val="24"/>
      <w:szCs w:val="24"/>
    </w:rPr>
  </w:style>
  <w:style w:type="paragraph" w:styleId="a7">
    <w:name w:val="annotation subject"/>
    <w:basedOn w:val="a6"/>
    <w:next w:val="a6"/>
    <w:link w:val="Char2"/>
    <w:semiHidden/>
    <w:unhideWhenUsed/>
    <w:rsid w:val="004B1C05"/>
    <w:rPr>
      <w:b/>
      <w:bCs/>
    </w:rPr>
  </w:style>
  <w:style w:type="character" w:customStyle="1" w:styleId="Char2">
    <w:name w:val="批注主题 Char"/>
    <w:basedOn w:val="Char1"/>
    <w:link w:val="a7"/>
    <w:semiHidden/>
    <w:rsid w:val="004B1C05"/>
    <w:rPr>
      <w:b/>
      <w:bCs/>
      <w:sz w:val="24"/>
      <w:szCs w:val="24"/>
    </w:rPr>
  </w:style>
  <w:style w:type="paragraph" w:styleId="a8">
    <w:name w:val="Balloon Text"/>
    <w:basedOn w:val="a"/>
    <w:link w:val="Char3"/>
    <w:semiHidden/>
    <w:unhideWhenUsed/>
    <w:rsid w:val="004B1C05"/>
    <w:rPr>
      <w:sz w:val="18"/>
      <w:szCs w:val="18"/>
    </w:rPr>
  </w:style>
  <w:style w:type="character" w:customStyle="1" w:styleId="Char3">
    <w:name w:val="批注框文本 Char"/>
    <w:basedOn w:val="a0"/>
    <w:link w:val="a8"/>
    <w:semiHidden/>
    <w:rsid w:val="004B1C05"/>
    <w:rPr>
      <w:sz w:val="18"/>
      <w:szCs w:val="18"/>
    </w:rPr>
  </w:style>
  <w:style w:type="character" w:customStyle="1" w:styleId="apple-converted-space">
    <w:name w:val="apple-converted-space"/>
    <w:basedOn w:val="a0"/>
    <w:rsid w:val="00DF4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6E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6E7A"/>
    <w:rPr>
      <w:sz w:val="18"/>
      <w:szCs w:val="18"/>
    </w:rPr>
  </w:style>
  <w:style w:type="paragraph" w:styleId="a4">
    <w:name w:val="footer"/>
    <w:basedOn w:val="a"/>
    <w:link w:val="Char0"/>
    <w:uiPriority w:val="99"/>
    <w:unhideWhenUsed/>
    <w:rsid w:val="00686E7A"/>
    <w:pPr>
      <w:tabs>
        <w:tab w:val="center" w:pos="4153"/>
        <w:tab w:val="right" w:pos="8306"/>
      </w:tabs>
      <w:snapToGrid w:val="0"/>
    </w:pPr>
    <w:rPr>
      <w:sz w:val="18"/>
      <w:szCs w:val="18"/>
    </w:rPr>
  </w:style>
  <w:style w:type="character" w:customStyle="1" w:styleId="Char0">
    <w:name w:val="页脚 Char"/>
    <w:basedOn w:val="a0"/>
    <w:link w:val="a4"/>
    <w:uiPriority w:val="99"/>
    <w:rsid w:val="00686E7A"/>
    <w:rPr>
      <w:sz w:val="18"/>
      <w:szCs w:val="18"/>
    </w:rPr>
  </w:style>
  <w:style w:type="character" w:styleId="a5">
    <w:name w:val="annotation reference"/>
    <w:basedOn w:val="a0"/>
    <w:semiHidden/>
    <w:unhideWhenUsed/>
    <w:rsid w:val="004B1C05"/>
    <w:rPr>
      <w:sz w:val="21"/>
      <w:szCs w:val="21"/>
    </w:rPr>
  </w:style>
  <w:style w:type="paragraph" w:styleId="a6">
    <w:name w:val="annotation text"/>
    <w:basedOn w:val="a"/>
    <w:link w:val="Char1"/>
    <w:semiHidden/>
    <w:unhideWhenUsed/>
    <w:rsid w:val="004B1C05"/>
  </w:style>
  <w:style w:type="character" w:customStyle="1" w:styleId="Char1">
    <w:name w:val="批注文字 Char"/>
    <w:basedOn w:val="a0"/>
    <w:link w:val="a6"/>
    <w:semiHidden/>
    <w:rsid w:val="004B1C05"/>
    <w:rPr>
      <w:sz w:val="24"/>
      <w:szCs w:val="24"/>
    </w:rPr>
  </w:style>
  <w:style w:type="paragraph" w:styleId="a7">
    <w:name w:val="annotation subject"/>
    <w:basedOn w:val="a6"/>
    <w:next w:val="a6"/>
    <w:link w:val="Char2"/>
    <w:semiHidden/>
    <w:unhideWhenUsed/>
    <w:rsid w:val="004B1C05"/>
    <w:rPr>
      <w:b/>
      <w:bCs/>
    </w:rPr>
  </w:style>
  <w:style w:type="character" w:customStyle="1" w:styleId="Char2">
    <w:name w:val="批注主题 Char"/>
    <w:basedOn w:val="Char1"/>
    <w:link w:val="a7"/>
    <w:semiHidden/>
    <w:rsid w:val="004B1C05"/>
    <w:rPr>
      <w:b/>
      <w:bCs/>
      <w:sz w:val="24"/>
      <w:szCs w:val="24"/>
    </w:rPr>
  </w:style>
  <w:style w:type="paragraph" w:styleId="a8">
    <w:name w:val="Balloon Text"/>
    <w:basedOn w:val="a"/>
    <w:link w:val="Char3"/>
    <w:semiHidden/>
    <w:unhideWhenUsed/>
    <w:rsid w:val="004B1C05"/>
    <w:rPr>
      <w:sz w:val="18"/>
      <w:szCs w:val="18"/>
    </w:rPr>
  </w:style>
  <w:style w:type="character" w:customStyle="1" w:styleId="Char3">
    <w:name w:val="批注框文本 Char"/>
    <w:basedOn w:val="a0"/>
    <w:link w:val="a8"/>
    <w:semiHidden/>
    <w:rsid w:val="004B1C05"/>
    <w:rPr>
      <w:sz w:val="18"/>
      <w:szCs w:val="18"/>
    </w:rPr>
  </w:style>
  <w:style w:type="character" w:customStyle="1" w:styleId="apple-converted-space">
    <w:name w:val="apple-converted-space"/>
    <w:basedOn w:val="a0"/>
    <w:rsid w:val="00DF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11</cp:revision>
  <dcterms:created xsi:type="dcterms:W3CDTF">2020-08-25T17:55:00Z</dcterms:created>
  <dcterms:modified xsi:type="dcterms:W3CDTF">2020-09-17T06:00:00Z</dcterms:modified>
</cp:coreProperties>
</file>