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409"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Name of Journal: </w:t>
      </w:r>
      <w:r w:rsidRPr="000870C5">
        <w:rPr>
          <w:rFonts w:ascii="Book Antiqua" w:eastAsia="Book Antiqua" w:hAnsi="Book Antiqua" w:cs="Book Antiqua"/>
          <w:i/>
          <w:color w:val="000000"/>
        </w:rPr>
        <w:t>World Journal of Diabetes</w:t>
      </w:r>
    </w:p>
    <w:p w14:paraId="4B7E159C"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Manuscript NO: </w:t>
      </w:r>
      <w:r w:rsidRPr="000870C5">
        <w:rPr>
          <w:rFonts w:ascii="Book Antiqua" w:eastAsia="Book Antiqua" w:hAnsi="Book Antiqua" w:cs="Book Antiqua"/>
          <w:color w:val="000000"/>
        </w:rPr>
        <w:t>56605</w:t>
      </w:r>
    </w:p>
    <w:p w14:paraId="3F0FE16E"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Manuscript Type: </w:t>
      </w:r>
      <w:r w:rsidR="00751E4A" w:rsidRPr="000870C5">
        <w:rPr>
          <w:rFonts w:ascii="Book Antiqua" w:eastAsia="Book Antiqua" w:hAnsi="Book Antiqua" w:cs="Book Antiqua"/>
          <w:bCs/>
          <w:caps/>
          <w:color w:val="000000"/>
          <w:shd w:val="clear" w:color="auto" w:fill="FFFFFF"/>
        </w:rPr>
        <w:t>systematic reviews</w:t>
      </w:r>
    </w:p>
    <w:p w14:paraId="5F48180B" w14:textId="77777777" w:rsidR="00A77B3E" w:rsidRPr="000870C5" w:rsidRDefault="00A77B3E" w:rsidP="000870C5">
      <w:pPr>
        <w:snapToGrid w:val="0"/>
        <w:spacing w:line="360" w:lineRule="auto"/>
        <w:jc w:val="both"/>
        <w:rPr>
          <w:rFonts w:ascii="Book Antiqua" w:hAnsi="Book Antiqua"/>
        </w:rPr>
      </w:pPr>
    </w:p>
    <w:p w14:paraId="6BCF4B17"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shd w:val="clear" w:color="auto" w:fill="FFFFFF"/>
        </w:rPr>
        <w:t>Lower</w:t>
      </w:r>
      <w:r w:rsidR="00117EE4" w:rsidRPr="000870C5">
        <w:rPr>
          <w:rFonts w:ascii="Book Antiqua" w:eastAsia="Book Antiqua" w:hAnsi="Book Antiqua" w:cs="Book Antiqua"/>
          <w:b/>
          <w:bCs/>
          <w:color w:val="000000"/>
          <w:shd w:val="clear" w:color="auto" w:fill="FFFFFF"/>
        </w:rPr>
        <w:t xml:space="preserve"> extremity amputations and long-term outcomes in diabetic foot ulcers: </w:t>
      </w:r>
      <w:r w:rsidRPr="000870C5">
        <w:rPr>
          <w:rFonts w:ascii="Book Antiqua" w:eastAsia="Book Antiqua" w:hAnsi="Book Antiqua" w:cs="Book Antiqua"/>
          <w:b/>
          <w:bCs/>
          <w:color w:val="000000"/>
          <w:shd w:val="clear" w:color="auto" w:fill="FFFFFF"/>
        </w:rPr>
        <w:t xml:space="preserve">A </w:t>
      </w:r>
      <w:r w:rsidR="00117EE4" w:rsidRPr="000870C5">
        <w:rPr>
          <w:rFonts w:ascii="Book Antiqua" w:eastAsia="Book Antiqua" w:hAnsi="Book Antiqua" w:cs="Book Antiqua"/>
          <w:b/>
          <w:bCs/>
          <w:color w:val="000000"/>
          <w:shd w:val="clear" w:color="auto" w:fill="FFFFFF"/>
        </w:rPr>
        <w:t>systematic review</w:t>
      </w:r>
    </w:p>
    <w:p w14:paraId="0A809D2E" w14:textId="77777777" w:rsidR="00A77B3E" w:rsidRPr="000870C5" w:rsidRDefault="00A77B3E" w:rsidP="000870C5">
      <w:pPr>
        <w:snapToGrid w:val="0"/>
        <w:spacing w:line="360" w:lineRule="auto"/>
        <w:jc w:val="both"/>
        <w:rPr>
          <w:rFonts w:ascii="Book Antiqua" w:hAnsi="Book Antiqua"/>
        </w:rPr>
      </w:pPr>
    </w:p>
    <w:p w14:paraId="031AAFE0" w14:textId="77777777" w:rsidR="00A77B3E" w:rsidRPr="000870C5" w:rsidRDefault="00042CAC" w:rsidP="000870C5">
      <w:pPr>
        <w:snapToGrid w:val="0"/>
        <w:spacing w:line="360" w:lineRule="auto"/>
        <w:jc w:val="both"/>
        <w:rPr>
          <w:rFonts w:ascii="Book Antiqua" w:hAnsi="Book Antiqua"/>
        </w:rPr>
      </w:pPr>
      <w:r w:rsidRPr="000870C5">
        <w:rPr>
          <w:rFonts w:ascii="Book Antiqua" w:eastAsia="Book Antiqua" w:hAnsi="Book Antiqua" w:cs="Book Antiqua"/>
          <w:color w:val="000000"/>
        </w:rPr>
        <w:t>Rathnayake</w:t>
      </w:r>
      <w:r w:rsidRPr="000870C5">
        <w:rPr>
          <w:rFonts w:ascii="Book Antiqua" w:eastAsia="Book Antiqua" w:hAnsi="Book Antiqua" w:cs="Book Antiqua"/>
          <w:bCs/>
          <w:color w:val="000000"/>
          <w:shd w:val="clear" w:color="auto" w:fill="FFFFFF"/>
        </w:rPr>
        <w:t xml:space="preserve"> A </w:t>
      </w:r>
      <w:r w:rsidRPr="000870C5">
        <w:rPr>
          <w:rFonts w:ascii="Book Antiqua" w:eastAsia="Book Antiqua" w:hAnsi="Book Antiqua" w:cs="Book Antiqua"/>
          <w:bCs/>
          <w:i/>
          <w:color w:val="000000"/>
          <w:shd w:val="clear" w:color="auto" w:fill="FFFFFF"/>
        </w:rPr>
        <w:t>et al</w:t>
      </w:r>
      <w:r w:rsidRPr="000870C5">
        <w:rPr>
          <w:rFonts w:ascii="Book Antiqua" w:eastAsia="Book Antiqua" w:hAnsi="Book Antiqua" w:cs="Book Antiqua"/>
          <w:bCs/>
          <w:color w:val="000000"/>
          <w:shd w:val="clear" w:color="auto" w:fill="FFFFFF"/>
        </w:rPr>
        <w:t xml:space="preserve">. </w:t>
      </w:r>
      <w:r w:rsidR="00896437" w:rsidRPr="000870C5">
        <w:rPr>
          <w:rFonts w:ascii="Book Antiqua" w:eastAsia="Book Antiqua" w:hAnsi="Book Antiqua" w:cs="Book Antiqua"/>
          <w:color w:val="000000"/>
        </w:rPr>
        <w:t>LEA</w:t>
      </w:r>
      <w:r w:rsidR="00896437" w:rsidRPr="000870C5">
        <w:rPr>
          <w:rFonts w:ascii="Book Antiqua" w:eastAsia="Book Antiqua" w:hAnsi="Book Antiqua" w:cs="Book Antiqua"/>
          <w:bCs/>
          <w:color w:val="000000"/>
          <w:shd w:val="clear" w:color="auto" w:fill="FFFFFF"/>
        </w:rPr>
        <w:t xml:space="preserve"> </w:t>
      </w:r>
      <w:r w:rsidR="00D729F1" w:rsidRPr="000870C5">
        <w:rPr>
          <w:rFonts w:ascii="Book Antiqua" w:eastAsia="Book Antiqua" w:hAnsi="Book Antiqua" w:cs="Book Antiqua"/>
          <w:bCs/>
          <w:color w:val="000000"/>
          <w:shd w:val="clear" w:color="auto" w:fill="FFFFFF"/>
        </w:rPr>
        <w:t xml:space="preserve">and long-term outcomes in </w:t>
      </w:r>
      <w:r w:rsidRPr="000870C5">
        <w:rPr>
          <w:rFonts w:ascii="Book Antiqua" w:eastAsia="Book Antiqua" w:hAnsi="Book Antiqua" w:cs="Book Antiqua"/>
          <w:bCs/>
          <w:color w:val="000000"/>
          <w:shd w:val="clear" w:color="auto" w:fill="FFFFFF"/>
        </w:rPr>
        <w:t>DFU</w:t>
      </w:r>
    </w:p>
    <w:p w14:paraId="31D9E6C3" w14:textId="77777777" w:rsidR="00A77B3E" w:rsidRPr="000870C5" w:rsidRDefault="00A77B3E" w:rsidP="000870C5">
      <w:pPr>
        <w:snapToGrid w:val="0"/>
        <w:spacing w:line="360" w:lineRule="auto"/>
        <w:jc w:val="both"/>
        <w:rPr>
          <w:rFonts w:ascii="Book Antiqua" w:hAnsi="Book Antiqua"/>
        </w:rPr>
      </w:pPr>
    </w:p>
    <w:p w14:paraId="0F769E23" w14:textId="77777777" w:rsidR="00A77B3E" w:rsidRPr="000870C5" w:rsidRDefault="005B58C3" w:rsidP="000870C5">
      <w:pPr>
        <w:snapToGrid w:val="0"/>
        <w:spacing w:line="360" w:lineRule="auto"/>
        <w:jc w:val="both"/>
        <w:rPr>
          <w:rFonts w:ascii="Book Antiqua" w:hAnsi="Book Antiqua"/>
        </w:rPr>
      </w:pPr>
      <w:proofErr w:type="spellStart"/>
      <w:r w:rsidRPr="000870C5">
        <w:rPr>
          <w:rFonts w:ascii="Book Antiqua" w:eastAsia="Book Antiqua" w:hAnsi="Book Antiqua" w:cs="Book Antiqua"/>
          <w:color w:val="000000"/>
        </w:rPr>
        <w:t>Ayeshmanthe</w:t>
      </w:r>
      <w:proofErr w:type="spellEnd"/>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Rathnayake</w:t>
      </w:r>
      <w:proofErr w:type="spellEnd"/>
      <w:r w:rsidRPr="000870C5">
        <w:rPr>
          <w:rFonts w:ascii="Book Antiqua" w:eastAsia="Book Antiqua" w:hAnsi="Book Antiqua" w:cs="Book Antiqua"/>
          <w:color w:val="000000"/>
        </w:rPr>
        <w:t xml:space="preserve">, Apoorva </w:t>
      </w:r>
      <w:proofErr w:type="spellStart"/>
      <w:r w:rsidRPr="000870C5">
        <w:rPr>
          <w:rFonts w:ascii="Book Antiqua" w:eastAsia="Book Antiqua" w:hAnsi="Book Antiqua" w:cs="Book Antiqua"/>
          <w:color w:val="000000"/>
        </w:rPr>
        <w:t>Saboo</w:t>
      </w:r>
      <w:proofErr w:type="spellEnd"/>
      <w:r w:rsidRPr="000870C5">
        <w:rPr>
          <w:rFonts w:ascii="Book Antiqua" w:eastAsia="Book Antiqua" w:hAnsi="Book Antiqua" w:cs="Book Antiqua"/>
          <w:color w:val="000000"/>
        </w:rPr>
        <w:t xml:space="preserve">, Usman H </w:t>
      </w:r>
      <w:proofErr w:type="spellStart"/>
      <w:r w:rsidRPr="000870C5">
        <w:rPr>
          <w:rFonts w:ascii="Book Antiqua" w:eastAsia="Book Antiqua" w:hAnsi="Book Antiqua" w:cs="Book Antiqua"/>
          <w:color w:val="000000"/>
        </w:rPr>
        <w:t>Malabu</w:t>
      </w:r>
      <w:proofErr w:type="spellEnd"/>
      <w:r w:rsidRPr="000870C5">
        <w:rPr>
          <w:rFonts w:ascii="Book Antiqua" w:eastAsia="Book Antiqua" w:hAnsi="Book Antiqua" w:cs="Book Antiqua"/>
          <w:color w:val="000000"/>
        </w:rPr>
        <w:t xml:space="preserve">, Henrik </w:t>
      </w:r>
      <w:proofErr w:type="spellStart"/>
      <w:r w:rsidRPr="000870C5">
        <w:rPr>
          <w:rFonts w:ascii="Book Antiqua" w:eastAsia="Book Antiqua" w:hAnsi="Book Antiqua" w:cs="Book Antiqua"/>
          <w:color w:val="000000"/>
        </w:rPr>
        <w:t>Falhammar</w:t>
      </w:r>
      <w:proofErr w:type="spellEnd"/>
    </w:p>
    <w:p w14:paraId="549D6048" w14:textId="77777777" w:rsidR="00A77B3E" w:rsidRPr="000870C5" w:rsidRDefault="00A77B3E" w:rsidP="000870C5">
      <w:pPr>
        <w:snapToGrid w:val="0"/>
        <w:spacing w:line="360" w:lineRule="auto"/>
        <w:jc w:val="both"/>
        <w:rPr>
          <w:rFonts w:ascii="Book Antiqua" w:hAnsi="Book Antiqua"/>
        </w:rPr>
      </w:pPr>
    </w:p>
    <w:p w14:paraId="34839382" w14:textId="7EA530E3" w:rsidR="00A77B3E" w:rsidRPr="000870C5" w:rsidRDefault="005B58C3" w:rsidP="000870C5">
      <w:pPr>
        <w:snapToGrid w:val="0"/>
        <w:spacing w:line="360" w:lineRule="auto"/>
        <w:jc w:val="both"/>
        <w:rPr>
          <w:rFonts w:ascii="Book Antiqua" w:hAnsi="Book Antiqua"/>
        </w:rPr>
      </w:pPr>
      <w:proofErr w:type="spellStart"/>
      <w:r w:rsidRPr="000870C5">
        <w:rPr>
          <w:rFonts w:ascii="Book Antiqua" w:eastAsia="Book Antiqua" w:hAnsi="Book Antiqua" w:cs="Book Antiqua"/>
          <w:b/>
          <w:bCs/>
          <w:color w:val="000000"/>
        </w:rPr>
        <w:t>Ayeshmanthe</w:t>
      </w:r>
      <w:proofErr w:type="spellEnd"/>
      <w:r w:rsidRPr="000870C5">
        <w:rPr>
          <w:rFonts w:ascii="Book Antiqua" w:eastAsia="Book Antiqua" w:hAnsi="Book Antiqua" w:cs="Book Antiqua"/>
          <w:b/>
          <w:bCs/>
          <w:color w:val="000000"/>
        </w:rPr>
        <w:t xml:space="preserve"> </w:t>
      </w:r>
      <w:proofErr w:type="spellStart"/>
      <w:r w:rsidRPr="000870C5">
        <w:rPr>
          <w:rFonts w:ascii="Book Antiqua" w:eastAsia="Book Antiqua" w:hAnsi="Book Antiqua" w:cs="Book Antiqua"/>
          <w:b/>
          <w:bCs/>
          <w:color w:val="000000"/>
        </w:rPr>
        <w:t>Rathnayake</w:t>
      </w:r>
      <w:proofErr w:type="spellEnd"/>
      <w:r w:rsidRPr="000870C5">
        <w:rPr>
          <w:rFonts w:ascii="Book Antiqua" w:eastAsia="Book Antiqua" w:hAnsi="Book Antiqua" w:cs="Book Antiqua"/>
          <w:b/>
          <w:bCs/>
          <w:color w:val="000000"/>
        </w:rPr>
        <w:t xml:space="preserve">, Apoorva </w:t>
      </w:r>
      <w:proofErr w:type="spellStart"/>
      <w:r w:rsidRPr="000870C5">
        <w:rPr>
          <w:rFonts w:ascii="Book Antiqua" w:eastAsia="Book Antiqua" w:hAnsi="Book Antiqua" w:cs="Book Antiqua"/>
          <w:b/>
          <w:bCs/>
          <w:color w:val="000000"/>
        </w:rPr>
        <w:t>Saboo</w:t>
      </w:r>
      <w:proofErr w:type="spellEnd"/>
      <w:r w:rsidRPr="000870C5">
        <w:rPr>
          <w:rFonts w:ascii="Book Antiqua" w:eastAsia="Book Antiqua" w:hAnsi="Book Antiqua" w:cs="Book Antiqua"/>
          <w:b/>
          <w:bCs/>
          <w:color w:val="000000"/>
        </w:rPr>
        <w:t xml:space="preserve">, Usman H </w:t>
      </w:r>
      <w:proofErr w:type="spellStart"/>
      <w:r w:rsidRPr="000870C5">
        <w:rPr>
          <w:rFonts w:ascii="Book Antiqua" w:eastAsia="Book Antiqua" w:hAnsi="Book Antiqua" w:cs="Book Antiqua"/>
          <w:b/>
          <w:bCs/>
          <w:color w:val="000000"/>
        </w:rPr>
        <w:t>Malabu</w:t>
      </w:r>
      <w:proofErr w:type="spellEnd"/>
      <w:r w:rsidRPr="000870C5">
        <w:rPr>
          <w:rFonts w:ascii="Book Antiqua" w:eastAsia="Book Antiqua" w:hAnsi="Book Antiqua" w:cs="Book Antiqua"/>
          <w:b/>
          <w:bCs/>
          <w:color w:val="000000"/>
        </w:rPr>
        <w:t xml:space="preserve">, </w:t>
      </w:r>
      <w:r w:rsidRPr="000870C5">
        <w:rPr>
          <w:rFonts w:ascii="Book Antiqua" w:eastAsia="Book Antiqua" w:hAnsi="Book Antiqua" w:cs="Book Antiqua"/>
          <w:color w:val="000000"/>
        </w:rPr>
        <w:t>Department of Medicine, Townsville University Hospital, Townsville 481</w:t>
      </w:r>
      <w:r w:rsidR="006F2DF9" w:rsidRPr="000870C5">
        <w:rPr>
          <w:rFonts w:ascii="Book Antiqua" w:eastAsia="Book Antiqua" w:hAnsi="Book Antiqua" w:cs="Book Antiqua"/>
          <w:color w:val="000000"/>
        </w:rPr>
        <w:t>4</w:t>
      </w:r>
      <w:r w:rsidRPr="000870C5">
        <w:rPr>
          <w:rFonts w:ascii="Book Antiqua" w:eastAsia="Book Antiqua" w:hAnsi="Book Antiqua" w:cs="Book Antiqua"/>
          <w:color w:val="000000"/>
        </w:rPr>
        <w:t>, Queensland, Australia</w:t>
      </w:r>
    </w:p>
    <w:p w14:paraId="572F6E56" w14:textId="77777777" w:rsidR="00FE3B26" w:rsidRPr="000870C5" w:rsidRDefault="00FE3B26" w:rsidP="000870C5">
      <w:pPr>
        <w:snapToGrid w:val="0"/>
        <w:spacing w:line="360" w:lineRule="auto"/>
        <w:jc w:val="both"/>
        <w:rPr>
          <w:rFonts w:ascii="Book Antiqua" w:eastAsia="Book Antiqua" w:hAnsi="Book Antiqua" w:cs="Book Antiqua"/>
          <w:b/>
          <w:bCs/>
          <w:color w:val="000000"/>
        </w:rPr>
      </w:pPr>
    </w:p>
    <w:p w14:paraId="36BEA48A" w14:textId="5993FDD1" w:rsidR="00A77B3E" w:rsidRPr="000870C5" w:rsidRDefault="00FE3B26" w:rsidP="000870C5">
      <w:pPr>
        <w:snapToGrid w:val="0"/>
        <w:spacing w:line="360" w:lineRule="auto"/>
        <w:jc w:val="both"/>
        <w:rPr>
          <w:rFonts w:ascii="Book Antiqua" w:eastAsia="Book Antiqua" w:hAnsi="Book Antiqua" w:cs="Book Antiqua"/>
          <w:b/>
          <w:bCs/>
          <w:color w:val="000000"/>
        </w:rPr>
      </w:pPr>
      <w:r w:rsidRPr="000870C5">
        <w:rPr>
          <w:rFonts w:ascii="Book Antiqua" w:eastAsia="Book Antiqua" w:hAnsi="Book Antiqua" w:cs="Book Antiqua"/>
          <w:b/>
          <w:bCs/>
          <w:color w:val="000000"/>
        </w:rPr>
        <w:t xml:space="preserve">Usman H </w:t>
      </w:r>
      <w:proofErr w:type="spellStart"/>
      <w:r w:rsidRPr="000870C5">
        <w:rPr>
          <w:rFonts w:ascii="Book Antiqua" w:eastAsia="Book Antiqua" w:hAnsi="Book Antiqua" w:cs="Book Antiqua"/>
          <w:b/>
          <w:bCs/>
          <w:color w:val="000000"/>
        </w:rPr>
        <w:t>Malabu</w:t>
      </w:r>
      <w:proofErr w:type="spellEnd"/>
      <w:r w:rsidR="007768A9">
        <w:rPr>
          <w:rFonts w:ascii="Book Antiqua" w:eastAsia="Book Antiqua" w:hAnsi="Book Antiqua" w:cs="Book Antiqua"/>
          <w:b/>
          <w:bCs/>
          <w:color w:val="000000"/>
        </w:rPr>
        <w:t>,</w:t>
      </w:r>
      <w:r w:rsidRPr="000870C5">
        <w:rPr>
          <w:rFonts w:ascii="Book Antiqua" w:eastAsia="Book Antiqua" w:hAnsi="Book Antiqua" w:cs="Book Antiqua"/>
          <w:b/>
          <w:bCs/>
          <w:color w:val="000000"/>
        </w:rPr>
        <w:t xml:space="preserve"> </w:t>
      </w:r>
      <w:r w:rsidRPr="000870C5">
        <w:rPr>
          <w:rFonts w:ascii="Book Antiqua" w:eastAsia="Book Antiqua" w:hAnsi="Book Antiqua" w:cs="Book Antiqua"/>
          <w:color w:val="000000"/>
        </w:rPr>
        <w:t>Department of Medicine, Townsville University Hospital, Townsville 481</w:t>
      </w:r>
      <w:r w:rsidR="000E184B" w:rsidRPr="000870C5">
        <w:rPr>
          <w:rFonts w:ascii="Book Antiqua" w:eastAsia="Book Antiqua" w:hAnsi="Book Antiqua" w:cs="Book Antiqua"/>
          <w:color w:val="000000"/>
        </w:rPr>
        <w:t>4</w:t>
      </w:r>
      <w:r w:rsidRPr="000870C5">
        <w:rPr>
          <w:rFonts w:ascii="Book Antiqua" w:eastAsia="Book Antiqua" w:hAnsi="Book Antiqua" w:cs="Book Antiqua"/>
          <w:color w:val="000000"/>
        </w:rPr>
        <w:t>, Queensland, Australia</w:t>
      </w:r>
    </w:p>
    <w:p w14:paraId="0EC8395C" w14:textId="77777777" w:rsidR="00FE3B26" w:rsidRPr="000870C5" w:rsidRDefault="00FE3B26" w:rsidP="000870C5">
      <w:pPr>
        <w:snapToGrid w:val="0"/>
        <w:spacing w:line="360" w:lineRule="auto"/>
        <w:jc w:val="both"/>
        <w:rPr>
          <w:rFonts w:ascii="Book Antiqua" w:hAnsi="Book Antiqua"/>
        </w:rPr>
      </w:pPr>
    </w:p>
    <w:p w14:paraId="4ABB1275" w14:textId="7B2DA619"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Usman H </w:t>
      </w:r>
      <w:proofErr w:type="spellStart"/>
      <w:r w:rsidRPr="000870C5">
        <w:rPr>
          <w:rFonts w:ascii="Book Antiqua" w:eastAsia="Book Antiqua" w:hAnsi="Book Antiqua" w:cs="Book Antiqua"/>
          <w:b/>
          <w:bCs/>
          <w:color w:val="000000"/>
        </w:rPr>
        <w:t>Malabu</w:t>
      </w:r>
      <w:proofErr w:type="spellEnd"/>
      <w:r w:rsidRPr="000870C5">
        <w:rPr>
          <w:rFonts w:ascii="Book Antiqua" w:eastAsia="Book Antiqua" w:hAnsi="Book Antiqua" w:cs="Book Antiqua"/>
          <w:b/>
          <w:bCs/>
          <w:color w:val="000000"/>
        </w:rPr>
        <w:t xml:space="preserve">, </w:t>
      </w:r>
      <w:r w:rsidRPr="000870C5">
        <w:rPr>
          <w:rFonts w:ascii="Book Antiqua" w:eastAsia="Book Antiqua" w:hAnsi="Book Antiqua" w:cs="Book Antiqua"/>
          <w:color w:val="000000"/>
        </w:rPr>
        <w:t>School of Medicine and Dentistry, James Cook University, Townsville 481</w:t>
      </w:r>
      <w:r w:rsidR="000E184B" w:rsidRPr="000870C5">
        <w:rPr>
          <w:rFonts w:ascii="Book Antiqua" w:eastAsia="Book Antiqua" w:hAnsi="Book Antiqua" w:cs="Book Antiqua"/>
          <w:color w:val="000000"/>
        </w:rPr>
        <w:t>1</w:t>
      </w:r>
      <w:r w:rsidRPr="000870C5">
        <w:rPr>
          <w:rFonts w:ascii="Book Antiqua" w:eastAsia="Book Antiqua" w:hAnsi="Book Antiqua" w:cs="Book Antiqua"/>
          <w:color w:val="000000"/>
        </w:rPr>
        <w:t>, Queensland, Australia</w:t>
      </w:r>
    </w:p>
    <w:p w14:paraId="05BFE18F" w14:textId="77777777" w:rsidR="00A77B3E" w:rsidRPr="000870C5" w:rsidRDefault="00A77B3E" w:rsidP="000870C5">
      <w:pPr>
        <w:snapToGrid w:val="0"/>
        <w:spacing w:line="360" w:lineRule="auto"/>
        <w:jc w:val="both"/>
        <w:rPr>
          <w:rFonts w:ascii="Book Antiqua" w:hAnsi="Book Antiqua"/>
        </w:rPr>
      </w:pPr>
    </w:p>
    <w:p w14:paraId="2D3CD044"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Henrik </w:t>
      </w:r>
      <w:proofErr w:type="spellStart"/>
      <w:r w:rsidRPr="000870C5">
        <w:rPr>
          <w:rFonts w:ascii="Book Antiqua" w:eastAsia="Book Antiqua" w:hAnsi="Book Antiqua" w:cs="Book Antiqua"/>
          <w:b/>
          <w:bCs/>
          <w:color w:val="000000"/>
        </w:rPr>
        <w:t>Falhammar</w:t>
      </w:r>
      <w:proofErr w:type="spellEnd"/>
      <w:r w:rsidRPr="000870C5">
        <w:rPr>
          <w:rFonts w:ascii="Book Antiqua" w:eastAsia="Book Antiqua" w:hAnsi="Book Antiqua" w:cs="Book Antiqua"/>
          <w:b/>
          <w:bCs/>
          <w:color w:val="000000"/>
        </w:rPr>
        <w:t xml:space="preserve">, </w:t>
      </w:r>
      <w:r w:rsidRPr="000870C5">
        <w:rPr>
          <w:rFonts w:ascii="Book Antiqua" w:eastAsia="Book Antiqua" w:hAnsi="Book Antiqua" w:cs="Book Antiqua"/>
          <w:color w:val="000000"/>
        </w:rPr>
        <w:t>Department of Endocrinology, Metabolism and Diabetes, Karolinska University Hospital, Stockholm 10465, Sweden</w:t>
      </w:r>
    </w:p>
    <w:p w14:paraId="110E85B7" w14:textId="77777777" w:rsidR="00A77B3E" w:rsidRPr="000870C5" w:rsidRDefault="00A77B3E" w:rsidP="000870C5">
      <w:pPr>
        <w:snapToGrid w:val="0"/>
        <w:spacing w:line="360" w:lineRule="auto"/>
        <w:jc w:val="both"/>
        <w:rPr>
          <w:rFonts w:ascii="Book Antiqua" w:hAnsi="Book Antiqua"/>
        </w:rPr>
      </w:pPr>
    </w:p>
    <w:p w14:paraId="752C7C1E"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Henrik </w:t>
      </w:r>
      <w:proofErr w:type="spellStart"/>
      <w:r w:rsidRPr="000870C5">
        <w:rPr>
          <w:rFonts w:ascii="Book Antiqua" w:eastAsia="Book Antiqua" w:hAnsi="Book Antiqua" w:cs="Book Antiqua"/>
          <w:b/>
          <w:bCs/>
          <w:color w:val="000000"/>
        </w:rPr>
        <w:t>Falhammar</w:t>
      </w:r>
      <w:proofErr w:type="spellEnd"/>
      <w:r w:rsidRPr="000870C5">
        <w:rPr>
          <w:rFonts w:ascii="Book Antiqua" w:eastAsia="Book Antiqua" w:hAnsi="Book Antiqua" w:cs="Book Antiqua"/>
          <w:b/>
          <w:bCs/>
          <w:color w:val="000000"/>
        </w:rPr>
        <w:t xml:space="preserve">, </w:t>
      </w:r>
      <w:r w:rsidRPr="000870C5">
        <w:rPr>
          <w:rFonts w:ascii="Book Antiqua" w:eastAsia="Book Antiqua" w:hAnsi="Book Antiqua" w:cs="Book Antiqua"/>
          <w:color w:val="000000"/>
        </w:rPr>
        <w:t xml:space="preserve">Department of Molecular Medicine and Surgery, Karolinska </w:t>
      </w:r>
      <w:proofErr w:type="spellStart"/>
      <w:r w:rsidRPr="000870C5">
        <w:rPr>
          <w:rFonts w:ascii="Book Antiqua" w:eastAsia="Book Antiqua" w:hAnsi="Book Antiqua" w:cs="Book Antiqua"/>
          <w:color w:val="000000"/>
        </w:rPr>
        <w:t>Institutet</w:t>
      </w:r>
      <w:proofErr w:type="spellEnd"/>
      <w:r w:rsidRPr="000870C5">
        <w:rPr>
          <w:rFonts w:ascii="Book Antiqua" w:eastAsia="Book Antiqua" w:hAnsi="Book Antiqua" w:cs="Book Antiqua"/>
          <w:color w:val="000000"/>
        </w:rPr>
        <w:t>, Stockholm 10465, Sweden</w:t>
      </w:r>
    </w:p>
    <w:p w14:paraId="46A28568" w14:textId="77777777" w:rsidR="00A77B3E" w:rsidRPr="000870C5" w:rsidRDefault="00A77B3E" w:rsidP="000870C5">
      <w:pPr>
        <w:snapToGrid w:val="0"/>
        <w:spacing w:line="360" w:lineRule="auto"/>
        <w:jc w:val="both"/>
        <w:rPr>
          <w:rFonts w:ascii="Book Antiqua" w:hAnsi="Book Antiqua"/>
        </w:rPr>
      </w:pPr>
    </w:p>
    <w:p w14:paraId="63E4C005"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Author contributions: </w:t>
      </w:r>
      <w:r w:rsidRPr="000870C5">
        <w:rPr>
          <w:rFonts w:ascii="Book Antiqua" w:eastAsia="Book Antiqua" w:hAnsi="Book Antiqua" w:cs="Book Antiqua"/>
          <w:color w:val="000000"/>
          <w:shd w:val="clear" w:color="auto" w:fill="FFFFFF"/>
        </w:rPr>
        <w:t xml:space="preserve">Rathnayake A </w:t>
      </w:r>
      <w:r w:rsidR="00F21A22" w:rsidRPr="000870C5">
        <w:rPr>
          <w:rFonts w:ascii="Book Antiqua" w:eastAsia="Book Antiqua" w:hAnsi="Book Antiqua" w:cs="Book Antiqua"/>
          <w:color w:val="000000"/>
          <w:shd w:val="clear" w:color="auto" w:fill="FFFFFF"/>
        </w:rPr>
        <w:t xml:space="preserve">contributed to </w:t>
      </w:r>
      <w:r w:rsidRPr="000870C5">
        <w:rPr>
          <w:rFonts w:ascii="Book Antiqua" w:eastAsia="Book Antiqua" w:hAnsi="Book Antiqua" w:cs="Book Antiqua"/>
          <w:color w:val="000000"/>
          <w:shd w:val="clear" w:color="auto" w:fill="FFFFFF"/>
        </w:rPr>
        <w:t xml:space="preserve">acquisition of data, analysis and interpretation of data, drafting the article; Saboo A </w:t>
      </w:r>
      <w:r w:rsidR="00F21A22" w:rsidRPr="000870C5">
        <w:rPr>
          <w:rFonts w:ascii="Book Antiqua" w:eastAsia="Book Antiqua" w:hAnsi="Book Antiqua" w:cs="Book Antiqua"/>
          <w:color w:val="000000"/>
          <w:shd w:val="clear" w:color="auto" w:fill="FFFFFF"/>
        </w:rPr>
        <w:t xml:space="preserve">contributed to </w:t>
      </w:r>
      <w:r w:rsidRPr="000870C5">
        <w:rPr>
          <w:rFonts w:ascii="Book Antiqua" w:eastAsia="Book Antiqua" w:hAnsi="Book Antiqua" w:cs="Book Antiqua"/>
          <w:color w:val="000000"/>
          <w:shd w:val="clear" w:color="auto" w:fill="FFFFFF"/>
        </w:rPr>
        <w:t xml:space="preserve">acquisition of data, analysis and interpretation of data, drafting the article; </w:t>
      </w:r>
      <w:proofErr w:type="spellStart"/>
      <w:r w:rsidRPr="000870C5">
        <w:rPr>
          <w:rFonts w:ascii="Book Antiqua" w:eastAsia="Book Antiqua" w:hAnsi="Book Antiqua" w:cs="Book Antiqua"/>
          <w:color w:val="000000"/>
          <w:shd w:val="clear" w:color="auto" w:fill="FFFFFF"/>
        </w:rPr>
        <w:t>Malabu</w:t>
      </w:r>
      <w:proofErr w:type="spellEnd"/>
      <w:r w:rsidRPr="000870C5">
        <w:rPr>
          <w:rFonts w:ascii="Book Antiqua" w:eastAsia="Book Antiqua" w:hAnsi="Book Antiqua" w:cs="Book Antiqua"/>
          <w:color w:val="000000"/>
          <w:shd w:val="clear" w:color="auto" w:fill="FFFFFF"/>
        </w:rPr>
        <w:t xml:space="preserve"> U </w:t>
      </w:r>
      <w:r w:rsidR="00F21A22" w:rsidRPr="000870C5">
        <w:rPr>
          <w:rFonts w:ascii="Book Antiqua" w:eastAsia="Book Antiqua" w:hAnsi="Book Antiqua" w:cs="Book Antiqua"/>
          <w:color w:val="000000"/>
          <w:shd w:val="clear" w:color="auto" w:fill="FFFFFF"/>
        </w:rPr>
        <w:t xml:space="preserve">contributed to </w:t>
      </w:r>
      <w:r w:rsidRPr="000870C5">
        <w:rPr>
          <w:rFonts w:ascii="Book Antiqua" w:eastAsia="Book Antiqua" w:hAnsi="Book Antiqua" w:cs="Book Antiqua"/>
          <w:color w:val="000000"/>
          <w:shd w:val="clear" w:color="auto" w:fill="FFFFFF"/>
        </w:rPr>
        <w:lastRenderedPageBreak/>
        <w:t xml:space="preserve">interpretation of data, revising the article, final approval; </w:t>
      </w:r>
      <w:proofErr w:type="spellStart"/>
      <w:r w:rsidRPr="000870C5">
        <w:rPr>
          <w:rFonts w:ascii="Book Antiqua" w:eastAsia="Book Antiqua" w:hAnsi="Book Antiqua" w:cs="Book Antiqua"/>
          <w:color w:val="000000"/>
          <w:shd w:val="clear" w:color="auto" w:fill="FFFFFF"/>
        </w:rPr>
        <w:t>Falhammar</w:t>
      </w:r>
      <w:proofErr w:type="spellEnd"/>
      <w:r w:rsidRPr="000870C5">
        <w:rPr>
          <w:rFonts w:ascii="Book Antiqua" w:eastAsia="Book Antiqua" w:hAnsi="Book Antiqua" w:cs="Book Antiqua"/>
          <w:color w:val="000000"/>
          <w:shd w:val="clear" w:color="auto" w:fill="FFFFFF"/>
        </w:rPr>
        <w:t xml:space="preserve"> H </w:t>
      </w:r>
      <w:r w:rsidR="00F21A22" w:rsidRPr="000870C5">
        <w:rPr>
          <w:rFonts w:ascii="Book Antiqua" w:eastAsia="Book Antiqua" w:hAnsi="Book Antiqua" w:cs="Book Antiqua"/>
          <w:color w:val="000000"/>
          <w:shd w:val="clear" w:color="auto" w:fill="FFFFFF"/>
        </w:rPr>
        <w:t xml:space="preserve">contributed to </w:t>
      </w:r>
      <w:r w:rsidRPr="000870C5">
        <w:rPr>
          <w:rFonts w:ascii="Book Antiqua" w:eastAsia="Book Antiqua" w:hAnsi="Book Antiqua" w:cs="Book Antiqua"/>
          <w:color w:val="000000"/>
          <w:shd w:val="clear" w:color="auto" w:fill="FFFFFF"/>
        </w:rPr>
        <w:t xml:space="preserve">interpretation of data, revising the article, final approval. </w:t>
      </w:r>
    </w:p>
    <w:p w14:paraId="59A76678" w14:textId="77777777" w:rsidR="00A77B3E" w:rsidRPr="000870C5" w:rsidRDefault="00A77B3E" w:rsidP="000870C5">
      <w:pPr>
        <w:snapToGrid w:val="0"/>
        <w:spacing w:line="360" w:lineRule="auto"/>
        <w:jc w:val="both"/>
        <w:rPr>
          <w:rFonts w:ascii="Book Antiqua" w:hAnsi="Book Antiqua"/>
        </w:rPr>
      </w:pPr>
    </w:p>
    <w:p w14:paraId="0612DD9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Corresponding author: Ayeshmanthe Rathnayake, MBBS, Doctor, </w:t>
      </w:r>
      <w:r w:rsidRPr="000870C5">
        <w:rPr>
          <w:rFonts w:ascii="Book Antiqua" w:eastAsia="Book Antiqua" w:hAnsi="Book Antiqua" w:cs="Book Antiqua"/>
          <w:color w:val="000000"/>
        </w:rPr>
        <w:t>Department of Medicine, Townsville University Hospital, 100 Angus Smith Drive, Townsville 4817, Queensland, Australia. ayeshmantherathnayake@gmail.com</w:t>
      </w:r>
    </w:p>
    <w:p w14:paraId="1CCBB516" w14:textId="77777777" w:rsidR="00A77B3E" w:rsidRPr="000870C5" w:rsidRDefault="00A77B3E" w:rsidP="000870C5">
      <w:pPr>
        <w:snapToGrid w:val="0"/>
        <w:spacing w:line="360" w:lineRule="auto"/>
        <w:jc w:val="both"/>
        <w:rPr>
          <w:rFonts w:ascii="Book Antiqua" w:hAnsi="Book Antiqua"/>
        </w:rPr>
      </w:pPr>
    </w:p>
    <w:p w14:paraId="4DEECE8E"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Received: </w:t>
      </w:r>
      <w:r w:rsidRPr="000870C5">
        <w:rPr>
          <w:rFonts w:ascii="Book Antiqua" w:eastAsia="Book Antiqua" w:hAnsi="Book Antiqua" w:cs="Book Antiqua"/>
          <w:color w:val="000000"/>
        </w:rPr>
        <w:t>May 7, 2020</w:t>
      </w:r>
    </w:p>
    <w:p w14:paraId="5D76F4F3"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Revised: </w:t>
      </w:r>
      <w:r w:rsidRPr="000870C5">
        <w:rPr>
          <w:rFonts w:ascii="Book Antiqua" w:eastAsia="Book Antiqua" w:hAnsi="Book Antiqua" w:cs="Book Antiqua"/>
          <w:color w:val="000000"/>
        </w:rPr>
        <w:t>June 6, 2020</w:t>
      </w:r>
    </w:p>
    <w:p w14:paraId="37A0068A" w14:textId="03364664"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Accepted: </w:t>
      </w:r>
      <w:r w:rsidR="002E689D" w:rsidRPr="002E689D">
        <w:rPr>
          <w:rFonts w:ascii="Book Antiqua" w:eastAsia="Book Antiqua" w:hAnsi="Book Antiqua" w:cs="Book Antiqua"/>
          <w:bCs/>
          <w:color w:val="000000"/>
        </w:rPr>
        <w:t>August 15, 2020</w:t>
      </w:r>
    </w:p>
    <w:p w14:paraId="1127A411"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Published online: </w:t>
      </w:r>
    </w:p>
    <w:p w14:paraId="38CDE20A" w14:textId="77777777" w:rsidR="00A77B3E" w:rsidRPr="000870C5" w:rsidRDefault="00A77B3E" w:rsidP="000870C5">
      <w:pPr>
        <w:snapToGrid w:val="0"/>
        <w:spacing w:line="360" w:lineRule="auto"/>
        <w:jc w:val="both"/>
        <w:rPr>
          <w:rFonts w:ascii="Book Antiqua" w:hAnsi="Book Antiqua"/>
        </w:rPr>
        <w:sectPr w:rsidR="00A77B3E" w:rsidRPr="000870C5">
          <w:headerReference w:type="default" r:id="rId6"/>
          <w:footerReference w:type="default" r:id="rId7"/>
          <w:pgSz w:w="12240" w:h="15840"/>
          <w:pgMar w:top="1440" w:right="1440" w:bottom="1440" w:left="1440" w:header="720" w:footer="720" w:gutter="0"/>
          <w:cols w:space="720"/>
          <w:docGrid w:linePitch="360"/>
        </w:sectPr>
      </w:pPr>
    </w:p>
    <w:p w14:paraId="4D656682"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lastRenderedPageBreak/>
        <w:t>Abstract</w:t>
      </w:r>
    </w:p>
    <w:p w14:paraId="461A7101"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BACKGROUND</w:t>
      </w:r>
    </w:p>
    <w:p w14:paraId="7F6DFCC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Diabetes mellitus causes a large majority of non-traumatic major and minor amputations globally. Patients with diabetes are clinically complex with a multifactorial association between diabetic foot ulcers (DFU) and subsequent lower extremity amputations (LEA). Few studies show the long-term outcomes within the cohort of DFU-associated LEA. </w:t>
      </w:r>
    </w:p>
    <w:p w14:paraId="3987D1E3" w14:textId="77777777" w:rsidR="00A77B3E" w:rsidRPr="000870C5" w:rsidRDefault="00A77B3E" w:rsidP="000870C5">
      <w:pPr>
        <w:snapToGrid w:val="0"/>
        <w:spacing w:line="360" w:lineRule="auto"/>
        <w:jc w:val="both"/>
        <w:rPr>
          <w:rFonts w:ascii="Book Antiqua" w:hAnsi="Book Antiqua"/>
        </w:rPr>
      </w:pPr>
    </w:p>
    <w:p w14:paraId="2A8BB8B9"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AIM</w:t>
      </w:r>
    </w:p>
    <w:p w14:paraId="4D3A6115"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aps/>
          <w:color w:val="000000"/>
        </w:rPr>
        <w:t>t</w:t>
      </w:r>
      <w:r w:rsidRPr="000870C5">
        <w:rPr>
          <w:rFonts w:ascii="Book Antiqua" w:eastAsia="Book Antiqua" w:hAnsi="Book Antiqua" w:cs="Book Antiqua"/>
          <w:color w:val="000000"/>
        </w:rPr>
        <w:t>o highlight the long-term outcomes of LEA as a result of DFU.</w:t>
      </w:r>
    </w:p>
    <w:p w14:paraId="53AB2E3B" w14:textId="77777777" w:rsidR="00A77B3E" w:rsidRPr="000870C5" w:rsidRDefault="00A77B3E" w:rsidP="000870C5">
      <w:pPr>
        <w:snapToGrid w:val="0"/>
        <w:spacing w:line="360" w:lineRule="auto"/>
        <w:jc w:val="both"/>
        <w:rPr>
          <w:rFonts w:ascii="Book Antiqua" w:hAnsi="Book Antiqua"/>
        </w:rPr>
      </w:pPr>
    </w:p>
    <w:p w14:paraId="691971D6"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METHODS</w:t>
      </w:r>
    </w:p>
    <w:p w14:paraId="103107DF"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PubMed/</w:t>
      </w:r>
      <w:r w:rsidRPr="000870C5">
        <w:rPr>
          <w:rFonts w:ascii="Book Antiqua" w:eastAsia="Book Antiqua" w:hAnsi="Book Antiqua" w:cs="Book Antiqua"/>
          <w:caps/>
          <w:color w:val="000000"/>
        </w:rPr>
        <w:t>Medline</w:t>
      </w:r>
      <w:r w:rsidRPr="000870C5">
        <w:rPr>
          <w:rFonts w:ascii="Book Antiqua" w:eastAsia="Book Antiqua" w:hAnsi="Book Antiqua" w:cs="Book Antiqua"/>
          <w:color w:val="000000"/>
        </w:rPr>
        <w:t xml:space="preserve"> and Google Scholar were searched for key terms, “diabetes”, “foot ulcers”, “amputations” and “outcomes”. Outcomes such as mortality, re-amputation, re-ulceration and functional impact were recorded. Peer-reviewed studies with adult patients who had DFU, subsequent amputation and follow up of at least 1 year were included. Non-English language articles or studies involving children were excluded. </w:t>
      </w:r>
    </w:p>
    <w:p w14:paraId="4407A36B" w14:textId="77777777" w:rsidR="00A77B3E" w:rsidRPr="000870C5" w:rsidRDefault="00A77B3E" w:rsidP="000870C5">
      <w:pPr>
        <w:snapToGrid w:val="0"/>
        <w:spacing w:line="360" w:lineRule="auto"/>
        <w:jc w:val="both"/>
        <w:rPr>
          <w:rFonts w:ascii="Book Antiqua" w:hAnsi="Book Antiqua"/>
        </w:rPr>
      </w:pPr>
    </w:p>
    <w:p w14:paraId="74151C8E"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RESULTS</w:t>
      </w:r>
    </w:p>
    <w:p w14:paraId="68F567DF"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A total of 22</w:t>
      </w:r>
      <w:r w:rsidR="00FE0694" w:rsidRPr="000870C5">
        <w:rPr>
          <w:rFonts w:ascii="Book Antiqua" w:eastAsia="Book Antiqua" w:hAnsi="Book Antiqua" w:cs="Book Antiqua"/>
          <w:color w:val="000000"/>
        </w:rPr>
        <w:t xml:space="preserve"> publications with a total of 2</w:t>
      </w:r>
      <w:r w:rsidRPr="000870C5">
        <w:rPr>
          <w:rFonts w:ascii="Book Antiqua" w:eastAsia="Book Antiqua" w:hAnsi="Book Antiqua" w:cs="Book Antiqua"/>
          <w:color w:val="000000"/>
        </w:rPr>
        <w:t>334 patients were selected against the inclusion criteria for review. The weighted mean of re-amputation was 20.14%, 29.63% and 45.72% at 1, 3 and 5 years respectively. The weighted mean of mortality at 1, 3 and 5 years were 13.62%, 30.25% and 50.55% respectively with significantly higher rates associated with major amputation, re-amputation and ischemic cardiomyopathy.</w:t>
      </w:r>
    </w:p>
    <w:p w14:paraId="299ED29F" w14:textId="77777777" w:rsidR="00A77B3E" w:rsidRPr="000870C5" w:rsidRDefault="00A77B3E" w:rsidP="000870C5">
      <w:pPr>
        <w:snapToGrid w:val="0"/>
        <w:spacing w:line="360" w:lineRule="auto"/>
        <w:jc w:val="both"/>
        <w:rPr>
          <w:rFonts w:ascii="Book Antiqua" w:hAnsi="Book Antiqua"/>
        </w:rPr>
      </w:pPr>
    </w:p>
    <w:p w14:paraId="4D02D3DC"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CONCLUSION</w:t>
      </w:r>
    </w:p>
    <w:p w14:paraId="00867E4F"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Previous LEA, level of the LEA and patient comorbidities were significant risk factors contributing to re-ulceration, re-amputation, mortality and depreciated functional status. </w:t>
      </w:r>
    </w:p>
    <w:p w14:paraId="42A858F1" w14:textId="77777777" w:rsidR="00A77B3E" w:rsidRPr="000870C5" w:rsidRDefault="00A77B3E" w:rsidP="000870C5">
      <w:pPr>
        <w:snapToGrid w:val="0"/>
        <w:spacing w:line="360" w:lineRule="auto"/>
        <w:jc w:val="both"/>
        <w:rPr>
          <w:rFonts w:ascii="Book Antiqua" w:hAnsi="Book Antiqua"/>
        </w:rPr>
      </w:pPr>
    </w:p>
    <w:p w14:paraId="4F68F0E4"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Key words: </w:t>
      </w:r>
      <w:r w:rsidRPr="000870C5">
        <w:rPr>
          <w:rFonts w:ascii="Book Antiqua" w:eastAsia="Book Antiqua" w:hAnsi="Book Antiqua" w:cs="Book Antiqua"/>
          <w:color w:val="000000"/>
          <w:shd w:val="clear" w:color="auto" w:fill="FFFFFF"/>
        </w:rPr>
        <w:t xml:space="preserve">Lower extremity amputations; Long-term outcomes; Diabetic foot ulcers; Quality of life; Re-amputation; Diabetes </w:t>
      </w:r>
    </w:p>
    <w:p w14:paraId="07EE29E2" w14:textId="77777777" w:rsidR="00A77B3E" w:rsidRPr="000870C5" w:rsidRDefault="00A77B3E" w:rsidP="000870C5">
      <w:pPr>
        <w:snapToGrid w:val="0"/>
        <w:spacing w:line="360" w:lineRule="auto"/>
        <w:jc w:val="both"/>
        <w:rPr>
          <w:rFonts w:ascii="Book Antiqua" w:hAnsi="Book Antiqua"/>
        </w:rPr>
      </w:pPr>
    </w:p>
    <w:p w14:paraId="56C9686A" w14:textId="77777777" w:rsidR="00A77B3E" w:rsidRPr="000870C5" w:rsidRDefault="005B58C3" w:rsidP="000870C5">
      <w:pPr>
        <w:snapToGrid w:val="0"/>
        <w:spacing w:line="360" w:lineRule="auto"/>
        <w:jc w:val="both"/>
        <w:rPr>
          <w:rFonts w:ascii="Book Antiqua" w:hAnsi="Book Antiqua"/>
        </w:rPr>
      </w:pPr>
      <w:proofErr w:type="spellStart"/>
      <w:r w:rsidRPr="000870C5">
        <w:rPr>
          <w:rFonts w:ascii="Book Antiqua" w:eastAsia="Book Antiqua" w:hAnsi="Book Antiqua" w:cs="Book Antiqua"/>
          <w:color w:val="000000"/>
        </w:rPr>
        <w:t>Rathnayake</w:t>
      </w:r>
      <w:proofErr w:type="spellEnd"/>
      <w:r w:rsidRPr="000870C5">
        <w:rPr>
          <w:rFonts w:ascii="Book Antiqua" w:eastAsia="Book Antiqua" w:hAnsi="Book Antiqua" w:cs="Book Antiqua"/>
          <w:color w:val="000000"/>
        </w:rPr>
        <w:t xml:space="preserve"> A, </w:t>
      </w:r>
      <w:proofErr w:type="spellStart"/>
      <w:r w:rsidRPr="000870C5">
        <w:rPr>
          <w:rFonts w:ascii="Book Antiqua" w:eastAsia="Book Antiqua" w:hAnsi="Book Antiqua" w:cs="Book Antiqua"/>
          <w:color w:val="000000"/>
        </w:rPr>
        <w:t>Saboo</w:t>
      </w:r>
      <w:proofErr w:type="spellEnd"/>
      <w:r w:rsidRPr="000870C5">
        <w:rPr>
          <w:rFonts w:ascii="Book Antiqua" w:eastAsia="Book Antiqua" w:hAnsi="Book Antiqua" w:cs="Book Antiqua"/>
          <w:color w:val="000000"/>
        </w:rPr>
        <w:t xml:space="preserve"> A, </w:t>
      </w:r>
      <w:proofErr w:type="spellStart"/>
      <w:r w:rsidRPr="000870C5">
        <w:rPr>
          <w:rFonts w:ascii="Book Antiqua" w:eastAsia="Book Antiqua" w:hAnsi="Book Antiqua" w:cs="Book Antiqua"/>
          <w:color w:val="000000"/>
        </w:rPr>
        <w:t>Malabu</w:t>
      </w:r>
      <w:proofErr w:type="spellEnd"/>
      <w:r w:rsidRPr="000870C5">
        <w:rPr>
          <w:rFonts w:ascii="Book Antiqua" w:eastAsia="Book Antiqua" w:hAnsi="Book Antiqua" w:cs="Book Antiqua"/>
          <w:color w:val="000000"/>
        </w:rPr>
        <w:t xml:space="preserve"> UH, </w:t>
      </w:r>
      <w:proofErr w:type="spellStart"/>
      <w:r w:rsidRPr="000870C5">
        <w:rPr>
          <w:rFonts w:ascii="Book Antiqua" w:eastAsia="Book Antiqua" w:hAnsi="Book Antiqua" w:cs="Book Antiqua"/>
          <w:color w:val="000000"/>
        </w:rPr>
        <w:t>Falhammar</w:t>
      </w:r>
      <w:proofErr w:type="spellEnd"/>
      <w:r w:rsidRPr="000870C5">
        <w:rPr>
          <w:rFonts w:ascii="Book Antiqua" w:eastAsia="Book Antiqua" w:hAnsi="Book Antiqua" w:cs="Book Antiqua"/>
          <w:color w:val="000000"/>
        </w:rPr>
        <w:t xml:space="preserve"> H. </w:t>
      </w:r>
      <w:r w:rsidR="00B9704F" w:rsidRPr="000870C5">
        <w:rPr>
          <w:rFonts w:ascii="Book Antiqua" w:eastAsia="Book Antiqua" w:hAnsi="Book Antiqua" w:cs="Book Antiqua"/>
          <w:bCs/>
          <w:color w:val="000000"/>
          <w:shd w:val="clear" w:color="auto" w:fill="FFFFFF"/>
        </w:rPr>
        <w:t>Lower extremity amputations and long-term outcomes in diabetic foot ulcers: A systematic review</w:t>
      </w:r>
      <w:r w:rsidRPr="000870C5">
        <w:rPr>
          <w:rFonts w:ascii="Book Antiqua" w:eastAsia="Book Antiqua" w:hAnsi="Book Antiqua" w:cs="Book Antiqua"/>
          <w:color w:val="000000"/>
        </w:rPr>
        <w:t xml:space="preserve">. </w:t>
      </w:r>
      <w:r w:rsidRPr="000870C5">
        <w:rPr>
          <w:rFonts w:ascii="Book Antiqua" w:eastAsia="Book Antiqua" w:hAnsi="Book Antiqua" w:cs="Book Antiqua"/>
          <w:i/>
          <w:iCs/>
          <w:color w:val="000000"/>
        </w:rPr>
        <w:t>World J Diabetes</w:t>
      </w:r>
      <w:r w:rsidRPr="000870C5">
        <w:rPr>
          <w:rFonts w:ascii="Book Antiqua" w:eastAsia="Book Antiqua" w:hAnsi="Book Antiqua" w:cs="Book Antiqua"/>
          <w:color w:val="000000"/>
        </w:rPr>
        <w:t xml:space="preserve"> 2020; In press</w:t>
      </w:r>
    </w:p>
    <w:p w14:paraId="07B795E2" w14:textId="77777777" w:rsidR="00A77B3E" w:rsidRPr="000870C5" w:rsidRDefault="00A77B3E" w:rsidP="000870C5">
      <w:pPr>
        <w:snapToGrid w:val="0"/>
        <w:spacing w:line="360" w:lineRule="auto"/>
        <w:jc w:val="both"/>
        <w:rPr>
          <w:rFonts w:ascii="Book Antiqua" w:hAnsi="Book Antiqua"/>
        </w:rPr>
      </w:pPr>
    </w:p>
    <w:p w14:paraId="28FDBDBE"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Core tip: </w:t>
      </w:r>
      <w:r w:rsidRPr="000870C5">
        <w:rPr>
          <w:rFonts w:ascii="Book Antiqua" w:eastAsia="Book Antiqua" w:hAnsi="Book Antiqua" w:cs="Book Antiqua"/>
          <w:color w:val="000000"/>
        </w:rPr>
        <w:t>There was a significantly higher degree of re-amputation and mortality in those who undergo amputations due to diabetic foot ulcers in addition to impact on quality of life. Data on long-term outcomes in these patients were limited and requires further research to better understand th</w:t>
      </w:r>
      <w:bookmarkStart w:id="0" w:name="_GoBack"/>
      <w:bookmarkEnd w:id="0"/>
      <w:r w:rsidRPr="000870C5">
        <w:rPr>
          <w:rFonts w:ascii="Book Antiqua" w:eastAsia="Book Antiqua" w:hAnsi="Book Antiqua" w:cs="Book Antiqua"/>
          <w:color w:val="000000"/>
        </w:rPr>
        <w:t>e long-term outcomes in this subset of patients.</w:t>
      </w:r>
    </w:p>
    <w:p w14:paraId="3A9F7767" w14:textId="77777777" w:rsidR="007768A9" w:rsidRDefault="007768A9" w:rsidP="000870C5">
      <w:pPr>
        <w:snapToGrid w:val="0"/>
        <w:spacing w:line="360" w:lineRule="auto"/>
        <w:jc w:val="both"/>
        <w:rPr>
          <w:rFonts w:ascii="Book Antiqua" w:hAnsi="Book Antiqua"/>
        </w:rPr>
        <w:sectPr w:rsidR="007768A9">
          <w:pgSz w:w="12240" w:h="15840"/>
          <w:pgMar w:top="1440" w:right="1440" w:bottom="1440" w:left="1440" w:header="720" w:footer="720" w:gutter="0"/>
          <w:cols w:space="720"/>
          <w:docGrid w:linePitch="360"/>
        </w:sectPr>
      </w:pPr>
    </w:p>
    <w:p w14:paraId="2144A8C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u w:val="single"/>
        </w:rPr>
        <w:lastRenderedPageBreak/>
        <w:t>INTRODUCTION</w:t>
      </w:r>
    </w:p>
    <w:p w14:paraId="620C06B4"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Diabetes mellitus is a leading cause for non-traumatic major and minor amputations worldwide. The global diabetes prevalence is expected to rise to 10.2% by 2030, reflecting a considerable health and financial burden across the world due to its recognised aetiology in lower extremity amputations (LEA)</w:t>
      </w:r>
      <w:r w:rsidR="00101FC1" w:rsidRPr="000870C5">
        <w:rPr>
          <w:rFonts w:ascii="Book Antiqua" w:eastAsia="Book Antiqua" w:hAnsi="Book Antiqua" w:cs="Book Antiqua"/>
          <w:color w:val="000000"/>
          <w:vertAlign w:val="superscript"/>
        </w:rPr>
        <w:t>[1]</w:t>
      </w:r>
      <w:r w:rsidRPr="000870C5">
        <w:rPr>
          <w:rFonts w:ascii="Book Antiqua" w:eastAsia="Book Antiqua" w:hAnsi="Book Antiqua" w:cs="Book Antiqua"/>
          <w:color w:val="000000"/>
        </w:rPr>
        <w:t xml:space="preserve">. The combination of peripheral neuropathy and vascular disease gives rise to diabetic foot ulcers (DFU) subsequently leading to a higher rate of LEA. LEA is defined as surgical removal of bones and soft tissue by transecting at any level of the lower extremity and can be classified into minor and major amputation. The globally accepted definition of minor amputation is below ankle joint encompassing forefoot and toe while major amputations are at or proximal to the ankle joint such as below or above knee amputation. </w:t>
      </w:r>
    </w:p>
    <w:p w14:paraId="0269FF83"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The associated immunosuppression as well as impaired blood flow to DFU make conservative treatment with antibiotics difficult and usually mandate extensive, repeated debridement or eventual amputation. Patients with diabetes have a varied, yet overall increased risk of LEA with</w:t>
      </w:r>
      <w:r w:rsidR="00101FC1" w:rsidRPr="000870C5">
        <w:rPr>
          <w:rFonts w:ascii="Book Antiqua" w:eastAsia="Book Antiqua" w:hAnsi="Book Antiqua" w:cs="Book Antiqua"/>
          <w:color w:val="000000"/>
        </w:rPr>
        <w:t xml:space="preserve"> an incidence of 50-500 per 100</w:t>
      </w:r>
      <w:r w:rsidRPr="000870C5">
        <w:rPr>
          <w:rFonts w:ascii="Book Antiqua" w:eastAsia="Book Antiqua" w:hAnsi="Book Antiqua" w:cs="Book Antiqua"/>
          <w:color w:val="000000"/>
        </w:rPr>
        <w:t>000</w:t>
      </w:r>
      <w:r w:rsidR="00101FC1" w:rsidRPr="000870C5">
        <w:rPr>
          <w:rFonts w:ascii="Book Antiqua" w:eastAsia="Book Antiqua" w:hAnsi="Book Antiqua" w:cs="Book Antiqua"/>
          <w:color w:val="000000"/>
          <w:vertAlign w:val="superscript"/>
        </w:rPr>
        <w:t>[2]</w:t>
      </w:r>
      <w:r w:rsidRPr="000870C5">
        <w:rPr>
          <w:rFonts w:ascii="Book Antiqua" w:eastAsia="Book Antiqua" w:hAnsi="Book Antiqua" w:cs="Book Antiqua"/>
          <w:color w:val="000000"/>
        </w:rPr>
        <w:t>.</w:t>
      </w:r>
      <w:r w:rsidR="00101FC1"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The short- and long-term outcomes as a result of LEA are profound, as patients with diabetes often have complex comorbidities and socioeconomic backgrounds. Short-term outcomes following LEA are poor, with early post-operatively mortality up to 22%</w:t>
      </w:r>
      <w:r w:rsidR="00563C02" w:rsidRPr="000870C5">
        <w:rPr>
          <w:rFonts w:ascii="Book Antiqua" w:eastAsia="Book Antiqua" w:hAnsi="Book Antiqua" w:cs="Book Antiqua"/>
          <w:color w:val="000000"/>
          <w:vertAlign w:val="superscript"/>
        </w:rPr>
        <w:t>[3]</w:t>
      </w:r>
      <w:r w:rsidRPr="000870C5">
        <w:rPr>
          <w:rFonts w:ascii="Book Antiqua" w:eastAsia="Book Antiqua" w:hAnsi="Book Antiqua" w:cs="Book Antiqua"/>
          <w:color w:val="000000"/>
        </w:rPr>
        <w:t>.</w:t>
      </w:r>
      <w:r w:rsidR="00563C02"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There is currently no systematic review nor meta-analysis published in this field.</w:t>
      </w:r>
    </w:p>
    <w:p w14:paraId="377BE915"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The objective of this systematic review and meta-analysis was to elucidate the long-term outcomes in diabetic patients who have LEA as a result of an ulcer. Outcomes such as mortality, re-amputation, re-ulceration and functional return are discussed with an emphasis of associated risk factors. </w:t>
      </w:r>
    </w:p>
    <w:p w14:paraId="27A98FB8" w14:textId="77777777" w:rsidR="00A77B3E" w:rsidRPr="000870C5" w:rsidRDefault="00A77B3E" w:rsidP="000870C5">
      <w:pPr>
        <w:snapToGrid w:val="0"/>
        <w:spacing w:line="360" w:lineRule="auto"/>
        <w:jc w:val="both"/>
        <w:rPr>
          <w:rFonts w:ascii="Book Antiqua" w:hAnsi="Book Antiqua"/>
        </w:rPr>
      </w:pPr>
    </w:p>
    <w:p w14:paraId="2EFB3C1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u w:val="single"/>
        </w:rPr>
        <w:t>MATERIALS AND METHODS</w:t>
      </w:r>
    </w:p>
    <w:p w14:paraId="773D2BAC" w14:textId="1D599679"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The authors performed a systematic review of electronic databases and peer-reviewed sources including PubMed/</w:t>
      </w:r>
      <w:r w:rsidRPr="000870C5">
        <w:rPr>
          <w:rFonts w:ascii="Book Antiqua" w:eastAsia="Book Antiqua" w:hAnsi="Book Antiqua" w:cs="Book Antiqua"/>
          <w:caps/>
          <w:color w:val="000000"/>
        </w:rPr>
        <w:t>Medline</w:t>
      </w:r>
      <w:r w:rsidRPr="000870C5">
        <w:rPr>
          <w:rFonts w:ascii="Book Antiqua" w:eastAsia="Book Antiqua" w:hAnsi="Book Antiqua" w:cs="Book Antiqua"/>
          <w:color w:val="000000"/>
        </w:rPr>
        <w:t xml:space="preserve"> up to </w:t>
      </w:r>
      <w:r w:rsidR="007768A9">
        <w:rPr>
          <w:rFonts w:ascii="Book Antiqua" w:eastAsia="Book Antiqua" w:hAnsi="Book Antiqua" w:cs="Book Antiqua"/>
          <w:color w:val="000000"/>
        </w:rPr>
        <w:t>M</w:t>
      </w:r>
      <w:r w:rsidR="007768A9">
        <w:rPr>
          <w:rFonts w:ascii="Book Antiqua" w:eastAsia="Book Antiqua" w:hAnsi="Book Antiqua" w:cs="Book Antiqua" w:hint="eastAsia"/>
          <w:color w:val="000000"/>
          <w:lang w:eastAsia="zh-CN"/>
        </w:rPr>
        <w:t>a</w:t>
      </w:r>
      <w:r w:rsidR="007768A9">
        <w:rPr>
          <w:rFonts w:ascii="Book Antiqua" w:eastAsia="Book Antiqua" w:hAnsi="Book Antiqua" w:cs="Book Antiqua"/>
          <w:color w:val="000000"/>
          <w:lang w:eastAsia="zh-CN"/>
        </w:rPr>
        <w:t xml:space="preserve">rch </w:t>
      </w:r>
      <w:r w:rsidRPr="000870C5">
        <w:rPr>
          <w:rFonts w:ascii="Book Antiqua" w:eastAsia="Book Antiqua" w:hAnsi="Book Antiqua" w:cs="Book Antiqua"/>
          <w:color w:val="000000"/>
        </w:rPr>
        <w:t>25</w:t>
      </w:r>
      <w:r w:rsidR="007768A9">
        <w:rPr>
          <w:rFonts w:ascii="Book Antiqua" w:eastAsia="Book Antiqua" w:hAnsi="Book Antiqua" w:cs="Book Antiqua"/>
          <w:color w:val="000000"/>
        </w:rPr>
        <w:t xml:space="preserve">, </w:t>
      </w:r>
      <w:r w:rsidRPr="000870C5">
        <w:rPr>
          <w:rFonts w:ascii="Book Antiqua" w:eastAsia="Book Antiqua" w:hAnsi="Book Antiqua" w:cs="Book Antiqua"/>
          <w:color w:val="000000"/>
        </w:rPr>
        <w:t>2020. Key search terms “Diabetes”, “Foot Ulcers”, “Amputations” and “Outcomes” were used and the authors hand searched each identified manuscript for pertinent references. The inclusion criteria were as follows: (</w:t>
      </w:r>
      <w:r w:rsidR="00172407" w:rsidRPr="000870C5">
        <w:rPr>
          <w:rFonts w:ascii="Book Antiqua" w:eastAsia="Book Antiqua" w:hAnsi="Book Antiqua" w:cs="Book Antiqua"/>
          <w:color w:val="000000"/>
        </w:rPr>
        <w:t>1</w:t>
      </w:r>
      <w:r w:rsidRPr="000870C5">
        <w:rPr>
          <w:rFonts w:ascii="Book Antiqua" w:eastAsia="Book Antiqua" w:hAnsi="Book Antiqua" w:cs="Book Antiqua"/>
          <w:color w:val="000000"/>
        </w:rPr>
        <w:t>) Age &gt; 18 years</w:t>
      </w:r>
      <w:r w:rsidR="00172407" w:rsidRPr="000870C5">
        <w:rPr>
          <w:rFonts w:ascii="Book Antiqua" w:eastAsia="Book Antiqua" w:hAnsi="Book Antiqua" w:cs="Book Antiqua"/>
          <w:color w:val="000000"/>
        </w:rPr>
        <w:t>;</w:t>
      </w:r>
      <w:r w:rsidRPr="000870C5">
        <w:rPr>
          <w:rFonts w:ascii="Book Antiqua" w:eastAsia="Book Antiqua" w:hAnsi="Book Antiqua" w:cs="Book Antiqua"/>
          <w:color w:val="000000"/>
        </w:rPr>
        <w:t xml:space="preserve"> (</w:t>
      </w:r>
      <w:r w:rsidR="00172407" w:rsidRPr="000870C5">
        <w:rPr>
          <w:rFonts w:ascii="Book Antiqua" w:eastAsia="Book Antiqua" w:hAnsi="Book Antiqua" w:cs="Book Antiqua"/>
          <w:color w:val="000000"/>
        </w:rPr>
        <w:t>2</w:t>
      </w:r>
      <w:r w:rsidRPr="000870C5">
        <w:rPr>
          <w:rFonts w:ascii="Book Antiqua" w:eastAsia="Book Antiqua" w:hAnsi="Book Antiqua" w:cs="Book Antiqua"/>
          <w:color w:val="000000"/>
        </w:rPr>
        <w:t xml:space="preserve">) Presence of DFU prior to undergoing an </w:t>
      </w:r>
      <w:r w:rsidRPr="000870C5">
        <w:rPr>
          <w:rFonts w:ascii="Book Antiqua" w:eastAsia="Book Antiqua" w:hAnsi="Book Antiqua" w:cs="Book Antiqua"/>
          <w:color w:val="000000"/>
        </w:rPr>
        <w:lastRenderedPageBreak/>
        <w:t>amputation</w:t>
      </w:r>
      <w:r w:rsidR="008E0C6E" w:rsidRPr="000870C5">
        <w:rPr>
          <w:rFonts w:ascii="Book Antiqua" w:eastAsia="Book Antiqua" w:hAnsi="Book Antiqua" w:cs="Book Antiqua"/>
          <w:color w:val="000000"/>
        </w:rPr>
        <w:t>; and</w:t>
      </w:r>
      <w:r w:rsidRPr="000870C5">
        <w:rPr>
          <w:rFonts w:ascii="Book Antiqua" w:eastAsia="Book Antiqua" w:hAnsi="Book Antiqua" w:cs="Book Antiqua"/>
          <w:color w:val="000000"/>
        </w:rPr>
        <w:t xml:space="preserve"> (</w:t>
      </w:r>
      <w:r w:rsidR="008E0C6E" w:rsidRPr="000870C5">
        <w:rPr>
          <w:rFonts w:ascii="Book Antiqua" w:eastAsia="Book Antiqua" w:hAnsi="Book Antiqua" w:cs="Book Antiqua"/>
          <w:color w:val="000000"/>
        </w:rPr>
        <w:t>3</w:t>
      </w:r>
      <w:r w:rsidRPr="000870C5">
        <w:rPr>
          <w:rFonts w:ascii="Book Antiqua" w:eastAsia="Book Antiqua" w:hAnsi="Book Antiqua" w:cs="Book Antiqua"/>
          <w:color w:val="000000"/>
        </w:rPr>
        <w:t xml:space="preserve">) Outcomes measured at longer than at least 12 mo. The exclusion criteria was limited to studies relating to paediatric patients. Only English language studies with original data were included with no restriction on publication date. Duplicate results were excluded. Each study was assessed for selection by two individual authors with a plan for escalation to corresponding authors, should there be a disagreement. No studies required further consensus. Statistical analysis looking at weighted mean age, rates of mortality at 1, 3 and 5 years and re-amputation were calculated. Individual studies were examined for bias, in particular, selection, attrition and recall bias. Significant loss to follow up, degree of heterogeneity and presence of confounding factors were examined. The PRISMA 2009 Checklist was followed. No conflict of interests are declared with no external funding sought for this study. </w:t>
      </w:r>
    </w:p>
    <w:p w14:paraId="00C16637" w14:textId="77777777" w:rsidR="00A77B3E" w:rsidRPr="000870C5" w:rsidRDefault="00A77B3E" w:rsidP="000870C5">
      <w:pPr>
        <w:snapToGrid w:val="0"/>
        <w:spacing w:line="360" w:lineRule="auto"/>
        <w:jc w:val="both"/>
        <w:rPr>
          <w:rFonts w:ascii="Book Antiqua" w:hAnsi="Book Antiqua"/>
        </w:rPr>
      </w:pPr>
    </w:p>
    <w:p w14:paraId="167B01DB"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u w:val="single"/>
        </w:rPr>
        <w:t>RESULTS</w:t>
      </w:r>
    </w:p>
    <w:p w14:paraId="0802F90B" w14:textId="1A354F8A"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Key search terms yielded a total of 125 results of which 22 publications were selected against the inclusion and exclusion criteria for review</w:t>
      </w:r>
      <w:r w:rsidR="00DD6F6F">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Of the selected studies, 11 studies were prospective, 8 retrospective, 3 systematic review and meta-analyses (Table 1). Overall, the majority of selected articles were level III evidence but ranged from level II-V and no randomized controlled trials were found. Sixteen of the 18 studies conducted standardisation of the patient cohort with regards to co-morbidities. In the 9 prospective studies, only three studies had any loss of follow up in patients (range 5%-20%). </w:t>
      </w:r>
    </w:p>
    <w:p w14:paraId="7518C8BD" w14:textId="1243CD90"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Rates of re-ulceration were reported to be higher in patients with history of LEA and DFU compared to conservative management in both ipsilateral and contralateral limbs. The weighted mean was calculated for both re-amputation and mortality. A total of 9 articles reported rates of re-amputation of which only 2 articles specified rates at 1, 3 and 5 years</w:t>
      </w:r>
      <w:r w:rsidRPr="000870C5">
        <w:rPr>
          <w:rFonts w:ascii="Book Antiqua" w:eastAsia="Book Antiqua" w:hAnsi="Book Antiqua" w:cs="Book Antiqua"/>
          <w:i/>
          <w:iCs/>
          <w:color w:val="000000"/>
        </w:rPr>
        <w:t xml:space="preserve">. </w:t>
      </w:r>
      <w:r w:rsidRPr="000870C5">
        <w:rPr>
          <w:rFonts w:ascii="Book Antiqua" w:eastAsia="Book Antiqua" w:hAnsi="Book Antiqua" w:cs="Book Antiqua"/>
          <w:color w:val="000000"/>
        </w:rPr>
        <w:t xml:space="preserve">With the exclusion of 2 publications, all articles were published after 2001 and the calculated weighted mean of re-amputation was 20.14%, 29.63% and 45.72% at 1, 3 and 5 years respectively </w:t>
      </w:r>
      <w:r w:rsidRPr="000870C5">
        <w:rPr>
          <w:rFonts w:ascii="Book Antiqua" w:eastAsia="Book Antiqua" w:hAnsi="Book Antiqua" w:cs="Book Antiqua"/>
          <w:iCs/>
          <w:color w:val="000000"/>
        </w:rPr>
        <w:t>(Table 2)</w:t>
      </w:r>
      <w:r w:rsidRPr="000870C5">
        <w:rPr>
          <w:rFonts w:ascii="Book Antiqua" w:eastAsia="Book Antiqua" w:hAnsi="Book Antiqua" w:cs="Book Antiqua"/>
          <w:color w:val="000000"/>
        </w:rPr>
        <w:t xml:space="preserve">. A total of 8 articles specify mortality outcomes at 1, 3 and 5 years, of which, only 2 articles were published prior to 2001 </w:t>
      </w:r>
      <w:r w:rsidRPr="000870C5">
        <w:rPr>
          <w:rFonts w:ascii="Book Antiqua" w:eastAsia="Book Antiqua" w:hAnsi="Book Antiqua" w:cs="Book Antiqua"/>
          <w:iCs/>
          <w:color w:val="000000"/>
        </w:rPr>
        <w:t>(Table 3).</w:t>
      </w:r>
      <w:r w:rsidRPr="000870C5">
        <w:rPr>
          <w:rFonts w:ascii="Book Antiqua" w:eastAsia="Book Antiqua" w:hAnsi="Book Antiqua" w:cs="Book Antiqua"/>
          <w:color w:val="000000"/>
        </w:rPr>
        <w:t xml:space="preserve"> The cumulative total of 994 patients found a mean age of 70.2 years and exhibited a male predominance. The weighted mean mortality at 1, 3 and 5 years were 13.62%, 30.25% and </w:t>
      </w:r>
      <w:r w:rsidRPr="000870C5">
        <w:rPr>
          <w:rFonts w:ascii="Book Antiqua" w:eastAsia="Book Antiqua" w:hAnsi="Book Antiqua" w:cs="Book Antiqua"/>
          <w:color w:val="000000"/>
        </w:rPr>
        <w:lastRenderedPageBreak/>
        <w:t xml:space="preserve">50.55% respectively and were only calculated using the studies which specified each interval's long-term outcome. </w:t>
      </w:r>
    </w:p>
    <w:p w14:paraId="52D9E385" w14:textId="77777777" w:rsidR="00A77B3E" w:rsidRPr="000870C5" w:rsidRDefault="00A77B3E" w:rsidP="000870C5">
      <w:pPr>
        <w:snapToGrid w:val="0"/>
        <w:spacing w:line="360" w:lineRule="auto"/>
        <w:jc w:val="both"/>
        <w:rPr>
          <w:rFonts w:ascii="Book Antiqua" w:hAnsi="Book Antiqua"/>
        </w:rPr>
      </w:pPr>
    </w:p>
    <w:p w14:paraId="0BFA5A4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u w:val="single"/>
        </w:rPr>
        <w:t>DISCUSSION</w:t>
      </w:r>
    </w:p>
    <w:p w14:paraId="1E664464"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There is a paucity of data pertaining to long-term outcomes of patients with DFU-associated LEA. Few studies exceed 5 years with the longest study assessing outcomes just over 10 years. The main outcomes of this systematic review and meta-analysis found a weighted mean of mortality at 1, 3 and 5 years were 13.62%, 30.25% and 50.55% respectively and weighted mean of re-amputation at 1, 3 and 5 years were 20.14%, 29.63% and 45.72% respectively. Major amputation was found to be a negative prognostic factor for return to activities of daily living. </w:t>
      </w:r>
    </w:p>
    <w:p w14:paraId="545A67B3" w14:textId="77777777" w:rsidR="00235DD5" w:rsidRPr="000870C5" w:rsidRDefault="00235DD5" w:rsidP="000870C5">
      <w:pPr>
        <w:snapToGrid w:val="0"/>
        <w:spacing w:line="360" w:lineRule="auto"/>
        <w:jc w:val="both"/>
        <w:rPr>
          <w:rFonts w:ascii="Book Antiqua" w:hAnsi="Book Antiqua"/>
        </w:rPr>
      </w:pPr>
    </w:p>
    <w:p w14:paraId="2B4920C9"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i/>
          <w:iCs/>
          <w:color w:val="000000"/>
        </w:rPr>
        <w:t>Re-ulceration</w:t>
      </w:r>
    </w:p>
    <w:p w14:paraId="2F7B81EF"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Patients with a previous LEA for DFU have a higher risk of re-ulceration than patients undergoing conservative treatment for DFU. In a 4-year follow-up study, 40% of patients with previous LEA had re-ulceration at 1 year compared to 30% of the non-LEA group. At the 3 and 5-year mark, the ulcer recurrence was 70% and 75% in the LEA group compared to 52% and 60% in the non-LEA group</w:t>
      </w:r>
      <w:r w:rsidR="00441394" w:rsidRPr="000870C5">
        <w:rPr>
          <w:rFonts w:ascii="Book Antiqua" w:eastAsia="Book Antiqua" w:hAnsi="Book Antiqua" w:cs="Book Antiqua"/>
          <w:color w:val="000000"/>
          <w:vertAlign w:val="superscript"/>
        </w:rPr>
        <w:t>[4]</w:t>
      </w:r>
      <w:r w:rsidRPr="000870C5">
        <w:rPr>
          <w:rFonts w:ascii="Book Antiqua" w:eastAsia="Book Antiqua" w:hAnsi="Book Antiqua" w:cs="Book Antiqua"/>
          <w:color w:val="000000"/>
        </w:rPr>
        <w:t>.</w:t>
      </w:r>
      <w:r w:rsidR="00441394"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Following LEA, there is a high risk of re-ulceration of both the ipsilateral and contralateral limb with the former being higher. In a 5-year follow-up study of 245 patients who had undergone toe amputation for DFU, the cumulative incidence of a new foot ulcer at 1,3 and 5 years was 27.3%, 57.2% and 74.4% respectively. The rate of ulceration in the contralateral limb has been shown to be as high as 23%</w:t>
      </w:r>
      <w:r w:rsidR="00167D7F" w:rsidRPr="000870C5">
        <w:rPr>
          <w:rFonts w:ascii="Book Antiqua" w:eastAsia="Book Antiqua" w:hAnsi="Book Antiqua" w:cs="Book Antiqua"/>
          <w:color w:val="000000"/>
          <w:vertAlign w:val="superscript"/>
        </w:rPr>
        <w:t>[5]</w:t>
      </w:r>
      <w:r w:rsidRPr="000870C5">
        <w:rPr>
          <w:rFonts w:ascii="Book Antiqua" w:eastAsia="Book Antiqua" w:hAnsi="Book Antiqua" w:cs="Book Antiqua"/>
          <w:color w:val="000000"/>
        </w:rPr>
        <w:t>.</w:t>
      </w:r>
    </w:p>
    <w:p w14:paraId="3034692B" w14:textId="77777777" w:rsidR="00A77B3E" w:rsidRPr="000870C5" w:rsidRDefault="00A77B3E" w:rsidP="000870C5">
      <w:pPr>
        <w:snapToGrid w:val="0"/>
        <w:spacing w:line="360" w:lineRule="auto"/>
        <w:jc w:val="both"/>
        <w:rPr>
          <w:rFonts w:ascii="Book Antiqua" w:hAnsi="Book Antiqua"/>
        </w:rPr>
      </w:pPr>
    </w:p>
    <w:p w14:paraId="65B36B10"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i/>
          <w:iCs/>
          <w:color w:val="000000"/>
        </w:rPr>
        <w:t>Re-amputation</w:t>
      </w:r>
    </w:p>
    <w:p w14:paraId="2F1F39D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Previous LEA is an important, independent risk factor for further amputations. The earliest studies in the late 1990s examining re-amputations in patients involved rates as high as 60% over 10 years in 90 patients with a Swedish study of 189 patients reporting re-amputation rates at 14%, 30% and 49% at years 1,</w:t>
      </w:r>
      <w:r w:rsidR="00DE255C"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3 and 5 after the index LEA</w:t>
      </w:r>
      <w:r w:rsidR="00167D7F" w:rsidRPr="000870C5">
        <w:rPr>
          <w:rFonts w:ascii="Book Antiqua" w:eastAsia="Book Antiqua" w:hAnsi="Book Antiqua" w:cs="Book Antiqua"/>
          <w:color w:val="000000"/>
          <w:vertAlign w:val="superscript"/>
        </w:rPr>
        <w:t>[6,7]</w:t>
      </w:r>
      <w:r w:rsidRPr="000870C5">
        <w:rPr>
          <w:rFonts w:ascii="Book Antiqua" w:eastAsia="Book Antiqua" w:hAnsi="Book Antiqua" w:cs="Book Antiqua"/>
          <w:color w:val="000000"/>
        </w:rPr>
        <w:t>.</w:t>
      </w:r>
    </w:p>
    <w:p w14:paraId="5BFB2F65" w14:textId="4E31BAF1"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lastRenderedPageBreak/>
        <w:t>More recently, in a study of 39 patients over 6.5 years, the re-amputation rate remained high at 55.6%</w:t>
      </w:r>
      <w:r w:rsidR="00A6077A" w:rsidRPr="000870C5">
        <w:rPr>
          <w:rFonts w:ascii="Book Antiqua" w:eastAsia="Book Antiqua" w:hAnsi="Book Antiqua" w:cs="Book Antiqua"/>
          <w:color w:val="000000"/>
          <w:vertAlign w:val="superscript"/>
        </w:rPr>
        <w:t>[8]</w:t>
      </w:r>
      <w:r w:rsidRPr="000870C5">
        <w:rPr>
          <w:rFonts w:ascii="Book Antiqua" w:eastAsia="Book Antiqua" w:hAnsi="Book Antiqua" w:cs="Book Antiqua"/>
          <w:color w:val="000000"/>
        </w:rPr>
        <w:t>.</w:t>
      </w:r>
      <w:r w:rsidR="00A6077A"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This high rate was also observed over time in another study of 277 patients over 10 years where re-amputation at 1, 3 and 5 years was 26.7%, 48.3% and 60.7%</w:t>
      </w:r>
      <w:r w:rsidR="00A6077A" w:rsidRPr="000870C5">
        <w:rPr>
          <w:rFonts w:ascii="Book Antiqua" w:eastAsia="Book Antiqua" w:hAnsi="Book Antiqua" w:cs="Book Antiqua"/>
          <w:color w:val="000000"/>
          <w:vertAlign w:val="superscript"/>
        </w:rPr>
        <w:t>[9]</w:t>
      </w:r>
      <w:r w:rsidRPr="000870C5">
        <w:rPr>
          <w:rFonts w:ascii="Book Antiqua" w:eastAsia="Book Antiqua" w:hAnsi="Book Antiqua" w:cs="Book Antiqua"/>
          <w:color w:val="000000"/>
        </w:rPr>
        <w:t>.</w:t>
      </w:r>
      <w:r w:rsidR="00A6077A"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Other studies show a lower re-amputation rate. A re-amputation rate of 21.5% in a study of 121 patients , 16.7% in 132 patients following DFU-related LEA and 12.5%, 22.3% and 47.1% in 245 patients at 1,3 and 5 years</w:t>
      </w:r>
      <w:r w:rsidR="007C20F7" w:rsidRPr="000870C5">
        <w:rPr>
          <w:rFonts w:ascii="Book Antiqua" w:eastAsia="Book Antiqua" w:hAnsi="Book Antiqua" w:cs="Book Antiqua"/>
          <w:color w:val="000000"/>
          <w:vertAlign w:val="superscript"/>
        </w:rPr>
        <w:t>[10-12]</w:t>
      </w:r>
      <w:r w:rsidRPr="000870C5">
        <w:rPr>
          <w:rFonts w:ascii="Book Antiqua" w:eastAsia="Book Antiqua" w:hAnsi="Book Antiqua" w:cs="Book Antiqua"/>
          <w:color w:val="000000"/>
        </w:rPr>
        <w:t>.</w:t>
      </w:r>
    </w:p>
    <w:p w14:paraId="4E560F4E" w14:textId="64C25AD4"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There is conflicting evidence regarding the role of the index LEA in the risk of subsequent re-amputation. Murdoch </w:t>
      </w:r>
      <w:r w:rsidRPr="007768A9">
        <w:rPr>
          <w:rFonts w:ascii="Book Antiqua" w:eastAsia="Book Antiqua" w:hAnsi="Book Antiqua" w:cs="Book Antiqua"/>
          <w:i/>
          <w:iCs/>
          <w:color w:val="000000"/>
        </w:rPr>
        <w:t>et al</w:t>
      </w:r>
      <w:r w:rsidR="007768A9" w:rsidRPr="000870C5">
        <w:rPr>
          <w:rFonts w:ascii="Book Antiqua" w:eastAsia="Book Antiqua" w:hAnsi="Book Antiqua" w:cs="Book Antiqua"/>
          <w:color w:val="000000"/>
          <w:vertAlign w:val="superscript"/>
        </w:rPr>
        <w:t>[6]</w:t>
      </w:r>
      <w:r w:rsidRPr="000870C5">
        <w:rPr>
          <w:rFonts w:ascii="Book Antiqua" w:eastAsia="Book Antiqua" w:hAnsi="Book Antiqua" w:cs="Book Antiqua"/>
          <w:color w:val="000000"/>
        </w:rPr>
        <w:t xml:space="preserve"> in the 1990s first illustrated that a large proportion of patients with an LEA at the level of the great toe or ray amputation received a higher-level a</w:t>
      </w:r>
      <w:r w:rsidR="0099387E" w:rsidRPr="000870C5">
        <w:rPr>
          <w:rFonts w:ascii="Book Antiqua" w:eastAsia="Book Antiqua" w:hAnsi="Book Antiqua" w:cs="Book Antiqua"/>
          <w:color w:val="000000"/>
        </w:rPr>
        <w:t xml:space="preserve">mputation in the first 12 </w:t>
      </w:r>
      <w:proofErr w:type="spellStart"/>
      <w:r w:rsidR="0099387E" w:rsidRPr="000870C5">
        <w:rPr>
          <w:rFonts w:ascii="Book Antiqua" w:eastAsia="Book Antiqua" w:hAnsi="Book Antiqua" w:cs="Book Antiqua"/>
          <w:color w:val="000000"/>
        </w:rPr>
        <w:t>mo</w:t>
      </w:r>
      <w:bookmarkStart w:id="1" w:name="OLE_LINK1947"/>
      <w:bookmarkStart w:id="2" w:name="OLE_LINK1948"/>
      <w:proofErr w:type="spellEnd"/>
      <w:r w:rsidR="0099387E" w:rsidRPr="000870C5">
        <w:rPr>
          <w:rFonts w:ascii="Book Antiqua" w:eastAsia="Book Antiqua" w:hAnsi="Book Antiqua" w:cs="Book Antiqua"/>
          <w:color w:val="000000"/>
          <w:vertAlign w:val="superscript"/>
        </w:rPr>
        <w:t>[</w:t>
      </w:r>
      <w:r w:rsidR="003F3646" w:rsidRPr="000870C5">
        <w:rPr>
          <w:rFonts w:ascii="Book Antiqua" w:eastAsia="Book Antiqua" w:hAnsi="Book Antiqua" w:cs="Book Antiqua"/>
          <w:color w:val="000000"/>
          <w:vertAlign w:val="superscript"/>
        </w:rPr>
        <w:t>6</w:t>
      </w:r>
      <w:r w:rsidR="0099387E" w:rsidRPr="000870C5">
        <w:rPr>
          <w:rFonts w:ascii="Book Antiqua" w:eastAsia="Book Antiqua" w:hAnsi="Book Antiqua" w:cs="Book Antiqua"/>
          <w:color w:val="000000"/>
          <w:vertAlign w:val="superscript"/>
        </w:rPr>
        <w:t>]</w:t>
      </w:r>
      <w:bookmarkEnd w:id="1"/>
      <w:bookmarkEnd w:id="2"/>
      <w:r w:rsidRPr="000870C5">
        <w:rPr>
          <w:rFonts w:ascii="Book Antiqua" w:eastAsia="Book Antiqua" w:hAnsi="Book Antiqua" w:cs="Book Antiqua"/>
          <w:color w:val="000000"/>
        </w:rPr>
        <w:t>.</w:t>
      </w:r>
      <w:r w:rsidR="0099387E"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In 146 patients over a 5-year follow up period, a higher rate of re-amputation was observed in primary toe compared to a more proximal forefoot index LEA (28% </w:t>
      </w:r>
      <w:r w:rsidRPr="000870C5">
        <w:rPr>
          <w:rFonts w:ascii="Book Antiqua" w:eastAsia="Book Antiqua" w:hAnsi="Book Antiqua" w:cs="Book Antiqua"/>
          <w:i/>
          <w:color w:val="000000"/>
        </w:rPr>
        <w:t>vs</w:t>
      </w:r>
      <w:r w:rsidR="0099387E"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24%)</w:t>
      </w:r>
      <w:r w:rsidR="0099387E" w:rsidRPr="000870C5">
        <w:rPr>
          <w:rFonts w:ascii="Book Antiqua" w:eastAsia="Book Antiqua" w:hAnsi="Book Antiqua" w:cs="Book Antiqua"/>
          <w:color w:val="000000"/>
          <w:vertAlign w:val="superscript"/>
        </w:rPr>
        <w:t>[1</w:t>
      </w:r>
      <w:r w:rsidR="003F3646" w:rsidRPr="000870C5">
        <w:rPr>
          <w:rFonts w:ascii="Book Antiqua" w:eastAsia="Book Antiqua" w:hAnsi="Book Antiqua" w:cs="Book Antiqua"/>
          <w:color w:val="000000"/>
          <w:vertAlign w:val="superscript"/>
        </w:rPr>
        <w:t>3</w:t>
      </w:r>
      <w:r w:rsidR="0099387E" w:rsidRPr="000870C5">
        <w:rPr>
          <w:rFonts w:ascii="Book Antiqua" w:eastAsia="Book Antiqua" w:hAnsi="Book Antiqua" w:cs="Book Antiqua"/>
          <w:color w:val="000000"/>
          <w:vertAlign w:val="superscript"/>
        </w:rPr>
        <w:t>]</w:t>
      </w:r>
      <w:r w:rsidRPr="000870C5">
        <w:rPr>
          <w:rFonts w:ascii="Book Antiqua" w:eastAsia="Book Antiqua" w:hAnsi="Book Antiqua" w:cs="Book Antiqua"/>
          <w:color w:val="000000"/>
        </w:rPr>
        <w:t>.</w:t>
      </w:r>
    </w:p>
    <w:p w14:paraId="56960677"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A systematic review conducted by </w:t>
      </w:r>
      <w:proofErr w:type="spellStart"/>
      <w:r w:rsidRPr="000870C5">
        <w:rPr>
          <w:rFonts w:ascii="Book Antiqua" w:eastAsia="Book Antiqua" w:hAnsi="Book Antiqua" w:cs="Book Antiqua"/>
          <w:color w:val="000000"/>
        </w:rPr>
        <w:t>Borkosky</w:t>
      </w:r>
      <w:proofErr w:type="spellEnd"/>
      <w:r w:rsidRPr="000870C5">
        <w:rPr>
          <w:rFonts w:ascii="Book Antiqua" w:eastAsia="Book Antiqua" w:hAnsi="Book Antiqua" w:cs="Book Antiqua"/>
          <w:color w:val="000000"/>
        </w:rPr>
        <w:t xml:space="preserve"> </w:t>
      </w:r>
      <w:r w:rsidRPr="000870C5">
        <w:rPr>
          <w:rFonts w:ascii="Book Antiqua" w:eastAsia="Book Antiqua" w:hAnsi="Book Antiqua" w:cs="Book Antiqua"/>
          <w:i/>
          <w:color w:val="000000"/>
        </w:rPr>
        <w:t>et al</w:t>
      </w:r>
      <w:r w:rsidR="00101536" w:rsidRPr="000870C5">
        <w:rPr>
          <w:rFonts w:ascii="Book Antiqua" w:eastAsia="Book Antiqua" w:hAnsi="Book Antiqua" w:cs="Book Antiqua"/>
          <w:color w:val="000000"/>
          <w:vertAlign w:val="superscript"/>
        </w:rPr>
        <w:t>[1</w:t>
      </w:r>
      <w:r w:rsidR="003F3646" w:rsidRPr="000870C5">
        <w:rPr>
          <w:rFonts w:ascii="Book Antiqua" w:eastAsia="Book Antiqua" w:hAnsi="Book Antiqua" w:cs="Book Antiqua"/>
          <w:color w:val="000000"/>
          <w:vertAlign w:val="superscript"/>
        </w:rPr>
        <w:t>4</w:t>
      </w:r>
      <w:r w:rsidR="00101536" w:rsidRPr="000870C5">
        <w:rPr>
          <w:rFonts w:ascii="Book Antiqua" w:eastAsia="Book Antiqua" w:hAnsi="Book Antiqua" w:cs="Book Antiqua"/>
          <w:color w:val="000000"/>
          <w:vertAlign w:val="superscript"/>
        </w:rPr>
        <w:t>]</w:t>
      </w:r>
      <w:r w:rsidRPr="000870C5">
        <w:rPr>
          <w:rFonts w:ascii="Book Antiqua" w:eastAsia="Book Antiqua" w:hAnsi="Book Antiqua" w:cs="Book Antiqua"/>
          <w:color w:val="000000"/>
        </w:rPr>
        <w:t xml:space="preserve"> of 435 index ray amputations showed a re-amputation incidence of 19.8% over a mean follow-up of 26 mo.</w:t>
      </w:r>
      <w:r w:rsidR="00101536"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In response to this high rate of re-amputation, </w:t>
      </w:r>
      <w:proofErr w:type="spellStart"/>
      <w:r w:rsidRPr="000870C5">
        <w:rPr>
          <w:rFonts w:ascii="Book Antiqua" w:eastAsia="Book Antiqua" w:hAnsi="Book Antiqua" w:cs="Book Antiqua"/>
          <w:color w:val="000000"/>
        </w:rPr>
        <w:t>Throud</w:t>
      </w:r>
      <w:proofErr w:type="spellEnd"/>
      <w:r w:rsidRPr="000870C5">
        <w:rPr>
          <w:rFonts w:ascii="Book Antiqua" w:eastAsia="Book Antiqua" w:hAnsi="Book Antiqua" w:cs="Book Antiqua"/>
          <w:color w:val="000000"/>
        </w:rPr>
        <w:t xml:space="preserve"> </w:t>
      </w:r>
      <w:r w:rsidRPr="000870C5">
        <w:rPr>
          <w:rFonts w:ascii="Book Antiqua" w:eastAsia="Book Antiqua" w:hAnsi="Book Antiqua" w:cs="Book Antiqua"/>
          <w:i/>
          <w:color w:val="000000"/>
        </w:rPr>
        <w:t>et al</w:t>
      </w:r>
      <w:r w:rsidR="00753E5D" w:rsidRPr="000870C5">
        <w:rPr>
          <w:rFonts w:ascii="Book Antiqua" w:eastAsia="Book Antiqua" w:hAnsi="Book Antiqua" w:cs="Book Antiqua"/>
          <w:color w:val="000000"/>
          <w:vertAlign w:val="superscript"/>
        </w:rPr>
        <w:t>[1</w:t>
      </w:r>
      <w:r w:rsidR="003F3646" w:rsidRPr="000870C5">
        <w:rPr>
          <w:rFonts w:ascii="Book Antiqua" w:eastAsia="Book Antiqua" w:hAnsi="Book Antiqua" w:cs="Book Antiqua"/>
          <w:color w:val="000000"/>
          <w:vertAlign w:val="superscript"/>
        </w:rPr>
        <w:t>5</w:t>
      </w:r>
      <w:r w:rsidR="00753E5D" w:rsidRPr="000870C5">
        <w:rPr>
          <w:rFonts w:ascii="Book Antiqua" w:eastAsia="Book Antiqua" w:hAnsi="Book Antiqua" w:cs="Book Antiqua"/>
          <w:color w:val="000000"/>
          <w:vertAlign w:val="superscript"/>
        </w:rPr>
        <w:t>]</w:t>
      </w:r>
      <w:r w:rsidRPr="000870C5">
        <w:rPr>
          <w:rFonts w:ascii="Book Antiqua" w:eastAsia="Book Antiqua" w:hAnsi="Book Antiqua" w:cs="Book Antiqua"/>
          <w:color w:val="000000"/>
        </w:rPr>
        <w:t xml:space="preserve"> assessed the viability of a more proximal </w:t>
      </w:r>
      <w:proofErr w:type="spellStart"/>
      <w:r w:rsidRPr="000870C5">
        <w:rPr>
          <w:rFonts w:ascii="Book Antiqua" w:eastAsia="Book Antiqua" w:hAnsi="Book Antiqua" w:cs="Book Antiqua"/>
          <w:color w:val="000000"/>
        </w:rPr>
        <w:t>transmetatarsal</w:t>
      </w:r>
      <w:proofErr w:type="spellEnd"/>
      <w:r w:rsidRPr="000870C5">
        <w:rPr>
          <w:rFonts w:ascii="Book Antiqua" w:eastAsia="Book Antiqua" w:hAnsi="Book Antiqua" w:cs="Book Antiqua"/>
          <w:color w:val="000000"/>
        </w:rPr>
        <w:t xml:space="preserve"> amputation. A higher rate of 29.7% was observed in this systematic review of 1453 patients.</w:t>
      </w:r>
      <w:r w:rsidR="00753E5D"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The most statistically significant difference, however, was seen in 121 patients assessed by </w:t>
      </w:r>
      <w:proofErr w:type="spellStart"/>
      <w:r w:rsidRPr="000870C5">
        <w:rPr>
          <w:rFonts w:ascii="Book Antiqua" w:eastAsia="Book Antiqua" w:hAnsi="Book Antiqua" w:cs="Book Antiqua"/>
          <w:color w:val="000000"/>
        </w:rPr>
        <w:t>Skoutas</w:t>
      </w:r>
      <w:proofErr w:type="spellEnd"/>
      <w:r w:rsidRPr="000870C5">
        <w:rPr>
          <w:rFonts w:ascii="Book Antiqua" w:eastAsia="Book Antiqua" w:hAnsi="Book Antiqua" w:cs="Book Antiqua"/>
          <w:color w:val="000000"/>
        </w:rPr>
        <w:t xml:space="preserve"> </w:t>
      </w:r>
      <w:r w:rsidRPr="000870C5">
        <w:rPr>
          <w:rFonts w:ascii="Book Antiqua" w:eastAsia="Book Antiqua" w:hAnsi="Book Antiqua" w:cs="Book Antiqua"/>
          <w:i/>
          <w:color w:val="000000"/>
        </w:rPr>
        <w:t>et al</w:t>
      </w:r>
      <w:r w:rsidR="00201F89" w:rsidRPr="000870C5">
        <w:rPr>
          <w:rFonts w:ascii="Book Antiqua" w:eastAsia="Book Antiqua" w:hAnsi="Book Antiqua" w:cs="Book Antiqua"/>
          <w:color w:val="000000"/>
          <w:vertAlign w:val="superscript"/>
        </w:rPr>
        <w:t>[10]</w:t>
      </w:r>
      <w:r w:rsidRPr="000870C5">
        <w:rPr>
          <w:rFonts w:ascii="Book Antiqua" w:eastAsia="Book Antiqua" w:hAnsi="Book Antiqua" w:cs="Book Antiqua"/>
          <w:color w:val="000000"/>
        </w:rPr>
        <w:t xml:space="preserve"> In this study with a follow-up of 18 </w:t>
      </w:r>
      <w:proofErr w:type="spellStart"/>
      <w:r w:rsidRPr="000870C5">
        <w:rPr>
          <w:rFonts w:ascii="Book Antiqua" w:eastAsia="Book Antiqua" w:hAnsi="Book Antiqua" w:cs="Book Antiqua"/>
          <w:color w:val="000000"/>
        </w:rPr>
        <w:t>mo</w:t>
      </w:r>
      <w:proofErr w:type="spellEnd"/>
      <w:r w:rsidRPr="000870C5">
        <w:rPr>
          <w:rFonts w:ascii="Book Antiqua" w:eastAsia="Book Antiqua" w:hAnsi="Book Antiqua" w:cs="Book Antiqua"/>
          <w:color w:val="000000"/>
        </w:rPr>
        <w:t>, re-amputation rate following a toe and ray amputation were significantly higher compared to an index major LEA at all 1, 3 and 5 years. Overall, the rate of ipsilateral re-amputation significantly reduced by 34% as the level of the original LEA went higher.</w:t>
      </w:r>
    </w:p>
    <w:p w14:paraId="5482E8FB"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However, the Swedish study in 1998 showed no difference in rate of re-amputation following an index major or minor LEA</w:t>
      </w:r>
      <w:r w:rsidR="003412D5" w:rsidRPr="000870C5">
        <w:rPr>
          <w:rFonts w:ascii="Book Antiqua" w:eastAsia="Book Antiqua" w:hAnsi="Book Antiqua" w:cs="Book Antiqua"/>
          <w:color w:val="000000"/>
          <w:vertAlign w:val="superscript"/>
        </w:rPr>
        <w:t>[7]</w:t>
      </w:r>
      <w:r w:rsidRPr="000870C5">
        <w:rPr>
          <w:rFonts w:ascii="Book Antiqua" w:eastAsia="Book Antiqua" w:hAnsi="Book Antiqua" w:cs="Book Antiqua"/>
          <w:color w:val="000000"/>
        </w:rPr>
        <w:t>.</w:t>
      </w:r>
      <w:r w:rsidR="003412D5"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Similarly, in another study of 247 patients, there was no statistical difference in re-amputation rate regardless of the nature of index LEA in the follow up period of 10 years</w:t>
      </w:r>
      <w:r w:rsidR="00183F5B" w:rsidRPr="000870C5">
        <w:rPr>
          <w:rFonts w:ascii="Book Antiqua" w:eastAsia="Book Antiqua" w:hAnsi="Book Antiqua" w:cs="Book Antiqua"/>
          <w:color w:val="000000"/>
          <w:vertAlign w:val="superscript"/>
        </w:rPr>
        <w:t>[1</w:t>
      </w:r>
      <w:r w:rsidR="003F3646" w:rsidRPr="000870C5">
        <w:rPr>
          <w:rFonts w:ascii="Book Antiqua" w:eastAsia="Book Antiqua" w:hAnsi="Book Antiqua" w:cs="Book Antiqua"/>
          <w:color w:val="000000"/>
          <w:vertAlign w:val="superscript"/>
        </w:rPr>
        <w:t>6</w:t>
      </w:r>
      <w:r w:rsidR="00183F5B" w:rsidRPr="000870C5">
        <w:rPr>
          <w:rFonts w:ascii="Book Antiqua" w:eastAsia="Book Antiqua" w:hAnsi="Book Antiqua" w:cs="Book Antiqua"/>
          <w:color w:val="000000"/>
          <w:vertAlign w:val="superscript"/>
        </w:rPr>
        <w:t>]</w:t>
      </w:r>
      <w:r w:rsidRPr="000870C5">
        <w:rPr>
          <w:rFonts w:ascii="Book Antiqua" w:eastAsia="Book Antiqua" w:hAnsi="Book Antiqua" w:cs="Book Antiqua"/>
          <w:color w:val="000000"/>
        </w:rPr>
        <w:t>.</w:t>
      </w:r>
      <w:r w:rsidR="00183F5B"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With regards to contralateral re-amputation, the level of index LEA was also not statistically significant. The effect of the level of index LEA on subsequent re-amputation can be extremely useful in clinical decision making and have a significant effect on patient outcomes. Larger cohorts are needed to establish a meaningful association or lack thereof between index level LEA and re-amputation. In </w:t>
      </w:r>
      <w:r w:rsidRPr="000870C5">
        <w:rPr>
          <w:rFonts w:ascii="Book Antiqua" w:eastAsia="Book Antiqua" w:hAnsi="Book Antiqua" w:cs="Book Antiqua"/>
          <w:color w:val="000000"/>
        </w:rPr>
        <w:lastRenderedPageBreak/>
        <w:t xml:space="preserve">addition, recording the time of subsequent amputations may provide further insight into differences between type of index amputation and the interval time to re-amputation. </w:t>
      </w:r>
    </w:p>
    <w:p w14:paraId="3D30D8A6"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The presence and severity of peripheral arterial disease (PAD) was also seen as a significant risk factor in the need for re-amputation. In a study of 163 patients with an index DFU-associated LEA, rates of re-amputation were significantly related to the presence and severity of PAD</w:t>
      </w:r>
      <w:r w:rsidR="008858E0" w:rsidRPr="000870C5">
        <w:rPr>
          <w:rFonts w:ascii="Book Antiqua" w:eastAsia="Book Antiqua" w:hAnsi="Book Antiqua" w:cs="Book Antiqua"/>
          <w:color w:val="000000"/>
          <w:vertAlign w:val="superscript"/>
        </w:rPr>
        <w:t>[1</w:t>
      </w:r>
      <w:r w:rsidR="003F3646" w:rsidRPr="000870C5">
        <w:rPr>
          <w:rFonts w:ascii="Book Antiqua" w:eastAsia="Book Antiqua" w:hAnsi="Book Antiqua" w:cs="Book Antiqua"/>
          <w:color w:val="000000"/>
          <w:vertAlign w:val="superscript"/>
        </w:rPr>
        <w:t>7</w:t>
      </w:r>
      <w:r w:rsidR="008858E0" w:rsidRPr="000870C5">
        <w:rPr>
          <w:rFonts w:ascii="Book Antiqua" w:eastAsia="Book Antiqua" w:hAnsi="Book Antiqua" w:cs="Book Antiqua"/>
          <w:color w:val="000000"/>
          <w:vertAlign w:val="superscript"/>
        </w:rPr>
        <w:t>]</w:t>
      </w:r>
      <w:r w:rsidRPr="000870C5">
        <w:rPr>
          <w:rFonts w:ascii="Book Antiqua" w:eastAsia="Book Antiqua" w:hAnsi="Book Antiqua" w:cs="Book Antiqua"/>
          <w:color w:val="000000"/>
        </w:rPr>
        <w:t>.</w:t>
      </w:r>
      <w:r w:rsidR="008858E0"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Over a mean follow-up of 3.65 years, these patients either had a subsequent major or minor re-amputation. A higher proportion of the major group (111 patients) had PAD compared to in the minor (52 patients) group (71.15% </w:t>
      </w:r>
      <w:r w:rsidRPr="000870C5">
        <w:rPr>
          <w:rFonts w:ascii="Book Antiqua" w:eastAsia="Book Antiqua" w:hAnsi="Book Antiqua" w:cs="Book Antiqua"/>
          <w:i/>
          <w:color w:val="000000"/>
        </w:rPr>
        <w:t>vs</w:t>
      </w:r>
      <w:r w:rsidRPr="000870C5">
        <w:rPr>
          <w:rFonts w:ascii="Book Antiqua" w:eastAsia="Book Antiqua" w:hAnsi="Book Antiqua" w:cs="Book Antiqua"/>
          <w:color w:val="000000"/>
        </w:rPr>
        <w:t xml:space="preserve"> 22.23%; </w:t>
      </w:r>
      <w:r w:rsidRPr="000870C5">
        <w:rPr>
          <w:rFonts w:ascii="Book Antiqua" w:eastAsia="Book Antiqua" w:hAnsi="Book Antiqua" w:cs="Book Antiqua"/>
          <w:i/>
          <w:caps/>
          <w:color w:val="000000"/>
        </w:rPr>
        <w:t>p</w:t>
      </w:r>
      <w:r w:rsidR="00801FE0"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&lt;</w:t>
      </w:r>
      <w:r w:rsidR="00801FE0"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0.001). Furthermore, there was a significantly decreased interval to a major amputation if PAD was present and whether it was mild to moderate (1.62 years) or severe (1.53 years) than if no PAD (3.24 years). </w:t>
      </w:r>
    </w:p>
    <w:p w14:paraId="15F42EA0"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An Australian study done by </w:t>
      </w:r>
      <w:proofErr w:type="spellStart"/>
      <w:r w:rsidRPr="000870C5">
        <w:rPr>
          <w:rFonts w:ascii="Book Antiqua" w:eastAsia="Book Antiqua" w:hAnsi="Book Antiqua" w:cs="Book Antiqua"/>
          <w:color w:val="000000"/>
        </w:rPr>
        <w:t>Jeyaraman</w:t>
      </w:r>
      <w:proofErr w:type="spellEnd"/>
      <w:r w:rsidRPr="000870C5">
        <w:rPr>
          <w:rFonts w:ascii="Book Antiqua" w:eastAsia="Book Antiqua" w:hAnsi="Book Antiqua" w:cs="Book Antiqua"/>
          <w:color w:val="000000"/>
        </w:rPr>
        <w:t xml:space="preserve"> </w:t>
      </w:r>
      <w:r w:rsidRPr="000870C5">
        <w:rPr>
          <w:rFonts w:ascii="Book Antiqua" w:eastAsia="Book Antiqua" w:hAnsi="Book Antiqua" w:cs="Book Antiqua"/>
          <w:i/>
          <w:color w:val="000000"/>
        </w:rPr>
        <w:t>et al</w:t>
      </w:r>
      <w:r w:rsidR="004D19E5" w:rsidRPr="000870C5">
        <w:rPr>
          <w:rFonts w:ascii="Book Antiqua" w:eastAsia="Book Antiqua" w:hAnsi="Book Antiqua" w:cs="Book Antiqua"/>
          <w:color w:val="000000"/>
          <w:vertAlign w:val="superscript"/>
        </w:rPr>
        <w:t>[1</w:t>
      </w:r>
      <w:r w:rsidR="003F3646" w:rsidRPr="000870C5">
        <w:rPr>
          <w:rFonts w:ascii="Book Antiqua" w:eastAsia="Book Antiqua" w:hAnsi="Book Antiqua" w:cs="Book Antiqua"/>
          <w:color w:val="000000"/>
          <w:vertAlign w:val="superscript"/>
        </w:rPr>
        <w:t>8</w:t>
      </w:r>
      <w:r w:rsidR="004D19E5"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of 513 patients with DFU with a mean follow-up of 5.8 years showed prior LEA was an independent factor to subsequent re-amputation.</w:t>
      </w:r>
      <w:r w:rsidR="004D19E5"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In the 263 patients who had a LEA, 85 (32.3%) had a prior LEA which was statistically significant. The odds ratio (OR) for any subsequent LEA was 4.49 (95% confidence interval 1.69-11.9), further broken down into 4.84 in the minor group and 3.06 for a subsequent major LEA. </w:t>
      </w:r>
    </w:p>
    <w:p w14:paraId="53AD6D31" w14:textId="77777777" w:rsidR="00A77B3E" w:rsidRPr="000870C5" w:rsidRDefault="00A77B3E" w:rsidP="000870C5">
      <w:pPr>
        <w:snapToGrid w:val="0"/>
        <w:spacing w:line="360" w:lineRule="auto"/>
        <w:jc w:val="both"/>
        <w:rPr>
          <w:rFonts w:ascii="Book Antiqua" w:hAnsi="Book Antiqua"/>
        </w:rPr>
      </w:pPr>
    </w:p>
    <w:p w14:paraId="3F42CC10"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i/>
          <w:iCs/>
          <w:color w:val="000000"/>
        </w:rPr>
        <w:t>Mortality</w:t>
      </w:r>
    </w:p>
    <w:p w14:paraId="009B64CC" w14:textId="0E5A9352"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We found a total of 8 articles which had reported on up to 5</w:t>
      </w:r>
      <w:r w:rsidR="007768A9">
        <w:rPr>
          <w:rFonts w:ascii="Book Antiqua" w:eastAsia="Book Antiqua" w:hAnsi="Book Antiqua" w:cs="Book Antiqua"/>
          <w:color w:val="000000"/>
        </w:rPr>
        <w:t>-</w:t>
      </w:r>
      <w:r w:rsidRPr="000870C5">
        <w:rPr>
          <w:rFonts w:ascii="Book Antiqua" w:eastAsia="Book Antiqua" w:hAnsi="Book Antiqua" w:cs="Book Antiqua"/>
          <w:color w:val="000000"/>
        </w:rPr>
        <w:t xml:space="preserve">year mortality in patients undergoing major and minor amputations secondary to DFU with interval data at 1, 3 and 5 years </w:t>
      </w:r>
      <w:r w:rsidRPr="000870C5">
        <w:rPr>
          <w:rFonts w:ascii="Book Antiqua" w:eastAsia="Book Antiqua" w:hAnsi="Book Antiqua" w:cs="Book Antiqua"/>
          <w:iCs/>
          <w:color w:val="000000"/>
        </w:rPr>
        <w:t>(Table 2)</w:t>
      </w:r>
      <w:r w:rsidRPr="000870C5">
        <w:rPr>
          <w:rFonts w:ascii="Book Antiqua" w:eastAsia="Book Antiqua" w:hAnsi="Book Antiqua" w:cs="Book Antiqua"/>
          <w:color w:val="000000"/>
        </w:rPr>
        <w:t xml:space="preserve">. The weighted mean mortality at 1, 3 and 5 years were 13.62%, 30.25% and 50.55% respectively </w:t>
      </w:r>
      <w:r w:rsidRPr="000870C5">
        <w:rPr>
          <w:rFonts w:ascii="Book Antiqua" w:eastAsia="Book Antiqua" w:hAnsi="Book Antiqua" w:cs="Book Antiqua"/>
          <w:iCs/>
          <w:color w:val="000000"/>
        </w:rPr>
        <w:t>(Table 3)</w:t>
      </w:r>
      <w:r w:rsidRPr="000870C5">
        <w:rPr>
          <w:rFonts w:ascii="Book Antiqua" w:eastAsia="Book Antiqua" w:hAnsi="Book Antiqua" w:cs="Book Antiqua"/>
          <w:color w:val="000000"/>
        </w:rPr>
        <w:t xml:space="preserve">. Furthermore, six other studies illustrated similar mortality at varied follow-up periods ranging from 1 to 10 years. Comparable 3-year mortality was reported by </w:t>
      </w:r>
      <w:proofErr w:type="spellStart"/>
      <w:r w:rsidRPr="000870C5">
        <w:rPr>
          <w:rFonts w:ascii="Book Antiqua" w:eastAsia="Book Antiqua" w:hAnsi="Book Antiqua" w:cs="Book Antiqua"/>
          <w:color w:val="000000"/>
        </w:rPr>
        <w:t>Nerone</w:t>
      </w:r>
      <w:proofErr w:type="spellEnd"/>
      <w:r w:rsidRPr="000870C5">
        <w:rPr>
          <w:rFonts w:ascii="Book Antiqua" w:eastAsia="Book Antiqua" w:hAnsi="Book Antiqua" w:cs="Book Antiqua"/>
          <w:color w:val="000000"/>
        </w:rPr>
        <w:t xml:space="preserve"> </w:t>
      </w:r>
      <w:r w:rsidRPr="007768A9">
        <w:rPr>
          <w:rFonts w:ascii="Book Antiqua" w:eastAsia="Book Antiqua" w:hAnsi="Book Antiqua" w:cs="Book Antiqua"/>
          <w:i/>
          <w:iCs/>
          <w:color w:val="000000"/>
        </w:rPr>
        <w:t>et al</w:t>
      </w:r>
      <w:r w:rsidR="007768A9" w:rsidRPr="000870C5">
        <w:rPr>
          <w:rFonts w:ascii="Book Antiqua" w:eastAsia="Book Antiqua" w:hAnsi="Book Antiqua" w:cs="Book Antiqua"/>
          <w:color w:val="000000"/>
          <w:vertAlign w:val="superscript"/>
        </w:rPr>
        <w:t>[17]</w:t>
      </w:r>
      <w:r w:rsidRPr="000870C5">
        <w:rPr>
          <w:rFonts w:ascii="Book Antiqua" w:eastAsia="Book Antiqua" w:hAnsi="Book Antiqua" w:cs="Book Antiqua"/>
          <w:color w:val="000000"/>
        </w:rPr>
        <w:t xml:space="preserve"> and Ramsey </w:t>
      </w:r>
      <w:r w:rsidRPr="007768A9">
        <w:rPr>
          <w:rFonts w:ascii="Book Antiqua" w:eastAsia="Book Antiqua" w:hAnsi="Book Antiqua" w:cs="Book Antiqua"/>
          <w:i/>
          <w:iCs/>
          <w:color w:val="000000"/>
        </w:rPr>
        <w:t>et al</w:t>
      </w:r>
      <w:r w:rsidR="007768A9" w:rsidRPr="000870C5">
        <w:rPr>
          <w:rFonts w:ascii="Book Antiqua" w:eastAsia="Book Antiqua" w:hAnsi="Book Antiqua" w:cs="Book Antiqua"/>
          <w:color w:val="000000"/>
          <w:vertAlign w:val="superscript"/>
        </w:rPr>
        <w:t>[19]</w:t>
      </w:r>
      <w:r w:rsidRPr="000870C5">
        <w:rPr>
          <w:rFonts w:ascii="Book Antiqua" w:eastAsia="Book Antiqua" w:hAnsi="Book Antiqua" w:cs="Book Antiqua"/>
          <w:color w:val="000000"/>
        </w:rPr>
        <w:t xml:space="preserve"> of 28.85% and 28% respectively.</w:t>
      </w:r>
    </w:p>
    <w:p w14:paraId="6476978F"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Chu </w:t>
      </w:r>
      <w:r w:rsidRPr="000870C5">
        <w:rPr>
          <w:rFonts w:ascii="Book Antiqua" w:eastAsia="Book Antiqua" w:hAnsi="Book Antiqua" w:cs="Book Antiqua"/>
          <w:i/>
          <w:color w:val="000000"/>
        </w:rPr>
        <w:t>et al</w:t>
      </w:r>
      <w:r w:rsidR="006934B5" w:rsidRPr="000870C5">
        <w:rPr>
          <w:rFonts w:ascii="Book Antiqua" w:eastAsia="Book Antiqua" w:hAnsi="Book Antiqua" w:cs="Book Antiqua"/>
          <w:color w:val="000000"/>
          <w:vertAlign w:val="superscript"/>
        </w:rPr>
        <w:t>[12]</w:t>
      </w:r>
      <w:r w:rsidRPr="000870C5">
        <w:rPr>
          <w:rFonts w:ascii="Book Antiqua" w:eastAsia="Book Antiqua" w:hAnsi="Book Antiqua" w:cs="Book Antiqua"/>
          <w:color w:val="000000"/>
        </w:rPr>
        <w:t xml:space="preserve"> (2014) is the largest study to date which observed 245 patients for 5 years post DFU-associated LEA and reported the cumulative mortality of 5.8%, 15.1% and 32.7% at 1, 3 and 5 years respectively.</w:t>
      </w:r>
      <w:r w:rsidR="006934B5"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The overall all-cause mortality in this study was 37.8% with an average survival time for deceased patients of 3.8 years and a longer </w:t>
      </w:r>
      <w:r w:rsidRPr="000870C5">
        <w:rPr>
          <w:rFonts w:ascii="Book Antiqua" w:eastAsia="Book Antiqua" w:hAnsi="Book Antiqua" w:cs="Book Antiqua"/>
          <w:color w:val="000000"/>
        </w:rPr>
        <w:lastRenderedPageBreak/>
        <w:t xml:space="preserve">duration of survival in females (4.1 years). Cause of death varied including foot-related deaths </w:t>
      </w:r>
      <w:r w:rsidRPr="000870C5">
        <w:rPr>
          <w:rFonts w:ascii="Book Antiqua" w:eastAsia="Book Antiqua" w:hAnsi="Book Antiqua" w:cs="Book Antiqua"/>
          <w:i/>
          <w:iCs/>
          <w:color w:val="000000"/>
        </w:rPr>
        <w:t>(25.7%),</w:t>
      </w:r>
      <w:r w:rsidRPr="000870C5">
        <w:rPr>
          <w:rFonts w:ascii="Book Antiqua" w:eastAsia="Book Antiqua" w:hAnsi="Book Antiqua" w:cs="Book Antiqua"/>
          <w:color w:val="000000"/>
        </w:rPr>
        <w:t xml:space="preserve"> renal failure </w:t>
      </w:r>
      <w:r w:rsidRPr="000870C5">
        <w:rPr>
          <w:rFonts w:ascii="Book Antiqua" w:eastAsia="Book Antiqua" w:hAnsi="Book Antiqua" w:cs="Book Antiqua"/>
          <w:i/>
          <w:iCs/>
          <w:color w:val="000000"/>
        </w:rPr>
        <w:t>(22.9%),</w:t>
      </w:r>
      <w:r w:rsidRPr="000870C5">
        <w:rPr>
          <w:rFonts w:ascii="Book Antiqua" w:eastAsia="Book Antiqua" w:hAnsi="Book Antiqua" w:cs="Book Antiqua"/>
          <w:color w:val="000000"/>
        </w:rPr>
        <w:t xml:space="preserve"> heart failure </w:t>
      </w:r>
      <w:r w:rsidRPr="000870C5">
        <w:rPr>
          <w:rFonts w:ascii="Book Antiqua" w:eastAsia="Book Antiqua" w:hAnsi="Book Antiqua" w:cs="Book Antiqua"/>
          <w:iCs/>
          <w:color w:val="000000"/>
        </w:rPr>
        <w:t>(18.6%)</w:t>
      </w:r>
      <w:r w:rsidRPr="000870C5">
        <w:rPr>
          <w:rFonts w:ascii="Book Antiqua" w:eastAsia="Book Antiqua" w:hAnsi="Book Antiqua" w:cs="Book Antiqua"/>
          <w:color w:val="000000"/>
        </w:rPr>
        <w:t xml:space="preserve"> and malignancy </w:t>
      </w:r>
      <w:r w:rsidRPr="000870C5">
        <w:rPr>
          <w:rFonts w:ascii="Book Antiqua" w:eastAsia="Book Antiqua" w:hAnsi="Book Antiqua" w:cs="Book Antiqua"/>
          <w:iCs/>
          <w:color w:val="000000"/>
        </w:rPr>
        <w:t>(17.1%).</w:t>
      </w:r>
      <w:r w:rsidRPr="000870C5">
        <w:rPr>
          <w:rFonts w:ascii="Book Antiqua" w:eastAsia="Book Antiqua" w:hAnsi="Book Antiqua" w:cs="Book Antiqua"/>
          <w:color w:val="000000"/>
        </w:rPr>
        <w:t xml:space="preserve"> Age &gt;</w:t>
      </w:r>
      <w:r w:rsidR="006B75C6"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70, poor glycemic control (HbA1c &gt;</w:t>
      </w:r>
      <w:r w:rsidR="006B75C6"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9, </w:t>
      </w:r>
      <w:r w:rsidRPr="000870C5">
        <w:rPr>
          <w:rFonts w:ascii="Book Antiqua" w:eastAsia="Book Antiqua" w:hAnsi="Book Antiqua" w:cs="Book Antiqua"/>
          <w:i/>
          <w:caps/>
          <w:color w:val="000000"/>
        </w:rPr>
        <w:t>p</w:t>
      </w:r>
      <w:r w:rsidR="006B75C6" w:rsidRPr="000870C5">
        <w:rPr>
          <w:rFonts w:ascii="Book Antiqua" w:eastAsia="Book Antiqua" w:hAnsi="Book Antiqua" w:cs="Book Antiqua"/>
          <w:i/>
          <w:caps/>
          <w:color w:val="000000"/>
        </w:rPr>
        <w:t xml:space="preserve"> </w:t>
      </w:r>
      <w:r w:rsidRPr="000870C5">
        <w:rPr>
          <w:rFonts w:ascii="Book Antiqua" w:eastAsia="Book Antiqua" w:hAnsi="Book Antiqua" w:cs="Book Antiqua"/>
          <w:color w:val="000000"/>
        </w:rPr>
        <w:t>&lt;</w:t>
      </w:r>
      <w:r w:rsidR="006B75C6"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0.01), criti</w:t>
      </w:r>
      <w:r w:rsidR="006B75C6" w:rsidRPr="000870C5">
        <w:rPr>
          <w:rFonts w:ascii="Book Antiqua" w:eastAsia="Book Antiqua" w:hAnsi="Book Antiqua" w:cs="Book Antiqua"/>
          <w:color w:val="000000"/>
        </w:rPr>
        <w:t xml:space="preserve">cal limb ischemia (OR </w:t>
      </w:r>
      <w:r w:rsidR="009524D6" w:rsidRPr="000870C5">
        <w:rPr>
          <w:rFonts w:ascii="Book Antiqua" w:eastAsia="Book Antiqua" w:hAnsi="Book Antiqua" w:cs="Book Antiqua"/>
          <w:color w:val="000000"/>
        </w:rPr>
        <w:t xml:space="preserve">= </w:t>
      </w:r>
      <w:r w:rsidR="006B75C6" w:rsidRPr="000870C5">
        <w:rPr>
          <w:rFonts w:ascii="Book Antiqua" w:eastAsia="Book Antiqua" w:hAnsi="Book Antiqua" w:cs="Book Antiqua"/>
          <w:color w:val="000000"/>
        </w:rPr>
        <w:t>5.60; 95%</w:t>
      </w:r>
      <w:r w:rsidRPr="000870C5">
        <w:rPr>
          <w:rFonts w:ascii="Book Antiqua" w:eastAsia="Book Antiqua" w:hAnsi="Book Antiqua" w:cs="Book Antiqua"/>
          <w:color w:val="000000"/>
        </w:rPr>
        <w:t>CI</w:t>
      </w:r>
      <w:r w:rsidR="006B75C6" w:rsidRPr="000870C5">
        <w:rPr>
          <w:rFonts w:ascii="Book Antiqua" w:eastAsia="Book Antiqua" w:hAnsi="Book Antiqua" w:cs="Book Antiqua"/>
          <w:color w:val="000000"/>
        </w:rPr>
        <w:t>:</w:t>
      </w:r>
      <w:r w:rsidRPr="000870C5">
        <w:rPr>
          <w:rFonts w:ascii="Book Antiqua" w:eastAsia="Book Antiqua" w:hAnsi="Book Antiqua" w:cs="Book Antiqua"/>
          <w:color w:val="000000"/>
        </w:rPr>
        <w:t xml:space="preserve"> 2.41-12.98, </w:t>
      </w:r>
      <w:r w:rsidRPr="000870C5">
        <w:rPr>
          <w:rFonts w:ascii="Book Antiqua" w:eastAsia="Book Antiqua" w:hAnsi="Book Antiqua" w:cs="Book Antiqua"/>
          <w:i/>
          <w:caps/>
          <w:color w:val="000000"/>
        </w:rPr>
        <w:t>p</w:t>
      </w:r>
      <w:r w:rsidR="006B75C6"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&lt;</w:t>
      </w:r>
      <w:r w:rsidR="006B75C6"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0.01), dia</w:t>
      </w:r>
      <w:r w:rsidR="009524D6" w:rsidRPr="000870C5">
        <w:rPr>
          <w:rFonts w:ascii="Book Antiqua" w:eastAsia="Book Antiqua" w:hAnsi="Book Antiqua" w:cs="Book Antiqua"/>
          <w:color w:val="000000"/>
        </w:rPr>
        <w:t xml:space="preserve">betic nephropathy (OR </w:t>
      </w:r>
      <w:r w:rsidR="000B7058" w:rsidRPr="000870C5">
        <w:rPr>
          <w:rFonts w:ascii="Book Antiqua" w:eastAsia="Book Antiqua" w:hAnsi="Book Antiqua" w:cs="Book Antiqua"/>
          <w:color w:val="000000"/>
        </w:rPr>
        <w:t xml:space="preserve">= </w:t>
      </w:r>
      <w:r w:rsidR="009524D6" w:rsidRPr="000870C5">
        <w:rPr>
          <w:rFonts w:ascii="Book Antiqua" w:eastAsia="Book Antiqua" w:hAnsi="Book Antiqua" w:cs="Book Antiqua"/>
          <w:color w:val="000000"/>
        </w:rPr>
        <w:t>3.86; 9%%</w:t>
      </w:r>
      <w:r w:rsidRPr="000870C5">
        <w:rPr>
          <w:rFonts w:ascii="Book Antiqua" w:eastAsia="Book Antiqua" w:hAnsi="Book Antiqua" w:cs="Book Antiqua"/>
          <w:color w:val="000000"/>
        </w:rPr>
        <w:t>CI</w:t>
      </w:r>
      <w:r w:rsidR="009524D6" w:rsidRPr="000870C5">
        <w:rPr>
          <w:rFonts w:ascii="Book Antiqua" w:eastAsia="Book Antiqua" w:hAnsi="Book Antiqua" w:cs="Book Antiqua"/>
          <w:color w:val="000000"/>
        </w:rPr>
        <w:t>:</w:t>
      </w:r>
      <w:r w:rsidRPr="000870C5">
        <w:rPr>
          <w:rFonts w:ascii="Book Antiqua" w:eastAsia="Book Antiqua" w:hAnsi="Book Antiqua" w:cs="Book Antiqua"/>
          <w:color w:val="000000"/>
        </w:rPr>
        <w:t xml:space="preserve"> 1.65-9.03; </w:t>
      </w:r>
      <w:r w:rsidRPr="000870C5">
        <w:rPr>
          <w:rFonts w:ascii="Book Antiqua" w:eastAsia="Book Antiqua" w:hAnsi="Book Antiqua" w:cs="Book Antiqua"/>
          <w:i/>
          <w:caps/>
          <w:color w:val="000000"/>
        </w:rPr>
        <w:t>p</w:t>
      </w:r>
      <w:r w:rsidR="009524D6"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&lt;</w:t>
      </w:r>
      <w:r w:rsidR="009524D6"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0.01), level of amputation and re-amputation were identified as independent risk factors for impaired wound healing, re-ulceration, re-amputation and mortality.  </w:t>
      </w:r>
    </w:p>
    <w:p w14:paraId="34A144A8"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The level and previous history of amputation were observed as risk factors. In Larson et al, a statistically significant higher mortality was observed following major index LEA than minor</w:t>
      </w:r>
      <w:r w:rsidR="00F40E7D" w:rsidRPr="000870C5">
        <w:rPr>
          <w:rFonts w:ascii="Book Antiqua" w:eastAsia="Book Antiqua" w:hAnsi="Book Antiqua" w:cs="Book Antiqua"/>
          <w:color w:val="000000"/>
          <w:vertAlign w:val="superscript"/>
        </w:rPr>
        <w:t>[7]</w:t>
      </w:r>
      <w:r w:rsidRPr="000870C5">
        <w:rPr>
          <w:rFonts w:ascii="Book Antiqua" w:eastAsia="Book Antiqua" w:hAnsi="Book Antiqua" w:cs="Book Antiqua"/>
          <w:color w:val="000000"/>
        </w:rPr>
        <w:t>.</w:t>
      </w:r>
      <w:r w:rsidR="00F40E7D"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Overall, mortality rates at 1, 3 and 5 year were also higher than previous studies (15%, 38% and 68%) respectively. </w:t>
      </w:r>
      <w:proofErr w:type="spellStart"/>
      <w:r w:rsidRPr="000870C5">
        <w:rPr>
          <w:rFonts w:ascii="Book Antiqua" w:eastAsia="Book Antiqua" w:hAnsi="Book Antiqua" w:cs="Book Antiqua"/>
          <w:color w:val="000000"/>
        </w:rPr>
        <w:t>Apelqvist</w:t>
      </w:r>
      <w:proofErr w:type="spellEnd"/>
      <w:r w:rsidRPr="000870C5">
        <w:rPr>
          <w:rFonts w:ascii="Book Antiqua" w:eastAsia="Book Antiqua" w:hAnsi="Book Antiqua" w:cs="Book Antiqua"/>
          <w:color w:val="000000"/>
        </w:rPr>
        <w:t xml:space="preserve"> </w:t>
      </w:r>
      <w:r w:rsidRPr="000870C5">
        <w:rPr>
          <w:rFonts w:ascii="Book Antiqua" w:eastAsia="Book Antiqua" w:hAnsi="Book Antiqua" w:cs="Book Antiqua"/>
          <w:i/>
          <w:color w:val="000000"/>
        </w:rPr>
        <w:t>et al</w:t>
      </w:r>
      <w:r w:rsidR="00387033" w:rsidRPr="000870C5">
        <w:rPr>
          <w:rFonts w:ascii="Book Antiqua" w:eastAsia="Book Antiqua" w:hAnsi="Book Antiqua" w:cs="Book Antiqua"/>
          <w:color w:val="000000"/>
          <w:vertAlign w:val="superscript"/>
        </w:rPr>
        <w:t>[4]</w:t>
      </w:r>
      <w:r w:rsidRPr="000870C5">
        <w:rPr>
          <w:rFonts w:ascii="Book Antiqua" w:eastAsia="Book Antiqua" w:hAnsi="Book Antiqua" w:cs="Book Antiqua"/>
          <w:color w:val="000000"/>
        </w:rPr>
        <w:t xml:space="preserve"> (1993) reported a higher long-term (1, 3 and 5 year) mortality rate among patients with a previous amputation from a diabetic foot ulcer compared to new, primary amputation (20%, 41%, 73% </w:t>
      </w:r>
      <w:r w:rsidRPr="000870C5">
        <w:rPr>
          <w:rFonts w:ascii="Book Antiqua" w:eastAsia="Book Antiqua" w:hAnsi="Book Antiqua" w:cs="Book Antiqua"/>
          <w:i/>
          <w:color w:val="000000"/>
        </w:rPr>
        <w:t>vs</w:t>
      </w:r>
      <w:r w:rsidR="00506ED9" w:rsidRPr="000870C5">
        <w:rPr>
          <w:rFonts w:ascii="Book Antiqua" w:eastAsia="Book Antiqua" w:hAnsi="Book Antiqua" w:cs="Book Antiqua"/>
          <w:i/>
          <w:color w:val="000000"/>
        </w:rPr>
        <w:t xml:space="preserve"> </w:t>
      </w:r>
      <w:r w:rsidRPr="000870C5">
        <w:rPr>
          <w:rFonts w:ascii="Book Antiqua" w:eastAsia="Book Antiqua" w:hAnsi="Book Antiqua" w:cs="Book Antiqua"/>
          <w:color w:val="000000"/>
        </w:rPr>
        <w:t>8%, 27%, 42%).</w:t>
      </w:r>
    </w:p>
    <w:p w14:paraId="29D3C211" w14:textId="77777777" w:rsidR="00A77B3E" w:rsidRPr="000870C5" w:rsidRDefault="005B58C3" w:rsidP="000870C5">
      <w:pPr>
        <w:snapToGrid w:val="0"/>
        <w:spacing w:line="360" w:lineRule="auto"/>
        <w:ind w:firstLineChars="100" w:firstLine="240"/>
        <w:jc w:val="both"/>
        <w:rPr>
          <w:rFonts w:ascii="Book Antiqua" w:hAnsi="Book Antiqua"/>
        </w:rPr>
      </w:pPr>
      <w:proofErr w:type="spellStart"/>
      <w:r w:rsidRPr="000870C5">
        <w:rPr>
          <w:rFonts w:ascii="Book Antiqua" w:eastAsia="Book Antiqua" w:hAnsi="Book Antiqua" w:cs="Book Antiqua"/>
          <w:color w:val="000000"/>
        </w:rPr>
        <w:t>Faglia</w:t>
      </w:r>
      <w:proofErr w:type="spellEnd"/>
      <w:r w:rsidRPr="000870C5">
        <w:rPr>
          <w:rFonts w:ascii="Book Antiqua" w:eastAsia="Book Antiqua" w:hAnsi="Book Antiqua" w:cs="Book Antiqua"/>
          <w:color w:val="000000"/>
        </w:rPr>
        <w:t xml:space="preserve"> </w:t>
      </w:r>
      <w:r w:rsidRPr="000870C5">
        <w:rPr>
          <w:rFonts w:ascii="Book Antiqua" w:eastAsia="Book Antiqua" w:hAnsi="Book Antiqua" w:cs="Book Antiqua"/>
          <w:i/>
          <w:color w:val="000000"/>
        </w:rPr>
        <w:t>et al</w:t>
      </w:r>
      <w:r w:rsidR="006516F5" w:rsidRPr="000870C5">
        <w:rPr>
          <w:rFonts w:ascii="Book Antiqua" w:eastAsia="Book Antiqua" w:hAnsi="Book Antiqua" w:cs="Book Antiqua"/>
          <w:color w:val="000000"/>
          <w:vertAlign w:val="superscript"/>
        </w:rPr>
        <w:t>[2</w:t>
      </w:r>
      <w:r w:rsidR="003F3646" w:rsidRPr="000870C5">
        <w:rPr>
          <w:rFonts w:ascii="Book Antiqua" w:eastAsia="Book Antiqua" w:hAnsi="Book Antiqua" w:cs="Book Antiqua"/>
          <w:color w:val="000000"/>
          <w:vertAlign w:val="superscript"/>
        </w:rPr>
        <w:t>0</w:t>
      </w:r>
      <w:r w:rsidR="006516F5" w:rsidRPr="000870C5">
        <w:rPr>
          <w:rFonts w:ascii="Book Antiqua" w:eastAsia="Book Antiqua" w:hAnsi="Book Antiqua" w:cs="Book Antiqua"/>
          <w:color w:val="000000"/>
          <w:vertAlign w:val="superscript"/>
        </w:rPr>
        <w:t>]</w:t>
      </w:r>
      <w:r w:rsidRPr="000870C5">
        <w:rPr>
          <w:rFonts w:ascii="Book Antiqua" w:eastAsia="Book Antiqua" w:hAnsi="Book Antiqua" w:cs="Book Antiqua"/>
          <w:color w:val="000000"/>
        </w:rPr>
        <w:t xml:space="preserve"> reported higher rates of mortality at each interval 33.3%, 51.9% and 74% of which ischemic cardiomyopathy was identified as the most frequent cause of death.</w:t>
      </w:r>
      <w:r w:rsidR="006516F5"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 xml:space="preserve">A large proportion (47%) of this study population were affected with ischemic cardiomyopathy unlike a much smaller percentage reported in previous studies. Subsequently, it is an important independent patient characteristic to consider when assessing risk in patients undergoing LEA with DFU given there were no re-amputations in this cohort. Chu et al also reported ischemic heart disease (HR </w:t>
      </w:r>
      <w:r w:rsidR="002F6335"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1.6, 95%CI</w:t>
      </w:r>
      <w:r w:rsidR="002F6335" w:rsidRPr="000870C5">
        <w:rPr>
          <w:rFonts w:ascii="Book Antiqua" w:eastAsia="Book Antiqua" w:hAnsi="Book Antiqua" w:cs="Book Antiqua"/>
          <w:color w:val="000000"/>
        </w:rPr>
        <w:t>:</w:t>
      </w:r>
      <w:r w:rsidRPr="000870C5">
        <w:rPr>
          <w:rFonts w:ascii="Book Antiqua" w:eastAsia="Book Antiqua" w:hAnsi="Book Antiqua" w:cs="Book Antiqua"/>
          <w:color w:val="000000"/>
        </w:rPr>
        <w:t xml:space="preserve"> 1.1-2.4) in addition to deeper ulcers with bone involvement (HR </w:t>
      </w:r>
      <w:r w:rsidR="002F6335"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1.5, 95%CI</w:t>
      </w:r>
      <w:r w:rsidR="002F6335" w:rsidRPr="000870C5">
        <w:rPr>
          <w:rFonts w:ascii="Book Antiqua" w:eastAsia="Book Antiqua" w:hAnsi="Book Antiqua" w:cs="Book Antiqua"/>
          <w:color w:val="000000"/>
        </w:rPr>
        <w:t>:</w:t>
      </w:r>
      <w:r w:rsidRPr="000870C5">
        <w:rPr>
          <w:rFonts w:ascii="Book Antiqua" w:eastAsia="Book Antiqua" w:hAnsi="Book Antiqua" w:cs="Book Antiqua"/>
          <w:color w:val="000000"/>
        </w:rPr>
        <w:t xml:space="preserve"> 1.2-1.7) as positive predictors for death</w:t>
      </w:r>
      <w:r w:rsidR="002F6335" w:rsidRPr="000870C5">
        <w:rPr>
          <w:rFonts w:ascii="Book Antiqua" w:eastAsia="Book Antiqua" w:hAnsi="Book Antiqua" w:cs="Book Antiqua"/>
          <w:color w:val="000000"/>
          <w:vertAlign w:val="superscript"/>
        </w:rPr>
        <w:t>[12]</w:t>
      </w:r>
      <w:r w:rsidRPr="000870C5">
        <w:rPr>
          <w:rFonts w:ascii="Book Antiqua" w:eastAsia="Book Antiqua" w:hAnsi="Book Antiqua" w:cs="Book Antiqua"/>
          <w:color w:val="000000"/>
        </w:rPr>
        <w:t>.</w:t>
      </w:r>
    </w:p>
    <w:p w14:paraId="3BC8C245" w14:textId="7C31B5C8"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In the Australian study of 513 patients conducted by </w:t>
      </w:r>
      <w:proofErr w:type="spellStart"/>
      <w:r w:rsidRPr="000870C5">
        <w:rPr>
          <w:rFonts w:ascii="Book Antiqua" w:eastAsia="Book Antiqua" w:hAnsi="Book Antiqua" w:cs="Book Antiqua"/>
          <w:color w:val="000000"/>
        </w:rPr>
        <w:t>Jeyaraman</w:t>
      </w:r>
      <w:proofErr w:type="spellEnd"/>
      <w:r w:rsidRPr="000870C5">
        <w:rPr>
          <w:rFonts w:ascii="Book Antiqua" w:eastAsia="Book Antiqua" w:hAnsi="Book Antiqua" w:cs="Book Antiqua"/>
          <w:color w:val="000000"/>
        </w:rPr>
        <w:t xml:space="preserve"> </w:t>
      </w:r>
      <w:r w:rsidRPr="000870C5">
        <w:rPr>
          <w:rFonts w:ascii="Book Antiqua" w:eastAsia="Book Antiqua" w:hAnsi="Book Antiqua" w:cs="Book Antiqua"/>
          <w:i/>
          <w:color w:val="000000"/>
        </w:rPr>
        <w:t>et al</w:t>
      </w:r>
      <w:r w:rsidR="003F3646" w:rsidRPr="000870C5">
        <w:rPr>
          <w:rFonts w:ascii="Book Antiqua" w:eastAsia="Book Antiqua" w:hAnsi="Book Antiqua" w:cs="Book Antiqua"/>
          <w:color w:val="000000"/>
          <w:vertAlign w:val="superscript"/>
        </w:rPr>
        <w:t>[21]</w:t>
      </w:r>
      <w:r w:rsidRPr="000870C5">
        <w:rPr>
          <w:rFonts w:ascii="Book Antiqua" w:eastAsia="Book Antiqua" w:hAnsi="Book Antiqua" w:cs="Book Antiqua"/>
          <w:color w:val="000000"/>
        </w:rPr>
        <w:t>, there were 199 deaths during a mean follow-up of 5.8 years.</w:t>
      </w:r>
      <w:r w:rsidR="002F6335"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The 5</w:t>
      </w:r>
      <w:r w:rsidR="007768A9">
        <w:rPr>
          <w:rFonts w:ascii="Book Antiqua" w:eastAsia="Book Antiqua" w:hAnsi="Book Antiqua" w:cs="Book Antiqua"/>
          <w:color w:val="000000"/>
        </w:rPr>
        <w:t>-</w:t>
      </w:r>
      <w:r w:rsidRPr="000870C5">
        <w:rPr>
          <w:rFonts w:ascii="Book Antiqua" w:eastAsia="Book Antiqua" w:hAnsi="Book Antiqua" w:cs="Book Antiqua"/>
          <w:color w:val="000000"/>
        </w:rPr>
        <w:t>year mortality was recorded at 24.6%, increasing to 45.4% at the 10-year mark. Of note, these patients died at an average age of 64.6 years, significantly lower than the Australian average of 80.4 years males and 84.5 years in females.</w:t>
      </w:r>
    </w:p>
    <w:p w14:paraId="1FD19E78"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The 14 studies describing mortality post DFU-associated LEA fall within comparable ranges, however, some variability noted is due to smaller cohort sizes and presence of ischemic cardiomyopathy in particular. </w:t>
      </w:r>
    </w:p>
    <w:p w14:paraId="47B92D6C" w14:textId="77777777" w:rsidR="00A77B3E" w:rsidRPr="000870C5" w:rsidRDefault="00A77B3E" w:rsidP="000870C5">
      <w:pPr>
        <w:snapToGrid w:val="0"/>
        <w:spacing w:line="360" w:lineRule="auto"/>
        <w:jc w:val="both"/>
        <w:rPr>
          <w:rFonts w:ascii="Book Antiqua" w:hAnsi="Book Antiqua"/>
        </w:rPr>
      </w:pPr>
    </w:p>
    <w:p w14:paraId="26105B2F"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i/>
          <w:iCs/>
          <w:color w:val="000000"/>
        </w:rPr>
        <w:t>Effect on the activities of daily living</w:t>
      </w:r>
    </w:p>
    <w:p w14:paraId="5C86D079"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There is limited data available describing the functional outcomes in patients undergoing DFU-associated LEA. Although such a cohort of patients invariably have complex socioeconomic backgrounds and variable demographics, our search yielded two studies with relatively objective measures of functional status.</w:t>
      </w:r>
    </w:p>
    <w:p w14:paraId="3AF886DA" w14:textId="5D341608"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Re-amputation has been noted to play an important role in return to functional status in long-term studies. Chu </w:t>
      </w:r>
      <w:r w:rsidRPr="000870C5">
        <w:rPr>
          <w:rFonts w:ascii="Book Antiqua" w:eastAsia="Book Antiqua" w:hAnsi="Book Antiqua" w:cs="Book Antiqua"/>
          <w:i/>
          <w:color w:val="000000"/>
        </w:rPr>
        <w:t>et al</w:t>
      </w:r>
      <w:r w:rsidR="00F23972" w:rsidRPr="000870C5">
        <w:rPr>
          <w:rFonts w:ascii="Book Antiqua" w:eastAsia="Book Antiqua" w:hAnsi="Book Antiqua" w:cs="Book Antiqua"/>
          <w:color w:val="000000"/>
          <w:vertAlign w:val="superscript"/>
        </w:rPr>
        <w:t>[12]</w:t>
      </w:r>
      <w:r w:rsidRPr="000870C5">
        <w:rPr>
          <w:rFonts w:ascii="Book Antiqua" w:eastAsia="Book Antiqua" w:hAnsi="Book Antiqua" w:cs="Book Antiqua"/>
          <w:color w:val="000000"/>
        </w:rPr>
        <w:t xml:space="preserve"> examined the long-term impact on activities of daily living based on Barthel Index Classification (BIC).</w:t>
      </w:r>
      <w:r w:rsidR="00F23972"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The Barthel Index of Activities of Daily Living is a simple tool measuring functional independence</w:t>
      </w:r>
      <w:r w:rsidR="002A06B6" w:rsidRPr="000870C5">
        <w:rPr>
          <w:rFonts w:ascii="Book Antiqua" w:eastAsia="Book Antiqua" w:hAnsi="Book Antiqua" w:cs="Book Antiqua"/>
          <w:color w:val="000000"/>
          <w:vertAlign w:val="superscript"/>
        </w:rPr>
        <w:t>[2</w:t>
      </w:r>
      <w:r w:rsidR="003F3646" w:rsidRPr="000870C5">
        <w:rPr>
          <w:rFonts w:ascii="Book Antiqua" w:eastAsia="Book Antiqua" w:hAnsi="Book Antiqua" w:cs="Book Antiqua"/>
          <w:color w:val="000000"/>
          <w:vertAlign w:val="superscript"/>
        </w:rPr>
        <w:t>2</w:t>
      </w:r>
      <w:r w:rsidR="002A06B6" w:rsidRPr="000870C5">
        <w:rPr>
          <w:rFonts w:ascii="Book Antiqua" w:eastAsia="Book Antiqua" w:hAnsi="Book Antiqua" w:cs="Book Antiqua"/>
          <w:color w:val="000000"/>
          <w:vertAlign w:val="superscript"/>
        </w:rPr>
        <w:t>]</w:t>
      </w:r>
      <w:r w:rsidRPr="000870C5">
        <w:rPr>
          <w:rFonts w:ascii="Book Antiqua" w:eastAsia="Book Antiqua" w:hAnsi="Book Antiqua" w:cs="Book Antiqua"/>
          <w:color w:val="000000"/>
        </w:rPr>
        <w:t>.</w:t>
      </w:r>
      <w:r w:rsidR="002A06B6"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It comprises 10 separate sections of assessment with a total score of 100 and can be easily administered by health-care professionals. This is a world-wide accepted tool and has been utilized in a large number of studies. Chu</w:t>
      </w:r>
      <w:r w:rsidRPr="007768A9">
        <w:rPr>
          <w:rFonts w:ascii="Book Antiqua" w:eastAsia="Book Antiqua" w:hAnsi="Book Antiqua" w:cs="Book Antiqua"/>
          <w:i/>
          <w:iCs/>
          <w:color w:val="000000"/>
        </w:rPr>
        <w:t xml:space="preserve"> et al</w:t>
      </w:r>
      <w:r w:rsidR="007768A9" w:rsidRPr="000870C5">
        <w:rPr>
          <w:rFonts w:ascii="Book Antiqua" w:eastAsia="Book Antiqua" w:hAnsi="Book Antiqua" w:cs="Book Antiqua"/>
          <w:color w:val="000000"/>
          <w:vertAlign w:val="superscript"/>
        </w:rPr>
        <w:t>[12]</w:t>
      </w:r>
      <w:r w:rsidRPr="000870C5">
        <w:rPr>
          <w:rFonts w:ascii="Book Antiqua" w:eastAsia="Book Antiqua" w:hAnsi="Book Antiqua" w:cs="Book Antiqua"/>
          <w:color w:val="000000"/>
        </w:rPr>
        <w:t xml:space="preserve"> reported 31.9% of patients having moderate to severe dysfunction, assessed by the BIC, of the activities of daily living at 5 years.</w:t>
      </w:r>
      <w:r w:rsidR="000F08D2"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Furthermore, 77.9% of these patients had undergone re-amputation and 54.2%</w:t>
      </w:r>
      <w:r w:rsidRPr="000870C5">
        <w:rPr>
          <w:rFonts w:ascii="Book Antiqua" w:eastAsia="Book Antiqua" w:hAnsi="Book Antiqua" w:cs="Book Antiqua"/>
          <w:i/>
          <w:iCs/>
          <w:color w:val="000000"/>
        </w:rPr>
        <w:t xml:space="preserve"> </w:t>
      </w:r>
      <w:r w:rsidRPr="000870C5">
        <w:rPr>
          <w:rFonts w:ascii="Book Antiqua" w:eastAsia="Book Antiqua" w:hAnsi="Book Antiqua" w:cs="Book Antiqua"/>
          <w:color w:val="000000"/>
        </w:rPr>
        <w:t xml:space="preserve">had died. In contrast, the remaining 126 patients considered to have no or mild dysfunction of activities of daily living had lower rates of re-amputation </w:t>
      </w:r>
      <w:r w:rsidRPr="000870C5">
        <w:rPr>
          <w:rFonts w:ascii="Book Antiqua" w:eastAsia="Book Antiqua" w:hAnsi="Book Antiqua" w:cs="Book Antiqua"/>
          <w:iCs/>
          <w:color w:val="000000"/>
        </w:rPr>
        <w:t xml:space="preserve">(34.9%) </w:t>
      </w:r>
      <w:r w:rsidRPr="000870C5">
        <w:rPr>
          <w:rFonts w:ascii="Book Antiqua" w:eastAsia="Book Antiqua" w:hAnsi="Book Antiqua" w:cs="Book Antiqua"/>
          <w:color w:val="000000"/>
        </w:rPr>
        <w:t xml:space="preserve">and mortality </w:t>
      </w:r>
      <w:r w:rsidRPr="000870C5">
        <w:rPr>
          <w:rFonts w:ascii="Book Antiqua" w:eastAsia="Book Antiqua" w:hAnsi="Book Antiqua" w:cs="Book Antiqua"/>
          <w:iCs/>
          <w:color w:val="000000"/>
        </w:rPr>
        <w:t>(30.2%)</w:t>
      </w:r>
      <w:r w:rsidRPr="000870C5">
        <w:rPr>
          <w:rFonts w:ascii="Book Antiqua" w:eastAsia="Book Antiqua" w:hAnsi="Book Antiqua" w:cs="Book Antiqua"/>
          <w:color w:val="000000"/>
        </w:rPr>
        <w:t>. Of note, there was a higher ratio of major to minor amputations in the moderate to severe dysfunction group compared to no or mild dysfunction group</w:t>
      </w:r>
      <w:r w:rsidRPr="000870C5">
        <w:rPr>
          <w:rFonts w:ascii="Book Antiqua" w:eastAsia="Book Antiqua" w:hAnsi="Book Antiqua" w:cs="Book Antiqua"/>
          <w:i/>
          <w:iCs/>
          <w:color w:val="000000"/>
        </w:rPr>
        <w:t xml:space="preserve"> </w:t>
      </w:r>
      <w:r w:rsidR="008545E5" w:rsidRPr="000870C5">
        <w:rPr>
          <w:rFonts w:ascii="Book Antiqua" w:eastAsia="Book Antiqua" w:hAnsi="Book Antiqua" w:cs="Book Antiqua"/>
          <w:iCs/>
          <w:color w:val="000000"/>
        </w:rPr>
        <w:t>[</w:t>
      </w:r>
      <w:r w:rsidRPr="000870C5">
        <w:rPr>
          <w:rFonts w:ascii="Book Antiqua" w:eastAsia="Book Antiqua" w:hAnsi="Book Antiqua" w:cs="Book Antiqua"/>
          <w:iCs/>
          <w:color w:val="000000"/>
        </w:rPr>
        <w:t>24</w:t>
      </w:r>
      <w:r w:rsidR="007768A9">
        <w:rPr>
          <w:rFonts w:ascii="Book Antiqua" w:eastAsia="Book Antiqua" w:hAnsi="Book Antiqua" w:cs="Book Antiqua"/>
          <w:iCs/>
          <w:color w:val="000000"/>
        </w:rPr>
        <w:t xml:space="preserve"> </w:t>
      </w:r>
      <w:r w:rsidRPr="000870C5">
        <w:rPr>
          <w:rFonts w:ascii="Book Antiqua" w:eastAsia="Book Antiqua" w:hAnsi="Book Antiqua" w:cs="Book Antiqua"/>
          <w:iCs/>
          <w:color w:val="000000"/>
        </w:rPr>
        <w:t>(major):22</w:t>
      </w:r>
      <w:r w:rsidR="007768A9">
        <w:rPr>
          <w:rFonts w:ascii="Book Antiqua" w:eastAsia="Book Antiqua" w:hAnsi="Book Antiqua" w:cs="Book Antiqua"/>
          <w:iCs/>
          <w:color w:val="000000"/>
        </w:rPr>
        <w:t xml:space="preserve"> </w:t>
      </w:r>
      <w:r w:rsidRPr="000870C5">
        <w:rPr>
          <w:rFonts w:ascii="Book Antiqua" w:eastAsia="Book Antiqua" w:hAnsi="Book Antiqua" w:cs="Book Antiqua"/>
          <w:iCs/>
          <w:color w:val="000000"/>
        </w:rPr>
        <w:t xml:space="preserve">(minor) </w:t>
      </w:r>
      <w:r w:rsidRPr="000870C5">
        <w:rPr>
          <w:rFonts w:ascii="Book Antiqua" w:eastAsia="Book Antiqua" w:hAnsi="Book Antiqua" w:cs="Book Antiqua"/>
          <w:i/>
          <w:iCs/>
          <w:color w:val="000000"/>
        </w:rPr>
        <w:t>vs</w:t>
      </w:r>
      <w:r w:rsidR="003F50B8" w:rsidRPr="000870C5">
        <w:rPr>
          <w:rFonts w:ascii="Book Antiqua" w:eastAsia="Book Antiqua" w:hAnsi="Book Antiqua" w:cs="Book Antiqua"/>
          <w:iCs/>
          <w:color w:val="000000"/>
        </w:rPr>
        <w:t xml:space="preserve"> </w:t>
      </w:r>
      <w:r w:rsidRPr="000870C5">
        <w:rPr>
          <w:rFonts w:ascii="Book Antiqua" w:eastAsia="Book Antiqua" w:hAnsi="Book Antiqua" w:cs="Book Antiqua"/>
          <w:iCs/>
          <w:color w:val="000000"/>
        </w:rPr>
        <w:t>12</w:t>
      </w:r>
      <w:r w:rsidR="007768A9">
        <w:rPr>
          <w:rFonts w:ascii="Book Antiqua" w:eastAsia="Book Antiqua" w:hAnsi="Book Antiqua" w:cs="Book Antiqua"/>
          <w:iCs/>
          <w:color w:val="000000"/>
        </w:rPr>
        <w:t xml:space="preserve"> </w:t>
      </w:r>
      <w:r w:rsidRPr="000870C5">
        <w:rPr>
          <w:rFonts w:ascii="Book Antiqua" w:eastAsia="Book Antiqua" w:hAnsi="Book Antiqua" w:cs="Book Antiqua"/>
          <w:iCs/>
          <w:color w:val="000000"/>
        </w:rPr>
        <w:t>(major):32</w:t>
      </w:r>
      <w:r w:rsidR="007768A9">
        <w:rPr>
          <w:rFonts w:ascii="Book Antiqua" w:eastAsia="Book Antiqua" w:hAnsi="Book Antiqua" w:cs="Book Antiqua"/>
          <w:iCs/>
          <w:color w:val="000000"/>
        </w:rPr>
        <w:t xml:space="preserve"> </w:t>
      </w:r>
      <w:r w:rsidRPr="000870C5">
        <w:rPr>
          <w:rFonts w:ascii="Book Antiqua" w:eastAsia="Book Antiqua" w:hAnsi="Book Antiqua" w:cs="Book Antiqua"/>
          <w:iCs/>
          <w:color w:val="000000"/>
        </w:rPr>
        <w:t>(minor)</w:t>
      </w:r>
      <w:r w:rsidR="008545E5" w:rsidRPr="000870C5">
        <w:rPr>
          <w:rFonts w:ascii="Book Antiqua" w:eastAsia="Book Antiqua" w:hAnsi="Book Antiqua" w:cs="Book Antiqua"/>
          <w:iCs/>
          <w:color w:val="000000"/>
        </w:rPr>
        <w:t>]</w:t>
      </w:r>
      <w:r w:rsidRPr="000870C5">
        <w:rPr>
          <w:rFonts w:ascii="Book Antiqua" w:eastAsia="Book Antiqua" w:hAnsi="Book Antiqua" w:cs="Book Antiqua"/>
          <w:iCs/>
          <w:color w:val="000000"/>
        </w:rPr>
        <w:t xml:space="preserve">. </w:t>
      </w:r>
    </w:p>
    <w:p w14:paraId="6B5A2B50"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Van Damme </w:t>
      </w:r>
      <w:r w:rsidRPr="000870C5">
        <w:rPr>
          <w:rFonts w:ascii="Book Antiqua" w:eastAsia="Book Antiqua" w:hAnsi="Book Antiqua" w:cs="Book Antiqua"/>
          <w:i/>
          <w:color w:val="000000"/>
        </w:rPr>
        <w:t>et al</w:t>
      </w:r>
      <w:r w:rsidR="00D14AF2" w:rsidRPr="000870C5">
        <w:rPr>
          <w:rFonts w:ascii="Book Antiqua" w:eastAsia="Book Antiqua" w:hAnsi="Book Antiqua" w:cs="Book Antiqua"/>
          <w:color w:val="000000"/>
          <w:vertAlign w:val="superscript"/>
        </w:rPr>
        <w:t>[1</w:t>
      </w:r>
      <w:r w:rsidR="003F3646" w:rsidRPr="000870C5">
        <w:rPr>
          <w:rFonts w:ascii="Book Antiqua" w:eastAsia="Book Antiqua" w:hAnsi="Book Antiqua" w:cs="Book Antiqua"/>
          <w:color w:val="000000"/>
          <w:vertAlign w:val="superscript"/>
        </w:rPr>
        <w:t>3</w:t>
      </w:r>
      <w:r w:rsidR="00D14AF2" w:rsidRPr="000870C5">
        <w:rPr>
          <w:rFonts w:ascii="Book Antiqua" w:eastAsia="Book Antiqua" w:hAnsi="Book Antiqua" w:cs="Book Antiqua"/>
          <w:color w:val="000000"/>
          <w:vertAlign w:val="superscript"/>
        </w:rPr>
        <w:t>]</w:t>
      </w:r>
      <w:r w:rsidRPr="000870C5">
        <w:rPr>
          <w:rFonts w:ascii="Book Antiqua" w:eastAsia="Book Antiqua" w:hAnsi="Book Antiqua" w:cs="Book Antiqua"/>
          <w:color w:val="000000"/>
        </w:rPr>
        <w:t xml:space="preserve"> reported that only 63% of the major amputations (</w:t>
      </w:r>
      <w:r w:rsidRPr="000870C5">
        <w:rPr>
          <w:rFonts w:ascii="Book Antiqua" w:eastAsia="Book Antiqua" w:hAnsi="Book Antiqua" w:cs="Book Antiqua"/>
          <w:i/>
          <w:color w:val="000000"/>
        </w:rPr>
        <w:t>n</w:t>
      </w:r>
      <w:r w:rsidR="002D49F9"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w:t>
      </w:r>
      <w:r w:rsidR="002D49F9"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143) regained an autonomic walking capability with their prosthesis suggesting poor functional recovery after major amputations undertaken for DFUs</w:t>
      </w:r>
      <w:r w:rsidRPr="000870C5">
        <w:rPr>
          <w:rFonts w:ascii="Book Antiqua" w:eastAsia="Book Antiqua" w:hAnsi="Book Antiqua" w:cs="Book Antiqua"/>
          <w:i/>
          <w:iCs/>
          <w:color w:val="000000"/>
        </w:rPr>
        <w:t>.</w:t>
      </w:r>
      <w:r w:rsidR="002D49F9"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As well as functional status, an important measure of lifestyle change in hospitalized patients is discharge destination. Larson</w:t>
      </w:r>
      <w:r w:rsidRPr="000870C5">
        <w:rPr>
          <w:rFonts w:ascii="Book Antiqua" w:eastAsia="Book Antiqua" w:hAnsi="Book Antiqua" w:cs="Book Antiqua"/>
          <w:i/>
          <w:color w:val="000000"/>
        </w:rPr>
        <w:t xml:space="preserve"> et al</w:t>
      </w:r>
      <w:r w:rsidR="0047598E" w:rsidRPr="000870C5">
        <w:rPr>
          <w:rFonts w:ascii="Book Antiqua" w:eastAsia="Book Antiqua" w:hAnsi="Book Antiqua" w:cs="Book Antiqua"/>
          <w:color w:val="000000"/>
          <w:vertAlign w:val="superscript"/>
        </w:rPr>
        <w:t>[7]</w:t>
      </w:r>
      <w:r w:rsidRPr="000870C5">
        <w:rPr>
          <w:rFonts w:ascii="Book Antiqua" w:eastAsia="Book Antiqua" w:hAnsi="Book Antiqua" w:cs="Book Antiqua"/>
          <w:color w:val="000000"/>
        </w:rPr>
        <w:t xml:space="preserve"> reported a statistically significant difference in discharge following minor and major patients in 187 patients.</w:t>
      </w:r>
      <w:r w:rsidR="0047598E" w:rsidRPr="000870C5">
        <w:rPr>
          <w:rFonts w:ascii="Book Antiqua" w:eastAsia="Book Antiqua" w:hAnsi="Book Antiqua" w:cs="Book Antiqua"/>
          <w:color w:val="000000"/>
          <w:vertAlign w:val="superscript"/>
        </w:rPr>
        <w:t xml:space="preserve"> </w:t>
      </w:r>
      <w:r w:rsidRPr="000870C5">
        <w:rPr>
          <w:rFonts w:ascii="Book Antiqua" w:eastAsia="Book Antiqua" w:hAnsi="Book Antiqua" w:cs="Book Antiqua"/>
          <w:color w:val="000000"/>
        </w:rPr>
        <w:t>In the minor group, 93% of patients returned home compared to only 62% in the major group (</w:t>
      </w:r>
      <w:r w:rsidRPr="000870C5">
        <w:rPr>
          <w:rFonts w:ascii="Book Antiqua" w:eastAsia="Book Antiqua" w:hAnsi="Book Antiqua" w:cs="Book Antiqua"/>
          <w:i/>
          <w:caps/>
          <w:color w:val="000000"/>
        </w:rPr>
        <w:t>p</w:t>
      </w:r>
      <w:r w:rsidR="0047598E" w:rsidRPr="000870C5">
        <w:rPr>
          <w:rFonts w:ascii="Book Antiqua" w:eastAsia="Book Antiqua" w:hAnsi="Book Antiqua" w:cs="Book Antiqua"/>
          <w:i/>
          <w:caps/>
          <w:color w:val="000000"/>
        </w:rPr>
        <w:t xml:space="preserve"> </w:t>
      </w:r>
      <w:r w:rsidRPr="000870C5">
        <w:rPr>
          <w:rFonts w:ascii="Book Antiqua" w:eastAsia="Book Antiqua" w:hAnsi="Book Antiqua" w:cs="Book Antiqua"/>
          <w:color w:val="000000"/>
        </w:rPr>
        <w:t>&lt;</w:t>
      </w:r>
      <w:r w:rsidR="0047598E"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0.001). Patients who underwent minor amputations also had a higher chance of satisfactory return to baseline function. In patients with a considerable walking capacity (&gt;</w:t>
      </w:r>
      <w:r w:rsidR="0047598E"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1</w:t>
      </w:r>
      <w:r w:rsidR="0047598E"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km) prior to amputation, 49 of 68 </w:t>
      </w:r>
      <w:r w:rsidRPr="000870C5">
        <w:rPr>
          <w:rFonts w:ascii="Book Antiqua" w:eastAsia="Book Antiqua" w:hAnsi="Book Antiqua" w:cs="Book Antiqua"/>
          <w:color w:val="000000"/>
        </w:rPr>
        <w:lastRenderedPageBreak/>
        <w:t>patients (72.1%) who had a minor amputation regained this capacity compared to only 5 of the 28 patients (17.8%) with major amputation (</w:t>
      </w:r>
      <w:r w:rsidRPr="000870C5">
        <w:rPr>
          <w:rFonts w:ascii="Book Antiqua" w:eastAsia="Book Antiqua" w:hAnsi="Book Antiqua" w:cs="Book Antiqua"/>
          <w:i/>
          <w:caps/>
          <w:color w:val="000000"/>
        </w:rPr>
        <w:t>p</w:t>
      </w:r>
      <w:r w:rsidR="000910CF"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&lt;</w:t>
      </w:r>
      <w:r w:rsidR="000910CF"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0.001). </w:t>
      </w:r>
    </w:p>
    <w:p w14:paraId="7D3C9F42" w14:textId="77777777"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The present study has several limitations. As this systematic review examined studies from a myriad of social backgrounds with variable demographics, heterogeneity in the studied population could not be avoided. The variable duration of follow-up also added to this heterogeneity, adding to the challenge to derive conclusions to specific groups of patients. Approximately 50% of the studies in our systematic review were retrospective, predisposing outcomes to historical or recall bias. Patients lost to follow-up could also potentially underestimate adverse outcomes leaning from the hypothesis of selection bias that such patients are less likely to be compliant with glucose monitoring. Similarly, non-participation at the start in prospective studies also represents a gap in outcomes from that particular cohort. The indications for re-amputation were not clearly noted in the examined studies making the cause-and-effect relationship from a previous amputation less reliable. Reporting of comorbidities was also patchy across studies making standardised conclusions difficult. </w:t>
      </w:r>
    </w:p>
    <w:p w14:paraId="19B6A948" w14:textId="323E0A26" w:rsidR="00A77B3E" w:rsidRPr="000870C5" w:rsidRDefault="005B58C3" w:rsidP="000870C5">
      <w:pPr>
        <w:snapToGrid w:val="0"/>
        <w:spacing w:line="360" w:lineRule="auto"/>
        <w:ind w:firstLineChars="100" w:firstLine="240"/>
        <w:jc w:val="both"/>
        <w:rPr>
          <w:rFonts w:ascii="Book Antiqua" w:hAnsi="Book Antiqua"/>
        </w:rPr>
      </w:pPr>
      <w:r w:rsidRPr="000870C5">
        <w:rPr>
          <w:rFonts w:ascii="Book Antiqua" w:eastAsia="Book Antiqua" w:hAnsi="Book Antiqua" w:cs="Book Antiqua"/>
          <w:color w:val="000000"/>
        </w:rPr>
        <w:t xml:space="preserve">In conclusion, there was a significantly higher degree of re-amputation and mortality in the long-term in the population who undergo amputations due to diabetic foot ulcers. There was also a significant impact on the overall functional status of patients and quality of life. This systematic review and meta-analysis affirms the need for regular review and follow-up in this vulnerable group owing to this high risk of adverse outcomes. The effect of comorbidities was not clear and therefore further studies in a subset of patients with particular coexisting illnesses such as chronic kidney failure or peripheral vascular disease are needed.  </w:t>
      </w:r>
    </w:p>
    <w:p w14:paraId="0F88DDD7" w14:textId="77777777" w:rsidR="00A77B3E" w:rsidRPr="000870C5" w:rsidRDefault="00A77B3E" w:rsidP="000870C5">
      <w:pPr>
        <w:snapToGrid w:val="0"/>
        <w:spacing w:line="360" w:lineRule="auto"/>
        <w:jc w:val="both"/>
        <w:rPr>
          <w:rFonts w:ascii="Book Antiqua" w:hAnsi="Book Antiqua"/>
        </w:rPr>
      </w:pPr>
    </w:p>
    <w:p w14:paraId="10B33ACE"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u w:val="single"/>
        </w:rPr>
        <w:t>ARTICLE HIGHLIGHTS</w:t>
      </w:r>
    </w:p>
    <w:p w14:paraId="46E39F11"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i/>
          <w:color w:val="000000"/>
        </w:rPr>
        <w:t>Research background</w:t>
      </w:r>
    </w:p>
    <w:p w14:paraId="255A2BC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There is no previous systematic review and meta-analysis undertaken particularly in long-term outcomes of patients who undergo lower limb amputation (LEA) for diabetic foot ulcers (DFU). Although multiple studies describing short-term outcomes under 12 </w:t>
      </w:r>
      <w:proofErr w:type="spellStart"/>
      <w:r w:rsidRPr="000870C5">
        <w:rPr>
          <w:rFonts w:ascii="Book Antiqua" w:eastAsia="Book Antiqua" w:hAnsi="Book Antiqua" w:cs="Book Antiqua"/>
          <w:color w:val="000000"/>
        </w:rPr>
        <w:lastRenderedPageBreak/>
        <w:t>mo</w:t>
      </w:r>
      <w:proofErr w:type="spellEnd"/>
      <w:r w:rsidR="0020361D"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are available, conclusions for long-term outcomes are needed to support clinical decision-making in relation to patient characteristics. </w:t>
      </w:r>
    </w:p>
    <w:p w14:paraId="0F4EAB58" w14:textId="77777777" w:rsidR="00A77B3E" w:rsidRPr="000870C5" w:rsidRDefault="00A77B3E" w:rsidP="000870C5">
      <w:pPr>
        <w:snapToGrid w:val="0"/>
        <w:spacing w:line="360" w:lineRule="auto"/>
        <w:jc w:val="both"/>
        <w:rPr>
          <w:rFonts w:ascii="Book Antiqua" w:hAnsi="Book Antiqua"/>
        </w:rPr>
      </w:pPr>
    </w:p>
    <w:p w14:paraId="581002F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i/>
          <w:color w:val="000000"/>
        </w:rPr>
        <w:t>Research motivation</w:t>
      </w:r>
    </w:p>
    <w:p w14:paraId="794EC02D" w14:textId="63C7B0B6"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Since DFU</w:t>
      </w:r>
      <w:r w:rsidR="00055605"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account for significant complications in patients with diabetes mellitus, the assessment of their long-term outcomes is necessary. The review of long-term outcomes following LEA is essential for decision-making and risk stratification for individual patients. </w:t>
      </w:r>
    </w:p>
    <w:p w14:paraId="5D2F879D" w14:textId="77777777" w:rsidR="00A77B3E" w:rsidRPr="000870C5" w:rsidRDefault="00A77B3E" w:rsidP="000870C5">
      <w:pPr>
        <w:snapToGrid w:val="0"/>
        <w:spacing w:line="360" w:lineRule="auto"/>
        <w:jc w:val="both"/>
        <w:rPr>
          <w:rFonts w:ascii="Book Antiqua" w:hAnsi="Book Antiqua"/>
        </w:rPr>
      </w:pPr>
    </w:p>
    <w:p w14:paraId="03728940"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i/>
          <w:color w:val="000000"/>
        </w:rPr>
        <w:t>Research objectives</w:t>
      </w:r>
    </w:p>
    <w:p w14:paraId="5C080F5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The aim of this paper is to establish a systematic review of long-term studies undertaken in patients who underwent LEA as a treatment modality for DFU. The focus of the review is on re-ulceration, re-amputation and the impact on the quality of life of patients. These parameters, particularly in the longer-term setting pave way for future research in larger cohorts, various demographics and relation to co-morbidities. </w:t>
      </w:r>
    </w:p>
    <w:p w14:paraId="3C41C4E4" w14:textId="77777777" w:rsidR="00A77B3E" w:rsidRPr="000870C5" w:rsidRDefault="00A77B3E" w:rsidP="000870C5">
      <w:pPr>
        <w:snapToGrid w:val="0"/>
        <w:spacing w:line="360" w:lineRule="auto"/>
        <w:jc w:val="both"/>
        <w:rPr>
          <w:rFonts w:ascii="Book Antiqua" w:hAnsi="Book Antiqua"/>
        </w:rPr>
      </w:pPr>
    </w:p>
    <w:p w14:paraId="422B2676"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i/>
          <w:color w:val="000000"/>
        </w:rPr>
        <w:t>Research methods</w:t>
      </w:r>
    </w:p>
    <w:p w14:paraId="0C6F4939"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Key search terms such as “diabetes”, “foot ulcers”, “amputations” and “outcomes” were searched on Pub</w:t>
      </w:r>
      <w:r w:rsidRPr="000870C5">
        <w:rPr>
          <w:rFonts w:ascii="Book Antiqua" w:eastAsia="Book Antiqua" w:hAnsi="Book Antiqua" w:cs="Book Antiqua"/>
          <w:caps/>
          <w:color w:val="000000"/>
        </w:rPr>
        <w:t>m</w:t>
      </w:r>
      <w:r w:rsidRPr="000870C5">
        <w:rPr>
          <w:rFonts w:ascii="Book Antiqua" w:eastAsia="Book Antiqua" w:hAnsi="Book Antiqua" w:cs="Book Antiqua"/>
          <w:color w:val="000000"/>
        </w:rPr>
        <w:t>ed/M</w:t>
      </w:r>
      <w:r w:rsidRPr="000870C5">
        <w:rPr>
          <w:rFonts w:ascii="Book Antiqua" w:eastAsia="Book Antiqua" w:hAnsi="Book Antiqua" w:cs="Book Antiqua"/>
          <w:caps/>
          <w:color w:val="000000"/>
        </w:rPr>
        <w:t xml:space="preserve">edline </w:t>
      </w:r>
      <w:r w:rsidRPr="000870C5">
        <w:rPr>
          <w:rFonts w:ascii="Book Antiqua" w:eastAsia="Book Antiqua" w:hAnsi="Book Antiqua" w:cs="Book Antiqua"/>
          <w:color w:val="000000"/>
        </w:rPr>
        <w:t xml:space="preserve">and Google Scholar. A follow-up of 12 </w:t>
      </w:r>
      <w:proofErr w:type="spellStart"/>
      <w:r w:rsidRPr="000870C5">
        <w:rPr>
          <w:rFonts w:ascii="Book Antiqua" w:eastAsia="Book Antiqua" w:hAnsi="Book Antiqua" w:cs="Book Antiqua"/>
          <w:color w:val="000000"/>
        </w:rPr>
        <w:t>mo</w:t>
      </w:r>
      <w:proofErr w:type="spellEnd"/>
      <w:r w:rsidRPr="000870C5">
        <w:rPr>
          <w:rFonts w:ascii="Book Antiqua" w:eastAsia="Book Antiqua" w:hAnsi="Book Antiqua" w:cs="Book Antiqua"/>
          <w:color w:val="000000"/>
        </w:rPr>
        <w:t>, age &gt; 18 and LEA post DFU were inclusion criteria. Paediatric patients were excluded. Two co-authors selected studies based on the inclusion criteria and search results were limited to the English language. A total of 22</w:t>
      </w:r>
      <w:r w:rsidR="00466E4B" w:rsidRPr="000870C5">
        <w:rPr>
          <w:rFonts w:ascii="Book Antiqua" w:eastAsia="Book Antiqua" w:hAnsi="Book Antiqua" w:cs="Book Antiqua"/>
          <w:color w:val="000000"/>
        </w:rPr>
        <w:t xml:space="preserve"> publications with a total of 2</w:t>
      </w:r>
      <w:r w:rsidRPr="000870C5">
        <w:rPr>
          <w:rFonts w:ascii="Book Antiqua" w:eastAsia="Book Antiqua" w:hAnsi="Book Antiqua" w:cs="Book Antiqua"/>
          <w:color w:val="000000"/>
        </w:rPr>
        <w:t xml:space="preserve">334 patients were selected. There were no randomised controlled trials with the majority of studies being cohort studies. </w:t>
      </w:r>
    </w:p>
    <w:p w14:paraId="2458C6B5" w14:textId="77777777" w:rsidR="00A77B3E" w:rsidRPr="000870C5" w:rsidRDefault="00A77B3E" w:rsidP="000870C5">
      <w:pPr>
        <w:snapToGrid w:val="0"/>
        <w:spacing w:line="360" w:lineRule="auto"/>
        <w:jc w:val="both"/>
        <w:rPr>
          <w:rFonts w:ascii="Book Antiqua" w:hAnsi="Book Antiqua"/>
        </w:rPr>
      </w:pPr>
    </w:p>
    <w:p w14:paraId="7CCBCDA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i/>
          <w:color w:val="000000"/>
        </w:rPr>
        <w:t>Research results</w:t>
      </w:r>
    </w:p>
    <w:p w14:paraId="319DF0A3"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Our results show a significant re-amputation and mortality rates at 1,</w:t>
      </w:r>
      <w:r w:rsidR="00466E4B" w:rsidRPr="000870C5">
        <w:rPr>
          <w:rFonts w:ascii="Book Antiqua" w:eastAsia="Book Antiqua" w:hAnsi="Book Antiqua" w:cs="Book Antiqua"/>
          <w:color w:val="000000"/>
        </w:rPr>
        <w:t xml:space="preserve"> </w:t>
      </w:r>
      <w:r w:rsidRPr="000870C5">
        <w:rPr>
          <w:rFonts w:ascii="Book Antiqua" w:eastAsia="Book Antiqua" w:hAnsi="Book Antiqua" w:cs="Book Antiqua"/>
          <w:color w:val="000000"/>
        </w:rPr>
        <w:t xml:space="preserve">3 and 5 years after initial LEA for DFU. A positive correlation was also noted for previous other major amputation and ischemic cardiomyopathy. We attempted to standardise patients for co-morbidities, however, this was not possible in a minority of studies. Therefore, future </w:t>
      </w:r>
      <w:r w:rsidRPr="000870C5">
        <w:rPr>
          <w:rFonts w:ascii="Book Antiqua" w:eastAsia="Book Antiqua" w:hAnsi="Book Antiqua" w:cs="Book Antiqua"/>
          <w:color w:val="000000"/>
        </w:rPr>
        <w:lastRenderedPageBreak/>
        <w:t xml:space="preserve">research should be aimed at delineating the nature of association between LEA post DFU and patient co-morbidities. </w:t>
      </w:r>
    </w:p>
    <w:p w14:paraId="13257D0D" w14:textId="77777777" w:rsidR="00A77B3E" w:rsidRPr="000870C5" w:rsidRDefault="00A77B3E" w:rsidP="000870C5">
      <w:pPr>
        <w:snapToGrid w:val="0"/>
        <w:spacing w:line="360" w:lineRule="auto"/>
        <w:jc w:val="both"/>
        <w:rPr>
          <w:rFonts w:ascii="Book Antiqua" w:hAnsi="Book Antiqua"/>
        </w:rPr>
      </w:pPr>
    </w:p>
    <w:p w14:paraId="203B1B6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i/>
          <w:color w:val="000000"/>
        </w:rPr>
        <w:t>Research conclusions</w:t>
      </w:r>
    </w:p>
    <w:p w14:paraId="1697741F"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Our systematic review and meta-analyses support our key hypotheses of a significant positive association of re-amputation, mortality and quality of life in our set of patients on a long-term basis. The pivotal purpose of this study is data to assist patient selection and decision-making. It also supports the uniformity of similar rates of re-amputation and mortality in various studies globally with no significant outliers. </w:t>
      </w:r>
    </w:p>
    <w:p w14:paraId="4B4E8F18" w14:textId="77777777" w:rsidR="00A77B3E" w:rsidRPr="000870C5" w:rsidRDefault="00A77B3E" w:rsidP="000870C5">
      <w:pPr>
        <w:snapToGrid w:val="0"/>
        <w:spacing w:line="360" w:lineRule="auto"/>
        <w:jc w:val="both"/>
        <w:rPr>
          <w:rFonts w:ascii="Book Antiqua" w:hAnsi="Book Antiqua"/>
        </w:rPr>
      </w:pPr>
    </w:p>
    <w:p w14:paraId="1FD470A6"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i/>
          <w:color w:val="000000"/>
        </w:rPr>
        <w:t>Research perspectives</w:t>
      </w:r>
    </w:p>
    <w:p w14:paraId="33F25D7B"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Future research should be aimed at assessing the significance of co-morbidities on patients with DFU undergoing LEA. This will allow a closer risk stratification and aid patient decision-making individualised to their situation. In addition to this, as outcomes in diabetes mellitus often depend on patient compliance influenced by their socio-economic or cultural backgrounds, further studies are needed in these groups. The best methods for future studies would be larger, multi-center prospective studies. </w:t>
      </w:r>
    </w:p>
    <w:p w14:paraId="73F914F7" w14:textId="77777777" w:rsidR="00A77B3E" w:rsidRPr="000870C5" w:rsidRDefault="00A77B3E" w:rsidP="000870C5">
      <w:pPr>
        <w:snapToGrid w:val="0"/>
        <w:spacing w:line="360" w:lineRule="auto"/>
        <w:jc w:val="both"/>
        <w:rPr>
          <w:rFonts w:ascii="Book Antiqua" w:hAnsi="Book Antiqua"/>
        </w:rPr>
      </w:pPr>
    </w:p>
    <w:p w14:paraId="35A64D67"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REFERENCES</w:t>
      </w:r>
    </w:p>
    <w:p w14:paraId="47F4440E"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1 </w:t>
      </w:r>
      <w:proofErr w:type="spellStart"/>
      <w:r w:rsidRPr="000870C5">
        <w:rPr>
          <w:rFonts w:ascii="Book Antiqua" w:eastAsia="Book Antiqua" w:hAnsi="Book Antiqua" w:cs="Book Antiqua"/>
          <w:b/>
          <w:bCs/>
          <w:color w:val="000000"/>
        </w:rPr>
        <w:t>Saeedi</w:t>
      </w:r>
      <w:proofErr w:type="spellEnd"/>
      <w:r w:rsidRPr="000870C5">
        <w:rPr>
          <w:rFonts w:ascii="Book Antiqua" w:eastAsia="Book Antiqua" w:hAnsi="Book Antiqua" w:cs="Book Antiqua"/>
          <w:b/>
          <w:bCs/>
          <w:color w:val="000000"/>
        </w:rPr>
        <w:t xml:space="preserve"> P</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Petersohn</w:t>
      </w:r>
      <w:proofErr w:type="spellEnd"/>
      <w:r w:rsidRPr="000870C5">
        <w:rPr>
          <w:rFonts w:ascii="Book Antiqua" w:eastAsia="Book Antiqua" w:hAnsi="Book Antiqua" w:cs="Book Antiqua"/>
          <w:color w:val="000000"/>
        </w:rPr>
        <w:t xml:space="preserve"> I, </w:t>
      </w:r>
      <w:proofErr w:type="spellStart"/>
      <w:r w:rsidRPr="000870C5">
        <w:rPr>
          <w:rFonts w:ascii="Book Antiqua" w:eastAsia="Book Antiqua" w:hAnsi="Book Antiqua" w:cs="Book Antiqua"/>
          <w:color w:val="000000"/>
        </w:rPr>
        <w:t>Salpea</w:t>
      </w:r>
      <w:proofErr w:type="spellEnd"/>
      <w:r w:rsidRPr="000870C5">
        <w:rPr>
          <w:rFonts w:ascii="Book Antiqua" w:eastAsia="Book Antiqua" w:hAnsi="Book Antiqua" w:cs="Book Antiqua"/>
          <w:color w:val="000000"/>
        </w:rPr>
        <w:t xml:space="preserve"> P, Malanda B, </w:t>
      </w:r>
      <w:proofErr w:type="spellStart"/>
      <w:r w:rsidRPr="000870C5">
        <w:rPr>
          <w:rFonts w:ascii="Book Antiqua" w:eastAsia="Book Antiqua" w:hAnsi="Book Antiqua" w:cs="Book Antiqua"/>
          <w:color w:val="000000"/>
        </w:rPr>
        <w:t>Karuranga</w:t>
      </w:r>
      <w:proofErr w:type="spellEnd"/>
      <w:r w:rsidRPr="000870C5">
        <w:rPr>
          <w:rFonts w:ascii="Book Antiqua" w:eastAsia="Book Antiqua" w:hAnsi="Book Antiqua" w:cs="Book Antiqua"/>
          <w:color w:val="000000"/>
        </w:rPr>
        <w:t xml:space="preserve"> S, Unwin N, </w:t>
      </w:r>
      <w:proofErr w:type="spellStart"/>
      <w:r w:rsidRPr="000870C5">
        <w:rPr>
          <w:rFonts w:ascii="Book Antiqua" w:eastAsia="Book Antiqua" w:hAnsi="Book Antiqua" w:cs="Book Antiqua"/>
          <w:color w:val="000000"/>
        </w:rPr>
        <w:t>Colagiuri</w:t>
      </w:r>
      <w:proofErr w:type="spellEnd"/>
      <w:r w:rsidRPr="000870C5">
        <w:rPr>
          <w:rFonts w:ascii="Book Antiqua" w:eastAsia="Book Antiqua" w:hAnsi="Book Antiqua" w:cs="Book Antiqua"/>
          <w:color w:val="000000"/>
        </w:rPr>
        <w:t xml:space="preserve"> S, </w:t>
      </w:r>
      <w:proofErr w:type="spellStart"/>
      <w:r w:rsidRPr="000870C5">
        <w:rPr>
          <w:rFonts w:ascii="Book Antiqua" w:eastAsia="Book Antiqua" w:hAnsi="Book Antiqua" w:cs="Book Antiqua"/>
          <w:color w:val="000000"/>
        </w:rPr>
        <w:t>Guariguata</w:t>
      </w:r>
      <w:proofErr w:type="spellEnd"/>
      <w:r w:rsidRPr="000870C5">
        <w:rPr>
          <w:rFonts w:ascii="Book Antiqua" w:eastAsia="Book Antiqua" w:hAnsi="Book Antiqua" w:cs="Book Antiqua"/>
          <w:color w:val="000000"/>
        </w:rPr>
        <w:t xml:space="preserve"> L, </w:t>
      </w:r>
      <w:proofErr w:type="spellStart"/>
      <w:r w:rsidRPr="000870C5">
        <w:rPr>
          <w:rFonts w:ascii="Book Antiqua" w:eastAsia="Book Antiqua" w:hAnsi="Book Antiqua" w:cs="Book Antiqua"/>
          <w:color w:val="000000"/>
        </w:rPr>
        <w:t>Motala</w:t>
      </w:r>
      <w:proofErr w:type="spellEnd"/>
      <w:r w:rsidRPr="000870C5">
        <w:rPr>
          <w:rFonts w:ascii="Book Antiqua" w:eastAsia="Book Antiqua" w:hAnsi="Book Antiqua" w:cs="Book Antiqua"/>
          <w:color w:val="000000"/>
        </w:rPr>
        <w:t xml:space="preserve"> AA, </w:t>
      </w:r>
      <w:proofErr w:type="spellStart"/>
      <w:r w:rsidRPr="000870C5">
        <w:rPr>
          <w:rFonts w:ascii="Book Antiqua" w:eastAsia="Book Antiqua" w:hAnsi="Book Antiqua" w:cs="Book Antiqua"/>
          <w:color w:val="000000"/>
        </w:rPr>
        <w:t>Ogurtsova</w:t>
      </w:r>
      <w:proofErr w:type="spellEnd"/>
      <w:r w:rsidRPr="000870C5">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sidRPr="000870C5">
        <w:rPr>
          <w:rFonts w:ascii="Book Antiqua" w:eastAsia="Book Antiqua" w:hAnsi="Book Antiqua" w:cs="Book Antiqua"/>
          <w:color w:val="000000"/>
          <w:vertAlign w:val="superscript"/>
        </w:rPr>
        <w:t>th</w:t>
      </w:r>
      <w:r w:rsidRPr="000870C5">
        <w:rPr>
          <w:rFonts w:ascii="Book Antiqua" w:eastAsia="Book Antiqua" w:hAnsi="Book Antiqua" w:cs="Book Antiqua"/>
          <w:color w:val="000000"/>
        </w:rPr>
        <w:t xml:space="preserve"> edition. </w:t>
      </w:r>
      <w:r w:rsidRPr="000870C5">
        <w:rPr>
          <w:rFonts w:ascii="Book Antiqua" w:eastAsia="Book Antiqua" w:hAnsi="Book Antiqua" w:cs="Book Antiqua"/>
          <w:i/>
          <w:iCs/>
          <w:color w:val="000000"/>
        </w:rPr>
        <w:t xml:space="preserve">Diabetes Res </w:t>
      </w:r>
      <w:proofErr w:type="spellStart"/>
      <w:r w:rsidRPr="000870C5">
        <w:rPr>
          <w:rFonts w:ascii="Book Antiqua" w:eastAsia="Book Antiqua" w:hAnsi="Book Antiqua" w:cs="Book Antiqua"/>
          <w:i/>
          <w:iCs/>
          <w:color w:val="000000"/>
        </w:rPr>
        <w:t>Clin</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Pract</w:t>
      </w:r>
      <w:proofErr w:type="spellEnd"/>
      <w:r w:rsidRPr="000870C5">
        <w:rPr>
          <w:rFonts w:ascii="Book Antiqua" w:eastAsia="Book Antiqua" w:hAnsi="Book Antiqua" w:cs="Book Antiqua"/>
          <w:color w:val="000000"/>
        </w:rPr>
        <w:t xml:space="preserve"> 2019; </w:t>
      </w:r>
      <w:r w:rsidRPr="000870C5">
        <w:rPr>
          <w:rFonts w:ascii="Book Antiqua" w:eastAsia="Book Antiqua" w:hAnsi="Book Antiqua" w:cs="Book Antiqua"/>
          <w:b/>
          <w:bCs/>
          <w:color w:val="000000"/>
        </w:rPr>
        <w:t>157</w:t>
      </w:r>
      <w:r w:rsidRPr="000870C5">
        <w:rPr>
          <w:rFonts w:ascii="Book Antiqua" w:eastAsia="Book Antiqua" w:hAnsi="Book Antiqua" w:cs="Book Antiqua"/>
          <w:color w:val="000000"/>
        </w:rPr>
        <w:t>: 107843 [PMID: 31518657 DOI: 10.1016/j.diabres.2019.107843]</w:t>
      </w:r>
    </w:p>
    <w:p w14:paraId="00E3AC8C"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2 </w:t>
      </w:r>
      <w:r w:rsidRPr="000870C5">
        <w:rPr>
          <w:rFonts w:ascii="Book Antiqua" w:eastAsia="Book Antiqua" w:hAnsi="Book Antiqua" w:cs="Book Antiqua"/>
          <w:b/>
          <w:bCs/>
          <w:color w:val="000000"/>
        </w:rPr>
        <w:t xml:space="preserve">van </w:t>
      </w:r>
      <w:proofErr w:type="spellStart"/>
      <w:r w:rsidRPr="000870C5">
        <w:rPr>
          <w:rFonts w:ascii="Book Antiqua" w:eastAsia="Book Antiqua" w:hAnsi="Book Antiqua" w:cs="Book Antiqua"/>
          <w:b/>
          <w:bCs/>
          <w:color w:val="000000"/>
        </w:rPr>
        <w:t>Houtum</w:t>
      </w:r>
      <w:proofErr w:type="spellEnd"/>
      <w:r w:rsidRPr="000870C5">
        <w:rPr>
          <w:rFonts w:ascii="Book Antiqua" w:eastAsia="Book Antiqua" w:hAnsi="Book Antiqua" w:cs="Book Antiqua"/>
          <w:b/>
          <w:bCs/>
          <w:color w:val="000000"/>
        </w:rPr>
        <w:t xml:space="preserve"> WH</w:t>
      </w:r>
      <w:r w:rsidRPr="000870C5">
        <w:rPr>
          <w:rFonts w:ascii="Book Antiqua" w:eastAsia="Book Antiqua" w:hAnsi="Book Antiqua" w:cs="Book Antiqua"/>
          <w:color w:val="000000"/>
        </w:rPr>
        <w:t xml:space="preserve">. Barriers to implementing foot care. </w:t>
      </w:r>
      <w:r w:rsidRPr="000870C5">
        <w:rPr>
          <w:rFonts w:ascii="Book Antiqua" w:eastAsia="Book Antiqua" w:hAnsi="Book Antiqua" w:cs="Book Antiqua"/>
          <w:i/>
          <w:iCs/>
          <w:color w:val="000000"/>
        </w:rPr>
        <w:t xml:space="preserve">Diabetes </w:t>
      </w:r>
      <w:proofErr w:type="spellStart"/>
      <w:r w:rsidRPr="000870C5">
        <w:rPr>
          <w:rFonts w:ascii="Book Antiqua" w:eastAsia="Book Antiqua" w:hAnsi="Book Antiqua" w:cs="Book Antiqua"/>
          <w:i/>
          <w:iCs/>
          <w:color w:val="000000"/>
        </w:rPr>
        <w:t>Metab</w:t>
      </w:r>
      <w:proofErr w:type="spellEnd"/>
      <w:r w:rsidRPr="000870C5">
        <w:rPr>
          <w:rFonts w:ascii="Book Antiqua" w:eastAsia="Book Antiqua" w:hAnsi="Book Antiqua" w:cs="Book Antiqua"/>
          <w:i/>
          <w:iCs/>
          <w:color w:val="000000"/>
        </w:rPr>
        <w:t xml:space="preserve"> Res Rev</w:t>
      </w:r>
      <w:r w:rsidRPr="000870C5">
        <w:rPr>
          <w:rFonts w:ascii="Book Antiqua" w:eastAsia="Book Antiqua" w:hAnsi="Book Antiqua" w:cs="Book Antiqua"/>
          <w:color w:val="000000"/>
        </w:rPr>
        <w:t xml:space="preserve"> 2012; </w:t>
      </w:r>
      <w:r w:rsidRPr="000870C5">
        <w:rPr>
          <w:rFonts w:ascii="Book Antiqua" w:eastAsia="Book Antiqua" w:hAnsi="Book Antiqua" w:cs="Book Antiqua"/>
          <w:b/>
          <w:bCs/>
          <w:color w:val="000000"/>
        </w:rPr>
        <w:t>28 Suppl 1</w:t>
      </w:r>
      <w:r w:rsidRPr="000870C5">
        <w:rPr>
          <w:rFonts w:ascii="Book Antiqua" w:eastAsia="Book Antiqua" w:hAnsi="Book Antiqua" w:cs="Book Antiqua"/>
          <w:color w:val="000000"/>
        </w:rPr>
        <w:t>: 112-115 [PMID: 22271735 DOI: 10.1002/dmrr.2238]</w:t>
      </w:r>
    </w:p>
    <w:p w14:paraId="395F3A12"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3 </w:t>
      </w:r>
      <w:r w:rsidRPr="000870C5">
        <w:rPr>
          <w:rFonts w:ascii="Book Antiqua" w:eastAsia="Book Antiqua" w:hAnsi="Book Antiqua" w:cs="Book Antiqua"/>
          <w:b/>
          <w:bCs/>
          <w:color w:val="000000"/>
        </w:rPr>
        <w:t xml:space="preserve">van </w:t>
      </w:r>
      <w:proofErr w:type="spellStart"/>
      <w:r w:rsidRPr="000870C5">
        <w:rPr>
          <w:rFonts w:ascii="Book Antiqua" w:eastAsia="Book Antiqua" w:hAnsi="Book Antiqua" w:cs="Book Antiqua"/>
          <w:b/>
          <w:bCs/>
          <w:color w:val="000000"/>
        </w:rPr>
        <w:t>Netten</w:t>
      </w:r>
      <w:proofErr w:type="spellEnd"/>
      <w:r w:rsidRPr="000870C5">
        <w:rPr>
          <w:rFonts w:ascii="Book Antiqua" w:eastAsia="Book Antiqua" w:hAnsi="Book Antiqua" w:cs="Book Antiqua"/>
          <w:b/>
          <w:bCs/>
          <w:color w:val="000000"/>
        </w:rPr>
        <w:t xml:space="preserve"> JJ</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Fortington</w:t>
      </w:r>
      <w:proofErr w:type="spellEnd"/>
      <w:r w:rsidRPr="000870C5">
        <w:rPr>
          <w:rFonts w:ascii="Book Antiqua" w:eastAsia="Book Antiqua" w:hAnsi="Book Antiqua" w:cs="Book Antiqua"/>
          <w:color w:val="000000"/>
        </w:rPr>
        <w:t xml:space="preserve"> LV, Hinchliffe RJ, </w:t>
      </w:r>
      <w:proofErr w:type="spellStart"/>
      <w:r w:rsidRPr="000870C5">
        <w:rPr>
          <w:rFonts w:ascii="Book Antiqua" w:eastAsia="Book Antiqua" w:hAnsi="Book Antiqua" w:cs="Book Antiqua"/>
          <w:color w:val="000000"/>
        </w:rPr>
        <w:t>Hijmans</w:t>
      </w:r>
      <w:proofErr w:type="spellEnd"/>
      <w:r w:rsidRPr="000870C5">
        <w:rPr>
          <w:rFonts w:ascii="Book Antiqua" w:eastAsia="Book Antiqua" w:hAnsi="Book Antiqua" w:cs="Book Antiqua"/>
          <w:color w:val="000000"/>
        </w:rPr>
        <w:t xml:space="preserve"> JM. Early Post-operative Mortality After Major Lower Limb Amputation: A Systematic Review of Population and Regional </w:t>
      </w:r>
      <w:r w:rsidRPr="000870C5">
        <w:rPr>
          <w:rFonts w:ascii="Book Antiqua" w:eastAsia="Book Antiqua" w:hAnsi="Book Antiqua" w:cs="Book Antiqua"/>
          <w:color w:val="000000"/>
        </w:rPr>
        <w:lastRenderedPageBreak/>
        <w:t xml:space="preserve">Based Studies. </w:t>
      </w:r>
      <w:proofErr w:type="spellStart"/>
      <w:r w:rsidRPr="000870C5">
        <w:rPr>
          <w:rFonts w:ascii="Book Antiqua" w:eastAsia="Book Antiqua" w:hAnsi="Book Antiqua" w:cs="Book Antiqua"/>
          <w:i/>
          <w:iCs/>
          <w:color w:val="000000"/>
        </w:rPr>
        <w:t>Eur</w:t>
      </w:r>
      <w:proofErr w:type="spellEnd"/>
      <w:r w:rsidRPr="000870C5">
        <w:rPr>
          <w:rFonts w:ascii="Book Antiqua" w:eastAsia="Book Antiqua" w:hAnsi="Book Antiqua" w:cs="Book Antiqua"/>
          <w:i/>
          <w:iCs/>
          <w:color w:val="000000"/>
        </w:rPr>
        <w:t xml:space="preserve"> J </w:t>
      </w:r>
      <w:proofErr w:type="spellStart"/>
      <w:r w:rsidRPr="000870C5">
        <w:rPr>
          <w:rFonts w:ascii="Book Antiqua" w:eastAsia="Book Antiqua" w:hAnsi="Book Antiqua" w:cs="Book Antiqua"/>
          <w:i/>
          <w:iCs/>
          <w:color w:val="000000"/>
        </w:rPr>
        <w:t>Vasc</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Endovasc</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Surg</w:t>
      </w:r>
      <w:proofErr w:type="spellEnd"/>
      <w:r w:rsidRPr="000870C5">
        <w:rPr>
          <w:rFonts w:ascii="Book Antiqua" w:eastAsia="Book Antiqua" w:hAnsi="Book Antiqua" w:cs="Book Antiqua"/>
          <w:color w:val="000000"/>
        </w:rPr>
        <w:t xml:space="preserve"> 2016; </w:t>
      </w:r>
      <w:r w:rsidRPr="000870C5">
        <w:rPr>
          <w:rFonts w:ascii="Book Antiqua" w:eastAsia="Book Antiqua" w:hAnsi="Book Antiqua" w:cs="Book Antiqua"/>
          <w:b/>
          <w:bCs/>
          <w:color w:val="000000"/>
        </w:rPr>
        <w:t>51</w:t>
      </w:r>
      <w:r w:rsidRPr="000870C5">
        <w:rPr>
          <w:rFonts w:ascii="Book Antiqua" w:eastAsia="Book Antiqua" w:hAnsi="Book Antiqua" w:cs="Book Antiqua"/>
          <w:color w:val="000000"/>
        </w:rPr>
        <w:t>: 248-257 [PMID: 26588994 DOI: 10.1016/j.ejvs.2015.10.001]</w:t>
      </w:r>
    </w:p>
    <w:p w14:paraId="15439BC2"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4 </w:t>
      </w:r>
      <w:proofErr w:type="spellStart"/>
      <w:r w:rsidRPr="000870C5">
        <w:rPr>
          <w:rFonts w:ascii="Book Antiqua" w:eastAsia="Book Antiqua" w:hAnsi="Book Antiqua" w:cs="Book Antiqua"/>
          <w:b/>
          <w:bCs/>
          <w:color w:val="000000"/>
        </w:rPr>
        <w:t>Apelqvist</w:t>
      </w:r>
      <w:proofErr w:type="spellEnd"/>
      <w:r w:rsidRPr="000870C5">
        <w:rPr>
          <w:rFonts w:ascii="Book Antiqua" w:eastAsia="Book Antiqua" w:hAnsi="Book Antiqua" w:cs="Book Antiqua"/>
          <w:b/>
          <w:bCs/>
          <w:color w:val="000000"/>
        </w:rPr>
        <w:t xml:space="preserve"> J</w:t>
      </w:r>
      <w:r w:rsidRPr="000870C5">
        <w:rPr>
          <w:rFonts w:ascii="Book Antiqua" w:eastAsia="Book Antiqua" w:hAnsi="Book Antiqua" w:cs="Book Antiqua"/>
          <w:color w:val="000000"/>
        </w:rPr>
        <w:t xml:space="preserve">, Larsson J, </w:t>
      </w:r>
      <w:proofErr w:type="spellStart"/>
      <w:r w:rsidRPr="000870C5">
        <w:rPr>
          <w:rFonts w:ascii="Book Antiqua" w:eastAsia="Book Antiqua" w:hAnsi="Book Antiqua" w:cs="Book Antiqua"/>
          <w:color w:val="000000"/>
        </w:rPr>
        <w:t>Agardh</w:t>
      </w:r>
      <w:proofErr w:type="spellEnd"/>
      <w:r w:rsidRPr="000870C5">
        <w:rPr>
          <w:rFonts w:ascii="Book Antiqua" w:eastAsia="Book Antiqua" w:hAnsi="Book Antiqua" w:cs="Book Antiqua"/>
          <w:color w:val="000000"/>
        </w:rPr>
        <w:t xml:space="preserve"> CD. Long-term prognosis for diabetic patients with foot ulcers. </w:t>
      </w:r>
      <w:r w:rsidRPr="000870C5">
        <w:rPr>
          <w:rFonts w:ascii="Book Antiqua" w:eastAsia="Book Antiqua" w:hAnsi="Book Antiqua" w:cs="Book Antiqua"/>
          <w:i/>
          <w:iCs/>
          <w:color w:val="000000"/>
        </w:rPr>
        <w:t>J Intern Med</w:t>
      </w:r>
      <w:r w:rsidRPr="000870C5">
        <w:rPr>
          <w:rFonts w:ascii="Book Antiqua" w:eastAsia="Book Antiqua" w:hAnsi="Book Antiqua" w:cs="Book Antiqua"/>
          <w:color w:val="000000"/>
        </w:rPr>
        <w:t xml:space="preserve"> 1993; </w:t>
      </w:r>
      <w:r w:rsidRPr="000870C5">
        <w:rPr>
          <w:rFonts w:ascii="Book Antiqua" w:eastAsia="Book Antiqua" w:hAnsi="Book Antiqua" w:cs="Book Antiqua"/>
          <w:b/>
          <w:bCs/>
          <w:color w:val="000000"/>
        </w:rPr>
        <w:t>233</w:t>
      </w:r>
      <w:r w:rsidRPr="000870C5">
        <w:rPr>
          <w:rFonts w:ascii="Book Antiqua" w:eastAsia="Book Antiqua" w:hAnsi="Book Antiqua" w:cs="Book Antiqua"/>
          <w:color w:val="000000"/>
        </w:rPr>
        <w:t>: 485-491 [PMID: 8501419 DOI: 10.1111/j.1365-2796.1993.tb01003.x]</w:t>
      </w:r>
    </w:p>
    <w:p w14:paraId="5DBB30E6"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5 </w:t>
      </w:r>
      <w:r w:rsidRPr="000870C5">
        <w:rPr>
          <w:rFonts w:ascii="Book Antiqua" w:eastAsia="Book Antiqua" w:hAnsi="Book Antiqua" w:cs="Book Antiqua"/>
          <w:b/>
          <w:bCs/>
          <w:color w:val="000000"/>
        </w:rPr>
        <w:t>Goldner MG</w:t>
      </w:r>
      <w:r w:rsidRPr="000870C5">
        <w:rPr>
          <w:rFonts w:ascii="Book Antiqua" w:eastAsia="Book Antiqua" w:hAnsi="Book Antiqua" w:cs="Book Antiqua"/>
          <w:color w:val="000000"/>
        </w:rPr>
        <w:t xml:space="preserve">. The fate of the second leg in the diabetic amputee. </w:t>
      </w:r>
      <w:r w:rsidRPr="000870C5">
        <w:rPr>
          <w:rFonts w:ascii="Book Antiqua" w:eastAsia="Book Antiqua" w:hAnsi="Book Antiqua" w:cs="Book Antiqua"/>
          <w:i/>
          <w:iCs/>
          <w:color w:val="000000"/>
        </w:rPr>
        <w:t>Diabetes</w:t>
      </w:r>
      <w:r w:rsidRPr="000870C5">
        <w:rPr>
          <w:rFonts w:ascii="Book Antiqua" w:eastAsia="Book Antiqua" w:hAnsi="Book Antiqua" w:cs="Book Antiqua"/>
          <w:color w:val="000000"/>
        </w:rPr>
        <w:t xml:space="preserve"> 1960; </w:t>
      </w:r>
      <w:r w:rsidRPr="000870C5">
        <w:rPr>
          <w:rFonts w:ascii="Book Antiqua" w:eastAsia="Book Antiqua" w:hAnsi="Book Antiqua" w:cs="Book Antiqua"/>
          <w:b/>
          <w:bCs/>
          <w:color w:val="000000"/>
        </w:rPr>
        <w:t>9</w:t>
      </w:r>
      <w:r w:rsidRPr="000870C5">
        <w:rPr>
          <w:rFonts w:ascii="Book Antiqua" w:eastAsia="Book Antiqua" w:hAnsi="Book Antiqua" w:cs="Book Antiqua"/>
          <w:color w:val="000000"/>
        </w:rPr>
        <w:t>: 100-103 [PMID: 13850722 DOI: 10.2337/diab.9.2.100]</w:t>
      </w:r>
    </w:p>
    <w:p w14:paraId="714FD612"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6 </w:t>
      </w:r>
      <w:r w:rsidRPr="000870C5">
        <w:rPr>
          <w:rFonts w:ascii="Book Antiqua" w:eastAsia="Book Antiqua" w:hAnsi="Book Antiqua" w:cs="Book Antiqua"/>
          <w:b/>
          <w:bCs/>
          <w:color w:val="000000"/>
        </w:rPr>
        <w:t>Murdoch DP</w:t>
      </w:r>
      <w:r w:rsidRPr="000870C5">
        <w:rPr>
          <w:rFonts w:ascii="Book Antiqua" w:eastAsia="Book Antiqua" w:hAnsi="Book Antiqua" w:cs="Book Antiqua"/>
          <w:color w:val="000000"/>
        </w:rPr>
        <w:t xml:space="preserve">, Armstrong DG, </w:t>
      </w:r>
      <w:proofErr w:type="spellStart"/>
      <w:r w:rsidRPr="000870C5">
        <w:rPr>
          <w:rFonts w:ascii="Book Antiqua" w:eastAsia="Book Antiqua" w:hAnsi="Book Antiqua" w:cs="Book Antiqua"/>
          <w:color w:val="000000"/>
        </w:rPr>
        <w:t>Dacus</w:t>
      </w:r>
      <w:proofErr w:type="spellEnd"/>
      <w:r w:rsidRPr="000870C5">
        <w:rPr>
          <w:rFonts w:ascii="Book Antiqua" w:eastAsia="Book Antiqua" w:hAnsi="Book Antiqua" w:cs="Book Antiqua"/>
          <w:color w:val="000000"/>
        </w:rPr>
        <w:t xml:space="preserve"> JB, Laughlin TJ, Morgan CB, </w:t>
      </w:r>
      <w:proofErr w:type="spellStart"/>
      <w:r w:rsidRPr="000870C5">
        <w:rPr>
          <w:rFonts w:ascii="Book Antiqua" w:eastAsia="Book Antiqua" w:hAnsi="Book Antiqua" w:cs="Book Antiqua"/>
          <w:color w:val="000000"/>
        </w:rPr>
        <w:t>Lavery</w:t>
      </w:r>
      <w:proofErr w:type="spellEnd"/>
      <w:r w:rsidRPr="000870C5">
        <w:rPr>
          <w:rFonts w:ascii="Book Antiqua" w:eastAsia="Book Antiqua" w:hAnsi="Book Antiqua" w:cs="Book Antiqua"/>
          <w:color w:val="000000"/>
        </w:rPr>
        <w:t xml:space="preserve"> LA. The natural history of great toe amputations. </w:t>
      </w:r>
      <w:r w:rsidRPr="000870C5">
        <w:rPr>
          <w:rFonts w:ascii="Book Antiqua" w:eastAsia="Book Antiqua" w:hAnsi="Book Antiqua" w:cs="Book Antiqua"/>
          <w:i/>
          <w:iCs/>
          <w:color w:val="000000"/>
        </w:rPr>
        <w:t>J Foot Ankle Surg</w:t>
      </w:r>
      <w:r w:rsidRPr="000870C5">
        <w:rPr>
          <w:rFonts w:ascii="Book Antiqua" w:eastAsia="Book Antiqua" w:hAnsi="Book Antiqua" w:cs="Book Antiqua"/>
          <w:color w:val="000000"/>
        </w:rPr>
        <w:t xml:space="preserve"> 1997; </w:t>
      </w:r>
      <w:r w:rsidRPr="000870C5">
        <w:rPr>
          <w:rFonts w:ascii="Book Antiqua" w:eastAsia="Book Antiqua" w:hAnsi="Book Antiqua" w:cs="Book Antiqua"/>
          <w:b/>
          <w:bCs/>
          <w:color w:val="000000"/>
        </w:rPr>
        <w:t>36</w:t>
      </w:r>
      <w:r w:rsidRPr="000870C5">
        <w:rPr>
          <w:rFonts w:ascii="Book Antiqua" w:eastAsia="Book Antiqua" w:hAnsi="Book Antiqua" w:cs="Book Antiqua"/>
          <w:color w:val="000000"/>
        </w:rPr>
        <w:t>: 204-8; discussion 256 [PMID: 9232500 DOI: 10.1016/s1067-2516(97)80116-0]</w:t>
      </w:r>
    </w:p>
    <w:p w14:paraId="1ED46DAC"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7 </w:t>
      </w:r>
      <w:r w:rsidRPr="000870C5">
        <w:rPr>
          <w:rFonts w:ascii="Book Antiqua" w:eastAsia="Book Antiqua" w:hAnsi="Book Antiqua" w:cs="Book Antiqua"/>
          <w:b/>
          <w:bCs/>
          <w:color w:val="000000"/>
        </w:rPr>
        <w:t>Larsson J</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Agardh</w:t>
      </w:r>
      <w:proofErr w:type="spellEnd"/>
      <w:r w:rsidRPr="000870C5">
        <w:rPr>
          <w:rFonts w:ascii="Book Antiqua" w:eastAsia="Book Antiqua" w:hAnsi="Book Antiqua" w:cs="Book Antiqua"/>
          <w:color w:val="000000"/>
        </w:rPr>
        <w:t xml:space="preserve"> CD, </w:t>
      </w:r>
      <w:proofErr w:type="spellStart"/>
      <w:r w:rsidRPr="000870C5">
        <w:rPr>
          <w:rFonts w:ascii="Book Antiqua" w:eastAsia="Book Antiqua" w:hAnsi="Book Antiqua" w:cs="Book Antiqua"/>
          <w:color w:val="000000"/>
        </w:rPr>
        <w:t>Apelqvist</w:t>
      </w:r>
      <w:proofErr w:type="spellEnd"/>
      <w:r w:rsidRPr="000870C5">
        <w:rPr>
          <w:rFonts w:ascii="Book Antiqua" w:eastAsia="Book Antiqua" w:hAnsi="Book Antiqua" w:cs="Book Antiqua"/>
          <w:color w:val="000000"/>
        </w:rPr>
        <w:t xml:space="preserve"> J, </w:t>
      </w:r>
      <w:proofErr w:type="spellStart"/>
      <w:r w:rsidRPr="000870C5">
        <w:rPr>
          <w:rFonts w:ascii="Book Antiqua" w:eastAsia="Book Antiqua" w:hAnsi="Book Antiqua" w:cs="Book Antiqua"/>
          <w:color w:val="000000"/>
        </w:rPr>
        <w:t>Stenström</w:t>
      </w:r>
      <w:proofErr w:type="spellEnd"/>
      <w:r w:rsidRPr="000870C5">
        <w:rPr>
          <w:rFonts w:ascii="Book Antiqua" w:eastAsia="Book Antiqua" w:hAnsi="Book Antiqua" w:cs="Book Antiqua"/>
          <w:color w:val="000000"/>
        </w:rPr>
        <w:t xml:space="preserve"> A. Long-term prognosis after healed amputation in patients with diabetes. </w:t>
      </w:r>
      <w:proofErr w:type="spellStart"/>
      <w:r w:rsidRPr="000870C5">
        <w:rPr>
          <w:rFonts w:ascii="Book Antiqua" w:eastAsia="Book Antiqua" w:hAnsi="Book Antiqua" w:cs="Book Antiqua"/>
          <w:i/>
          <w:iCs/>
          <w:color w:val="000000"/>
        </w:rPr>
        <w:t>Clin</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Orthop</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Relat</w:t>
      </w:r>
      <w:proofErr w:type="spellEnd"/>
      <w:r w:rsidRPr="000870C5">
        <w:rPr>
          <w:rFonts w:ascii="Book Antiqua" w:eastAsia="Book Antiqua" w:hAnsi="Book Antiqua" w:cs="Book Antiqua"/>
          <w:i/>
          <w:iCs/>
          <w:color w:val="000000"/>
        </w:rPr>
        <w:t xml:space="preserve"> Res</w:t>
      </w:r>
      <w:r w:rsidRPr="000870C5">
        <w:rPr>
          <w:rFonts w:ascii="Book Antiqua" w:eastAsia="Book Antiqua" w:hAnsi="Book Antiqua" w:cs="Book Antiqua"/>
          <w:color w:val="000000"/>
        </w:rPr>
        <w:t xml:space="preserve"> 1998; : 149-158 [PMID: 9602814 DOI: 10.1097/00003086-199805000-00021]</w:t>
      </w:r>
    </w:p>
    <w:p w14:paraId="56802025"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8 </w:t>
      </w:r>
      <w:proofErr w:type="spellStart"/>
      <w:r w:rsidRPr="000870C5">
        <w:rPr>
          <w:rFonts w:ascii="Book Antiqua" w:eastAsia="Book Antiqua" w:hAnsi="Book Antiqua" w:cs="Book Antiqua"/>
          <w:b/>
          <w:bCs/>
          <w:color w:val="000000"/>
        </w:rPr>
        <w:t>Ghanassia</w:t>
      </w:r>
      <w:proofErr w:type="spellEnd"/>
      <w:r w:rsidRPr="000870C5">
        <w:rPr>
          <w:rFonts w:ascii="Book Antiqua" w:eastAsia="Book Antiqua" w:hAnsi="Book Antiqua" w:cs="Book Antiqua"/>
          <w:b/>
          <w:bCs/>
          <w:color w:val="000000"/>
        </w:rPr>
        <w:t xml:space="preserve"> E</w:t>
      </w:r>
      <w:r w:rsidRPr="000870C5">
        <w:rPr>
          <w:rFonts w:ascii="Book Antiqua" w:eastAsia="Book Antiqua" w:hAnsi="Book Antiqua" w:cs="Book Antiqua"/>
          <w:color w:val="000000"/>
        </w:rPr>
        <w:t xml:space="preserve">, Villon L, </w:t>
      </w:r>
      <w:proofErr w:type="spellStart"/>
      <w:r w:rsidRPr="000870C5">
        <w:rPr>
          <w:rFonts w:ascii="Book Antiqua" w:eastAsia="Book Antiqua" w:hAnsi="Book Antiqua" w:cs="Book Antiqua"/>
          <w:color w:val="000000"/>
        </w:rPr>
        <w:t>Thuan</w:t>
      </w:r>
      <w:proofErr w:type="spellEnd"/>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Dit</w:t>
      </w:r>
      <w:proofErr w:type="spellEnd"/>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Dieudonné</w:t>
      </w:r>
      <w:proofErr w:type="spellEnd"/>
      <w:r w:rsidRPr="000870C5">
        <w:rPr>
          <w:rFonts w:ascii="Book Antiqua" w:eastAsia="Book Antiqua" w:hAnsi="Book Antiqua" w:cs="Book Antiqua"/>
          <w:color w:val="000000"/>
        </w:rPr>
        <w:t xml:space="preserve"> JF, </w:t>
      </w:r>
      <w:proofErr w:type="spellStart"/>
      <w:r w:rsidRPr="000870C5">
        <w:rPr>
          <w:rFonts w:ascii="Book Antiqua" w:eastAsia="Book Antiqua" w:hAnsi="Book Antiqua" w:cs="Book Antiqua"/>
          <w:color w:val="000000"/>
        </w:rPr>
        <w:t>Boegner</w:t>
      </w:r>
      <w:proofErr w:type="spellEnd"/>
      <w:r w:rsidRPr="000870C5">
        <w:rPr>
          <w:rFonts w:ascii="Book Antiqua" w:eastAsia="Book Antiqua" w:hAnsi="Book Antiqua" w:cs="Book Antiqua"/>
          <w:color w:val="000000"/>
        </w:rPr>
        <w:t xml:space="preserve"> C, Avignon A, Sultan A. Long-term outcome and disability of diabetic patients hospitalized for diabetic foot ulcers: a 6.5-year follow-up study. </w:t>
      </w:r>
      <w:r w:rsidRPr="000870C5">
        <w:rPr>
          <w:rFonts w:ascii="Book Antiqua" w:eastAsia="Book Antiqua" w:hAnsi="Book Antiqua" w:cs="Book Antiqua"/>
          <w:i/>
          <w:iCs/>
          <w:color w:val="000000"/>
        </w:rPr>
        <w:t>Diabetes Care</w:t>
      </w:r>
      <w:r w:rsidRPr="000870C5">
        <w:rPr>
          <w:rFonts w:ascii="Book Antiqua" w:eastAsia="Book Antiqua" w:hAnsi="Book Antiqua" w:cs="Book Antiqua"/>
          <w:color w:val="000000"/>
        </w:rPr>
        <w:t xml:space="preserve"> 2008; </w:t>
      </w:r>
      <w:r w:rsidRPr="000870C5">
        <w:rPr>
          <w:rFonts w:ascii="Book Antiqua" w:eastAsia="Book Antiqua" w:hAnsi="Book Antiqua" w:cs="Book Antiqua"/>
          <w:b/>
          <w:bCs/>
          <w:color w:val="000000"/>
        </w:rPr>
        <w:t>31</w:t>
      </w:r>
      <w:r w:rsidRPr="000870C5">
        <w:rPr>
          <w:rFonts w:ascii="Book Antiqua" w:eastAsia="Book Antiqua" w:hAnsi="Book Antiqua" w:cs="Book Antiqua"/>
          <w:color w:val="000000"/>
        </w:rPr>
        <w:t>: 1288-1292 [PMID: 18390801 DOI: 10.2337/dc07-2145]</w:t>
      </w:r>
    </w:p>
    <w:p w14:paraId="0C5E224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9 </w:t>
      </w:r>
      <w:r w:rsidRPr="000870C5">
        <w:rPr>
          <w:rFonts w:ascii="Book Antiqua" w:eastAsia="Book Antiqua" w:hAnsi="Book Antiqua" w:cs="Book Antiqua"/>
          <w:b/>
          <w:bCs/>
          <w:color w:val="000000"/>
        </w:rPr>
        <w:t>Izumi Y</w:t>
      </w:r>
      <w:r w:rsidRPr="000870C5">
        <w:rPr>
          <w:rFonts w:ascii="Book Antiqua" w:eastAsia="Book Antiqua" w:hAnsi="Book Antiqua" w:cs="Book Antiqua"/>
          <w:color w:val="000000"/>
        </w:rPr>
        <w:t xml:space="preserve">, Satterfield K, Lee S, Harkless LB. Risk of </w:t>
      </w:r>
      <w:proofErr w:type="spellStart"/>
      <w:r w:rsidRPr="000870C5">
        <w:rPr>
          <w:rFonts w:ascii="Book Antiqua" w:eastAsia="Book Antiqua" w:hAnsi="Book Antiqua" w:cs="Book Antiqua"/>
          <w:color w:val="000000"/>
        </w:rPr>
        <w:t>reamputation</w:t>
      </w:r>
      <w:proofErr w:type="spellEnd"/>
      <w:r w:rsidRPr="000870C5">
        <w:rPr>
          <w:rFonts w:ascii="Book Antiqua" w:eastAsia="Book Antiqua" w:hAnsi="Book Antiqua" w:cs="Book Antiqua"/>
          <w:color w:val="000000"/>
        </w:rPr>
        <w:t xml:space="preserve"> in diabetic patients stratified by limb and level of amputation: a 10-year observation. </w:t>
      </w:r>
      <w:r w:rsidRPr="000870C5">
        <w:rPr>
          <w:rFonts w:ascii="Book Antiqua" w:eastAsia="Book Antiqua" w:hAnsi="Book Antiqua" w:cs="Book Antiqua"/>
          <w:i/>
          <w:iCs/>
          <w:color w:val="000000"/>
        </w:rPr>
        <w:t>Diabetes Care</w:t>
      </w:r>
      <w:r w:rsidRPr="000870C5">
        <w:rPr>
          <w:rFonts w:ascii="Book Antiqua" w:eastAsia="Book Antiqua" w:hAnsi="Book Antiqua" w:cs="Book Antiqua"/>
          <w:color w:val="000000"/>
        </w:rPr>
        <w:t xml:space="preserve"> 2006; </w:t>
      </w:r>
      <w:r w:rsidRPr="000870C5">
        <w:rPr>
          <w:rFonts w:ascii="Book Antiqua" w:eastAsia="Book Antiqua" w:hAnsi="Book Antiqua" w:cs="Book Antiqua"/>
          <w:b/>
          <w:bCs/>
          <w:color w:val="000000"/>
        </w:rPr>
        <w:t>29</w:t>
      </w:r>
      <w:r w:rsidRPr="000870C5">
        <w:rPr>
          <w:rFonts w:ascii="Book Antiqua" w:eastAsia="Book Antiqua" w:hAnsi="Book Antiqua" w:cs="Book Antiqua"/>
          <w:color w:val="000000"/>
        </w:rPr>
        <w:t>: 566-570 [PMID: 16505507 DOI: 10.2337/diacare.29.03.06.dc05-1992]</w:t>
      </w:r>
    </w:p>
    <w:p w14:paraId="1255DAC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10 </w:t>
      </w:r>
      <w:proofErr w:type="spellStart"/>
      <w:r w:rsidRPr="000870C5">
        <w:rPr>
          <w:rFonts w:ascii="Book Antiqua" w:eastAsia="Book Antiqua" w:hAnsi="Book Antiqua" w:cs="Book Antiqua"/>
          <w:b/>
          <w:bCs/>
          <w:color w:val="000000"/>
        </w:rPr>
        <w:t>Skoutas</w:t>
      </w:r>
      <w:proofErr w:type="spellEnd"/>
      <w:r w:rsidRPr="000870C5">
        <w:rPr>
          <w:rFonts w:ascii="Book Antiqua" w:eastAsia="Book Antiqua" w:hAnsi="Book Antiqua" w:cs="Book Antiqua"/>
          <w:b/>
          <w:bCs/>
          <w:color w:val="000000"/>
        </w:rPr>
        <w:t xml:space="preserve"> D</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Papanas</w:t>
      </w:r>
      <w:proofErr w:type="spellEnd"/>
      <w:r w:rsidRPr="000870C5">
        <w:rPr>
          <w:rFonts w:ascii="Book Antiqua" w:eastAsia="Book Antiqua" w:hAnsi="Book Antiqua" w:cs="Book Antiqua"/>
          <w:color w:val="000000"/>
        </w:rPr>
        <w:t xml:space="preserve"> N, </w:t>
      </w:r>
      <w:proofErr w:type="spellStart"/>
      <w:r w:rsidRPr="000870C5">
        <w:rPr>
          <w:rFonts w:ascii="Book Antiqua" w:eastAsia="Book Antiqua" w:hAnsi="Book Antiqua" w:cs="Book Antiqua"/>
          <w:color w:val="000000"/>
        </w:rPr>
        <w:t>Georgiadis</w:t>
      </w:r>
      <w:proofErr w:type="spellEnd"/>
      <w:r w:rsidRPr="000870C5">
        <w:rPr>
          <w:rFonts w:ascii="Book Antiqua" w:eastAsia="Book Antiqua" w:hAnsi="Book Antiqua" w:cs="Book Antiqua"/>
          <w:color w:val="000000"/>
        </w:rPr>
        <w:t xml:space="preserve"> GS, </w:t>
      </w:r>
      <w:proofErr w:type="spellStart"/>
      <w:r w:rsidRPr="000870C5">
        <w:rPr>
          <w:rFonts w:ascii="Book Antiqua" w:eastAsia="Book Antiqua" w:hAnsi="Book Antiqua" w:cs="Book Antiqua"/>
          <w:color w:val="000000"/>
        </w:rPr>
        <w:t>Zervas</w:t>
      </w:r>
      <w:proofErr w:type="spellEnd"/>
      <w:r w:rsidRPr="000870C5">
        <w:rPr>
          <w:rFonts w:ascii="Book Antiqua" w:eastAsia="Book Antiqua" w:hAnsi="Book Antiqua" w:cs="Book Antiqua"/>
          <w:color w:val="000000"/>
        </w:rPr>
        <w:t xml:space="preserve"> V, Manes C, </w:t>
      </w:r>
      <w:proofErr w:type="spellStart"/>
      <w:r w:rsidRPr="000870C5">
        <w:rPr>
          <w:rFonts w:ascii="Book Antiqua" w:eastAsia="Book Antiqua" w:hAnsi="Book Antiqua" w:cs="Book Antiqua"/>
          <w:color w:val="000000"/>
        </w:rPr>
        <w:t>Maltezos</w:t>
      </w:r>
      <w:proofErr w:type="spellEnd"/>
      <w:r w:rsidRPr="000870C5">
        <w:rPr>
          <w:rFonts w:ascii="Book Antiqua" w:eastAsia="Book Antiqua" w:hAnsi="Book Antiqua" w:cs="Book Antiqua"/>
          <w:color w:val="000000"/>
        </w:rPr>
        <w:t xml:space="preserve"> E, </w:t>
      </w:r>
      <w:proofErr w:type="spellStart"/>
      <w:r w:rsidRPr="000870C5">
        <w:rPr>
          <w:rFonts w:ascii="Book Antiqua" w:eastAsia="Book Antiqua" w:hAnsi="Book Antiqua" w:cs="Book Antiqua"/>
          <w:color w:val="000000"/>
        </w:rPr>
        <w:t>Lazarides</w:t>
      </w:r>
      <w:proofErr w:type="spellEnd"/>
      <w:r w:rsidRPr="000870C5">
        <w:rPr>
          <w:rFonts w:ascii="Book Antiqua" w:eastAsia="Book Antiqua" w:hAnsi="Book Antiqua" w:cs="Book Antiqua"/>
          <w:color w:val="000000"/>
        </w:rPr>
        <w:t xml:space="preserve"> MK. Risk factors for ipsilateral </w:t>
      </w:r>
      <w:proofErr w:type="spellStart"/>
      <w:r w:rsidRPr="000870C5">
        <w:rPr>
          <w:rFonts w:ascii="Book Antiqua" w:eastAsia="Book Antiqua" w:hAnsi="Book Antiqua" w:cs="Book Antiqua"/>
          <w:color w:val="000000"/>
        </w:rPr>
        <w:t>reamputation</w:t>
      </w:r>
      <w:proofErr w:type="spellEnd"/>
      <w:r w:rsidRPr="000870C5">
        <w:rPr>
          <w:rFonts w:ascii="Book Antiqua" w:eastAsia="Book Antiqua" w:hAnsi="Book Antiqua" w:cs="Book Antiqua"/>
          <w:color w:val="000000"/>
        </w:rPr>
        <w:t xml:space="preserve"> in patients with diabetic foot lesions. </w:t>
      </w:r>
      <w:proofErr w:type="spellStart"/>
      <w:r w:rsidRPr="000870C5">
        <w:rPr>
          <w:rFonts w:ascii="Book Antiqua" w:eastAsia="Book Antiqua" w:hAnsi="Book Antiqua" w:cs="Book Antiqua"/>
          <w:i/>
          <w:iCs/>
          <w:color w:val="000000"/>
        </w:rPr>
        <w:t>Int</w:t>
      </w:r>
      <w:proofErr w:type="spellEnd"/>
      <w:r w:rsidRPr="000870C5">
        <w:rPr>
          <w:rFonts w:ascii="Book Antiqua" w:eastAsia="Book Antiqua" w:hAnsi="Book Antiqua" w:cs="Book Antiqua"/>
          <w:i/>
          <w:iCs/>
          <w:color w:val="000000"/>
        </w:rPr>
        <w:t xml:space="preserve"> J Low </w:t>
      </w:r>
      <w:proofErr w:type="spellStart"/>
      <w:r w:rsidRPr="000870C5">
        <w:rPr>
          <w:rFonts w:ascii="Book Antiqua" w:eastAsia="Book Antiqua" w:hAnsi="Book Antiqua" w:cs="Book Antiqua"/>
          <w:i/>
          <w:iCs/>
          <w:color w:val="000000"/>
        </w:rPr>
        <w:t>Extrem</w:t>
      </w:r>
      <w:proofErr w:type="spellEnd"/>
      <w:r w:rsidRPr="000870C5">
        <w:rPr>
          <w:rFonts w:ascii="Book Antiqua" w:eastAsia="Book Antiqua" w:hAnsi="Book Antiqua" w:cs="Book Antiqua"/>
          <w:i/>
          <w:iCs/>
          <w:color w:val="000000"/>
        </w:rPr>
        <w:t xml:space="preserve"> Wounds</w:t>
      </w:r>
      <w:r w:rsidRPr="000870C5">
        <w:rPr>
          <w:rFonts w:ascii="Book Antiqua" w:eastAsia="Book Antiqua" w:hAnsi="Book Antiqua" w:cs="Book Antiqua"/>
          <w:color w:val="000000"/>
        </w:rPr>
        <w:t xml:space="preserve"> 2009; </w:t>
      </w:r>
      <w:r w:rsidRPr="000870C5">
        <w:rPr>
          <w:rFonts w:ascii="Book Antiqua" w:eastAsia="Book Antiqua" w:hAnsi="Book Antiqua" w:cs="Book Antiqua"/>
          <w:b/>
          <w:bCs/>
          <w:color w:val="000000"/>
        </w:rPr>
        <w:t>8</w:t>
      </w:r>
      <w:r w:rsidRPr="000870C5">
        <w:rPr>
          <w:rFonts w:ascii="Book Antiqua" w:eastAsia="Book Antiqua" w:hAnsi="Book Antiqua" w:cs="Book Antiqua"/>
          <w:color w:val="000000"/>
        </w:rPr>
        <w:t>: 69-74 [PMID: 19443895 DOI: 10.1177/1534734609334808]</w:t>
      </w:r>
    </w:p>
    <w:p w14:paraId="02B6EE19"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11 </w:t>
      </w:r>
      <w:proofErr w:type="spellStart"/>
      <w:r w:rsidRPr="000870C5">
        <w:rPr>
          <w:rFonts w:ascii="Book Antiqua" w:eastAsia="Book Antiqua" w:hAnsi="Book Antiqua" w:cs="Book Antiqua"/>
          <w:b/>
          <w:bCs/>
          <w:color w:val="000000"/>
        </w:rPr>
        <w:t>Acar</w:t>
      </w:r>
      <w:proofErr w:type="spellEnd"/>
      <w:r w:rsidRPr="000870C5">
        <w:rPr>
          <w:rFonts w:ascii="Book Antiqua" w:eastAsia="Book Antiqua" w:hAnsi="Book Antiqua" w:cs="Book Antiqua"/>
          <w:b/>
          <w:bCs/>
          <w:color w:val="000000"/>
        </w:rPr>
        <w:t xml:space="preserve"> E</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KacÄ±ra</w:t>
      </w:r>
      <w:proofErr w:type="spellEnd"/>
      <w:r w:rsidRPr="000870C5">
        <w:rPr>
          <w:rFonts w:ascii="Book Antiqua" w:eastAsia="Book Antiqua" w:hAnsi="Book Antiqua" w:cs="Book Antiqua"/>
          <w:color w:val="000000"/>
        </w:rPr>
        <w:t xml:space="preserve"> BK. Predictors of Lower Extremity Amputation and </w:t>
      </w:r>
      <w:proofErr w:type="spellStart"/>
      <w:r w:rsidRPr="000870C5">
        <w:rPr>
          <w:rFonts w:ascii="Book Antiqua" w:eastAsia="Book Antiqua" w:hAnsi="Book Antiqua" w:cs="Book Antiqua"/>
          <w:color w:val="000000"/>
        </w:rPr>
        <w:t>Reamputation</w:t>
      </w:r>
      <w:proofErr w:type="spellEnd"/>
      <w:r w:rsidRPr="000870C5">
        <w:rPr>
          <w:rFonts w:ascii="Book Antiqua" w:eastAsia="Book Antiqua" w:hAnsi="Book Antiqua" w:cs="Book Antiqua"/>
          <w:color w:val="000000"/>
        </w:rPr>
        <w:t xml:space="preserve"> Associated With the Diabetic Foot. </w:t>
      </w:r>
      <w:r w:rsidRPr="000870C5">
        <w:rPr>
          <w:rFonts w:ascii="Book Antiqua" w:eastAsia="Book Antiqua" w:hAnsi="Book Antiqua" w:cs="Book Antiqua"/>
          <w:i/>
          <w:iCs/>
          <w:color w:val="000000"/>
        </w:rPr>
        <w:t>J Foot Ankle Surg</w:t>
      </w:r>
      <w:r w:rsidRPr="000870C5">
        <w:rPr>
          <w:rFonts w:ascii="Book Antiqua" w:eastAsia="Book Antiqua" w:hAnsi="Book Antiqua" w:cs="Book Antiqua"/>
          <w:color w:val="000000"/>
        </w:rPr>
        <w:t xml:space="preserve"> 2017; </w:t>
      </w:r>
      <w:r w:rsidRPr="000870C5">
        <w:rPr>
          <w:rFonts w:ascii="Book Antiqua" w:eastAsia="Book Antiqua" w:hAnsi="Book Antiqua" w:cs="Book Antiqua"/>
          <w:b/>
          <w:bCs/>
          <w:color w:val="000000"/>
        </w:rPr>
        <w:t>56</w:t>
      </w:r>
      <w:r w:rsidRPr="000870C5">
        <w:rPr>
          <w:rFonts w:ascii="Book Antiqua" w:eastAsia="Book Antiqua" w:hAnsi="Book Antiqua" w:cs="Book Antiqua"/>
          <w:color w:val="000000"/>
        </w:rPr>
        <w:t>: 1218-1222 [PMID: 28765052 DOI: 10.1053/j.jfas.2017.06.004]</w:t>
      </w:r>
    </w:p>
    <w:p w14:paraId="3ED8D47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 xml:space="preserve">12 </w:t>
      </w:r>
      <w:r w:rsidRPr="000870C5">
        <w:rPr>
          <w:rFonts w:ascii="Book Antiqua" w:eastAsia="Book Antiqua" w:hAnsi="Book Antiqua" w:cs="Book Antiqua"/>
          <w:b/>
          <w:bCs/>
          <w:color w:val="000000"/>
        </w:rPr>
        <w:t>Chu YJ</w:t>
      </w:r>
      <w:r w:rsidRPr="000870C5">
        <w:rPr>
          <w:rFonts w:ascii="Book Antiqua" w:eastAsia="Book Antiqua" w:hAnsi="Book Antiqua" w:cs="Book Antiqua"/>
          <w:color w:val="000000"/>
        </w:rPr>
        <w:t xml:space="preserve">, Li XW, Wang PH, Xu J, Sun HJ, Ding M, Jiao J, Ji XY, Feng SH. Clinical outcomes of toe amputation in patients with type 2 diabetes in Tianjin, China. </w:t>
      </w:r>
      <w:r w:rsidRPr="000870C5">
        <w:rPr>
          <w:rFonts w:ascii="Book Antiqua" w:eastAsia="Book Antiqua" w:hAnsi="Book Antiqua" w:cs="Book Antiqua"/>
          <w:i/>
          <w:iCs/>
          <w:color w:val="000000"/>
        </w:rPr>
        <w:t>Int Wound J</w:t>
      </w:r>
      <w:r w:rsidRPr="000870C5">
        <w:rPr>
          <w:rFonts w:ascii="Book Antiqua" w:eastAsia="Book Antiqua" w:hAnsi="Book Antiqua" w:cs="Book Antiqua"/>
          <w:color w:val="000000"/>
        </w:rPr>
        <w:t xml:space="preserve"> 2016; </w:t>
      </w:r>
      <w:r w:rsidRPr="000870C5">
        <w:rPr>
          <w:rFonts w:ascii="Book Antiqua" w:eastAsia="Book Antiqua" w:hAnsi="Book Antiqua" w:cs="Book Antiqua"/>
          <w:b/>
          <w:bCs/>
          <w:color w:val="000000"/>
        </w:rPr>
        <w:t>13</w:t>
      </w:r>
      <w:r w:rsidRPr="000870C5">
        <w:rPr>
          <w:rFonts w:ascii="Book Antiqua" w:eastAsia="Book Antiqua" w:hAnsi="Book Antiqua" w:cs="Book Antiqua"/>
          <w:color w:val="000000"/>
        </w:rPr>
        <w:t>: 175-181 [PMID: 24629051 DOI: 10.1111/iwj.12249]</w:t>
      </w:r>
    </w:p>
    <w:p w14:paraId="1F5C2A49"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lastRenderedPageBreak/>
        <w:t>1</w:t>
      </w:r>
      <w:r w:rsidR="00AB6659" w:rsidRPr="000870C5">
        <w:rPr>
          <w:rFonts w:ascii="Book Antiqua" w:eastAsia="Book Antiqua" w:hAnsi="Book Antiqua" w:cs="Book Antiqua"/>
          <w:color w:val="000000"/>
        </w:rPr>
        <w:t>3</w:t>
      </w:r>
      <w:r w:rsidRPr="000870C5">
        <w:rPr>
          <w:rFonts w:ascii="Book Antiqua" w:eastAsia="Book Antiqua" w:hAnsi="Book Antiqua" w:cs="Book Antiqua"/>
          <w:color w:val="000000"/>
        </w:rPr>
        <w:t xml:space="preserve"> </w:t>
      </w:r>
      <w:r w:rsidRPr="000870C5">
        <w:rPr>
          <w:rFonts w:ascii="Book Antiqua" w:eastAsia="Book Antiqua" w:hAnsi="Book Antiqua" w:cs="Book Antiqua"/>
          <w:b/>
          <w:bCs/>
          <w:color w:val="000000"/>
        </w:rPr>
        <w:t>Van Damme H</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Rorive</w:t>
      </w:r>
      <w:proofErr w:type="spellEnd"/>
      <w:r w:rsidRPr="000870C5">
        <w:rPr>
          <w:rFonts w:ascii="Book Antiqua" w:eastAsia="Book Antiqua" w:hAnsi="Book Antiqua" w:cs="Book Antiqua"/>
          <w:color w:val="000000"/>
        </w:rPr>
        <w:t xml:space="preserve"> M, Martens De </w:t>
      </w:r>
      <w:proofErr w:type="spellStart"/>
      <w:r w:rsidRPr="000870C5">
        <w:rPr>
          <w:rFonts w:ascii="Book Antiqua" w:eastAsia="Book Antiqua" w:hAnsi="Book Antiqua" w:cs="Book Antiqua"/>
          <w:color w:val="000000"/>
        </w:rPr>
        <w:t>Noorthout</w:t>
      </w:r>
      <w:proofErr w:type="spellEnd"/>
      <w:r w:rsidRPr="000870C5">
        <w:rPr>
          <w:rFonts w:ascii="Book Antiqua" w:eastAsia="Book Antiqua" w:hAnsi="Book Antiqua" w:cs="Book Antiqua"/>
          <w:color w:val="000000"/>
        </w:rPr>
        <w:t xml:space="preserve"> BM, </w:t>
      </w:r>
      <w:proofErr w:type="spellStart"/>
      <w:r w:rsidRPr="000870C5">
        <w:rPr>
          <w:rFonts w:ascii="Book Antiqua" w:eastAsia="Book Antiqua" w:hAnsi="Book Antiqua" w:cs="Book Antiqua"/>
          <w:color w:val="000000"/>
        </w:rPr>
        <w:t>Quaniers</w:t>
      </w:r>
      <w:proofErr w:type="spellEnd"/>
      <w:r w:rsidRPr="000870C5">
        <w:rPr>
          <w:rFonts w:ascii="Book Antiqua" w:eastAsia="Book Antiqua" w:hAnsi="Book Antiqua" w:cs="Book Antiqua"/>
          <w:color w:val="000000"/>
        </w:rPr>
        <w:t xml:space="preserve"> J, </w:t>
      </w:r>
      <w:proofErr w:type="spellStart"/>
      <w:r w:rsidRPr="000870C5">
        <w:rPr>
          <w:rFonts w:ascii="Book Antiqua" w:eastAsia="Book Antiqua" w:hAnsi="Book Antiqua" w:cs="Book Antiqua"/>
          <w:color w:val="000000"/>
        </w:rPr>
        <w:t>Scheen</w:t>
      </w:r>
      <w:proofErr w:type="spellEnd"/>
      <w:r w:rsidRPr="000870C5">
        <w:rPr>
          <w:rFonts w:ascii="Book Antiqua" w:eastAsia="Book Antiqua" w:hAnsi="Book Antiqua" w:cs="Book Antiqua"/>
          <w:color w:val="000000"/>
        </w:rPr>
        <w:t xml:space="preserve"> A, </w:t>
      </w:r>
      <w:proofErr w:type="spellStart"/>
      <w:r w:rsidRPr="000870C5">
        <w:rPr>
          <w:rFonts w:ascii="Book Antiqua" w:eastAsia="Book Antiqua" w:hAnsi="Book Antiqua" w:cs="Book Antiqua"/>
          <w:color w:val="000000"/>
        </w:rPr>
        <w:t>Limet</w:t>
      </w:r>
      <w:proofErr w:type="spellEnd"/>
      <w:r w:rsidRPr="000870C5">
        <w:rPr>
          <w:rFonts w:ascii="Book Antiqua" w:eastAsia="Book Antiqua" w:hAnsi="Book Antiqua" w:cs="Book Antiqua"/>
          <w:color w:val="000000"/>
        </w:rPr>
        <w:t xml:space="preserve"> R. Amputations in diabetic patients: a plea for </w:t>
      </w:r>
      <w:proofErr w:type="spellStart"/>
      <w:r w:rsidRPr="000870C5">
        <w:rPr>
          <w:rFonts w:ascii="Book Antiqua" w:eastAsia="Book Antiqua" w:hAnsi="Book Antiqua" w:cs="Book Antiqua"/>
          <w:color w:val="000000"/>
        </w:rPr>
        <w:t>footsparing</w:t>
      </w:r>
      <w:proofErr w:type="spellEnd"/>
      <w:r w:rsidRPr="000870C5">
        <w:rPr>
          <w:rFonts w:ascii="Book Antiqua" w:eastAsia="Book Antiqua" w:hAnsi="Book Antiqua" w:cs="Book Antiqua"/>
          <w:color w:val="000000"/>
        </w:rPr>
        <w:t xml:space="preserve"> surgery. </w:t>
      </w:r>
      <w:r w:rsidRPr="000870C5">
        <w:rPr>
          <w:rFonts w:ascii="Book Antiqua" w:eastAsia="Book Antiqua" w:hAnsi="Book Antiqua" w:cs="Book Antiqua"/>
          <w:i/>
          <w:iCs/>
          <w:color w:val="000000"/>
        </w:rPr>
        <w:t xml:space="preserve">Acta </w:t>
      </w:r>
      <w:proofErr w:type="spellStart"/>
      <w:r w:rsidRPr="000870C5">
        <w:rPr>
          <w:rFonts w:ascii="Book Antiqua" w:eastAsia="Book Antiqua" w:hAnsi="Book Antiqua" w:cs="Book Antiqua"/>
          <w:i/>
          <w:iCs/>
          <w:color w:val="000000"/>
        </w:rPr>
        <w:t>Chir</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Belg</w:t>
      </w:r>
      <w:proofErr w:type="spellEnd"/>
      <w:r w:rsidRPr="000870C5">
        <w:rPr>
          <w:rFonts w:ascii="Book Antiqua" w:eastAsia="Book Antiqua" w:hAnsi="Book Antiqua" w:cs="Book Antiqua"/>
          <w:color w:val="000000"/>
        </w:rPr>
        <w:t xml:space="preserve"> 2001; </w:t>
      </w:r>
      <w:r w:rsidRPr="000870C5">
        <w:rPr>
          <w:rFonts w:ascii="Book Antiqua" w:eastAsia="Book Antiqua" w:hAnsi="Book Antiqua" w:cs="Book Antiqua"/>
          <w:b/>
          <w:bCs/>
          <w:color w:val="000000"/>
        </w:rPr>
        <w:t>101</w:t>
      </w:r>
      <w:r w:rsidRPr="000870C5">
        <w:rPr>
          <w:rFonts w:ascii="Book Antiqua" w:eastAsia="Book Antiqua" w:hAnsi="Book Antiqua" w:cs="Book Antiqua"/>
          <w:color w:val="000000"/>
        </w:rPr>
        <w:t>: 123-129 [PMID: 11501387]</w:t>
      </w:r>
    </w:p>
    <w:p w14:paraId="2DCEF475"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1</w:t>
      </w:r>
      <w:r w:rsidR="00AB6659" w:rsidRPr="000870C5">
        <w:rPr>
          <w:rFonts w:ascii="Book Antiqua" w:eastAsia="Book Antiqua" w:hAnsi="Book Antiqua" w:cs="Book Antiqua"/>
          <w:color w:val="000000"/>
        </w:rPr>
        <w:t>4</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Borkosky</w:t>
      </w:r>
      <w:proofErr w:type="spellEnd"/>
      <w:r w:rsidRPr="000870C5">
        <w:rPr>
          <w:rFonts w:ascii="Book Antiqua" w:eastAsia="Book Antiqua" w:hAnsi="Book Antiqua" w:cs="Book Antiqua"/>
          <w:b/>
          <w:bCs/>
          <w:color w:val="000000"/>
        </w:rPr>
        <w:t xml:space="preserve"> SL</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Roukis</w:t>
      </w:r>
      <w:proofErr w:type="spellEnd"/>
      <w:r w:rsidRPr="000870C5">
        <w:rPr>
          <w:rFonts w:ascii="Book Antiqua" w:eastAsia="Book Antiqua" w:hAnsi="Book Antiqua" w:cs="Book Antiqua"/>
          <w:color w:val="000000"/>
        </w:rPr>
        <w:t xml:space="preserve"> TS. Incidence of re-amputation following partial first ray amputation associated with diabetes mellitus and peripheral sensory neuropathy: a systematic review. </w:t>
      </w:r>
      <w:proofErr w:type="spellStart"/>
      <w:r w:rsidRPr="000870C5">
        <w:rPr>
          <w:rFonts w:ascii="Book Antiqua" w:eastAsia="Book Antiqua" w:hAnsi="Book Antiqua" w:cs="Book Antiqua"/>
          <w:i/>
          <w:iCs/>
          <w:color w:val="000000"/>
        </w:rPr>
        <w:t>Diabet</w:t>
      </w:r>
      <w:proofErr w:type="spellEnd"/>
      <w:r w:rsidRPr="000870C5">
        <w:rPr>
          <w:rFonts w:ascii="Book Antiqua" w:eastAsia="Book Antiqua" w:hAnsi="Book Antiqua" w:cs="Book Antiqua"/>
          <w:i/>
          <w:iCs/>
          <w:color w:val="000000"/>
        </w:rPr>
        <w:t xml:space="preserve"> Foot Ankle</w:t>
      </w:r>
      <w:r w:rsidRPr="000870C5">
        <w:rPr>
          <w:rFonts w:ascii="Book Antiqua" w:eastAsia="Book Antiqua" w:hAnsi="Book Antiqua" w:cs="Book Antiqua"/>
          <w:color w:val="000000"/>
        </w:rPr>
        <w:t xml:space="preserve"> 2012; </w:t>
      </w:r>
      <w:r w:rsidRPr="000870C5">
        <w:rPr>
          <w:rFonts w:ascii="Book Antiqua" w:eastAsia="Book Antiqua" w:hAnsi="Book Antiqua" w:cs="Book Antiqua"/>
          <w:b/>
          <w:bCs/>
          <w:color w:val="000000"/>
        </w:rPr>
        <w:t>3</w:t>
      </w:r>
      <w:r w:rsidRPr="000870C5">
        <w:rPr>
          <w:rFonts w:ascii="Book Antiqua" w:eastAsia="Book Antiqua" w:hAnsi="Book Antiqua" w:cs="Book Antiqua"/>
          <w:color w:val="000000"/>
        </w:rPr>
        <w:t>:  [PMID: 22396832 DOI: 10.3402/dfa.v3i0.12169]</w:t>
      </w:r>
    </w:p>
    <w:p w14:paraId="7785005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1</w:t>
      </w:r>
      <w:r w:rsidR="00AB6659" w:rsidRPr="000870C5">
        <w:rPr>
          <w:rFonts w:ascii="Book Antiqua" w:eastAsia="Book Antiqua" w:hAnsi="Book Antiqua" w:cs="Book Antiqua"/>
          <w:color w:val="000000"/>
        </w:rPr>
        <w:t>5</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Thorud</w:t>
      </w:r>
      <w:proofErr w:type="spellEnd"/>
      <w:r w:rsidRPr="000870C5">
        <w:rPr>
          <w:rFonts w:ascii="Book Antiqua" w:eastAsia="Book Antiqua" w:hAnsi="Book Antiqua" w:cs="Book Antiqua"/>
          <w:b/>
          <w:bCs/>
          <w:color w:val="000000"/>
        </w:rPr>
        <w:t xml:space="preserve"> JC</w:t>
      </w:r>
      <w:r w:rsidRPr="000870C5">
        <w:rPr>
          <w:rFonts w:ascii="Book Antiqua" w:eastAsia="Book Antiqua" w:hAnsi="Book Antiqua" w:cs="Book Antiqua"/>
          <w:color w:val="000000"/>
        </w:rPr>
        <w:t xml:space="preserve">, Jupiter DC, </w:t>
      </w:r>
      <w:proofErr w:type="spellStart"/>
      <w:r w:rsidRPr="000870C5">
        <w:rPr>
          <w:rFonts w:ascii="Book Antiqua" w:eastAsia="Book Antiqua" w:hAnsi="Book Antiqua" w:cs="Book Antiqua"/>
          <w:color w:val="000000"/>
        </w:rPr>
        <w:t>Lorenzana</w:t>
      </w:r>
      <w:proofErr w:type="spellEnd"/>
      <w:r w:rsidRPr="000870C5">
        <w:rPr>
          <w:rFonts w:ascii="Book Antiqua" w:eastAsia="Book Antiqua" w:hAnsi="Book Antiqua" w:cs="Book Antiqua"/>
          <w:color w:val="000000"/>
        </w:rPr>
        <w:t xml:space="preserve"> J, Nguyen TT, Shibuya N. Reoperation and </w:t>
      </w:r>
      <w:proofErr w:type="spellStart"/>
      <w:r w:rsidRPr="000870C5">
        <w:rPr>
          <w:rFonts w:ascii="Book Antiqua" w:eastAsia="Book Antiqua" w:hAnsi="Book Antiqua" w:cs="Book Antiqua"/>
          <w:color w:val="000000"/>
        </w:rPr>
        <w:t>Reamputation</w:t>
      </w:r>
      <w:proofErr w:type="spellEnd"/>
      <w:r w:rsidRPr="000870C5">
        <w:rPr>
          <w:rFonts w:ascii="Book Antiqua" w:eastAsia="Book Antiqua" w:hAnsi="Book Antiqua" w:cs="Book Antiqua"/>
          <w:color w:val="000000"/>
        </w:rPr>
        <w:t xml:space="preserve"> After </w:t>
      </w:r>
      <w:proofErr w:type="spellStart"/>
      <w:r w:rsidRPr="000870C5">
        <w:rPr>
          <w:rFonts w:ascii="Book Antiqua" w:eastAsia="Book Antiqua" w:hAnsi="Book Antiqua" w:cs="Book Antiqua"/>
          <w:color w:val="000000"/>
        </w:rPr>
        <w:t>Transmetatarsal</w:t>
      </w:r>
      <w:proofErr w:type="spellEnd"/>
      <w:r w:rsidRPr="000870C5">
        <w:rPr>
          <w:rFonts w:ascii="Book Antiqua" w:eastAsia="Book Antiqua" w:hAnsi="Book Antiqua" w:cs="Book Antiqua"/>
          <w:color w:val="000000"/>
        </w:rPr>
        <w:t xml:space="preserve"> Amputation: A Systematic Review and Meta-Analysis. </w:t>
      </w:r>
      <w:r w:rsidRPr="000870C5">
        <w:rPr>
          <w:rFonts w:ascii="Book Antiqua" w:eastAsia="Book Antiqua" w:hAnsi="Book Antiqua" w:cs="Book Antiqua"/>
          <w:i/>
          <w:iCs/>
          <w:color w:val="000000"/>
        </w:rPr>
        <w:t>J Foot Ankle Surg</w:t>
      </w:r>
      <w:r w:rsidRPr="000870C5">
        <w:rPr>
          <w:rFonts w:ascii="Book Antiqua" w:eastAsia="Book Antiqua" w:hAnsi="Book Antiqua" w:cs="Book Antiqua"/>
          <w:color w:val="000000"/>
        </w:rPr>
        <w:t xml:space="preserve"> 2016; </w:t>
      </w:r>
      <w:r w:rsidRPr="000870C5">
        <w:rPr>
          <w:rFonts w:ascii="Book Antiqua" w:eastAsia="Book Antiqua" w:hAnsi="Book Antiqua" w:cs="Book Antiqua"/>
          <w:b/>
          <w:bCs/>
          <w:color w:val="000000"/>
        </w:rPr>
        <w:t>55</w:t>
      </w:r>
      <w:r w:rsidRPr="000870C5">
        <w:rPr>
          <w:rFonts w:ascii="Book Antiqua" w:eastAsia="Book Antiqua" w:hAnsi="Book Antiqua" w:cs="Book Antiqua"/>
          <w:color w:val="000000"/>
        </w:rPr>
        <w:t>: 1007-1012 [PMID: 27475711 DOI: 10.1053/j.jfas.2016.05.011]</w:t>
      </w:r>
    </w:p>
    <w:p w14:paraId="446B39FD"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1</w:t>
      </w:r>
      <w:r w:rsidR="00AB6659" w:rsidRPr="000870C5">
        <w:rPr>
          <w:rFonts w:ascii="Book Antiqua" w:eastAsia="Book Antiqua" w:hAnsi="Book Antiqua" w:cs="Book Antiqua"/>
          <w:color w:val="000000"/>
        </w:rPr>
        <w:t>6</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Morbach</w:t>
      </w:r>
      <w:proofErr w:type="spellEnd"/>
      <w:r w:rsidRPr="000870C5">
        <w:rPr>
          <w:rFonts w:ascii="Book Antiqua" w:eastAsia="Book Antiqua" w:hAnsi="Book Antiqua" w:cs="Book Antiqua"/>
          <w:b/>
          <w:bCs/>
          <w:color w:val="000000"/>
        </w:rPr>
        <w:t xml:space="preserve"> S</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Furchert</w:t>
      </w:r>
      <w:proofErr w:type="spellEnd"/>
      <w:r w:rsidRPr="000870C5">
        <w:rPr>
          <w:rFonts w:ascii="Book Antiqua" w:eastAsia="Book Antiqua" w:hAnsi="Book Antiqua" w:cs="Book Antiqua"/>
          <w:color w:val="000000"/>
        </w:rPr>
        <w:t xml:space="preserve"> H, </w:t>
      </w:r>
      <w:proofErr w:type="spellStart"/>
      <w:r w:rsidRPr="000870C5">
        <w:rPr>
          <w:rFonts w:ascii="Book Antiqua" w:eastAsia="Book Antiqua" w:hAnsi="Book Antiqua" w:cs="Book Antiqua"/>
          <w:color w:val="000000"/>
        </w:rPr>
        <w:t>Gröblinghoff</w:t>
      </w:r>
      <w:proofErr w:type="spellEnd"/>
      <w:r w:rsidRPr="000870C5">
        <w:rPr>
          <w:rFonts w:ascii="Book Antiqua" w:eastAsia="Book Antiqua" w:hAnsi="Book Antiqua" w:cs="Book Antiqua"/>
          <w:color w:val="000000"/>
        </w:rPr>
        <w:t xml:space="preserve"> U, Hoffmeier H, Kersten K, </w:t>
      </w:r>
      <w:proofErr w:type="spellStart"/>
      <w:r w:rsidRPr="000870C5">
        <w:rPr>
          <w:rFonts w:ascii="Book Antiqua" w:eastAsia="Book Antiqua" w:hAnsi="Book Antiqua" w:cs="Book Antiqua"/>
          <w:color w:val="000000"/>
        </w:rPr>
        <w:t>Klauke</w:t>
      </w:r>
      <w:proofErr w:type="spellEnd"/>
      <w:r w:rsidRPr="000870C5">
        <w:rPr>
          <w:rFonts w:ascii="Book Antiqua" w:eastAsia="Book Antiqua" w:hAnsi="Book Antiqua" w:cs="Book Antiqua"/>
          <w:color w:val="000000"/>
        </w:rPr>
        <w:t xml:space="preserve"> GT, </w:t>
      </w:r>
      <w:proofErr w:type="spellStart"/>
      <w:r w:rsidRPr="000870C5">
        <w:rPr>
          <w:rFonts w:ascii="Book Antiqua" w:eastAsia="Book Antiqua" w:hAnsi="Book Antiqua" w:cs="Book Antiqua"/>
          <w:color w:val="000000"/>
        </w:rPr>
        <w:t>Klemp</w:t>
      </w:r>
      <w:proofErr w:type="spellEnd"/>
      <w:r w:rsidRPr="000870C5">
        <w:rPr>
          <w:rFonts w:ascii="Book Antiqua" w:eastAsia="Book Antiqua" w:hAnsi="Book Antiqua" w:cs="Book Antiqua"/>
          <w:color w:val="000000"/>
        </w:rPr>
        <w:t xml:space="preserve"> U, </w:t>
      </w:r>
      <w:proofErr w:type="spellStart"/>
      <w:r w:rsidRPr="000870C5">
        <w:rPr>
          <w:rFonts w:ascii="Book Antiqua" w:eastAsia="Book Antiqua" w:hAnsi="Book Antiqua" w:cs="Book Antiqua"/>
          <w:color w:val="000000"/>
        </w:rPr>
        <w:t>Roden</w:t>
      </w:r>
      <w:proofErr w:type="spellEnd"/>
      <w:r w:rsidRPr="000870C5">
        <w:rPr>
          <w:rFonts w:ascii="Book Antiqua" w:eastAsia="Book Antiqua" w:hAnsi="Book Antiqua" w:cs="Book Antiqua"/>
          <w:color w:val="000000"/>
        </w:rPr>
        <w:t xml:space="preserve"> T, </w:t>
      </w:r>
      <w:proofErr w:type="spellStart"/>
      <w:r w:rsidRPr="000870C5">
        <w:rPr>
          <w:rFonts w:ascii="Book Antiqua" w:eastAsia="Book Antiqua" w:hAnsi="Book Antiqua" w:cs="Book Antiqua"/>
          <w:color w:val="000000"/>
        </w:rPr>
        <w:t>Icks</w:t>
      </w:r>
      <w:proofErr w:type="spellEnd"/>
      <w:r w:rsidRPr="000870C5">
        <w:rPr>
          <w:rFonts w:ascii="Book Antiqua" w:eastAsia="Book Antiqua" w:hAnsi="Book Antiqua" w:cs="Book Antiqua"/>
          <w:color w:val="000000"/>
        </w:rPr>
        <w:t xml:space="preserve"> A, </w:t>
      </w:r>
      <w:proofErr w:type="spellStart"/>
      <w:r w:rsidRPr="000870C5">
        <w:rPr>
          <w:rFonts w:ascii="Book Antiqua" w:eastAsia="Book Antiqua" w:hAnsi="Book Antiqua" w:cs="Book Antiqua"/>
          <w:color w:val="000000"/>
        </w:rPr>
        <w:t>Haastert</w:t>
      </w:r>
      <w:proofErr w:type="spellEnd"/>
      <w:r w:rsidRPr="000870C5">
        <w:rPr>
          <w:rFonts w:ascii="Book Antiqua" w:eastAsia="Book Antiqua" w:hAnsi="Book Antiqua" w:cs="Book Antiqua"/>
          <w:color w:val="000000"/>
        </w:rPr>
        <w:t xml:space="preserve"> B, </w:t>
      </w:r>
      <w:proofErr w:type="spellStart"/>
      <w:r w:rsidRPr="000870C5">
        <w:rPr>
          <w:rFonts w:ascii="Book Antiqua" w:eastAsia="Book Antiqua" w:hAnsi="Book Antiqua" w:cs="Book Antiqua"/>
          <w:color w:val="000000"/>
        </w:rPr>
        <w:t>Rümenapf</w:t>
      </w:r>
      <w:proofErr w:type="spellEnd"/>
      <w:r w:rsidRPr="000870C5">
        <w:rPr>
          <w:rFonts w:ascii="Book Antiqua" w:eastAsia="Book Antiqua" w:hAnsi="Book Antiqua" w:cs="Book Antiqua"/>
          <w:color w:val="000000"/>
        </w:rPr>
        <w:t xml:space="preserve"> G, Abbas ZG, Bharara M, Armstrong DG. Long-term prognosis of diabetic foot patients and their limbs: amputation and death over the course of a decade. </w:t>
      </w:r>
      <w:r w:rsidRPr="000870C5">
        <w:rPr>
          <w:rFonts w:ascii="Book Antiqua" w:eastAsia="Book Antiqua" w:hAnsi="Book Antiqua" w:cs="Book Antiqua"/>
          <w:i/>
          <w:iCs/>
          <w:color w:val="000000"/>
        </w:rPr>
        <w:t>Diabetes Care</w:t>
      </w:r>
      <w:r w:rsidRPr="000870C5">
        <w:rPr>
          <w:rFonts w:ascii="Book Antiqua" w:eastAsia="Book Antiqua" w:hAnsi="Book Antiqua" w:cs="Book Antiqua"/>
          <w:color w:val="000000"/>
        </w:rPr>
        <w:t xml:space="preserve"> 2012; </w:t>
      </w:r>
      <w:r w:rsidRPr="000870C5">
        <w:rPr>
          <w:rFonts w:ascii="Book Antiqua" w:eastAsia="Book Antiqua" w:hAnsi="Book Antiqua" w:cs="Book Antiqua"/>
          <w:b/>
          <w:bCs/>
          <w:color w:val="000000"/>
        </w:rPr>
        <w:t>35</w:t>
      </w:r>
      <w:r w:rsidRPr="000870C5">
        <w:rPr>
          <w:rFonts w:ascii="Book Antiqua" w:eastAsia="Book Antiqua" w:hAnsi="Book Antiqua" w:cs="Book Antiqua"/>
          <w:color w:val="000000"/>
        </w:rPr>
        <w:t>: 2021-2027 [PMID: 22815299 DOI: 10.2337/dc12-0200]</w:t>
      </w:r>
    </w:p>
    <w:p w14:paraId="609C68DD"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1</w:t>
      </w:r>
      <w:r w:rsidR="00AB6659" w:rsidRPr="000870C5">
        <w:rPr>
          <w:rFonts w:ascii="Book Antiqua" w:eastAsia="Book Antiqua" w:hAnsi="Book Antiqua" w:cs="Book Antiqua"/>
          <w:color w:val="000000"/>
        </w:rPr>
        <w:t>7</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Nerone</w:t>
      </w:r>
      <w:proofErr w:type="spellEnd"/>
      <w:r w:rsidRPr="000870C5">
        <w:rPr>
          <w:rFonts w:ascii="Book Antiqua" w:eastAsia="Book Antiqua" w:hAnsi="Book Antiqua" w:cs="Book Antiqua"/>
          <w:b/>
          <w:bCs/>
          <w:color w:val="000000"/>
        </w:rPr>
        <w:t xml:space="preserve"> VS</w:t>
      </w:r>
      <w:r w:rsidRPr="000870C5">
        <w:rPr>
          <w:rFonts w:ascii="Book Antiqua" w:eastAsia="Book Antiqua" w:hAnsi="Book Antiqua" w:cs="Book Antiqua"/>
          <w:color w:val="000000"/>
        </w:rPr>
        <w:t xml:space="preserve">, Springer KD, Woodruff DM, </w:t>
      </w:r>
      <w:proofErr w:type="spellStart"/>
      <w:r w:rsidRPr="000870C5">
        <w:rPr>
          <w:rFonts w:ascii="Book Antiqua" w:eastAsia="Book Antiqua" w:hAnsi="Book Antiqua" w:cs="Book Antiqua"/>
          <w:color w:val="000000"/>
        </w:rPr>
        <w:t>Atway</w:t>
      </w:r>
      <w:proofErr w:type="spellEnd"/>
      <w:r w:rsidRPr="000870C5">
        <w:rPr>
          <w:rFonts w:ascii="Book Antiqua" w:eastAsia="Book Antiqua" w:hAnsi="Book Antiqua" w:cs="Book Antiqua"/>
          <w:color w:val="000000"/>
        </w:rPr>
        <w:t xml:space="preserve"> SA. </w:t>
      </w:r>
      <w:proofErr w:type="spellStart"/>
      <w:r w:rsidRPr="000870C5">
        <w:rPr>
          <w:rFonts w:ascii="Book Antiqua" w:eastAsia="Book Antiqua" w:hAnsi="Book Antiqua" w:cs="Book Antiqua"/>
          <w:color w:val="000000"/>
        </w:rPr>
        <w:t>Reamputation</w:t>
      </w:r>
      <w:proofErr w:type="spellEnd"/>
      <w:r w:rsidRPr="000870C5">
        <w:rPr>
          <w:rFonts w:ascii="Book Antiqua" w:eastAsia="Book Antiqua" w:hAnsi="Book Antiqua" w:cs="Book Antiqua"/>
          <w:color w:val="000000"/>
        </w:rPr>
        <w:t xml:space="preserve"> after minor foot amputation in diabetic patients: risk factors leading to limb loss. </w:t>
      </w:r>
      <w:r w:rsidRPr="000870C5">
        <w:rPr>
          <w:rFonts w:ascii="Book Antiqua" w:eastAsia="Book Antiqua" w:hAnsi="Book Antiqua" w:cs="Book Antiqua"/>
          <w:i/>
          <w:iCs/>
          <w:color w:val="000000"/>
        </w:rPr>
        <w:t>J Foot Ankle Surg</w:t>
      </w:r>
      <w:r w:rsidRPr="000870C5">
        <w:rPr>
          <w:rFonts w:ascii="Book Antiqua" w:eastAsia="Book Antiqua" w:hAnsi="Book Antiqua" w:cs="Book Antiqua"/>
          <w:color w:val="000000"/>
        </w:rPr>
        <w:t xml:space="preserve"> 2013; </w:t>
      </w:r>
      <w:r w:rsidRPr="000870C5">
        <w:rPr>
          <w:rFonts w:ascii="Book Antiqua" w:eastAsia="Book Antiqua" w:hAnsi="Book Antiqua" w:cs="Book Antiqua"/>
          <w:b/>
          <w:bCs/>
          <w:color w:val="000000"/>
        </w:rPr>
        <w:t>52</w:t>
      </w:r>
      <w:r w:rsidRPr="000870C5">
        <w:rPr>
          <w:rFonts w:ascii="Book Antiqua" w:eastAsia="Book Antiqua" w:hAnsi="Book Antiqua" w:cs="Book Antiqua"/>
          <w:color w:val="000000"/>
        </w:rPr>
        <w:t>: 184-187 [PMID: 23419696 DOI: 10.1053/j.jfas.2012.11.015]</w:t>
      </w:r>
    </w:p>
    <w:p w14:paraId="6B6FCAD6"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1</w:t>
      </w:r>
      <w:r w:rsidR="00AB6659" w:rsidRPr="000870C5">
        <w:rPr>
          <w:rFonts w:ascii="Book Antiqua" w:eastAsia="Book Antiqua" w:hAnsi="Book Antiqua" w:cs="Book Antiqua"/>
          <w:color w:val="000000"/>
        </w:rPr>
        <w:t>8</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Jeyaraman</w:t>
      </w:r>
      <w:proofErr w:type="spellEnd"/>
      <w:r w:rsidRPr="000870C5">
        <w:rPr>
          <w:rFonts w:ascii="Book Antiqua" w:eastAsia="Book Antiqua" w:hAnsi="Book Antiqua" w:cs="Book Antiqua"/>
          <w:b/>
          <w:bCs/>
          <w:color w:val="000000"/>
        </w:rPr>
        <w:t xml:space="preserve"> K</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Berhane</w:t>
      </w:r>
      <w:proofErr w:type="spellEnd"/>
      <w:r w:rsidRPr="000870C5">
        <w:rPr>
          <w:rFonts w:ascii="Book Antiqua" w:eastAsia="Book Antiqua" w:hAnsi="Book Antiqua" w:cs="Book Antiqua"/>
          <w:color w:val="000000"/>
        </w:rPr>
        <w:t xml:space="preserve"> T, Hamilton M, Chandra AP, </w:t>
      </w:r>
      <w:proofErr w:type="spellStart"/>
      <w:r w:rsidRPr="000870C5">
        <w:rPr>
          <w:rFonts w:ascii="Book Antiqua" w:eastAsia="Book Antiqua" w:hAnsi="Book Antiqua" w:cs="Book Antiqua"/>
          <w:color w:val="000000"/>
        </w:rPr>
        <w:t>Falhammar</w:t>
      </w:r>
      <w:proofErr w:type="spellEnd"/>
      <w:r w:rsidRPr="000870C5">
        <w:rPr>
          <w:rFonts w:ascii="Book Antiqua" w:eastAsia="Book Antiqua" w:hAnsi="Book Antiqua" w:cs="Book Antiqua"/>
          <w:color w:val="000000"/>
        </w:rPr>
        <w:t xml:space="preserve"> H. Amputations in patients with diabetic foot ulcer: a retrospective study from a single centre in the Northern Territory of Australia. </w:t>
      </w:r>
      <w:r w:rsidRPr="000870C5">
        <w:rPr>
          <w:rFonts w:ascii="Book Antiqua" w:eastAsia="Book Antiqua" w:hAnsi="Book Antiqua" w:cs="Book Antiqua"/>
          <w:i/>
          <w:iCs/>
          <w:color w:val="000000"/>
        </w:rPr>
        <w:t>ANZ J Surg</w:t>
      </w:r>
      <w:r w:rsidRPr="000870C5">
        <w:rPr>
          <w:rFonts w:ascii="Book Antiqua" w:eastAsia="Book Antiqua" w:hAnsi="Book Antiqua" w:cs="Book Antiqua"/>
          <w:color w:val="000000"/>
        </w:rPr>
        <w:t xml:space="preserve"> 2019; </w:t>
      </w:r>
      <w:r w:rsidRPr="000870C5">
        <w:rPr>
          <w:rFonts w:ascii="Book Antiqua" w:eastAsia="Book Antiqua" w:hAnsi="Book Antiqua" w:cs="Book Antiqua"/>
          <w:b/>
          <w:bCs/>
          <w:color w:val="000000"/>
        </w:rPr>
        <w:t>89</w:t>
      </w:r>
      <w:r w:rsidRPr="000870C5">
        <w:rPr>
          <w:rFonts w:ascii="Book Antiqua" w:eastAsia="Book Antiqua" w:hAnsi="Book Antiqua" w:cs="Book Antiqua"/>
          <w:color w:val="000000"/>
        </w:rPr>
        <w:t>: 874-879 [PMID: 31293074 DOI: 10.1111/ans.15351]</w:t>
      </w:r>
    </w:p>
    <w:p w14:paraId="3AC56ACE" w14:textId="77777777" w:rsidR="00A77B3E" w:rsidRPr="000870C5" w:rsidRDefault="00AB6659" w:rsidP="000870C5">
      <w:pPr>
        <w:snapToGrid w:val="0"/>
        <w:spacing w:line="360" w:lineRule="auto"/>
        <w:jc w:val="both"/>
        <w:rPr>
          <w:rFonts w:ascii="Book Antiqua" w:hAnsi="Book Antiqua"/>
        </w:rPr>
      </w:pPr>
      <w:r w:rsidRPr="000870C5">
        <w:rPr>
          <w:rFonts w:ascii="Book Antiqua" w:eastAsia="Book Antiqua" w:hAnsi="Book Antiqua" w:cs="Book Antiqua"/>
          <w:color w:val="000000"/>
        </w:rPr>
        <w:t>19</w:t>
      </w:r>
      <w:r w:rsidR="005B58C3" w:rsidRPr="000870C5">
        <w:rPr>
          <w:rFonts w:ascii="Book Antiqua" w:eastAsia="Book Antiqua" w:hAnsi="Book Antiqua" w:cs="Book Antiqua"/>
          <w:color w:val="000000"/>
        </w:rPr>
        <w:t xml:space="preserve"> </w:t>
      </w:r>
      <w:r w:rsidR="005B58C3" w:rsidRPr="000870C5">
        <w:rPr>
          <w:rFonts w:ascii="Book Antiqua" w:eastAsia="Book Antiqua" w:hAnsi="Book Antiqua" w:cs="Book Antiqua"/>
          <w:b/>
          <w:bCs/>
          <w:color w:val="000000"/>
        </w:rPr>
        <w:t>Ramsey SD</w:t>
      </w:r>
      <w:r w:rsidR="005B58C3" w:rsidRPr="000870C5">
        <w:rPr>
          <w:rFonts w:ascii="Book Antiqua" w:eastAsia="Book Antiqua" w:hAnsi="Book Antiqua" w:cs="Book Antiqua"/>
          <w:color w:val="000000"/>
        </w:rPr>
        <w:t xml:space="preserve">, Newton K, Blough D, McCulloch DK, Sandhu N, </w:t>
      </w:r>
      <w:proofErr w:type="spellStart"/>
      <w:r w:rsidR="005B58C3" w:rsidRPr="000870C5">
        <w:rPr>
          <w:rFonts w:ascii="Book Antiqua" w:eastAsia="Book Antiqua" w:hAnsi="Book Antiqua" w:cs="Book Antiqua"/>
          <w:color w:val="000000"/>
        </w:rPr>
        <w:t>Reiber</w:t>
      </w:r>
      <w:proofErr w:type="spellEnd"/>
      <w:r w:rsidR="005B58C3" w:rsidRPr="000870C5">
        <w:rPr>
          <w:rFonts w:ascii="Book Antiqua" w:eastAsia="Book Antiqua" w:hAnsi="Book Antiqua" w:cs="Book Antiqua"/>
          <w:color w:val="000000"/>
        </w:rPr>
        <w:t xml:space="preserve"> GE, Wagner EH. Incidence, outcomes, and cost of foot ulcers in patients with diabetes. </w:t>
      </w:r>
      <w:r w:rsidR="005B58C3" w:rsidRPr="000870C5">
        <w:rPr>
          <w:rFonts w:ascii="Book Antiqua" w:eastAsia="Book Antiqua" w:hAnsi="Book Antiqua" w:cs="Book Antiqua"/>
          <w:i/>
          <w:iCs/>
          <w:color w:val="000000"/>
        </w:rPr>
        <w:t>Diabetes Care</w:t>
      </w:r>
      <w:r w:rsidR="005B58C3" w:rsidRPr="000870C5">
        <w:rPr>
          <w:rFonts w:ascii="Book Antiqua" w:eastAsia="Book Antiqua" w:hAnsi="Book Antiqua" w:cs="Book Antiqua"/>
          <w:color w:val="000000"/>
        </w:rPr>
        <w:t xml:space="preserve"> 1999; </w:t>
      </w:r>
      <w:r w:rsidR="005B58C3" w:rsidRPr="000870C5">
        <w:rPr>
          <w:rFonts w:ascii="Book Antiqua" w:eastAsia="Book Antiqua" w:hAnsi="Book Antiqua" w:cs="Book Antiqua"/>
          <w:b/>
          <w:bCs/>
          <w:color w:val="000000"/>
        </w:rPr>
        <w:t>22</w:t>
      </w:r>
      <w:r w:rsidR="005B58C3" w:rsidRPr="000870C5">
        <w:rPr>
          <w:rFonts w:ascii="Book Antiqua" w:eastAsia="Book Antiqua" w:hAnsi="Book Antiqua" w:cs="Book Antiqua"/>
          <w:color w:val="000000"/>
        </w:rPr>
        <w:t>: 382-387 [PMID: 10097914 DOI: 10.2337/diacare.22.3.382]</w:t>
      </w:r>
    </w:p>
    <w:p w14:paraId="429F2C70"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2</w:t>
      </w:r>
      <w:r w:rsidR="00AB6659" w:rsidRPr="000870C5">
        <w:rPr>
          <w:rFonts w:ascii="Book Antiqua" w:eastAsia="Book Antiqua" w:hAnsi="Book Antiqua" w:cs="Book Antiqua"/>
          <w:color w:val="000000"/>
        </w:rPr>
        <w:t>0</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Faglia</w:t>
      </w:r>
      <w:proofErr w:type="spellEnd"/>
      <w:r w:rsidRPr="000870C5">
        <w:rPr>
          <w:rFonts w:ascii="Book Antiqua" w:eastAsia="Book Antiqua" w:hAnsi="Book Antiqua" w:cs="Book Antiqua"/>
          <w:b/>
          <w:bCs/>
          <w:color w:val="000000"/>
        </w:rPr>
        <w:t xml:space="preserve"> E</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Favales</w:t>
      </w:r>
      <w:proofErr w:type="spellEnd"/>
      <w:r w:rsidRPr="000870C5">
        <w:rPr>
          <w:rFonts w:ascii="Book Antiqua" w:eastAsia="Book Antiqua" w:hAnsi="Book Antiqua" w:cs="Book Antiqua"/>
          <w:color w:val="000000"/>
        </w:rPr>
        <w:t xml:space="preserve"> F, Morabito A. New ulceration, new major amputation, and survival rates in diabetic subjects hospitalized for foot ulceration from 1990 to 1993: a 6.5-year follow-up. </w:t>
      </w:r>
      <w:r w:rsidRPr="000870C5">
        <w:rPr>
          <w:rFonts w:ascii="Book Antiqua" w:eastAsia="Book Antiqua" w:hAnsi="Book Antiqua" w:cs="Book Antiqua"/>
          <w:i/>
          <w:iCs/>
          <w:color w:val="000000"/>
        </w:rPr>
        <w:t>Diabetes Care</w:t>
      </w:r>
      <w:r w:rsidRPr="000870C5">
        <w:rPr>
          <w:rFonts w:ascii="Book Antiqua" w:eastAsia="Book Antiqua" w:hAnsi="Book Antiqua" w:cs="Book Antiqua"/>
          <w:color w:val="000000"/>
        </w:rPr>
        <w:t xml:space="preserve"> 2001; </w:t>
      </w:r>
      <w:r w:rsidRPr="000870C5">
        <w:rPr>
          <w:rFonts w:ascii="Book Antiqua" w:eastAsia="Book Antiqua" w:hAnsi="Book Antiqua" w:cs="Book Antiqua"/>
          <w:b/>
          <w:bCs/>
          <w:color w:val="000000"/>
        </w:rPr>
        <w:t>24</w:t>
      </w:r>
      <w:r w:rsidRPr="000870C5">
        <w:rPr>
          <w:rFonts w:ascii="Book Antiqua" w:eastAsia="Book Antiqua" w:hAnsi="Book Antiqua" w:cs="Book Antiqua"/>
          <w:color w:val="000000"/>
        </w:rPr>
        <w:t>: 78-83 [PMID: 11194246]</w:t>
      </w:r>
    </w:p>
    <w:p w14:paraId="6F78A917"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lastRenderedPageBreak/>
        <w:t>2</w:t>
      </w:r>
      <w:r w:rsidR="00AB6659" w:rsidRPr="000870C5">
        <w:rPr>
          <w:rFonts w:ascii="Book Antiqua" w:eastAsia="Book Antiqua" w:hAnsi="Book Antiqua" w:cs="Book Antiqua"/>
          <w:color w:val="000000"/>
        </w:rPr>
        <w:t>1</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Jeyaraman</w:t>
      </w:r>
      <w:proofErr w:type="spellEnd"/>
      <w:r w:rsidRPr="000870C5">
        <w:rPr>
          <w:rFonts w:ascii="Book Antiqua" w:eastAsia="Book Antiqua" w:hAnsi="Book Antiqua" w:cs="Book Antiqua"/>
          <w:b/>
          <w:bCs/>
          <w:color w:val="000000"/>
        </w:rPr>
        <w:t xml:space="preserve"> K</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Berhane</w:t>
      </w:r>
      <w:proofErr w:type="spellEnd"/>
      <w:r w:rsidRPr="000870C5">
        <w:rPr>
          <w:rFonts w:ascii="Book Antiqua" w:eastAsia="Book Antiqua" w:hAnsi="Book Antiqua" w:cs="Book Antiqua"/>
          <w:color w:val="000000"/>
        </w:rPr>
        <w:t xml:space="preserve"> T, Hamilton M, Chandra AP, </w:t>
      </w:r>
      <w:proofErr w:type="spellStart"/>
      <w:r w:rsidRPr="000870C5">
        <w:rPr>
          <w:rFonts w:ascii="Book Antiqua" w:eastAsia="Book Antiqua" w:hAnsi="Book Antiqua" w:cs="Book Antiqua"/>
          <w:color w:val="000000"/>
        </w:rPr>
        <w:t>Falhammar</w:t>
      </w:r>
      <w:proofErr w:type="spellEnd"/>
      <w:r w:rsidRPr="000870C5">
        <w:rPr>
          <w:rFonts w:ascii="Book Antiqua" w:eastAsia="Book Antiqua" w:hAnsi="Book Antiqua" w:cs="Book Antiqua"/>
          <w:color w:val="000000"/>
        </w:rPr>
        <w:t xml:space="preserve"> H. Mortality in patients with diabetic foot ulcer: a retrospective study of 513 cases from a single Centre in the Northern Territory of Australia. </w:t>
      </w:r>
      <w:r w:rsidRPr="000870C5">
        <w:rPr>
          <w:rFonts w:ascii="Book Antiqua" w:eastAsia="Book Antiqua" w:hAnsi="Book Antiqua" w:cs="Book Antiqua"/>
          <w:i/>
          <w:iCs/>
          <w:color w:val="000000"/>
        </w:rPr>
        <w:t xml:space="preserve">BMC </w:t>
      </w:r>
      <w:proofErr w:type="spellStart"/>
      <w:r w:rsidRPr="000870C5">
        <w:rPr>
          <w:rFonts w:ascii="Book Antiqua" w:eastAsia="Book Antiqua" w:hAnsi="Book Antiqua" w:cs="Book Antiqua"/>
          <w:i/>
          <w:iCs/>
          <w:color w:val="000000"/>
        </w:rPr>
        <w:t>Endocr</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Disord</w:t>
      </w:r>
      <w:proofErr w:type="spellEnd"/>
      <w:r w:rsidRPr="000870C5">
        <w:rPr>
          <w:rFonts w:ascii="Book Antiqua" w:eastAsia="Book Antiqua" w:hAnsi="Book Antiqua" w:cs="Book Antiqua"/>
          <w:color w:val="000000"/>
        </w:rPr>
        <w:t xml:space="preserve"> 2019; </w:t>
      </w:r>
      <w:r w:rsidRPr="000870C5">
        <w:rPr>
          <w:rFonts w:ascii="Book Antiqua" w:eastAsia="Book Antiqua" w:hAnsi="Book Antiqua" w:cs="Book Antiqua"/>
          <w:b/>
          <w:bCs/>
          <w:color w:val="000000"/>
        </w:rPr>
        <w:t>19</w:t>
      </w:r>
      <w:r w:rsidRPr="000870C5">
        <w:rPr>
          <w:rFonts w:ascii="Book Antiqua" w:eastAsia="Book Antiqua" w:hAnsi="Book Antiqua" w:cs="Book Antiqua"/>
          <w:color w:val="000000"/>
        </w:rPr>
        <w:t>: 1 [PMID: 30606164 DOI: 10.1186/s12902-018-0327-2]</w:t>
      </w:r>
    </w:p>
    <w:p w14:paraId="02FBC07C"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2</w:t>
      </w:r>
      <w:r w:rsidR="00AB6659" w:rsidRPr="000870C5">
        <w:rPr>
          <w:rFonts w:ascii="Book Antiqua" w:eastAsia="Book Antiqua" w:hAnsi="Book Antiqua" w:cs="Book Antiqua"/>
          <w:color w:val="000000"/>
        </w:rPr>
        <w:t>2</w:t>
      </w:r>
      <w:r w:rsidRPr="000870C5">
        <w:rPr>
          <w:rFonts w:ascii="Book Antiqua" w:eastAsia="Book Antiqua" w:hAnsi="Book Antiqua" w:cs="Book Antiqua"/>
          <w:color w:val="000000"/>
        </w:rPr>
        <w:t xml:space="preserve"> </w:t>
      </w:r>
      <w:r w:rsidRPr="000870C5">
        <w:rPr>
          <w:rFonts w:ascii="Book Antiqua" w:eastAsia="Book Antiqua" w:hAnsi="Book Antiqua" w:cs="Book Antiqua"/>
          <w:b/>
          <w:bCs/>
          <w:color w:val="000000"/>
        </w:rPr>
        <w:t>Mahoney FI</w:t>
      </w:r>
      <w:r w:rsidRPr="000870C5">
        <w:rPr>
          <w:rFonts w:ascii="Book Antiqua" w:eastAsia="Book Antiqua" w:hAnsi="Book Antiqua" w:cs="Book Antiqua"/>
          <w:color w:val="000000"/>
        </w:rPr>
        <w:t xml:space="preserve">, Barthel DW. Functional Evaluation: The Barthel Index. </w:t>
      </w:r>
      <w:r w:rsidRPr="000870C5">
        <w:rPr>
          <w:rFonts w:ascii="Book Antiqua" w:eastAsia="Book Antiqua" w:hAnsi="Book Antiqua" w:cs="Book Antiqua"/>
          <w:i/>
          <w:iCs/>
          <w:color w:val="000000"/>
        </w:rPr>
        <w:t>Md State Med J</w:t>
      </w:r>
      <w:r w:rsidRPr="000870C5">
        <w:rPr>
          <w:rFonts w:ascii="Book Antiqua" w:eastAsia="Book Antiqua" w:hAnsi="Book Antiqua" w:cs="Book Antiqua"/>
          <w:color w:val="000000"/>
        </w:rPr>
        <w:t xml:space="preserve"> 1965; </w:t>
      </w:r>
      <w:r w:rsidRPr="000870C5">
        <w:rPr>
          <w:rFonts w:ascii="Book Antiqua" w:eastAsia="Book Antiqua" w:hAnsi="Book Antiqua" w:cs="Book Antiqua"/>
          <w:b/>
          <w:bCs/>
          <w:color w:val="000000"/>
        </w:rPr>
        <w:t>14</w:t>
      </w:r>
      <w:r w:rsidRPr="000870C5">
        <w:rPr>
          <w:rFonts w:ascii="Book Antiqua" w:eastAsia="Book Antiqua" w:hAnsi="Book Antiqua" w:cs="Book Antiqua"/>
          <w:color w:val="000000"/>
        </w:rPr>
        <w:t>: 61-65 [PMID: 14258950 DOI: 10.1037/t02366-000]</w:t>
      </w:r>
    </w:p>
    <w:p w14:paraId="0F14028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2</w:t>
      </w:r>
      <w:r w:rsidR="00AB6659" w:rsidRPr="000870C5">
        <w:rPr>
          <w:rFonts w:ascii="Book Antiqua" w:eastAsia="Book Antiqua" w:hAnsi="Book Antiqua" w:cs="Book Antiqua"/>
          <w:color w:val="000000"/>
        </w:rPr>
        <w:t>3</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Schleiffer</w:t>
      </w:r>
      <w:proofErr w:type="spellEnd"/>
      <w:r w:rsidRPr="000870C5">
        <w:rPr>
          <w:rFonts w:ascii="Book Antiqua" w:eastAsia="Book Antiqua" w:hAnsi="Book Antiqua" w:cs="Book Antiqua"/>
          <w:b/>
          <w:bCs/>
          <w:color w:val="000000"/>
        </w:rPr>
        <w:t xml:space="preserve"> T</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Hölken</w:t>
      </w:r>
      <w:proofErr w:type="spellEnd"/>
      <w:r w:rsidRPr="000870C5">
        <w:rPr>
          <w:rFonts w:ascii="Book Antiqua" w:eastAsia="Book Antiqua" w:hAnsi="Book Antiqua" w:cs="Book Antiqua"/>
          <w:color w:val="000000"/>
        </w:rPr>
        <w:t xml:space="preserve"> H, Brass H. Morbidity in 565 type 2 diabetic patients according to stage of nephropathy. </w:t>
      </w:r>
      <w:r w:rsidRPr="000870C5">
        <w:rPr>
          <w:rFonts w:ascii="Book Antiqua" w:eastAsia="Book Antiqua" w:hAnsi="Book Antiqua" w:cs="Book Antiqua"/>
          <w:i/>
          <w:iCs/>
          <w:color w:val="000000"/>
        </w:rPr>
        <w:t>J Diabetes Complications</w:t>
      </w:r>
      <w:r w:rsidRPr="000870C5">
        <w:rPr>
          <w:rFonts w:ascii="Book Antiqua" w:eastAsia="Book Antiqua" w:hAnsi="Book Antiqua" w:cs="Book Antiqua"/>
          <w:color w:val="000000"/>
        </w:rPr>
        <w:t xml:space="preserve"> 1998; </w:t>
      </w:r>
      <w:r w:rsidRPr="000870C5">
        <w:rPr>
          <w:rFonts w:ascii="Book Antiqua" w:eastAsia="Book Antiqua" w:hAnsi="Book Antiqua" w:cs="Book Antiqua"/>
          <w:b/>
          <w:bCs/>
          <w:color w:val="000000"/>
        </w:rPr>
        <w:t>12</w:t>
      </w:r>
      <w:r w:rsidRPr="000870C5">
        <w:rPr>
          <w:rFonts w:ascii="Book Antiqua" w:eastAsia="Book Antiqua" w:hAnsi="Book Antiqua" w:cs="Book Antiqua"/>
          <w:color w:val="000000"/>
        </w:rPr>
        <w:t>: 103-109 [PMID: 9559488 DOI: 10.1016/s1056-8727(97)00003-2]</w:t>
      </w:r>
    </w:p>
    <w:p w14:paraId="0DB1D8B4" w14:textId="44A90BDD"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2</w:t>
      </w:r>
      <w:r w:rsidR="00AB6659" w:rsidRPr="000870C5">
        <w:rPr>
          <w:rFonts w:ascii="Book Antiqua" w:eastAsia="Book Antiqua" w:hAnsi="Book Antiqua" w:cs="Book Antiqua"/>
          <w:color w:val="000000"/>
        </w:rPr>
        <w:t>4</w:t>
      </w:r>
      <w:r w:rsidRPr="000870C5">
        <w:rPr>
          <w:rFonts w:ascii="Book Antiqua" w:eastAsia="Book Antiqua" w:hAnsi="Book Antiqua" w:cs="Book Antiqua"/>
          <w:color w:val="000000"/>
        </w:rPr>
        <w:t xml:space="preserve"> </w:t>
      </w:r>
      <w:r w:rsidRPr="000870C5">
        <w:rPr>
          <w:rFonts w:ascii="Book Antiqua" w:eastAsia="Book Antiqua" w:hAnsi="Book Antiqua" w:cs="Book Antiqua"/>
          <w:b/>
          <w:bCs/>
          <w:color w:val="000000"/>
        </w:rPr>
        <w:t>Adler AI</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Boyko</w:t>
      </w:r>
      <w:proofErr w:type="spellEnd"/>
      <w:r w:rsidRPr="000870C5">
        <w:rPr>
          <w:rFonts w:ascii="Book Antiqua" w:eastAsia="Book Antiqua" w:hAnsi="Book Antiqua" w:cs="Book Antiqua"/>
          <w:color w:val="000000"/>
        </w:rPr>
        <w:t xml:space="preserve"> EJ, </w:t>
      </w:r>
      <w:proofErr w:type="spellStart"/>
      <w:r w:rsidRPr="000870C5">
        <w:rPr>
          <w:rFonts w:ascii="Book Antiqua" w:eastAsia="Book Antiqua" w:hAnsi="Book Antiqua" w:cs="Book Antiqua"/>
          <w:color w:val="000000"/>
        </w:rPr>
        <w:t>Ahroni</w:t>
      </w:r>
      <w:proofErr w:type="spellEnd"/>
      <w:r w:rsidRPr="000870C5">
        <w:rPr>
          <w:rFonts w:ascii="Book Antiqua" w:eastAsia="Book Antiqua" w:hAnsi="Book Antiqua" w:cs="Book Antiqua"/>
          <w:color w:val="000000"/>
        </w:rPr>
        <w:t xml:space="preserve"> JH, Smith DG. Lower-extremity amputation in diabetes. The independent effects of peripheral vascular disease, sensory neuropathy, and foot ulcers. </w:t>
      </w:r>
      <w:r w:rsidRPr="000870C5">
        <w:rPr>
          <w:rFonts w:ascii="Book Antiqua" w:eastAsia="Book Antiqua" w:hAnsi="Book Antiqua" w:cs="Book Antiqua"/>
          <w:i/>
          <w:iCs/>
          <w:color w:val="000000"/>
        </w:rPr>
        <w:t>Diabetes Care</w:t>
      </w:r>
      <w:r w:rsidRPr="000870C5">
        <w:rPr>
          <w:rFonts w:ascii="Book Antiqua" w:eastAsia="Book Antiqua" w:hAnsi="Book Antiqua" w:cs="Book Antiqua"/>
          <w:color w:val="000000"/>
        </w:rPr>
        <w:t xml:space="preserve"> 1999; </w:t>
      </w:r>
      <w:r w:rsidRPr="000870C5">
        <w:rPr>
          <w:rFonts w:ascii="Book Antiqua" w:eastAsia="Book Antiqua" w:hAnsi="Book Antiqua" w:cs="Book Antiqua"/>
          <w:b/>
          <w:bCs/>
          <w:color w:val="000000"/>
        </w:rPr>
        <w:t>22</w:t>
      </w:r>
      <w:r w:rsidRPr="000870C5">
        <w:rPr>
          <w:rFonts w:ascii="Book Antiqua" w:eastAsia="Book Antiqua" w:hAnsi="Book Antiqua" w:cs="Book Antiqua"/>
          <w:color w:val="000000"/>
        </w:rPr>
        <w:t>: 1029-1035 [PMID: 10388962 DOI:</w:t>
      </w:r>
      <w:r w:rsidR="00E9671B">
        <w:rPr>
          <w:rFonts w:ascii="Book Antiqua" w:eastAsia="Book Antiqua" w:hAnsi="Book Antiqua" w:cs="Book Antiqua"/>
          <w:color w:val="000000"/>
        </w:rPr>
        <w:t xml:space="preserve"> </w:t>
      </w:r>
      <w:r w:rsidR="00E9671B" w:rsidRPr="00E9671B">
        <w:rPr>
          <w:rFonts w:ascii="Book Antiqua" w:eastAsia="Book Antiqua" w:hAnsi="Book Antiqua" w:cs="Book Antiqua"/>
          <w:color w:val="000000"/>
        </w:rPr>
        <w:t>10.2337/diacare.22.7.1029</w:t>
      </w:r>
      <w:r w:rsidRPr="000870C5">
        <w:rPr>
          <w:rFonts w:ascii="Book Antiqua" w:eastAsia="Book Antiqua" w:hAnsi="Book Antiqua" w:cs="Book Antiqua"/>
          <w:color w:val="000000"/>
        </w:rPr>
        <w:t>]</w:t>
      </w:r>
    </w:p>
    <w:p w14:paraId="7AD32BD5"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2</w:t>
      </w:r>
      <w:r w:rsidR="00AB6659" w:rsidRPr="000870C5">
        <w:rPr>
          <w:rFonts w:ascii="Book Antiqua" w:eastAsia="Book Antiqua" w:hAnsi="Book Antiqua" w:cs="Book Antiqua"/>
          <w:color w:val="000000"/>
        </w:rPr>
        <w:t>5</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Ohsawa</w:t>
      </w:r>
      <w:proofErr w:type="spellEnd"/>
      <w:r w:rsidRPr="000870C5">
        <w:rPr>
          <w:rFonts w:ascii="Book Antiqua" w:eastAsia="Book Antiqua" w:hAnsi="Book Antiqua" w:cs="Book Antiqua"/>
          <w:b/>
          <w:bCs/>
          <w:color w:val="000000"/>
        </w:rPr>
        <w:t xml:space="preserve"> S</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Inamori</w:t>
      </w:r>
      <w:proofErr w:type="spellEnd"/>
      <w:r w:rsidRPr="000870C5">
        <w:rPr>
          <w:rFonts w:ascii="Book Antiqua" w:eastAsia="Book Antiqua" w:hAnsi="Book Antiqua" w:cs="Book Antiqua"/>
          <w:color w:val="000000"/>
        </w:rPr>
        <w:t xml:space="preserve"> Y, Fukuda K, </w:t>
      </w:r>
      <w:proofErr w:type="spellStart"/>
      <w:r w:rsidRPr="000870C5">
        <w:rPr>
          <w:rFonts w:ascii="Book Antiqua" w:eastAsia="Book Antiqua" w:hAnsi="Book Antiqua" w:cs="Book Antiqua"/>
          <w:color w:val="000000"/>
        </w:rPr>
        <w:t>Hirotuji</w:t>
      </w:r>
      <w:proofErr w:type="spellEnd"/>
      <w:r w:rsidRPr="000870C5">
        <w:rPr>
          <w:rFonts w:ascii="Book Antiqua" w:eastAsia="Book Antiqua" w:hAnsi="Book Antiqua" w:cs="Book Antiqua"/>
          <w:color w:val="000000"/>
        </w:rPr>
        <w:t xml:space="preserve"> M. Lower limb amputation for diabetic foot. </w:t>
      </w:r>
      <w:r w:rsidRPr="000870C5">
        <w:rPr>
          <w:rFonts w:ascii="Book Antiqua" w:eastAsia="Book Antiqua" w:hAnsi="Book Antiqua" w:cs="Book Antiqua"/>
          <w:i/>
          <w:iCs/>
          <w:color w:val="000000"/>
        </w:rPr>
        <w:t xml:space="preserve">Arch </w:t>
      </w:r>
      <w:proofErr w:type="spellStart"/>
      <w:r w:rsidRPr="000870C5">
        <w:rPr>
          <w:rFonts w:ascii="Book Antiqua" w:eastAsia="Book Antiqua" w:hAnsi="Book Antiqua" w:cs="Book Antiqua"/>
          <w:i/>
          <w:iCs/>
          <w:color w:val="000000"/>
        </w:rPr>
        <w:t>Orthop</w:t>
      </w:r>
      <w:proofErr w:type="spellEnd"/>
      <w:r w:rsidRPr="000870C5">
        <w:rPr>
          <w:rFonts w:ascii="Book Antiqua" w:eastAsia="Book Antiqua" w:hAnsi="Book Antiqua" w:cs="Book Antiqua"/>
          <w:i/>
          <w:iCs/>
          <w:color w:val="000000"/>
        </w:rPr>
        <w:t xml:space="preserve"> Trauma </w:t>
      </w:r>
      <w:proofErr w:type="spellStart"/>
      <w:r w:rsidRPr="000870C5">
        <w:rPr>
          <w:rFonts w:ascii="Book Antiqua" w:eastAsia="Book Antiqua" w:hAnsi="Book Antiqua" w:cs="Book Antiqua"/>
          <w:i/>
          <w:iCs/>
          <w:color w:val="000000"/>
        </w:rPr>
        <w:t>Surg</w:t>
      </w:r>
      <w:proofErr w:type="spellEnd"/>
      <w:r w:rsidRPr="000870C5">
        <w:rPr>
          <w:rFonts w:ascii="Book Antiqua" w:eastAsia="Book Antiqua" w:hAnsi="Book Antiqua" w:cs="Book Antiqua"/>
          <w:color w:val="000000"/>
        </w:rPr>
        <w:t xml:space="preserve"> 2001; </w:t>
      </w:r>
      <w:r w:rsidRPr="000870C5">
        <w:rPr>
          <w:rFonts w:ascii="Book Antiqua" w:eastAsia="Book Antiqua" w:hAnsi="Book Antiqua" w:cs="Book Antiqua"/>
          <w:b/>
          <w:bCs/>
          <w:color w:val="000000"/>
        </w:rPr>
        <w:t>121</w:t>
      </w:r>
      <w:r w:rsidRPr="000870C5">
        <w:rPr>
          <w:rFonts w:ascii="Book Antiqua" w:eastAsia="Book Antiqua" w:hAnsi="Book Antiqua" w:cs="Book Antiqua"/>
          <w:color w:val="000000"/>
        </w:rPr>
        <w:t>: 186-190 [PMID: 11317677 DOI: 10.1007/s004020000207]</w:t>
      </w:r>
    </w:p>
    <w:p w14:paraId="12457E4C"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2</w:t>
      </w:r>
      <w:r w:rsidR="00AB6659" w:rsidRPr="000870C5">
        <w:rPr>
          <w:rFonts w:ascii="Book Antiqua" w:eastAsia="Book Antiqua" w:hAnsi="Book Antiqua" w:cs="Book Antiqua"/>
          <w:color w:val="000000"/>
        </w:rPr>
        <w:t>6</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Uzzaman</w:t>
      </w:r>
      <w:proofErr w:type="spellEnd"/>
      <w:r w:rsidRPr="000870C5">
        <w:rPr>
          <w:rFonts w:ascii="Book Antiqua" w:eastAsia="Book Antiqua" w:hAnsi="Book Antiqua" w:cs="Book Antiqua"/>
          <w:b/>
          <w:bCs/>
          <w:color w:val="000000"/>
        </w:rPr>
        <w:t xml:space="preserve"> MM</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Jukaku</w:t>
      </w:r>
      <w:proofErr w:type="spellEnd"/>
      <w:r w:rsidRPr="000870C5">
        <w:rPr>
          <w:rFonts w:ascii="Book Antiqua" w:eastAsia="Book Antiqua" w:hAnsi="Book Antiqua" w:cs="Book Antiqua"/>
          <w:color w:val="000000"/>
        </w:rPr>
        <w:t xml:space="preserve"> S, </w:t>
      </w:r>
      <w:proofErr w:type="spellStart"/>
      <w:r w:rsidRPr="000870C5">
        <w:rPr>
          <w:rFonts w:ascii="Book Antiqua" w:eastAsia="Book Antiqua" w:hAnsi="Book Antiqua" w:cs="Book Antiqua"/>
          <w:color w:val="000000"/>
        </w:rPr>
        <w:t>Kambal</w:t>
      </w:r>
      <w:proofErr w:type="spellEnd"/>
      <w:r w:rsidRPr="000870C5">
        <w:rPr>
          <w:rFonts w:ascii="Book Antiqua" w:eastAsia="Book Antiqua" w:hAnsi="Book Antiqua" w:cs="Book Antiqua"/>
          <w:color w:val="000000"/>
        </w:rPr>
        <w:t xml:space="preserve"> A, Hussain ST. Assessing the long-term outcomes of minor lower limb amputations: a 5-year study. </w:t>
      </w:r>
      <w:r w:rsidRPr="000870C5">
        <w:rPr>
          <w:rFonts w:ascii="Book Antiqua" w:eastAsia="Book Antiqua" w:hAnsi="Book Antiqua" w:cs="Book Antiqua"/>
          <w:i/>
          <w:iCs/>
          <w:color w:val="000000"/>
        </w:rPr>
        <w:t>Angiology</w:t>
      </w:r>
      <w:r w:rsidRPr="000870C5">
        <w:rPr>
          <w:rFonts w:ascii="Book Antiqua" w:eastAsia="Book Antiqua" w:hAnsi="Book Antiqua" w:cs="Book Antiqua"/>
          <w:color w:val="000000"/>
        </w:rPr>
        <w:t xml:space="preserve"> 2011; </w:t>
      </w:r>
      <w:r w:rsidRPr="000870C5">
        <w:rPr>
          <w:rFonts w:ascii="Book Antiqua" w:eastAsia="Book Antiqua" w:hAnsi="Book Antiqua" w:cs="Book Antiqua"/>
          <w:b/>
          <w:bCs/>
          <w:color w:val="000000"/>
        </w:rPr>
        <w:t>62</w:t>
      </w:r>
      <w:r w:rsidRPr="000870C5">
        <w:rPr>
          <w:rFonts w:ascii="Book Antiqua" w:eastAsia="Book Antiqua" w:hAnsi="Book Antiqua" w:cs="Book Antiqua"/>
          <w:color w:val="000000"/>
        </w:rPr>
        <w:t>: 365-371 [PMID: 21421619 DOI: 10.1177/0003319710395558]</w:t>
      </w:r>
    </w:p>
    <w:p w14:paraId="0F0ADD17"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2</w:t>
      </w:r>
      <w:r w:rsidR="00AB6659" w:rsidRPr="000870C5">
        <w:rPr>
          <w:rFonts w:ascii="Book Antiqua" w:eastAsia="Book Antiqua" w:hAnsi="Book Antiqua" w:cs="Book Antiqua"/>
          <w:color w:val="000000"/>
        </w:rPr>
        <w:t>7</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b/>
          <w:bCs/>
          <w:color w:val="000000"/>
        </w:rPr>
        <w:t>Aulivola</w:t>
      </w:r>
      <w:proofErr w:type="spellEnd"/>
      <w:r w:rsidRPr="000870C5">
        <w:rPr>
          <w:rFonts w:ascii="Book Antiqua" w:eastAsia="Book Antiqua" w:hAnsi="Book Antiqua" w:cs="Book Antiqua"/>
          <w:b/>
          <w:bCs/>
          <w:color w:val="000000"/>
        </w:rPr>
        <w:t xml:space="preserve"> B</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Hile</w:t>
      </w:r>
      <w:proofErr w:type="spellEnd"/>
      <w:r w:rsidRPr="000870C5">
        <w:rPr>
          <w:rFonts w:ascii="Book Antiqua" w:eastAsia="Book Antiqua" w:hAnsi="Book Antiqua" w:cs="Book Antiqua"/>
          <w:color w:val="000000"/>
        </w:rPr>
        <w:t xml:space="preserve"> CN, Hamdan AD, Sheahan MG, </w:t>
      </w:r>
      <w:proofErr w:type="spellStart"/>
      <w:r w:rsidRPr="000870C5">
        <w:rPr>
          <w:rFonts w:ascii="Book Antiqua" w:eastAsia="Book Antiqua" w:hAnsi="Book Antiqua" w:cs="Book Antiqua"/>
          <w:color w:val="000000"/>
        </w:rPr>
        <w:t>Veraldi</w:t>
      </w:r>
      <w:proofErr w:type="spellEnd"/>
      <w:r w:rsidRPr="000870C5">
        <w:rPr>
          <w:rFonts w:ascii="Book Antiqua" w:eastAsia="Book Antiqua" w:hAnsi="Book Antiqua" w:cs="Book Antiqua"/>
          <w:color w:val="000000"/>
        </w:rPr>
        <w:t xml:space="preserve"> JR, Skillman JJ, Campbell DR, </w:t>
      </w:r>
      <w:proofErr w:type="spellStart"/>
      <w:r w:rsidRPr="000870C5">
        <w:rPr>
          <w:rFonts w:ascii="Book Antiqua" w:eastAsia="Book Antiqua" w:hAnsi="Book Antiqua" w:cs="Book Antiqua"/>
          <w:color w:val="000000"/>
        </w:rPr>
        <w:t>Scovell</w:t>
      </w:r>
      <w:proofErr w:type="spellEnd"/>
      <w:r w:rsidRPr="000870C5">
        <w:rPr>
          <w:rFonts w:ascii="Book Antiqua" w:eastAsia="Book Antiqua" w:hAnsi="Book Antiqua" w:cs="Book Antiqua"/>
          <w:color w:val="000000"/>
        </w:rPr>
        <w:t xml:space="preserve"> SD, </w:t>
      </w:r>
      <w:proofErr w:type="spellStart"/>
      <w:r w:rsidRPr="000870C5">
        <w:rPr>
          <w:rFonts w:ascii="Book Antiqua" w:eastAsia="Book Antiqua" w:hAnsi="Book Antiqua" w:cs="Book Antiqua"/>
          <w:color w:val="000000"/>
        </w:rPr>
        <w:t>LoGerfo</w:t>
      </w:r>
      <w:proofErr w:type="spellEnd"/>
      <w:r w:rsidRPr="000870C5">
        <w:rPr>
          <w:rFonts w:ascii="Book Antiqua" w:eastAsia="Book Antiqua" w:hAnsi="Book Antiqua" w:cs="Book Antiqua"/>
          <w:color w:val="000000"/>
        </w:rPr>
        <w:t xml:space="preserve"> FW, </w:t>
      </w:r>
      <w:proofErr w:type="spellStart"/>
      <w:r w:rsidRPr="000870C5">
        <w:rPr>
          <w:rFonts w:ascii="Book Antiqua" w:eastAsia="Book Antiqua" w:hAnsi="Book Antiqua" w:cs="Book Antiqua"/>
          <w:color w:val="000000"/>
        </w:rPr>
        <w:t>Pomposelli</w:t>
      </w:r>
      <w:proofErr w:type="spellEnd"/>
      <w:r w:rsidRPr="000870C5">
        <w:rPr>
          <w:rFonts w:ascii="Book Antiqua" w:eastAsia="Book Antiqua" w:hAnsi="Book Antiqua" w:cs="Book Antiqua"/>
          <w:color w:val="000000"/>
        </w:rPr>
        <w:t xml:space="preserve"> FB Jr. Major lower extremity amputation: outcome of a modern series. </w:t>
      </w:r>
      <w:r w:rsidRPr="000870C5">
        <w:rPr>
          <w:rFonts w:ascii="Book Antiqua" w:eastAsia="Book Antiqua" w:hAnsi="Book Antiqua" w:cs="Book Antiqua"/>
          <w:i/>
          <w:iCs/>
          <w:color w:val="000000"/>
        </w:rPr>
        <w:t>Arch Surg</w:t>
      </w:r>
      <w:r w:rsidRPr="000870C5">
        <w:rPr>
          <w:rFonts w:ascii="Book Antiqua" w:eastAsia="Book Antiqua" w:hAnsi="Book Antiqua" w:cs="Book Antiqua"/>
          <w:color w:val="000000"/>
        </w:rPr>
        <w:t xml:space="preserve"> 2004; </w:t>
      </w:r>
      <w:r w:rsidRPr="000870C5">
        <w:rPr>
          <w:rFonts w:ascii="Book Antiqua" w:eastAsia="Book Antiqua" w:hAnsi="Book Antiqua" w:cs="Book Antiqua"/>
          <w:b/>
          <w:bCs/>
          <w:color w:val="000000"/>
        </w:rPr>
        <w:t>139</w:t>
      </w:r>
      <w:r w:rsidRPr="000870C5">
        <w:rPr>
          <w:rFonts w:ascii="Book Antiqua" w:eastAsia="Book Antiqua" w:hAnsi="Book Antiqua" w:cs="Book Antiqua"/>
          <w:color w:val="000000"/>
        </w:rPr>
        <w:t>: 395-9; discussion 399 [PMID: 15078707 DOI: 10.1001/archsurg.139.4.395]</w:t>
      </w:r>
    </w:p>
    <w:p w14:paraId="30BAB3F4" w14:textId="3C8CAAE2" w:rsidR="00A77B3E" w:rsidRPr="000870C5" w:rsidRDefault="005B58C3" w:rsidP="000870C5">
      <w:pPr>
        <w:snapToGrid w:val="0"/>
        <w:spacing w:line="360" w:lineRule="auto"/>
        <w:jc w:val="both"/>
        <w:rPr>
          <w:rFonts w:ascii="Book Antiqua" w:eastAsia="Book Antiqua" w:hAnsi="Book Antiqua" w:cs="Book Antiqua"/>
          <w:color w:val="000000"/>
        </w:rPr>
      </w:pPr>
      <w:r w:rsidRPr="000870C5">
        <w:rPr>
          <w:rFonts w:ascii="Book Antiqua" w:eastAsia="Book Antiqua" w:hAnsi="Book Antiqua" w:cs="Book Antiqua"/>
          <w:color w:val="000000"/>
        </w:rPr>
        <w:t>2</w:t>
      </w:r>
      <w:r w:rsidR="00AB6659" w:rsidRPr="000870C5">
        <w:rPr>
          <w:rFonts w:ascii="Book Antiqua" w:eastAsia="Book Antiqua" w:hAnsi="Book Antiqua" w:cs="Book Antiqua"/>
          <w:color w:val="000000"/>
        </w:rPr>
        <w:t>8</w:t>
      </w:r>
      <w:r w:rsidRPr="000870C5">
        <w:rPr>
          <w:rFonts w:ascii="Book Antiqua" w:eastAsia="Book Antiqua" w:hAnsi="Book Antiqua" w:cs="Book Antiqua"/>
          <w:color w:val="000000"/>
        </w:rPr>
        <w:t xml:space="preserve"> </w:t>
      </w:r>
      <w:r w:rsidRPr="000870C5">
        <w:rPr>
          <w:rFonts w:ascii="Book Antiqua" w:eastAsia="Book Antiqua" w:hAnsi="Book Antiqua" w:cs="Book Antiqua"/>
          <w:b/>
          <w:bCs/>
          <w:color w:val="000000"/>
        </w:rPr>
        <w:t>Albers M</w:t>
      </w:r>
      <w:r w:rsidRPr="000870C5">
        <w:rPr>
          <w:rFonts w:ascii="Book Antiqua" w:eastAsia="Book Antiqua" w:hAnsi="Book Antiqua" w:cs="Book Antiqua"/>
          <w:color w:val="000000"/>
        </w:rPr>
        <w:t xml:space="preserve">, </w:t>
      </w:r>
      <w:proofErr w:type="spellStart"/>
      <w:r w:rsidRPr="000870C5">
        <w:rPr>
          <w:rFonts w:ascii="Book Antiqua" w:eastAsia="Book Antiqua" w:hAnsi="Book Antiqua" w:cs="Book Antiqua"/>
          <w:color w:val="000000"/>
        </w:rPr>
        <w:t>Romiti</w:t>
      </w:r>
      <w:proofErr w:type="spellEnd"/>
      <w:r w:rsidRPr="000870C5">
        <w:rPr>
          <w:rFonts w:ascii="Book Antiqua" w:eastAsia="Book Antiqua" w:hAnsi="Book Antiqua" w:cs="Book Antiqua"/>
          <w:color w:val="000000"/>
        </w:rPr>
        <w:t xml:space="preserve"> M, </w:t>
      </w:r>
      <w:proofErr w:type="spellStart"/>
      <w:r w:rsidRPr="000870C5">
        <w:rPr>
          <w:rFonts w:ascii="Book Antiqua" w:eastAsia="Book Antiqua" w:hAnsi="Book Antiqua" w:cs="Book Antiqua"/>
          <w:color w:val="000000"/>
        </w:rPr>
        <w:t>Bragança</w:t>
      </w:r>
      <w:proofErr w:type="spellEnd"/>
      <w:r w:rsidRPr="000870C5">
        <w:rPr>
          <w:rFonts w:ascii="Book Antiqua" w:eastAsia="Book Antiqua" w:hAnsi="Book Antiqua" w:cs="Book Antiqua"/>
          <w:color w:val="000000"/>
        </w:rPr>
        <w:t xml:space="preserve"> Pereira CA, Fonseca RL, da Silva Júnior M. A meta-analysis of </w:t>
      </w:r>
      <w:proofErr w:type="spellStart"/>
      <w:r w:rsidRPr="000870C5">
        <w:rPr>
          <w:rFonts w:ascii="Book Antiqua" w:eastAsia="Book Antiqua" w:hAnsi="Book Antiqua" w:cs="Book Antiqua"/>
          <w:color w:val="000000"/>
        </w:rPr>
        <w:t>infrainguinal</w:t>
      </w:r>
      <w:proofErr w:type="spellEnd"/>
      <w:r w:rsidRPr="000870C5">
        <w:rPr>
          <w:rFonts w:ascii="Book Antiqua" w:eastAsia="Book Antiqua" w:hAnsi="Book Antiqua" w:cs="Book Antiqua"/>
          <w:color w:val="000000"/>
        </w:rPr>
        <w:t xml:space="preserve"> arterial reconstruction in patients with end-stage renal disease. </w:t>
      </w:r>
      <w:proofErr w:type="spellStart"/>
      <w:r w:rsidRPr="000870C5">
        <w:rPr>
          <w:rFonts w:ascii="Book Antiqua" w:eastAsia="Book Antiqua" w:hAnsi="Book Antiqua" w:cs="Book Antiqua"/>
          <w:i/>
          <w:iCs/>
          <w:color w:val="000000"/>
        </w:rPr>
        <w:t>Eur</w:t>
      </w:r>
      <w:proofErr w:type="spellEnd"/>
      <w:r w:rsidRPr="000870C5">
        <w:rPr>
          <w:rFonts w:ascii="Book Antiqua" w:eastAsia="Book Antiqua" w:hAnsi="Book Antiqua" w:cs="Book Antiqua"/>
          <w:i/>
          <w:iCs/>
          <w:color w:val="000000"/>
        </w:rPr>
        <w:t xml:space="preserve"> J </w:t>
      </w:r>
      <w:proofErr w:type="spellStart"/>
      <w:r w:rsidRPr="000870C5">
        <w:rPr>
          <w:rFonts w:ascii="Book Antiqua" w:eastAsia="Book Antiqua" w:hAnsi="Book Antiqua" w:cs="Book Antiqua"/>
          <w:i/>
          <w:iCs/>
          <w:color w:val="000000"/>
        </w:rPr>
        <w:t>Vasc</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Endovasc</w:t>
      </w:r>
      <w:proofErr w:type="spellEnd"/>
      <w:r w:rsidRPr="000870C5">
        <w:rPr>
          <w:rFonts w:ascii="Book Antiqua" w:eastAsia="Book Antiqua" w:hAnsi="Book Antiqua" w:cs="Book Antiqua"/>
          <w:i/>
          <w:iCs/>
          <w:color w:val="000000"/>
        </w:rPr>
        <w:t xml:space="preserve"> </w:t>
      </w:r>
      <w:proofErr w:type="spellStart"/>
      <w:r w:rsidRPr="000870C5">
        <w:rPr>
          <w:rFonts w:ascii="Book Antiqua" w:eastAsia="Book Antiqua" w:hAnsi="Book Antiqua" w:cs="Book Antiqua"/>
          <w:i/>
          <w:iCs/>
          <w:color w:val="000000"/>
        </w:rPr>
        <w:t>Surg</w:t>
      </w:r>
      <w:proofErr w:type="spellEnd"/>
      <w:r w:rsidRPr="000870C5">
        <w:rPr>
          <w:rFonts w:ascii="Book Antiqua" w:eastAsia="Book Antiqua" w:hAnsi="Book Antiqua" w:cs="Book Antiqua"/>
          <w:color w:val="000000"/>
        </w:rPr>
        <w:t xml:space="preserve"> 2001; </w:t>
      </w:r>
      <w:r w:rsidRPr="000870C5">
        <w:rPr>
          <w:rFonts w:ascii="Book Antiqua" w:eastAsia="Book Antiqua" w:hAnsi="Book Antiqua" w:cs="Book Antiqua"/>
          <w:b/>
          <w:bCs/>
          <w:color w:val="000000"/>
        </w:rPr>
        <w:t>22</w:t>
      </w:r>
      <w:r w:rsidRPr="000870C5">
        <w:rPr>
          <w:rFonts w:ascii="Book Antiqua" w:eastAsia="Book Antiqua" w:hAnsi="Book Antiqua" w:cs="Book Antiqua"/>
          <w:color w:val="000000"/>
        </w:rPr>
        <w:t>: 294-300 [PMID: 11563886 DOI: 10.1053/ejvs.2001.1469]</w:t>
      </w:r>
    </w:p>
    <w:p w14:paraId="42D788BD" w14:textId="400CF4EC" w:rsidR="000870C5" w:rsidRPr="000870C5" w:rsidRDefault="000870C5" w:rsidP="000870C5">
      <w:pPr>
        <w:snapToGrid w:val="0"/>
        <w:spacing w:line="360" w:lineRule="auto"/>
        <w:jc w:val="both"/>
        <w:rPr>
          <w:rFonts w:ascii="Book Antiqua" w:hAnsi="Book Antiqua"/>
        </w:rPr>
      </w:pPr>
      <w:r w:rsidRPr="000870C5">
        <w:rPr>
          <w:rFonts w:ascii="Book Antiqua" w:hAnsi="Book Antiqua"/>
        </w:rPr>
        <w:t xml:space="preserve">29 </w:t>
      </w:r>
      <w:proofErr w:type="spellStart"/>
      <w:r w:rsidRPr="000870C5">
        <w:rPr>
          <w:rFonts w:ascii="Book Antiqua" w:hAnsi="Book Antiqua"/>
          <w:b/>
          <w:bCs/>
        </w:rPr>
        <w:t>Hosch</w:t>
      </w:r>
      <w:proofErr w:type="spellEnd"/>
      <w:r w:rsidRPr="000870C5">
        <w:rPr>
          <w:rFonts w:ascii="Book Antiqua" w:hAnsi="Book Antiqua"/>
          <w:b/>
          <w:bCs/>
        </w:rPr>
        <w:t xml:space="preserve"> J</w:t>
      </w:r>
      <w:r w:rsidRPr="000870C5">
        <w:rPr>
          <w:rFonts w:ascii="Book Antiqua" w:hAnsi="Book Antiqua"/>
        </w:rPr>
        <w:t xml:space="preserve">, Quiroga C, </w:t>
      </w:r>
      <w:proofErr w:type="spellStart"/>
      <w:r w:rsidRPr="000870C5">
        <w:rPr>
          <w:rFonts w:ascii="Book Antiqua" w:hAnsi="Book Antiqua"/>
        </w:rPr>
        <w:t>Bosma</w:t>
      </w:r>
      <w:proofErr w:type="spellEnd"/>
      <w:r w:rsidRPr="000870C5">
        <w:rPr>
          <w:rFonts w:ascii="Book Antiqua" w:hAnsi="Book Antiqua"/>
        </w:rPr>
        <w:t xml:space="preserve"> J, Peters EJ, Armstrong DG, </w:t>
      </w:r>
      <w:proofErr w:type="spellStart"/>
      <w:r w:rsidRPr="000870C5">
        <w:rPr>
          <w:rFonts w:ascii="Book Antiqua" w:hAnsi="Book Antiqua"/>
        </w:rPr>
        <w:t>Lavery</w:t>
      </w:r>
      <w:proofErr w:type="spellEnd"/>
      <w:r w:rsidRPr="000870C5">
        <w:rPr>
          <w:rFonts w:ascii="Book Antiqua" w:hAnsi="Book Antiqua"/>
        </w:rPr>
        <w:t xml:space="preserve"> LA. Outcomes of </w:t>
      </w:r>
      <w:proofErr w:type="spellStart"/>
      <w:r w:rsidRPr="000870C5">
        <w:rPr>
          <w:rFonts w:ascii="Book Antiqua" w:hAnsi="Book Antiqua"/>
        </w:rPr>
        <w:t>transmetatarsal</w:t>
      </w:r>
      <w:proofErr w:type="spellEnd"/>
      <w:r w:rsidRPr="000870C5">
        <w:rPr>
          <w:rFonts w:ascii="Book Antiqua" w:hAnsi="Book Antiqua"/>
        </w:rPr>
        <w:t xml:space="preserve"> amputations in patients with diabetes mellitus. </w:t>
      </w:r>
      <w:r w:rsidRPr="000870C5">
        <w:rPr>
          <w:rFonts w:ascii="Book Antiqua" w:hAnsi="Book Antiqua"/>
          <w:i/>
          <w:iCs/>
        </w:rPr>
        <w:t>J Foot Ankle Surg</w:t>
      </w:r>
      <w:r w:rsidRPr="000870C5">
        <w:rPr>
          <w:rFonts w:ascii="Book Antiqua" w:hAnsi="Book Antiqua"/>
        </w:rPr>
        <w:t xml:space="preserve"> 1997; </w:t>
      </w:r>
      <w:r w:rsidRPr="000870C5">
        <w:rPr>
          <w:rFonts w:ascii="Book Antiqua" w:hAnsi="Book Antiqua"/>
          <w:b/>
          <w:bCs/>
        </w:rPr>
        <w:t>36</w:t>
      </w:r>
      <w:r w:rsidRPr="000870C5">
        <w:rPr>
          <w:rFonts w:ascii="Book Antiqua" w:hAnsi="Book Antiqua"/>
        </w:rPr>
        <w:t>: 430-434 [PMID: 9429998 DOI: 10.1016/s1067-2516(97)80095-6]</w:t>
      </w:r>
    </w:p>
    <w:p w14:paraId="3E9BDAF6" w14:textId="6A46AE01" w:rsidR="000870C5" w:rsidRPr="000870C5" w:rsidRDefault="000870C5" w:rsidP="000870C5">
      <w:pPr>
        <w:pStyle w:val="NormalWeb"/>
        <w:snapToGrid w:val="0"/>
        <w:spacing w:before="0" w:beforeAutospacing="0" w:after="0" w:afterAutospacing="0" w:line="360" w:lineRule="auto"/>
        <w:jc w:val="both"/>
        <w:rPr>
          <w:rFonts w:ascii="Book Antiqua" w:hAnsi="Book Antiqua"/>
        </w:rPr>
      </w:pPr>
      <w:r w:rsidRPr="000870C5">
        <w:rPr>
          <w:rFonts w:ascii="Book Antiqua" w:hAnsi="Book Antiqua"/>
        </w:rPr>
        <w:t xml:space="preserve">30  </w:t>
      </w:r>
      <w:r w:rsidRPr="000870C5">
        <w:rPr>
          <w:rFonts w:ascii="Book Antiqua" w:hAnsi="Book Antiqua" w:cs="Arial"/>
          <w:b/>
          <w:bCs/>
          <w:shd w:val="clear" w:color="auto" w:fill="FFFFFF"/>
        </w:rPr>
        <w:t>López-Valverde ME</w:t>
      </w:r>
      <w:r w:rsidRPr="000870C5">
        <w:rPr>
          <w:rFonts w:ascii="Book Antiqua" w:hAnsi="Book Antiqua" w:cs="Arial"/>
          <w:shd w:val="clear" w:color="auto" w:fill="FFFFFF"/>
        </w:rPr>
        <w:t xml:space="preserve">, Aragón-Sánchez J, López-de-Andrés A, Guerrero-Cedeño V, </w:t>
      </w:r>
      <w:proofErr w:type="spellStart"/>
      <w:r w:rsidRPr="000870C5">
        <w:rPr>
          <w:rFonts w:ascii="Book Antiqua" w:hAnsi="Book Antiqua" w:cs="Arial"/>
          <w:shd w:val="clear" w:color="auto" w:fill="FFFFFF"/>
        </w:rPr>
        <w:t>Tejedor</w:t>
      </w:r>
      <w:proofErr w:type="spellEnd"/>
      <w:r w:rsidRPr="000870C5">
        <w:rPr>
          <w:rFonts w:ascii="Book Antiqua" w:hAnsi="Book Antiqua" w:cs="Arial"/>
          <w:shd w:val="clear" w:color="auto" w:fill="FFFFFF"/>
        </w:rPr>
        <w:t xml:space="preserve">-Méndez R, </w:t>
      </w:r>
      <w:proofErr w:type="spellStart"/>
      <w:r w:rsidRPr="000870C5">
        <w:rPr>
          <w:rFonts w:ascii="Book Antiqua" w:hAnsi="Book Antiqua" w:cs="Arial"/>
          <w:shd w:val="clear" w:color="auto" w:fill="FFFFFF"/>
        </w:rPr>
        <w:t>Víquez</w:t>
      </w:r>
      <w:proofErr w:type="spellEnd"/>
      <w:r w:rsidRPr="000870C5">
        <w:rPr>
          <w:rFonts w:ascii="Book Antiqua" w:hAnsi="Book Antiqua" w:cs="Arial"/>
          <w:shd w:val="clear" w:color="auto" w:fill="FFFFFF"/>
        </w:rPr>
        <w:t>-Molina G, Jiménez-García R. Perioperative and long-term all-</w:t>
      </w:r>
      <w:r w:rsidRPr="000870C5">
        <w:rPr>
          <w:rFonts w:ascii="Book Antiqua" w:hAnsi="Book Antiqua" w:cs="Arial"/>
          <w:shd w:val="clear" w:color="auto" w:fill="FFFFFF"/>
        </w:rPr>
        <w:lastRenderedPageBreak/>
        <w:t xml:space="preserve">cause mortality in patients with diabetes who underwent a lower extremity amputation. </w:t>
      </w:r>
      <w:r w:rsidRPr="000870C5">
        <w:rPr>
          <w:rFonts w:ascii="Book Antiqua" w:hAnsi="Book Antiqua" w:cs="Arial"/>
          <w:i/>
          <w:iCs/>
          <w:shd w:val="clear" w:color="auto" w:fill="FFFFFF"/>
        </w:rPr>
        <w:t xml:space="preserve">Diabetes Res </w:t>
      </w:r>
      <w:proofErr w:type="spellStart"/>
      <w:r w:rsidRPr="000870C5">
        <w:rPr>
          <w:rFonts w:ascii="Book Antiqua" w:hAnsi="Book Antiqua" w:cs="Arial"/>
          <w:i/>
          <w:iCs/>
          <w:shd w:val="clear" w:color="auto" w:fill="FFFFFF"/>
        </w:rPr>
        <w:t>Clin</w:t>
      </w:r>
      <w:proofErr w:type="spellEnd"/>
      <w:r w:rsidRPr="000870C5">
        <w:rPr>
          <w:rFonts w:ascii="Book Antiqua" w:hAnsi="Book Antiqua" w:cs="Arial"/>
          <w:i/>
          <w:iCs/>
          <w:shd w:val="clear" w:color="auto" w:fill="FFFFFF"/>
        </w:rPr>
        <w:t xml:space="preserve"> </w:t>
      </w:r>
      <w:proofErr w:type="spellStart"/>
      <w:r w:rsidRPr="000870C5">
        <w:rPr>
          <w:rFonts w:ascii="Book Antiqua" w:hAnsi="Book Antiqua" w:cs="Arial"/>
          <w:i/>
          <w:iCs/>
          <w:shd w:val="clear" w:color="auto" w:fill="FFFFFF"/>
        </w:rPr>
        <w:t>Pract</w:t>
      </w:r>
      <w:proofErr w:type="spellEnd"/>
      <w:r w:rsidRPr="000870C5">
        <w:rPr>
          <w:rFonts w:ascii="Book Antiqua" w:hAnsi="Book Antiqua" w:cs="Arial"/>
          <w:shd w:val="clear" w:color="auto" w:fill="FFFFFF"/>
        </w:rPr>
        <w:t xml:space="preserve"> 2018; </w:t>
      </w:r>
      <w:r w:rsidRPr="000870C5">
        <w:rPr>
          <w:rFonts w:ascii="Book Antiqua" w:hAnsi="Book Antiqua" w:cs="Arial"/>
          <w:b/>
          <w:bCs/>
          <w:shd w:val="clear" w:color="auto" w:fill="FFFFFF"/>
        </w:rPr>
        <w:t>141</w:t>
      </w:r>
      <w:r w:rsidRPr="000870C5">
        <w:rPr>
          <w:rFonts w:ascii="Book Antiqua" w:hAnsi="Book Antiqua" w:cs="Arial"/>
          <w:shd w:val="clear" w:color="auto" w:fill="FFFFFF"/>
        </w:rPr>
        <w:t>: 175-180 [PMID: 29777746 DOI: 10.1016/j.diabres.2018.05.004]</w:t>
      </w:r>
    </w:p>
    <w:p w14:paraId="0BB29683" w14:textId="77777777" w:rsidR="00FA073A" w:rsidRPr="000870C5" w:rsidRDefault="00FA073A" w:rsidP="000870C5">
      <w:pPr>
        <w:snapToGrid w:val="0"/>
        <w:spacing w:line="360" w:lineRule="auto"/>
        <w:rPr>
          <w:rFonts w:ascii="Book Antiqua" w:hAnsi="Book Antiqua"/>
        </w:rPr>
      </w:pPr>
    </w:p>
    <w:p w14:paraId="0BFF6127" w14:textId="5D44E50C" w:rsidR="00FA073A" w:rsidRPr="000870C5" w:rsidRDefault="00FA073A" w:rsidP="000870C5">
      <w:pPr>
        <w:snapToGrid w:val="0"/>
        <w:spacing w:line="360" w:lineRule="auto"/>
        <w:jc w:val="both"/>
        <w:rPr>
          <w:rFonts w:ascii="Book Antiqua" w:hAnsi="Book Antiqua"/>
        </w:rPr>
        <w:sectPr w:rsidR="00FA073A" w:rsidRPr="000870C5">
          <w:pgSz w:w="12240" w:h="15840"/>
          <w:pgMar w:top="1440" w:right="1440" w:bottom="1440" w:left="1440" w:header="720" w:footer="720" w:gutter="0"/>
          <w:cols w:space="720"/>
          <w:docGrid w:linePitch="360"/>
        </w:sectPr>
      </w:pPr>
    </w:p>
    <w:p w14:paraId="5F3EBD07"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lastRenderedPageBreak/>
        <w:t>Footnotes</w:t>
      </w:r>
    </w:p>
    <w:p w14:paraId="04E6A7A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Conflict-of-interest statement: </w:t>
      </w:r>
      <w:r w:rsidRPr="000870C5">
        <w:rPr>
          <w:rFonts w:ascii="Book Antiqua" w:eastAsia="Book Antiqua" w:hAnsi="Book Antiqua" w:cs="Book Antiqua"/>
          <w:color w:val="000000"/>
        </w:rPr>
        <w:t xml:space="preserve">The authors deny any conflict of interest. </w:t>
      </w:r>
    </w:p>
    <w:p w14:paraId="1FBACA60" w14:textId="77777777" w:rsidR="00A77B3E" w:rsidRPr="000870C5" w:rsidRDefault="00A77B3E" w:rsidP="000870C5">
      <w:pPr>
        <w:snapToGrid w:val="0"/>
        <w:spacing w:line="360" w:lineRule="auto"/>
        <w:jc w:val="both"/>
        <w:rPr>
          <w:rFonts w:ascii="Book Antiqua" w:hAnsi="Book Antiqua"/>
        </w:rPr>
      </w:pPr>
    </w:p>
    <w:p w14:paraId="5BF27F65"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PRISMA 2009 Checklist statement: </w:t>
      </w:r>
      <w:r w:rsidRPr="000870C5">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10E1A37" w14:textId="77777777" w:rsidR="00A77B3E" w:rsidRPr="000870C5" w:rsidRDefault="00A77B3E" w:rsidP="000870C5">
      <w:pPr>
        <w:snapToGrid w:val="0"/>
        <w:spacing w:line="360" w:lineRule="auto"/>
        <w:jc w:val="both"/>
        <w:rPr>
          <w:rFonts w:ascii="Book Antiqua" w:hAnsi="Book Antiqua"/>
        </w:rPr>
      </w:pPr>
    </w:p>
    <w:p w14:paraId="15105F43"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bCs/>
          <w:color w:val="000000"/>
        </w:rPr>
        <w:t xml:space="preserve">Open-Access: </w:t>
      </w:r>
      <w:r w:rsidRPr="000870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70C5">
        <w:rPr>
          <w:rFonts w:ascii="Book Antiqua" w:eastAsia="Book Antiqua" w:hAnsi="Book Antiqua" w:cs="Book Antiqua"/>
          <w:color w:val="000000"/>
        </w:rPr>
        <w:t>NonCommercial</w:t>
      </w:r>
      <w:proofErr w:type="spellEnd"/>
      <w:r w:rsidRPr="000870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23586C" w14:textId="77777777" w:rsidR="00A77B3E" w:rsidRPr="000870C5" w:rsidRDefault="00A77B3E" w:rsidP="000870C5">
      <w:pPr>
        <w:snapToGrid w:val="0"/>
        <w:spacing w:line="360" w:lineRule="auto"/>
        <w:jc w:val="both"/>
        <w:rPr>
          <w:rFonts w:ascii="Book Antiqua" w:hAnsi="Book Antiqua"/>
        </w:rPr>
      </w:pPr>
    </w:p>
    <w:p w14:paraId="5703E65C" w14:textId="42AEFA7C"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Manuscript source: </w:t>
      </w:r>
      <w:r w:rsidRPr="000870C5">
        <w:rPr>
          <w:rFonts w:ascii="Book Antiqua" w:eastAsia="Book Antiqua" w:hAnsi="Book Antiqua" w:cs="Book Antiqua"/>
          <w:color w:val="000000"/>
        </w:rPr>
        <w:t xml:space="preserve">Invited </w:t>
      </w:r>
      <w:r w:rsidR="00E9671B">
        <w:rPr>
          <w:rFonts w:ascii="Book Antiqua" w:eastAsia="Book Antiqua" w:hAnsi="Book Antiqua" w:cs="Book Antiqua"/>
          <w:color w:val="000000"/>
        </w:rPr>
        <w:t>m</w:t>
      </w:r>
      <w:r w:rsidRPr="000870C5">
        <w:rPr>
          <w:rFonts w:ascii="Book Antiqua" w:eastAsia="Book Antiqua" w:hAnsi="Book Antiqua" w:cs="Book Antiqua"/>
          <w:color w:val="000000"/>
        </w:rPr>
        <w:t>anuscript</w:t>
      </w:r>
    </w:p>
    <w:p w14:paraId="4BA945AE" w14:textId="77777777" w:rsidR="00A77B3E" w:rsidRPr="000870C5" w:rsidRDefault="00A77B3E" w:rsidP="000870C5">
      <w:pPr>
        <w:snapToGrid w:val="0"/>
        <w:spacing w:line="360" w:lineRule="auto"/>
        <w:jc w:val="both"/>
        <w:rPr>
          <w:rFonts w:ascii="Book Antiqua" w:hAnsi="Book Antiqua"/>
        </w:rPr>
      </w:pPr>
    </w:p>
    <w:p w14:paraId="37E2F5BC"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Peer-review started: </w:t>
      </w:r>
      <w:r w:rsidRPr="000870C5">
        <w:rPr>
          <w:rFonts w:ascii="Book Antiqua" w:eastAsia="Book Antiqua" w:hAnsi="Book Antiqua" w:cs="Book Antiqua"/>
          <w:color w:val="000000"/>
        </w:rPr>
        <w:t>May 7, 2020</w:t>
      </w:r>
    </w:p>
    <w:p w14:paraId="18F9F8C1"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First decision: </w:t>
      </w:r>
      <w:r w:rsidRPr="000870C5">
        <w:rPr>
          <w:rFonts w:ascii="Book Antiqua" w:eastAsia="Book Antiqua" w:hAnsi="Book Antiqua" w:cs="Book Antiqua"/>
          <w:color w:val="000000"/>
        </w:rPr>
        <w:t>May 24, 2020</w:t>
      </w:r>
    </w:p>
    <w:p w14:paraId="48C8B438"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Article in press: </w:t>
      </w:r>
    </w:p>
    <w:p w14:paraId="56B69359" w14:textId="77777777" w:rsidR="00A77B3E" w:rsidRPr="000870C5" w:rsidRDefault="00A77B3E" w:rsidP="000870C5">
      <w:pPr>
        <w:snapToGrid w:val="0"/>
        <w:spacing w:line="360" w:lineRule="auto"/>
        <w:jc w:val="both"/>
        <w:rPr>
          <w:rFonts w:ascii="Book Antiqua" w:hAnsi="Book Antiqua"/>
        </w:rPr>
      </w:pPr>
    </w:p>
    <w:p w14:paraId="353F905B"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Specialty type: </w:t>
      </w:r>
      <w:r w:rsidRPr="000870C5">
        <w:rPr>
          <w:rFonts w:ascii="Book Antiqua" w:eastAsia="Book Antiqua" w:hAnsi="Book Antiqua" w:cs="Book Antiqua"/>
          <w:color w:val="000000"/>
        </w:rPr>
        <w:t xml:space="preserve">Medicine, </w:t>
      </w:r>
      <w:r w:rsidR="00466E4B" w:rsidRPr="000870C5">
        <w:rPr>
          <w:rFonts w:ascii="Book Antiqua" w:eastAsia="Book Antiqua" w:hAnsi="Book Antiqua" w:cs="Book Antiqua"/>
          <w:color w:val="000000"/>
        </w:rPr>
        <w:t>general and internal</w:t>
      </w:r>
    </w:p>
    <w:p w14:paraId="6291B06C"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 xml:space="preserve">Country/Territory of origin: </w:t>
      </w:r>
      <w:r w:rsidRPr="000870C5">
        <w:rPr>
          <w:rFonts w:ascii="Book Antiqua" w:eastAsia="Book Antiqua" w:hAnsi="Book Antiqua" w:cs="Book Antiqua"/>
          <w:color w:val="000000"/>
        </w:rPr>
        <w:t>Australia</w:t>
      </w:r>
    </w:p>
    <w:p w14:paraId="0A2A1660"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b/>
          <w:color w:val="000000"/>
        </w:rPr>
        <w:t>Peer-review report’s scientific quality classification</w:t>
      </w:r>
    </w:p>
    <w:p w14:paraId="0BA90D03"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Grade A (Excellent): 0</w:t>
      </w:r>
    </w:p>
    <w:p w14:paraId="6F64DF0A"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Grade B (Very good): B</w:t>
      </w:r>
    </w:p>
    <w:p w14:paraId="0BCD7042"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Grade C (Good): 0</w:t>
      </w:r>
    </w:p>
    <w:p w14:paraId="63583D8F"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Grade D (Fair): 0</w:t>
      </w:r>
    </w:p>
    <w:p w14:paraId="4B3E8FE2" w14:textId="77777777" w:rsidR="00A77B3E" w:rsidRPr="000870C5" w:rsidRDefault="005B58C3" w:rsidP="000870C5">
      <w:pPr>
        <w:snapToGrid w:val="0"/>
        <w:spacing w:line="360" w:lineRule="auto"/>
        <w:jc w:val="both"/>
        <w:rPr>
          <w:rFonts w:ascii="Book Antiqua" w:hAnsi="Book Antiqua"/>
        </w:rPr>
      </w:pPr>
      <w:r w:rsidRPr="000870C5">
        <w:rPr>
          <w:rFonts w:ascii="Book Antiqua" w:eastAsia="Book Antiqua" w:hAnsi="Book Antiqua" w:cs="Book Antiqua"/>
          <w:color w:val="000000"/>
        </w:rPr>
        <w:t>Grade E (Poor): 0</w:t>
      </w:r>
    </w:p>
    <w:p w14:paraId="3A22B163" w14:textId="77777777" w:rsidR="00A77B3E" w:rsidRPr="000870C5" w:rsidRDefault="00A77B3E" w:rsidP="000870C5">
      <w:pPr>
        <w:snapToGrid w:val="0"/>
        <w:spacing w:line="360" w:lineRule="auto"/>
        <w:jc w:val="both"/>
        <w:rPr>
          <w:rFonts w:ascii="Book Antiqua" w:hAnsi="Book Antiqua"/>
        </w:rPr>
      </w:pPr>
    </w:p>
    <w:p w14:paraId="32112E30" w14:textId="4907A1CE" w:rsidR="00A77B3E" w:rsidRPr="000870C5" w:rsidRDefault="005B58C3" w:rsidP="00DD6F6F">
      <w:pPr>
        <w:snapToGrid w:val="0"/>
        <w:spacing w:line="360" w:lineRule="auto"/>
        <w:jc w:val="both"/>
        <w:rPr>
          <w:rFonts w:ascii="Book Antiqua" w:eastAsia="Book Antiqua" w:hAnsi="Book Antiqua" w:cs="Book Antiqua"/>
          <w:b/>
          <w:color w:val="000000"/>
        </w:rPr>
      </w:pPr>
      <w:r w:rsidRPr="000870C5">
        <w:rPr>
          <w:rFonts w:ascii="Book Antiqua" w:eastAsia="Book Antiqua" w:hAnsi="Book Antiqua" w:cs="Book Antiqua"/>
          <w:b/>
          <w:color w:val="000000"/>
        </w:rPr>
        <w:t xml:space="preserve">P-Reviewer: </w:t>
      </w:r>
      <w:proofErr w:type="spellStart"/>
      <w:r w:rsidRPr="000870C5">
        <w:rPr>
          <w:rFonts w:ascii="Book Antiqua" w:eastAsia="Book Antiqua" w:hAnsi="Book Antiqua" w:cs="Book Antiqua"/>
          <w:color w:val="000000"/>
        </w:rPr>
        <w:t>Papazafiropoulou</w:t>
      </w:r>
      <w:proofErr w:type="spellEnd"/>
      <w:r w:rsidRPr="000870C5">
        <w:rPr>
          <w:rFonts w:ascii="Book Antiqua" w:eastAsia="Book Antiqua" w:hAnsi="Book Antiqua" w:cs="Book Antiqua"/>
          <w:color w:val="000000"/>
        </w:rPr>
        <w:t xml:space="preserve"> A</w:t>
      </w:r>
      <w:r w:rsidRPr="000870C5">
        <w:rPr>
          <w:rFonts w:ascii="Book Antiqua" w:eastAsia="Book Antiqua" w:hAnsi="Book Antiqua" w:cs="Book Antiqua"/>
          <w:b/>
          <w:color w:val="000000"/>
        </w:rPr>
        <w:t xml:space="preserve"> S-Editor: </w:t>
      </w:r>
      <w:r w:rsidRPr="000870C5">
        <w:rPr>
          <w:rFonts w:ascii="Book Antiqua" w:eastAsia="Book Antiqua" w:hAnsi="Book Antiqua" w:cs="Book Antiqua"/>
          <w:color w:val="000000"/>
        </w:rPr>
        <w:t>Gong ZM</w:t>
      </w:r>
      <w:r w:rsidRPr="000870C5">
        <w:rPr>
          <w:rFonts w:ascii="Book Antiqua" w:eastAsia="Book Antiqua" w:hAnsi="Book Antiqua" w:cs="Book Antiqua"/>
          <w:b/>
          <w:color w:val="000000"/>
        </w:rPr>
        <w:t xml:space="preserve"> L-Editor:  E-Editor: </w:t>
      </w:r>
      <w:r w:rsidR="00DD6F6F" w:rsidRPr="000870C5">
        <w:rPr>
          <w:rFonts w:ascii="Book Antiqua" w:eastAsia="Book Antiqua" w:hAnsi="Book Antiqua" w:cs="Book Antiqua"/>
          <w:b/>
          <w:color w:val="000000"/>
        </w:rPr>
        <w:t xml:space="preserve"> </w:t>
      </w:r>
    </w:p>
    <w:p w14:paraId="5825AC12" w14:textId="77777777" w:rsidR="005D6AA3" w:rsidRPr="000870C5" w:rsidRDefault="005D6AA3" w:rsidP="000870C5">
      <w:pPr>
        <w:snapToGrid w:val="0"/>
        <w:spacing w:line="360" w:lineRule="auto"/>
        <w:jc w:val="both"/>
        <w:rPr>
          <w:rFonts w:ascii="Book Antiqua" w:eastAsia="Book Antiqua" w:hAnsi="Book Antiqua" w:cs="Book Antiqua"/>
          <w:b/>
        </w:rPr>
      </w:pPr>
      <w:r w:rsidRPr="000870C5">
        <w:rPr>
          <w:rFonts w:ascii="Book Antiqua" w:eastAsia="Book Antiqua" w:hAnsi="Book Antiqua" w:cs="Book Antiqua"/>
          <w:b/>
          <w:color w:val="000000"/>
        </w:rPr>
        <w:br w:type="page"/>
      </w:r>
      <w:r w:rsidRPr="000870C5">
        <w:rPr>
          <w:rFonts w:ascii="Book Antiqua" w:eastAsia="Book Antiqua" w:hAnsi="Book Antiqua" w:cs="Book Antiqua"/>
          <w:b/>
        </w:rPr>
        <w:lastRenderedPageBreak/>
        <w:t>Table 1 Follow-up, nature, and presence of standardisation in selected studies</w:t>
      </w:r>
    </w:p>
    <w:tbl>
      <w:tblPr>
        <w:tblW w:w="8829" w:type="dxa"/>
        <w:tblBorders>
          <w:top w:val="single" w:sz="8" w:space="0" w:color="auto"/>
          <w:bottom w:val="single" w:sz="8" w:space="0" w:color="auto"/>
        </w:tblBorders>
        <w:tblLayout w:type="fixed"/>
        <w:tblLook w:val="0600" w:firstRow="0" w:lastRow="0" w:firstColumn="0" w:lastColumn="0" w:noHBand="1" w:noVBand="1"/>
      </w:tblPr>
      <w:tblGrid>
        <w:gridCol w:w="2089"/>
        <w:gridCol w:w="1730"/>
        <w:gridCol w:w="2383"/>
        <w:gridCol w:w="2627"/>
      </w:tblGrid>
      <w:tr w:rsidR="005D6AA3" w:rsidRPr="000870C5" w14:paraId="0E761137" w14:textId="77777777" w:rsidTr="00F74A4A">
        <w:trPr>
          <w:trHeight w:val="319"/>
        </w:trPr>
        <w:tc>
          <w:tcPr>
            <w:tcW w:w="2089" w:type="dxa"/>
            <w:tcBorders>
              <w:top w:val="single" w:sz="8" w:space="0" w:color="auto"/>
              <w:bottom w:val="single" w:sz="8" w:space="0" w:color="auto"/>
            </w:tcBorders>
            <w:tcMar>
              <w:top w:w="40" w:type="dxa"/>
              <w:left w:w="40" w:type="dxa"/>
              <w:bottom w:w="40" w:type="dxa"/>
              <w:right w:w="40" w:type="dxa"/>
            </w:tcMar>
          </w:tcPr>
          <w:p w14:paraId="38471711" w14:textId="77777777" w:rsidR="005D6AA3" w:rsidRPr="000870C5" w:rsidRDefault="003E3704" w:rsidP="000870C5">
            <w:pPr>
              <w:widowControl w:val="0"/>
              <w:snapToGrid w:val="0"/>
              <w:spacing w:line="360" w:lineRule="auto"/>
              <w:rPr>
                <w:rFonts w:ascii="Book Antiqua" w:eastAsia="Book Antiqua" w:hAnsi="Book Antiqua" w:cs="Book Antiqua"/>
                <w:b/>
              </w:rPr>
            </w:pPr>
            <w:r w:rsidRPr="000870C5">
              <w:rPr>
                <w:rFonts w:ascii="Book Antiqua" w:eastAsia="Book Antiqua" w:hAnsi="Book Antiqua" w:cs="Book Antiqua"/>
                <w:b/>
              </w:rPr>
              <w:t>Ref.</w:t>
            </w:r>
          </w:p>
        </w:tc>
        <w:tc>
          <w:tcPr>
            <w:tcW w:w="1730" w:type="dxa"/>
            <w:tcBorders>
              <w:top w:val="single" w:sz="8" w:space="0" w:color="auto"/>
              <w:bottom w:val="single" w:sz="8" w:space="0" w:color="auto"/>
            </w:tcBorders>
            <w:tcMar>
              <w:top w:w="40" w:type="dxa"/>
              <w:left w:w="40" w:type="dxa"/>
              <w:bottom w:w="40" w:type="dxa"/>
              <w:right w:w="40" w:type="dxa"/>
            </w:tcMar>
          </w:tcPr>
          <w:p w14:paraId="1A4CA991" w14:textId="77777777" w:rsidR="005D6AA3" w:rsidRPr="000870C5" w:rsidRDefault="005D6AA3" w:rsidP="000870C5">
            <w:pPr>
              <w:widowControl w:val="0"/>
              <w:snapToGrid w:val="0"/>
              <w:spacing w:line="360" w:lineRule="auto"/>
              <w:rPr>
                <w:rFonts w:ascii="Book Antiqua" w:eastAsia="Book Antiqua" w:hAnsi="Book Antiqua" w:cs="Book Antiqua"/>
                <w:b/>
              </w:rPr>
            </w:pPr>
            <w:r w:rsidRPr="000870C5">
              <w:rPr>
                <w:rFonts w:ascii="Book Antiqua" w:eastAsia="Book Antiqua" w:hAnsi="Book Antiqua" w:cs="Book Antiqua"/>
                <w:b/>
              </w:rPr>
              <w:t>Number of patients lost to follow up (5)</w:t>
            </w:r>
          </w:p>
        </w:tc>
        <w:tc>
          <w:tcPr>
            <w:tcW w:w="2383" w:type="dxa"/>
            <w:tcBorders>
              <w:top w:val="single" w:sz="8" w:space="0" w:color="auto"/>
              <w:bottom w:val="single" w:sz="8" w:space="0" w:color="auto"/>
            </w:tcBorders>
            <w:tcMar>
              <w:top w:w="40" w:type="dxa"/>
              <w:left w:w="40" w:type="dxa"/>
              <w:bottom w:w="40" w:type="dxa"/>
              <w:right w:w="40" w:type="dxa"/>
            </w:tcMar>
          </w:tcPr>
          <w:p w14:paraId="0A11D09C" w14:textId="77777777" w:rsidR="005D6AA3" w:rsidRPr="000870C5" w:rsidRDefault="005D6AA3" w:rsidP="000870C5">
            <w:pPr>
              <w:widowControl w:val="0"/>
              <w:snapToGrid w:val="0"/>
              <w:spacing w:line="360" w:lineRule="auto"/>
              <w:rPr>
                <w:rFonts w:ascii="Book Antiqua" w:eastAsia="Book Antiqua" w:hAnsi="Book Antiqua" w:cs="Book Antiqua"/>
                <w:b/>
              </w:rPr>
            </w:pPr>
            <w:r w:rsidRPr="000870C5">
              <w:rPr>
                <w:rFonts w:ascii="Book Antiqua" w:eastAsia="Book Antiqua" w:hAnsi="Book Antiqua" w:cs="Book Antiqua"/>
                <w:b/>
              </w:rPr>
              <w:t>Nature of study</w:t>
            </w:r>
          </w:p>
        </w:tc>
        <w:tc>
          <w:tcPr>
            <w:tcW w:w="2627" w:type="dxa"/>
            <w:tcBorders>
              <w:top w:val="single" w:sz="8" w:space="0" w:color="auto"/>
              <w:bottom w:val="single" w:sz="8" w:space="0" w:color="auto"/>
            </w:tcBorders>
            <w:tcMar>
              <w:top w:w="40" w:type="dxa"/>
              <w:left w:w="40" w:type="dxa"/>
              <w:bottom w:w="40" w:type="dxa"/>
              <w:right w:w="40" w:type="dxa"/>
            </w:tcMar>
          </w:tcPr>
          <w:p w14:paraId="687C953C" w14:textId="77777777" w:rsidR="005D6AA3" w:rsidRPr="000870C5" w:rsidRDefault="005D6AA3" w:rsidP="000870C5">
            <w:pPr>
              <w:keepNext/>
              <w:widowControl w:val="0"/>
              <w:snapToGrid w:val="0"/>
              <w:spacing w:line="360" w:lineRule="auto"/>
              <w:rPr>
                <w:rFonts w:ascii="Book Antiqua" w:eastAsia="Book Antiqua" w:hAnsi="Book Antiqua" w:cs="Book Antiqua"/>
                <w:b/>
              </w:rPr>
            </w:pPr>
            <w:r w:rsidRPr="000870C5">
              <w:rPr>
                <w:rFonts w:ascii="Book Antiqua" w:eastAsia="Book Antiqua" w:hAnsi="Book Antiqua" w:cs="Book Antiqua"/>
                <w:b/>
              </w:rPr>
              <w:t>Standardisation for comorbidities</w:t>
            </w:r>
          </w:p>
        </w:tc>
      </w:tr>
      <w:tr w:rsidR="005D6AA3" w:rsidRPr="000870C5" w14:paraId="07FA9139" w14:textId="77777777" w:rsidTr="00F74A4A">
        <w:trPr>
          <w:trHeight w:val="319"/>
        </w:trPr>
        <w:tc>
          <w:tcPr>
            <w:tcW w:w="2089" w:type="dxa"/>
            <w:tcBorders>
              <w:top w:val="single" w:sz="8" w:space="0" w:color="auto"/>
            </w:tcBorders>
            <w:shd w:val="clear" w:color="auto" w:fill="auto"/>
            <w:tcMar>
              <w:top w:w="40" w:type="dxa"/>
              <w:left w:w="40" w:type="dxa"/>
              <w:bottom w:w="40" w:type="dxa"/>
              <w:right w:w="40" w:type="dxa"/>
            </w:tcMar>
            <w:vAlign w:val="bottom"/>
          </w:tcPr>
          <w:p w14:paraId="627F2C77"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r w:rsidRPr="000870C5">
              <w:rPr>
                <w:rFonts w:ascii="Book Antiqua" w:eastAsia="Book Antiqua" w:hAnsi="Book Antiqua" w:cs="Book Antiqua"/>
              </w:rPr>
              <w:t>Chu</w:t>
            </w:r>
            <w:r w:rsidR="00795057" w:rsidRPr="000870C5">
              <w:rPr>
                <w:rFonts w:ascii="Book Antiqua" w:eastAsia="Book Antiqua" w:hAnsi="Book Antiqua" w:cs="Book Antiqua"/>
              </w:rPr>
              <w:t xml:space="preserve"> </w:t>
            </w:r>
            <w:r w:rsidR="00795057" w:rsidRPr="000870C5">
              <w:rPr>
                <w:rFonts w:ascii="Book Antiqua" w:eastAsia="Book Antiqua" w:hAnsi="Book Antiqua" w:cs="Book Antiqua"/>
                <w:i/>
              </w:rPr>
              <w:t>et al</w:t>
            </w:r>
            <w:r w:rsidR="00795057" w:rsidRPr="000870C5">
              <w:rPr>
                <w:rFonts w:ascii="Book Antiqua" w:eastAsia="Book Antiqua" w:hAnsi="Book Antiqua" w:cs="Book Antiqua"/>
                <w:vertAlign w:val="superscript"/>
              </w:rPr>
              <w:t>[12]</w:t>
            </w:r>
          </w:p>
        </w:tc>
        <w:tc>
          <w:tcPr>
            <w:tcW w:w="1730" w:type="dxa"/>
            <w:tcBorders>
              <w:top w:val="single" w:sz="8" w:space="0" w:color="auto"/>
            </w:tcBorders>
            <w:shd w:val="clear" w:color="auto" w:fill="auto"/>
            <w:tcMar>
              <w:top w:w="40" w:type="dxa"/>
              <w:left w:w="40" w:type="dxa"/>
              <w:bottom w:w="40" w:type="dxa"/>
              <w:right w:w="40" w:type="dxa"/>
            </w:tcMar>
            <w:vAlign w:val="bottom"/>
          </w:tcPr>
          <w:p w14:paraId="43D9C7FE"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17 (6.9)</w:t>
            </w:r>
          </w:p>
        </w:tc>
        <w:tc>
          <w:tcPr>
            <w:tcW w:w="2383" w:type="dxa"/>
            <w:tcBorders>
              <w:top w:val="single" w:sz="8" w:space="0" w:color="auto"/>
            </w:tcBorders>
            <w:shd w:val="clear" w:color="auto" w:fill="auto"/>
            <w:tcMar>
              <w:top w:w="40" w:type="dxa"/>
              <w:left w:w="40" w:type="dxa"/>
              <w:bottom w:w="40" w:type="dxa"/>
              <w:right w:w="40" w:type="dxa"/>
            </w:tcMar>
            <w:vAlign w:val="bottom"/>
          </w:tcPr>
          <w:p w14:paraId="14DA314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tcBorders>
              <w:top w:val="single" w:sz="8" w:space="0" w:color="auto"/>
            </w:tcBorders>
            <w:shd w:val="clear" w:color="auto" w:fill="auto"/>
            <w:tcMar>
              <w:top w:w="40" w:type="dxa"/>
              <w:left w:w="40" w:type="dxa"/>
              <w:bottom w:w="40" w:type="dxa"/>
              <w:right w:w="40" w:type="dxa"/>
            </w:tcMar>
            <w:vAlign w:val="bottom"/>
          </w:tcPr>
          <w:p w14:paraId="11A1D1CE"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259B08DC" w14:textId="77777777" w:rsidTr="00F74A4A">
        <w:trPr>
          <w:trHeight w:val="319"/>
        </w:trPr>
        <w:tc>
          <w:tcPr>
            <w:tcW w:w="2089" w:type="dxa"/>
            <w:shd w:val="clear" w:color="auto" w:fill="auto"/>
            <w:tcMar>
              <w:top w:w="40" w:type="dxa"/>
              <w:left w:w="40" w:type="dxa"/>
              <w:bottom w:w="40" w:type="dxa"/>
              <w:right w:w="40" w:type="dxa"/>
            </w:tcMar>
            <w:vAlign w:val="bottom"/>
          </w:tcPr>
          <w:p w14:paraId="32A1F2D4"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Larrson</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[7]</w:t>
            </w:r>
          </w:p>
        </w:tc>
        <w:tc>
          <w:tcPr>
            <w:tcW w:w="1730" w:type="dxa"/>
            <w:shd w:val="clear" w:color="auto" w:fill="auto"/>
            <w:tcMar>
              <w:top w:w="40" w:type="dxa"/>
              <w:left w:w="40" w:type="dxa"/>
              <w:bottom w:w="40" w:type="dxa"/>
              <w:right w:w="40" w:type="dxa"/>
            </w:tcMar>
            <w:vAlign w:val="bottom"/>
          </w:tcPr>
          <w:p w14:paraId="09ED6E8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74B7189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2F38803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Not Standardised</w:t>
            </w:r>
          </w:p>
        </w:tc>
      </w:tr>
      <w:tr w:rsidR="005D6AA3" w:rsidRPr="000870C5" w14:paraId="5A7710EE" w14:textId="77777777" w:rsidTr="00F74A4A">
        <w:trPr>
          <w:trHeight w:val="319"/>
        </w:trPr>
        <w:tc>
          <w:tcPr>
            <w:tcW w:w="2089" w:type="dxa"/>
            <w:shd w:val="clear" w:color="auto" w:fill="auto"/>
            <w:tcMar>
              <w:top w:w="40" w:type="dxa"/>
              <w:left w:w="40" w:type="dxa"/>
              <w:bottom w:w="40" w:type="dxa"/>
              <w:right w:w="40" w:type="dxa"/>
            </w:tcMar>
            <w:vAlign w:val="bottom"/>
          </w:tcPr>
          <w:p w14:paraId="47AF9BB7"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Schleiffer</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[2</w:t>
            </w:r>
            <w:r w:rsidR="003F3646" w:rsidRPr="000870C5">
              <w:rPr>
                <w:rFonts w:ascii="Book Antiqua" w:eastAsia="Book Antiqua" w:hAnsi="Book Antiqua" w:cs="Book Antiqua"/>
                <w:vertAlign w:val="superscript"/>
              </w:rPr>
              <w:t>3</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36F5935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06237FD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1AEB931A"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128D8667" w14:textId="77777777" w:rsidTr="00F74A4A">
        <w:trPr>
          <w:trHeight w:val="319"/>
        </w:trPr>
        <w:tc>
          <w:tcPr>
            <w:tcW w:w="2089" w:type="dxa"/>
            <w:shd w:val="clear" w:color="auto" w:fill="auto"/>
            <w:tcMar>
              <w:top w:w="40" w:type="dxa"/>
              <w:left w:w="40" w:type="dxa"/>
              <w:bottom w:w="40" w:type="dxa"/>
              <w:right w:w="40" w:type="dxa"/>
            </w:tcMar>
            <w:vAlign w:val="bottom"/>
          </w:tcPr>
          <w:p w14:paraId="24D1550D"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Faglia</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[2</w:t>
            </w:r>
            <w:r w:rsidR="003F3646" w:rsidRPr="000870C5">
              <w:rPr>
                <w:rFonts w:ascii="Book Antiqua" w:eastAsia="Book Antiqua" w:hAnsi="Book Antiqua" w:cs="Book Antiqua"/>
                <w:vertAlign w:val="superscript"/>
              </w:rPr>
              <w:t>0</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0DB89E5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7E9FB93C"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50922B2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 xml:space="preserve">Standardised </w:t>
            </w:r>
          </w:p>
        </w:tc>
      </w:tr>
      <w:tr w:rsidR="005D6AA3" w:rsidRPr="000870C5" w14:paraId="67D3B8D7" w14:textId="77777777" w:rsidTr="00F74A4A">
        <w:trPr>
          <w:trHeight w:val="319"/>
        </w:trPr>
        <w:tc>
          <w:tcPr>
            <w:tcW w:w="2089" w:type="dxa"/>
            <w:shd w:val="clear" w:color="auto" w:fill="auto"/>
            <w:tcMar>
              <w:top w:w="40" w:type="dxa"/>
              <w:left w:w="40" w:type="dxa"/>
              <w:bottom w:w="40" w:type="dxa"/>
              <w:right w:w="40" w:type="dxa"/>
            </w:tcMar>
            <w:vAlign w:val="bottom"/>
          </w:tcPr>
          <w:p w14:paraId="5A69E918"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r w:rsidRPr="000870C5">
              <w:rPr>
                <w:rFonts w:ascii="Book Antiqua" w:eastAsia="Book Antiqua" w:hAnsi="Book Antiqua" w:cs="Book Antiqua"/>
              </w:rPr>
              <w:t>Van Damme</w:t>
            </w:r>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[1</w:t>
            </w:r>
            <w:r w:rsidR="003F3646" w:rsidRPr="000870C5">
              <w:rPr>
                <w:rFonts w:ascii="Book Antiqua" w:eastAsia="Book Antiqua" w:hAnsi="Book Antiqua" w:cs="Book Antiqua"/>
                <w:vertAlign w:val="superscript"/>
              </w:rPr>
              <w:t>3</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2C20291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68D53C5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5779699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08BB4A0E" w14:textId="77777777" w:rsidTr="00F74A4A">
        <w:trPr>
          <w:trHeight w:val="319"/>
        </w:trPr>
        <w:tc>
          <w:tcPr>
            <w:tcW w:w="2089" w:type="dxa"/>
            <w:shd w:val="clear" w:color="auto" w:fill="auto"/>
            <w:tcMar>
              <w:top w:w="40" w:type="dxa"/>
              <w:left w:w="40" w:type="dxa"/>
              <w:bottom w:w="40" w:type="dxa"/>
              <w:right w:w="40" w:type="dxa"/>
            </w:tcMar>
            <w:vAlign w:val="bottom"/>
          </w:tcPr>
          <w:p w14:paraId="4066EFCA"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r w:rsidRPr="000870C5">
              <w:rPr>
                <w:rFonts w:ascii="Book Antiqua" w:eastAsia="Book Antiqua" w:hAnsi="Book Antiqua" w:cs="Book Antiqua"/>
              </w:rPr>
              <w:t>Goldner</w:t>
            </w:r>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[5]</w:t>
            </w:r>
          </w:p>
        </w:tc>
        <w:tc>
          <w:tcPr>
            <w:tcW w:w="1730" w:type="dxa"/>
            <w:shd w:val="clear" w:color="auto" w:fill="auto"/>
            <w:tcMar>
              <w:top w:w="40" w:type="dxa"/>
              <w:left w:w="40" w:type="dxa"/>
              <w:bottom w:w="40" w:type="dxa"/>
              <w:right w:w="40" w:type="dxa"/>
            </w:tcMar>
            <w:vAlign w:val="bottom"/>
          </w:tcPr>
          <w:p w14:paraId="4809F08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p>
        </w:tc>
        <w:tc>
          <w:tcPr>
            <w:tcW w:w="2383" w:type="dxa"/>
            <w:shd w:val="clear" w:color="auto" w:fill="auto"/>
            <w:tcMar>
              <w:top w:w="40" w:type="dxa"/>
              <w:left w:w="40" w:type="dxa"/>
              <w:bottom w:w="40" w:type="dxa"/>
              <w:right w:w="40" w:type="dxa"/>
            </w:tcMar>
            <w:vAlign w:val="bottom"/>
          </w:tcPr>
          <w:p w14:paraId="405C295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2AAB4D2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0D2A4CBE" w14:textId="77777777" w:rsidTr="00F74A4A">
        <w:trPr>
          <w:trHeight w:val="319"/>
        </w:trPr>
        <w:tc>
          <w:tcPr>
            <w:tcW w:w="2089" w:type="dxa"/>
            <w:shd w:val="clear" w:color="auto" w:fill="auto"/>
            <w:tcMar>
              <w:top w:w="40" w:type="dxa"/>
              <w:left w:w="40" w:type="dxa"/>
              <w:bottom w:w="40" w:type="dxa"/>
              <w:right w:w="40" w:type="dxa"/>
            </w:tcMar>
            <w:vAlign w:val="bottom"/>
          </w:tcPr>
          <w:p w14:paraId="1414A4C0"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Morbach</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[1</w:t>
            </w:r>
            <w:r w:rsidR="003F3646" w:rsidRPr="000870C5">
              <w:rPr>
                <w:rFonts w:ascii="Book Antiqua" w:eastAsia="Book Antiqua" w:hAnsi="Book Antiqua" w:cs="Book Antiqua"/>
                <w:vertAlign w:val="superscript"/>
              </w:rPr>
              <w:t>6</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77010CEC"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7E59BC4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53981A0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252331ED" w14:textId="77777777" w:rsidTr="00F74A4A">
        <w:trPr>
          <w:trHeight w:val="319"/>
        </w:trPr>
        <w:tc>
          <w:tcPr>
            <w:tcW w:w="2089" w:type="dxa"/>
            <w:shd w:val="clear" w:color="auto" w:fill="auto"/>
            <w:tcMar>
              <w:top w:w="40" w:type="dxa"/>
              <w:left w:w="40" w:type="dxa"/>
              <w:bottom w:w="40" w:type="dxa"/>
              <w:right w:w="40" w:type="dxa"/>
            </w:tcMar>
            <w:vAlign w:val="bottom"/>
          </w:tcPr>
          <w:p w14:paraId="2ACEC73A"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Ghanassia</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[8]</w:t>
            </w:r>
          </w:p>
        </w:tc>
        <w:tc>
          <w:tcPr>
            <w:tcW w:w="1730" w:type="dxa"/>
            <w:shd w:val="clear" w:color="auto" w:fill="auto"/>
            <w:tcMar>
              <w:top w:w="40" w:type="dxa"/>
              <w:left w:w="40" w:type="dxa"/>
              <w:bottom w:w="40" w:type="dxa"/>
              <w:right w:w="40" w:type="dxa"/>
            </w:tcMar>
            <w:vAlign w:val="bottom"/>
          </w:tcPr>
          <w:p w14:paraId="59BDCA5E"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w:t>
            </w:r>
            <w:r w:rsidR="00795057" w:rsidRPr="000870C5">
              <w:rPr>
                <w:rFonts w:ascii="Book Antiqua" w:eastAsia="Book Antiqua" w:hAnsi="Book Antiqua" w:cs="Book Antiqua"/>
              </w:rPr>
              <w:t xml:space="preserve"> </w:t>
            </w:r>
            <w:r w:rsidRPr="000870C5">
              <w:rPr>
                <w:rFonts w:ascii="Book Antiqua" w:eastAsia="Book Antiqua" w:hAnsi="Book Antiqua" w:cs="Book Antiqua"/>
              </w:rPr>
              <w:t>(5)</w:t>
            </w:r>
          </w:p>
        </w:tc>
        <w:tc>
          <w:tcPr>
            <w:tcW w:w="2383" w:type="dxa"/>
            <w:shd w:val="clear" w:color="auto" w:fill="auto"/>
            <w:tcMar>
              <w:top w:w="40" w:type="dxa"/>
              <w:left w:w="40" w:type="dxa"/>
              <w:bottom w:w="40" w:type="dxa"/>
              <w:right w:w="40" w:type="dxa"/>
            </w:tcMar>
            <w:vAlign w:val="bottom"/>
          </w:tcPr>
          <w:p w14:paraId="6109713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4249D2A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7809A73E" w14:textId="77777777" w:rsidTr="00F74A4A">
        <w:trPr>
          <w:trHeight w:val="319"/>
        </w:trPr>
        <w:tc>
          <w:tcPr>
            <w:tcW w:w="2089" w:type="dxa"/>
            <w:shd w:val="clear" w:color="auto" w:fill="auto"/>
            <w:tcMar>
              <w:top w:w="40" w:type="dxa"/>
              <w:left w:w="40" w:type="dxa"/>
              <w:bottom w:w="40" w:type="dxa"/>
              <w:right w:w="40" w:type="dxa"/>
            </w:tcMar>
            <w:vAlign w:val="bottom"/>
          </w:tcPr>
          <w:p w14:paraId="523F2218"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Skoutas</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[10]</w:t>
            </w:r>
          </w:p>
        </w:tc>
        <w:tc>
          <w:tcPr>
            <w:tcW w:w="1730" w:type="dxa"/>
            <w:shd w:val="clear" w:color="auto" w:fill="auto"/>
            <w:tcMar>
              <w:top w:w="40" w:type="dxa"/>
              <w:left w:w="40" w:type="dxa"/>
              <w:bottom w:w="40" w:type="dxa"/>
              <w:right w:w="40" w:type="dxa"/>
            </w:tcMar>
            <w:vAlign w:val="bottom"/>
          </w:tcPr>
          <w:p w14:paraId="5B0BDA1E"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70BBA43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69979A5C"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64D9B20E" w14:textId="77777777" w:rsidTr="00F74A4A">
        <w:trPr>
          <w:trHeight w:val="319"/>
        </w:trPr>
        <w:tc>
          <w:tcPr>
            <w:tcW w:w="2089" w:type="dxa"/>
            <w:shd w:val="clear" w:color="auto" w:fill="auto"/>
            <w:tcMar>
              <w:top w:w="40" w:type="dxa"/>
              <w:left w:w="40" w:type="dxa"/>
              <w:bottom w:w="40" w:type="dxa"/>
              <w:right w:w="40" w:type="dxa"/>
            </w:tcMar>
            <w:vAlign w:val="bottom"/>
          </w:tcPr>
          <w:p w14:paraId="2561DDFA"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r w:rsidRPr="000870C5">
              <w:rPr>
                <w:rFonts w:ascii="Book Antiqua" w:eastAsia="Book Antiqua" w:hAnsi="Book Antiqua" w:cs="Book Antiqua"/>
              </w:rPr>
              <w:t>Adler</w:t>
            </w:r>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[2</w:t>
            </w:r>
            <w:r w:rsidR="003F3646" w:rsidRPr="000870C5">
              <w:rPr>
                <w:rFonts w:ascii="Book Antiqua" w:eastAsia="Book Antiqua" w:hAnsi="Book Antiqua" w:cs="Book Antiqua"/>
                <w:vertAlign w:val="superscript"/>
              </w:rPr>
              <w:t>4</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368D7B6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155</w:t>
            </w:r>
            <w:r w:rsidR="00795057" w:rsidRPr="000870C5">
              <w:rPr>
                <w:rFonts w:ascii="Book Antiqua" w:eastAsia="Book Antiqua" w:hAnsi="Book Antiqua" w:cs="Book Antiqua"/>
              </w:rPr>
              <w:t xml:space="preserve"> </w:t>
            </w:r>
            <w:r w:rsidRPr="000870C5">
              <w:rPr>
                <w:rFonts w:ascii="Book Antiqua" w:eastAsia="Book Antiqua" w:hAnsi="Book Antiqua" w:cs="Book Antiqua"/>
              </w:rPr>
              <w:t>(2)</w:t>
            </w:r>
          </w:p>
        </w:tc>
        <w:tc>
          <w:tcPr>
            <w:tcW w:w="2383" w:type="dxa"/>
            <w:shd w:val="clear" w:color="auto" w:fill="auto"/>
            <w:tcMar>
              <w:top w:w="40" w:type="dxa"/>
              <w:left w:w="40" w:type="dxa"/>
              <w:bottom w:w="40" w:type="dxa"/>
              <w:right w:w="40" w:type="dxa"/>
            </w:tcMar>
            <w:vAlign w:val="bottom"/>
          </w:tcPr>
          <w:p w14:paraId="6CC36E5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206BDBB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6F4B9C4A" w14:textId="77777777" w:rsidTr="00F74A4A">
        <w:trPr>
          <w:trHeight w:val="319"/>
        </w:trPr>
        <w:tc>
          <w:tcPr>
            <w:tcW w:w="2089" w:type="dxa"/>
            <w:shd w:val="clear" w:color="auto" w:fill="auto"/>
            <w:tcMar>
              <w:top w:w="40" w:type="dxa"/>
              <w:left w:w="40" w:type="dxa"/>
              <w:bottom w:w="40" w:type="dxa"/>
              <w:right w:w="40" w:type="dxa"/>
            </w:tcMar>
            <w:vAlign w:val="bottom"/>
          </w:tcPr>
          <w:p w14:paraId="0E90BF78"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Ohsawa</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[2</w:t>
            </w:r>
            <w:r w:rsidR="003F3646" w:rsidRPr="000870C5">
              <w:rPr>
                <w:rFonts w:ascii="Book Antiqua" w:eastAsia="Book Antiqua" w:hAnsi="Book Antiqua" w:cs="Book Antiqua"/>
                <w:vertAlign w:val="superscript"/>
              </w:rPr>
              <w:t>5</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620E262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2383" w:type="dxa"/>
            <w:shd w:val="clear" w:color="auto" w:fill="auto"/>
            <w:tcMar>
              <w:top w:w="40" w:type="dxa"/>
              <w:left w:w="40" w:type="dxa"/>
              <w:bottom w:w="40" w:type="dxa"/>
              <w:right w:w="40" w:type="dxa"/>
            </w:tcMar>
            <w:vAlign w:val="bottom"/>
          </w:tcPr>
          <w:p w14:paraId="53DA6B8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Prospective</w:t>
            </w:r>
          </w:p>
        </w:tc>
        <w:tc>
          <w:tcPr>
            <w:tcW w:w="2627" w:type="dxa"/>
            <w:shd w:val="clear" w:color="auto" w:fill="auto"/>
            <w:tcMar>
              <w:top w:w="40" w:type="dxa"/>
              <w:left w:w="40" w:type="dxa"/>
              <w:bottom w:w="40" w:type="dxa"/>
              <w:right w:w="40" w:type="dxa"/>
            </w:tcMar>
            <w:vAlign w:val="bottom"/>
          </w:tcPr>
          <w:p w14:paraId="7D5CE1B3"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72F233C3" w14:textId="77777777" w:rsidTr="00F74A4A">
        <w:trPr>
          <w:trHeight w:val="319"/>
        </w:trPr>
        <w:tc>
          <w:tcPr>
            <w:tcW w:w="2089" w:type="dxa"/>
            <w:shd w:val="clear" w:color="auto" w:fill="auto"/>
            <w:tcMar>
              <w:top w:w="40" w:type="dxa"/>
              <w:left w:w="40" w:type="dxa"/>
              <w:bottom w:w="40" w:type="dxa"/>
              <w:right w:w="40" w:type="dxa"/>
            </w:tcMar>
            <w:vAlign w:val="bottom"/>
          </w:tcPr>
          <w:p w14:paraId="42B7C449"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r w:rsidRPr="000870C5">
              <w:rPr>
                <w:rFonts w:ascii="Book Antiqua" w:eastAsia="Book Antiqua" w:hAnsi="Book Antiqua" w:cs="Book Antiqua"/>
              </w:rPr>
              <w:t>Izumi</w:t>
            </w:r>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[9]</w:t>
            </w:r>
          </w:p>
        </w:tc>
        <w:tc>
          <w:tcPr>
            <w:tcW w:w="1730" w:type="dxa"/>
            <w:shd w:val="clear" w:color="auto" w:fill="auto"/>
            <w:tcMar>
              <w:top w:w="40" w:type="dxa"/>
              <w:left w:w="40" w:type="dxa"/>
              <w:bottom w:w="40" w:type="dxa"/>
              <w:right w:w="40" w:type="dxa"/>
            </w:tcMar>
            <w:vAlign w:val="bottom"/>
          </w:tcPr>
          <w:p w14:paraId="1EF1F2AC" w14:textId="3081B961"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42F7754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2A5AA82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4F85A406" w14:textId="77777777" w:rsidTr="00F74A4A">
        <w:trPr>
          <w:trHeight w:val="319"/>
        </w:trPr>
        <w:tc>
          <w:tcPr>
            <w:tcW w:w="2089" w:type="dxa"/>
            <w:shd w:val="clear" w:color="auto" w:fill="auto"/>
            <w:tcMar>
              <w:top w:w="40" w:type="dxa"/>
              <w:left w:w="40" w:type="dxa"/>
              <w:bottom w:w="40" w:type="dxa"/>
              <w:right w:w="40" w:type="dxa"/>
            </w:tcMar>
            <w:vAlign w:val="bottom"/>
          </w:tcPr>
          <w:p w14:paraId="50B8BE3E"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r w:rsidRPr="000870C5">
              <w:rPr>
                <w:rFonts w:ascii="Book Antiqua" w:eastAsia="Book Antiqua" w:hAnsi="Book Antiqua" w:cs="Book Antiqua"/>
              </w:rPr>
              <w:t>Murdoch</w:t>
            </w:r>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[6]</w:t>
            </w:r>
          </w:p>
        </w:tc>
        <w:tc>
          <w:tcPr>
            <w:tcW w:w="1730" w:type="dxa"/>
            <w:shd w:val="clear" w:color="auto" w:fill="auto"/>
            <w:tcMar>
              <w:top w:w="40" w:type="dxa"/>
              <w:left w:w="40" w:type="dxa"/>
              <w:bottom w:w="40" w:type="dxa"/>
              <w:right w:w="40" w:type="dxa"/>
            </w:tcMar>
            <w:vAlign w:val="bottom"/>
          </w:tcPr>
          <w:p w14:paraId="5A673AD8" w14:textId="7BB19035"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4549670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2C0178D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41D83C4E" w14:textId="77777777" w:rsidTr="00F74A4A">
        <w:trPr>
          <w:trHeight w:val="319"/>
        </w:trPr>
        <w:tc>
          <w:tcPr>
            <w:tcW w:w="2089" w:type="dxa"/>
            <w:shd w:val="clear" w:color="auto" w:fill="auto"/>
            <w:tcMar>
              <w:top w:w="40" w:type="dxa"/>
              <w:left w:w="40" w:type="dxa"/>
              <w:bottom w:w="40" w:type="dxa"/>
              <w:right w:w="40" w:type="dxa"/>
            </w:tcMar>
            <w:vAlign w:val="bottom"/>
          </w:tcPr>
          <w:p w14:paraId="54F264CD"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Uzzaman</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[2</w:t>
            </w:r>
            <w:r w:rsidR="003F3646" w:rsidRPr="000870C5">
              <w:rPr>
                <w:rFonts w:ascii="Book Antiqua" w:eastAsia="Book Antiqua" w:hAnsi="Book Antiqua" w:cs="Book Antiqua"/>
                <w:vertAlign w:val="superscript"/>
              </w:rPr>
              <w:t>6</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7211F884" w14:textId="65F63684"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3677DD4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2F71F53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22B2FDC4" w14:textId="77777777" w:rsidTr="00F74A4A">
        <w:trPr>
          <w:trHeight w:val="319"/>
        </w:trPr>
        <w:tc>
          <w:tcPr>
            <w:tcW w:w="2089" w:type="dxa"/>
            <w:shd w:val="clear" w:color="auto" w:fill="auto"/>
            <w:tcMar>
              <w:top w:w="40" w:type="dxa"/>
              <w:left w:w="40" w:type="dxa"/>
              <w:bottom w:w="40" w:type="dxa"/>
              <w:right w:w="40" w:type="dxa"/>
            </w:tcMar>
            <w:vAlign w:val="bottom"/>
          </w:tcPr>
          <w:p w14:paraId="1F8E5E92"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Acar</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[11]</w:t>
            </w:r>
          </w:p>
        </w:tc>
        <w:tc>
          <w:tcPr>
            <w:tcW w:w="1730" w:type="dxa"/>
            <w:shd w:val="clear" w:color="auto" w:fill="auto"/>
            <w:tcMar>
              <w:top w:w="40" w:type="dxa"/>
              <w:left w:w="40" w:type="dxa"/>
              <w:bottom w:w="40" w:type="dxa"/>
              <w:right w:w="40" w:type="dxa"/>
            </w:tcMar>
            <w:vAlign w:val="bottom"/>
          </w:tcPr>
          <w:p w14:paraId="33CEBF89" w14:textId="31964A22"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1D96C2F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3BC2293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24A195F9" w14:textId="77777777" w:rsidTr="00F74A4A">
        <w:trPr>
          <w:trHeight w:val="319"/>
        </w:trPr>
        <w:tc>
          <w:tcPr>
            <w:tcW w:w="2089" w:type="dxa"/>
            <w:shd w:val="clear" w:color="auto" w:fill="auto"/>
            <w:tcMar>
              <w:top w:w="40" w:type="dxa"/>
              <w:left w:w="40" w:type="dxa"/>
              <w:bottom w:w="40" w:type="dxa"/>
              <w:right w:w="40" w:type="dxa"/>
            </w:tcMar>
            <w:vAlign w:val="bottom"/>
          </w:tcPr>
          <w:p w14:paraId="47BE0E30"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Nerone</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[1</w:t>
            </w:r>
            <w:r w:rsidR="003F3646" w:rsidRPr="000870C5">
              <w:rPr>
                <w:rFonts w:ascii="Book Antiqua" w:eastAsia="Book Antiqua" w:hAnsi="Book Antiqua" w:cs="Book Antiqua"/>
                <w:vertAlign w:val="superscript"/>
              </w:rPr>
              <w:t>7</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613313F0" w14:textId="6DA6CE92"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7F90C97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708E781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3C64EC57" w14:textId="77777777" w:rsidTr="00F74A4A">
        <w:trPr>
          <w:trHeight w:val="319"/>
        </w:trPr>
        <w:tc>
          <w:tcPr>
            <w:tcW w:w="2089" w:type="dxa"/>
            <w:shd w:val="clear" w:color="auto" w:fill="auto"/>
            <w:tcMar>
              <w:top w:w="40" w:type="dxa"/>
              <w:left w:w="40" w:type="dxa"/>
              <w:bottom w:w="40" w:type="dxa"/>
              <w:right w:w="40" w:type="dxa"/>
            </w:tcMar>
            <w:vAlign w:val="bottom"/>
          </w:tcPr>
          <w:p w14:paraId="66032AED"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Aulivola</w:t>
            </w:r>
            <w:proofErr w:type="spellEnd"/>
            <w:r w:rsidR="00795057" w:rsidRPr="000870C5">
              <w:rPr>
                <w:rFonts w:ascii="Book Antiqua" w:eastAsia="Book Antiqua" w:hAnsi="Book Antiqua" w:cs="Book Antiqua"/>
                <w:vertAlign w:val="superscript"/>
              </w:rPr>
              <w:t xml:space="preserve"> </w:t>
            </w:r>
            <w:r w:rsidR="00795057" w:rsidRPr="000870C5">
              <w:rPr>
                <w:rFonts w:ascii="Book Antiqua" w:eastAsia="Book Antiqua" w:hAnsi="Book Antiqua" w:cs="Book Antiqua"/>
                <w:i/>
              </w:rPr>
              <w:t>et al</w:t>
            </w:r>
            <w:r w:rsidR="00795057" w:rsidRPr="000870C5">
              <w:rPr>
                <w:rFonts w:ascii="Book Antiqua" w:eastAsia="Book Antiqua" w:hAnsi="Book Antiqua" w:cs="Book Antiqua"/>
                <w:vertAlign w:val="superscript"/>
              </w:rPr>
              <w:t>[2</w:t>
            </w:r>
            <w:r w:rsidR="003F3646" w:rsidRPr="000870C5">
              <w:rPr>
                <w:rFonts w:ascii="Book Antiqua" w:eastAsia="Book Antiqua" w:hAnsi="Book Antiqua" w:cs="Book Antiqua"/>
                <w:vertAlign w:val="superscript"/>
              </w:rPr>
              <w:t>7</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2292AC27" w14:textId="334F972C"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6FE316C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75EDBC7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Not Standardised</w:t>
            </w:r>
          </w:p>
        </w:tc>
      </w:tr>
      <w:tr w:rsidR="005D6AA3" w:rsidRPr="000870C5" w14:paraId="176B02C8" w14:textId="77777777" w:rsidTr="00F74A4A">
        <w:trPr>
          <w:trHeight w:val="319"/>
        </w:trPr>
        <w:tc>
          <w:tcPr>
            <w:tcW w:w="2089" w:type="dxa"/>
            <w:shd w:val="clear" w:color="auto" w:fill="auto"/>
            <w:tcMar>
              <w:top w:w="40" w:type="dxa"/>
              <w:left w:w="40" w:type="dxa"/>
              <w:bottom w:w="40" w:type="dxa"/>
              <w:right w:w="40" w:type="dxa"/>
            </w:tcMar>
            <w:vAlign w:val="bottom"/>
          </w:tcPr>
          <w:p w14:paraId="06CB92DC"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Jeyaraman</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[1</w:t>
            </w:r>
            <w:r w:rsidR="003F3646" w:rsidRPr="000870C5">
              <w:rPr>
                <w:rFonts w:ascii="Book Antiqua" w:eastAsia="Book Antiqua" w:hAnsi="Book Antiqua" w:cs="Book Antiqua"/>
                <w:vertAlign w:val="superscript"/>
              </w:rPr>
              <w:t>8</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4ACDBFD0" w14:textId="0F674EA0"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524469C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2599C6C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1DA5195D" w14:textId="77777777" w:rsidTr="00F74A4A">
        <w:trPr>
          <w:trHeight w:val="319"/>
        </w:trPr>
        <w:tc>
          <w:tcPr>
            <w:tcW w:w="2089" w:type="dxa"/>
            <w:shd w:val="clear" w:color="auto" w:fill="auto"/>
            <w:tcMar>
              <w:top w:w="40" w:type="dxa"/>
              <w:left w:w="40" w:type="dxa"/>
              <w:bottom w:w="40" w:type="dxa"/>
              <w:right w:w="40" w:type="dxa"/>
            </w:tcMar>
            <w:vAlign w:val="bottom"/>
          </w:tcPr>
          <w:p w14:paraId="7F566142"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Jeyaraman</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[2</w:t>
            </w:r>
            <w:r w:rsidR="003F3646" w:rsidRPr="000870C5">
              <w:rPr>
                <w:rFonts w:ascii="Book Antiqua" w:eastAsia="Book Antiqua" w:hAnsi="Book Antiqua" w:cs="Book Antiqua"/>
                <w:vertAlign w:val="superscript"/>
              </w:rPr>
              <w:t>1</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2FDE206E" w14:textId="09400939"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778EF4B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Retrospective</w:t>
            </w:r>
          </w:p>
        </w:tc>
        <w:tc>
          <w:tcPr>
            <w:tcW w:w="2627" w:type="dxa"/>
            <w:shd w:val="clear" w:color="auto" w:fill="auto"/>
            <w:tcMar>
              <w:top w:w="40" w:type="dxa"/>
              <w:left w:w="40" w:type="dxa"/>
              <w:bottom w:w="40" w:type="dxa"/>
              <w:right w:w="40" w:type="dxa"/>
            </w:tcMar>
            <w:vAlign w:val="bottom"/>
          </w:tcPr>
          <w:p w14:paraId="42504CF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6729254C" w14:textId="77777777" w:rsidTr="00F74A4A">
        <w:trPr>
          <w:trHeight w:val="319"/>
        </w:trPr>
        <w:tc>
          <w:tcPr>
            <w:tcW w:w="2089" w:type="dxa"/>
            <w:shd w:val="clear" w:color="auto" w:fill="auto"/>
            <w:tcMar>
              <w:top w:w="40" w:type="dxa"/>
              <w:left w:w="40" w:type="dxa"/>
              <w:bottom w:w="40" w:type="dxa"/>
              <w:right w:w="40" w:type="dxa"/>
            </w:tcMar>
            <w:vAlign w:val="bottom"/>
          </w:tcPr>
          <w:p w14:paraId="61CACDC3"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Thorud</w:t>
            </w:r>
            <w:proofErr w:type="spellEnd"/>
            <w:r w:rsidR="00795057" w:rsidRPr="000870C5">
              <w:rPr>
                <w:rFonts w:ascii="Book Antiqua" w:eastAsia="Book Antiqua" w:hAnsi="Book Antiqua" w:cs="Book Antiqua"/>
                <w:vertAlign w:val="superscript"/>
              </w:rPr>
              <w:t xml:space="preserve"> </w:t>
            </w:r>
            <w:r w:rsidR="00795057" w:rsidRPr="000870C5">
              <w:rPr>
                <w:rFonts w:ascii="Book Antiqua" w:eastAsia="Book Antiqua" w:hAnsi="Book Antiqua" w:cs="Book Antiqua"/>
                <w:i/>
              </w:rPr>
              <w:t>et al</w:t>
            </w:r>
            <w:r w:rsidR="00795057" w:rsidRPr="000870C5">
              <w:rPr>
                <w:rFonts w:ascii="Book Antiqua" w:eastAsia="Book Antiqua" w:hAnsi="Book Antiqua" w:cs="Book Antiqua"/>
                <w:vertAlign w:val="superscript"/>
              </w:rPr>
              <w:t>[1</w:t>
            </w:r>
            <w:r w:rsidR="003F3646" w:rsidRPr="000870C5">
              <w:rPr>
                <w:rFonts w:ascii="Book Antiqua" w:eastAsia="Book Antiqua" w:hAnsi="Book Antiqua" w:cs="Book Antiqua"/>
                <w:vertAlign w:val="superscript"/>
              </w:rPr>
              <w:t>5</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3C44AEE5" w14:textId="78AE92EA"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31F6671A"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Meta-analyses</w:t>
            </w:r>
          </w:p>
        </w:tc>
        <w:tc>
          <w:tcPr>
            <w:tcW w:w="2627" w:type="dxa"/>
            <w:shd w:val="clear" w:color="auto" w:fill="auto"/>
            <w:tcMar>
              <w:top w:w="40" w:type="dxa"/>
              <w:left w:w="40" w:type="dxa"/>
              <w:bottom w:w="40" w:type="dxa"/>
              <w:right w:w="40" w:type="dxa"/>
            </w:tcMar>
            <w:vAlign w:val="bottom"/>
          </w:tcPr>
          <w:p w14:paraId="54DE171A"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070D51FD" w14:textId="77777777" w:rsidTr="00F74A4A">
        <w:trPr>
          <w:trHeight w:val="319"/>
        </w:trPr>
        <w:tc>
          <w:tcPr>
            <w:tcW w:w="2089" w:type="dxa"/>
            <w:shd w:val="clear" w:color="auto" w:fill="auto"/>
            <w:tcMar>
              <w:top w:w="40" w:type="dxa"/>
              <w:left w:w="40" w:type="dxa"/>
              <w:bottom w:w="40" w:type="dxa"/>
              <w:right w:w="40" w:type="dxa"/>
            </w:tcMar>
            <w:vAlign w:val="bottom"/>
          </w:tcPr>
          <w:p w14:paraId="3088C12F"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r w:rsidRPr="000870C5">
              <w:rPr>
                <w:rFonts w:ascii="Book Antiqua" w:eastAsia="Book Antiqua" w:hAnsi="Book Antiqua" w:cs="Book Antiqua"/>
              </w:rPr>
              <w:lastRenderedPageBreak/>
              <w:t>Albers</w:t>
            </w:r>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[2</w:t>
            </w:r>
            <w:r w:rsidR="003F3646" w:rsidRPr="000870C5">
              <w:rPr>
                <w:rFonts w:ascii="Book Antiqua" w:eastAsia="Book Antiqua" w:hAnsi="Book Antiqua" w:cs="Book Antiqua"/>
                <w:vertAlign w:val="superscript"/>
              </w:rPr>
              <w:t>8</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0967E31F" w14:textId="5C471896"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7180D4D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 xml:space="preserve">Meta-analyses </w:t>
            </w:r>
          </w:p>
        </w:tc>
        <w:tc>
          <w:tcPr>
            <w:tcW w:w="2627" w:type="dxa"/>
            <w:shd w:val="clear" w:color="auto" w:fill="auto"/>
            <w:tcMar>
              <w:top w:w="40" w:type="dxa"/>
              <w:left w:w="40" w:type="dxa"/>
              <w:bottom w:w="40" w:type="dxa"/>
              <w:right w:w="40" w:type="dxa"/>
            </w:tcMar>
            <w:vAlign w:val="bottom"/>
          </w:tcPr>
          <w:p w14:paraId="7671CE8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r w:rsidR="005D6AA3" w:rsidRPr="000870C5" w14:paraId="14B3D6DE" w14:textId="77777777" w:rsidTr="00F74A4A">
        <w:trPr>
          <w:trHeight w:val="319"/>
        </w:trPr>
        <w:tc>
          <w:tcPr>
            <w:tcW w:w="2089" w:type="dxa"/>
            <w:shd w:val="clear" w:color="auto" w:fill="auto"/>
            <w:tcMar>
              <w:top w:w="40" w:type="dxa"/>
              <w:left w:w="40" w:type="dxa"/>
              <w:bottom w:w="40" w:type="dxa"/>
              <w:right w:w="40" w:type="dxa"/>
            </w:tcMar>
            <w:vAlign w:val="bottom"/>
          </w:tcPr>
          <w:p w14:paraId="250EFFE6" w14:textId="77777777"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Borkosky</w:t>
            </w:r>
            <w:proofErr w:type="spellEnd"/>
            <w:r w:rsidR="00795057" w:rsidRPr="000870C5">
              <w:rPr>
                <w:rFonts w:ascii="Book Antiqua" w:eastAsia="Book Antiqua" w:hAnsi="Book Antiqua" w:cs="Book Antiqua"/>
                <w:i/>
              </w:rPr>
              <w:t xml:space="preserve"> et al</w:t>
            </w:r>
            <w:r w:rsidR="00795057" w:rsidRPr="000870C5">
              <w:rPr>
                <w:rFonts w:ascii="Book Antiqua" w:eastAsia="Book Antiqua" w:hAnsi="Book Antiqua" w:cs="Book Antiqua"/>
                <w:vertAlign w:val="superscript"/>
              </w:rPr>
              <w:t>[1</w:t>
            </w:r>
            <w:r w:rsidR="003F3646" w:rsidRPr="000870C5">
              <w:rPr>
                <w:rFonts w:ascii="Book Antiqua" w:eastAsia="Book Antiqua" w:hAnsi="Book Antiqua" w:cs="Book Antiqua"/>
                <w:vertAlign w:val="superscript"/>
              </w:rPr>
              <w:t>4</w:t>
            </w:r>
            <w:r w:rsidR="00795057" w:rsidRPr="000870C5">
              <w:rPr>
                <w:rFonts w:ascii="Book Antiqua" w:eastAsia="Book Antiqua" w:hAnsi="Book Antiqua" w:cs="Book Antiqua"/>
                <w:vertAlign w:val="superscript"/>
              </w:rPr>
              <w:t>]</w:t>
            </w:r>
          </w:p>
        </w:tc>
        <w:tc>
          <w:tcPr>
            <w:tcW w:w="1730" w:type="dxa"/>
            <w:shd w:val="clear" w:color="auto" w:fill="auto"/>
            <w:tcMar>
              <w:top w:w="40" w:type="dxa"/>
              <w:left w:w="40" w:type="dxa"/>
              <w:bottom w:w="40" w:type="dxa"/>
              <w:right w:w="40" w:type="dxa"/>
            </w:tcMar>
            <w:vAlign w:val="bottom"/>
          </w:tcPr>
          <w:p w14:paraId="4B7BDBBE" w14:textId="2E871CD1"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2383" w:type="dxa"/>
            <w:shd w:val="clear" w:color="auto" w:fill="auto"/>
            <w:tcMar>
              <w:top w:w="40" w:type="dxa"/>
              <w:left w:w="40" w:type="dxa"/>
              <w:bottom w:w="40" w:type="dxa"/>
              <w:right w:w="40" w:type="dxa"/>
            </w:tcMar>
            <w:vAlign w:val="bottom"/>
          </w:tcPr>
          <w:p w14:paraId="69A9E2E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Systematic Review</w:t>
            </w:r>
          </w:p>
        </w:tc>
        <w:tc>
          <w:tcPr>
            <w:tcW w:w="2627" w:type="dxa"/>
            <w:shd w:val="clear" w:color="auto" w:fill="auto"/>
            <w:tcMar>
              <w:top w:w="40" w:type="dxa"/>
              <w:left w:w="40" w:type="dxa"/>
              <w:bottom w:w="40" w:type="dxa"/>
              <w:right w:w="40" w:type="dxa"/>
            </w:tcMar>
            <w:vAlign w:val="bottom"/>
          </w:tcPr>
          <w:p w14:paraId="3572EB2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Standardised</w:t>
            </w:r>
          </w:p>
        </w:tc>
      </w:tr>
    </w:tbl>
    <w:p w14:paraId="5246AFC1" w14:textId="10694E1A" w:rsidR="005D6AA3" w:rsidRPr="000870C5" w:rsidRDefault="005D6AA3" w:rsidP="000870C5">
      <w:pPr>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 Not specified; N</w:t>
      </w:r>
      <w:r w:rsidR="004130C5">
        <w:rPr>
          <w:rFonts w:ascii="Book Antiqua" w:eastAsia="Book Antiqua" w:hAnsi="Book Antiqua" w:cs="Book Antiqua"/>
        </w:rPr>
        <w:t>/</w:t>
      </w:r>
      <w:r w:rsidRPr="000870C5">
        <w:rPr>
          <w:rFonts w:ascii="Book Antiqua" w:eastAsia="Book Antiqua" w:hAnsi="Book Antiqua" w:cs="Book Antiqua"/>
        </w:rPr>
        <w:t>A: Not applicable.</w:t>
      </w:r>
    </w:p>
    <w:p w14:paraId="7CD16649" w14:textId="77777777" w:rsidR="005D6AA3" w:rsidRPr="000870C5" w:rsidRDefault="005D6AA3" w:rsidP="000870C5">
      <w:pPr>
        <w:snapToGrid w:val="0"/>
        <w:spacing w:line="360" w:lineRule="auto"/>
        <w:jc w:val="both"/>
        <w:rPr>
          <w:rFonts w:ascii="Book Antiqua" w:eastAsia="Book Antiqua" w:hAnsi="Book Antiqua" w:cs="Book Antiqua"/>
          <w:b/>
        </w:rPr>
      </w:pPr>
      <w:bookmarkStart w:id="3" w:name="_1fob9te" w:colFirst="0" w:colLast="0"/>
      <w:bookmarkEnd w:id="3"/>
      <w:r w:rsidRPr="000870C5">
        <w:rPr>
          <w:rFonts w:ascii="Book Antiqua" w:hAnsi="Book Antiqua"/>
        </w:rPr>
        <w:br w:type="page"/>
      </w:r>
      <w:bookmarkStart w:id="4" w:name="_3znysh7" w:colFirst="0" w:colLast="0"/>
      <w:bookmarkEnd w:id="4"/>
      <w:r w:rsidRPr="000870C5">
        <w:rPr>
          <w:rFonts w:ascii="Book Antiqua" w:eastAsia="Book Antiqua" w:hAnsi="Book Antiqua" w:cs="Book Antiqua"/>
          <w:b/>
        </w:rPr>
        <w:lastRenderedPageBreak/>
        <w:t>Table 2</w:t>
      </w:r>
      <w:r w:rsidR="001D6A97" w:rsidRPr="000870C5">
        <w:rPr>
          <w:rFonts w:ascii="Book Antiqua" w:eastAsia="Book Antiqua" w:hAnsi="Book Antiqua" w:cs="Book Antiqua"/>
          <w:b/>
        </w:rPr>
        <w:t xml:space="preserve"> </w:t>
      </w:r>
      <w:r w:rsidRPr="000870C5">
        <w:rPr>
          <w:rFonts w:ascii="Book Antiqua" w:eastAsia="Book Antiqua" w:hAnsi="Book Antiqua" w:cs="Book Antiqua"/>
          <w:b/>
        </w:rPr>
        <w:t>Re-amputation at 1, 3 and 5 years in patients who previously had had a lower extremity amputa</w:t>
      </w:r>
      <w:r w:rsidR="001D6A97" w:rsidRPr="000870C5">
        <w:rPr>
          <w:rFonts w:ascii="Book Antiqua" w:eastAsia="Book Antiqua" w:hAnsi="Book Antiqua" w:cs="Book Antiqua"/>
          <w:b/>
        </w:rPr>
        <w:t>tion due to diabetes foot ulcer</w:t>
      </w:r>
    </w:p>
    <w:tbl>
      <w:tblPr>
        <w:tblW w:w="9462" w:type="dxa"/>
        <w:tblBorders>
          <w:top w:val="single" w:sz="8" w:space="0" w:color="auto"/>
          <w:bottom w:val="single" w:sz="8" w:space="0" w:color="auto"/>
        </w:tblBorders>
        <w:tblLayout w:type="fixed"/>
        <w:tblLook w:val="0600" w:firstRow="0" w:lastRow="0" w:firstColumn="0" w:lastColumn="0" w:noHBand="1" w:noVBand="1"/>
      </w:tblPr>
      <w:tblGrid>
        <w:gridCol w:w="1979"/>
        <w:gridCol w:w="1174"/>
        <w:gridCol w:w="1578"/>
        <w:gridCol w:w="1577"/>
        <w:gridCol w:w="1577"/>
        <w:gridCol w:w="1577"/>
      </w:tblGrid>
      <w:tr w:rsidR="005D6AA3" w:rsidRPr="000870C5" w14:paraId="6971043D" w14:textId="77777777" w:rsidTr="00B15B2D">
        <w:trPr>
          <w:trHeight w:val="323"/>
        </w:trPr>
        <w:tc>
          <w:tcPr>
            <w:tcW w:w="1979" w:type="dxa"/>
            <w:vMerge w:val="restart"/>
            <w:tcBorders>
              <w:top w:val="single" w:sz="8" w:space="0" w:color="auto"/>
              <w:bottom w:val="single" w:sz="8" w:space="0" w:color="auto"/>
            </w:tcBorders>
            <w:tcMar>
              <w:top w:w="40" w:type="dxa"/>
              <w:left w:w="40" w:type="dxa"/>
              <w:bottom w:w="40" w:type="dxa"/>
              <w:right w:w="40" w:type="dxa"/>
            </w:tcMar>
          </w:tcPr>
          <w:p w14:paraId="084E034C" w14:textId="77777777" w:rsidR="005D6AA3" w:rsidRPr="000870C5" w:rsidRDefault="00FD624A" w:rsidP="000870C5">
            <w:pPr>
              <w:widowControl w:val="0"/>
              <w:snapToGrid w:val="0"/>
              <w:spacing w:line="360" w:lineRule="auto"/>
              <w:jc w:val="both"/>
              <w:rPr>
                <w:rFonts w:ascii="Book Antiqua" w:eastAsia="Book Antiqua" w:hAnsi="Book Antiqua" w:cs="Book Antiqua"/>
                <w:b/>
              </w:rPr>
            </w:pPr>
            <w:r w:rsidRPr="000870C5">
              <w:rPr>
                <w:rFonts w:ascii="Book Antiqua" w:eastAsia="Book Antiqua" w:hAnsi="Book Antiqua" w:cs="Book Antiqua"/>
                <w:b/>
              </w:rPr>
              <w:t>Ref.</w:t>
            </w:r>
          </w:p>
        </w:tc>
        <w:tc>
          <w:tcPr>
            <w:tcW w:w="1174" w:type="dxa"/>
            <w:vMerge w:val="restart"/>
            <w:tcBorders>
              <w:top w:val="single" w:sz="8" w:space="0" w:color="auto"/>
              <w:bottom w:val="single" w:sz="8" w:space="0" w:color="auto"/>
            </w:tcBorders>
            <w:tcMar>
              <w:top w:w="40" w:type="dxa"/>
              <w:left w:w="40" w:type="dxa"/>
              <w:bottom w:w="40" w:type="dxa"/>
              <w:right w:w="40" w:type="dxa"/>
            </w:tcMar>
          </w:tcPr>
          <w:p w14:paraId="33E128FE" w14:textId="77777777" w:rsidR="005D6AA3" w:rsidRPr="000870C5" w:rsidRDefault="005D6AA3" w:rsidP="000870C5">
            <w:pPr>
              <w:widowControl w:val="0"/>
              <w:snapToGrid w:val="0"/>
              <w:spacing w:line="360" w:lineRule="auto"/>
              <w:jc w:val="both"/>
              <w:rPr>
                <w:rFonts w:ascii="Book Antiqua" w:eastAsia="Book Antiqua" w:hAnsi="Book Antiqua" w:cs="Book Antiqua"/>
                <w:b/>
              </w:rPr>
            </w:pPr>
            <w:r w:rsidRPr="000870C5">
              <w:rPr>
                <w:rFonts w:ascii="Book Antiqua" w:eastAsia="Book Antiqua" w:hAnsi="Book Antiqua" w:cs="Book Antiqua"/>
                <w:b/>
              </w:rPr>
              <w:t>Year</w:t>
            </w:r>
          </w:p>
        </w:tc>
        <w:tc>
          <w:tcPr>
            <w:tcW w:w="1577" w:type="dxa"/>
            <w:vMerge w:val="restart"/>
            <w:tcBorders>
              <w:top w:val="single" w:sz="8" w:space="0" w:color="auto"/>
              <w:bottom w:val="single" w:sz="8" w:space="0" w:color="auto"/>
            </w:tcBorders>
            <w:tcMar>
              <w:top w:w="40" w:type="dxa"/>
              <w:left w:w="40" w:type="dxa"/>
              <w:bottom w:w="40" w:type="dxa"/>
              <w:right w:w="40" w:type="dxa"/>
            </w:tcMar>
          </w:tcPr>
          <w:p w14:paraId="5FEE5C75" w14:textId="77777777" w:rsidR="005D6AA3" w:rsidRPr="000870C5" w:rsidRDefault="001D6A97" w:rsidP="000870C5">
            <w:pPr>
              <w:widowControl w:val="0"/>
              <w:snapToGrid w:val="0"/>
              <w:spacing w:line="360" w:lineRule="auto"/>
              <w:jc w:val="both"/>
              <w:rPr>
                <w:rFonts w:ascii="Book Antiqua" w:eastAsia="Book Antiqua" w:hAnsi="Book Antiqua" w:cs="Book Antiqua"/>
                <w:b/>
                <w:i/>
              </w:rPr>
            </w:pPr>
            <w:r w:rsidRPr="000870C5">
              <w:rPr>
                <w:rFonts w:ascii="Book Antiqua" w:eastAsia="Book Antiqua" w:hAnsi="Book Antiqua" w:cs="Book Antiqua"/>
                <w:b/>
                <w:i/>
              </w:rPr>
              <w:t>n</w:t>
            </w:r>
          </w:p>
        </w:tc>
        <w:tc>
          <w:tcPr>
            <w:tcW w:w="4731" w:type="dxa"/>
            <w:gridSpan w:val="3"/>
            <w:tcBorders>
              <w:top w:val="single" w:sz="8" w:space="0" w:color="auto"/>
              <w:bottom w:val="single" w:sz="8" w:space="0" w:color="auto"/>
            </w:tcBorders>
            <w:tcMar>
              <w:top w:w="40" w:type="dxa"/>
              <w:left w:w="40" w:type="dxa"/>
              <w:bottom w:w="40" w:type="dxa"/>
              <w:right w:w="40" w:type="dxa"/>
            </w:tcMar>
          </w:tcPr>
          <w:p w14:paraId="565DD99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b/>
              </w:rPr>
              <w:t>Re-</w:t>
            </w:r>
            <w:r w:rsidR="0018100C" w:rsidRPr="000870C5">
              <w:rPr>
                <w:rFonts w:ascii="Book Antiqua" w:eastAsia="Book Antiqua" w:hAnsi="Book Antiqua" w:cs="Book Antiqua"/>
                <w:b/>
              </w:rPr>
              <w:t>a</w:t>
            </w:r>
            <w:r w:rsidRPr="000870C5">
              <w:rPr>
                <w:rFonts w:ascii="Book Antiqua" w:eastAsia="Book Antiqua" w:hAnsi="Book Antiqua" w:cs="Book Antiqua"/>
                <w:b/>
              </w:rPr>
              <w:t>mputation</w:t>
            </w:r>
            <w:r w:rsidR="0018100C" w:rsidRPr="000870C5">
              <w:rPr>
                <w:rFonts w:ascii="Book Antiqua" w:eastAsia="Book Antiqua" w:hAnsi="Book Antiqua" w:cs="Book Antiqua"/>
                <w:b/>
              </w:rPr>
              <w:t>,</w:t>
            </w:r>
            <w:r w:rsidRPr="000870C5">
              <w:rPr>
                <w:rFonts w:ascii="Book Antiqua" w:eastAsia="Book Antiqua" w:hAnsi="Book Antiqua" w:cs="Book Antiqua"/>
                <w:b/>
              </w:rPr>
              <w:t xml:space="preserve"> %</w:t>
            </w:r>
          </w:p>
        </w:tc>
      </w:tr>
      <w:tr w:rsidR="005D6AA3" w:rsidRPr="000870C5" w14:paraId="01BD298A" w14:textId="77777777" w:rsidTr="00B15B2D">
        <w:trPr>
          <w:trHeight w:val="323"/>
        </w:trPr>
        <w:tc>
          <w:tcPr>
            <w:tcW w:w="1979" w:type="dxa"/>
            <w:vMerge/>
            <w:tcBorders>
              <w:top w:val="single" w:sz="8" w:space="0" w:color="auto"/>
              <w:bottom w:val="single" w:sz="8" w:space="0" w:color="auto"/>
            </w:tcBorders>
            <w:tcMar>
              <w:top w:w="40" w:type="dxa"/>
              <w:left w:w="40" w:type="dxa"/>
              <w:bottom w:w="40" w:type="dxa"/>
              <w:right w:w="40" w:type="dxa"/>
            </w:tcMar>
          </w:tcPr>
          <w:p w14:paraId="2FBC9392" w14:textId="77777777" w:rsidR="005D6AA3" w:rsidRPr="000870C5"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174" w:type="dxa"/>
            <w:vMerge/>
            <w:tcBorders>
              <w:top w:val="single" w:sz="8" w:space="0" w:color="auto"/>
              <w:bottom w:val="single" w:sz="8" w:space="0" w:color="auto"/>
            </w:tcBorders>
            <w:tcMar>
              <w:top w:w="40" w:type="dxa"/>
              <w:left w:w="40" w:type="dxa"/>
              <w:bottom w:w="40" w:type="dxa"/>
              <w:right w:w="40" w:type="dxa"/>
            </w:tcMar>
          </w:tcPr>
          <w:p w14:paraId="707601BB" w14:textId="77777777" w:rsidR="005D6AA3" w:rsidRPr="000870C5"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577" w:type="dxa"/>
            <w:vMerge/>
            <w:tcBorders>
              <w:top w:val="single" w:sz="8" w:space="0" w:color="auto"/>
              <w:bottom w:val="single" w:sz="8" w:space="0" w:color="auto"/>
            </w:tcBorders>
            <w:tcMar>
              <w:top w:w="40" w:type="dxa"/>
              <w:left w:w="40" w:type="dxa"/>
              <w:bottom w:w="40" w:type="dxa"/>
              <w:right w:w="40" w:type="dxa"/>
            </w:tcMar>
          </w:tcPr>
          <w:p w14:paraId="7A2D5DE3" w14:textId="77777777" w:rsidR="005D6AA3" w:rsidRPr="000870C5"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577" w:type="dxa"/>
            <w:tcBorders>
              <w:top w:val="single" w:sz="8" w:space="0" w:color="auto"/>
              <w:bottom w:val="single" w:sz="8" w:space="0" w:color="auto"/>
            </w:tcBorders>
            <w:shd w:val="clear" w:color="auto" w:fill="auto"/>
            <w:tcMar>
              <w:top w:w="40" w:type="dxa"/>
              <w:left w:w="40" w:type="dxa"/>
              <w:bottom w:w="40" w:type="dxa"/>
              <w:right w:w="40" w:type="dxa"/>
            </w:tcMar>
          </w:tcPr>
          <w:p w14:paraId="3977D08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b/>
              </w:rPr>
              <w:t>1</w:t>
            </w:r>
            <w:r w:rsidR="0018100C" w:rsidRPr="000870C5">
              <w:rPr>
                <w:rFonts w:ascii="Book Antiqua" w:eastAsia="Book Antiqua" w:hAnsi="Book Antiqua" w:cs="Book Antiqua"/>
                <w:b/>
              </w:rPr>
              <w:t xml:space="preserve"> </w:t>
            </w:r>
            <w:proofErr w:type="spellStart"/>
            <w:r w:rsidR="0018100C" w:rsidRPr="000870C5">
              <w:rPr>
                <w:rFonts w:ascii="Book Antiqua" w:eastAsia="Book Antiqua" w:hAnsi="Book Antiqua" w:cs="Book Antiqua"/>
                <w:b/>
              </w:rPr>
              <w:t>yr</w:t>
            </w:r>
            <w:proofErr w:type="spellEnd"/>
          </w:p>
        </w:tc>
        <w:tc>
          <w:tcPr>
            <w:tcW w:w="1577" w:type="dxa"/>
            <w:tcBorders>
              <w:top w:val="single" w:sz="8" w:space="0" w:color="auto"/>
              <w:bottom w:val="single" w:sz="8" w:space="0" w:color="auto"/>
            </w:tcBorders>
            <w:shd w:val="clear" w:color="auto" w:fill="auto"/>
            <w:tcMar>
              <w:top w:w="40" w:type="dxa"/>
              <w:left w:w="40" w:type="dxa"/>
              <w:bottom w:w="40" w:type="dxa"/>
              <w:right w:w="40" w:type="dxa"/>
            </w:tcMar>
          </w:tcPr>
          <w:p w14:paraId="448725F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b/>
              </w:rPr>
              <w:t>3</w:t>
            </w:r>
            <w:r w:rsidR="0018100C" w:rsidRPr="000870C5">
              <w:rPr>
                <w:rFonts w:ascii="Book Antiqua" w:eastAsia="Book Antiqua" w:hAnsi="Book Antiqua" w:cs="Book Antiqua"/>
                <w:b/>
              </w:rPr>
              <w:t xml:space="preserve"> </w:t>
            </w:r>
            <w:proofErr w:type="spellStart"/>
            <w:r w:rsidR="0018100C" w:rsidRPr="000870C5">
              <w:rPr>
                <w:rFonts w:ascii="Book Antiqua" w:eastAsia="Book Antiqua" w:hAnsi="Book Antiqua" w:cs="Book Antiqua"/>
                <w:b/>
              </w:rPr>
              <w:t>yr</w:t>
            </w:r>
            <w:proofErr w:type="spellEnd"/>
          </w:p>
        </w:tc>
        <w:tc>
          <w:tcPr>
            <w:tcW w:w="1577" w:type="dxa"/>
            <w:tcBorders>
              <w:top w:val="single" w:sz="8" w:space="0" w:color="auto"/>
              <w:bottom w:val="single" w:sz="8" w:space="0" w:color="auto"/>
            </w:tcBorders>
            <w:shd w:val="clear" w:color="auto" w:fill="auto"/>
            <w:tcMar>
              <w:top w:w="40" w:type="dxa"/>
              <w:left w:w="40" w:type="dxa"/>
              <w:bottom w:w="40" w:type="dxa"/>
              <w:right w:w="40" w:type="dxa"/>
            </w:tcMar>
          </w:tcPr>
          <w:p w14:paraId="0FC7DED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b/>
              </w:rPr>
              <w:t>5</w:t>
            </w:r>
            <w:r w:rsidR="008166E0" w:rsidRPr="000870C5">
              <w:rPr>
                <w:rFonts w:ascii="Book Antiqua" w:eastAsia="Book Antiqua" w:hAnsi="Book Antiqua" w:cs="Book Antiqua"/>
                <w:b/>
              </w:rPr>
              <w:t xml:space="preserve"> </w:t>
            </w:r>
            <w:proofErr w:type="spellStart"/>
            <w:r w:rsidR="0018100C" w:rsidRPr="000870C5">
              <w:rPr>
                <w:rFonts w:ascii="Book Antiqua" w:eastAsia="Book Antiqua" w:hAnsi="Book Antiqua" w:cs="Book Antiqua"/>
                <w:b/>
              </w:rPr>
              <w:t>yr</w:t>
            </w:r>
            <w:proofErr w:type="spellEnd"/>
          </w:p>
        </w:tc>
      </w:tr>
      <w:tr w:rsidR="005D6AA3" w:rsidRPr="000870C5" w14:paraId="69E53FF6" w14:textId="77777777" w:rsidTr="00B15B2D">
        <w:trPr>
          <w:trHeight w:val="323"/>
        </w:trPr>
        <w:tc>
          <w:tcPr>
            <w:tcW w:w="1979" w:type="dxa"/>
            <w:tcBorders>
              <w:top w:val="single" w:sz="8" w:space="0" w:color="auto"/>
            </w:tcBorders>
            <w:shd w:val="clear" w:color="auto" w:fill="auto"/>
            <w:tcMar>
              <w:top w:w="40" w:type="dxa"/>
              <w:left w:w="40" w:type="dxa"/>
              <w:bottom w:w="40" w:type="dxa"/>
              <w:right w:w="40" w:type="dxa"/>
            </w:tcMar>
            <w:vAlign w:val="bottom"/>
          </w:tcPr>
          <w:p w14:paraId="50EF4C87"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Acar</w:t>
            </w:r>
            <w:proofErr w:type="spellEnd"/>
            <w:r w:rsidRPr="000870C5">
              <w:rPr>
                <w:rFonts w:ascii="Book Antiqua" w:eastAsia="Book Antiqua" w:hAnsi="Book Antiqua" w:cs="Book Antiqua"/>
              </w:rPr>
              <w:t xml:space="preserve"> </w:t>
            </w:r>
            <w:r w:rsidR="00FD624A" w:rsidRPr="000870C5">
              <w:rPr>
                <w:rFonts w:ascii="Book Antiqua" w:eastAsia="Book Antiqua" w:hAnsi="Book Antiqua" w:cs="Book Antiqua"/>
                <w:i/>
              </w:rPr>
              <w:t>et al</w:t>
            </w:r>
            <w:r w:rsidR="00FD624A" w:rsidRPr="000870C5">
              <w:rPr>
                <w:rFonts w:ascii="Book Antiqua" w:eastAsia="Book Antiqua" w:hAnsi="Book Antiqua" w:cs="Book Antiqua"/>
                <w:vertAlign w:val="superscript"/>
              </w:rPr>
              <w:t>[11]</w:t>
            </w:r>
          </w:p>
        </w:tc>
        <w:tc>
          <w:tcPr>
            <w:tcW w:w="1174" w:type="dxa"/>
            <w:tcBorders>
              <w:top w:val="single" w:sz="8" w:space="0" w:color="auto"/>
            </w:tcBorders>
            <w:shd w:val="clear" w:color="auto" w:fill="auto"/>
            <w:tcMar>
              <w:top w:w="40" w:type="dxa"/>
              <w:left w:w="40" w:type="dxa"/>
              <w:bottom w:w="40" w:type="dxa"/>
              <w:right w:w="40" w:type="dxa"/>
            </w:tcMar>
            <w:vAlign w:val="bottom"/>
          </w:tcPr>
          <w:p w14:paraId="0757B62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2017</w:t>
            </w:r>
          </w:p>
        </w:tc>
        <w:tc>
          <w:tcPr>
            <w:tcW w:w="1577" w:type="dxa"/>
            <w:tcBorders>
              <w:top w:val="single" w:sz="8" w:space="0" w:color="auto"/>
            </w:tcBorders>
            <w:shd w:val="clear" w:color="auto" w:fill="auto"/>
            <w:tcMar>
              <w:top w:w="40" w:type="dxa"/>
              <w:left w:w="40" w:type="dxa"/>
              <w:bottom w:w="40" w:type="dxa"/>
              <w:right w:w="40" w:type="dxa"/>
            </w:tcMar>
            <w:vAlign w:val="bottom"/>
          </w:tcPr>
          <w:p w14:paraId="4AF2EDB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132</w:t>
            </w:r>
          </w:p>
        </w:tc>
        <w:tc>
          <w:tcPr>
            <w:tcW w:w="1577" w:type="dxa"/>
            <w:tcBorders>
              <w:top w:val="single" w:sz="8" w:space="0" w:color="auto"/>
            </w:tcBorders>
            <w:shd w:val="clear" w:color="auto" w:fill="auto"/>
            <w:tcMar>
              <w:top w:w="40" w:type="dxa"/>
              <w:left w:w="40" w:type="dxa"/>
              <w:bottom w:w="40" w:type="dxa"/>
              <w:right w:w="40" w:type="dxa"/>
            </w:tcMar>
            <w:vAlign w:val="bottom"/>
          </w:tcPr>
          <w:p w14:paraId="6496B4F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p>
        </w:tc>
        <w:tc>
          <w:tcPr>
            <w:tcW w:w="1577" w:type="dxa"/>
            <w:tcBorders>
              <w:top w:val="single" w:sz="8" w:space="0" w:color="auto"/>
            </w:tcBorders>
            <w:shd w:val="clear" w:color="auto" w:fill="auto"/>
            <w:tcMar>
              <w:top w:w="40" w:type="dxa"/>
              <w:left w:w="40" w:type="dxa"/>
              <w:bottom w:w="40" w:type="dxa"/>
              <w:right w:w="40" w:type="dxa"/>
            </w:tcMar>
            <w:vAlign w:val="bottom"/>
          </w:tcPr>
          <w:p w14:paraId="04A92AA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22</w:t>
            </w:r>
          </w:p>
        </w:tc>
        <w:tc>
          <w:tcPr>
            <w:tcW w:w="1577" w:type="dxa"/>
            <w:tcBorders>
              <w:top w:val="single" w:sz="8" w:space="0" w:color="auto"/>
            </w:tcBorders>
            <w:shd w:val="clear" w:color="auto" w:fill="auto"/>
            <w:tcMar>
              <w:top w:w="40" w:type="dxa"/>
              <w:left w:w="40" w:type="dxa"/>
              <w:bottom w:w="40" w:type="dxa"/>
              <w:right w:w="40" w:type="dxa"/>
            </w:tcMar>
            <w:vAlign w:val="bottom"/>
          </w:tcPr>
          <w:p w14:paraId="68D5B748" w14:textId="5B066E8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r>
      <w:tr w:rsidR="005D6AA3" w:rsidRPr="000870C5" w14:paraId="17C35F3C" w14:textId="77777777" w:rsidTr="00B15B2D">
        <w:trPr>
          <w:trHeight w:val="323"/>
        </w:trPr>
        <w:tc>
          <w:tcPr>
            <w:tcW w:w="1979" w:type="dxa"/>
            <w:shd w:val="clear" w:color="auto" w:fill="auto"/>
            <w:tcMar>
              <w:top w:w="40" w:type="dxa"/>
              <w:left w:w="40" w:type="dxa"/>
              <w:bottom w:w="40" w:type="dxa"/>
              <w:right w:w="40" w:type="dxa"/>
            </w:tcMar>
            <w:vAlign w:val="bottom"/>
          </w:tcPr>
          <w:p w14:paraId="1AD3B568"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Uzzaman</w:t>
            </w:r>
            <w:proofErr w:type="spellEnd"/>
            <w:r w:rsidRPr="000870C5">
              <w:rPr>
                <w:rFonts w:ascii="Book Antiqua" w:eastAsia="Book Antiqua" w:hAnsi="Book Antiqua" w:cs="Book Antiqua"/>
              </w:rPr>
              <w:t xml:space="preserve"> </w:t>
            </w:r>
            <w:r w:rsidR="00506D60" w:rsidRPr="000870C5">
              <w:rPr>
                <w:rFonts w:ascii="Book Antiqua" w:eastAsia="Book Antiqua" w:hAnsi="Book Antiqua" w:cs="Book Antiqua"/>
                <w:i/>
              </w:rPr>
              <w:t>et al</w:t>
            </w:r>
            <w:r w:rsidR="00506D60" w:rsidRPr="000870C5">
              <w:rPr>
                <w:rFonts w:ascii="Book Antiqua" w:eastAsia="Book Antiqua" w:hAnsi="Book Antiqua" w:cs="Book Antiqua"/>
                <w:vertAlign w:val="superscript"/>
              </w:rPr>
              <w:t>[26]</w:t>
            </w:r>
          </w:p>
        </w:tc>
        <w:tc>
          <w:tcPr>
            <w:tcW w:w="1174" w:type="dxa"/>
            <w:shd w:val="clear" w:color="auto" w:fill="auto"/>
            <w:tcMar>
              <w:top w:w="40" w:type="dxa"/>
              <w:left w:w="40" w:type="dxa"/>
              <w:bottom w:w="40" w:type="dxa"/>
              <w:right w:w="40" w:type="dxa"/>
            </w:tcMar>
            <w:vAlign w:val="bottom"/>
          </w:tcPr>
          <w:p w14:paraId="46E325F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2016</w:t>
            </w:r>
          </w:p>
        </w:tc>
        <w:tc>
          <w:tcPr>
            <w:tcW w:w="1577" w:type="dxa"/>
            <w:shd w:val="clear" w:color="auto" w:fill="auto"/>
            <w:tcMar>
              <w:top w:w="40" w:type="dxa"/>
              <w:left w:w="40" w:type="dxa"/>
              <w:bottom w:w="40" w:type="dxa"/>
              <w:right w:w="40" w:type="dxa"/>
            </w:tcMar>
            <w:vAlign w:val="bottom"/>
          </w:tcPr>
          <w:p w14:paraId="1334E7C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79</w:t>
            </w:r>
          </w:p>
        </w:tc>
        <w:tc>
          <w:tcPr>
            <w:tcW w:w="1577" w:type="dxa"/>
            <w:shd w:val="clear" w:color="auto" w:fill="auto"/>
            <w:tcMar>
              <w:top w:w="40" w:type="dxa"/>
              <w:left w:w="40" w:type="dxa"/>
              <w:bottom w:w="40" w:type="dxa"/>
              <w:right w:w="40" w:type="dxa"/>
            </w:tcMar>
            <w:vAlign w:val="bottom"/>
          </w:tcPr>
          <w:p w14:paraId="6FAD603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6951E9E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06878343"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13.9</w:t>
            </w:r>
          </w:p>
        </w:tc>
      </w:tr>
      <w:tr w:rsidR="005D6AA3" w:rsidRPr="000870C5" w14:paraId="3A71D611" w14:textId="77777777" w:rsidTr="00B15B2D">
        <w:trPr>
          <w:trHeight w:val="323"/>
        </w:trPr>
        <w:tc>
          <w:tcPr>
            <w:tcW w:w="1979" w:type="dxa"/>
            <w:shd w:val="clear" w:color="auto" w:fill="auto"/>
            <w:tcMar>
              <w:top w:w="40" w:type="dxa"/>
              <w:left w:w="40" w:type="dxa"/>
              <w:bottom w:w="40" w:type="dxa"/>
              <w:right w:w="40" w:type="dxa"/>
            </w:tcMar>
            <w:vAlign w:val="bottom"/>
          </w:tcPr>
          <w:p w14:paraId="3D29359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Chu</w:t>
            </w:r>
            <w:r w:rsidR="00506D60" w:rsidRPr="000870C5">
              <w:rPr>
                <w:rFonts w:ascii="Book Antiqua" w:eastAsia="Book Antiqua" w:hAnsi="Book Antiqua" w:cs="Book Antiqua"/>
              </w:rPr>
              <w:t xml:space="preserve"> </w:t>
            </w:r>
            <w:r w:rsidR="00506D60" w:rsidRPr="000870C5">
              <w:rPr>
                <w:rFonts w:ascii="Book Antiqua" w:eastAsia="Book Antiqua" w:hAnsi="Book Antiqua" w:cs="Book Antiqua"/>
                <w:i/>
              </w:rPr>
              <w:t>et al</w:t>
            </w:r>
            <w:r w:rsidR="00506D60" w:rsidRPr="000870C5">
              <w:rPr>
                <w:rFonts w:ascii="Book Antiqua" w:eastAsia="Book Antiqua" w:hAnsi="Book Antiqua" w:cs="Book Antiqua"/>
                <w:vertAlign w:val="superscript"/>
              </w:rPr>
              <w:t>[12]</w:t>
            </w:r>
          </w:p>
        </w:tc>
        <w:tc>
          <w:tcPr>
            <w:tcW w:w="1174" w:type="dxa"/>
            <w:shd w:val="clear" w:color="auto" w:fill="auto"/>
            <w:tcMar>
              <w:top w:w="40" w:type="dxa"/>
              <w:left w:w="40" w:type="dxa"/>
              <w:bottom w:w="40" w:type="dxa"/>
              <w:right w:w="40" w:type="dxa"/>
            </w:tcMar>
            <w:vAlign w:val="bottom"/>
          </w:tcPr>
          <w:p w14:paraId="70FAF0C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2014</w:t>
            </w:r>
          </w:p>
        </w:tc>
        <w:tc>
          <w:tcPr>
            <w:tcW w:w="1577" w:type="dxa"/>
            <w:shd w:val="clear" w:color="auto" w:fill="auto"/>
            <w:tcMar>
              <w:top w:w="40" w:type="dxa"/>
              <w:left w:w="40" w:type="dxa"/>
              <w:bottom w:w="40" w:type="dxa"/>
              <w:right w:w="40" w:type="dxa"/>
            </w:tcMar>
            <w:vAlign w:val="bottom"/>
          </w:tcPr>
          <w:p w14:paraId="65F3B7D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245</w:t>
            </w:r>
          </w:p>
        </w:tc>
        <w:tc>
          <w:tcPr>
            <w:tcW w:w="1577" w:type="dxa"/>
            <w:shd w:val="clear" w:color="auto" w:fill="auto"/>
            <w:tcMar>
              <w:top w:w="40" w:type="dxa"/>
              <w:left w:w="40" w:type="dxa"/>
              <w:bottom w:w="40" w:type="dxa"/>
              <w:right w:w="40" w:type="dxa"/>
            </w:tcMar>
            <w:vAlign w:val="bottom"/>
          </w:tcPr>
          <w:p w14:paraId="51E194B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12.5</w:t>
            </w:r>
          </w:p>
        </w:tc>
        <w:tc>
          <w:tcPr>
            <w:tcW w:w="1577" w:type="dxa"/>
            <w:shd w:val="clear" w:color="auto" w:fill="auto"/>
            <w:tcMar>
              <w:top w:w="40" w:type="dxa"/>
              <w:left w:w="40" w:type="dxa"/>
              <w:bottom w:w="40" w:type="dxa"/>
              <w:right w:w="40" w:type="dxa"/>
            </w:tcMar>
            <w:vAlign w:val="bottom"/>
          </w:tcPr>
          <w:p w14:paraId="56122A5C"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22.3</w:t>
            </w:r>
          </w:p>
        </w:tc>
        <w:tc>
          <w:tcPr>
            <w:tcW w:w="1577" w:type="dxa"/>
            <w:shd w:val="clear" w:color="auto" w:fill="auto"/>
            <w:tcMar>
              <w:top w:w="40" w:type="dxa"/>
              <w:left w:w="40" w:type="dxa"/>
              <w:bottom w:w="40" w:type="dxa"/>
              <w:right w:w="40" w:type="dxa"/>
            </w:tcMar>
            <w:vAlign w:val="bottom"/>
          </w:tcPr>
          <w:p w14:paraId="11EFE00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47.1</w:t>
            </w:r>
          </w:p>
        </w:tc>
      </w:tr>
      <w:tr w:rsidR="005D6AA3" w:rsidRPr="000870C5" w14:paraId="473EA5B6" w14:textId="77777777" w:rsidTr="00B15B2D">
        <w:trPr>
          <w:trHeight w:val="323"/>
        </w:trPr>
        <w:tc>
          <w:tcPr>
            <w:tcW w:w="1979" w:type="dxa"/>
            <w:shd w:val="clear" w:color="auto" w:fill="auto"/>
            <w:tcMar>
              <w:top w:w="40" w:type="dxa"/>
              <w:left w:w="40" w:type="dxa"/>
              <w:bottom w:w="40" w:type="dxa"/>
              <w:right w:w="40" w:type="dxa"/>
            </w:tcMar>
            <w:vAlign w:val="bottom"/>
          </w:tcPr>
          <w:p w14:paraId="3C2E1122"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Skoutas</w:t>
            </w:r>
            <w:proofErr w:type="spellEnd"/>
            <w:r w:rsidRPr="000870C5">
              <w:rPr>
                <w:rFonts w:ascii="Book Antiqua" w:eastAsia="Book Antiqua" w:hAnsi="Book Antiqua" w:cs="Book Antiqua"/>
              </w:rPr>
              <w:t xml:space="preserve"> </w:t>
            </w:r>
            <w:r w:rsidR="00506D60" w:rsidRPr="000870C5">
              <w:rPr>
                <w:rFonts w:ascii="Book Antiqua" w:eastAsia="Book Antiqua" w:hAnsi="Book Antiqua" w:cs="Book Antiqua"/>
                <w:i/>
              </w:rPr>
              <w:t>et al</w:t>
            </w:r>
            <w:r w:rsidR="00506D60" w:rsidRPr="000870C5">
              <w:rPr>
                <w:rFonts w:ascii="Book Antiqua" w:eastAsia="Book Antiqua" w:hAnsi="Book Antiqua" w:cs="Book Antiqua"/>
                <w:vertAlign w:val="superscript"/>
              </w:rPr>
              <w:t>[10]</w:t>
            </w:r>
          </w:p>
        </w:tc>
        <w:tc>
          <w:tcPr>
            <w:tcW w:w="1174" w:type="dxa"/>
            <w:shd w:val="clear" w:color="auto" w:fill="auto"/>
            <w:tcMar>
              <w:top w:w="40" w:type="dxa"/>
              <w:left w:w="40" w:type="dxa"/>
              <w:bottom w:w="40" w:type="dxa"/>
              <w:right w:w="40" w:type="dxa"/>
            </w:tcMar>
            <w:vAlign w:val="bottom"/>
          </w:tcPr>
          <w:p w14:paraId="4E541FB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2009</w:t>
            </w:r>
          </w:p>
        </w:tc>
        <w:tc>
          <w:tcPr>
            <w:tcW w:w="1577" w:type="dxa"/>
            <w:shd w:val="clear" w:color="auto" w:fill="auto"/>
            <w:tcMar>
              <w:top w:w="40" w:type="dxa"/>
              <w:left w:w="40" w:type="dxa"/>
              <w:bottom w:w="40" w:type="dxa"/>
              <w:right w:w="40" w:type="dxa"/>
            </w:tcMar>
            <w:vAlign w:val="bottom"/>
          </w:tcPr>
          <w:p w14:paraId="0C518B9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121</w:t>
            </w:r>
          </w:p>
        </w:tc>
        <w:tc>
          <w:tcPr>
            <w:tcW w:w="1577" w:type="dxa"/>
            <w:shd w:val="clear" w:color="auto" w:fill="auto"/>
            <w:tcMar>
              <w:top w:w="40" w:type="dxa"/>
              <w:left w:w="40" w:type="dxa"/>
              <w:bottom w:w="40" w:type="dxa"/>
              <w:right w:w="40" w:type="dxa"/>
            </w:tcMar>
            <w:vAlign w:val="bottom"/>
          </w:tcPr>
          <w:p w14:paraId="2F641C9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21.5</w:t>
            </w:r>
          </w:p>
        </w:tc>
        <w:tc>
          <w:tcPr>
            <w:tcW w:w="1577" w:type="dxa"/>
            <w:shd w:val="clear" w:color="auto" w:fill="auto"/>
            <w:tcMar>
              <w:top w:w="40" w:type="dxa"/>
              <w:left w:w="40" w:type="dxa"/>
              <w:bottom w:w="40" w:type="dxa"/>
              <w:right w:w="40" w:type="dxa"/>
            </w:tcMar>
            <w:vAlign w:val="bottom"/>
          </w:tcPr>
          <w:p w14:paraId="2EA950FA" w14:textId="32E5FC8F"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1577" w:type="dxa"/>
            <w:shd w:val="clear" w:color="auto" w:fill="auto"/>
            <w:tcMar>
              <w:top w:w="40" w:type="dxa"/>
              <w:left w:w="40" w:type="dxa"/>
              <w:bottom w:w="40" w:type="dxa"/>
              <w:right w:w="40" w:type="dxa"/>
            </w:tcMar>
            <w:vAlign w:val="bottom"/>
          </w:tcPr>
          <w:p w14:paraId="30946049" w14:textId="4C184B1D"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r>
      <w:tr w:rsidR="005D6AA3" w:rsidRPr="000870C5" w14:paraId="44DAA9CC" w14:textId="77777777" w:rsidTr="00B15B2D">
        <w:trPr>
          <w:trHeight w:val="323"/>
        </w:trPr>
        <w:tc>
          <w:tcPr>
            <w:tcW w:w="1979" w:type="dxa"/>
            <w:shd w:val="clear" w:color="auto" w:fill="auto"/>
            <w:tcMar>
              <w:top w:w="40" w:type="dxa"/>
              <w:left w:w="40" w:type="dxa"/>
              <w:bottom w:w="40" w:type="dxa"/>
              <w:right w:w="40" w:type="dxa"/>
            </w:tcMar>
            <w:vAlign w:val="bottom"/>
          </w:tcPr>
          <w:p w14:paraId="4968251D"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Ghanassia</w:t>
            </w:r>
            <w:proofErr w:type="spellEnd"/>
            <w:r w:rsidR="00506D60" w:rsidRPr="000870C5">
              <w:rPr>
                <w:rFonts w:ascii="Book Antiqua" w:eastAsia="Book Antiqua" w:hAnsi="Book Antiqua" w:cs="Book Antiqua"/>
                <w:i/>
              </w:rPr>
              <w:t xml:space="preserve"> et al</w:t>
            </w:r>
            <w:r w:rsidR="00506D60" w:rsidRPr="000870C5">
              <w:rPr>
                <w:rFonts w:ascii="Book Antiqua" w:eastAsia="Book Antiqua" w:hAnsi="Book Antiqua" w:cs="Book Antiqua"/>
                <w:vertAlign w:val="superscript"/>
              </w:rPr>
              <w:t>[8]</w:t>
            </w:r>
          </w:p>
        </w:tc>
        <w:tc>
          <w:tcPr>
            <w:tcW w:w="1174" w:type="dxa"/>
            <w:shd w:val="clear" w:color="auto" w:fill="auto"/>
            <w:tcMar>
              <w:top w:w="40" w:type="dxa"/>
              <w:left w:w="40" w:type="dxa"/>
              <w:bottom w:w="40" w:type="dxa"/>
              <w:right w:w="40" w:type="dxa"/>
            </w:tcMar>
            <w:vAlign w:val="bottom"/>
          </w:tcPr>
          <w:p w14:paraId="3B6495E3"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2008</w:t>
            </w:r>
          </w:p>
        </w:tc>
        <w:tc>
          <w:tcPr>
            <w:tcW w:w="1577" w:type="dxa"/>
            <w:shd w:val="clear" w:color="auto" w:fill="auto"/>
            <w:tcMar>
              <w:top w:w="40" w:type="dxa"/>
              <w:left w:w="40" w:type="dxa"/>
              <w:bottom w:w="40" w:type="dxa"/>
              <w:right w:w="40" w:type="dxa"/>
            </w:tcMar>
            <w:vAlign w:val="bottom"/>
          </w:tcPr>
          <w:p w14:paraId="1CD702D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39</w:t>
            </w:r>
          </w:p>
        </w:tc>
        <w:tc>
          <w:tcPr>
            <w:tcW w:w="1577" w:type="dxa"/>
            <w:shd w:val="clear" w:color="auto" w:fill="auto"/>
            <w:tcMar>
              <w:top w:w="40" w:type="dxa"/>
              <w:left w:w="40" w:type="dxa"/>
              <w:bottom w:w="40" w:type="dxa"/>
              <w:right w:w="40" w:type="dxa"/>
            </w:tcMar>
            <w:vAlign w:val="bottom"/>
          </w:tcPr>
          <w:p w14:paraId="7F943EE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753F07F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0E21E1A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55.6</w:t>
            </w:r>
          </w:p>
        </w:tc>
      </w:tr>
      <w:tr w:rsidR="005D6AA3" w:rsidRPr="000870C5" w14:paraId="213E3A9C" w14:textId="77777777" w:rsidTr="00B15B2D">
        <w:trPr>
          <w:trHeight w:val="323"/>
        </w:trPr>
        <w:tc>
          <w:tcPr>
            <w:tcW w:w="1979" w:type="dxa"/>
            <w:shd w:val="clear" w:color="auto" w:fill="auto"/>
            <w:tcMar>
              <w:top w:w="40" w:type="dxa"/>
              <w:left w:w="40" w:type="dxa"/>
              <w:bottom w:w="40" w:type="dxa"/>
              <w:right w:w="40" w:type="dxa"/>
            </w:tcMar>
            <w:vAlign w:val="bottom"/>
          </w:tcPr>
          <w:p w14:paraId="13B0C0B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 xml:space="preserve">Izumi </w:t>
            </w:r>
            <w:r w:rsidR="00506D60" w:rsidRPr="000870C5">
              <w:rPr>
                <w:rFonts w:ascii="Book Antiqua" w:eastAsia="Book Antiqua" w:hAnsi="Book Antiqua" w:cs="Book Antiqua"/>
                <w:i/>
              </w:rPr>
              <w:t>et al</w:t>
            </w:r>
            <w:r w:rsidR="00506D60" w:rsidRPr="000870C5">
              <w:rPr>
                <w:rFonts w:ascii="Book Antiqua" w:eastAsia="Book Antiqua" w:hAnsi="Book Antiqua" w:cs="Book Antiqua"/>
                <w:vertAlign w:val="superscript"/>
              </w:rPr>
              <w:t>[9]</w:t>
            </w:r>
          </w:p>
        </w:tc>
        <w:tc>
          <w:tcPr>
            <w:tcW w:w="1174" w:type="dxa"/>
            <w:shd w:val="clear" w:color="auto" w:fill="auto"/>
            <w:tcMar>
              <w:top w:w="40" w:type="dxa"/>
              <w:left w:w="40" w:type="dxa"/>
              <w:bottom w:w="40" w:type="dxa"/>
              <w:right w:w="40" w:type="dxa"/>
            </w:tcMar>
            <w:vAlign w:val="bottom"/>
          </w:tcPr>
          <w:p w14:paraId="7EDD080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2006</w:t>
            </w:r>
          </w:p>
        </w:tc>
        <w:tc>
          <w:tcPr>
            <w:tcW w:w="1577" w:type="dxa"/>
            <w:shd w:val="clear" w:color="auto" w:fill="auto"/>
            <w:tcMar>
              <w:top w:w="40" w:type="dxa"/>
              <w:left w:w="40" w:type="dxa"/>
              <w:bottom w:w="40" w:type="dxa"/>
              <w:right w:w="40" w:type="dxa"/>
            </w:tcMar>
            <w:vAlign w:val="bottom"/>
          </w:tcPr>
          <w:p w14:paraId="0089406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277</w:t>
            </w:r>
          </w:p>
        </w:tc>
        <w:tc>
          <w:tcPr>
            <w:tcW w:w="1577" w:type="dxa"/>
            <w:shd w:val="clear" w:color="auto" w:fill="auto"/>
            <w:tcMar>
              <w:top w:w="40" w:type="dxa"/>
              <w:left w:w="40" w:type="dxa"/>
              <w:bottom w:w="40" w:type="dxa"/>
              <w:right w:w="40" w:type="dxa"/>
            </w:tcMar>
            <w:vAlign w:val="bottom"/>
          </w:tcPr>
          <w:p w14:paraId="2C782C5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26.7</w:t>
            </w:r>
          </w:p>
        </w:tc>
        <w:tc>
          <w:tcPr>
            <w:tcW w:w="1577" w:type="dxa"/>
            <w:shd w:val="clear" w:color="auto" w:fill="auto"/>
            <w:tcMar>
              <w:top w:w="40" w:type="dxa"/>
              <w:left w:w="40" w:type="dxa"/>
              <w:bottom w:w="40" w:type="dxa"/>
              <w:right w:w="40" w:type="dxa"/>
            </w:tcMar>
            <w:vAlign w:val="bottom"/>
          </w:tcPr>
          <w:p w14:paraId="194A1B0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48.3</w:t>
            </w:r>
          </w:p>
        </w:tc>
        <w:tc>
          <w:tcPr>
            <w:tcW w:w="1577" w:type="dxa"/>
            <w:shd w:val="clear" w:color="auto" w:fill="auto"/>
            <w:tcMar>
              <w:top w:w="40" w:type="dxa"/>
              <w:left w:w="40" w:type="dxa"/>
              <w:bottom w:w="40" w:type="dxa"/>
              <w:right w:w="40" w:type="dxa"/>
            </w:tcMar>
            <w:vAlign w:val="bottom"/>
          </w:tcPr>
          <w:p w14:paraId="4AFB2EC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60.7</w:t>
            </w:r>
          </w:p>
        </w:tc>
      </w:tr>
      <w:tr w:rsidR="005D6AA3" w:rsidRPr="000870C5" w14:paraId="12301234" w14:textId="77777777" w:rsidTr="00B15B2D">
        <w:trPr>
          <w:trHeight w:val="323"/>
        </w:trPr>
        <w:tc>
          <w:tcPr>
            <w:tcW w:w="1979" w:type="dxa"/>
            <w:shd w:val="clear" w:color="auto" w:fill="auto"/>
            <w:tcMar>
              <w:top w:w="40" w:type="dxa"/>
              <w:left w:w="40" w:type="dxa"/>
              <w:bottom w:w="40" w:type="dxa"/>
              <w:right w:w="40" w:type="dxa"/>
            </w:tcMar>
            <w:vAlign w:val="bottom"/>
          </w:tcPr>
          <w:p w14:paraId="6B5B3834"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Faglia</w:t>
            </w:r>
            <w:proofErr w:type="spellEnd"/>
            <w:r w:rsidR="00506D60" w:rsidRPr="000870C5">
              <w:rPr>
                <w:rFonts w:ascii="Book Antiqua" w:eastAsia="Book Antiqua" w:hAnsi="Book Antiqua" w:cs="Book Antiqua"/>
                <w:i/>
              </w:rPr>
              <w:t xml:space="preserve"> et al</w:t>
            </w:r>
            <w:r w:rsidR="00506D60" w:rsidRPr="000870C5">
              <w:rPr>
                <w:rFonts w:ascii="Book Antiqua" w:eastAsia="Book Antiqua" w:hAnsi="Book Antiqua" w:cs="Book Antiqua"/>
                <w:vertAlign w:val="superscript"/>
              </w:rPr>
              <w:t>[20]</w:t>
            </w:r>
          </w:p>
        </w:tc>
        <w:tc>
          <w:tcPr>
            <w:tcW w:w="1174" w:type="dxa"/>
            <w:shd w:val="clear" w:color="auto" w:fill="auto"/>
            <w:tcMar>
              <w:top w:w="40" w:type="dxa"/>
              <w:left w:w="40" w:type="dxa"/>
              <w:bottom w:w="40" w:type="dxa"/>
              <w:right w:w="40" w:type="dxa"/>
            </w:tcMar>
            <w:vAlign w:val="bottom"/>
          </w:tcPr>
          <w:p w14:paraId="2588125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2001</w:t>
            </w:r>
          </w:p>
        </w:tc>
        <w:tc>
          <w:tcPr>
            <w:tcW w:w="1577" w:type="dxa"/>
            <w:shd w:val="clear" w:color="auto" w:fill="auto"/>
            <w:tcMar>
              <w:top w:w="40" w:type="dxa"/>
              <w:left w:w="40" w:type="dxa"/>
              <w:bottom w:w="40" w:type="dxa"/>
              <w:right w:w="40" w:type="dxa"/>
            </w:tcMar>
            <w:vAlign w:val="bottom"/>
          </w:tcPr>
          <w:p w14:paraId="70333E6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80</w:t>
            </w:r>
          </w:p>
        </w:tc>
        <w:tc>
          <w:tcPr>
            <w:tcW w:w="1577" w:type="dxa"/>
            <w:shd w:val="clear" w:color="auto" w:fill="auto"/>
            <w:tcMar>
              <w:top w:w="40" w:type="dxa"/>
              <w:left w:w="40" w:type="dxa"/>
              <w:bottom w:w="40" w:type="dxa"/>
              <w:right w:w="40" w:type="dxa"/>
            </w:tcMar>
            <w:vAlign w:val="bottom"/>
          </w:tcPr>
          <w:p w14:paraId="78EF0B1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1577" w:type="dxa"/>
            <w:shd w:val="clear" w:color="auto" w:fill="auto"/>
            <w:tcMar>
              <w:top w:w="40" w:type="dxa"/>
              <w:left w:w="40" w:type="dxa"/>
              <w:bottom w:w="40" w:type="dxa"/>
              <w:right w:w="40" w:type="dxa"/>
            </w:tcMar>
            <w:vAlign w:val="bottom"/>
          </w:tcPr>
          <w:p w14:paraId="0588E7B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c>
          <w:tcPr>
            <w:tcW w:w="1577" w:type="dxa"/>
            <w:shd w:val="clear" w:color="auto" w:fill="auto"/>
            <w:tcMar>
              <w:top w:w="40" w:type="dxa"/>
              <w:left w:w="40" w:type="dxa"/>
              <w:bottom w:w="40" w:type="dxa"/>
              <w:right w:w="40" w:type="dxa"/>
            </w:tcMar>
            <w:vAlign w:val="bottom"/>
          </w:tcPr>
          <w:p w14:paraId="702D3AA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0</w:t>
            </w:r>
          </w:p>
        </w:tc>
      </w:tr>
      <w:tr w:rsidR="005D6AA3" w:rsidRPr="000870C5" w14:paraId="33C84ACC" w14:textId="77777777" w:rsidTr="00B15B2D">
        <w:trPr>
          <w:trHeight w:val="323"/>
        </w:trPr>
        <w:tc>
          <w:tcPr>
            <w:tcW w:w="1979" w:type="dxa"/>
            <w:shd w:val="clear" w:color="auto" w:fill="auto"/>
            <w:tcMar>
              <w:top w:w="40" w:type="dxa"/>
              <w:left w:w="40" w:type="dxa"/>
              <w:bottom w:w="40" w:type="dxa"/>
              <w:right w:w="40" w:type="dxa"/>
            </w:tcMar>
            <w:vAlign w:val="bottom"/>
          </w:tcPr>
          <w:p w14:paraId="5937205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Murdoch</w:t>
            </w:r>
            <w:r w:rsidR="00506D60" w:rsidRPr="000870C5">
              <w:rPr>
                <w:rFonts w:ascii="Book Antiqua" w:eastAsia="Book Antiqua" w:hAnsi="Book Antiqua" w:cs="Book Antiqua"/>
                <w:i/>
              </w:rPr>
              <w:t xml:space="preserve"> et al</w:t>
            </w:r>
            <w:r w:rsidR="00506D60" w:rsidRPr="000870C5">
              <w:rPr>
                <w:rFonts w:ascii="Book Antiqua" w:eastAsia="Book Antiqua" w:hAnsi="Book Antiqua" w:cs="Book Antiqua"/>
                <w:vertAlign w:val="superscript"/>
              </w:rPr>
              <w:t>[6]</w:t>
            </w:r>
          </w:p>
        </w:tc>
        <w:tc>
          <w:tcPr>
            <w:tcW w:w="1174" w:type="dxa"/>
            <w:shd w:val="clear" w:color="auto" w:fill="auto"/>
            <w:tcMar>
              <w:top w:w="40" w:type="dxa"/>
              <w:left w:w="40" w:type="dxa"/>
              <w:bottom w:w="40" w:type="dxa"/>
              <w:right w:w="40" w:type="dxa"/>
            </w:tcMar>
            <w:vAlign w:val="bottom"/>
          </w:tcPr>
          <w:p w14:paraId="32E0A67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1997</w:t>
            </w:r>
          </w:p>
        </w:tc>
        <w:tc>
          <w:tcPr>
            <w:tcW w:w="1577" w:type="dxa"/>
            <w:shd w:val="clear" w:color="auto" w:fill="auto"/>
            <w:tcMar>
              <w:top w:w="40" w:type="dxa"/>
              <w:left w:w="40" w:type="dxa"/>
              <w:bottom w:w="40" w:type="dxa"/>
              <w:right w:w="40" w:type="dxa"/>
            </w:tcMar>
            <w:vAlign w:val="bottom"/>
          </w:tcPr>
          <w:p w14:paraId="6F5DE1B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90</w:t>
            </w:r>
          </w:p>
        </w:tc>
        <w:tc>
          <w:tcPr>
            <w:tcW w:w="1577" w:type="dxa"/>
            <w:shd w:val="clear" w:color="auto" w:fill="auto"/>
            <w:tcMar>
              <w:top w:w="40" w:type="dxa"/>
              <w:left w:w="40" w:type="dxa"/>
              <w:bottom w:w="40" w:type="dxa"/>
              <w:right w:w="40" w:type="dxa"/>
            </w:tcMar>
            <w:vAlign w:val="bottom"/>
          </w:tcPr>
          <w:p w14:paraId="7FA8165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6E6D2B8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p>
        </w:tc>
        <w:tc>
          <w:tcPr>
            <w:tcW w:w="1577" w:type="dxa"/>
            <w:shd w:val="clear" w:color="auto" w:fill="auto"/>
            <w:tcMar>
              <w:top w:w="40" w:type="dxa"/>
              <w:left w:w="40" w:type="dxa"/>
              <w:bottom w:w="40" w:type="dxa"/>
              <w:right w:w="40" w:type="dxa"/>
            </w:tcMar>
            <w:vAlign w:val="bottom"/>
          </w:tcPr>
          <w:p w14:paraId="6D2B5E2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60</w:t>
            </w:r>
          </w:p>
        </w:tc>
      </w:tr>
      <w:tr w:rsidR="005D6AA3" w:rsidRPr="000870C5" w14:paraId="44E119EB" w14:textId="77777777" w:rsidTr="00B15B2D">
        <w:trPr>
          <w:trHeight w:val="323"/>
        </w:trPr>
        <w:tc>
          <w:tcPr>
            <w:tcW w:w="1979" w:type="dxa"/>
            <w:shd w:val="clear" w:color="auto" w:fill="auto"/>
            <w:tcMar>
              <w:top w:w="40" w:type="dxa"/>
              <w:left w:w="40" w:type="dxa"/>
              <w:bottom w:w="40" w:type="dxa"/>
              <w:right w:w="40" w:type="dxa"/>
            </w:tcMar>
            <w:vAlign w:val="bottom"/>
          </w:tcPr>
          <w:p w14:paraId="25EA5059" w14:textId="2C10BF95" w:rsidR="005D6AA3" w:rsidRPr="000870C5" w:rsidRDefault="005D6AA3" w:rsidP="000870C5">
            <w:pPr>
              <w:widowControl w:val="0"/>
              <w:snapToGrid w:val="0"/>
              <w:spacing w:line="360" w:lineRule="auto"/>
              <w:jc w:val="both"/>
              <w:rPr>
                <w:rFonts w:ascii="Book Antiqua" w:eastAsia="Book Antiqua" w:hAnsi="Book Antiqua" w:cs="Book Antiqua"/>
                <w:vertAlign w:val="superscript"/>
              </w:rPr>
            </w:pPr>
            <w:proofErr w:type="spellStart"/>
            <w:r w:rsidRPr="000870C5">
              <w:rPr>
                <w:rFonts w:ascii="Book Antiqua" w:eastAsia="Book Antiqua" w:hAnsi="Book Antiqua" w:cs="Book Antiqua"/>
              </w:rPr>
              <w:t>Hosch</w:t>
            </w:r>
            <w:proofErr w:type="spellEnd"/>
            <w:r w:rsidRPr="000870C5">
              <w:rPr>
                <w:rFonts w:ascii="Book Antiqua" w:eastAsia="Book Antiqua" w:hAnsi="Book Antiqua" w:cs="Book Antiqua"/>
              </w:rPr>
              <w:t xml:space="preserve"> </w:t>
            </w:r>
            <w:r w:rsidRPr="000870C5">
              <w:rPr>
                <w:rFonts w:ascii="Book Antiqua" w:eastAsia="Book Antiqua" w:hAnsi="Book Antiqua" w:cs="Book Antiqua"/>
                <w:i/>
                <w:iCs/>
              </w:rPr>
              <w:t>et al</w:t>
            </w:r>
            <w:r w:rsidR="005124D7" w:rsidRPr="000870C5">
              <w:rPr>
                <w:rFonts w:ascii="Book Antiqua" w:eastAsia="Book Antiqua" w:hAnsi="Book Antiqua" w:cs="Book Antiqua"/>
                <w:iCs/>
                <w:vertAlign w:val="superscript"/>
              </w:rPr>
              <w:t>[</w:t>
            </w:r>
            <w:r w:rsidR="00FA073A" w:rsidRPr="000870C5">
              <w:rPr>
                <w:rFonts w:ascii="Book Antiqua" w:eastAsia="Book Antiqua" w:hAnsi="Book Antiqua" w:cs="Book Antiqua"/>
                <w:iCs/>
                <w:vertAlign w:val="superscript"/>
              </w:rPr>
              <w:t>29</w:t>
            </w:r>
            <w:r w:rsidR="005124D7" w:rsidRPr="000870C5">
              <w:rPr>
                <w:rFonts w:ascii="Book Antiqua" w:eastAsia="Book Antiqua" w:hAnsi="Book Antiqua" w:cs="Book Antiqua"/>
                <w:iCs/>
                <w:vertAlign w:val="superscript"/>
              </w:rPr>
              <w:t>]</w:t>
            </w:r>
          </w:p>
        </w:tc>
        <w:tc>
          <w:tcPr>
            <w:tcW w:w="1174" w:type="dxa"/>
            <w:shd w:val="clear" w:color="auto" w:fill="auto"/>
            <w:tcMar>
              <w:top w:w="40" w:type="dxa"/>
              <w:left w:w="40" w:type="dxa"/>
              <w:bottom w:w="40" w:type="dxa"/>
              <w:right w:w="40" w:type="dxa"/>
            </w:tcMar>
            <w:vAlign w:val="bottom"/>
          </w:tcPr>
          <w:p w14:paraId="291930D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1997</w:t>
            </w:r>
          </w:p>
        </w:tc>
        <w:tc>
          <w:tcPr>
            <w:tcW w:w="1577" w:type="dxa"/>
            <w:shd w:val="clear" w:color="auto" w:fill="auto"/>
            <w:tcMar>
              <w:top w:w="40" w:type="dxa"/>
              <w:left w:w="40" w:type="dxa"/>
              <w:bottom w:w="40" w:type="dxa"/>
              <w:right w:w="40" w:type="dxa"/>
            </w:tcMar>
            <w:vAlign w:val="bottom"/>
          </w:tcPr>
          <w:p w14:paraId="4672642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35</w:t>
            </w:r>
          </w:p>
        </w:tc>
        <w:tc>
          <w:tcPr>
            <w:tcW w:w="1577" w:type="dxa"/>
            <w:shd w:val="clear" w:color="auto" w:fill="auto"/>
            <w:tcMar>
              <w:top w:w="40" w:type="dxa"/>
              <w:left w:w="40" w:type="dxa"/>
              <w:bottom w:w="40" w:type="dxa"/>
              <w:right w:w="40" w:type="dxa"/>
            </w:tcMar>
            <w:vAlign w:val="bottom"/>
          </w:tcPr>
          <w:p w14:paraId="2D799FD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63</w:t>
            </w:r>
          </w:p>
        </w:tc>
        <w:tc>
          <w:tcPr>
            <w:tcW w:w="1577" w:type="dxa"/>
            <w:shd w:val="clear" w:color="auto" w:fill="auto"/>
            <w:tcMar>
              <w:top w:w="40" w:type="dxa"/>
              <w:left w:w="40" w:type="dxa"/>
              <w:bottom w:w="40" w:type="dxa"/>
              <w:right w:w="40" w:type="dxa"/>
            </w:tcMar>
            <w:vAlign w:val="bottom"/>
          </w:tcPr>
          <w:p w14:paraId="2DF5A2E5" w14:textId="3C16CDDF"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c>
          <w:tcPr>
            <w:tcW w:w="1577" w:type="dxa"/>
            <w:shd w:val="clear" w:color="auto" w:fill="auto"/>
            <w:tcMar>
              <w:top w:w="40" w:type="dxa"/>
              <w:left w:w="40" w:type="dxa"/>
              <w:bottom w:w="40" w:type="dxa"/>
              <w:right w:w="40" w:type="dxa"/>
            </w:tcMar>
            <w:vAlign w:val="bottom"/>
          </w:tcPr>
          <w:p w14:paraId="4376EFFA" w14:textId="51E4A845"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p>
        </w:tc>
      </w:tr>
      <w:tr w:rsidR="005D6AA3" w:rsidRPr="000870C5" w14:paraId="59EA1AA0" w14:textId="77777777" w:rsidTr="00B15B2D">
        <w:trPr>
          <w:trHeight w:val="323"/>
        </w:trPr>
        <w:tc>
          <w:tcPr>
            <w:tcW w:w="4731" w:type="dxa"/>
            <w:gridSpan w:val="3"/>
            <w:shd w:val="clear" w:color="auto" w:fill="auto"/>
            <w:tcMar>
              <w:top w:w="40" w:type="dxa"/>
              <w:left w:w="40" w:type="dxa"/>
              <w:bottom w:w="40" w:type="dxa"/>
              <w:right w:w="40" w:type="dxa"/>
            </w:tcMar>
            <w:vAlign w:val="bottom"/>
          </w:tcPr>
          <w:p w14:paraId="0AAC2CE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Weighted</w:t>
            </w:r>
            <w:r w:rsidR="003C034C" w:rsidRPr="000870C5">
              <w:rPr>
                <w:rFonts w:ascii="Book Antiqua" w:eastAsia="Book Antiqua" w:hAnsi="Book Antiqua" w:cs="Book Antiqua"/>
              </w:rPr>
              <w:t>,</w:t>
            </w:r>
            <w:r w:rsidRPr="000870C5">
              <w:rPr>
                <w:rFonts w:ascii="Book Antiqua" w:eastAsia="Book Antiqua" w:hAnsi="Book Antiqua" w:cs="Book Antiqua"/>
              </w:rPr>
              <w:t xml:space="preserve"> mean ± SD</w:t>
            </w:r>
          </w:p>
        </w:tc>
        <w:tc>
          <w:tcPr>
            <w:tcW w:w="1577" w:type="dxa"/>
            <w:shd w:val="clear" w:color="auto" w:fill="auto"/>
            <w:tcMar>
              <w:top w:w="40" w:type="dxa"/>
              <w:left w:w="40" w:type="dxa"/>
              <w:bottom w:w="40" w:type="dxa"/>
              <w:right w:w="40" w:type="dxa"/>
            </w:tcMar>
            <w:vAlign w:val="bottom"/>
          </w:tcPr>
          <w:p w14:paraId="0A428BC8" w14:textId="77777777" w:rsidR="005D6AA3" w:rsidRPr="000870C5" w:rsidRDefault="005D6AA3" w:rsidP="000870C5">
            <w:pPr>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20.14 ± 3.55</w:t>
            </w:r>
          </w:p>
        </w:tc>
        <w:tc>
          <w:tcPr>
            <w:tcW w:w="1577" w:type="dxa"/>
            <w:shd w:val="clear" w:color="auto" w:fill="auto"/>
            <w:tcMar>
              <w:top w:w="40" w:type="dxa"/>
              <w:left w:w="40" w:type="dxa"/>
              <w:bottom w:w="40" w:type="dxa"/>
              <w:right w:w="40" w:type="dxa"/>
            </w:tcMar>
            <w:vAlign w:val="bottom"/>
          </w:tcPr>
          <w:p w14:paraId="35F93B8B" w14:textId="77777777" w:rsidR="005D6AA3" w:rsidRPr="000870C5" w:rsidRDefault="005D6AA3" w:rsidP="000870C5">
            <w:pPr>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29.63 ± 8.35</w:t>
            </w:r>
          </w:p>
        </w:tc>
        <w:tc>
          <w:tcPr>
            <w:tcW w:w="1577" w:type="dxa"/>
            <w:shd w:val="clear" w:color="auto" w:fill="auto"/>
            <w:tcMar>
              <w:top w:w="40" w:type="dxa"/>
              <w:left w:w="40" w:type="dxa"/>
              <w:bottom w:w="40" w:type="dxa"/>
              <w:right w:w="40" w:type="dxa"/>
            </w:tcMar>
            <w:vAlign w:val="bottom"/>
          </w:tcPr>
          <w:p w14:paraId="356E0CB4" w14:textId="77777777" w:rsidR="005D6AA3" w:rsidRPr="000870C5" w:rsidRDefault="005D6AA3" w:rsidP="000870C5">
            <w:pPr>
              <w:snapToGrid w:val="0"/>
              <w:spacing w:line="360" w:lineRule="auto"/>
              <w:jc w:val="both"/>
              <w:rPr>
                <w:rFonts w:ascii="Book Antiqua" w:eastAsia="Book Antiqua" w:hAnsi="Book Antiqua" w:cs="Book Antiqua"/>
              </w:rPr>
            </w:pPr>
            <w:r w:rsidRPr="000870C5">
              <w:rPr>
                <w:rFonts w:ascii="Book Antiqua" w:eastAsia="Book Antiqua" w:hAnsi="Book Antiqua" w:cs="Book Antiqua"/>
              </w:rPr>
              <w:t>45.72 ± 9.09</w:t>
            </w:r>
          </w:p>
        </w:tc>
      </w:tr>
    </w:tbl>
    <w:p w14:paraId="050C3FAD" w14:textId="20CB0677" w:rsidR="005D6AA3" w:rsidRPr="000870C5" w:rsidRDefault="005D6AA3" w:rsidP="000870C5">
      <w:pPr>
        <w:snapToGrid w:val="0"/>
        <w:spacing w:line="360" w:lineRule="auto"/>
        <w:jc w:val="both"/>
        <w:rPr>
          <w:rFonts w:ascii="Book Antiqua" w:eastAsia="Book Antiqua" w:hAnsi="Book Antiqua" w:cs="Book Antiqua"/>
        </w:rPr>
      </w:pPr>
      <w:r w:rsidRPr="000870C5">
        <w:rPr>
          <w:rFonts w:ascii="Book Antiqua" w:eastAsia="Book Antiqua" w:hAnsi="Book Antiqua" w:cs="Book Antiqua"/>
        </w:rPr>
        <w:t>NS</w:t>
      </w:r>
      <w:r w:rsidR="00A9112B" w:rsidRPr="000870C5">
        <w:rPr>
          <w:rFonts w:ascii="Book Antiqua" w:eastAsia="Book Antiqua" w:hAnsi="Book Antiqua" w:cs="Book Antiqua"/>
        </w:rPr>
        <w:t xml:space="preserve">: </w:t>
      </w:r>
      <w:r w:rsidRPr="000870C5">
        <w:rPr>
          <w:rFonts w:ascii="Book Antiqua" w:eastAsia="Book Antiqua" w:hAnsi="Book Antiqua" w:cs="Book Antiqua"/>
        </w:rPr>
        <w:t xml:space="preserve">Not </w:t>
      </w:r>
      <w:r w:rsidR="00A9112B" w:rsidRPr="000870C5">
        <w:rPr>
          <w:rFonts w:ascii="Book Antiqua" w:eastAsia="Book Antiqua" w:hAnsi="Book Antiqua" w:cs="Book Antiqua"/>
        </w:rPr>
        <w:t xml:space="preserve">specified; </w:t>
      </w:r>
      <w:r w:rsidRPr="000870C5">
        <w:rPr>
          <w:rFonts w:ascii="Book Antiqua" w:eastAsia="Book Antiqua" w:hAnsi="Book Antiqua" w:cs="Book Antiqua"/>
        </w:rPr>
        <w:t>N</w:t>
      </w:r>
      <w:r w:rsidR="004130C5">
        <w:rPr>
          <w:rFonts w:ascii="Book Antiqua" w:eastAsia="Book Antiqua" w:hAnsi="Book Antiqua" w:cs="Book Antiqua"/>
        </w:rPr>
        <w:t>/</w:t>
      </w:r>
      <w:r w:rsidRPr="000870C5">
        <w:rPr>
          <w:rFonts w:ascii="Book Antiqua" w:eastAsia="Book Antiqua" w:hAnsi="Book Antiqua" w:cs="Book Antiqua"/>
        </w:rPr>
        <w:t>A</w:t>
      </w:r>
      <w:r w:rsidR="00A9112B" w:rsidRPr="000870C5">
        <w:rPr>
          <w:rFonts w:ascii="Book Antiqua" w:eastAsia="Book Antiqua" w:hAnsi="Book Antiqua" w:cs="Book Antiqua"/>
        </w:rPr>
        <w:t xml:space="preserve">: </w:t>
      </w:r>
      <w:r w:rsidRPr="000870C5">
        <w:rPr>
          <w:rFonts w:ascii="Book Antiqua" w:eastAsia="Book Antiqua" w:hAnsi="Book Antiqua" w:cs="Book Antiqua"/>
        </w:rPr>
        <w:t xml:space="preserve">Not </w:t>
      </w:r>
      <w:r w:rsidR="00A9112B" w:rsidRPr="000870C5">
        <w:rPr>
          <w:rFonts w:ascii="Book Antiqua" w:eastAsia="Book Antiqua" w:hAnsi="Book Antiqua" w:cs="Book Antiqua"/>
        </w:rPr>
        <w:t>applicable.</w:t>
      </w:r>
    </w:p>
    <w:p w14:paraId="41F37144" w14:textId="77777777" w:rsidR="005D6AA3" w:rsidRPr="000870C5" w:rsidRDefault="005D6AA3" w:rsidP="000870C5">
      <w:pPr>
        <w:snapToGrid w:val="0"/>
        <w:spacing w:line="360" w:lineRule="auto"/>
        <w:jc w:val="both"/>
        <w:rPr>
          <w:rFonts w:ascii="Book Antiqua" w:eastAsia="Book Antiqua" w:hAnsi="Book Antiqua" w:cs="Book Antiqua"/>
          <w:b/>
        </w:rPr>
      </w:pPr>
      <w:r w:rsidRPr="000870C5">
        <w:rPr>
          <w:rFonts w:ascii="Book Antiqua" w:hAnsi="Book Antiqua"/>
        </w:rPr>
        <w:br w:type="page"/>
      </w:r>
      <w:r w:rsidRPr="000870C5">
        <w:rPr>
          <w:rFonts w:ascii="Book Antiqua" w:eastAsia="Book Antiqua" w:hAnsi="Book Antiqua" w:cs="Book Antiqua"/>
          <w:b/>
        </w:rPr>
        <w:lastRenderedPageBreak/>
        <w:t>Table 3</w:t>
      </w:r>
      <w:r w:rsidR="00B06483" w:rsidRPr="000870C5">
        <w:rPr>
          <w:rFonts w:ascii="Book Antiqua" w:eastAsia="Book Antiqua" w:hAnsi="Book Antiqua" w:cs="Book Antiqua"/>
          <w:b/>
        </w:rPr>
        <w:t xml:space="preserve"> </w:t>
      </w:r>
      <w:r w:rsidRPr="000870C5">
        <w:rPr>
          <w:rFonts w:ascii="Book Antiqua" w:eastAsia="Book Antiqua" w:hAnsi="Book Antiqua" w:cs="Book Antiqua"/>
          <w:b/>
        </w:rPr>
        <w:t>Mortality at 1, 3 and 5 years in patients who previously had had a lower extremity amputation due to diabetes foot ulcer</w:t>
      </w:r>
    </w:p>
    <w:tbl>
      <w:tblPr>
        <w:tblW w:w="9651" w:type="dxa"/>
        <w:tblBorders>
          <w:top w:val="single" w:sz="6" w:space="0" w:color="auto"/>
          <w:bottom w:val="single" w:sz="6" w:space="0" w:color="auto"/>
        </w:tblBorders>
        <w:tblLayout w:type="fixed"/>
        <w:tblLook w:val="0600" w:firstRow="0" w:lastRow="0" w:firstColumn="0" w:lastColumn="0" w:noHBand="1" w:noVBand="1"/>
      </w:tblPr>
      <w:tblGrid>
        <w:gridCol w:w="1883"/>
        <w:gridCol w:w="851"/>
        <w:gridCol w:w="911"/>
        <w:gridCol w:w="1201"/>
        <w:gridCol w:w="1202"/>
        <w:gridCol w:w="1201"/>
        <w:gridCol w:w="1201"/>
        <w:gridCol w:w="1201"/>
      </w:tblGrid>
      <w:tr w:rsidR="005D6AA3" w:rsidRPr="000870C5" w14:paraId="332EC5BF" w14:textId="77777777" w:rsidTr="004F7A7D">
        <w:trPr>
          <w:trHeight w:val="303"/>
        </w:trPr>
        <w:tc>
          <w:tcPr>
            <w:tcW w:w="1883" w:type="dxa"/>
            <w:vMerge w:val="restart"/>
            <w:tcBorders>
              <w:top w:val="single" w:sz="6" w:space="0" w:color="auto"/>
              <w:bottom w:val="single" w:sz="6" w:space="0" w:color="auto"/>
            </w:tcBorders>
            <w:tcMar>
              <w:top w:w="40" w:type="dxa"/>
              <w:left w:w="40" w:type="dxa"/>
              <w:bottom w:w="40" w:type="dxa"/>
              <w:right w:w="40" w:type="dxa"/>
            </w:tcMar>
          </w:tcPr>
          <w:p w14:paraId="334D17FE" w14:textId="77777777" w:rsidR="005D6AA3" w:rsidRPr="000870C5" w:rsidRDefault="00506D60" w:rsidP="000870C5">
            <w:pPr>
              <w:widowControl w:val="0"/>
              <w:snapToGrid w:val="0"/>
              <w:spacing w:line="360" w:lineRule="auto"/>
              <w:jc w:val="both"/>
              <w:rPr>
                <w:rFonts w:ascii="Book Antiqua" w:eastAsia="Book Antiqua" w:hAnsi="Book Antiqua" w:cs="Book Antiqua"/>
                <w:b/>
              </w:rPr>
            </w:pPr>
            <w:r w:rsidRPr="000870C5">
              <w:rPr>
                <w:rFonts w:ascii="Book Antiqua" w:eastAsia="Book Antiqua" w:hAnsi="Book Antiqua" w:cs="Book Antiqua"/>
                <w:b/>
              </w:rPr>
              <w:t>Ref.</w:t>
            </w:r>
          </w:p>
        </w:tc>
        <w:tc>
          <w:tcPr>
            <w:tcW w:w="851" w:type="dxa"/>
            <w:vMerge w:val="restart"/>
            <w:tcBorders>
              <w:top w:val="single" w:sz="6" w:space="0" w:color="auto"/>
              <w:bottom w:val="single" w:sz="6" w:space="0" w:color="auto"/>
            </w:tcBorders>
            <w:tcMar>
              <w:top w:w="40" w:type="dxa"/>
              <w:left w:w="40" w:type="dxa"/>
              <w:bottom w:w="40" w:type="dxa"/>
              <w:right w:w="40" w:type="dxa"/>
            </w:tcMar>
          </w:tcPr>
          <w:p w14:paraId="2F9E4065" w14:textId="77777777" w:rsidR="005D6AA3" w:rsidRPr="000870C5" w:rsidRDefault="005D6AA3" w:rsidP="000870C5">
            <w:pPr>
              <w:widowControl w:val="0"/>
              <w:snapToGrid w:val="0"/>
              <w:spacing w:line="360" w:lineRule="auto"/>
              <w:jc w:val="both"/>
              <w:rPr>
                <w:rFonts w:ascii="Book Antiqua" w:eastAsia="Book Antiqua" w:hAnsi="Book Antiqua" w:cs="Book Antiqua"/>
                <w:b/>
              </w:rPr>
            </w:pPr>
            <w:r w:rsidRPr="000870C5">
              <w:rPr>
                <w:rFonts w:ascii="Book Antiqua" w:eastAsia="Book Antiqua" w:hAnsi="Book Antiqua" w:cs="Book Antiqua"/>
                <w:b/>
              </w:rPr>
              <w:t>Year</w:t>
            </w:r>
          </w:p>
        </w:tc>
        <w:tc>
          <w:tcPr>
            <w:tcW w:w="911" w:type="dxa"/>
            <w:vMerge w:val="restart"/>
            <w:tcBorders>
              <w:top w:val="single" w:sz="6" w:space="0" w:color="auto"/>
              <w:bottom w:val="single" w:sz="6" w:space="0" w:color="auto"/>
            </w:tcBorders>
            <w:tcMar>
              <w:top w:w="40" w:type="dxa"/>
              <w:left w:w="40" w:type="dxa"/>
              <w:bottom w:w="40" w:type="dxa"/>
              <w:right w:w="40" w:type="dxa"/>
            </w:tcMar>
          </w:tcPr>
          <w:p w14:paraId="6519235A" w14:textId="77777777" w:rsidR="005D6AA3" w:rsidRPr="000870C5" w:rsidRDefault="004077B3" w:rsidP="000870C5">
            <w:pPr>
              <w:widowControl w:val="0"/>
              <w:snapToGrid w:val="0"/>
              <w:spacing w:line="360" w:lineRule="auto"/>
              <w:jc w:val="both"/>
              <w:rPr>
                <w:rFonts w:ascii="Book Antiqua" w:eastAsia="Book Antiqua" w:hAnsi="Book Antiqua" w:cs="Book Antiqua"/>
                <w:b/>
                <w:i/>
              </w:rPr>
            </w:pPr>
            <w:r w:rsidRPr="000870C5">
              <w:rPr>
                <w:rFonts w:ascii="Book Antiqua" w:eastAsia="Book Antiqua" w:hAnsi="Book Antiqua" w:cs="Book Antiqua"/>
                <w:b/>
                <w:i/>
              </w:rPr>
              <w:t>n</w:t>
            </w:r>
          </w:p>
        </w:tc>
        <w:tc>
          <w:tcPr>
            <w:tcW w:w="1201" w:type="dxa"/>
            <w:vMerge w:val="restart"/>
            <w:tcBorders>
              <w:top w:val="single" w:sz="6" w:space="0" w:color="auto"/>
              <w:bottom w:val="single" w:sz="6" w:space="0" w:color="auto"/>
            </w:tcBorders>
            <w:tcMar>
              <w:top w:w="40" w:type="dxa"/>
              <w:left w:w="40" w:type="dxa"/>
              <w:bottom w:w="40" w:type="dxa"/>
              <w:right w:w="40" w:type="dxa"/>
            </w:tcMar>
          </w:tcPr>
          <w:p w14:paraId="106E2A89" w14:textId="77777777" w:rsidR="005D6AA3" w:rsidRPr="000870C5" w:rsidRDefault="005D6AA3" w:rsidP="000870C5">
            <w:pPr>
              <w:widowControl w:val="0"/>
              <w:snapToGrid w:val="0"/>
              <w:spacing w:line="360" w:lineRule="auto"/>
              <w:jc w:val="both"/>
              <w:rPr>
                <w:rFonts w:ascii="Book Antiqua" w:eastAsia="Book Antiqua" w:hAnsi="Book Antiqua" w:cs="Book Antiqua"/>
                <w:b/>
              </w:rPr>
            </w:pPr>
            <w:r w:rsidRPr="000870C5">
              <w:rPr>
                <w:rFonts w:ascii="Book Antiqua" w:eastAsia="Book Antiqua" w:hAnsi="Book Antiqua" w:cs="Book Antiqua"/>
                <w:b/>
              </w:rPr>
              <w:t xml:space="preserve">Mean </w:t>
            </w:r>
            <w:r w:rsidR="004077B3" w:rsidRPr="000870C5">
              <w:rPr>
                <w:rFonts w:ascii="Book Antiqua" w:eastAsia="Book Antiqua" w:hAnsi="Book Antiqua" w:cs="Book Antiqua"/>
                <w:b/>
              </w:rPr>
              <w:t>a</w:t>
            </w:r>
            <w:r w:rsidRPr="000870C5">
              <w:rPr>
                <w:rFonts w:ascii="Book Antiqua" w:eastAsia="Book Antiqua" w:hAnsi="Book Antiqua" w:cs="Book Antiqua"/>
                <w:b/>
              </w:rPr>
              <w:t>ge</w:t>
            </w:r>
          </w:p>
        </w:tc>
        <w:tc>
          <w:tcPr>
            <w:tcW w:w="1202" w:type="dxa"/>
            <w:vMerge w:val="restart"/>
            <w:tcBorders>
              <w:top w:val="single" w:sz="6" w:space="0" w:color="auto"/>
              <w:bottom w:val="single" w:sz="6" w:space="0" w:color="auto"/>
            </w:tcBorders>
            <w:tcMar>
              <w:top w:w="40" w:type="dxa"/>
              <w:left w:w="40" w:type="dxa"/>
              <w:bottom w:w="40" w:type="dxa"/>
              <w:right w:w="40" w:type="dxa"/>
            </w:tcMar>
          </w:tcPr>
          <w:p w14:paraId="6D628064" w14:textId="77777777" w:rsidR="005D6AA3" w:rsidRPr="000870C5" w:rsidRDefault="005D6AA3" w:rsidP="000870C5">
            <w:pPr>
              <w:widowControl w:val="0"/>
              <w:snapToGrid w:val="0"/>
              <w:spacing w:line="360" w:lineRule="auto"/>
              <w:jc w:val="both"/>
              <w:rPr>
                <w:rFonts w:ascii="Book Antiqua" w:eastAsia="Book Antiqua" w:hAnsi="Book Antiqua" w:cs="Book Antiqua"/>
                <w:b/>
              </w:rPr>
            </w:pPr>
            <w:r w:rsidRPr="000870C5">
              <w:rPr>
                <w:rFonts w:ascii="Book Antiqua" w:eastAsia="Book Antiqua" w:hAnsi="Book Antiqua" w:cs="Book Antiqua"/>
                <w:b/>
              </w:rPr>
              <w:t>Male</w:t>
            </w:r>
            <w:r w:rsidR="004077B3" w:rsidRPr="000870C5">
              <w:rPr>
                <w:rFonts w:ascii="Book Antiqua" w:eastAsia="Book Antiqua" w:hAnsi="Book Antiqua" w:cs="Book Antiqua"/>
                <w:b/>
              </w:rPr>
              <w:t>,</w:t>
            </w:r>
            <w:r w:rsidRPr="000870C5">
              <w:rPr>
                <w:rFonts w:ascii="Book Antiqua" w:eastAsia="Book Antiqua" w:hAnsi="Book Antiqua" w:cs="Book Antiqua"/>
                <w:b/>
              </w:rPr>
              <w:t xml:space="preserve"> %</w:t>
            </w:r>
          </w:p>
        </w:tc>
        <w:tc>
          <w:tcPr>
            <w:tcW w:w="3603" w:type="dxa"/>
            <w:gridSpan w:val="3"/>
            <w:tcBorders>
              <w:top w:val="single" w:sz="6" w:space="0" w:color="auto"/>
              <w:bottom w:val="single" w:sz="6" w:space="0" w:color="auto"/>
            </w:tcBorders>
            <w:tcMar>
              <w:top w:w="40" w:type="dxa"/>
              <w:left w:w="40" w:type="dxa"/>
              <w:bottom w:w="40" w:type="dxa"/>
              <w:right w:w="40" w:type="dxa"/>
            </w:tcMar>
          </w:tcPr>
          <w:p w14:paraId="76E4662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b/>
              </w:rPr>
              <w:t>Mortality</w:t>
            </w:r>
            <w:r w:rsidR="004077B3" w:rsidRPr="000870C5">
              <w:rPr>
                <w:rFonts w:ascii="Book Antiqua" w:eastAsia="Book Antiqua" w:hAnsi="Book Antiqua" w:cs="Book Antiqua"/>
                <w:b/>
              </w:rPr>
              <w:t>,</w:t>
            </w:r>
            <w:r w:rsidRPr="000870C5">
              <w:rPr>
                <w:rFonts w:ascii="Book Antiqua" w:eastAsia="Book Antiqua" w:hAnsi="Book Antiqua" w:cs="Book Antiqua"/>
                <w:b/>
              </w:rPr>
              <w:t xml:space="preserve"> %</w:t>
            </w:r>
          </w:p>
        </w:tc>
      </w:tr>
      <w:tr w:rsidR="005D6AA3" w:rsidRPr="000870C5" w14:paraId="7AB36793" w14:textId="77777777" w:rsidTr="004F7A7D">
        <w:trPr>
          <w:trHeight w:val="303"/>
        </w:trPr>
        <w:tc>
          <w:tcPr>
            <w:tcW w:w="1883" w:type="dxa"/>
            <w:vMerge/>
            <w:tcBorders>
              <w:top w:val="single" w:sz="6" w:space="0" w:color="auto"/>
              <w:bottom w:val="single" w:sz="6" w:space="0" w:color="auto"/>
            </w:tcBorders>
            <w:tcMar>
              <w:top w:w="40" w:type="dxa"/>
              <w:left w:w="40" w:type="dxa"/>
              <w:bottom w:w="40" w:type="dxa"/>
              <w:right w:w="40" w:type="dxa"/>
            </w:tcMar>
          </w:tcPr>
          <w:p w14:paraId="24650E6C" w14:textId="77777777" w:rsidR="005D6AA3" w:rsidRPr="000870C5"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851" w:type="dxa"/>
            <w:vMerge/>
            <w:tcBorders>
              <w:top w:val="single" w:sz="6" w:space="0" w:color="auto"/>
              <w:bottom w:val="single" w:sz="6" w:space="0" w:color="auto"/>
            </w:tcBorders>
            <w:tcMar>
              <w:top w:w="40" w:type="dxa"/>
              <w:left w:w="40" w:type="dxa"/>
              <w:bottom w:w="40" w:type="dxa"/>
              <w:right w:w="40" w:type="dxa"/>
            </w:tcMar>
          </w:tcPr>
          <w:p w14:paraId="53E71D80" w14:textId="77777777" w:rsidR="005D6AA3" w:rsidRPr="000870C5"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911" w:type="dxa"/>
            <w:vMerge/>
            <w:tcBorders>
              <w:top w:val="single" w:sz="6" w:space="0" w:color="auto"/>
              <w:bottom w:val="single" w:sz="6" w:space="0" w:color="auto"/>
            </w:tcBorders>
            <w:tcMar>
              <w:top w:w="40" w:type="dxa"/>
              <w:left w:w="40" w:type="dxa"/>
              <w:bottom w:w="40" w:type="dxa"/>
              <w:right w:w="40" w:type="dxa"/>
            </w:tcMar>
          </w:tcPr>
          <w:p w14:paraId="6463904A" w14:textId="77777777" w:rsidR="005D6AA3" w:rsidRPr="000870C5"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201" w:type="dxa"/>
            <w:vMerge/>
            <w:tcBorders>
              <w:top w:val="single" w:sz="6" w:space="0" w:color="auto"/>
              <w:bottom w:val="single" w:sz="6" w:space="0" w:color="auto"/>
            </w:tcBorders>
            <w:tcMar>
              <w:top w:w="40" w:type="dxa"/>
              <w:left w:w="40" w:type="dxa"/>
              <w:bottom w:w="40" w:type="dxa"/>
              <w:right w:w="40" w:type="dxa"/>
            </w:tcMar>
          </w:tcPr>
          <w:p w14:paraId="5AA34A16" w14:textId="77777777" w:rsidR="005D6AA3" w:rsidRPr="000870C5"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202" w:type="dxa"/>
            <w:vMerge/>
            <w:tcBorders>
              <w:top w:val="single" w:sz="6" w:space="0" w:color="auto"/>
              <w:bottom w:val="single" w:sz="6" w:space="0" w:color="auto"/>
            </w:tcBorders>
            <w:tcMar>
              <w:top w:w="40" w:type="dxa"/>
              <w:left w:w="40" w:type="dxa"/>
              <w:bottom w:w="40" w:type="dxa"/>
              <w:right w:w="40" w:type="dxa"/>
            </w:tcMar>
          </w:tcPr>
          <w:p w14:paraId="455E1AB7" w14:textId="77777777" w:rsidR="005D6AA3" w:rsidRPr="000870C5" w:rsidRDefault="005D6AA3" w:rsidP="000870C5">
            <w:pPr>
              <w:widowControl w:val="0"/>
              <w:pBdr>
                <w:top w:val="nil"/>
                <w:left w:val="nil"/>
                <w:bottom w:val="nil"/>
                <w:right w:val="nil"/>
                <w:between w:val="nil"/>
              </w:pBdr>
              <w:snapToGrid w:val="0"/>
              <w:spacing w:line="360" w:lineRule="auto"/>
              <w:rPr>
                <w:rFonts w:ascii="Book Antiqua" w:eastAsia="Book Antiqua" w:hAnsi="Book Antiqua" w:cs="Book Antiqua"/>
              </w:rPr>
            </w:pPr>
          </w:p>
        </w:tc>
        <w:tc>
          <w:tcPr>
            <w:tcW w:w="1201" w:type="dxa"/>
            <w:tcBorders>
              <w:top w:val="single" w:sz="6" w:space="0" w:color="auto"/>
              <w:bottom w:val="single" w:sz="6" w:space="0" w:color="auto"/>
            </w:tcBorders>
            <w:shd w:val="clear" w:color="auto" w:fill="auto"/>
            <w:tcMar>
              <w:top w:w="40" w:type="dxa"/>
              <w:left w:w="40" w:type="dxa"/>
              <w:bottom w:w="40" w:type="dxa"/>
              <w:right w:w="40" w:type="dxa"/>
            </w:tcMar>
          </w:tcPr>
          <w:p w14:paraId="4633A77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b/>
              </w:rPr>
              <w:t>1</w:t>
            </w:r>
            <w:r w:rsidR="004077B3" w:rsidRPr="000870C5">
              <w:rPr>
                <w:rFonts w:ascii="Book Antiqua" w:eastAsia="Book Antiqua" w:hAnsi="Book Antiqua" w:cs="Book Antiqua"/>
                <w:b/>
              </w:rPr>
              <w:t xml:space="preserve"> </w:t>
            </w:r>
            <w:proofErr w:type="spellStart"/>
            <w:r w:rsidR="004077B3" w:rsidRPr="000870C5">
              <w:rPr>
                <w:rFonts w:ascii="Book Antiqua" w:eastAsia="Book Antiqua" w:hAnsi="Book Antiqua" w:cs="Book Antiqua"/>
                <w:b/>
              </w:rPr>
              <w:t>yr</w:t>
            </w:r>
            <w:proofErr w:type="spellEnd"/>
          </w:p>
        </w:tc>
        <w:tc>
          <w:tcPr>
            <w:tcW w:w="1201" w:type="dxa"/>
            <w:tcBorders>
              <w:top w:val="single" w:sz="6" w:space="0" w:color="auto"/>
              <w:bottom w:val="single" w:sz="6" w:space="0" w:color="auto"/>
            </w:tcBorders>
            <w:shd w:val="clear" w:color="auto" w:fill="auto"/>
            <w:tcMar>
              <w:top w:w="40" w:type="dxa"/>
              <w:left w:w="40" w:type="dxa"/>
              <w:bottom w:w="40" w:type="dxa"/>
              <w:right w:w="40" w:type="dxa"/>
            </w:tcMar>
          </w:tcPr>
          <w:p w14:paraId="46AC308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b/>
              </w:rPr>
              <w:t>3</w:t>
            </w:r>
            <w:r w:rsidR="004077B3" w:rsidRPr="000870C5">
              <w:rPr>
                <w:rFonts w:ascii="Book Antiqua" w:eastAsia="Book Antiqua" w:hAnsi="Book Antiqua" w:cs="Book Antiqua"/>
                <w:b/>
              </w:rPr>
              <w:t xml:space="preserve"> </w:t>
            </w:r>
            <w:proofErr w:type="spellStart"/>
            <w:r w:rsidR="004077B3" w:rsidRPr="000870C5">
              <w:rPr>
                <w:rFonts w:ascii="Book Antiqua" w:eastAsia="Book Antiqua" w:hAnsi="Book Antiqua" w:cs="Book Antiqua"/>
                <w:b/>
              </w:rPr>
              <w:t>yr</w:t>
            </w:r>
            <w:proofErr w:type="spellEnd"/>
          </w:p>
        </w:tc>
        <w:tc>
          <w:tcPr>
            <w:tcW w:w="1201" w:type="dxa"/>
            <w:tcBorders>
              <w:top w:val="single" w:sz="6" w:space="0" w:color="auto"/>
              <w:bottom w:val="single" w:sz="6" w:space="0" w:color="auto"/>
            </w:tcBorders>
            <w:shd w:val="clear" w:color="auto" w:fill="auto"/>
            <w:tcMar>
              <w:top w:w="40" w:type="dxa"/>
              <w:left w:w="40" w:type="dxa"/>
              <w:bottom w:w="40" w:type="dxa"/>
              <w:right w:w="40" w:type="dxa"/>
            </w:tcMar>
          </w:tcPr>
          <w:p w14:paraId="56CFBDD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b/>
              </w:rPr>
              <w:t>5</w:t>
            </w:r>
            <w:r w:rsidR="004077B3" w:rsidRPr="000870C5">
              <w:rPr>
                <w:rFonts w:ascii="Book Antiqua" w:eastAsia="Book Antiqua" w:hAnsi="Book Antiqua" w:cs="Book Antiqua"/>
                <w:b/>
              </w:rPr>
              <w:t xml:space="preserve"> </w:t>
            </w:r>
            <w:proofErr w:type="spellStart"/>
            <w:r w:rsidR="004077B3" w:rsidRPr="000870C5">
              <w:rPr>
                <w:rFonts w:ascii="Book Antiqua" w:eastAsia="Book Antiqua" w:hAnsi="Book Antiqua" w:cs="Book Antiqua"/>
                <w:b/>
              </w:rPr>
              <w:t>yr</w:t>
            </w:r>
            <w:proofErr w:type="spellEnd"/>
          </w:p>
        </w:tc>
      </w:tr>
      <w:tr w:rsidR="005D6AA3" w:rsidRPr="000870C5" w14:paraId="2D39C567" w14:textId="77777777" w:rsidTr="004F7A7D">
        <w:trPr>
          <w:trHeight w:val="303"/>
        </w:trPr>
        <w:tc>
          <w:tcPr>
            <w:tcW w:w="1883" w:type="dxa"/>
            <w:tcBorders>
              <w:top w:val="single" w:sz="6" w:space="0" w:color="auto"/>
            </w:tcBorders>
            <w:shd w:val="clear" w:color="auto" w:fill="auto"/>
            <w:tcMar>
              <w:top w:w="40" w:type="dxa"/>
              <w:left w:w="40" w:type="dxa"/>
              <w:bottom w:w="40" w:type="dxa"/>
              <w:right w:w="40" w:type="dxa"/>
            </w:tcMar>
            <w:vAlign w:val="bottom"/>
          </w:tcPr>
          <w:p w14:paraId="4F997D9E" w14:textId="0D8A39D4" w:rsidR="005D6AA3" w:rsidRPr="000870C5" w:rsidRDefault="00471ED5" w:rsidP="000870C5">
            <w:pPr>
              <w:widowControl w:val="0"/>
              <w:snapToGrid w:val="0"/>
              <w:spacing w:line="360" w:lineRule="auto"/>
              <w:jc w:val="both"/>
              <w:rPr>
                <w:rFonts w:ascii="Book Antiqua" w:eastAsia="Book Antiqua" w:hAnsi="Book Antiqua" w:cs="Book Antiqua"/>
                <w:vertAlign w:val="superscript"/>
              </w:rPr>
            </w:pPr>
            <w:r w:rsidRPr="00471ED5">
              <w:rPr>
                <w:rFonts w:ascii="Book Antiqua" w:eastAsia="Book Antiqua" w:hAnsi="Book Antiqua" w:cs="Book Antiqua"/>
              </w:rPr>
              <w:t>López-Valverde</w:t>
            </w:r>
            <w:r>
              <w:rPr>
                <w:rFonts w:ascii="Book Antiqua" w:eastAsia="Book Antiqua" w:hAnsi="Book Antiqua" w:cs="Book Antiqua"/>
              </w:rPr>
              <w:t xml:space="preserve"> </w:t>
            </w:r>
            <w:r w:rsidR="005D6AA3" w:rsidRPr="000870C5">
              <w:rPr>
                <w:rFonts w:ascii="Book Antiqua" w:eastAsia="Book Antiqua" w:hAnsi="Book Antiqua" w:cs="Book Antiqua"/>
                <w:i/>
                <w:iCs/>
              </w:rPr>
              <w:t>et al</w:t>
            </w:r>
            <w:r w:rsidR="00FA073A" w:rsidRPr="000870C5">
              <w:rPr>
                <w:rFonts w:ascii="Book Antiqua" w:eastAsia="Book Antiqua" w:hAnsi="Book Antiqua" w:cs="Book Antiqua"/>
                <w:iCs/>
                <w:vertAlign w:val="superscript"/>
              </w:rPr>
              <w:t>[30]</w:t>
            </w:r>
          </w:p>
        </w:tc>
        <w:tc>
          <w:tcPr>
            <w:tcW w:w="851" w:type="dxa"/>
            <w:tcBorders>
              <w:top w:val="single" w:sz="6" w:space="0" w:color="auto"/>
            </w:tcBorders>
            <w:shd w:val="clear" w:color="auto" w:fill="auto"/>
            <w:tcMar>
              <w:top w:w="40" w:type="dxa"/>
              <w:left w:w="40" w:type="dxa"/>
              <w:bottom w:w="40" w:type="dxa"/>
              <w:right w:w="40" w:type="dxa"/>
            </w:tcMar>
            <w:vAlign w:val="bottom"/>
          </w:tcPr>
          <w:p w14:paraId="4E75031E"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2018</w:t>
            </w:r>
          </w:p>
        </w:tc>
        <w:tc>
          <w:tcPr>
            <w:tcW w:w="911" w:type="dxa"/>
            <w:tcBorders>
              <w:top w:val="single" w:sz="6" w:space="0" w:color="auto"/>
            </w:tcBorders>
            <w:shd w:val="clear" w:color="auto" w:fill="auto"/>
            <w:tcMar>
              <w:top w:w="40" w:type="dxa"/>
              <w:left w:w="40" w:type="dxa"/>
              <w:bottom w:w="40" w:type="dxa"/>
              <w:right w:w="40" w:type="dxa"/>
            </w:tcMar>
            <w:vAlign w:val="bottom"/>
          </w:tcPr>
          <w:p w14:paraId="7A05853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203</w:t>
            </w:r>
          </w:p>
        </w:tc>
        <w:tc>
          <w:tcPr>
            <w:tcW w:w="1201" w:type="dxa"/>
            <w:tcBorders>
              <w:top w:val="single" w:sz="6" w:space="0" w:color="auto"/>
            </w:tcBorders>
            <w:shd w:val="clear" w:color="auto" w:fill="auto"/>
            <w:tcMar>
              <w:top w:w="40" w:type="dxa"/>
              <w:left w:w="40" w:type="dxa"/>
              <w:bottom w:w="40" w:type="dxa"/>
              <w:right w:w="40" w:type="dxa"/>
            </w:tcMar>
            <w:vAlign w:val="bottom"/>
          </w:tcPr>
          <w:p w14:paraId="40D5723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72</w:t>
            </w:r>
          </w:p>
        </w:tc>
        <w:tc>
          <w:tcPr>
            <w:tcW w:w="1202" w:type="dxa"/>
            <w:tcBorders>
              <w:top w:val="single" w:sz="6" w:space="0" w:color="auto"/>
            </w:tcBorders>
            <w:shd w:val="clear" w:color="auto" w:fill="auto"/>
            <w:tcMar>
              <w:top w:w="40" w:type="dxa"/>
              <w:left w:w="40" w:type="dxa"/>
              <w:bottom w:w="40" w:type="dxa"/>
              <w:right w:w="40" w:type="dxa"/>
            </w:tcMar>
            <w:vAlign w:val="bottom"/>
          </w:tcPr>
          <w:p w14:paraId="578B87F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78</w:t>
            </w:r>
          </w:p>
        </w:tc>
        <w:tc>
          <w:tcPr>
            <w:tcW w:w="1201" w:type="dxa"/>
            <w:tcBorders>
              <w:top w:val="single" w:sz="6" w:space="0" w:color="auto"/>
            </w:tcBorders>
            <w:shd w:val="clear" w:color="auto" w:fill="auto"/>
            <w:tcMar>
              <w:top w:w="40" w:type="dxa"/>
              <w:left w:w="40" w:type="dxa"/>
              <w:bottom w:w="40" w:type="dxa"/>
              <w:right w:w="40" w:type="dxa"/>
            </w:tcMar>
            <w:vAlign w:val="bottom"/>
          </w:tcPr>
          <w:p w14:paraId="1EEBDC5C"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9.4</w:t>
            </w:r>
          </w:p>
        </w:tc>
        <w:tc>
          <w:tcPr>
            <w:tcW w:w="1201" w:type="dxa"/>
            <w:tcBorders>
              <w:top w:val="single" w:sz="6" w:space="0" w:color="auto"/>
            </w:tcBorders>
            <w:shd w:val="clear" w:color="auto" w:fill="auto"/>
            <w:tcMar>
              <w:top w:w="40" w:type="dxa"/>
              <w:left w:w="40" w:type="dxa"/>
              <w:bottom w:w="40" w:type="dxa"/>
              <w:right w:w="40" w:type="dxa"/>
            </w:tcMar>
            <w:vAlign w:val="bottom"/>
          </w:tcPr>
          <w:p w14:paraId="59716FCA"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27.2</w:t>
            </w:r>
          </w:p>
        </w:tc>
        <w:tc>
          <w:tcPr>
            <w:tcW w:w="1201" w:type="dxa"/>
            <w:tcBorders>
              <w:top w:val="single" w:sz="6" w:space="0" w:color="auto"/>
            </w:tcBorders>
            <w:shd w:val="clear" w:color="auto" w:fill="auto"/>
            <w:tcMar>
              <w:top w:w="40" w:type="dxa"/>
              <w:left w:w="40" w:type="dxa"/>
              <w:bottom w:w="40" w:type="dxa"/>
              <w:right w:w="40" w:type="dxa"/>
            </w:tcMar>
            <w:vAlign w:val="bottom"/>
          </w:tcPr>
          <w:p w14:paraId="6FDA8553"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44.5</w:t>
            </w:r>
          </w:p>
        </w:tc>
      </w:tr>
      <w:tr w:rsidR="005D6AA3" w:rsidRPr="000870C5" w14:paraId="4D02CDBB" w14:textId="77777777" w:rsidTr="004F7A7D">
        <w:trPr>
          <w:trHeight w:val="303"/>
        </w:trPr>
        <w:tc>
          <w:tcPr>
            <w:tcW w:w="1883" w:type="dxa"/>
            <w:shd w:val="clear" w:color="auto" w:fill="auto"/>
            <w:tcMar>
              <w:top w:w="40" w:type="dxa"/>
              <w:left w:w="40" w:type="dxa"/>
              <w:bottom w:w="40" w:type="dxa"/>
              <w:right w:w="40" w:type="dxa"/>
            </w:tcMar>
            <w:vAlign w:val="bottom"/>
          </w:tcPr>
          <w:p w14:paraId="1C56CAD3"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Uzzaman</w:t>
            </w:r>
            <w:proofErr w:type="spellEnd"/>
            <w:r w:rsidR="00506D60" w:rsidRPr="000870C5">
              <w:rPr>
                <w:rFonts w:ascii="Book Antiqua" w:eastAsia="Book Antiqua" w:hAnsi="Book Antiqua" w:cs="Book Antiqua"/>
                <w:i/>
              </w:rPr>
              <w:t xml:space="preserve"> et al</w:t>
            </w:r>
            <w:r w:rsidR="00506D60" w:rsidRPr="000870C5">
              <w:rPr>
                <w:rFonts w:ascii="Book Antiqua" w:eastAsia="Book Antiqua" w:hAnsi="Book Antiqua" w:cs="Book Antiqua"/>
                <w:vertAlign w:val="superscript"/>
              </w:rPr>
              <w:t>[26]</w:t>
            </w:r>
          </w:p>
        </w:tc>
        <w:tc>
          <w:tcPr>
            <w:tcW w:w="851" w:type="dxa"/>
            <w:shd w:val="clear" w:color="auto" w:fill="auto"/>
            <w:tcMar>
              <w:top w:w="40" w:type="dxa"/>
              <w:left w:w="40" w:type="dxa"/>
              <w:bottom w:w="40" w:type="dxa"/>
              <w:right w:w="40" w:type="dxa"/>
            </w:tcMar>
            <w:vAlign w:val="bottom"/>
          </w:tcPr>
          <w:p w14:paraId="48AFC24A"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2016</w:t>
            </w:r>
          </w:p>
        </w:tc>
        <w:tc>
          <w:tcPr>
            <w:tcW w:w="911" w:type="dxa"/>
            <w:shd w:val="clear" w:color="auto" w:fill="auto"/>
            <w:tcMar>
              <w:top w:w="40" w:type="dxa"/>
              <w:left w:w="40" w:type="dxa"/>
              <w:bottom w:w="40" w:type="dxa"/>
              <w:right w:w="40" w:type="dxa"/>
            </w:tcMar>
          </w:tcPr>
          <w:p w14:paraId="19BD6F3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79</w:t>
            </w:r>
          </w:p>
        </w:tc>
        <w:tc>
          <w:tcPr>
            <w:tcW w:w="1201" w:type="dxa"/>
            <w:shd w:val="clear" w:color="auto" w:fill="auto"/>
            <w:tcMar>
              <w:top w:w="40" w:type="dxa"/>
              <w:left w:w="40" w:type="dxa"/>
              <w:bottom w:w="40" w:type="dxa"/>
              <w:right w:w="40" w:type="dxa"/>
            </w:tcMar>
          </w:tcPr>
          <w:p w14:paraId="1360851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75</w:t>
            </w:r>
          </w:p>
        </w:tc>
        <w:tc>
          <w:tcPr>
            <w:tcW w:w="1202" w:type="dxa"/>
            <w:shd w:val="clear" w:color="auto" w:fill="auto"/>
            <w:tcMar>
              <w:top w:w="40" w:type="dxa"/>
              <w:left w:w="40" w:type="dxa"/>
              <w:bottom w:w="40" w:type="dxa"/>
              <w:right w:w="40" w:type="dxa"/>
            </w:tcMar>
          </w:tcPr>
          <w:p w14:paraId="78DFBE9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64.5</w:t>
            </w:r>
          </w:p>
        </w:tc>
        <w:tc>
          <w:tcPr>
            <w:tcW w:w="1201" w:type="dxa"/>
            <w:shd w:val="clear" w:color="auto" w:fill="auto"/>
            <w:tcMar>
              <w:top w:w="40" w:type="dxa"/>
              <w:left w:w="40" w:type="dxa"/>
              <w:bottom w:w="40" w:type="dxa"/>
              <w:right w:w="40" w:type="dxa"/>
            </w:tcMar>
          </w:tcPr>
          <w:p w14:paraId="3A9EA56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15.6</w:t>
            </w:r>
          </w:p>
        </w:tc>
        <w:tc>
          <w:tcPr>
            <w:tcW w:w="1201" w:type="dxa"/>
            <w:shd w:val="clear" w:color="auto" w:fill="auto"/>
            <w:tcMar>
              <w:top w:w="40" w:type="dxa"/>
              <w:left w:w="40" w:type="dxa"/>
              <w:bottom w:w="40" w:type="dxa"/>
              <w:right w:w="40" w:type="dxa"/>
            </w:tcMar>
          </w:tcPr>
          <w:p w14:paraId="733B58D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25</w:t>
            </w:r>
          </w:p>
        </w:tc>
        <w:tc>
          <w:tcPr>
            <w:tcW w:w="1201" w:type="dxa"/>
            <w:shd w:val="clear" w:color="auto" w:fill="auto"/>
            <w:tcMar>
              <w:top w:w="40" w:type="dxa"/>
              <w:left w:w="40" w:type="dxa"/>
              <w:bottom w:w="40" w:type="dxa"/>
              <w:right w:w="40" w:type="dxa"/>
            </w:tcMar>
          </w:tcPr>
          <w:p w14:paraId="46CD4CA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27</w:t>
            </w:r>
          </w:p>
        </w:tc>
      </w:tr>
      <w:tr w:rsidR="005D6AA3" w:rsidRPr="000870C5" w14:paraId="4122E3A7" w14:textId="77777777" w:rsidTr="004F7A7D">
        <w:trPr>
          <w:trHeight w:val="303"/>
        </w:trPr>
        <w:tc>
          <w:tcPr>
            <w:tcW w:w="1883" w:type="dxa"/>
            <w:shd w:val="clear" w:color="auto" w:fill="auto"/>
            <w:tcMar>
              <w:top w:w="40" w:type="dxa"/>
              <w:left w:w="40" w:type="dxa"/>
              <w:bottom w:w="40" w:type="dxa"/>
              <w:right w:w="40" w:type="dxa"/>
            </w:tcMar>
            <w:vAlign w:val="bottom"/>
          </w:tcPr>
          <w:p w14:paraId="7F9B4CB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 xml:space="preserve">Chu </w:t>
            </w:r>
            <w:r w:rsidR="00470A57" w:rsidRPr="000870C5">
              <w:rPr>
                <w:rFonts w:ascii="Book Antiqua" w:eastAsia="Book Antiqua" w:hAnsi="Book Antiqua" w:cs="Book Antiqua"/>
                <w:i/>
              </w:rPr>
              <w:t>et al</w:t>
            </w:r>
            <w:r w:rsidR="00470A57" w:rsidRPr="000870C5">
              <w:rPr>
                <w:rFonts w:ascii="Book Antiqua" w:eastAsia="Book Antiqua" w:hAnsi="Book Antiqua" w:cs="Book Antiqua"/>
                <w:vertAlign w:val="superscript"/>
              </w:rPr>
              <w:t>[12]</w:t>
            </w:r>
          </w:p>
        </w:tc>
        <w:tc>
          <w:tcPr>
            <w:tcW w:w="851" w:type="dxa"/>
            <w:shd w:val="clear" w:color="auto" w:fill="auto"/>
            <w:tcMar>
              <w:top w:w="40" w:type="dxa"/>
              <w:left w:w="40" w:type="dxa"/>
              <w:bottom w:w="40" w:type="dxa"/>
              <w:right w:w="40" w:type="dxa"/>
            </w:tcMar>
            <w:vAlign w:val="bottom"/>
          </w:tcPr>
          <w:p w14:paraId="03DAAA6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2014</w:t>
            </w:r>
          </w:p>
        </w:tc>
        <w:tc>
          <w:tcPr>
            <w:tcW w:w="911" w:type="dxa"/>
            <w:shd w:val="clear" w:color="auto" w:fill="auto"/>
            <w:tcMar>
              <w:top w:w="40" w:type="dxa"/>
              <w:left w:w="40" w:type="dxa"/>
              <w:bottom w:w="40" w:type="dxa"/>
              <w:right w:w="40" w:type="dxa"/>
            </w:tcMar>
          </w:tcPr>
          <w:p w14:paraId="76C8D603"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245</w:t>
            </w:r>
          </w:p>
        </w:tc>
        <w:tc>
          <w:tcPr>
            <w:tcW w:w="1201" w:type="dxa"/>
            <w:shd w:val="clear" w:color="auto" w:fill="auto"/>
            <w:tcMar>
              <w:top w:w="40" w:type="dxa"/>
              <w:left w:w="40" w:type="dxa"/>
              <w:bottom w:w="40" w:type="dxa"/>
              <w:right w:w="40" w:type="dxa"/>
            </w:tcMar>
          </w:tcPr>
          <w:p w14:paraId="11C716B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69.27</w:t>
            </w:r>
          </w:p>
        </w:tc>
        <w:tc>
          <w:tcPr>
            <w:tcW w:w="1202" w:type="dxa"/>
            <w:shd w:val="clear" w:color="auto" w:fill="auto"/>
            <w:tcMar>
              <w:top w:w="40" w:type="dxa"/>
              <w:left w:w="40" w:type="dxa"/>
              <w:bottom w:w="40" w:type="dxa"/>
              <w:right w:w="40" w:type="dxa"/>
            </w:tcMar>
          </w:tcPr>
          <w:p w14:paraId="1DBE69D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53</w:t>
            </w:r>
          </w:p>
        </w:tc>
        <w:tc>
          <w:tcPr>
            <w:tcW w:w="1201" w:type="dxa"/>
            <w:shd w:val="clear" w:color="auto" w:fill="auto"/>
            <w:tcMar>
              <w:top w:w="40" w:type="dxa"/>
              <w:left w:w="40" w:type="dxa"/>
              <w:bottom w:w="40" w:type="dxa"/>
              <w:right w:w="40" w:type="dxa"/>
            </w:tcMar>
            <w:vAlign w:val="bottom"/>
          </w:tcPr>
          <w:p w14:paraId="2CEEC89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5.8</w:t>
            </w:r>
          </w:p>
        </w:tc>
        <w:tc>
          <w:tcPr>
            <w:tcW w:w="1201" w:type="dxa"/>
            <w:shd w:val="clear" w:color="auto" w:fill="auto"/>
            <w:tcMar>
              <w:top w:w="40" w:type="dxa"/>
              <w:left w:w="40" w:type="dxa"/>
              <w:bottom w:w="40" w:type="dxa"/>
              <w:right w:w="40" w:type="dxa"/>
            </w:tcMar>
            <w:vAlign w:val="bottom"/>
          </w:tcPr>
          <w:p w14:paraId="5F91921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15.1</w:t>
            </w:r>
          </w:p>
        </w:tc>
        <w:tc>
          <w:tcPr>
            <w:tcW w:w="1201" w:type="dxa"/>
            <w:shd w:val="clear" w:color="auto" w:fill="auto"/>
            <w:tcMar>
              <w:top w:w="40" w:type="dxa"/>
              <w:left w:w="40" w:type="dxa"/>
              <w:bottom w:w="40" w:type="dxa"/>
              <w:right w:w="40" w:type="dxa"/>
            </w:tcMar>
            <w:vAlign w:val="bottom"/>
          </w:tcPr>
          <w:p w14:paraId="6E9E11E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32.7</w:t>
            </w:r>
          </w:p>
        </w:tc>
      </w:tr>
      <w:tr w:rsidR="005D6AA3" w:rsidRPr="000870C5" w14:paraId="01E2C503" w14:textId="77777777" w:rsidTr="004F7A7D">
        <w:trPr>
          <w:trHeight w:val="303"/>
        </w:trPr>
        <w:tc>
          <w:tcPr>
            <w:tcW w:w="1883" w:type="dxa"/>
            <w:shd w:val="clear" w:color="auto" w:fill="auto"/>
            <w:tcMar>
              <w:top w:w="40" w:type="dxa"/>
              <w:left w:w="40" w:type="dxa"/>
              <w:bottom w:w="40" w:type="dxa"/>
              <w:right w:w="40" w:type="dxa"/>
            </w:tcMar>
            <w:vAlign w:val="bottom"/>
          </w:tcPr>
          <w:p w14:paraId="728451CF"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Morbach</w:t>
            </w:r>
            <w:proofErr w:type="spellEnd"/>
            <w:r w:rsidR="00470A57" w:rsidRPr="000870C5">
              <w:rPr>
                <w:rFonts w:ascii="Book Antiqua" w:eastAsia="Book Antiqua" w:hAnsi="Book Antiqua" w:cs="Book Antiqua"/>
                <w:i/>
              </w:rPr>
              <w:t xml:space="preserve"> et al</w:t>
            </w:r>
            <w:r w:rsidR="00470A57" w:rsidRPr="000870C5">
              <w:rPr>
                <w:rFonts w:ascii="Book Antiqua" w:eastAsia="Book Antiqua" w:hAnsi="Book Antiqua" w:cs="Book Antiqua"/>
                <w:vertAlign w:val="superscript"/>
              </w:rPr>
              <w:t>[16]</w:t>
            </w:r>
          </w:p>
        </w:tc>
        <w:tc>
          <w:tcPr>
            <w:tcW w:w="851" w:type="dxa"/>
            <w:shd w:val="clear" w:color="auto" w:fill="auto"/>
            <w:tcMar>
              <w:top w:w="40" w:type="dxa"/>
              <w:left w:w="40" w:type="dxa"/>
              <w:bottom w:w="40" w:type="dxa"/>
              <w:right w:w="40" w:type="dxa"/>
            </w:tcMar>
            <w:vAlign w:val="bottom"/>
          </w:tcPr>
          <w:p w14:paraId="594371BA"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2012</w:t>
            </w:r>
          </w:p>
        </w:tc>
        <w:tc>
          <w:tcPr>
            <w:tcW w:w="911" w:type="dxa"/>
            <w:shd w:val="clear" w:color="auto" w:fill="auto"/>
            <w:tcMar>
              <w:top w:w="40" w:type="dxa"/>
              <w:left w:w="40" w:type="dxa"/>
              <w:bottom w:w="40" w:type="dxa"/>
              <w:right w:w="40" w:type="dxa"/>
            </w:tcMar>
          </w:tcPr>
          <w:p w14:paraId="0B6ECC6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38</w:t>
            </w:r>
          </w:p>
        </w:tc>
        <w:tc>
          <w:tcPr>
            <w:tcW w:w="1201" w:type="dxa"/>
            <w:shd w:val="clear" w:color="auto" w:fill="auto"/>
            <w:tcMar>
              <w:top w:w="40" w:type="dxa"/>
              <w:left w:w="40" w:type="dxa"/>
              <w:bottom w:w="40" w:type="dxa"/>
              <w:right w:w="40" w:type="dxa"/>
            </w:tcMar>
          </w:tcPr>
          <w:p w14:paraId="34A4717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68.8</w:t>
            </w:r>
          </w:p>
        </w:tc>
        <w:tc>
          <w:tcPr>
            <w:tcW w:w="1202" w:type="dxa"/>
            <w:shd w:val="clear" w:color="auto" w:fill="auto"/>
            <w:tcMar>
              <w:top w:w="40" w:type="dxa"/>
              <w:left w:w="40" w:type="dxa"/>
              <w:bottom w:w="40" w:type="dxa"/>
              <w:right w:w="40" w:type="dxa"/>
            </w:tcMar>
          </w:tcPr>
          <w:p w14:paraId="23A1F192"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58.7</w:t>
            </w:r>
          </w:p>
        </w:tc>
        <w:tc>
          <w:tcPr>
            <w:tcW w:w="1201" w:type="dxa"/>
            <w:shd w:val="clear" w:color="auto" w:fill="auto"/>
            <w:tcMar>
              <w:top w:w="40" w:type="dxa"/>
              <w:left w:w="40" w:type="dxa"/>
              <w:bottom w:w="40" w:type="dxa"/>
              <w:right w:w="40" w:type="dxa"/>
            </w:tcMar>
          </w:tcPr>
          <w:p w14:paraId="16BD33E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15.4</w:t>
            </w:r>
          </w:p>
        </w:tc>
        <w:tc>
          <w:tcPr>
            <w:tcW w:w="1201" w:type="dxa"/>
            <w:shd w:val="clear" w:color="auto" w:fill="auto"/>
            <w:tcMar>
              <w:top w:w="40" w:type="dxa"/>
              <w:left w:w="40" w:type="dxa"/>
              <w:bottom w:w="40" w:type="dxa"/>
              <w:right w:w="40" w:type="dxa"/>
            </w:tcMar>
          </w:tcPr>
          <w:p w14:paraId="737BD6F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33.1</w:t>
            </w:r>
          </w:p>
        </w:tc>
        <w:tc>
          <w:tcPr>
            <w:tcW w:w="1201" w:type="dxa"/>
            <w:shd w:val="clear" w:color="auto" w:fill="auto"/>
            <w:tcMar>
              <w:top w:w="40" w:type="dxa"/>
              <w:left w:w="40" w:type="dxa"/>
              <w:bottom w:w="40" w:type="dxa"/>
              <w:right w:w="40" w:type="dxa"/>
            </w:tcMar>
          </w:tcPr>
          <w:p w14:paraId="70F1A8B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45.8</w:t>
            </w:r>
          </w:p>
        </w:tc>
      </w:tr>
      <w:tr w:rsidR="005D6AA3" w:rsidRPr="000870C5" w14:paraId="627A8922" w14:textId="77777777" w:rsidTr="004F7A7D">
        <w:trPr>
          <w:trHeight w:val="303"/>
        </w:trPr>
        <w:tc>
          <w:tcPr>
            <w:tcW w:w="1883" w:type="dxa"/>
            <w:shd w:val="clear" w:color="auto" w:fill="auto"/>
            <w:tcMar>
              <w:top w:w="40" w:type="dxa"/>
              <w:left w:w="40" w:type="dxa"/>
              <w:bottom w:w="40" w:type="dxa"/>
              <w:right w:w="40" w:type="dxa"/>
            </w:tcMar>
            <w:vAlign w:val="bottom"/>
          </w:tcPr>
          <w:p w14:paraId="73ACA4AE"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Ghanassia</w:t>
            </w:r>
            <w:proofErr w:type="spellEnd"/>
            <w:r w:rsidR="00470A57" w:rsidRPr="000870C5">
              <w:rPr>
                <w:rFonts w:ascii="Book Antiqua" w:eastAsia="Book Antiqua" w:hAnsi="Book Antiqua" w:cs="Book Antiqua"/>
                <w:i/>
              </w:rPr>
              <w:t xml:space="preserve"> et al</w:t>
            </w:r>
            <w:r w:rsidR="00470A57" w:rsidRPr="000870C5">
              <w:rPr>
                <w:rFonts w:ascii="Book Antiqua" w:eastAsia="Book Antiqua" w:hAnsi="Book Antiqua" w:cs="Book Antiqua"/>
                <w:vertAlign w:val="superscript"/>
              </w:rPr>
              <w:t>[8]</w:t>
            </w:r>
          </w:p>
        </w:tc>
        <w:tc>
          <w:tcPr>
            <w:tcW w:w="851" w:type="dxa"/>
            <w:shd w:val="clear" w:color="auto" w:fill="auto"/>
            <w:tcMar>
              <w:top w:w="40" w:type="dxa"/>
              <w:left w:w="40" w:type="dxa"/>
              <w:bottom w:w="40" w:type="dxa"/>
              <w:right w:w="40" w:type="dxa"/>
            </w:tcMar>
            <w:vAlign w:val="bottom"/>
          </w:tcPr>
          <w:p w14:paraId="4136A7F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2008</w:t>
            </w:r>
          </w:p>
        </w:tc>
        <w:tc>
          <w:tcPr>
            <w:tcW w:w="911" w:type="dxa"/>
            <w:shd w:val="clear" w:color="auto" w:fill="auto"/>
            <w:tcMar>
              <w:top w:w="40" w:type="dxa"/>
              <w:left w:w="40" w:type="dxa"/>
              <w:bottom w:w="40" w:type="dxa"/>
              <w:right w:w="40" w:type="dxa"/>
            </w:tcMar>
          </w:tcPr>
          <w:p w14:paraId="68D5955A"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39</w:t>
            </w:r>
          </w:p>
        </w:tc>
        <w:tc>
          <w:tcPr>
            <w:tcW w:w="1201" w:type="dxa"/>
            <w:shd w:val="clear" w:color="auto" w:fill="auto"/>
            <w:tcMar>
              <w:top w:w="40" w:type="dxa"/>
              <w:left w:w="40" w:type="dxa"/>
              <w:bottom w:w="40" w:type="dxa"/>
              <w:right w:w="40" w:type="dxa"/>
            </w:tcMar>
          </w:tcPr>
          <w:p w14:paraId="64CF7E8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63.8</w:t>
            </w:r>
          </w:p>
        </w:tc>
        <w:tc>
          <w:tcPr>
            <w:tcW w:w="1202" w:type="dxa"/>
            <w:shd w:val="clear" w:color="auto" w:fill="auto"/>
            <w:tcMar>
              <w:top w:w="40" w:type="dxa"/>
              <w:left w:w="40" w:type="dxa"/>
              <w:bottom w:w="40" w:type="dxa"/>
              <w:right w:w="40" w:type="dxa"/>
            </w:tcMar>
          </w:tcPr>
          <w:p w14:paraId="0734E86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69.7</w:t>
            </w:r>
          </w:p>
        </w:tc>
        <w:tc>
          <w:tcPr>
            <w:tcW w:w="1201" w:type="dxa"/>
            <w:shd w:val="clear" w:color="auto" w:fill="auto"/>
            <w:tcMar>
              <w:top w:w="40" w:type="dxa"/>
              <w:left w:w="40" w:type="dxa"/>
              <w:bottom w:w="40" w:type="dxa"/>
              <w:right w:w="40" w:type="dxa"/>
            </w:tcMar>
          </w:tcPr>
          <w:p w14:paraId="13C50446"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12</w:t>
            </w:r>
          </w:p>
        </w:tc>
        <w:tc>
          <w:tcPr>
            <w:tcW w:w="1201" w:type="dxa"/>
            <w:shd w:val="clear" w:color="auto" w:fill="auto"/>
            <w:tcMar>
              <w:top w:w="40" w:type="dxa"/>
              <w:left w:w="40" w:type="dxa"/>
              <w:bottom w:w="40" w:type="dxa"/>
              <w:right w:w="40" w:type="dxa"/>
            </w:tcMar>
          </w:tcPr>
          <w:p w14:paraId="0841BC23"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35</w:t>
            </w:r>
          </w:p>
        </w:tc>
        <w:tc>
          <w:tcPr>
            <w:tcW w:w="1201" w:type="dxa"/>
            <w:shd w:val="clear" w:color="auto" w:fill="auto"/>
            <w:tcMar>
              <w:top w:w="40" w:type="dxa"/>
              <w:left w:w="40" w:type="dxa"/>
              <w:bottom w:w="40" w:type="dxa"/>
              <w:right w:w="40" w:type="dxa"/>
            </w:tcMar>
          </w:tcPr>
          <w:p w14:paraId="5CDB41DC"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44</w:t>
            </w:r>
          </w:p>
        </w:tc>
      </w:tr>
      <w:tr w:rsidR="005D6AA3" w:rsidRPr="000870C5" w14:paraId="0384593D" w14:textId="77777777" w:rsidTr="004F7A7D">
        <w:trPr>
          <w:trHeight w:val="303"/>
        </w:trPr>
        <w:tc>
          <w:tcPr>
            <w:tcW w:w="1883" w:type="dxa"/>
            <w:shd w:val="clear" w:color="auto" w:fill="auto"/>
            <w:tcMar>
              <w:top w:w="40" w:type="dxa"/>
              <w:left w:w="40" w:type="dxa"/>
              <w:bottom w:w="40" w:type="dxa"/>
              <w:right w:w="40" w:type="dxa"/>
            </w:tcMar>
            <w:vAlign w:val="bottom"/>
          </w:tcPr>
          <w:p w14:paraId="11EBD2FE"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Faglia</w:t>
            </w:r>
            <w:proofErr w:type="spellEnd"/>
            <w:r w:rsidR="00470A57" w:rsidRPr="000870C5">
              <w:rPr>
                <w:rFonts w:ascii="Book Antiqua" w:eastAsia="Book Antiqua" w:hAnsi="Book Antiqua" w:cs="Book Antiqua"/>
                <w:i/>
              </w:rPr>
              <w:t xml:space="preserve"> et al</w:t>
            </w:r>
            <w:r w:rsidR="00470A57" w:rsidRPr="000870C5">
              <w:rPr>
                <w:rFonts w:ascii="Book Antiqua" w:eastAsia="Book Antiqua" w:hAnsi="Book Antiqua" w:cs="Book Antiqua"/>
                <w:vertAlign w:val="superscript"/>
              </w:rPr>
              <w:t>[20]</w:t>
            </w:r>
          </w:p>
        </w:tc>
        <w:tc>
          <w:tcPr>
            <w:tcW w:w="851" w:type="dxa"/>
            <w:shd w:val="clear" w:color="auto" w:fill="auto"/>
            <w:tcMar>
              <w:top w:w="40" w:type="dxa"/>
              <w:left w:w="40" w:type="dxa"/>
              <w:bottom w:w="40" w:type="dxa"/>
              <w:right w:w="40" w:type="dxa"/>
            </w:tcMar>
            <w:vAlign w:val="bottom"/>
          </w:tcPr>
          <w:p w14:paraId="1F0A147F"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2001</w:t>
            </w:r>
          </w:p>
        </w:tc>
        <w:tc>
          <w:tcPr>
            <w:tcW w:w="911" w:type="dxa"/>
            <w:shd w:val="clear" w:color="auto" w:fill="auto"/>
            <w:tcMar>
              <w:top w:w="40" w:type="dxa"/>
              <w:left w:w="40" w:type="dxa"/>
              <w:bottom w:w="40" w:type="dxa"/>
              <w:right w:w="40" w:type="dxa"/>
            </w:tcMar>
          </w:tcPr>
          <w:p w14:paraId="60C104C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80</w:t>
            </w:r>
          </w:p>
        </w:tc>
        <w:tc>
          <w:tcPr>
            <w:tcW w:w="1201" w:type="dxa"/>
            <w:shd w:val="clear" w:color="auto" w:fill="auto"/>
            <w:tcMar>
              <w:top w:w="40" w:type="dxa"/>
              <w:left w:w="40" w:type="dxa"/>
              <w:bottom w:w="40" w:type="dxa"/>
              <w:right w:w="40" w:type="dxa"/>
            </w:tcMar>
          </w:tcPr>
          <w:p w14:paraId="67E152C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63.4</w:t>
            </w:r>
          </w:p>
        </w:tc>
        <w:tc>
          <w:tcPr>
            <w:tcW w:w="1202" w:type="dxa"/>
            <w:shd w:val="clear" w:color="auto" w:fill="auto"/>
            <w:tcMar>
              <w:top w:w="40" w:type="dxa"/>
              <w:left w:w="40" w:type="dxa"/>
              <w:bottom w:w="40" w:type="dxa"/>
              <w:right w:w="40" w:type="dxa"/>
            </w:tcMar>
          </w:tcPr>
          <w:p w14:paraId="4A31B299"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73</w:t>
            </w:r>
          </w:p>
        </w:tc>
        <w:tc>
          <w:tcPr>
            <w:tcW w:w="1201" w:type="dxa"/>
            <w:shd w:val="clear" w:color="auto" w:fill="auto"/>
            <w:tcMar>
              <w:top w:w="40" w:type="dxa"/>
              <w:left w:w="40" w:type="dxa"/>
              <w:bottom w:w="40" w:type="dxa"/>
              <w:right w:w="40" w:type="dxa"/>
            </w:tcMar>
          </w:tcPr>
          <w:p w14:paraId="6F9D7FA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33.3</w:t>
            </w:r>
          </w:p>
        </w:tc>
        <w:tc>
          <w:tcPr>
            <w:tcW w:w="1201" w:type="dxa"/>
            <w:shd w:val="clear" w:color="auto" w:fill="auto"/>
            <w:tcMar>
              <w:top w:w="40" w:type="dxa"/>
              <w:left w:w="40" w:type="dxa"/>
              <w:bottom w:w="40" w:type="dxa"/>
              <w:right w:w="40" w:type="dxa"/>
            </w:tcMar>
          </w:tcPr>
          <w:p w14:paraId="0837355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51.9</w:t>
            </w:r>
          </w:p>
        </w:tc>
        <w:tc>
          <w:tcPr>
            <w:tcW w:w="1201" w:type="dxa"/>
            <w:shd w:val="clear" w:color="auto" w:fill="auto"/>
            <w:tcMar>
              <w:top w:w="40" w:type="dxa"/>
              <w:left w:w="40" w:type="dxa"/>
              <w:bottom w:w="40" w:type="dxa"/>
              <w:right w:w="40" w:type="dxa"/>
            </w:tcMar>
          </w:tcPr>
          <w:p w14:paraId="4905EDE5"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74.1</w:t>
            </w:r>
          </w:p>
        </w:tc>
      </w:tr>
      <w:tr w:rsidR="005D6AA3" w:rsidRPr="000870C5" w14:paraId="4C6B571F" w14:textId="77777777" w:rsidTr="004F7A7D">
        <w:trPr>
          <w:trHeight w:val="303"/>
        </w:trPr>
        <w:tc>
          <w:tcPr>
            <w:tcW w:w="1883" w:type="dxa"/>
            <w:shd w:val="clear" w:color="auto" w:fill="auto"/>
            <w:tcMar>
              <w:top w:w="40" w:type="dxa"/>
              <w:left w:w="40" w:type="dxa"/>
              <w:bottom w:w="40" w:type="dxa"/>
              <w:right w:w="40" w:type="dxa"/>
            </w:tcMar>
            <w:vAlign w:val="bottom"/>
          </w:tcPr>
          <w:p w14:paraId="076033FC"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Larrson</w:t>
            </w:r>
            <w:proofErr w:type="spellEnd"/>
            <w:r w:rsidR="003F5A71" w:rsidRPr="000870C5">
              <w:rPr>
                <w:rFonts w:ascii="Book Antiqua" w:eastAsia="Book Antiqua" w:hAnsi="Book Antiqua" w:cs="Book Antiqua"/>
                <w:i/>
              </w:rPr>
              <w:t xml:space="preserve"> et al</w:t>
            </w:r>
            <w:r w:rsidR="003F5A71" w:rsidRPr="000870C5">
              <w:rPr>
                <w:rFonts w:ascii="Book Antiqua" w:eastAsia="Book Antiqua" w:hAnsi="Book Antiqua" w:cs="Book Antiqua"/>
                <w:vertAlign w:val="superscript"/>
              </w:rPr>
              <w:t>[7]</w:t>
            </w:r>
          </w:p>
        </w:tc>
        <w:tc>
          <w:tcPr>
            <w:tcW w:w="851" w:type="dxa"/>
            <w:shd w:val="clear" w:color="auto" w:fill="auto"/>
            <w:tcMar>
              <w:top w:w="40" w:type="dxa"/>
              <w:left w:w="40" w:type="dxa"/>
              <w:bottom w:w="40" w:type="dxa"/>
              <w:right w:w="40" w:type="dxa"/>
            </w:tcMar>
            <w:vAlign w:val="bottom"/>
          </w:tcPr>
          <w:p w14:paraId="10B6EE3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1998</w:t>
            </w:r>
          </w:p>
        </w:tc>
        <w:tc>
          <w:tcPr>
            <w:tcW w:w="911" w:type="dxa"/>
            <w:shd w:val="clear" w:color="auto" w:fill="auto"/>
            <w:tcMar>
              <w:top w:w="40" w:type="dxa"/>
              <w:left w:w="40" w:type="dxa"/>
              <w:bottom w:w="40" w:type="dxa"/>
              <w:right w:w="40" w:type="dxa"/>
            </w:tcMar>
            <w:vAlign w:val="bottom"/>
          </w:tcPr>
          <w:p w14:paraId="54DD7923"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187</w:t>
            </w:r>
          </w:p>
        </w:tc>
        <w:tc>
          <w:tcPr>
            <w:tcW w:w="1201" w:type="dxa"/>
            <w:shd w:val="clear" w:color="auto" w:fill="auto"/>
            <w:tcMar>
              <w:top w:w="40" w:type="dxa"/>
              <w:left w:w="40" w:type="dxa"/>
              <w:bottom w:w="40" w:type="dxa"/>
              <w:right w:w="40" w:type="dxa"/>
            </w:tcMar>
            <w:vAlign w:val="bottom"/>
          </w:tcPr>
          <w:p w14:paraId="4F7D26A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72</w:t>
            </w:r>
          </w:p>
        </w:tc>
        <w:tc>
          <w:tcPr>
            <w:tcW w:w="1202" w:type="dxa"/>
            <w:shd w:val="clear" w:color="auto" w:fill="auto"/>
            <w:tcMar>
              <w:top w:w="40" w:type="dxa"/>
              <w:left w:w="40" w:type="dxa"/>
              <w:bottom w:w="40" w:type="dxa"/>
              <w:right w:w="40" w:type="dxa"/>
            </w:tcMar>
            <w:vAlign w:val="bottom"/>
          </w:tcPr>
          <w:p w14:paraId="0F40C6F0"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56</w:t>
            </w:r>
          </w:p>
        </w:tc>
        <w:tc>
          <w:tcPr>
            <w:tcW w:w="1201" w:type="dxa"/>
            <w:shd w:val="clear" w:color="auto" w:fill="auto"/>
            <w:tcMar>
              <w:top w:w="40" w:type="dxa"/>
              <w:left w:w="40" w:type="dxa"/>
              <w:bottom w:w="40" w:type="dxa"/>
              <w:right w:w="40" w:type="dxa"/>
            </w:tcMar>
            <w:vAlign w:val="bottom"/>
          </w:tcPr>
          <w:p w14:paraId="431C98B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15</w:t>
            </w:r>
          </w:p>
        </w:tc>
        <w:tc>
          <w:tcPr>
            <w:tcW w:w="1201" w:type="dxa"/>
            <w:shd w:val="clear" w:color="auto" w:fill="auto"/>
            <w:tcMar>
              <w:top w:w="40" w:type="dxa"/>
              <w:left w:w="40" w:type="dxa"/>
              <w:bottom w:w="40" w:type="dxa"/>
              <w:right w:w="40" w:type="dxa"/>
            </w:tcMar>
            <w:vAlign w:val="bottom"/>
          </w:tcPr>
          <w:p w14:paraId="3B1C634D"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38</w:t>
            </w:r>
          </w:p>
        </w:tc>
        <w:tc>
          <w:tcPr>
            <w:tcW w:w="1201" w:type="dxa"/>
            <w:shd w:val="clear" w:color="auto" w:fill="auto"/>
            <w:tcMar>
              <w:top w:w="40" w:type="dxa"/>
              <w:left w:w="40" w:type="dxa"/>
              <w:bottom w:w="40" w:type="dxa"/>
              <w:right w:w="40" w:type="dxa"/>
            </w:tcMar>
            <w:vAlign w:val="bottom"/>
          </w:tcPr>
          <w:p w14:paraId="4B1A563E"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68</w:t>
            </w:r>
          </w:p>
        </w:tc>
      </w:tr>
      <w:tr w:rsidR="005D6AA3" w:rsidRPr="000870C5" w14:paraId="72EF8483" w14:textId="77777777" w:rsidTr="004F7A7D">
        <w:trPr>
          <w:trHeight w:val="303"/>
        </w:trPr>
        <w:tc>
          <w:tcPr>
            <w:tcW w:w="1883" w:type="dxa"/>
            <w:shd w:val="clear" w:color="auto" w:fill="auto"/>
            <w:tcMar>
              <w:top w:w="40" w:type="dxa"/>
              <w:left w:w="40" w:type="dxa"/>
              <w:bottom w:w="40" w:type="dxa"/>
              <w:right w:w="40" w:type="dxa"/>
            </w:tcMar>
            <w:vAlign w:val="bottom"/>
          </w:tcPr>
          <w:p w14:paraId="4CFA2EDB" w14:textId="77777777" w:rsidR="005D6AA3" w:rsidRPr="000870C5" w:rsidRDefault="005D6AA3" w:rsidP="000870C5">
            <w:pPr>
              <w:widowControl w:val="0"/>
              <w:snapToGrid w:val="0"/>
              <w:spacing w:line="360" w:lineRule="auto"/>
              <w:jc w:val="both"/>
              <w:rPr>
                <w:rFonts w:ascii="Book Antiqua" w:eastAsia="Book Antiqua" w:hAnsi="Book Antiqua" w:cs="Book Antiqua"/>
              </w:rPr>
            </w:pPr>
            <w:proofErr w:type="spellStart"/>
            <w:r w:rsidRPr="000870C5">
              <w:rPr>
                <w:rFonts w:ascii="Book Antiqua" w:eastAsia="Book Antiqua" w:hAnsi="Book Antiqua" w:cs="Book Antiqua"/>
              </w:rPr>
              <w:t>Apelqvist</w:t>
            </w:r>
            <w:proofErr w:type="spellEnd"/>
            <w:r w:rsidR="003F5A71" w:rsidRPr="000870C5">
              <w:rPr>
                <w:rFonts w:ascii="Book Antiqua" w:eastAsia="Book Antiqua" w:hAnsi="Book Antiqua" w:cs="Book Antiqua"/>
                <w:i/>
              </w:rPr>
              <w:t xml:space="preserve"> et al</w:t>
            </w:r>
            <w:r w:rsidR="003F5A71" w:rsidRPr="000870C5">
              <w:rPr>
                <w:rFonts w:ascii="Book Antiqua" w:eastAsia="Book Antiqua" w:hAnsi="Book Antiqua" w:cs="Book Antiqua"/>
                <w:vertAlign w:val="superscript"/>
              </w:rPr>
              <w:t>[4]</w:t>
            </w:r>
          </w:p>
        </w:tc>
        <w:tc>
          <w:tcPr>
            <w:tcW w:w="851" w:type="dxa"/>
            <w:shd w:val="clear" w:color="auto" w:fill="auto"/>
            <w:tcMar>
              <w:top w:w="40" w:type="dxa"/>
              <w:left w:w="40" w:type="dxa"/>
              <w:bottom w:w="40" w:type="dxa"/>
              <w:right w:w="40" w:type="dxa"/>
            </w:tcMar>
            <w:vAlign w:val="bottom"/>
          </w:tcPr>
          <w:p w14:paraId="34E4654B"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1993</w:t>
            </w:r>
          </w:p>
        </w:tc>
        <w:tc>
          <w:tcPr>
            <w:tcW w:w="911" w:type="dxa"/>
            <w:shd w:val="clear" w:color="auto" w:fill="auto"/>
            <w:tcMar>
              <w:top w:w="40" w:type="dxa"/>
              <w:left w:w="40" w:type="dxa"/>
              <w:bottom w:w="40" w:type="dxa"/>
              <w:right w:w="40" w:type="dxa"/>
            </w:tcMar>
          </w:tcPr>
          <w:p w14:paraId="390ED10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123</w:t>
            </w:r>
          </w:p>
        </w:tc>
        <w:tc>
          <w:tcPr>
            <w:tcW w:w="1201" w:type="dxa"/>
            <w:shd w:val="clear" w:color="auto" w:fill="auto"/>
            <w:tcMar>
              <w:top w:w="40" w:type="dxa"/>
              <w:left w:w="40" w:type="dxa"/>
              <w:bottom w:w="40" w:type="dxa"/>
              <w:right w:w="40" w:type="dxa"/>
            </w:tcMar>
          </w:tcPr>
          <w:p w14:paraId="0874D64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70</w:t>
            </w:r>
          </w:p>
        </w:tc>
        <w:tc>
          <w:tcPr>
            <w:tcW w:w="1202" w:type="dxa"/>
            <w:shd w:val="clear" w:color="auto" w:fill="auto"/>
            <w:tcMar>
              <w:top w:w="40" w:type="dxa"/>
              <w:left w:w="40" w:type="dxa"/>
              <w:bottom w:w="40" w:type="dxa"/>
              <w:right w:w="40" w:type="dxa"/>
            </w:tcMar>
          </w:tcPr>
          <w:p w14:paraId="054D1D24"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55</w:t>
            </w:r>
          </w:p>
        </w:tc>
        <w:tc>
          <w:tcPr>
            <w:tcW w:w="1201" w:type="dxa"/>
            <w:shd w:val="clear" w:color="auto" w:fill="auto"/>
            <w:tcMar>
              <w:top w:w="40" w:type="dxa"/>
              <w:left w:w="40" w:type="dxa"/>
              <w:bottom w:w="40" w:type="dxa"/>
              <w:right w:w="40" w:type="dxa"/>
            </w:tcMar>
          </w:tcPr>
          <w:p w14:paraId="7A639C28"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20</w:t>
            </w:r>
          </w:p>
        </w:tc>
        <w:tc>
          <w:tcPr>
            <w:tcW w:w="1201" w:type="dxa"/>
            <w:shd w:val="clear" w:color="auto" w:fill="auto"/>
            <w:tcMar>
              <w:top w:w="40" w:type="dxa"/>
              <w:left w:w="40" w:type="dxa"/>
              <w:bottom w:w="40" w:type="dxa"/>
              <w:right w:w="40" w:type="dxa"/>
            </w:tcMar>
          </w:tcPr>
          <w:p w14:paraId="5A6A9F91"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41</w:t>
            </w:r>
          </w:p>
        </w:tc>
        <w:tc>
          <w:tcPr>
            <w:tcW w:w="1201" w:type="dxa"/>
            <w:shd w:val="clear" w:color="auto" w:fill="auto"/>
            <w:tcMar>
              <w:top w:w="40" w:type="dxa"/>
              <w:left w:w="40" w:type="dxa"/>
              <w:bottom w:w="40" w:type="dxa"/>
              <w:right w:w="40" w:type="dxa"/>
            </w:tcMar>
          </w:tcPr>
          <w:p w14:paraId="47787363"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73</w:t>
            </w:r>
          </w:p>
        </w:tc>
      </w:tr>
      <w:tr w:rsidR="005D6AA3" w:rsidRPr="000870C5" w14:paraId="72B65DCB" w14:textId="77777777" w:rsidTr="007B2049">
        <w:trPr>
          <w:trHeight w:val="303"/>
        </w:trPr>
        <w:tc>
          <w:tcPr>
            <w:tcW w:w="6048" w:type="dxa"/>
            <w:gridSpan w:val="5"/>
            <w:shd w:val="clear" w:color="auto" w:fill="auto"/>
            <w:tcMar>
              <w:top w:w="40" w:type="dxa"/>
              <w:left w:w="40" w:type="dxa"/>
              <w:bottom w:w="40" w:type="dxa"/>
              <w:right w:w="40" w:type="dxa"/>
            </w:tcMar>
            <w:vAlign w:val="bottom"/>
          </w:tcPr>
          <w:p w14:paraId="69BB96D7" w14:textId="77777777" w:rsidR="005D6AA3" w:rsidRPr="000870C5" w:rsidRDefault="005D6AA3" w:rsidP="000870C5">
            <w:pPr>
              <w:widowControl w:val="0"/>
              <w:snapToGrid w:val="0"/>
              <w:spacing w:line="360" w:lineRule="auto"/>
              <w:jc w:val="both"/>
              <w:rPr>
                <w:rFonts w:ascii="Book Antiqua" w:eastAsia="Book Antiqua" w:hAnsi="Book Antiqua" w:cs="Book Antiqua"/>
              </w:rPr>
            </w:pPr>
            <w:r w:rsidRPr="000870C5">
              <w:rPr>
                <w:rFonts w:ascii="Book Antiqua" w:eastAsia="Book Antiqua" w:hAnsi="Book Antiqua" w:cs="Book Antiqua"/>
              </w:rPr>
              <w:t>Weighted</w:t>
            </w:r>
            <w:r w:rsidR="00651418" w:rsidRPr="000870C5">
              <w:rPr>
                <w:rFonts w:ascii="Book Antiqua" w:eastAsia="Book Antiqua" w:hAnsi="Book Antiqua" w:cs="Book Antiqua"/>
              </w:rPr>
              <w:t>,</w:t>
            </w:r>
            <w:r w:rsidRPr="000870C5">
              <w:rPr>
                <w:rFonts w:ascii="Book Antiqua" w:eastAsia="Book Antiqua" w:hAnsi="Book Antiqua" w:cs="Book Antiqua"/>
              </w:rPr>
              <w:t xml:space="preserve"> mean ± SD</w:t>
            </w:r>
          </w:p>
        </w:tc>
        <w:tc>
          <w:tcPr>
            <w:tcW w:w="1201" w:type="dxa"/>
            <w:shd w:val="clear" w:color="auto" w:fill="auto"/>
            <w:tcMar>
              <w:top w:w="40" w:type="dxa"/>
              <w:left w:w="40" w:type="dxa"/>
              <w:bottom w:w="40" w:type="dxa"/>
              <w:right w:w="40" w:type="dxa"/>
            </w:tcMar>
          </w:tcPr>
          <w:p w14:paraId="5C969CAE" w14:textId="77777777" w:rsidR="005D6AA3" w:rsidRPr="000870C5" w:rsidRDefault="005D6AA3" w:rsidP="000870C5">
            <w:pPr>
              <w:snapToGrid w:val="0"/>
              <w:spacing w:line="360" w:lineRule="auto"/>
              <w:jc w:val="both"/>
              <w:rPr>
                <w:rFonts w:ascii="Book Antiqua" w:eastAsia="Book Antiqua" w:hAnsi="Book Antiqua" w:cs="Book Antiqua"/>
              </w:rPr>
            </w:pPr>
            <w:r w:rsidRPr="000870C5">
              <w:rPr>
                <w:rFonts w:ascii="Book Antiqua" w:eastAsia="Book Antiqua" w:hAnsi="Book Antiqua" w:cs="Book Antiqua"/>
              </w:rPr>
              <w:t>13.62 ± 0.92</w:t>
            </w:r>
          </w:p>
        </w:tc>
        <w:tc>
          <w:tcPr>
            <w:tcW w:w="1201" w:type="dxa"/>
            <w:shd w:val="clear" w:color="auto" w:fill="auto"/>
            <w:tcMar>
              <w:top w:w="40" w:type="dxa"/>
              <w:left w:w="40" w:type="dxa"/>
              <w:bottom w:w="40" w:type="dxa"/>
              <w:right w:w="40" w:type="dxa"/>
            </w:tcMar>
          </w:tcPr>
          <w:p w14:paraId="1905B29A" w14:textId="77777777" w:rsidR="005D6AA3" w:rsidRPr="000870C5" w:rsidRDefault="005D6AA3" w:rsidP="000870C5">
            <w:pPr>
              <w:snapToGrid w:val="0"/>
              <w:spacing w:line="360" w:lineRule="auto"/>
              <w:jc w:val="both"/>
              <w:rPr>
                <w:rFonts w:ascii="Book Antiqua" w:eastAsia="Book Antiqua" w:hAnsi="Book Antiqua" w:cs="Book Antiqua"/>
              </w:rPr>
            </w:pPr>
            <w:r w:rsidRPr="000870C5">
              <w:rPr>
                <w:rFonts w:ascii="Book Antiqua" w:eastAsia="Book Antiqua" w:hAnsi="Book Antiqua" w:cs="Book Antiqua"/>
              </w:rPr>
              <w:t>30.25 ± 2.12</w:t>
            </w:r>
          </w:p>
        </w:tc>
        <w:tc>
          <w:tcPr>
            <w:tcW w:w="1201" w:type="dxa"/>
            <w:shd w:val="clear" w:color="auto" w:fill="auto"/>
            <w:tcMar>
              <w:top w:w="40" w:type="dxa"/>
              <w:left w:w="40" w:type="dxa"/>
              <w:bottom w:w="40" w:type="dxa"/>
              <w:right w:w="40" w:type="dxa"/>
            </w:tcMar>
          </w:tcPr>
          <w:p w14:paraId="0AA18D4C" w14:textId="77777777" w:rsidR="005D6AA3" w:rsidRPr="000870C5" w:rsidRDefault="005D6AA3" w:rsidP="000870C5">
            <w:pPr>
              <w:snapToGrid w:val="0"/>
              <w:spacing w:line="360" w:lineRule="auto"/>
              <w:jc w:val="both"/>
              <w:rPr>
                <w:rFonts w:ascii="Book Antiqua" w:eastAsia="Book Antiqua" w:hAnsi="Book Antiqua" w:cs="Book Antiqua"/>
              </w:rPr>
            </w:pPr>
            <w:r w:rsidRPr="000870C5">
              <w:rPr>
                <w:rFonts w:ascii="Book Antiqua" w:eastAsia="Book Antiqua" w:hAnsi="Book Antiqua" w:cs="Book Antiqua"/>
              </w:rPr>
              <w:t>50.55 ± 4.13</w:t>
            </w:r>
          </w:p>
        </w:tc>
      </w:tr>
    </w:tbl>
    <w:p w14:paraId="593935FF" w14:textId="77777777" w:rsidR="005D6AA3" w:rsidRPr="000870C5" w:rsidRDefault="005D6AA3" w:rsidP="000870C5">
      <w:pPr>
        <w:snapToGrid w:val="0"/>
        <w:spacing w:line="360" w:lineRule="auto"/>
        <w:jc w:val="both"/>
        <w:rPr>
          <w:rFonts w:ascii="Book Antiqua" w:hAnsi="Book Antiqua"/>
        </w:rPr>
      </w:pPr>
    </w:p>
    <w:sectPr w:rsidR="005D6AA3" w:rsidRPr="00087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0F49" w14:textId="77777777" w:rsidR="00074AE4" w:rsidRDefault="00074AE4" w:rsidP="00CB282A">
      <w:r>
        <w:separator/>
      </w:r>
    </w:p>
  </w:endnote>
  <w:endnote w:type="continuationSeparator" w:id="0">
    <w:p w14:paraId="014F2891" w14:textId="77777777" w:rsidR="00074AE4" w:rsidRDefault="00074AE4" w:rsidP="00CB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871935"/>
      <w:docPartObj>
        <w:docPartGallery w:val="Page Numbers (Bottom of Page)"/>
        <w:docPartUnique/>
      </w:docPartObj>
    </w:sdtPr>
    <w:sdtEndPr/>
    <w:sdtContent>
      <w:sdt>
        <w:sdtPr>
          <w:id w:val="-1705238520"/>
          <w:docPartObj>
            <w:docPartGallery w:val="Page Numbers (Top of Page)"/>
            <w:docPartUnique/>
          </w:docPartObj>
        </w:sdtPr>
        <w:sdtEndPr/>
        <w:sdtContent>
          <w:p w14:paraId="23990E23" w14:textId="77777777" w:rsidR="00CB282A" w:rsidRDefault="00CB282A" w:rsidP="00CB282A">
            <w:pPr>
              <w:pStyle w:val="Footer"/>
              <w:jc w:val="right"/>
            </w:pPr>
            <w:r w:rsidRPr="00CB282A">
              <w:rPr>
                <w:sz w:val="24"/>
                <w:szCs w:val="24"/>
                <w:lang w:val="zh-CN" w:eastAsia="zh-CN"/>
              </w:rPr>
              <w:t xml:space="preserve"> </w:t>
            </w:r>
            <w:r w:rsidRPr="00CB282A">
              <w:rPr>
                <w:bCs/>
                <w:sz w:val="24"/>
                <w:szCs w:val="24"/>
              </w:rPr>
              <w:fldChar w:fldCharType="begin"/>
            </w:r>
            <w:r w:rsidRPr="00CB282A">
              <w:rPr>
                <w:bCs/>
                <w:sz w:val="24"/>
                <w:szCs w:val="24"/>
              </w:rPr>
              <w:instrText>PAGE</w:instrText>
            </w:r>
            <w:r w:rsidRPr="00CB282A">
              <w:rPr>
                <w:bCs/>
                <w:sz w:val="24"/>
                <w:szCs w:val="24"/>
              </w:rPr>
              <w:fldChar w:fldCharType="separate"/>
            </w:r>
            <w:r w:rsidR="00BB1ECC">
              <w:rPr>
                <w:bCs/>
                <w:noProof/>
                <w:sz w:val="24"/>
                <w:szCs w:val="24"/>
              </w:rPr>
              <w:t>19</w:t>
            </w:r>
            <w:r w:rsidRPr="00CB282A">
              <w:rPr>
                <w:bCs/>
                <w:sz w:val="24"/>
                <w:szCs w:val="24"/>
              </w:rPr>
              <w:fldChar w:fldCharType="end"/>
            </w:r>
            <w:r w:rsidRPr="00CB282A">
              <w:rPr>
                <w:sz w:val="24"/>
                <w:szCs w:val="24"/>
                <w:lang w:val="zh-CN" w:eastAsia="zh-CN"/>
              </w:rPr>
              <w:t xml:space="preserve"> / </w:t>
            </w:r>
            <w:r w:rsidRPr="00CB282A">
              <w:rPr>
                <w:bCs/>
                <w:sz w:val="24"/>
                <w:szCs w:val="24"/>
              </w:rPr>
              <w:fldChar w:fldCharType="begin"/>
            </w:r>
            <w:r w:rsidRPr="00CB282A">
              <w:rPr>
                <w:bCs/>
                <w:sz w:val="24"/>
                <w:szCs w:val="24"/>
              </w:rPr>
              <w:instrText>NUMPAGES</w:instrText>
            </w:r>
            <w:r w:rsidRPr="00CB282A">
              <w:rPr>
                <w:bCs/>
                <w:sz w:val="24"/>
                <w:szCs w:val="24"/>
              </w:rPr>
              <w:fldChar w:fldCharType="separate"/>
            </w:r>
            <w:r w:rsidR="00BB1ECC">
              <w:rPr>
                <w:bCs/>
                <w:noProof/>
                <w:sz w:val="24"/>
                <w:szCs w:val="24"/>
              </w:rPr>
              <w:t>23</w:t>
            </w:r>
            <w:r w:rsidRPr="00CB282A">
              <w:rPr>
                <w:bCs/>
                <w:sz w:val="24"/>
                <w:szCs w:val="24"/>
              </w:rPr>
              <w:fldChar w:fldCharType="end"/>
            </w:r>
          </w:p>
        </w:sdtContent>
      </w:sdt>
    </w:sdtContent>
  </w:sdt>
  <w:p w14:paraId="41C02C62" w14:textId="77777777" w:rsidR="00CB282A" w:rsidRDefault="00CB2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31D4" w14:textId="77777777" w:rsidR="00074AE4" w:rsidRDefault="00074AE4" w:rsidP="00CB282A">
      <w:r>
        <w:separator/>
      </w:r>
    </w:p>
  </w:footnote>
  <w:footnote w:type="continuationSeparator" w:id="0">
    <w:p w14:paraId="4AB041F9" w14:textId="77777777" w:rsidR="00074AE4" w:rsidRDefault="00074AE4" w:rsidP="00CB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8BED" w14:textId="77777777" w:rsidR="00CB282A" w:rsidRPr="00CB282A" w:rsidRDefault="00CB282A" w:rsidP="00CB282A">
    <w:pPr>
      <w:pStyle w:val="Heade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458"/>
    <w:rsid w:val="000011D1"/>
    <w:rsid w:val="00042CAC"/>
    <w:rsid w:val="00053299"/>
    <w:rsid w:val="00055605"/>
    <w:rsid w:val="000571AD"/>
    <w:rsid w:val="00064796"/>
    <w:rsid w:val="000709F1"/>
    <w:rsid w:val="00072377"/>
    <w:rsid w:val="00074AE4"/>
    <w:rsid w:val="0008154F"/>
    <w:rsid w:val="000870C5"/>
    <w:rsid w:val="000910CF"/>
    <w:rsid w:val="00092668"/>
    <w:rsid w:val="000B7058"/>
    <w:rsid w:val="000E184B"/>
    <w:rsid w:val="000F08D2"/>
    <w:rsid w:val="00101536"/>
    <w:rsid w:val="00101FC1"/>
    <w:rsid w:val="0010434D"/>
    <w:rsid w:val="00117EE4"/>
    <w:rsid w:val="00120508"/>
    <w:rsid w:val="00167D7F"/>
    <w:rsid w:val="00172407"/>
    <w:rsid w:val="0018100C"/>
    <w:rsid w:val="00182FBC"/>
    <w:rsid w:val="00183F5B"/>
    <w:rsid w:val="001B27BE"/>
    <w:rsid w:val="001D6A97"/>
    <w:rsid w:val="00201F89"/>
    <w:rsid w:val="0020361D"/>
    <w:rsid w:val="0022241B"/>
    <w:rsid w:val="00227F7C"/>
    <w:rsid w:val="00235DD5"/>
    <w:rsid w:val="0023727A"/>
    <w:rsid w:val="00237ADF"/>
    <w:rsid w:val="00245F7C"/>
    <w:rsid w:val="002557B4"/>
    <w:rsid w:val="002657A1"/>
    <w:rsid w:val="00272C3F"/>
    <w:rsid w:val="002840CA"/>
    <w:rsid w:val="00295B77"/>
    <w:rsid w:val="002A06B6"/>
    <w:rsid w:val="002D49F9"/>
    <w:rsid w:val="002E4DB2"/>
    <w:rsid w:val="002E689D"/>
    <w:rsid w:val="002E7D39"/>
    <w:rsid w:val="002F407D"/>
    <w:rsid w:val="002F6335"/>
    <w:rsid w:val="002F7841"/>
    <w:rsid w:val="00312D9A"/>
    <w:rsid w:val="003177CB"/>
    <w:rsid w:val="00324266"/>
    <w:rsid w:val="003412D5"/>
    <w:rsid w:val="00346C08"/>
    <w:rsid w:val="00363D14"/>
    <w:rsid w:val="00387033"/>
    <w:rsid w:val="003C031F"/>
    <w:rsid w:val="003C034C"/>
    <w:rsid w:val="003E3704"/>
    <w:rsid w:val="003E5384"/>
    <w:rsid w:val="003F3646"/>
    <w:rsid w:val="003F50B8"/>
    <w:rsid w:val="003F5A71"/>
    <w:rsid w:val="003F66E8"/>
    <w:rsid w:val="004077B3"/>
    <w:rsid w:val="004130C5"/>
    <w:rsid w:val="00414C15"/>
    <w:rsid w:val="0043455F"/>
    <w:rsid w:val="00441394"/>
    <w:rsid w:val="00442F30"/>
    <w:rsid w:val="00453ED3"/>
    <w:rsid w:val="00466E4B"/>
    <w:rsid w:val="00470A57"/>
    <w:rsid w:val="00471ED5"/>
    <w:rsid w:val="0047598E"/>
    <w:rsid w:val="004916AA"/>
    <w:rsid w:val="004B103C"/>
    <w:rsid w:val="004D19E5"/>
    <w:rsid w:val="004E1219"/>
    <w:rsid w:val="004F6B11"/>
    <w:rsid w:val="004F6C68"/>
    <w:rsid w:val="004F7A7D"/>
    <w:rsid w:val="00506D60"/>
    <w:rsid w:val="00506ED9"/>
    <w:rsid w:val="005124D7"/>
    <w:rsid w:val="00563C02"/>
    <w:rsid w:val="00571BF4"/>
    <w:rsid w:val="0057457D"/>
    <w:rsid w:val="005841D6"/>
    <w:rsid w:val="00590D83"/>
    <w:rsid w:val="005B28C0"/>
    <w:rsid w:val="005B58C3"/>
    <w:rsid w:val="005C3A1F"/>
    <w:rsid w:val="005C7660"/>
    <w:rsid w:val="005D6AA3"/>
    <w:rsid w:val="005D7CDB"/>
    <w:rsid w:val="005F5627"/>
    <w:rsid w:val="00621317"/>
    <w:rsid w:val="0064576E"/>
    <w:rsid w:val="00651418"/>
    <w:rsid w:val="006516F5"/>
    <w:rsid w:val="006610C4"/>
    <w:rsid w:val="0066582B"/>
    <w:rsid w:val="006934B5"/>
    <w:rsid w:val="006A5573"/>
    <w:rsid w:val="006B75C6"/>
    <w:rsid w:val="006D70E7"/>
    <w:rsid w:val="006F2DF9"/>
    <w:rsid w:val="00713960"/>
    <w:rsid w:val="0072311A"/>
    <w:rsid w:val="00744463"/>
    <w:rsid w:val="00751E4A"/>
    <w:rsid w:val="00753E5D"/>
    <w:rsid w:val="007768A9"/>
    <w:rsid w:val="00786586"/>
    <w:rsid w:val="00795057"/>
    <w:rsid w:val="007B2049"/>
    <w:rsid w:val="007B365C"/>
    <w:rsid w:val="007C20F7"/>
    <w:rsid w:val="00801FE0"/>
    <w:rsid w:val="008166E0"/>
    <w:rsid w:val="008545E5"/>
    <w:rsid w:val="0085749E"/>
    <w:rsid w:val="00874880"/>
    <w:rsid w:val="00876CCB"/>
    <w:rsid w:val="008858E0"/>
    <w:rsid w:val="00896437"/>
    <w:rsid w:val="008C492A"/>
    <w:rsid w:val="008E0C6E"/>
    <w:rsid w:val="00950C73"/>
    <w:rsid w:val="009524D6"/>
    <w:rsid w:val="0099387E"/>
    <w:rsid w:val="009C1410"/>
    <w:rsid w:val="009C59FF"/>
    <w:rsid w:val="009D44A9"/>
    <w:rsid w:val="00A0027F"/>
    <w:rsid w:val="00A23024"/>
    <w:rsid w:val="00A325E5"/>
    <w:rsid w:val="00A55852"/>
    <w:rsid w:val="00A6077A"/>
    <w:rsid w:val="00A77B3E"/>
    <w:rsid w:val="00A9112B"/>
    <w:rsid w:val="00AA3B0B"/>
    <w:rsid w:val="00AB6659"/>
    <w:rsid w:val="00AC3442"/>
    <w:rsid w:val="00AD53F5"/>
    <w:rsid w:val="00AD68B3"/>
    <w:rsid w:val="00AD7424"/>
    <w:rsid w:val="00B06483"/>
    <w:rsid w:val="00B13006"/>
    <w:rsid w:val="00B15B2D"/>
    <w:rsid w:val="00B23132"/>
    <w:rsid w:val="00B9704F"/>
    <w:rsid w:val="00BB1ECC"/>
    <w:rsid w:val="00BE3A60"/>
    <w:rsid w:val="00C23EE0"/>
    <w:rsid w:val="00C41F64"/>
    <w:rsid w:val="00C54357"/>
    <w:rsid w:val="00C966E4"/>
    <w:rsid w:val="00CA277C"/>
    <w:rsid w:val="00CA2A55"/>
    <w:rsid w:val="00CA3277"/>
    <w:rsid w:val="00CA4749"/>
    <w:rsid w:val="00CB282A"/>
    <w:rsid w:val="00CB2C90"/>
    <w:rsid w:val="00D14AF2"/>
    <w:rsid w:val="00D34B5C"/>
    <w:rsid w:val="00D600B8"/>
    <w:rsid w:val="00D729F1"/>
    <w:rsid w:val="00D815CE"/>
    <w:rsid w:val="00D83E24"/>
    <w:rsid w:val="00DD6F6F"/>
    <w:rsid w:val="00DE255C"/>
    <w:rsid w:val="00DF4DDD"/>
    <w:rsid w:val="00E26B78"/>
    <w:rsid w:val="00E44D3E"/>
    <w:rsid w:val="00E74845"/>
    <w:rsid w:val="00E9671B"/>
    <w:rsid w:val="00E96F56"/>
    <w:rsid w:val="00EA1E55"/>
    <w:rsid w:val="00EA47D6"/>
    <w:rsid w:val="00EB210E"/>
    <w:rsid w:val="00F15020"/>
    <w:rsid w:val="00F21A22"/>
    <w:rsid w:val="00F22735"/>
    <w:rsid w:val="00F23972"/>
    <w:rsid w:val="00F34571"/>
    <w:rsid w:val="00F3487F"/>
    <w:rsid w:val="00F40E7D"/>
    <w:rsid w:val="00F46E2C"/>
    <w:rsid w:val="00F5674A"/>
    <w:rsid w:val="00F63A4B"/>
    <w:rsid w:val="00F74A4A"/>
    <w:rsid w:val="00F752EB"/>
    <w:rsid w:val="00F87296"/>
    <w:rsid w:val="00FA073A"/>
    <w:rsid w:val="00FB16DF"/>
    <w:rsid w:val="00FD3EF4"/>
    <w:rsid w:val="00FD624A"/>
    <w:rsid w:val="00FD6C7A"/>
    <w:rsid w:val="00FE0694"/>
    <w:rsid w:val="00FE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D0CED"/>
  <w15:docId w15:val="{984C2EC5-8E9A-4925-9EB6-2CD9AE98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73A"/>
    <w:rPr>
      <w:rFonts w:eastAsia="Times New Roman"/>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28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B282A"/>
    <w:rPr>
      <w:sz w:val="18"/>
      <w:szCs w:val="18"/>
    </w:rPr>
  </w:style>
  <w:style w:type="paragraph" w:styleId="Footer">
    <w:name w:val="footer"/>
    <w:basedOn w:val="Normal"/>
    <w:link w:val="FooterChar"/>
    <w:uiPriority w:val="99"/>
    <w:unhideWhenUsed/>
    <w:rsid w:val="00CB28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B282A"/>
    <w:rPr>
      <w:sz w:val="18"/>
      <w:szCs w:val="18"/>
    </w:rPr>
  </w:style>
  <w:style w:type="character" w:styleId="CommentReference">
    <w:name w:val="annotation reference"/>
    <w:basedOn w:val="DefaultParagraphFont"/>
    <w:uiPriority w:val="99"/>
    <w:semiHidden/>
    <w:unhideWhenUsed/>
    <w:rsid w:val="00E96F56"/>
    <w:rPr>
      <w:sz w:val="21"/>
      <w:szCs w:val="21"/>
    </w:rPr>
  </w:style>
  <w:style w:type="paragraph" w:styleId="CommentText">
    <w:name w:val="annotation text"/>
    <w:basedOn w:val="Normal"/>
    <w:link w:val="CommentTextChar"/>
    <w:semiHidden/>
    <w:unhideWhenUsed/>
    <w:rsid w:val="00E96F56"/>
  </w:style>
  <w:style w:type="character" w:customStyle="1" w:styleId="CommentTextChar">
    <w:name w:val="Comment Text Char"/>
    <w:basedOn w:val="DefaultParagraphFont"/>
    <w:link w:val="CommentText"/>
    <w:semiHidden/>
    <w:rsid w:val="00E96F56"/>
    <w:rPr>
      <w:sz w:val="24"/>
      <w:szCs w:val="24"/>
    </w:rPr>
  </w:style>
  <w:style w:type="paragraph" w:styleId="CommentSubject">
    <w:name w:val="annotation subject"/>
    <w:basedOn w:val="CommentText"/>
    <w:next w:val="CommentText"/>
    <w:link w:val="CommentSubjectChar"/>
    <w:semiHidden/>
    <w:unhideWhenUsed/>
    <w:rsid w:val="00E96F56"/>
    <w:rPr>
      <w:b/>
      <w:bCs/>
    </w:rPr>
  </w:style>
  <w:style w:type="character" w:customStyle="1" w:styleId="CommentSubjectChar">
    <w:name w:val="Comment Subject Char"/>
    <w:basedOn w:val="CommentTextChar"/>
    <w:link w:val="CommentSubject"/>
    <w:semiHidden/>
    <w:rsid w:val="00E96F56"/>
    <w:rPr>
      <w:b/>
      <w:bCs/>
      <w:sz w:val="24"/>
      <w:szCs w:val="24"/>
    </w:rPr>
  </w:style>
  <w:style w:type="paragraph" w:styleId="BalloonText">
    <w:name w:val="Balloon Text"/>
    <w:basedOn w:val="Normal"/>
    <w:link w:val="BalloonTextChar"/>
    <w:semiHidden/>
    <w:unhideWhenUsed/>
    <w:rsid w:val="00E96F56"/>
    <w:rPr>
      <w:sz w:val="18"/>
      <w:szCs w:val="18"/>
    </w:rPr>
  </w:style>
  <w:style w:type="character" w:customStyle="1" w:styleId="BalloonTextChar">
    <w:name w:val="Balloon Text Char"/>
    <w:basedOn w:val="DefaultParagraphFont"/>
    <w:link w:val="BalloonText"/>
    <w:semiHidden/>
    <w:rsid w:val="00E96F56"/>
    <w:rPr>
      <w:sz w:val="18"/>
      <w:szCs w:val="18"/>
    </w:rPr>
  </w:style>
  <w:style w:type="paragraph" w:styleId="NormalWeb">
    <w:name w:val="Normal (Web)"/>
    <w:basedOn w:val="Normal"/>
    <w:uiPriority w:val="99"/>
    <w:semiHidden/>
    <w:unhideWhenUsed/>
    <w:rsid w:val="00FA073A"/>
    <w:pPr>
      <w:spacing w:before="100" w:beforeAutospacing="1" w:after="100" w:afterAutospacing="1"/>
    </w:pPr>
  </w:style>
  <w:style w:type="character" w:styleId="Hyperlink">
    <w:name w:val="Hyperlink"/>
    <w:basedOn w:val="DefaultParagraphFont"/>
    <w:uiPriority w:val="99"/>
    <w:semiHidden/>
    <w:unhideWhenUsed/>
    <w:rsid w:val="00FA0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9851">
      <w:bodyDiv w:val="1"/>
      <w:marLeft w:val="0"/>
      <w:marRight w:val="0"/>
      <w:marTop w:val="0"/>
      <w:marBottom w:val="0"/>
      <w:divBdr>
        <w:top w:val="none" w:sz="0" w:space="0" w:color="auto"/>
        <w:left w:val="none" w:sz="0" w:space="0" w:color="auto"/>
        <w:bottom w:val="none" w:sz="0" w:space="0" w:color="auto"/>
        <w:right w:val="none" w:sz="0" w:space="0" w:color="auto"/>
      </w:divBdr>
    </w:div>
    <w:div w:id="438841248">
      <w:bodyDiv w:val="1"/>
      <w:marLeft w:val="0"/>
      <w:marRight w:val="0"/>
      <w:marTop w:val="0"/>
      <w:marBottom w:val="0"/>
      <w:divBdr>
        <w:top w:val="none" w:sz="0" w:space="0" w:color="auto"/>
        <w:left w:val="none" w:sz="0" w:space="0" w:color="auto"/>
        <w:bottom w:val="none" w:sz="0" w:space="0" w:color="auto"/>
        <w:right w:val="none" w:sz="0" w:space="0" w:color="auto"/>
      </w:divBdr>
    </w:div>
    <w:div w:id="72962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2020-08-15T21:43:00Z</dcterms:created>
  <dcterms:modified xsi:type="dcterms:W3CDTF">2020-08-15T21:43:00Z</dcterms:modified>
</cp:coreProperties>
</file>