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A2883"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Name of Journal: </w:t>
      </w:r>
      <w:r w:rsidRPr="00031AE3">
        <w:rPr>
          <w:rFonts w:ascii="Book Antiqua" w:eastAsia="Book Antiqua" w:hAnsi="Book Antiqua" w:cs="Book Antiqua"/>
          <w:i/>
        </w:rPr>
        <w:t>World Journal of Clinical Cases</w:t>
      </w:r>
    </w:p>
    <w:p w14:paraId="2211078D"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Manuscript NO: </w:t>
      </w:r>
      <w:r w:rsidRPr="00031AE3">
        <w:rPr>
          <w:rFonts w:ascii="Book Antiqua" w:eastAsia="Book Antiqua" w:hAnsi="Book Antiqua" w:cs="Book Antiqua"/>
        </w:rPr>
        <w:t>56640</w:t>
      </w:r>
    </w:p>
    <w:p w14:paraId="025B7D86"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Manuscript Type: </w:t>
      </w:r>
      <w:r w:rsidRPr="00031AE3">
        <w:rPr>
          <w:rFonts w:ascii="Book Antiqua" w:eastAsia="Book Antiqua" w:hAnsi="Book Antiqua" w:cs="Book Antiqua"/>
        </w:rPr>
        <w:t>CASE REPORT</w:t>
      </w:r>
    </w:p>
    <w:p w14:paraId="0AEB343B" w14:textId="77777777" w:rsidR="00A77B3E" w:rsidRPr="00031AE3" w:rsidRDefault="00A77B3E" w:rsidP="00031AE3">
      <w:pPr>
        <w:snapToGrid w:val="0"/>
        <w:spacing w:line="360" w:lineRule="auto"/>
        <w:jc w:val="both"/>
      </w:pPr>
    </w:p>
    <w:p w14:paraId="7C3F77E6" w14:textId="6C0BEAB7" w:rsidR="00A77B3E" w:rsidRPr="00031AE3" w:rsidRDefault="00182230" w:rsidP="00031AE3">
      <w:pPr>
        <w:snapToGrid w:val="0"/>
        <w:spacing w:line="360" w:lineRule="auto"/>
        <w:jc w:val="both"/>
      </w:pPr>
      <w:r w:rsidRPr="00031AE3">
        <w:rPr>
          <w:rFonts w:ascii="Book Antiqua" w:eastAsia="Book Antiqua" w:hAnsi="Book Antiqua" w:cs="Book Antiqua"/>
          <w:b/>
        </w:rPr>
        <w:t>Severe hyperlipemia-induced pseudoerythrocytosis</w:t>
      </w:r>
      <w:r w:rsidR="00393870" w:rsidRPr="00031AE3">
        <w:rPr>
          <w:rFonts w:ascii="Book Antiqua" w:eastAsia="Book Antiqua" w:hAnsi="Book Antiqua" w:cs="Book Antiqua"/>
          <w:b/>
        </w:rPr>
        <w:t xml:space="preserve"> - </w:t>
      </w:r>
      <w:r w:rsidR="005D5519" w:rsidRPr="00031AE3">
        <w:rPr>
          <w:rFonts w:ascii="Book Antiqua" w:eastAsia="Book Antiqua" w:hAnsi="Book Antiqua" w:cs="Book Antiqua"/>
          <w:b/>
        </w:rPr>
        <w:t>I</w:t>
      </w:r>
      <w:r w:rsidRPr="00031AE3">
        <w:rPr>
          <w:rFonts w:ascii="Book Antiqua" w:eastAsia="Book Antiqua" w:hAnsi="Book Antiqua" w:cs="Book Antiqua"/>
          <w:b/>
        </w:rPr>
        <w:t xml:space="preserve">mplication for misdiagnosis and blood transfusion: A case report and </w:t>
      </w:r>
      <w:r w:rsidR="00622DE7" w:rsidRPr="00031AE3">
        <w:rPr>
          <w:rFonts w:ascii="Book Antiqua" w:eastAsia="Book Antiqua" w:hAnsi="Book Antiqua" w:cs="Book Antiqua"/>
          <w:b/>
        </w:rPr>
        <w:t xml:space="preserve">literature </w:t>
      </w:r>
      <w:r w:rsidRPr="00031AE3">
        <w:rPr>
          <w:rFonts w:ascii="Book Antiqua" w:eastAsia="Book Antiqua" w:hAnsi="Book Antiqua" w:cs="Book Antiqua"/>
          <w:b/>
        </w:rPr>
        <w:t xml:space="preserve">review </w:t>
      </w:r>
    </w:p>
    <w:p w14:paraId="29E7B9CB" w14:textId="77777777" w:rsidR="00A77B3E" w:rsidRPr="00031AE3" w:rsidRDefault="00A77B3E" w:rsidP="00031AE3">
      <w:pPr>
        <w:snapToGrid w:val="0"/>
        <w:spacing w:line="360" w:lineRule="auto"/>
        <w:jc w:val="both"/>
      </w:pPr>
    </w:p>
    <w:p w14:paraId="39CF660E" w14:textId="189B226A" w:rsidR="00A77B3E" w:rsidRPr="00031AE3" w:rsidRDefault="005D5519" w:rsidP="00031AE3">
      <w:pPr>
        <w:snapToGrid w:val="0"/>
        <w:spacing w:line="360" w:lineRule="auto"/>
        <w:jc w:val="both"/>
      </w:pPr>
      <w:r w:rsidRPr="00031AE3">
        <w:rPr>
          <w:rFonts w:ascii="Book Antiqua" w:eastAsia="Book Antiqua" w:hAnsi="Book Antiqua" w:cs="Book Antiqua"/>
        </w:rPr>
        <w:t>Zhao X</w:t>
      </w:r>
      <w:r w:rsidR="00896B9B">
        <w:rPr>
          <w:rFonts w:ascii="Book Antiqua" w:eastAsia="Book Antiqua" w:hAnsi="Book Antiqua" w:cs="Book Antiqua"/>
        </w:rPr>
        <w:t xml:space="preserve"> </w:t>
      </w:r>
      <w:r w:rsidRPr="00031AE3">
        <w:rPr>
          <w:rFonts w:ascii="Book Antiqua" w:eastAsia="Book Antiqua" w:hAnsi="Book Antiqua" w:cs="Book Antiqua"/>
        </w:rPr>
        <w:t xml:space="preserve">C </w:t>
      </w:r>
      <w:r w:rsidRPr="00031AE3">
        <w:rPr>
          <w:rFonts w:ascii="Book Antiqua" w:eastAsia="Book Antiqua" w:hAnsi="Book Antiqua" w:cs="Book Antiqua"/>
          <w:i/>
          <w:iCs/>
        </w:rPr>
        <w:t>et al</w:t>
      </w:r>
      <w:r w:rsidRPr="00031AE3">
        <w:rPr>
          <w:rFonts w:ascii="Book Antiqua" w:eastAsia="Book Antiqua" w:hAnsi="Book Antiqua" w:cs="Book Antiqua"/>
        </w:rPr>
        <w:t xml:space="preserve">. </w:t>
      </w:r>
      <w:r w:rsidR="008F2500" w:rsidRPr="00031AE3">
        <w:rPr>
          <w:rFonts w:ascii="Book Antiqua" w:eastAsia="Book Antiqua" w:hAnsi="Book Antiqua" w:cs="Book Antiqua"/>
        </w:rPr>
        <w:t>Hyperlipemia-induced pseudoerythrocytosis</w:t>
      </w:r>
    </w:p>
    <w:p w14:paraId="648B0199" w14:textId="77777777" w:rsidR="00A77B3E" w:rsidRPr="00031AE3" w:rsidRDefault="00A77B3E" w:rsidP="00031AE3">
      <w:pPr>
        <w:snapToGrid w:val="0"/>
        <w:spacing w:line="360" w:lineRule="auto"/>
        <w:jc w:val="both"/>
      </w:pPr>
    </w:p>
    <w:p w14:paraId="43C9349B" w14:textId="77777777" w:rsidR="00A77B3E" w:rsidRPr="00031AE3" w:rsidRDefault="008F2500" w:rsidP="00031AE3">
      <w:pPr>
        <w:snapToGrid w:val="0"/>
        <w:spacing w:line="360" w:lineRule="auto"/>
        <w:jc w:val="both"/>
      </w:pPr>
      <w:r w:rsidRPr="00031AE3">
        <w:rPr>
          <w:rFonts w:ascii="Book Antiqua" w:eastAsia="Book Antiqua" w:hAnsi="Book Antiqua" w:cs="Book Antiqua"/>
        </w:rPr>
        <w:t>Xi-Chen Zhao, Bo Ju, Na Wei, Jian Ding, Fan-Jun Meng, Hong-Guo Zhao</w:t>
      </w:r>
    </w:p>
    <w:p w14:paraId="18F3F8F9" w14:textId="77777777" w:rsidR="00A77B3E" w:rsidRPr="00031AE3" w:rsidRDefault="00A77B3E" w:rsidP="00031AE3">
      <w:pPr>
        <w:snapToGrid w:val="0"/>
        <w:spacing w:line="360" w:lineRule="auto"/>
        <w:jc w:val="both"/>
      </w:pPr>
    </w:p>
    <w:p w14:paraId="62A33A0D" w14:textId="084D05D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Xi-Chen Zhao, Bo Ju, Na Wei, </w:t>
      </w:r>
      <w:r w:rsidRPr="00031AE3">
        <w:rPr>
          <w:rFonts w:ascii="Book Antiqua" w:eastAsia="Book Antiqua" w:hAnsi="Book Antiqua" w:cs="Book Antiqua"/>
        </w:rPr>
        <w:t>Department of Hematology, The Central Hospital of Qingdao West Coast New Area, Qingdao 266555, Shandong</w:t>
      </w:r>
      <w:r w:rsidR="005D5519" w:rsidRPr="00031AE3">
        <w:rPr>
          <w:rFonts w:ascii="Book Antiqua" w:eastAsia="Book Antiqua" w:hAnsi="Book Antiqua" w:cs="Book Antiqua"/>
        </w:rPr>
        <w:t xml:space="preserve"> Province</w:t>
      </w:r>
      <w:r w:rsidRPr="00031AE3">
        <w:rPr>
          <w:rFonts w:ascii="Book Antiqua" w:eastAsia="Book Antiqua" w:hAnsi="Book Antiqua" w:cs="Book Antiqua"/>
        </w:rPr>
        <w:t>, China</w:t>
      </w:r>
    </w:p>
    <w:p w14:paraId="2AF6FD82" w14:textId="77777777" w:rsidR="00A77B3E" w:rsidRPr="00031AE3" w:rsidRDefault="00A77B3E" w:rsidP="00031AE3">
      <w:pPr>
        <w:snapToGrid w:val="0"/>
        <w:spacing w:line="360" w:lineRule="auto"/>
        <w:jc w:val="both"/>
      </w:pPr>
    </w:p>
    <w:p w14:paraId="60683692" w14:textId="6CC3017A"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Jian Ding, </w:t>
      </w:r>
      <w:r w:rsidRPr="00031AE3">
        <w:rPr>
          <w:rFonts w:ascii="Book Antiqua" w:eastAsia="Book Antiqua" w:hAnsi="Book Antiqua" w:cs="Book Antiqua"/>
        </w:rPr>
        <w:t xml:space="preserve">Department of Clinical </w:t>
      </w:r>
      <w:r w:rsidRPr="00031AE3">
        <w:rPr>
          <w:rFonts w:ascii="Book Antiqua" w:eastAsia="Book Antiqua" w:hAnsi="Book Antiqua" w:cs="Book Antiqua"/>
          <w:caps/>
        </w:rPr>
        <w:t>l</w:t>
      </w:r>
      <w:r w:rsidRPr="00031AE3">
        <w:rPr>
          <w:rFonts w:ascii="Book Antiqua" w:eastAsia="Book Antiqua" w:hAnsi="Book Antiqua" w:cs="Book Antiqua"/>
        </w:rPr>
        <w:t>aboratory, The Central Hospital of Qingdao West Coast New Area, Qingdao 266555, Shandong</w:t>
      </w:r>
      <w:r w:rsidR="005D5519" w:rsidRPr="00031AE3">
        <w:rPr>
          <w:rFonts w:ascii="Book Antiqua" w:eastAsia="Book Antiqua" w:hAnsi="Book Antiqua" w:cs="Book Antiqua"/>
        </w:rPr>
        <w:t xml:space="preserve"> Province</w:t>
      </w:r>
      <w:r w:rsidRPr="00031AE3">
        <w:rPr>
          <w:rFonts w:ascii="Book Antiqua" w:eastAsia="Book Antiqua" w:hAnsi="Book Antiqua" w:cs="Book Antiqua"/>
        </w:rPr>
        <w:t>, China</w:t>
      </w:r>
    </w:p>
    <w:p w14:paraId="190270C8" w14:textId="77777777" w:rsidR="00A77B3E" w:rsidRPr="00031AE3" w:rsidRDefault="00A77B3E" w:rsidP="00031AE3">
      <w:pPr>
        <w:snapToGrid w:val="0"/>
        <w:spacing w:line="360" w:lineRule="auto"/>
        <w:jc w:val="both"/>
      </w:pPr>
    </w:p>
    <w:p w14:paraId="0DAD7829" w14:textId="324102E2"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Fan-Jun Meng, Hong-Guo Zhao, </w:t>
      </w:r>
      <w:r w:rsidRPr="00031AE3">
        <w:rPr>
          <w:rFonts w:ascii="Book Antiqua" w:eastAsia="Book Antiqua" w:hAnsi="Book Antiqua" w:cs="Book Antiqua"/>
        </w:rPr>
        <w:t>Department of Hematology, The Affiliated Hospital of Qingdao University, Qingdao 266000, Shandong</w:t>
      </w:r>
      <w:r w:rsidR="005D5519" w:rsidRPr="00031AE3">
        <w:rPr>
          <w:rFonts w:ascii="Book Antiqua" w:eastAsia="Book Antiqua" w:hAnsi="Book Antiqua" w:cs="Book Antiqua"/>
        </w:rPr>
        <w:t xml:space="preserve"> Province</w:t>
      </w:r>
      <w:r w:rsidRPr="00031AE3">
        <w:rPr>
          <w:rFonts w:ascii="Book Antiqua" w:eastAsia="Book Antiqua" w:hAnsi="Book Antiqua" w:cs="Book Antiqua"/>
        </w:rPr>
        <w:t>, China</w:t>
      </w:r>
    </w:p>
    <w:p w14:paraId="52E765A8" w14:textId="77777777" w:rsidR="00A77B3E" w:rsidRPr="00031AE3" w:rsidRDefault="00A77B3E" w:rsidP="00031AE3">
      <w:pPr>
        <w:snapToGrid w:val="0"/>
        <w:spacing w:line="360" w:lineRule="auto"/>
        <w:jc w:val="both"/>
      </w:pPr>
    </w:p>
    <w:p w14:paraId="1233B0AE" w14:textId="065AC4F2"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Author contributions: </w:t>
      </w:r>
      <w:r w:rsidRPr="00031AE3">
        <w:rPr>
          <w:rFonts w:ascii="Book Antiqua" w:eastAsia="Book Antiqua" w:hAnsi="Book Antiqua" w:cs="Book Antiqua"/>
        </w:rPr>
        <w:t>Zhao XC</w:t>
      </w:r>
      <w:r w:rsidR="005D5519" w:rsidRPr="00031AE3">
        <w:rPr>
          <w:rFonts w:ascii="Book Antiqua" w:eastAsia="Book Antiqua" w:hAnsi="Book Antiqua" w:cs="Book Antiqua"/>
        </w:rPr>
        <w:t xml:space="preserve"> </w:t>
      </w:r>
      <w:r w:rsidRPr="00031AE3">
        <w:rPr>
          <w:rFonts w:ascii="Book Antiqua" w:eastAsia="Book Antiqua" w:hAnsi="Book Antiqua" w:cs="Book Antiqua"/>
        </w:rPr>
        <w:t>designed the study and drafted the manuscript;</w:t>
      </w:r>
      <w:r w:rsidR="005D5519" w:rsidRPr="00031AE3">
        <w:rPr>
          <w:rFonts w:ascii="Book Antiqua" w:eastAsia="Book Antiqua" w:hAnsi="Book Antiqua" w:cs="Book Antiqua"/>
        </w:rPr>
        <w:t xml:space="preserve"> </w:t>
      </w:r>
      <w:r w:rsidRPr="00031AE3">
        <w:rPr>
          <w:rFonts w:ascii="Book Antiqua" w:eastAsia="Book Antiqua" w:hAnsi="Book Antiqua" w:cs="Book Antiqua"/>
        </w:rPr>
        <w:t>Zhao XC,</w:t>
      </w:r>
      <w:r w:rsidR="005D5519" w:rsidRPr="00031AE3">
        <w:rPr>
          <w:rFonts w:ascii="Book Antiqua" w:eastAsia="Book Antiqua" w:hAnsi="Book Antiqua" w:cs="Book Antiqua"/>
        </w:rPr>
        <w:t xml:space="preserve"> </w:t>
      </w:r>
      <w:r w:rsidRPr="00031AE3">
        <w:rPr>
          <w:rFonts w:ascii="Book Antiqua" w:eastAsia="Book Antiqua" w:hAnsi="Book Antiqua" w:cs="Book Antiqua"/>
        </w:rPr>
        <w:t>Ju B</w:t>
      </w:r>
      <w:r w:rsidR="00622DE7" w:rsidRPr="00031AE3">
        <w:rPr>
          <w:rFonts w:ascii="Book Antiqua" w:eastAsia="Book Antiqua" w:hAnsi="Book Antiqua" w:cs="Book Antiqua"/>
        </w:rPr>
        <w:t>,</w:t>
      </w:r>
      <w:r w:rsidRPr="00031AE3">
        <w:rPr>
          <w:rFonts w:ascii="Book Antiqua" w:eastAsia="Book Antiqua" w:hAnsi="Book Antiqua" w:cs="Book Antiqua"/>
        </w:rPr>
        <w:t xml:space="preserve"> and</w:t>
      </w:r>
      <w:r w:rsidR="005D5519" w:rsidRPr="00031AE3">
        <w:rPr>
          <w:rFonts w:ascii="Book Antiqua" w:eastAsia="Book Antiqua" w:hAnsi="Book Antiqua" w:cs="Book Antiqua"/>
        </w:rPr>
        <w:t xml:space="preserve"> </w:t>
      </w:r>
      <w:r w:rsidRPr="00031AE3">
        <w:rPr>
          <w:rFonts w:ascii="Book Antiqua" w:eastAsia="Book Antiqua" w:hAnsi="Book Antiqua" w:cs="Book Antiqua"/>
        </w:rPr>
        <w:t>Wei N participated in the treatment of this patient;</w:t>
      </w:r>
      <w:r w:rsidR="005D5519" w:rsidRPr="00031AE3">
        <w:rPr>
          <w:rFonts w:ascii="Book Antiqua" w:eastAsia="Book Antiqua" w:hAnsi="Book Antiqua" w:cs="Book Antiqua"/>
        </w:rPr>
        <w:t xml:space="preserve"> </w:t>
      </w:r>
      <w:r w:rsidRPr="00031AE3">
        <w:rPr>
          <w:rFonts w:ascii="Book Antiqua" w:eastAsia="Book Antiqua" w:hAnsi="Book Antiqua" w:cs="Book Antiqua"/>
        </w:rPr>
        <w:t>Ding J performed the laboratory tests; Meng</w:t>
      </w:r>
      <w:r w:rsidR="005D5519" w:rsidRPr="00031AE3">
        <w:rPr>
          <w:rFonts w:ascii="Book Antiqua" w:eastAsia="Book Antiqua" w:hAnsi="Book Antiqua" w:cs="Book Antiqua"/>
        </w:rPr>
        <w:t xml:space="preserve"> </w:t>
      </w:r>
      <w:r w:rsidRPr="00031AE3">
        <w:rPr>
          <w:rFonts w:ascii="Book Antiqua" w:eastAsia="Book Antiqua" w:hAnsi="Book Antiqua" w:cs="Book Antiqua"/>
        </w:rPr>
        <w:t>FJ</w:t>
      </w:r>
      <w:r w:rsidR="005D5519" w:rsidRPr="00031AE3">
        <w:rPr>
          <w:rFonts w:ascii="Book Antiqua" w:eastAsia="Book Antiqua" w:hAnsi="Book Antiqua" w:cs="Book Antiqua"/>
        </w:rPr>
        <w:t xml:space="preserve"> </w:t>
      </w:r>
      <w:r w:rsidRPr="00031AE3">
        <w:rPr>
          <w:rFonts w:ascii="Book Antiqua" w:eastAsia="Book Antiqua" w:hAnsi="Book Antiqua" w:cs="Book Antiqua"/>
        </w:rPr>
        <w:t>and Zhao HG</w:t>
      </w:r>
      <w:r w:rsidR="005D5519" w:rsidRPr="00031AE3">
        <w:rPr>
          <w:rFonts w:ascii="Book Antiqua" w:eastAsia="Book Antiqua" w:hAnsi="Book Antiqua" w:cs="Book Antiqua"/>
        </w:rPr>
        <w:t xml:space="preserve"> </w:t>
      </w:r>
      <w:r w:rsidRPr="00031AE3">
        <w:rPr>
          <w:rFonts w:ascii="Book Antiqua" w:eastAsia="Book Antiqua" w:hAnsi="Book Antiqua" w:cs="Book Antiqua"/>
        </w:rPr>
        <w:t>supervised</w:t>
      </w:r>
      <w:r w:rsidR="005D5519" w:rsidRPr="00031AE3">
        <w:rPr>
          <w:rFonts w:ascii="Book Antiqua" w:eastAsia="Book Antiqua" w:hAnsi="Book Antiqua" w:cs="Book Antiqua"/>
        </w:rPr>
        <w:t xml:space="preserve"> </w:t>
      </w:r>
      <w:r w:rsidRPr="00031AE3">
        <w:rPr>
          <w:rFonts w:ascii="Book Antiqua" w:eastAsia="Book Antiqua" w:hAnsi="Book Antiqua" w:cs="Book Antiqua"/>
        </w:rPr>
        <w:t>the treatment and revised the manuscript.</w:t>
      </w:r>
    </w:p>
    <w:p w14:paraId="5D04F77D" w14:textId="77777777" w:rsidR="00A77B3E" w:rsidRPr="00031AE3" w:rsidRDefault="00A77B3E" w:rsidP="00031AE3">
      <w:pPr>
        <w:snapToGrid w:val="0"/>
        <w:spacing w:line="360" w:lineRule="auto"/>
        <w:jc w:val="both"/>
      </w:pPr>
    </w:p>
    <w:p w14:paraId="22976156" w14:textId="4EDB3CB2"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Corresponding author: Hong-Guo Zhao, MD, Chief Doctor, Professor, </w:t>
      </w:r>
      <w:r w:rsidRPr="00031AE3">
        <w:rPr>
          <w:rFonts w:ascii="Book Antiqua" w:eastAsia="Book Antiqua" w:hAnsi="Book Antiqua" w:cs="Book Antiqua"/>
        </w:rPr>
        <w:t xml:space="preserve">Department of Hematology, The Affiliated Hospital of Qingdao University, </w:t>
      </w:r>
      <w:r w:rsidR="003C7D46" w:rsidRPr="00031AE3">
        <w:rPr>
          <w:rFonts w:ascii="Book Antiqua" w:eastAsia="Book Antiqua" w:hAnsi="Book Antiqua" w:cs="Book Antiqua"/>
        </w:rPr>
        <w:t xml:space="preserve">No. </w:t>
      </w:r>
      <w:r w:rsidRPr="00031AE3">
        <w:rPr>
          <w:rFonts w:ascii="Book Antiqua" w:eastAsia="Book Antiqua" w:hAnsi="Book Antiqua" w:cs="Book Antiqua"/>
        </w:rPr>
        <w:t>16 Jiangsu Road, Qingdao 266000, Shandong</w:t>
      </w:r>
      <w:r w:rsidR="005D5519" w:rsidRPr="00031AE3">
        <w:rPr>
          <w:rFonts w:ascii="Book Antiqua" w:eastAsia="Book Antiqua" w:hAnsi="Book Antiqua" w:cs="Book Antiqua"/>
        </w:rPr>
        <w:t xml:space="preserve"> Province</w:t>
      </w:r>
      <w:r w:rsidRPr="00031AE3">
        <w:rPr>
          <w:rFonts w:ascii="Book Antiqua" w:eastAsia="Book Antiqua" w:hAnsi="Book Antiqua" w:cs="Book Antiqua"/>
        </w:rPr>
        <w:t>, China. zhaohongguo6201@163.com</w:t>
      </w:r>
    </w:p>
    <w:p w14:paraId="247DDB70" w14:textId="77777777" w:rsidR="00A77B3E" w:rsidRPr="00031AE3" w:rsidRDefault="00A77B3E" w:rsidP="00031AE3">
      <w:pPr>
        <w:snapToGrid w:val="0"/>
        <w:spacing w:line="360" w:lineRule="auto"/>
        <w:jc w:val="both"/>
      </w:pPr>
    </w:p>
    <w:p w14:paraId="0B581E33"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Received: </w:t>
      </w:r>
      <w:r w:rsidRPr="00031AE3">
        <w:rPr>
          <w:rFonts w:ascii="Book Antiqua" w:eastAsia="Book Antiqua" w:hAnsi="Book Antiqua" w:cs="Book Antiqua"/>
        </w:rPr>
        <w:t>May 8, 2020</w:t>
      </w:r>
    </w:p>
    <w:p w14:paraId="4E8B3B15"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lastRenderedPageBreak/>
        <w:t xml:space="preserve">Revised: </w:t>
      </w:r>
      <w:r w:rsidRPr="00031AE3">
        <w:rPr>
          <w:rFonts w:ascii="Book Antiqua" w:eastAsia="Book Antiqua" w:hAnsi="Book Antiqua" w:cs="Book Antiqua"/>
        </w:rPr>
        <w:t>July 30, 2020</w:t>
      </w:r>
    </w:p>
    <w:p w14:paraId="4E666314" w14:textId="0A8B3029"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Accepted: </w:t>
      </w:r>
      <w:r w:rsidR="00292404" w:rsidRPr="00031AE3">
        <w:rPr>
          <w:rFonts w:ascii="Book Antiqua" w:eastAsia="Book Antiqua" w:hAnsi="Book Antiqua" w:cs="Book Antiqua"/>
        </w:rPr>
        <w:t>August 29, 2020</w:t>
      </w:r>
    </w:p>
    <w:p w14:paraId="48F3D6EC" w14:textId="61EC11F2"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Published online: </w:t>
      </w:r>
      <w:r w:rsidR="00CB7E16">
        <w:rPr>
          <w:rFonts w:ascii="Book Antiqua" w:eastAsia="Book Antiqua" w:hAnsi="Book Antiqua" w:cs="Book Antiqua"/>
          <w:bCs/>
        </w:rPr>
        <w:t xml:space="preserve">October </w:t>
      </w:r>
      <w:r w:rsidR="00861153" w:rsidRPr="00861153">
        <w:rPr>
          <w:rFonts w:ascii="Book Antiqua" w:eastAsia="Book Antiqua" w:hAnsi="Book Antiqua" w:cs="Book Antiqua"/>
          <w:bCs/>
        </w:rPr>
        <w:t>6, 2020</w:t>
      </w:r>
    </w:p>
    <w:p w14:paraId="4D8901B6" w14:textId="77777777" w:rsidR="00A77B3E" w:rsidRDefault="00A77B3E" w:rsidP="00031AE3">
      <w:pPr>
        <w:snapToGrid w:val="0"/>
        <w:spacing w:line="360" w:lineRule="auto"/>
        <w:jc w:val="both"/>
        <w:rPr>
          <w:rFonts w:ascii="Book Antiqua" w:hAnsi="Book Antiqua"/>
          <w:lang w:eastAsia="zh-CN"/>
        </w:rPr>
      </w:pPr>
    </w:p>
    <w:p w14:paraId="5463499E" w14:textId="77777777" w:rsidR="00171842" w:rsidRDefault="00171842" w:rsidP="00031AE3">
      <w:pPr>
        <w:snapToGrid w:val="0"/>
        <w:spacing w:line="360" w:lineRule="auto"/>
        <w:jc w:val="both"/>
        <w:rPr>
          <w:rFonts w:ascii="Book Antiqua" w:hAnsi="Book Antiqua"/>
          <w:lang w:eastAsia="zh-CN"/>
        </w:rPr>
      </w:pPr>
    </w:p>
    <w:p w14:paraId="1C138520"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Abstract</w:t>
      </w:r>
    </w:p>
    <w:p w14:paraId="33E6E695" w14:textId="77777777" w:rsidR="00A77B3E" w:rsidRPr="00031AE3" w:rsidRDefault="008F2500" w:rsidP="00031AE3">
      <w:pPr>
        <w:snapToGrid w:val="0"/>
        <w:spacing w:line="360" w:lineRule="auto"/>
        <w:jc w:val="both"/>
      </w:pPr>
      <w:r w:rsidRPr="00031AE3">
        <w:rPr>
          <w:rFonts w:ascii="Book Antiqua" w:eastAsia="Book Antiqua" w:hAnsi="Book Antiqua" w:cs="Book Antiqua"/>
        </w:rPr>
        <w:t>BACKGROUND</w:t>
      </w:r>
    </w:p>
    <w:p w14:paraId="3C28A052" w14:textId="37437355" w:rsidR="00A77B3E" w:rsidRPr="00031AE3" w:rsidRDefault="008F2500" w:rsidP="00031AE3">
      <w:pPr>
        <w:snapToGrid w:val="0"/>
        <w:spacing w:line="360" w:lineRule="auto"/>
        <w:jc w:val="both"/>
      </w:pPr>
      <w:r w:rsidRPr="00031AE3">
        <w:rPr>
          <w:rFonts w:ascii="Book Antiqua" w:eastAsia="Book Antiqua" w:hAnsi="Book Antiqua" w:cs="Book Antiqua"/>
        </w:rPr>
        <w:t>Severe hyperlipemia (SHLE) has an impact on</w:t>
      </w:r>
      <w:r w:rsidR="007B70E2" w:rsidRPr="00031AE3">
        <w:rPr>
          <w:rFonts w:ascii="Book Antiqua" w:eastAsia="Book Antiqua" w:hAnsi="Book Antiqua" w:cs="Book Antiqua"/>
        </w:rPr>
        <w:t xml:space="preserve"> </w:t>
      </w:r>
      <w:r w:rsidRPr="00031AE3">
        <w:rPr>
          <w:rFonts w:ascii="Book Antiqua" w:eastAsia="Book Antiqua" w:hAnsi="Book Antiqua" w:cs="Book Antiqua"/>
        </w:rPr>
        <w:t>the results of many kinds of laboratory tests. Complete blood count</w:t>
      </w:r>
      <w:r w:rsidR="007B70E2" w:rsidRPr="00031AE3">
        <w:rPr>
          <w:rFonts w:ascii="Book Antiqua" w:eastAsia="Book Antiqua" w:hAnsi="Book Antiqua" w:cs="Book Antiqua"/>
        </w:rPr>
        <w:t xml:space="preserve"> </w:t>
      </w:r>
      <w:r w:rsidRPr="00031AE3">
        <w:rPr>
          <w:rFonts w:ascii="Book Antiqua" w:eastAsia="Book Antiqua" w:hAnsi="Book Antiqua" w:cs="Book Antiqua"/>
        </w:rPr>
        <w:t>(CBC) examination by automated blood cell counter (ABCC) is a</w:t>
      </w:r>
      <w:r w:rsidR="007B70E2" w:rsidRPr="00031AE3">
        <w:rPr>
          <w:rFonts w:ascii="Book Antiqua" w:eastAsia="Book Antiqua" w:hAnsi="Book Antiqua" w:cs="Book Antiqua"/>
        </w:rPr>
        <w:t xml:space="preserve"> </w:t>
      </w:r>
      <w:r w:rsidRPr="00031AE3">
        <w:rPr>
          <w:rFonts w:ascii="Book Antiqua" w:eastAsia="Book Antiqua" w:hAnsi="Book Antiqua" w:cs="Book Antiqua"/>
        </w:rPr>
        <w:t>quick and</w:t>
      </w:r>
      <w:r w:rsidR="007B70E2" w:rsidRPr="00031AE3">
        <w:rPr>
          <w:rFonts w:ascii="Book Antiqua" w:eastAsia="Book Antiqua" w:hAnsi="Book Antiqua" w:cs="Book Antiqua"/>
        </w:rPr>
        <w:t xml:space="preserve"> </w:t>
      </w:r>
      <w:r w:rsidRPr="00031AE3">
        <w:rPr>
          <w:rFonts w:ascii="Book Antiqua" w:eastAsia="Book Antiqua" w:hAnsi="Book Antiqua" w:cs="Book Antiqua"/>
        </w:rPr>
        <w:t>convenient measurement for screening abnormalities of blood cells that are triggered by various pathogenic insults in</w:t>
      </w:r>
      <w:r w:rsidR="007B70E2" w:rsidRPr="00031AE3">
        <w:rPr>
          <w:rFonts w:ascii="Book Antiqua" w:eastAsia="Book Antiqua" w:hAnsi="Book Antiqua" w:cs="Book Antiqua"/>
        </w:rPr>
        <w:t xml:space="preserve"> </w:t>
      </w:r>
      <w:r w:rsidRPr="00031AE3">
        <w:rPr>
          <w:rFonts w:ascii="Book Antiqua" w:eastAsia="Book Antiqua" w:hAnsi="Book Antiqua" w:cs="Book Antiqua"/>
        </w:rPr>
        <w:t>disease diagnosis</w:t>
      </w:r>
      <w:r w:rsidR="007B70E2" w:rsidRPr="00031AE3">
        <w:rPr>
          <w:rFonts w:ascii="Book Antiqua" w:eastAsia="Book Antiqua" w:hAnsi="Book Antiqua" w:cs="Book Antiqua"/>
        </w:rPr>
        <w:t xml:space="preserve"> </w:t>
      </w:r>
      <w:r w:rsidRPr="00031AE3">
        <w:rPr>
          <w:rFonts w:ascii="Book Antiqua" w:eastAsia="Book Antiqua" w:hAnsi="Book Antiqua" w:cs="Book Antiqua"/>
        </w:rPr>
        <w:t>and for monitoring changes in the treatment of existing hematological conditions. However, CBC results are frequently</w:t>
      </w:r>
      <w:r w:rsidR="007B70E2" w:rsidRPr="00031AE3">
        <w:rPr>
          <w:rFonts w:ascii="Book Antiqua" w:eastAsia="Book Antiqua" w:hAnsi="Book Antiqua" w:cs="Book Antiqua"/>
        </w:rPr>
        <w:t xml:space="preserve"> </w:t>
      </w:r>
      <w:r w:rsidRPr="00031AE3">
        <w:rPr>
          <w:rFonts w:ascii="Book Antiqua" w:eastAsia="Book Antiqua" w:hAnsi="Book Antiqua" w:cs="Book Antiqua"/>
        </w:rPr>
        <w:t>affected by many intrinsic and extrinsic factors from</w:t>
      </w:r>
      <w:r w:rsidR="007B70E2" w:rsidRPr="00031AE3">
        <w:rPr>
          <w:rFonts w:ascii="Book Antiqua" w:eastAsia="Book Antiqua" w:hAnsi="Book Antiqua" w:cs="Book Antiqua"/>
        </w:rPr>
        <w:t xml:space="preserve"> </w:t>
      </w:r>
      <w:r w:rsidRPr="00031AE3">
        <w:rPr>
          <w:rFonts w:ascii="Book Antiqua" w:eastAsia="Book Antiqua" w:hAnsi="Book Antiqua" w:cs="Book Antiqua"/>
        </w:rPr>
        <w:t>blood samples,</w:t>
      </w:r>
      <w:r w:rsidR="007B70E2" w:rsidRPr="00031AE3">
        <w:rPr>
          <w:rFonts w:ascii="Book Antiqua" w:eastAsia="Book Antiqua" w:hAnsi="Book Antiqua" w:cs="Book Antiqua"/>
        </w:rPr>
        <w:t xml:space="preserve"> </w:t>
      </w:r>
      <w:r w:rsidRPr="00031AE3">
        <w:rPr>
          <w:rFonts w:ascii="Book Antiqua" w:eastAsia="Book Antiqua" w:hAnsi="Book Antiqua" w:cs="Book Antiqua"/>
        </w:rPr>
        <w:t>such as in the setting of hypergammaglobulinemia and certain anticoagulants. SHLE could</w:t>
      </w:r>
      <w:r w:rsidR="007B70E2" w:rsidRPr="00031AE3">
        <w:rPr>
          <w:rFonts w:ascii="Book Antiqua" w:eastAsia="Book Antiqua" w:hAnsi="Book Antiqua" w:cs="Book Antiqua"/>
        </w:rPr>
        <w:t xml:space="preserve"> </w:t>
      </w:r>
      <w:r w:rsidRPr="00031AE3">
        <w:rPr>
          <w:rFonts w:ascii="Book Antiqua" w:eastAsia="Book Antiqua" w:hAnsi="Book Antiqua" w:cs="Book Antiqua"/>
        </w:rPr>
        <w:t>also affect CBC results.</w:t>
      </w:r>
    </w:p>
    <w:p w14:paraId="7D9B3A7C" w14:textId="77777777" w:rsidR="00A77B3E" w:rsidRPr="00031AE3" w:rsidRDefault="00A77B3E" w:rsidP="00031AE3">
      <w:pPr>
        <w:snapToGrid w:val="0"/>
        <w:spacing w:line="360" w:lineRule="auto"/>
        <w:jc w:val="both"/>
      </w:pPr>
    </w:p>
    <w:p w14:paraId="471F98F0" w14:textId="77777777" w:rsidR="00A77B3E" w:rsidRPr="00031AE3" w:rsidRDefault="008F2500" w:rsidP="00031AE3">
      <w:pPr>
        <w:snapToGrid w:val="0"/>
        <w:spacing w:line="360" w:lineRule="auto"/>
        <w:jc w:val="both"/>
      </w:pPr>
      <w:r w:rsidRPr="00031AE3">
        <w:rPr>
          <w:rFonts w:ascii="Book Antiqua" w:eastAsia="Book Antiqua" w:hAnsi="Book Antiqua" w:cs="Book Antiqua"/>
        </w:rPr>
        <w:t>CASE SUMMARY</w:t>
      </w:r>
    </w:p>
    <w:p w14:paraId="223B0CA0" w14:textId="4DAD80C8" w:rsidR="00A77B3E" w:rsidRPr="00031AE3" w:rsidRDefault="008F2500" w:rsidP="00031AE3">
      <w:pPr>
        <w:snapToGrid w:val="0"/>
        <w:spacing w:line="360" w:lineRule="auto"/>
        <w:jc w:val="both"/>
      </w:pPr>
      <w:r w:rsidRPr="00031AE3">
        <w:rPr>
          <w:rFonts w:ascii="Book Antiqua" w:eastAsia="Book Antiqua" w:hAnsi="Book Antiqua" w:cs="Book Antiqua"/>
        </w:rPr>
        <w:t>A</w:t>
      </w:r>
      <w:r w:rsidR="007B70E2" w:rsidRPr="00031AE3">
        <w:rPr>
          <w:rFonts w:ascii="Book Antiqua" w:eastAsia="Book Antiqua" w:hAnsi="Book Antiqua" w:cs="Book Antiqua"/>
        </w:rPr>
        <w:t xml:space="preserve"> </w:t>
      </w:r>
      <w:r w:rsidRPr="00031AE3">
        <w:rPr>
          <w:rFonts w:ascii="Book Antiqua" w:eastAsia="Book Antiqua" w:hAnsi="Book Antiqua" w:cs="Book Antiqua"/>
        </w:rPr>
        <w:t>33-year-old Chinese male</w:t>
      </w:r>
      <w:r w:rsidR="007B70E2" w:rsidRPr="00031AE3">
        <w:rPr>
          <w:rFonts w:ascii="Book Antiqua" w:eastAsia="Book Antiqua" w:hAnsi="Book Antiqua" w:cs="Book Antiqua"/>
        </w:rPr>
        <w:t xml:space="preserve"> </w:t>
      </w:r>
      <w:r w:rsidRPr="00031AE3">
        <w:rPr>
          <w:rFonts w:ascii="Book Antiqua" w:eastAsia="Book Antiqua" w:hAnsi="Book Antiqua" w:cs="Book Antiqua"/>
        </w:rPr>
        <w:t>presented with painful foot numbness and abdominal pain. He was initially misdiagnosed as having a myeloproliferative neoplasm (MPN) because of the marked abnormalities in CBC examination by the ABCC. Morphological evaluation</w:t>
      </w:r>
      <w:r w:rsidR="007B70E2" w:rsidRPr="00031AE3">
        <w:rPr>
          <w:rFonts w:ascii="Book Antiqua" w:eastAsia="Book Antiqua" w:hAnsi="Book Antiqua" w:cs="Book Antiqua"/>
        </w:rPr>
        <w:t xml:space="preserve"> </w:t>
      </w:r>
      <w:r w:rsidRPr="00031AE3">
        <w:rPr>
          <w:rFonts w:ascii="Book Antiqua" w:eastAsia="Book Antiqua" w:hAnsi="Book Antiqua" w:cs="Book Antiqua"/>
        </w:rPr>
        <w:t xml:space="preserve">of the bone marrow smears and biopsy showed no evidence of MPN. Gene mutations in </w:t>
      </w:r>
      <w:r w:rsidR="00CA36BA" w:rsidRPr="00031AE3">
        <w:rPr>
          <w:rFonts w:ascii="Book Antiqua" w:eastAsia="Book Antiqua" w:hAnsi="Book Antiqua" w:cs="Book Antiqua"/>
          <w:i/>
          <w:iCs/>
        </w:rPr>
        <w:t>B-cell receptor-Abelson murine leukemia viral oncogene homologue 1</w:t>
      </w:r>
      <w:r w:rsidR="00CA36BA" w:rsidRPr="00031AE3">
        <w:rPr>
          <w:rFonts w:ascii="Book Antiqua" w:eastAsia="Book Antiqua" w:hAnsi="Book Antiqua" w:cs="Book Antiqua"/>
        </w:rPr>
        <w:t xml:space="preserve">, </w:t>
      </w:r>
      <w:r w:rsidR="00CA36BA" w:rsidRPr="00031AE3">
        <w:rPr>
          <w:rFonts w:ascii="Book Antiqua" w:eastAsia="Book Antiqua" w:hAnsi="Book Antiqua" w:cs="Book Antiqua"/>
          <w:i/>
          <w:iCs/>
        </w:rPr>
        <w:t>Janus kinase</w:t>
      </w:r>
      <w:r w:rsidR="00CA36BA" w:rsidRPr="00031AE3">
        <w:rPr>
          <w:rFonts w:ascii="Book Antiqua" w:eastAsia="Book Antiqua" w:hAnsi="Book Antiqua" w:cs="Book Antiqua"/>
        </w:rPr>
        <w:t xml:space="preserve">, </w:t>
      </w:r>
      <w:r w:rsidR="00CA36BA" w:rsidRPr="00031AE3">
        <w:rPr>
          <w:rFonts w:ascii="Book Antiqua" w:eastAsia="Book Antiqua" w:hAnsi="Book Antiqua" w:cs="Book Antiqua"/>
          <w:i/>
          <w:iCs/>
        </w:rPr>
        <w:t>calreticulin,</w:t>
      </w:r>
      <w:r w:rsidR="00CA36BA" w:rsidRPr="00031AE3">
        <w:rPr>
          <w:rFonts w:ascii="Book Antiqua" w:eastAsia="Book Antiqua" w:hAnsi="Book Antiqua" w:cs="Book Antiqua"/>
        </w:rPr>
        <w:t xml:space="preserve"> </w:t>
      </w:r>
      <w:r w:rsidR="00CA36BA" w:rsidRPr="00031AE3">
        <w:rPr>
          <w:rFonts w:ascii="Book Antiqua" w:eastAsia="Book Antiqua" w:hAnsi="Book Antiqua" w:cs="Book Antiqua"/>
          <w:i/>
          <w:iCs/>
        </w:rPr>
        <w:t>myeloproliferative leukemia virus</w:t>
      </w:r>
      <w:r w:rsidR="00CA36BA" w:rsidRPr="00031AE3">
        <w:rPr>
          <w:rFonts w:ascii="Book Antiqua" w:eastAsia="Book Antiqua" w:hAnsi="Book Antiqua" w:cs="Book Antiqua"/>
        </w:rPr>
        <w:t xml:space="preserve">, and </w:t>
      </w:r>
      <w:r w:rsidR="00CA36BA" w:rsidRPr="00031AE3">
        <w:rPr>
          <w:rFonts w:ascii="Book Antiqua" w:eastAsia="Book Antiqua" w:hAnsi="Book Antiqua" w:cs="Book Antiqua"/>
          <w:i/>
          <w:iCs/>
        </w:rPr>
        <w:t xml:space="preserve">colony-stimulating factor 3 receptor </w:t>
      </w:r>
      <w:r w:rsidRPr="00031AE3">
        <w:rPr>
          <w:rFonts w:ascii="Book Antiqua" w:eastAsia="Book Antiqua" w:hAnsi="Book Antiqua" w:cs="Book Antiqua"/>
        </w:rPr>
        <w:t>were negative. Having noticed the thick chylomicron layer</w:t>
      </w:r>
      <w:r w:rsidR="007B70E2" w:rsidRPr="00031AE3">
        <w:rPr>
          <w:rFonts w:ascii="Book Antiqua" w:eastAsia="Book Antiqua" w:hAnsi="Book Antiqua" w:cs="Book Antiqua"/>
        </w:rPr>
        <w:t xml:space="preserve"> </w:t>
      </w:r>
      <w:r w:rsidRPr="00031AE3">
        <w:rPr>
          <w:rFonts w:ascii="Book Antiqua" w:eastAsia="Book Antiqua" w:hAnsi="Book Antiqua" w:cs="Book Antiqua"/>
        </w:rPr>
        <w:t>on blood samples and the dramatically fluctuating CBC results, we speculated that the fat droplets formed by shaking the blood samples</w:t>
      </w:r>
      <w:r w:rsidR="007B70E2" w:rsidRPr="00031AE3">
        <w:rPr>
          <w:rFonts w:ascii="Book Antiqua" w:eastAsia="Book Antiqua" w:hAnsi="Book Antiqua" w:cs="Book Antiqua"/>
        </w:rPr>
        <w:t xml:space="preserve"> </w:t>
      </w:r>
      <w:r w:rsidRPr="00031AE3">
        <w:rPr>
          <w:rFonts w:ascii="Book Antiqua" w:eastAsia="Book Antiqua" w:hAnsi="Book Antiqua" w:cs="Book Antiqua"/>
        </w:rPr>
        <w:t>in the setting of SHLE were mistakenly identified</w:t>
      </w:r>
      <w:r w:rsidR="007B70E2" w:rsidRPr="00031AE3">
        <w:rPr>
          <w:rFonts w:ascii="Book Antiqua" w:eastAsia="Book Antiqua" w:hAnsi="Book Antiqua" w:cs="Book Antiqua"/>
        </w:rPr>
        <w:t xml:space="preserve"> </w:t>
      </w:r>
      <w:r w:rsidRPr="00031AE3">
        <w:rPr>
          <w:rFonts w:ascii="Book Antiqua" w:eastAsia="Book Antiqua" w:hAnsi="Book Antiqua" w:cs="Book Antiqua"/>
        </w:rPr>
        <w:t>as blood cells due to the limited parameters of ABCC. Therefore, we removed a large part of the chylomicron layer and then reexamined the CBC, and the CBC results, as we expected, differed significantly from that of the sample before</w:t>
      </w:r>
      <w:r w:rsidR="007B70E2" w:rsidRPr="00031AE3">
        <w:rPr>
          <w:rFonts w:ascii="Book Antiqua" w:eastAsia="Book Antiqua" w:hAnsi="Book Antiqua" w:cs="Book Antiqua"/>
        </w:rPr>
        <w:t xml:space="preserve"> </w:t>
      </w:r>
      <w:r w:rsidRPr="00031AE3">
        <w:rPr>
          <w:rFonts w:ascii="Book Antiqua" w:eastAsia="Book Antiqua" w:hAnsi="Book Antiqua" w:cs="Book Antiqua"/>
        </w:rPr>
        <w:t xml:space="preserve">the chylomicron layer was </w:t>
      </w:r>
      <w:r w:rsidRPr="00031AE3">
        <w:rPr>
          <w:rFonts w:ascii="Book Antiqua" w:eastAsia="Book Antiqua" w:hAnsi="Book Antiqua" w:cs="Book Antiqua"/>
        </w:rPr>
        <w:lastRenderedPageBreak/>
        <w:t xml:space="preserve">removed. These significant differences had been validated by the subsequently repeated laboratory tests by measuring dual blood samples that the chylomicron layer was removed in one sample and was not in another, and comparing the CBC results. </w:t>
      </w:r>
      <w:r w:rsidR="007B70E2" w:rsidRPr="00031AE3">
        <w:rPr>
          <w:rFonts w:ascii="Book Antiqua" w:eastAsia="Book Antiqua" w:hAnsi="Book Antiqua" w:cs="Book Antiqua"/>
        </w:rPr>
        <w:t xml:space="preserve">Computerized tomography </w:t>
      </w:r>
      <w:r w:rsidRPr="00031AE3">
        <w:rPr>
          <w:rFonts w:ascii="Book Antiqua" w:eastAsia="Book Antiqua" w:hAnsi="Book Antiqua" w:cs="Book Antiqua"/>
        </w:rPr>
        <w:t>reexamination of the upper abdomen revealed an exudative</w:t>
      </w:r>
      <w:r w:rsidR="00C83926" w:rsidRPr="00031AE3">
        <w:rPr>
          <w:rFonts w:ascii="Book Antiqua" w:eastAsia="Book Antiqua" w:hAnsi="Book Antiqua" w:cs="Book Antiqua"/>
        </w:rPr>
        <w:t xml:space="preserve"> </w:t>
      </w:r>
      <w:r w:rsidRPr="00031AE3">
        <w:rPr>
          <w:rFonts w:ascii="Book Antiqua" w:eastAsia="Book Antiqua" w:hAnsi="Book Antiqua" w:cs="Book Antiqua"/>
        </w:rPr>
        <w:t>lesion surrounding his pancreas. After</w:t>
      </w:r>
      <w:r w:rsidR="00C83926" w:rsidRPr="00031AE3">
        <w:rPr>
          <w:rFonts w:ascii="Book Antiqua" w:eastAsia="Book Antiqua" w:hAnsi="Book Antiqua" w:cs="Book Antiqua"/>
        </w:rPr>
        <w:t xml:space="preserve"> </w:t>
      </w:r>
      <w:r w:rsidRPr="00031AE3">
        <w:rPr>
          <w:rFonts w:ascii="Book Antiqua" w:eastAsia="Book Antiqua" w:hAnsi="Book Antiqua" w:cs="Book Antiqua"/>
        </w:rPr>
        <w:t>intensive consultation, definitive diagnosis was made as recurrent</w:t>
      </w:r>
      <w:r w:rsidR="00C83926" w:rsidRPr="00031AE3">
        <w:rPr>
          <w:rFonts w:ascii="Book Antiqua" w:eastAsia="Book Antiqua" w:hAnsi="Book Antiqua" w:cs="Book Antiqua"/>
        </w:rPr>
        <w:t xml:space="preserve"> </w:t>
      </w:r>
      <w:r w:rsidRPr="00031AE3">
        <w:rPr>
          <w:rFonts w:ascii="Book Antiqua" w:eastAsia="Book Antiqua" w:hAnsi="Book Antiqua" w:cs="Book Antiqua"/>
        </w:rPr>
        <w:t>pancreatitis, hyperlipemia</w:t>
      </w:r>
      <w:r w:rsidR="00C83926" w:rsidRPr="00031AE3">
        <w:rPr>
          <w:rFonts w:ascii="Book Antiqua" w:eastAsia="Book Antiqua" w:hAnsi="Book Antiqua" w:cs="Book Antiqua"/>
        </w:rPr>
        <w:t xml:space="preserve"> </w:t>
      </w:r>
      <w:r w:rsidRPr="00031AE3">
        <w:rPr>
          <w:rFonts w:ascii="Book Antiqua" w:eastAsia="Book Antiqua" w:hAnsi="Book Antiqua" w:cs="Book Antiqua"/>
        </w:rPr>
        <w:t>and pseudoerythrocytosis.</w:t>
      </w:r>
    </w:p>
    <w:p w14:paraId="4E601D02" w14:textId="77777777" w:rsidR="00A77B3E" w:rsidRPr="00031AE3" w:rsidRDefault="00A77B3E" w:rsidP="00031AE3">
      <w:pPr>
        <w:snapToGrid w:val="0"/>
        <w:spacing w:line="360" w:lineRule="auto"/>
        <w:jc w:val="both"/>
      </w:pPr>
    </w:p>
    <w:p w14:paraId="5845A91F" w14:textId="77777777" w:rsidR="00A77B3E" w:rsidRPr="00031AE3" w:rsidRDefault="008F2500" w:rsidP="00031AE3">
      <w:pPr>
        <w:snapToGrid w:val="0"/>
        <w:spacing w:line="360" w:lineRule="auto"/>
        <w:jc w:val="both"/>
      </w:pPr>
      <w:r w:rsidRPr="00031AE3">
        <w:rPr>
          <w:rFonts w:ascii="Book Antiqua" w:eastAsia="Book Antiqua" w:hAnsi="Book Antiqua" w:cs="Book Antiqua"/>
        </w:rPr>
        <w:t>CONCLUSION</w:t>
      </w:r>
    </w:p>
    <w:p w14:paraId="0375EA79" w14:textId="44C21FCF" w:rsidR="00A77B3E" w:rsidRPr="00031AE3" w:rsidRDefault="008F2500" w:rsidP="00031AE3">
      <w:pPr>
        <w:snapToGrid w:val="0"/>
        <w:spacing w:line="360" w:lineRule="auto"/>
        <w:jc w:val="both"/>
      </w:pPr>
      <w:r w:rsidRPr="00031AE3">
        <w:rPr>
          <w:rFonts w:ascii="Book Antiqua" w:eastAsia="Book Antiqua" w:hAnsi="Book Antiqua" w:cs="Book Antiqua"/>
        </w:rPr>
        <w:t>SHLE may become a potential cause of misdiagnosis of hyperlipemia-related diseases as MPNs</w:t>
      </w:r>
      <w:r w:rsidR="00C83926" w:rsidRPr="00031AE3">
        <w:rPr>
          <w:rFonts w:ascii="Book Antiqua" w:eastAsia="Book Antiqua" w:hAnsi="Book Antiqua" w:cs="Book Antiqua"/>
        </w:rPr>
        <w:t xml:space="preserve"> </w:t>
      </w:r>
      <w:r w:rsidRPr="00031AE3">
        <w:rPr>
          <w:rFonts w:ascii="Book Antiqua" w:eastAsia="Book Antiqua" w:hAnsi="Book Antiqua" w:cs="Book Antiqua"/>
        </w:rPr>
        <w:t>and the resultant mistreatment. It may also lead to</w:t>
      </w:r>
      <w:r w:rsidR="00C83926" w:rsidRPr="00031AE3">
        <w:rPr>
          <w:rFonts w:ascii="Book Antiqua" w:eastAsia="Book Antiqua" w:hAnsi="Book Antiqua" w:cs="Book Antiqua"/>
        </w:rPr>
        <w:t xml:space="preserve"> </w:t>
      </w:r>
      <w:r w:rsidRPr="00031AE3">
        <w:rPr>
          <w:rFonts w:ascii="Book Antiqua" w:eastAsia="Book Antiqua" w:hAnsi="Book Antiqua" w:cs="Book Antiqua"/>
        </w:rPr>
        <w:t>the misinterpretation of transfusion</w:t>
      </w:r>
      <w:r w:rsidR="00C83926" w:rsidRPr="00031AE3">
        <w:rPr>
          <w:rFonts w:ascii="Book Antiqua" w:eastAsia="Book Antiqua" w:hAnsi="Book Antiqua" w:cs="Book Antiqua"/>
        </w:rPr>
        <w:t xml:space="preserve"> </w:t>
      </w:r>
      <w:r w:rsidRPr="00031AE3">
        <w:rPr>
          <w:rFonts w:ascii="Book Antiqua" w:eastAsia="Book Antiqua" w:hAnsi="Book Antiqua" w:cs="Book Antiqua"/>
        </w:rPr>
        <w:t>indications in patients with hematological disorders who critically need blood transfusion for supportive treatment.</w:t>
      </w:r>
    </w:p>
    <w:p w14:paraId="5DB0E01F" w14:textId="77777777" w:rsidR="00A77B3E" w:rsidRPr="00031AE3" w:rsidRDefault="00A77B3E" w:rsidP="00031AE3">
      <w:pPr>
        <w:snapToGrid w:val="0"/>
        <w:spacing w:line="360" w:lineRule="auto"/>
        <w:jc w:val="both"/>
      </w:pPr>
    </w:p>
    <w:p w14:paraId="6592FFFE" w14:textId="6BF564D6"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Key words: </w:t>
      </w:r>
      <w:r w:rsidRPr="00031AE3">
        <w:rPr>
          <w:rFonts w:ascii="Book Antiqua" w:eastAsia="Book Antiqua" w:hAnsi="Book Antiqua" w:cs="Book Antiqua"/>
        </w:rPr>
        <w:t xml:space="preserve">Case report; Hyperlipemia; Fat droplet; Pancreatitis; Pseudoerythrocytosis; </w:t>
      </w:r>
      <w:r w:rsidR="00C83926" w:rsidRPr="00031AE3">
        <w:rPr>
          <w:rFonts w:ascii="Book Antiqua" w:eastAsia="Book Antiqua" w:hAnsi="Book Antiqua" w:cs="Book Antiqua"/>
        </w:rPr>
        <w:t>B</w:t>
      </w:r>
      <w:r w:rsidRPr="00031AE3">
        <w:rPr>
          <w:rFonts w:ascii="Book Antiqua" w:eastAsia="Book Antiqua" w:hAnsi="Book Antiqua" w:cs="Book Antiqua"/>
        </w:rPr>
        <w:t>lood transfusion indication</w:t>
      </w:r>
    </w:p>
    <w:p w14:paraId="5373A158" w14:textId="77777777" w:rsidR="00A77B3E" w:rsidRPr="00031AE3" w:rsidRDefault="00A77B3E" w:rsidP="00031AE3">
      <w:pPr>
        <w:snapToGrid w:val="0"/>
        <w:spacing w:line="360" w:lineRule="auto"/>
        <w:jc w:val="both"/>
      </w:pPr>
    </w:p>
    <w:p w14:paraId="1601804B" w14:textId="583E6789" w:rsidR="00A77B3E" w:rsidRPr="00031AE3" w:rsidRDefault="008F2500" w:rsidP="00031AE3">
      <w:pPr>
        <w:snapToGrid w:val="0"/>
        <w:spacing w:line="360" w:lineRule="auto"/>
        <w:jc w:val="both"/>
        <w:rPr>
          <w:rFonts w:hint="eastAsia"/>
          <w:lang w:eastAsia="zh-CN"/>
        </w:rPr>
      </w:pPr>
      <w:r w:rsidRPr="00031AE3">
        <w:rPr>
          <w:rFonts w:ascii="Book Antiqua" w:eastAsia="Book Antiqua" w:hAnsi="Book Antiqua" w:cs="Book Antiqua"/>
        </w:rPr>
        <w:t>Zhao X</w:t>
      </w:r>
      <w:r w:rsidR="00F51B3C">
        <w:rPr>
          <w:rFonts w:ascii="Book Antiqua" w:eastAsia="Book Antiqua" w:hAnsi="Book Antiqua" w:cs="Book Antiqua"/>
        </w:rPr>
        <w:t>-</w:t>
      </w:r>
      <w:r w:rsidRPr="00031AE3">
        <w:rPr>
          <w:rFonts w:ascii="Book Antiqua" w:eastAsia="Book Antiqua" w:hAnsi="Book Antiqua" w:cs="Book Antiqua"/>
        </w:rPr>
        <w:t>C, Ju B, Wei N, Ding J, Meng F</w:t>
      </w:r>
      <w:r w:rsidR="00F51B3C">
        <w:rPr>
          <w:rFonts w:ascii="Book Antiqua" w:eastAsia="Book Antiqua" w:hAnsi="Book Antiqua" w:cs="Book Antiqua"/>
        </w:rPr>
        <w:t>-</w:t>
      </w:r>
      <w:r w:rsidRPr="00031AE3">
        <w:rPr>
          <w:rFonts w:ascii="Book Antiqua" w:eastAsia="Book Antiqua" w:hAnsi="Book Antiqua" w:cs="Book Antiqua"/>
        </w:rPr>
        <w:t>J, Zhao H</w:t>
      </w:r>
      <w:r w:rsidR="00F51B3C">
        <w:rPr>
          <w:rFonts w:ascii="Book Antiqua" w:eastAsia="Book Antiqua" w:hAnsi="Book Antiqua" w:cs="Book Antiqua"/>
        </w:rPr>
        <w:t>-</w:t>
      </w:r>
      <w:r w:rsidRPr="00031AE3">
        <w:rPr>
          <w:rFonts w:ascii="Book Antiqua" w:eastAsia="Book Antiqua" w:hAnsi="Book Antiqua" w:cs="Book Antiqua"/>
        </w:rPr>
        <w:t xml:space="preserve">G. </w:t>
      </w:r>
      <w:r w:rsidR="00C83926" w:rsidRPr="00031AE3">
        <w:rPr>
          <w:rFonts w:ascii="Book Antiqua" w:eastAsia="Book Antiqua" w:hAnsi="Book Antiqua" w:cs="Book Antiqua"/>
        </w:rPr>
        <w:t>Severe hyperlipemia-induced pseudoerythrocytosis</w:t>
      </w:r>
      <w:r w:rsidR="00393870" w:rsidRPr="00031AE3">
        <w:rPr>
          <w:rFonts w:ascii="Book Antiqua" w:eastAsia="Book Antiqua" w:hAnsi="Book Antiqua" w:cs="Book Antiqua"/>
        </w:rPr>
        <w:t xml:space="preserve"> - </w:t>
      </w:r>
      <w:r w:rsidR="00C83926" w:rsidRPr="00031AE3">
        <w:rPr>
          <w:rFonts w:ascii="Book Antiqua" w:eastAsia="Book Antiqua" w:hAnsi="Book Antiqua" w:cs="Book Antiqua"/>
        </w:rPr>
        <w:t>Implication for misdiagnosis and blood transfusion: A case report and review of literature</w:t>
      </w:r>
      <w:r w:rsidRPr="00031AE3">
        <w:rPr>
          <w:rFonts w:ascii="Book Antiqua" w:eastAsia="Book Antiqua" w:hAnsi="Book Antiqua" w:cs="Book Antiqua"/>
        </w:rPr>
        <w:t xml:space="preserve">. </w:t>
      </w:r>
      <w:r w:rsidRPr="00031AE3">
        <w:rPr>
          <w:rFonts w:ascii="Book Antiqua" w:eastAsia="Book Antiqua" w:hAnsi="Book Antiqua" w:cs="Book Antiqua"/>
          <w:i/>
          <w:iCs/>
        </w:rPr>
        <w:t xml:space="preserve">World J </w:t>
      </w:r>
      <w:proofErr w:type="spellStart"/>
      <w:r w:rsidRPr="00031AE3">
        <w:rPr>
          <w:rFonts w:ascii="Book Antiqua" w:eastAsia="Book Antiqua" w:hAnsi="Book Antiqua" w:cs="Book Antiqua"/>
          <w:i/>
          <w:iCs/>
        </w:rPr>
        <w:t>Clin</w:t>
      </w:r>
      <w:proofErr w:type="spellEnd"/>
      <w:r w:rsidRPr="00031AE3">
        <w:rPr>
          <w:rFonts w:ascii="Book Antiqua" w:eastAsia="Book Antiqua" w:hAnsi="Book Antiqua" w:cs="Book Antiqua"/>
          <w:i/>
          <w:iCs/>
        </w:rPr>
        <w:t xml:space="preserve"> Cases</w:t>
      </w:r>
      <w:r w:rsidRPr="00031AE3">
        <w:rPr>
          <w:rFonts w:ascii="Book Antiqua" w:eastAsia="Book Antiqua" w:hAnsi="Book Antiqua" w:cs="Book Antiqua"/>
        </w:rPr>
        <w:t xml:space="preserve"> </w:t>
      </w:r>
      <w:r w:rsidR="00171842" w:rsidRPr="001F60E6">
        <w:rPr>
          <w:rFonts w:ascii="Book Antiqua" w:hAnsi="Book Antiqua"/>
        </w:rPr>
        <w:t>2020; 8(</w:t>
      </w:r>
      <w:r w:rsidR="00171842">
        <w:rPr>
          <w:rFonts w:ascii="Book Antiqua" w:hAnsi="Book Antiqua" w:hint="eastAsia"/>
        </w:rPr>
        <w:t>19</w:t>
      </w:r>
      <w:r w:rsidR="00CB7E16">
        <w:rPr>
          <w:rFonts w:ascii="Book Antiqua" w:hAnsi="Book Antiqua"/>
        </w:rPr>
        <w:t xml:space="preserve">): </w:t>
      </w:r>
      <w:r w:rsidR="00CB7E16">
        <w:rPr>
          <w:rFonts w:ascii="Book Antiqua" w:hAnsi="Book Antiqua" w:hint="eastAsia"/>
          <w:lang w:eastAsia="zh-CN"/>
        </w:rPr>
        <w:t xml:space="preserve">4595-4602 </w:t>
      </w:r>
      <w:r w:rsidR="00171842" w:rsidRPr="001F60E6">
        <w:rPr>
          <w:rFonts w:ascii="Book Antiqua" w:hAnsi="Book Antiqua"/>
        </w:rPr>
        <w:t xml:space="preserve">URL: </w:t>
      </w:r>
      <w:hyperlink r:id="rId7" w:history="1">
        <w:r w:rsidR="00CB7E16" w:rsidRPr="008D3674">
          <w:rPr>
            <w:rStyle w:val="a7"/>
            <w:rFonts w:ascii="Book Antiqua" w:hAnsi="Book Antiqua"/>
          </w:rPr>
          <w:t>https://www.wjgnet.com/2307-8960/full/v8/i</w:t>
        </w:r>
        <w:r w:rsidR="00CB7E16" w:rsidRPr="008D3674">
          <w:rPr>
            <w:rStyle w:val="a7"/>
            <w:rFonts w:ascii="Book Antiqua" w:hAnsi="Book Antiqua" w:hint="eastAsia"/>
          </w:rPr>
          <w:t>19</w:t>
        </w:r>
        <w:r w:rsidR="00CB7E16" w:rsidRPr="008D3674">
          <w:rPr>
            <w:rStyle w:val="a7"/>
            <w:rFonts w:ascii="Book Antiqua" w:hAnsi="Book Antiqua"/>
          </w:rPr>
          <w:t>/</w:t>
        </w:r>
        <w:r w:rsidR="00CB7E16" w:rsidRPr="008D3674">
          <w:rPr>
            <w:rStyle w:val="a7"/>
            <w:rFonts w:ascii="Book Antiqua" w:hAnsi="Book Antiqua" w:hint="eastAsia"/>
            <w:lang w:eastAsia="zh-CN"/>
          </w:rPr>
          <w:t>4595</w:t>
        </w:r>
        <w:r w:rsidR="00CB7E16" w:rsidRPr="008D3674">
          <w:rPr>
            <w:rStyle w:val="a7"/>
            <w:rFonts w:ascii="Book Antiqua" w:hAnsi="Book Antiqua"/>
          </w:rPr>
          <w:t>.htm</w:t>
        </w:r>
      </w:hyperlink>
      <w:r w:rsidR="00CB7E16">
        <w:rPr>
          <w:rFonts w:ascii="Book Antiqua" w:hAnsi="Book Antiqua" w:hint="eastAsia"/>
          <w:lang w:eastAsia="zh-CN"/>
        </w:rPr>
        <w:t xml:space="preserve"> </w:t>
      </w:r>
      <w:r w:rsidR="00171842" w:rsidRPr="001F60E6">
        <w:rPr>
          <w:rFonts w:ascii="Book Antiqua" w:hAnsi="Book Antiqua"/>
        </w:rPr>
        <w:t xml:space="preserve">DOI: </w:t>
      </w:r>
      <w:bookmarkStart w:id="0" w:name="_GoBack"/>
      <w:r w:rsidR="00171842" w:rsidRPr="001F60E6">
        <w:rPr>
          <w:rFonts w:ascii="Book Antiqua" w:hAnsi="Book Antiqua"/>
        </w:rPr>
        <w:t>https://dx.doi.org/10.12998/wjcc.v8.i</w:t>
      </w:r>
      <w:r w:rsidR="00171842">
        <w:rPr>
          <w:rFonts w:ascii="Book Antiqua" w:hAnsi="Book Antiqua" w:hint="eastAsia"/>
        </w:rPr>
        <w:t>19</w:t>
      </w:r>
      <w:r w:rsidR="00171842" w:rsidRPr="001F60E6">
        <w:rPr>
          <w:rFonts w:ascii="Book Antiqua" w:hAnsi="Book Antiqua"/>
        </w:rPr>
        <w:t>.</w:t>
      </w:r>
      <w:r w:rsidR="00CB7E16">
        <w:rPr>
          <w:rFonts w:ascii="Book Antiqua" w:hAnsi="Book Antiqua" w:hint="eastAsia"/>
          <w:lang w:eastAsia="zh-CN"/>
        </w:rPr>
        <w:t>4595</w:t>
      </w:r>
      <w:bookmarkEnd w:id="0"/>
    </w:p>
    <w:p w14:paraId="52A3701F" w14:textId="77777777" w:rsidR="00A77B3E" w:rsidRPr="00031AE3" w:rsidRDefault="00A77B3E" w:rsidP="00031AE3">
      <w:pPr>
        <w:snapToGrid w:val="0"/>
        <w:spacing w:line="360" w:lineRule="auto"/>
        <w:jc w:val="both"/>
      </w:pPr>
    </w:p>
    <w:p w14:paraId="27345401" w14:textId="14324C47" w:rsidR="00A77B3E" w:rsidRPr="00031AE3" w:rsidRDefault="008F2500" w:rsidP="00031AE3">
      <w:pPr>
        <w:snapToGrid w:val="0"/>
        <w:spacing w:line="360" w:lineRule="auto"/>
        <w:jc w:val="both"/>
      </w:pPr>
      <w:r w:rsidRPr="00031AE3">
        <w:rPr>
          <w:rFonts w:ascii="Book Antiqua" w:eastAsia="Book Antiqua" w:hAnsi="Book Antiqua" w:cs="Book Antiqua"/>
          <w:b/>
          <w:bCs/>
        </w:rPr>
        <w:t>Core tip:</w:t>
      </w:r>
      <w:r w:rsidR="00F051F1" w:rsidRPr="00031AE3">
        <w:rPr>
          <w:rFonts w:ascii="Book Antiqua" w:eastAsia="Book Antiqua" w:hAnsi="Book Antiqua" w:cs="Book Antiqua"/>
          <w:b/>
          <w:bCs/>
        </w:rPr>
        <w:t xml:space="preserve"> </w:t>
      </w:r>
      <w:r w:rsidRPr="00031AE3">
        <w:rPr>
          <w:rFonts w:ascii="Book Antiqua" w:eastAsia="Book Antiqua" w:hAnsi="Book Antiqua" w:cs="Book Antiqua"/>
        </w:rPr>
        <w:t>Severe hyperlipemia could affect the results of complete blood cell examination by automated blood cell counter.</w:t>
      </w:r>
      <w:r w:rsidR="00C83926" w:rsidRPr="00031AE3">
        <w:rPr>
          <w:rFonts w:ascii="Book Antiqua" w:eastAsia="Book Antiqua" w:hAnsi="Book Antiqua" w:cs="Book Antiqua"/>
        </w:rPr>
        <w:t xml:space="preserve"> </w:t>
      </w:r>
      <w:r w:rsidRPr="00031AE3">
        <w:rPr>
          <w:rFonts w:ascii="Book Antiqua" w:eastAsia="Book Antiqua" w:hAnsi="Book Antiqua" w:cs="Book Antiqua"/>
        </w:rPr>
        <w:t>Here, we report a patient with severe hyperlipemia</w:t>
      </w:r>
      <w:r w:rsidR="00C83926" w:rsidRPr="00031AE3">
        <w:rPr>
          <w:rFonts w:ascii="Book Antiqua" w:eastAsia="Book Antiqua" w:hAnsi="Book Antiqua" w:cs="Book Antiqua"/>
        </w:rPr>
        <w:t xml:space="preserve"> </w:t>
      </w:r>
      <w:r w:rsidRPr="00031AE3">
        <w:rPr>
          <w:rFonts w:ascii="Book Antiqua" w:eastAsia="Book Antiqua" w:hAnsi="Book Antiqua" w:cs="Book Antiqua"/>
        </w:rPr>
        <w:t>who was at first misdiagnosed as a myeloproliferative neoplasm because of the marked abnormalities in complete blood cell examination. Repeated laboratory tests,</w:t>
      </w:r>
      <w:r w:rsidR="00C83926" w:rsidRPr="00031AE3">
        <w:rPr>
          <w:rFonts w:ascii="Book Antiqua" w:eastAsia="Book Antiqua" w:hAnsi="Book Antiqua" w:cs="Book Antiqua"/>
        </w:rPr>
        <w:t xml:space="preserve"> </w:t>
      </w:r>
      <w:r w:rsidRPr="00031AE3">
        <w:rPr>
          <w:rFonts w:ascii="Book Antiqua" w:eastAsia="Book Antiqua" w:hAnsi="Book Antiqua" w:cs="Book Antiqua"/>
        </w:rPr>
        <w:t>by measuring dual blood samples that the chylomicron layer was removed in one sample and was not in another, confirmed that the marked abnormalities</w:t>
      </w:r>
      <w:r w:rsidR="00C83926" w:rsidRPr="00031AE3">
        <w:rPr>
          <w:rFonts w:ascii="Book Antiqua" w:eastAsia="Book Antiqua" w:hAnsi="Book Antiqua" w:cs="Book Antiqua"/>
        </w:rPr>
        <w:t xml:space="preserve"> </w:t>
      </w:r>
      <w:r w:rsidRPr="00031AE3">
        <w:rPr>
          <w:rFonts w:ascii="Book Antiqua" w:eastAsia="Book Antiqua" w:hAnsi="Book Antiqua" w:cs="Book Antiqua"/>
        </w:rPr>
        <w:t>was caused by the mistaken readings on automated blood cell counter. This phenomenon</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may lead to </w:t>
      </w:r>
      <w:r w:rsidRPr="00031AE3">
        <w:rPr>
          <w:rFonts w:ascii="Book Antiqua" w:eastAsia="Book Antiqua" w:hAnsi="Book Antiqua" w:cs="Book Antiqua"/>
        </w:rPr>
        <w:lastRenderedPageBreak/>
        <w:t>the misjudgment of many laboratory tests and the misinterpretation</w:t>
      </w:r>
      <w:r w:rsidR="00C83926" w:rsidRPr="00031AE3">
        <w:rPr>
          <w:rFonts w:ascii="Book Antiqua" w:eastAsia="Book Antiqua" w:hAnsi="Book Antiqua" w:cs="Book Antiqua"/>
        </w:rPr>
        <w:t xml:space="preserve"> </w:t>
      </w:r>
      <w:r w:rsidRPr="00031AE3">
        <w:rPr>
          <w:rFonts w:ascii="Book Antiqua" w:eastAsia="Book Antiqua" w:hAnsi="Book Antiqua" w:cs="Book Antiqua"/>
        </w:rPr>
        <w:t>of blood transfusion</w:t>
      </w:r>
      <w:r w:rsidR="00C83926" w:rsidRPr="00031AE3">
        <w:rPr>
          <w:rFonts w:ascii="Book Antiqua" w:eastAsia="Book Antiqua" w:hAnsi="Book Antiqua" w:cs="Book Antiqua"/>
        </w:rPr>
        <w:t xml:space="preserve"> </w:t>
      </w:r>
      <w:r w:rsidRPr="00031AE3">
        <w:rPr>
          <w:rFonts w:ascii="Book Antiqua" w:eastAsia="Book Antiqua" w:hAnsi="Book Antiqua" w:cs="Book Antiqua"/>
        </w:rPr>
        <w:t>indications.</w:t>
      </w:r>
    </w:p>
    <w:p w14:paraId="1D877598" w14:textId="07E2DD24" w:rsidR="00A77B3E" w:rsidRPr="00031AE3" w:rsidRDefault="00C83926" w:rsidP="00031AE3">
      <w:pPr>
        <w:snapToGrid w:val="0"/>
        <w:spacing w:line="360" w:lineRule="auto"/>
        <w:jc w:val="both"/>
      </w:pPr>
      <w:r w:rsidRPr="00031AE3">
        <w:rPr>
          <w:rFonts w:ascii="Book Antiqua" w:eastAsia="Book Antiqua" w:hAnsi="Book Antiqua" w:cs="Book Antiqua"/>
          <w:b/>
          <w:caps/>
          <w:u w:val="single"/>
        </w:rPr>
        <w:br w:type="page"/>
      </w:r>
      <w:r w:rsidR="008F2500" w:rsidRPr="00031AE3">
        <w:rPr>
          <w:rFonts w:ascii="Book Antiqua" w:eastAsia="Book Antiqua" w:hAnsi="Book Antiqua" w:cs="Book Antiqua"/>
          <w:b/>
          <w:caps/>
          <w:u w:val="single"/>
        </w:rPr>
        <w:lastRenderedPageBreak/>
        <w:t>INTRODUCTION</w:t>
      </w:r>
    </w:p>
    <w:p w14:paraId="70B709C7" w14:textId="2DD4EDC2" w:rsidR="00A77B3E" w:rsidRPr="00031AE3" w:rsidRDefault="00004922" w:rsidP="00031AE3">
      <w:pPr>
        <w:snapToGrid w:val="0"/>
        <w:spacing w:line="360" w:lineRule="auto"/>
        <w:jc w:val="both"/>
      </w:pPr>
      <w:r w:rsidRPr="00031AE3">
        <w:rPr>
          <w:rFonts w:ascii="Book Antiqua" w:eastAsia="Book Antiqua" w:hAnsi="Book Antiqua" w:cs="Book Antiqua"/>
        </w:rPr>
        <w:t>S</w:t>
      </w:r>
      <w:r w:rsidR="008F2500" w:rsidRPr="00031AE3">
        <w:rPr>
          <w:rFonts w:ascii="Book Antiqua" w:eastAsia="Book Antiqua" w:hAnsi="Book Antiqua" w:cs="Book Antiqua"/>
        </w:rPr>
        <w:t>evere hyperlipemia</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(SHLE) has a</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significant impact</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on the results</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of many kinds of laboratory tests. Complete blood count</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(CBC) examination by automated blood cell counter (ABCC) is an important measurement for screening abnormalities of blood cells that are triggered by various pathogenic factors in disease diagnosis</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and for monitoring changes in the treatment of existing hematological conditions. However, CBC results are</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frequently</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affected by many intrinsic and extrinsic factors in blood samples, such as in the setting of hypergammaglobulinemia and certain anticoagulants. SHLE c</w:t>
      </w:r>
      <w:r w:rsidRPr="00031AE3">
        <w:rPr>
          <w:rFonts w:ascii="Book Antiqua" w:eastAsia="Book Antiqua" w:hAnsi="Book Antiqua" w:cs="Book Antiqua"/>
        </w:rPr>
        <w:t>an</w:t>
      </w:r>
      <w:r w:rsidR="008F2500" w:rsidRPr="00031AE3">
        <w:rPr>
          <w:rFonts w:ascii="Book Antiqua" w:eastAsia="Book Antiqua" w:hAnsi="Book Antiqua" w:cs="Book Antiqua"/>
        </w:rPr>
        <w:t xml:space="preserve"> also affect the CBC readings. Here, we report a recurrent pancreatitis patient who was initially misdiagnosed</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with </w:t>
      </w:r>
      <w:r w:rsidR="008F2500" w:rsidRPr="00031AE3">
        <w:rPr>
          <w:rFonts w:ascii="Book Antiqua" w:eastAsia="Book Antiqua" w:hAnsi="Book Antiqua" w:cs="Book Antiqua"/>
        </w:rPr>
        <w:t>myeloproliferative neoplasm (MPN) due to mistaken readings by the ABCC</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but he</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was</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finally diagnosed with SHLE-induced ps</w:t>
      </w:r>
      <w:r w:rsidR="00E20AF1">
        <w:rPr>
          <w:rFonts w:ascii="Book Antiqua" w:eastAsia="Book Antiqua" w:hAnsi="Book Antiqua" w:cs="Book Antiqua"/>
        </w:rPr>
        <w:t>e</w:t>
      </w:r>
      <w:r w:rsidR="008F2500" w:rsidRPr="00031AE3">
        <w:rPr>
          <w:rFonts w:ascii="Book Antiqua" w:eastAsia="Book Antiqua" w:hAnsi="Book Antiqua" w:cs="Book Antiqua"/>
        </w:rPr>
        <w:t>udoerythrocytosis. It is speculated that the fat droplets</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in blood samples of individuals with SHLE are mistakenly identified</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as blood cells due to the limited parameters of ABCC. This phenomenon may become a potential cause of misdiagnosis of hyperlipemia-related diseases</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as MPNs and the resultant mistreatment, as reported in this paper.</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It may also</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lead to</w:t>
      </w:r>
      <w:r w:rsidR="00C83926" w:rsidRPr="00031AE3">
        <w:rPr>
          <w:rFonts w:ascii="Book Antiqua" w:eastAsia="Book Antiqua" w:hAnsi="Book Antiqua" w:cs="Book Antiqua"/>
        </w:rPr>
        <w:t xml:space="preserve"> </w:t>
      </w:r>
      <w:r w:rsidR="008F2500" w:rsidRPr="00031AE3">
        <w:rPr>
          <w:rFonts w:ascii="Book Antiqua" w:eastAsia="Book Antiqua" w:hAnsi="Book Antiqua" w:cs="Book Antiqua"/>
        </w:rPr>
        <w:t>the misinterpretation of indications for blood transfusion in patients with hematological disorders who critically need blood transfusion as supportive treatment, such as in retinoic acid treatment for patients with acute promyelocytic leukemia and in L-asparaginase treatment for patients with acute lymphoblastic leukemia.</w:t>
      </w:r>
    </w:p>
    <w:p w14:paraId="38FF1506" w14:textId="77777777" w:rsidR="00A77B3E" w:rsidRPr="00031AE3" w:rsidRDefault="00A77B3E" w:rsidP="00031AE3">
      <w:pPr>
        <w:snapToGrid w:val="0"/>
        <w:spacing w:line="360" w:lineRule="auto"/>
        <w:jc w:val="both"/>
      </w:pPr>
    </w:p>
    <w:p w14:paraId="2CD6593A"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CASE PRESENTATION</w:t>
      </w:r>
    </w:p>
    <w:p w14:paraId="3629DBF0"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Chief complaints</w:t>
      </w:r>
    </w:p>
    <w:p w14:paraId="7EE7662B" w14:textId="52C46160" w:rsidR="00A77B3E" w:rsidRPr="00031AE3" w:rsidRDefault="008F2500" w:rsidP="00031AE3">
      <w:pPr>
        <w:snapToGrid w:val="0"/>
        <w:spacing w:line="360" w:lineRule="auto"/>
        <w:jc w:val="both"/>
      </w:pPr>
      <w:r w:rsidRPr="00031AE3">
        <w:rPr>
          <w:rFonts w:ascii="Book Antiqua" w:eastAsia="Book Antiqua" w:hAnsi="Book Antiqua" w:cs="Book Antiqua"/>
        </w:rPr>
        <w:t>Painful foot numbness for 2 mo and abdominal pain for 2 d.</w:t>
      </w:r>
    </w:p>
    <w:p w14:paraId="0E47739D" w14:textId="77777777" w:rsidR="00A77B3E" w:rsidRPr="00031AE3" w:rsidRDefault="00A77B3E" w:rsidP="00031AE3">
      <w:pPr>
        <w:snapToGrid w:val="0"/>
        <w:spacing w:line="360" w:lineRule="auto"/>
        <w:jc w:val="both"/>
      </w:pPr>
    </w:p>
    <w:p w14:paraId="662B0867"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History of present illness</w:t>
      </w:r>
    </w:p>
    <w:p w14:paraId="1BEE445E" w14:textId="51DD915C" w:rsidR="00A77B3E" w:rsidRPr="00031AE3" w:rsidRDefault="008F2500" w:rsidP="00031AE3">
      <w:pPr>
        <w:snapToGrid w:val="0"/>
        <w:spacing w:line="360" w:lineRule="auto"/>
        <w:jc w:val="both"/>
      </w:pPr>
      <w:r w:rsidRPr="00031AE3">
        <w:rPr>
          <w:rFonts w:ascii="Book Antiqua" w:eastAsia="Book Antiqua" w:hAnsi="Book Antiqua" w:cs="Book Antiqua"/>
        </w:rPr>
        <w:t>A</w:t>
      </w:r>
      <w:r w:rsidR="00C83926" w:rsidRPr="00031AE3">
        <w:rPr>
          <w:rFonts w:ascii="Book Antiqua" w:eastAsia="Book Antiqua" w:hAnsi="Book Antiqua" w:cs="Book Antiqua"/>
        </w:rPr>
        <w:t xml:space="preserve"> </w:t>
      </w:r>
      <w:r w:rsidRPr="00031AE3">
        <w:rPr>
          <w:rFonts w:ascii="Book Antiqua" w:eastAsia="Book Antiqua" w:hAnsi="Book Antiqua" w:cs="Book Antiqua"/>
        </w:rPr>
        <w:t>33-year-old Chinese male</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was referred to the emergency department for complaints of painful foot numbness for 2 mo and abdominal pain for 2 d, with the absence of fever, chills, headache, dizziness, cough, expectoration, vomiting, diarrhea, and abnormalities </w:t>
      </w:r>
      <w:r w:rsidRPr="00031AE3">
        <w:rPr>
          <w:rFonts w:ascii="Book Antiqua" w:eastAsia="Book Antiqua" w:hAnsi="Book Antiqua" w:cs="Book Antiqua"/>
        </w:rPr>
        <w:lastRenderedPageBreak/>
        <w:t>in the urine and feces. Upon physical examination, except for moderate tenderness in his left upper abdomen, no other abnormalities were found. His CBC showed the following</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results: </w:t>
      </w:r>
      <w:r w:rsidR="00F051F1" w:rsidRPr="00031AE3">
        <w:rPr>
          <w:rFonts w:ascii="Book Antiqua" w:eastAsia="Book Antiqua" w:hAnsi="Book Antiqua" w:cs="Book Antiqua"/>
        </w:rPr>
        <w:t>w</w:t>
      </w:r>
      <w:r w:rsidRPr="00031AE3">
        <w:rPr>
          <w:rFonts w:ascii="Book Antiqua" w:eastAsia="Book Antiqua" w:hAnsi="Book Antiqua" w:cs="Book Antiqua"/>
        </w:rPr>
        <w:t>hite blood cell (WBC)</w:t>
      </w:r>
      <w:r w:rsidR="004A3438" w:rsidRPr="00031AE3">
        <w:rPr>
          <w:rFonts w:ascii="Book Antiqua" w:eastAsia="Book Antiqua" w:hAnsi="Book Antiqua" w:cs="Book Antiqua"/>
        </w:rPr>
        <w:t xml:space="preserve"> count</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Pr="00031AE3">
        <w:rPr>
          <w:rFonts w:ascii="Book Antiqua" w:eastAsia="Book Antiqua" w:hAnsi="Book Antiqua" w:cs="Book Antiqua"/>
        </w:rPr>
        <w:t>11.65</w:t>
      </w:r>
      <w:r w:rsidR="00C83926" w:rsidRPr="00031AE3">
        <w:rPr>
          <w:rFonts w:ascii="Book Antiqua" w:eastAsia="Book Antiqua" w:hAnsi="Book Antiqua" w:cs="Book Antiqua"/>
        </w:rPr>
        <w:t xml:space="preserve"> </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C83926" w:rsidRPr="00031AE3">
        <w:rPr>
          <w:rFonts w:ascii="Book Antiqua" w:eastAsia="Book Antiqua" w:hAnsi="Book Antiqua" w:cs="Book Antiqua"/>
        </w:rPr>
        <w:t xml:space="preserve"> </w:t>
      </w:r>
      <w:r w:rsidRPr="00031AE3">
        <w:rPr>
          <w:rFonts w:ascii="Book Antiqua" w:eastAsia="Book Antiqua" w:hAnsi="Book Antiqua" w:cs="Book Antiqua"/>
        </w:rPr>
        <w:t>absolute neutrophil count (ANC),</w:t>
      </w:r>
      <w:r w:rsidR="00C83926" w:rsidRPr="00031AE3">
        <w:rPr>
          <w:rFonts w:ascii="Book Antiqua" w:eastAsia="Book Antiqua" w:hAnsi="Book Antiqua" w:cs="Book Antiqua"/>
        </w:rPr>
        <w:t xml:space="preserve"> </w:t>
      </w:r>
      <w:r w:rsidRPr="00031AE3">
        <w:rPr>
          <w:rFonts w:ascii="Book Antiqua" w:eastAsia="Book Antiqua" w:hAnsi="Book Antiqua" w:cs="Book Antiqua"/>
        </w:rPr>
        <w:t>8.85</w:t>
      </w:r>
      <w:r w:rsidR="00C83926" w:rsidRPr="00031AE3">
        <w:rPr>
          <w:rFonts w:ascii="Book Antiqua" w:eastAsia="Book Antiqua" w:hAnsi="Book Antiqua" w:cs="Book Antiqua"/>
        </w:rPr>
        <w:t xml:space="preserve"> </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C83926" w:rsidRPr="00031AE3">
        <w:rPr>
          <w:rFonts w:ascii="Book Antiqua" w:eastAsia="Book Antiqua" w:hAnsi="Book Antiqua" w:cs="Book Antiqua"/>
        </w:rPr>
        <w:t xml:space="preserve"> </w:t>
      </w:r>
      <w:r w:rsidRPr="00031AE3">
        <w:rPr>
          <w:rFonts w:ascii="Book Antiqua" w:eastAsia="Book Antiqua" w:hAnsi="Book Antiqua" w:cs="Book Antiqua"/>
        </w:rPr>
        <w:t>red</w:t>
      </w:r>
      <w:r w:rsidR="00C83926" w:rsidRPr="00031AE3">
        <w:rPr>
          <w:rFonts w:ascii="Book Antiqua" w:eastAsia="Book Antiqua" w:hAnsi="Book Antiqua" w:cs="Book Antiqua"/>
          <w:shd w:val="clear" w:color="auto" w:fill="FFFFFF"/>
        </w:rPr>
        <w:t xml:space="preserve"> </w:t>
      </w:r>
      <w:r w:rsidRPr="00031AE3">
        <w:rPr>
          <w:rFonts w:ascii="Book Antiqua" w:eastAsia="Book Antiqua" w:hAnsi="Book Antiqua" w:cs="Book Antiqua"/>
        </w:rPr>
        <w:t>blood cell</w:t>
      </w:r>
      <w:r w:rsidR="00C83926" w:rsidRPr="00031AE3">
        <w:rPr>
          <w:rFonts w:ascii="Book Antiqua" w:eastAsia="Book Antiqua" w:hAnsi="Book Antiqua" w:cs="Book Antiqua"/>
        </w:rPr>
        <w:t xml:space="preserve"> </w:t>
      </w:r>
      <w:r w:rsidR="004A3438" w:rsidRPr="00031AE3">
        <w:rPr>
          <w:rFonts w:ascii="Book Antiqua" w:eastAsia="Book Antiqua" w:hAnsi="Book Antiqua" w:cs="Book Antiqua"/>
        </w:rPr>
        <w:t xml:space="preserve">(RBC) </w:t>
      </w:r>
      <w:r w:rsidRPr="00031AE3">
        <w:rPr>
          <w:rFonts w:ascii="Book Antiqua" w:eastAsia="Book Antiqua" w:hAnsi="Book Antiqua" w:cs="Book Antiqua"/>
        </w:rPr>
        <w:t>count,</w:t>
      </w:r>
      <w:r w:rsidR="00C83926" w:rsidRPr="00031AE3">
        <w:rPr>
          <w:rFonts w:ascii="Book Antiqua" w:eastAsia="Book Antiqua" w:hAnsi="Book Antiqua" w:cs="Book Antiqua"/>
        </w:rPr>
        <w:t xml:space="preserve"> </w:t>
      </w:r>
      <w:r w:rsidRPr="00031AE3">
        <w:rPr>
          <w:rFonts w:ascii="Book Antiqua" w:eastAsia="Book Antiqua" w:hAnsi="Book Antiqua" w:cs="Book Antiqua"/>
        </w:rPr>
        <w:t>4.59</w:t>
      </w:r>
      <w:r w:rsidR="00C83926" w:rsidRPr="00031AE3">
        <w:rPr>
          <w:rFonts w:ascii="Book Antiqua" w:eastAsia="Book Antiqua" w:hAnsi="Book Antiqua" w:cs="Book Antiqua"/>
        </w:rPr>
        <w:t xml:space="preserve"> </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12</w:t>
      </w:r>
      <w:r w:rsidRPr="00031AE3">
        <w:rPr>
          <w:rFonts w:ascii="Book Antiqua" w:eastAsia="Book Antiqua" w:hAnsi="Book Antiqua" w:cs="Book Antiqua"/>
        </w:rPr>
        <w:t>/L;</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hemoglobulin </w:t>
      </w:r>
      <w:r w:rsidR="004A3438" w:rsidRPr="00031AE3">
        <w:rPr>
          <w:rFonts w:ascii="Book Antiqua" w:eastAsia="Book Antiqua" w:hAnsi="Book Antiqua" w:cs="Book Antiqua"/>
        </w:rPr>
        <w:t xml:space="preserve">(Hb) </w:t>
      </w:r>
      <w:r w:rsidRPr="00031AE3">
        <w:rPr>
          <w:rFonts w:ascii="Book Antiqua" w:eastAsia="Book Antiqua" w:hAnsi="Book Antiqua" w:cs="Book Antiqua"/>
        </w:rPr>
        <w:t>value,</w:t>
      </w:r>
      <w:r w:rsidR="00C83926" w:rsidRPr="00031AE3">
        <w:rPr>
          <w:rFonts w:ascii="Book Antiqua" w:eastAsia="Book Antiqua" w:hAnsi="Book Antiqua" w:cs="Book Antiqua"/>
        </w:rPr>
        <w:t xml:space="preserve"> </w:t>
      </w:r>
      <w:r w:rsidRPr="00031AE3">
        <w:rPr>
          <w:rFonts w:ascii="Book Antiqua" w:eastAsia="Book Antiqua" w:hAnsi="Book Antiqua" w:cs="Book Antiqua"/>
        </w:rPr>
        <w:t>225</w:t>
      </w:r>
      <w:r w:rsidR="00C83926" w:rsidRPr="00031AE3">
        <w:rPr>
          <w:rFonts w:ascii="Book Antiqua" w:eastAsia="Book Antiqua" w:hAnsi="Book Antiqua" w:cs="Book Antiqua"/>
        </w:rPr>
        <w:t xml:space="preserve"> </w:t>
      </w:r>
      <w:r w:rsidRPr="00031AE3">
        <w:rPr>
          <w:rFonts w:ascii="Book Antiqua" w:eastAsia="Book Antiqua" w:hAnsi="Book Antiqua" w:cs="Book Antiqua"/>
        </w:rPr>
        <w:t>g/L;</w:t>
      </w:r>
      <w:r w:rsidR="00C83926" w:rsidRPr="00031AE3">
        <w:rPr>
          <w:rFonts w:ascii="Book Antiqua" w:eastAsia="Book Antiqua" w:hAnsi="Book Antiqua" w:cs="Book Antiqua"/>
        </w:rPr>
        <w:t xml:space="preserve"> </w:t>
      </w:r>
      <w:r w:rsidRPr="00031AE3">
        <w:rPr>
          <w:rFonts w:ascii="Book Antiqua" w:eastAsia="Book Antiqua" w:hAnsi="Book Antiqua" w:cs="Book Antiqua"/>
        </w:rPr>
        <w:t xml:space="preserve">and platelet </w:t>
      </w:r>
      <w:r w:rsidR="004A3438" w:rsidRPr="00031AE3">
        <w:rPr>
          <w:rFonts w:ascii="Book Antiqua" w:eastAsia="Book Antiqua" w:hAnsi="Book Antiqua" w:cs="Book Antiqua"/>
        </w:rPr>
        <w:t>(</w:t>
      </w:r>
      <w:proofErr w:type="spellStart"/>
      <w:r w:rsidR="004A3438" w:rsidRPr="00031AE3">
        <w:rPr>
          <w:rFonts w:ascii="Book Antiqua" w:eastAsia="Book Antiqua" w:hAnsi="Book Antiqua" w:cs="Book Antiqua"/>
        </w:rPr>
        <w:t>Plt</w:t>
      </w:r>
      <w:proofErr w:type="spellEnd"/>
      <w:r w:rsidR="004A3438" w:rsidRPr="00031AE3">
        <w:rPr>
          <w:rFonts w:ascii="Book Antiqua" w:eastAsia="Book Antiqua" w:hAnsi="Book Antiqua" w:cs="Book Antiqua"/>
        </w:rPr>
        <w:t xml:space="preserve">) </w:t>
      </w:r>
      <w:r w:rsidRPr="00031AE3">
        <w:rPr>
          <w:rFonts w:ascii="Book Antiqua" w:eastAsia="Book Antiqua" w:hAnsi="Book Antiqua" w:cs="Book Antiqua"/>
        </w:rPr>
        <w:t>count,</w:t>
      </w:r>
      <w:r w:rsidR="00C83926" w:rsidRPr="00031AE3">
        <w:rPr>
          <w:rFonts w:ascii="Book Antiqua" w:eastAsia="Book Antiqua" w:hAnsi="Book Antiqua" w:cs="Book Antiqua"/>
        </w:rPr>
        <w:t xml:space="preserve"> </w:t>
      </w:r>
      <w:r w:rsidRPr="00031AE3">
        <w:rPr>
          <w:rFonts w:ascii="Book Antiqua" w:eastAsia="Book Antiqua" w:hAnsi="Book Antiqua" w:cs="Book Antiqua"/>
        </w:rPr>
        <w:t>229</w:t>
      </w:r>
      <w:r w:rsidR="00C83926" w:rsidRPr="00031AE3">
        <w:rPr>
          <w:rFonts w:ascii="Book Antiqua" w:eastAsia="Book Antiqua" w:hAnsi="Book Antiqua" w:cs="Book Antiqua"/>
        </w:rPr>
        <w:t xml:space="preserve"> </w:t>
      </w:r>
      <w:r w:rsidRPr="00031AE3">
        <w:rPr>
          <w:rFonts w:ascii="Book Antiqua" w:eastAsia="Book Antiqua" w:hAnsi="Book Antiqua" w:cs="Book Antiqua"/>
        </w:rPr>
        <w:t>×</w:t>
      </w:r>
      <w:r w:rsidR="00C8392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 Serum amylase level was 33 U/L. Computerized tomography (CT) examination of his</w:t>
      </w:r>
      <w:r w:rsidR="00C83926" w:rsidRPr="00031AE3">
        <w:rPr>
          <w:rFonts w:ascii="Book Antiqua" w:eastAsia="Book Antiqua" w:hAnsi="Book Antiqua" w:cs="Book Antiqua"/>
        </w:rPr>
        <w:t xml:space="preserve"> </w:t>
      </w:r>
      <w:r w:rsidRPr="00031AE3">
        <w:rPr>
          <w:rFonts w:ascii="Book Antiqua" w:eastAsia="Book Antiqua" w:hAnsi="Book Antiqua" w:cs="Book Antiqua"/>
        </w:rPr>
        <w:t>abdomen revealed</w:t>
      </w:r>
      <w:r w:rsidR="00C83926" w:rsidRPr="00031AE3">
        <w:rPr>
          <w:rFonts w:ascii="Book Antiqua" w:eastAsia="Book Antiqua" w:hAnsi="Book Antiqua" w:cs="Book Antiqua"/>
        </w:rPr>
        <w:t xml:space="preserve"> </w:t>
      </w:r>
      <w:r w:rsidRPr="00031AE3">
        <w:rPr>
          <w:rFonts w:ascii="Book Antiqua" w:eastAsia="Book Antiqua" w:hAnsi="Book Antiqua" w:cs="Book Antiqua"/>
        </w:rPr>
        <w:t>the presence of adiposis hepatica, without other abnormalities. Ultrasonic inspection of his viscera</w:t>
      </w:r>
      <w:r w:rsidR="00C83926" w:rsidRPr="00031AE3">
        <w:rPr>
          <w:rFonts w:ascii="Book Antiqua" w:eastAsia="Book Antiqua" w:hAnsi="Book Antiqua" w:cs="Book Antiqua"/>
        </w:rPr>
        <w:t xml:space="preserve"> </w:t>
      </w:r>
      <w:r w:rsidRPr="00031AE3">
        <w:rPr>
          <w:rFonts w:ascii="Book Antiqua" w:eastAsia="Book Antiqua" w:hAnsi="Book Antiqua" w:cs="Book Antiqua"/>
        </w:rPr>
        <w:t>revealed no obvious abnormalities in the liver, gallbladder, bile duct, pancreas, spleen, kidneys, ureter</w:t>
      </w:r>
      <w:r w:rsidR="00800758" w:rsidRPr="00031AE3">
        <w:rPr>
          <w:rFonts w:ascii="Book Antiqua" w:eastAsia="Book Antiqua" w:hAnsi="Book Antiqua" w:cs="Book Antiqua"/>
        </w:rPr>
        <w:t>,</w:t>
      </w:r>
      <w:r w:rsidRPr="00031AE3">
        <w:rPr>
          <w:rFonts w:ascii="Book Antiqua" w:eastAsia="Book Antiqua" w:hAnsi="Book Antiqua" w:cs="Book Antiqua"/>
        </w:rPr>
        <w:t xml:space="preserve"> or bladder. He was prescribed an antibiotic treatment with etimicin, and his abdominal pain was not relieved. The next day, reexamination of his CBC and serum amylase showed the similar results. He was thought to have</w:t>
      </w:r>
      <w:r w:rsidR="00C83926" w:rsidRPr="00031AE3">
        <w:rPr>
          <w:rFonts w:ascii="Book Antiqua" w:eastAsia="Book Antiqua" w:hAnsi="Book Antiqua" w:cs="Book Antiqua"/>
        </w:rPr>
        <w:t xml:space="preserve"> </w:t>
      </w:r>
      <w:r w:rsidRPr="00031AE3">
        <w:rPr>
          <w:rFonts w:ascii="Book Antiqua" w:eastAsia="Book Antiqua" w:hAnsi="Book Antiqua" w:cs="Book Antiqua"/>
        </w:rPr>
        <w:t>erythrocytosis, and his abdominal pain was thought to result from a thrombotic event in the mesenteric vessels</w:t>
      </w:r>
      <w:r w:rsidR="00800758" w:rsidRPr="00031AE3">
        <w:rPr>
          <w:rFonts w:ascii="Book Antiqua" w:eastAsia="Book Antiqua" w:hAnsi="Book Antiqua" w:cs="Book Antiqua"/>
        </w:rPr>
        <w:t>, which</w:t>
      </w:r>
      <w:r w:rsidRPr="00031AE3">
        <w:rPr>
          <w:rFonts w:ascii="Book Antiqua" w:eastAsia="Book Antiqua" w:hAnsi="Book Antiqua" w:cs="Book Antiqua"/>
        </w:rPr>
        <w:t xml:space="preserve"> was probably due to the increased blood viscosity and enhanced </w:t>
      </w:r>
      <w:proofErr w:type="spellStart"/>
      <w:r w:rsidR="0057058E" w:rsidRPr="00031AE3">
        <w:rPr>
          <w:rFonts w:ascii="Book Antiqua" w:eastAsia="Book Antiqua" w:hAnsi="Book Antiqua" w:cs="Book Antiqua"/>
        </w:rPr>
        <w:t>Plt</w:t>
      </w:r>
      <w:proofErr w:type="spellEnd"/>
      <w:r w:rsidR="0057058E" w:rsidRPr="00031AE3">
        <w:rPr>
          <w:rFonts w:ascii="Book Antiqua" w:eastAsia="Book Antiqua" w:hAnsi="Book Antiqua" w:cs="Book Antiqua"/>
        </w:rPr>
        <w:t xml:space="preserve"> </w:t>
      </w:r>
      <w:r w:rsidRPr="00031AE3">
        <w:rPr>
          <w:rFonts w:ascii="Book Antiqua" w:eastAsia="Book Antiqua" w:hAnsi="Book Antiqua" w:cs="Book Antiqua"/>
        </w:rPr>
        <w:t>activities. So he was admitted to the hematology department.</w:t>
      </w:r>
    </w:p>
    <w:p w14:paraId="1EC181AC" w14:textId="77777777" w:rsidR="00A77B3E" w:rsidRPr="00031AE3" w:rsidRDefault="00A77B3E" w:rsidP="00031AE3">
      <w:pPr>
        <w:snapToGrid w:val="0"/>
        <w:spacing w:line="360" w:lineRule="auto"/>
        <w:jc w:val="both"/>
      </w:pPr>
    </w:p>
    <w:p w14:paraId="00986DD1"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History of past illness</w:t>
      </w:r>
    </w:p>
    <w:p w14:paraId="72B9A598" w14:textId="77777777" w:rsidR="00A77B3E" w:rsidRPr="00031AE3" w:rsidRDefault="008F2500" w:rsidP="00031AE3">
      <w:pPr>
        <w:snapToGrid w:val="0"/>
        <w:spacing w:line="360" w:lineRule="auto"/>
        <w:jc w:val="both"/>
      </w:pPr>
      <w:r w:rsidRPr="00031AE3">
        <w:rPr>
          <w:rFonts w:ascii="Book Antiqua" w:eastAsia="Book Antiqua" w:hAnsi="Book Antiqua" w:cs="Book Antiqua"/>
        </w:rPr>
        <w:t>He had a history of acute pancreatitis 2 years previously.</w:t>
      </w:r>
    </w:p>
    <w:p w14:paraId="57129AAD" w14:textId="77777777" w:rsidR="00A77B3E" w:rsidRPr="00031AE3" w:rsidRDefault="00A77B3E" w:rsidP="00031AE3">
      <w:pPr>
        <w:snapToGrid w:val="0"/>
        <w:spacing w:line="360" w:lineRule="auto"/>
        <w:jc w:val="both"/>
      </w:pPr>
    </w:p>
    <w:p w14:paraId="7FC4B7C9"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Physical examination</w:t>
      </w:r>
    </w:p>
    <w:p w14:paraId="38CB8B29" w14:textId="70D1D954" w:rsidR="00A77B3E" w:rsidRPr="00031AE3" w:rsidRDefault="008F2500" w:rsidP="00031AE3">
      <w:pPr>
        <w:snapToGrid w:val="0"/>
        <w:spacing w:line="360" w:lineRule="auto"/>
        <w:jc w:val="both"/>
      </w:pPr>
      <w:r w:rsidRPr="00031AE3">
        <w:rPr>
          <w:rFonts w:ascii="Book Antiqua" w:eastAsia="Book Antiqua" w:hAnsi="Book Antiqua" w:cs="Book Antiqua"/>
        </w:rPr>
        <w:t>His height was at 176</w:t>
      </w:r>
      <w:r w:rsidR="00C83926" w:rsidRPr="00031AE3">
        <w:rPr>
          <w:rFonts w:ascii="Book Antiqua" w:eastAsia="Book Antiqua" w:hAnsi="Book Antiqua" w:cs="Book Antiqua"/>
        </w:rPr>
        <w:t xml:space="preserve"> </w:t>
      </w:r>
      <w:r w:rsidRPr="00031AE3">
        <w:rPr>
          <w:rFonts w:ascii="Book Antiqua" w:eastAsia="Book Antiqua" w:hAnsi="Book Antiqua" w:cs="Book Antiqua"/>
        </w:rPr>
        <w:t>cm; body weight 76.0</w:t>
      </w:r>
      <w:r w:rsidR="00C83926" w:rsidRPr="00031AE3">
        <w:rPr>
          <w:rFonts w:ascii="Book Antiqua" w:eastAsia="Book Antiqua" w:hAnsi="Book Antiqua" w:cs="Book Antiqua"/>
        </w:rPr>
        <w:t xml:space="preserve"> </w:t>
      </w:r>
      <w:r w:rsidRPr="00031AE3">
        <w:rPr>
          <w:rFonts w:ascii="Book Antiqua" w:eastAsia="Book Antiqua" w:hAnsi="Book Antiqua" w:cs="Book Antiqua"/>
        </w:rPr>
        <w:t>kg. His body temperature was at 37.2</w:t>
      </w:r>
      <w:r w:rsidR="00C83926" w:rsidRPr="00031AE3">
        <w:rPr>
          <w:rFonts w:ascii="Book Antiqua" w:eastAsia="Book Antiqua" w:hAnsi="Book Antiqua" w:cs="Book Antiqua"/>
          <w:vertAlign w:val="superscript"/>
        </w:rPr>
        <w:t xml:space="preserve"> </w:t>
      </w:r>
      <w:r w:rsidR="004A69F6" w:rsidRPr="00031AE3">
        <w:rPr>
          <w:rFonts w:ascii="Book Antiqua" w:eastAsia="Book Antiqua" w:hAnsi="Book Antiqua" w:cs="Book Antiqua"/>
        </w:rPr>
        <w:t>˚C</w:t>
      </w:r>
      <w:r w:rsidRPr="00031AE3">
        <w:rPr>
          <w:rFonts w:ascii="Book Antiqua" w:eastAsia="Book Antiqua" w:hAnsi="Book Antiqua" w:cs="Book Antiqua"/>
        </w:rPr>
        <w:t>; breathing rate 22</w:t>
      </w:r>
      <w:r w:rsidR="004A69F6" w:rsidRPr="00031AE3">
        <w:rPr>
          <w:rFonts w:ascii="Book Antiqua" w:eastAsia="Book Antiqua" w:hAnsi="Book Antiqua" w:cs="Book Antiqua"/>
        </w:rPr>
        <w:t xml:space="preserve"> </w:t>
      </w:r>
      <w:r w:rsidRPr="00031AE3">
        <w:rPr>
          <w:rFonts w:ascii="Book Antiqua" w:eastAsia="Book Antiqua" w:hAnsi="Book Antiqua" w:cs="Book Antiqua"/>
        </w:rPr>
        <w:t>bp per min; heart rate 86</w:t>
      </w:r>
      <w:r w:rsidR="004A69F6" w:rsidRPr="00031AE3">
        <w:rPr>
          <w:rFonts w:ascii="Book Antiqua" w:eastAsia="Book Antiqua" w:hAnsi="Book Antiqua" w:cs="Book Antiqua"/>
        </w:rPr>
        <w:t xml:space="preserve"> </w:t>
      </w:r>
      <w:r w:rsidRPr="00031AE3">
        <w:rPr>
          <w:rFonts w:ascii="Book Antiqua" w:eastAsia="Book Antiqua" w:hAnsi="Book Antiqua" w:cs="Book Antiqua"/>
        </w:rPr>
        <w:t>bp per min; blood pressure 126/78</w:t>
      </w:r>
      <w:r w:rsidR="004A69F6" w:rsidRPr="00031AE3">
        <w:rPr>
          <w:rFonts w:ascii="Book Antiqua" w:eastAsia="Book Antiqua" w:hAnsi="Book Antiqua" w:cs="Book Antiqua"/>
        </w:rPr>
        <w:t xml:space="preserve"> </w:t>
      </w:r>
      <w:r w:rsidRPr="00031AE3">
        <w:rPr>
          <w:rFonts w:ascii="Book Antiqua" w:eastAsia="Book Antiqua" w:hAnsi="Book Antiqua" w:cs="Book Antiqua"/>
        </w:rPr>
        <w:t>mmHg. Upon physical examination, except for the bruise-looking appearance and moderate tenderness in his left upper abdomen, no other</w:t>
      </w:r>
      <w:r w:rsidR="004A69F6" w:rsidRPr="00031AE3">
        <w:rPr>
          <w:rFonts w:ascii="Book Antiqua" w:eastAsia="Book Antiqua" w:hAnsi="Book Antiqua" w:cs="Book Antiqua"/>
        </w:rPr>
        <w:t xml:space="preserve"> </w:t>
      </w:r>
      <w:r w:rsidRPr="00031AE3">
        <w:rPr>
          <w:rFonts w:ascii="Book Antiqua" w:eastAsia="Book Antiqua" w:hAnsi="Book Antiqua" w:cs="Book Antiqua"/>
        </w:rPr>
        <w:t xml:space="preserve">abnormalities were recorded. Conspicuous mucocutaneous plethora, hemorrhage, jaundice and exanthemata were not presented. No significant signs of nervous system, respiratory system, cardiovascular system, urogenital system and skeletal musculature system were found. </w:t>
      </w:r>
    </w:p>
    <w:p w14:paraId="73A68885" w14:textId="77777777" w:rsidR="00A77B3E" w:rsidRPr="00031AE3" w:rsidRDefault="00A77B3E" w:rsidP="00031AE3">
      <w:pPr>
        <w:snapToGrid w:val="0"/>
        <w:spacing w:line="360" w:lineRule="auto"/>
        <w:jc w:val="both"/>
      </w:pPr>
    </w:p>
    <w:p w14:paraId="56D05458"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Laboratory examinations</w:t>
      </w:r>
    </w:p>
    <w:p w14:paraId="778F6D35" w14:textId="59A48B8F" w:rsidR="00A77B3E" w:rsidRPr="00031AE3" w:rsidRDefault="008F2500" w:rsidP="00031AE3">
      <w:pPr>
        <w:snapToGrid w:val="0"/>
        <w:spacing w:line="360" w:lineRule="auto"/>
        <w:jc w:val="both"/>
      </w:pPr>
      <w:r w:rsidRPr="00031AE3">
        <w:rPr>
          <w:rFonts w:ascii="Book Antiqua" w:eastAsia="Book Antiqua" w:hAnsi="Book Antiqua" w:cs="Book Antiqua"/>
        </w:rPr>
        <w:lastRenderedPageBreak/>
        <w:t>On admission, the CBC showed</w:t>
      </w:r>
      <w:r w:rsidR="004A69F6" w:rsidRPr="00031AE3">
        <w:rPr>
          <w:rFonts w:ascii="Book Antiqua" w:eastAsia="Book Antiqua" w:hAnsi="Book Antiqua" w:cs="Book Antiqua"/>
        </w:rPr>
        <w:t xml:space="preserve"> </w:t>
      </w:r>
      <w:r w:rsidRPr="00031AE3">
        <w:rPr>
          <w:rFonts w:ascii="Book Antiqua" w:eastAsia="Book Antiqua" w:hAnsi="Book Antiqua" w:cs="Book Antiqua"/>
        </w:rPr>
        <w:t>as follows: WBC,</w:t>
      </w:r>
      <w:r w:rsidR="004A69F6" w:rsidRPr="00031AE3">
        <w:rPr>
          <w:rFonts w:ascii="Book Antiqua" w:eastAsia="Book Antiqua" w:hAnsi="Book Antiqua" w:cs="Book Antiqua"/>
        </w:rPr>
        <w:t xml:space="preserve"> </w:t>
      </w:r>
      <w:r w:rsidRPr="00031AE3">
        <w:rPr>
          <w:rFonts w:ascii="Book Antiqua" w:eastAsia="Book Antiqua" w:hAnsi="Book Antiqua" w:cs="Book Antiqua"/>
        </w:rPr>
        <w:t>8.97</w:t>
      </w:r>
      <w:r w:rsidR="004A69F6" w:rsidRPr="00031AE3">
        <w:rPr>
          <w:rFonts w:ascii="Book Antiqua" w:eastAsia="Book Antiqua" w:hAnsi="Book Antiqua" w:cs="Book Antiqua"/>
        </w:rPr>
        <w:t xml:space="preserve"> </w:t>
      </w:r>
      <w:r w:rsidRPr="00031AE3">
        <w:rPr>
          <w:rFonts w:ascii="Book Antiqua" w:eastAsia="Book Antiqua" w:hAnsi="Book Antiqua" w:cs="Book Antiqua"/>
        </w:rPr>
        <w:t>×</w:t>
      </w:r>
      <w:r w:rsidR="004A69F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4A69F6" w:rsidRPr="00031AE3">
        <w:rPr>
          <w:rFonts w:ascii="Book Antiqua" w:eastAsia="Book Antiqua" w:hAnsi="Book Antiqua" w:cs="Book Antiqua"/>
        </w:rPr>
        <w:t xml:space="preserve"> </w:t>
      </w:r>
      <w:r w:rsidRPr="00031AE3">
        <w:rPr>
          <w:rFonts w:ascii="Book Antiqua" w:eastAsia="Book Antiqua" w:hAnsi="Book Antiqua" w:cs="Book Antiqua"/>
        </w:rPr>
        <w:t>ANC, 6.66</w:t>
      </w:r>
      <w:r w:rsidR="004A69F6" w:rsidRPr="00031AE3">
        <w:rPr>
          <w:rFonts w:ascii="Book Antiqua" w:eastAsia="Book Antiqua" w:hAnsi="Book Antiqua" w:cs="Book Antiqua"/>
        </w:rPr>
        <w:t xml:space="preserve"> </w:t>
      </w:r>
      <w:r w:rsidRPr="00031AE3">
        <w:rPr>
          <w:rFonts w:ascii="Book Antiqua" w:eastAsia="Book Antiqua" w:hAnsi="Book Antiqua" w:cs="Book Antiqua"/>
        </w:rPr>
        <w:t>×</w:t>
      </w:r>
      <w:r w:rsidR="004A69F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4A69F6" w:rsidRPr="00031AE3">
        <w:rPr>
          <w:rFonts w:ascii="Book Antiqua" w:eastAsia="Book Antiqua" w:hAnsi="Book Antiqua" w:cs="Book Antiqua"/>
        </w:rPr>
        <w:t xml:space="preserve"> </w:t>
      </w:r>
      <w:r w:rsidRPr="00031AE3">
        <w:rPr>
          <w:rFonts w:ascii="Book Antiqua" w:eastAsia="Book Antiqua" w:hAnsi="Book Antiqua" w:cs="Book Antiqua"/>
        </w:rPr>
        <w:t>hematocrit</w:t>
      </w:r>
      <w:r w:rsidR="004A69F6" w:rsidRPr="00031AE3">
        <w:rPr>
          <w:rFonts w:ascii="Book Antiqua" w:eastAsia="Book Antiqua" w:hAnsi="Book Antiqua" w:cs="Book Antiqua"/>
        </w:rPr>
        <w:t xml:space="preserve"> </w:t>
      </w:r>
      <w:r w:rsidRPr="00031AE3">
        <w:rPr>
          <w:rFonts w:ascii="Book Antiqua" w:eastAsia="Book Antiqua" w:hAnsi="Book Antiqua" w:cs="Book Antiqua"/>
        </w:rPr>
        <w:t>(</w:t>
      </w:r>
      <w:proofErr w:type="spellStart"/>
      <w:r w:rsidRPr="00031AE3">
        <w:rPr>
          <w:rFonts w:ascii="Book Antiqua" w:eastAsia="Book Antiqua" w:hAnsi="Book Antiqua" w:cs="Book Antiqua"/>
        </w:rPr>
        <w:t>Hct</w:t>
      </w:r>
      <w:proofErr w:type="spellEnd"/>
      <w:r w:rsidRPr="00031AE3">
        <w:rPr>
          <w:rFonts w:ascii="Book Antiqua" w:eastAsia="Book Antiqua" w:hAnsi="Book Antiqua" w:cs="Book Antiqua"/>
        </w:rPr>
        <w:t>), 37.6%; RBC,</w:t>
      </w:r>
      <w:r w:rsidR="004A69F6" w:rsidRPr="00031AE3">
        <w:rPr>
          <w:rFonts w:ascii="Book Antiqua" w:eastAsia="Book Antiqua" w:hAnsi="Book Antiqua" w:cs="Book Antiqua"/>
        </w:rPr>
        <w:t xml:space="preserve"> </w:t>
      </w:r>
      <w:r w:rsidRPr="00031AE3">
        <w:rPr>
          <w:rFonts w:ascii="Book Antiqua" w:eastAsia="Book Antiqua" w:hAnsi="Book Antiqua" w:cs="Book Antiqua"/>
        </w:rPr>
        <w:t>4.15</w:t>
      </w:r>
      <w:r w:rsidR="004A69F6" w:rsidRPr="00031AE3">
        <w:rPr>
          <w:rFonts w:ascii="Book Antiqua" w:eastAsia="Book Antiqua" w:hAnsi="Book Antiqua" w:cs="Book Antiqua"/>
        </w:rPr>
        <w:t xml:space="preserve"> </w:t>
      </w:r>
      <w:r w:rsidRPr="00031AE3">
        <w:rPr>
          <w:rFonts w:ascii="Book Antiqua" w:eastAsia="Book Antiqua" w:hAnsi="Book Antiqua" w:cs="Book Antiqua"/>
        </w:rPr>
        <w:t>×</w:t>
      </w:r>
      <w:r w:rsidR="004A69F6"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12</w:t>
      </w:r>
      <w:r w:rsidRPr="00031AE3">
        <w:rPr>
          <w:rFonts w:ascii="Book Antiqua" w:eastAsia="Book Antiqua" w:hAnsi="Book Antiqua" w:cs="Book Antiqua"/>
        </w:rPr>
        <w:t>/L;</w:t>
      </w:r>
      <w:r w:rsidR="004A69F6" w:rsidRPr="00031AE3">
        <w:rPr>
          <w:rFonts w:ascii="Book Antiqua" w:eastAsia="Book Antiqua" w:hAnsi="Book Antiqua" w:cs="Book Antiqua"/>
        </w:rPr>
        <w:t xml:space="preserve"> </w:t>
      </w:r>
      <w:r w:rsidRPr="00031AE3">
        <w:rPr>
          <w:rFonts w:ascii="Book Antiqua" w:eastAsia="Book Antiqua" w:hAnsi="Book Antiqua" w:cs="Book Antiqua"/>
        </w:rPr>
        <w:t>Hb,</w:t>
      </w:r>
      <w:r w:rsidR="004A69F6" w:rsidRPr="00031AE3">
        <w:rPr>
          <w:rFonts w:ascii="Book Antiqua" w:eastAsia="Book Antiqua" w:hAnsi="Book Antiqua" w:cs="Book Antiqua"/>
        </w:rPr>
        <w:t xml:space="preserve"> </w:t>
      </w:r>
      <w:r w:rsidRPr="00031AE3">
        <w:rPr>
          <w:rFonts w:ascii="Book Antiqua" w:eastAsia="Book Antiqua" w:hAnsi="Book Antiqua" w:cs="Book Antiqua"/>
        </w:rPr>
        <w:t>204</w:t>
      </w:r>
      <w:r w:rsidR="004A69F6" w:rsidRPr="00031AE3">
        <w:rPr>
          <w:rFonts w:ascii="Book Antiqua" w:eastAsia="Book Antiqua" w:hAnsi="Book Antiqua" w:cs="Book Antiqua"/>
        </w:rPr>
        <w:t xml:space="preserve"> </w:t>
      </w:r>
      <w:r w:rsidRPr="00031AE3">
        <w:rPr>
          <w:rFonts w:ascii="Book Antiqua" w:eastAsia="Book Antiqua" w:hAnsi="Book Antiqua" w:cs="Book Antiqua"/>
        </w:rPr>
        <w:t>g/L;</w:t>
      </w:r>
      <w:r w:rsidR="004A69F6" w:rsidRPr="00031AE3">
        <w:rPr>
          <w:rFonts w:ascii="Book Antiqua" w:eastAsia="Book Antiqua" w:hAnsi="Book Antiqua" w:cs="Book Antiqua"/>
        </w:rPr>
        <w:t xml:space="preserve"> </w:t>
      </w:r>
      <w:r w:rsidRPr="00031AE3">
        <w:rPr>
          <w:rFonts w:ascii="Book Antiqua" w:eastAsia="Book Antiqua" w:hAnsi="Book Antiqua" w:cs="Book Antiqua"/>
        </w:rPr>
        <w:t xml:space="preserve">mean corpuscular volume (MCV), 90.5 fL; mean corpuscular hemoglobin (MCH), 41.9 pg; mean corpuscular hemoglobin concentration (MCHC), 463 g/L; and </w:t>
      </w:r>
      <w:proofErr w:type="spellStart"/>
      <w:r w:rsidRPr="00031AE3">
        <w:rPr>
          <w:rFonts w:ascii="Book Antiqua" w:eastAsia="Book Antiqua" w:hAnsi="Book Antiqua" w:cs="Book Antiqua"/>
        </w:rPr>
        <w:t>Plt</w:t>
      </w:r>
      <w:proofErr w:type="spellEnd"/>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218</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Urinalysis</w:t>
      </w:r>
      <w:r w:rsidR="00D267DB" w:rsidRPr="00031AE3">
        <w:rPr>
          <w:rFonts w:ascii="Book Antiqua" w:eastAsia="Book Antiqua" w:hAnsi="Book Antiqua" w:cs="Book Antiqua"/>
        </w:rPr>
        <w:t xml:space="preserve"> </w:t>
      </w:r>
      <w:r w:rsidRPr="00031AE3">
        <w:rPr>
          <w:rFonts w:ascii="Book Antiqua" w:eastAsia="Book Antiqua" w:hAnsi="Book Antiqua" w:cs="Book Antiqua"/>
        </w:rPr>
        <w:t>showed ketone</w:t>
      </w:r>
      <w:r w:rsidR="00D267DB" w:rsidRPr="00031AE3">
        <w:rPr>
          <w:rFonts w:ascii="Book Antiqua" w:eastAsia="Book Antiqua" w:hAnsi="Book Antiqua" w:cs="Book Antiqua"/>
        </w:rPr>
        <w:t xml:space="preserve"> </w:t>
      </w:r>
      <w:r w:rsidRPr="00031AE3">
        <w:rPr>
          <w:rFonts w:ascii="Book Antiqua" w:eastAsia="Book Antiqua" w:hAnsi="Book Antiqua" w:cs="Book Antiqua"/>
        </w:rPr>
        <w:t>bodies 3+, blood 1+, protein 3+, and glucose</w:t>
      </w:r>
      <w:r w:rsidR="00D267DB" w:rsidRPr="00031AE3">
        <w:rPr>
          <w:rFonts w:ascii="Book Antiqua" w:eastAsia="Book Antiqua" w:hAnsi="Book Antiqua" w:cs="Book Antiqua"/>
        </w:rPr>
        <w:t xml:space="preserve"> </w:t>
      </w:r>
      <w:r w:rsidRPr="00031AE3">
        <w:rPr>
          <w:rFonts w:ascii="Book Antiqua" w:eastAsia="Book Antiqua" w:hAnsi="Book Antiqua" w:cs="Book Antiqua"/>
        </w:rPr>
        <w:t>3+. Examination of the coagulation profile and biochemical test</w:t>
      </w:r>
      <w:r w:rsidR="00D267DB" w:rsidRPr="00031AE3">
        <w:rPr>
          <w:rFonts w:ascii="Book Antiqua" w:eastAsia="Book Antiqua" w:hAnsi="Book Antiqua" w:cs="Book Antiqua"/>
        </w:rPr>
        <w:t xml:space="preserve"> </w:t>
      </w:r>
      <w:r w:rsidRPr="00031AE3">
        <w:rPr>
          <w:rFonts w:ascii="Book Antiqua" w:eastAsia="Book Antiqua" w:hAnsi="Book Antiqua" w:cs="Book Antiqua"/>
        </w:rPr>
        <w:t>could not be performed</w:t>
      </w:r>
      <w:r w:rsidR="00D267DB" w:rsidRPr="00031AE3">
        <w:rPr>
          <w:rFonts w:ascii="Book Antiqua" w:eastAsia="Book Antiqua" w:hAnsi="Book Antiqua" w:cs="Book Antiqua"/>
        </w:rPr>
        <w:t xml:space="preserve"> </w:t>
      </w:r>
      <w:r w:rsidRPr="00031AE3">
        <w:rPr>
          <w:rFonts w:ascii="Book Antiqua" w:eastAsia="Book Antiqua" w:hAnsi="Book Antiqua" w:cs="Book Antiqua"/>
        </w:rPr>
        <w:t>due to SHLE. The tests for hepatitis virus A, B, C, and E and a series of tumor markers were negative. Serum</w:t>
      </w:r>
      <w:r w:rsidR="00D267DB" w:rsidRPr="00031AE3">
        <w:rPr>
          <w:rFonts w:ascii="Book Antiqua" w:eastAsia="Book Antiqua" w:hAnsi="Book Antiqua" w:cs="Book Antiqua"/>
        </w:rPr>
        <w:t xml:space="preserve"> </w:t>
      </w:r>
      <w:r w:rsidRPr="00031AE3">
        <w:rPr>
          <w:rFonts w:ascii="Book Antiqua" w:eastAsia="Book Antiqua" w:hAnsi="Book Antiqua" w:cs="Book Antiqua"/>
        </w:rPr>
        <w:t>testosterone level was 175 ng/L. Morphological evaluation</w:t>
      </w:r>
      <w:r w:rsidR="00D267DB" w:rsidRPr="00031AE3">
        <w:rPr>
          <w:rFonts w:ascii="Book Antiqua" w:eastAsia="Book Antiqua" w:hAnsi="Book Antiqua" w:cs="Book Antiqua"/>
        </w:rPr>
        <w:t xml:space="preserve"> </w:t>
      </w:r>
      <w:r w:rsidRPr="00031AE3">
        <w:rPr>
          <w:rFonts w:ascii="Book Antiqua" w:eastAsia="Book Antiqua" w:hAnsi="Book Antiqua" w:cs="Book Antiqua"/>
        </w:rPr>
        <w:t>of the bone marrow (BM) smears and biopsy showed no evidence of MPN. Cytogenetic analysis of BM culture reported a normal karyotype of 46,</w:t>
      </w:r>
      <w:r w:rsidR="00D267DB" w:rsidRPr="00031AE3">
        <w:rPr>
          <w:rFonts w:ascii="Book Antiqua" w:eastAsia="Book Antiqua" w:hAnsi="Book Antiqua" w:cs="Book Antiqua"/>
        </w:rPr>
        <w:t xml:space="preserve"> </w:t>
      </w:r>
      <w:r w:rsidRPr="00031AE3">
        <w:rPr>
          <w:rFonts w:ascii="Book Antiqua" w:eastAsia="Book Antiqua" w:hAnsi="Book Antiqua" w:cs="Book Antiqua"/>
        </w:rPr>
        <w:t>XY</w:t>
      </w:r>
      <w:r w:rsidRPr="006529DD">
        <w:rPr>
          <w:rFonts w:ascii="Book Antiqua" w:eastAsia="Book Antiqua" w:hAnsi="Book Antiqua" w:cs="Book Antiqua"/>
          <w:vertAlign w:val="superscript"/>
        </w:rPr>
        <w:t>[25]</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Gene mutations in</w:t>
      </w:r>
      <w:r w:rsidR="0057058E" w:rsidRPr="006529DD">
        <w:rPr>
          <w:rFonts w:ascii="Book Antiqua" w:eastAsia="Book Antiqua" w:hAnsi="Book Antiqua" w:cs="Book Antiqua"/>
        </w:rPr>
        <w:t xml:space="preserve"> </w:t>
      </w:r>
      <w:r w:rsidR="000B2E52" w:rsidRPr="006529DD">
        <w:rPr>
          <w:rFonts w:ascii="Book Antiqua" w:eastAsia="Book Antiqua" w:hAnsi="Book Antiqua" w:cs="Book Antiqua"/>
        </w:rPr>
        <w:t>B-cell receptor</w:t>
      </w:r>
      <w:r w:rsidR="0057058E" w:rsidRPr="006529DD">
        <w:rPr>
          <w:rFonts w:ascii="Book Antiqua" w:eastAsia="Book Antiqua" w:hAnsi="Book Antiqua" w:cs="Book Antiqua"/>
        </w:rPr>
        <w:t>-Abelson murine leukemia viral oncogene homologue 1 (</w:t>
      </w:r>
      <w:r w:rsidR="000B2E52" w:rsidRPr="006529DD">
        <w:rPr>
          <w:rFonts w:ascii="Book Antiqua" w:eastAsia="Book Antiqua" w:hAnsi="Book Antiqua" w:cs="Book Antiqua"/>
        </w:rPr>
        <w:t>BCR-</w:t>
      </w:r>
      <w:r w:rsidRPr="006529DD">
        <w:rPr>
          <w:rFonts w:ascii="Book Antiqua" w:eastAsia="Book Antiqua" w:hAnsi="Book Antiqua" w:cs="Book Antiqua"/>
        </w:rPr>
        <w:t>ABL1</w:t>
      </w:r>
      <w:r w:rsidR="0057058E" w:rsidRPr="006529DD">
        <w:rPr>
          <w:rFonts w:ascii="Book Antiqua" w:eastAsia="Book Antiqua" w:hAnsi="Book Antiqua" w:cs="Book Antiqua"/>
        </w:rPr>
        <w:t>)</w:t>
      </w:r>
      <w:r w:rsidRPr="006529DD">
        <w:rPr>
          <w:rFonts w:ascii="Book Antiqua" w:eastAsia="Book Antiqua" w:hAnsi="Book Antiqua" w:cs="Book Antiqua"/>
        </w:rPr>
        <w:t xml:space="preserve">, </w:t>
      </w:r>
      <w:r w:rsidR="0057058E" w:rsidRPr="006529DD">
        <w:rPr>
          <w:rFonts w:ascii="Book Antiqua" w:eastAsia="Book Antiqua" w:hAnsi="Book Antiqua" w:cs="Book Antiqua"/>
        </w:rPr>
        <w:t>Janus kinase (</w:t>
      </w:r>
      <w:r w:rsidRPr="006529DD">
        <w:rPr>
          <w:rFonts w:ascii="Book Antiqua" w:eastAsia="Book Antiqua" w:hAnsi="Book Antiqua" w:cs="Book Antiqua"/>
        </w:rPr>
        <w:t>JAK2</w:t>
      </w:r>
      <w:r w:rsidR="0057058E" w:rsidRPr="006529DD">
        <w:rPr>
          <w:rFonts w:ascii="Book Antiqua" w:eastAsia="Book Antiqua" w:hAnsi="Book Antiqua" w:cs="Book Antiqua"/>
        </w:rPr>
        <w:t>)</w:t>
      </w:r>
      <w:r w:rsidRPr="006529DD">
        <w:rPr>
          <w:rFonts w:ascii="Book Antiqua" w:eastAsia="Book Antiqua" w:hAnsi="Book Antiqua" w:cs="Book Antiqua"/>
        </w:rPr>
        <w:t xml:space="preserve">, </w:t>
      </w:r>
      <w:r w:rsidR="0057058E" w:rsidRPr="006529DD">
        <w:rPr>
          <w:rFonts w:ascii="Book Antiqua" w:eastAsia="Book Antiqua" w:hAnsi="Book Antiqua" w:cs="Book Antiqua"/>
        </w:rPr>
        <w:t>calreticulin (</w:t>
      </w:r>
      <w:r w:rsidRPr="006529DD">
        <w:rPr>
          <w:rFonts w:ascii="Book Antiqua" w:eastAsia="Book Antiqua" w:hAnsi="Book Antiqua" w:cs="Book Antiqua"/>
        </w:rPr>
        <w:t>CALR</w:t>
      </w:r>
      <w:r w:rsidR="0057058E" w:rsidRPr="006529DD">
        <w:rPr>
          <w:rFonts w:ascii="Book Antiqua" w:eastAsia="Book Antiqua" w:hAnsi="Book Antiqua" w:cs="Book Antiqua"/>
        </w:rPr>
        <w:t>)</w:t>
      </w:r>
      <w:r w:rsidRPr="006529DD">
        <w:rPr>
          <w:rFonts w:ascii="Book Antiqua" w:eastAsia="Book Antiqua" w:hAnsi="Book Antiqua" w:cs="Book Antiqua"/>
        </w:rPr>
        <w:t xml:space="preserve">, </w:t>
      </w:r>
      <w:r w:rsidR="00F53571" w:rsidRPr="006529DD">
        <w:rPr>
          <w:rFonts w:ascii="Book Antiqua" w:eastAsia="Book Antiqua" w:hAnsi="Book Antiqua" w:cs="Book Antiqua"/>
        </w:rPr>
        <w:t>myeloproliferative leukemia</w:t>
      </w:r>
      <w:r w:rsidR="00B5476F" w:rsidRPr="006529DD">
        <w:rPr>
          <w:rFonts w:ascii="Book Antiqua" w:eastAsia="Book Antiqua" w:hAnsi="Book Antiqua" w:cs="Book Antiqua"/>
        </w:rPr>
        <w:t xml:space="preserve"> virus</w:t>
      </w:r>
      <w:r w:rsidR="00F53571" w:rsidRPr="006529DD">
        <w:rPr>
          <w:rFonts w:ascii="Book Antiqua" w:eastAsia="Book Antiqua" w:hAnsi="Book Antiqua" w:cs="Book Antiqua"/>
        </w:rPr>
        <w:t xml:space="preserve"> (</w:t>
      </w:r>
      <w:proofErr w:type="spellStart"/>
      <w:r w:rsidRPr="006529DD">
        <w:rPr>
          <w:rFonts w:ascii="Book Antiqua" w:eastAsia="Book Antiqua" w:hAnsi="Book Antiqua" w:cs="Book Antiqua"/>
        </w:rPr>
        <w:t>M</w:t>
      </w:r>
      <w:r w:rsidR="00B5476F" w:rsidRPr="006529DD">
        <w:rPr>
          <w:rFonts w:ascii="Book Antiqua" w:eastAsia="Book Antiqua" w:hAnsi="Book Antiqua" w:cs="Book Antiqua"/>
        </w:rPr>
        <w:t>plV</w:t>
      </w:r>
      <w:proofErr w:type="spellEnd"/>
      <w:r w:rsidR="00F53571" w:rsidRPr="006529DD">
        <w:rPr>
          <w:rFonts w:ascii="Book Antiqua" w:eastAsia="Book Antiqua" w:hAnsi="Book Antiqua" w:cs="Book Antiqua"/>
        </w:rPr>
        <w:t>)</w:t>
      </w:r>
      <w:r w:rsidR="00CE38EE" w:rsidRPr="006529DD">
        <w:rPr>
          <w:rFonts w:ascii="Book Antiqua" w:eastAsia="Book Antiqua" w:hAnsi="Book Antiqua" w:cs="Book Antiqua"/>
        </w:rPr>
        <w:t>,</w:t>
      </w:r>
      <w:r w:rsidR="00D267DB" w:rsidRPr="006529DD">
        <w:rPr>
          <w:rFonts w:ascii="Book Antiqua" w:eastAsia="Book Antiqua" w:hAnsi="Book Antiqua" w:cs="Book Antiqua"/>
        </w:rPr>
        <w:t xml:space="preserve"> </w:t>
      </w:r>
      <w:r w:rsidRPr="006529DD">
        <w:rPr>
          <w:rFonts w:ascii="Book Antiqua" w:eastAsia="Book Antiqua" w:hAnsi="Book Antiqua" w:cs="Book Antiqua"/>
        </w:rPr>
        <w:t xml:space="preserve">and </w:t>
      </w:r>
      <w:r w:rsidR="002D27AF" w:rsidRPr="006529DD">
        <w:rPr>
          <w:rFonts w:ascii="Book Antiqua" w:eastAsia="Book Antiqua" w:hAnsi="Book Antiqua" w:cs="Book Antiqua"/>
        </w:rPr>
        <w:t>colony-stimulating factor 3 receptor (</w:t>
      </w:r>
      <w:r w:rsidRPr="006529DD">
        <w:rPr>
          <w:rFonts w:ascii="Book Antiqua" w:eastAsia="Book Antiqua" w:hAnsi="Book Antiqua" w:cs="Book Antiqua"/>
        </w:rPr>
        <w:t>CSF3R</w:t>
      </w:r>
      <w:r w:rsidR="002D27AF" w:rsidRPr="006529DD">
        <w:rPr>
          <w:rFonts w:ascii="Book Antiqua" w:eastAsia="Book Antiqua" w:hAnsi="Book Antiqua" w:cs="Book Antiqua"/>
        </w:rPr>
        <w:t>)</w:t>
      </w:r>
      <w:r w:rsidR="00D267DB" w:rsidRPr="006529DD">
        <w:rPr>
          <w:rFonts w:ascii="Book Antiqua" w:eastAsia="Book Antiqua" w:hAnsi="Book Antiqua" w:cs="Book Antiqua"/>
        </w:rPr>
        <w:t xml:space="preserve"> </w:t>
      </w:r>
      <w:r w:rsidRPr="00031AE3">
        <w:rPr>
          <w:rFonts w:ascii="Book Antiqua" w:eastAsia="Book Antiqua" w:hAnsi="Book Antiqua" w:cs="Book Antiqua"/>
        </w:rPr>
        <w:t>were negative. These laboratory tests did not meet criteria for the diagnosis of MPN.</w:t>
      </w:r>
    </w:p>
    <w:p w14:paraId="545D9219" w14:textId="77777777" w:rsidR="00A77B3E" w:rsidRPr="00031AE3" w:rsidRDefault="00A77B3E" w:rsidP="00031AE3">
      <w:pPr>
        <w:snapToGrid w:val="0"/>
        <w:spacing w:line="360" w:lineRule="auto"/>
        <w:jc w:val="both"/>
      </w:pPr>
    </w:p>
    <w:p w14:paraId="24BAAF10" w14:textId="77777777" w:rsidR="00A77B3E" w:rsidRPr="00031AE3" w:rsidRDefault="008F2500" w:rsidP="00031AE3">
      <w:pPr>
        <w:snapToGrid w:val="0"/>
        <w:spacing w:line="360" w:lineRule="auto"/>
        <w:jc w:val="both"/>
      </w:pPr>
      <w:r w:rsidRPr="00031AE3">
        <w:rPr>
          <w:rFonts w:ascii="Book Antiqua" w:eastAsia="Book Antiqua" w:hAnsi="Book Antiqua" w:cs="Book Antiqua"/>
          <w:b/>
          <w:bCs/>
          <w:i/>
          <w:iCs/>
        </w:rPr>
        <w:t>Further investigation of the abnormalities in CBC examination</w:t>
      </w:r>
    </w:p>
    <w:p w14:paraId="6949B675" w14:textId="28805988" w:rsidR="00A77B3E" w:rsidRPr="00031AE3" w:rsidRDefault="008F2500" w:rsidP="00031AE3">
      <w:pPr>
        <w:snapToGrid w:val="0"/>
        <w:spacing w:line="360" w:lineRule="auto"/>
        <w:jc w:val="both"/>
      </w:pPr>
      <w:r w:rsidRPr="00031AE3">
        <w:rPr>
          <w:rFonts w:ascii="Book Antiqua" w:eastAsia="Book Antiqua" w:hAnsi="Book Antiqua" w:cs="Book Antiqua"/>
        </w:rPr>
        <w:t>Having noticed the thick chylomicron layer</w:t>
      </w:r>
      <w:r w:rsidR="00D267DB" w:rsidRPr="00031AE3">
        <w:rPr>
          <w:rFonts w:ascii="Book Antiqua" w:eastAsia="Book Antiqua" w:hAnsi="Book Antiqua" w:cs="Book Antiqua"/>
        </w:rPr>
        <w:t xml:space="preserve"> </w:t>
      </w:r>
      <w:r w:rsidRPr="00031AE3">
        <w:rPr>
          <w:rFonts w:ascii="Book Antiqua" w:eastAsia="Book Antiqua" w:hAnsi="Book Antiqua" w:cs="Book Antiqua"/>
        </w:rPr>
        <w:t>and dramatically fluctuating CBC results, we speculated that the fat droplets formed by shaking the blood samples</w:t>
      </w:r>
      <w:r w:rsidR="00D267DB" w:rsidRPr="00031AE3">
        <w:rPr>
          <w:rFonts w:ascii="Book Antiqua" w:eastAsia="Book Antiqua" w:hAnsi="Book Antiqua" w:cs="Book Antiqua"/>
        </w:rPr>
        <w:t xml:space="preserve"> </w:t>
      </w:r>
      <w:r w:rsidRPr="00031AE3">
        <w:rPr>
          <w:rFonts w:ascii="Book Antiqua" w:eastAsia="Book Antiqua" w:hAnsi="Book Antiqua" w:cs="Book Antiqua"/>
        </w:rPr>
        <w:t>in the setting of SHLE were mistakenly identified</w:t>
      </w:r>
      <w:r w:rsidR="00D267DB" w:rsidRPr="00031AE3">
        <w:rPr>
          <w:rFonts w:ascii="Book Antiqua" w:eastAsia="Book Antiqua" w:hAnsi="Book Antiqua" w:cs="Book Antiqua"/>
        </w:rPr>
        <w:t xml:space="preserve"> </w:t>
      </w:r>
      <w:r w:rsidRPr="00031AE3">
        <w:rPr>
          <w:rFonts w:ascii="Book Antiqua" w:eastAsia="Book Antiqua" w:hAnsi="Book Antiqua" w:cs="Book Antiqua"/>
        </w:rPr>
        <w:t>as blood cells due to the limited parameters of ABCC. Therefore, we removed a large part of the chylomicron layer and then reexamined the CBC and biochemical tests. The CBC showed: WBC,</w:t>
      </w:r>
      <w:r w:rsidR="00D267DB" w:rsidRPr="00031AE3">
        <w:rPr>
          <w:rFonts w:ascii="Book Antiqua" w:eastAsia="Book Antiqua" w:hAnsi="Book Antiqua" w:cs="Book Antiqua"/>
        </w:rPr>
        <w:t xml:space="preserve"> </w:t>
      </w:r>
      <w:r w:rsidRPr="00031AE3">
        <w:rPr>
          <w:rFonts w:ascii="Book Antiqua" w:eastAsia="Book Antiqua" w:hAnsi="Book Antiqua" w:cs="Book Antiqua"/>
        </w:rPr>
        <w:t>8.34</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ANC,</w:t>
      </w:r>
      <w:r w:rsidR="00D267DB" w:rsidRPr="00031AE3">
        <w:rPr>
          <w:rFonts w:ascii="Book Antiqua" w:eastAsia="Book Antiqua" w:hAnsi="Book Antiqua" w:cs="Book Antiqua"/>
        </w:rPr>
        <w:t xml:space="preserve"> </w:t>
      </w:r>
      <w:r w:rsidRPr="00031AE3">
        <w:rPr>
          <w:rFonts w:ascii="Book Antiqua" w:eastAsia="Book Antiqua" w:hAnsi="Book Antiqua" w:cs="Book Antiqua"/>
        </w:rPr>
        <w:t>6.43</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RBC,</w:t>
      </w:r>
      <w:r w:rsidR="00D267DB" w:rsidRPr="00031AE3">
        <w:rPr>
          <w:rFonts w:ascii="Book Antiqua" w:eastAsia="Book Antiqua" w:hAnsi="Book Antiqua" w:cs="Book Antiqua"/>
        </w:rPr>
        <w:t xml:space="preserve"> </w:t>
      </w:r>
      <w:r w:rsidRPr="00031AE3">
        <w:rPr>
          <w:rFonts w:ascii="Book Antiqua" w:eastAsia="Book Antiqua" w:hAnsi="Book Antiqua" w:cs="Book Antiqua"/>
        </w:rPr>
        <w:t>3.37</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12</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Hb,</w:t>
      </w:r>
      <w:r w:rsidR="00D267DB" w:rsidRPr="00031AE3">
        <w:rPr>
          <w:rFonts w:ascii="Book Antiqua" w:eastAsia="Book Antiqua" w:hAnsi="Book Antiqua" w:cs="Book Antiqua"/>
        </w:rPr>
        <w:t xml:space="preserve"> </w:t>
      </w:r>
      <w:r w:rsidRPr="00031AE3">
        <w:rPr>
          <w:rFonts w:ascii="Book Antiqua" w:eastAsia="Book Antiqua" w:hAnsi="Book Antiqua" w:cs="Book Antiqua"/>
        </w:rPr>
        <w:t>118</w:t>
      </w:r>
      <w:r w:rsidR="00D267DB" w:rsidRPr="00031AE3">
        <w:rPr>
          <w:rFonts w:ascii="Book Antiqua" w:eastAsia="Book Antiqua" w:hAnsi="Book Antiqua" w:cs="Book Antiqua"/>
        </w:rPr>
        <w:t xml:space="preserve"> </w:t>
      </w:r>
      <w:r w:rsidRPr="00031AE3">
        <w:rPr>
          <w:rFonts w:ascii="Book Antiqua" w:eastAsia="Book Antiqua" w:hAnsi="Book Antiqua" w:cs="Book Antiqua"/>
        </w:rPr>
        <w:t>g/L;</w:t>
      </w:r>
      <w:r w:rsidR="00D267DB" w:rsidRPr="00031AE3">
        <w:rPr>
          <w:rFonts w:ascii="Book Antiqua" w:eastAsia="Book Antiqua" w:hAnsi="Book Antiqua" w:cs="Book Antiqua"/>
        </w:rPr>
        <w:t xml:space="preserve"> </w:t>
      </w:r>
      <w:r w:rsidRPr="00031AE3">
        <w:rPr>
          <w:rFonts w:ascii="Book Antiqua" w:eastAsia="Book Antiqua" w:hAnsi="Book Antiqua" w:cs="Book Antiqua"/>
        </w:rPr>
        <w:t xml:space="preserve">and </w:t>
      </w:r>
      <w:proofErr w:type="spellStart"/>
      <w:r w:rsidRPr="00031AE3">
        <w:rPr>
          <w:rFonts w:ascii="Book Antiqua" w:eastAsia="Book Antiqua" w:hAnsi="Book Antiqua" w:cs="Book Antiqua"/>
        </w:rPr>
        <w:t>Plt</w:t>
      </w:r>
      <w:proofErr w:type="spellEnd"/>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164</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Biochemical tests showed:</w:t>
      </w:r>
      <w:r w:rsidR="00D267DB" w:rsidRPr="00031AE3">
        <w:rPr>
          <w:rFonts w:ascii="Book Antiqua" w:eastAsia="Book Antiqua" w:hAnsi="Book Antiqua" w:cs="Book Antiqua"/>
        </w:rPr>
        <w:t xml:space="preserve"> T</w:t>
      </w:r>
      <w:r w:rsidRPr="00031AE3">
        <w:rPr>
          <w:rFonts w:ascii="Book Antiqua" w:eastAsia="Book Antiqua" w:hAnsi="Book Antiqua" w:cs="Book Antiqua"/>
        </w:rPr>
        <w:t>riglycerides</w:t>
      </w:r>
      <w:r w:rsidR="00D267DB" w:rsidRPr="00031AE3">
        <w:rPr>
          <w:rFonts w:ascii="Book Antiqua" w:eastAsia="Book Antiqua" w:hAnsi="Book Antiqua" w:cs="Book Antiqua"/>
        </w:rPr>
        <w:t xml:space="preserve"> </w:t>
      </w:r>
      <w:r w:rsidRPr="00031AE3">
        <w:rPr>
          <w:rFonts w:ascii="Book Antiqua" w:eastAsia="Book Antiqua" w:hAnsi="Book Antiqua" w:cs="Book Antiqua"/>
        </w:rPr>
        <w:t>(TGs), 3.96</w:t>
      </w:r>
      <w:r w:rsidR="00D267DB" w:rsidRPr="00031AE3">
        <w:rPr>
          <w:rFonts w:ascii="Book Antiqua" w:eastAsia="Book Antiqua" w:hAnsi="Book Antiqua" w:cs="Book Antiqua"/>
        </w:rPr>
        <w:t xml:space="preserve"> </w:t>
      </w:r>
      <w:r w:rsidRPr="00031AE3">
        <w:rPr>
          <w:rFonts w:ascii="Book Antiqua" w:eastAsia="Book Antiqua" w:hAnsi="Book Antiqua" w:cs="Book Antiqua"/>
        </w:rPr>
        <w:t>mmol/L;</w:t>
      </w:r>
      <w:r w:rsidR="00D267DB" w:rsidRPr="00031AE3">
        <w:rPr>
          <w:rFonts w:ascii="Book Antiqua" w:eastAsia="Book Antiqua" w:hAnsi="Book Antiqua" w:cs="Book Antiqua"/>
        </w:rPr>
        <w:t xml:space="preserve"> </w:t>
      </w:r>
      <w:r w:rsidRPr="00031AE3">
        <w:rPr>
          <w:rFonts w:ascii="Book Antiqua" w:eastAsia="Book Antiqua" w:hAnsi="Book Antiqua" w:cs="Book Antiqua"/>
        </w:rPr>
        <w:t>total cholesterol (TC), 9.74 mmol/L; and</w:t>
      </w:r>
      <w:r w:rsidR="00D267DB" w:rsidRPr="00031AE3">
        <w:rPr>
          <w:rFonts w:ascii="Book Antiqua" w:eastAsia="Book Antiqua" w:hAnsi="Book Antiqua" w:cs="Book Antiqua"/>
        </w:rPr>
        <w:t xml:space="preserve"> </w:t>
      </w:r>
      <w:r w:rsidRPr="00031AE3">
        <w:rPr>
          <w:rFonts w:ascii="Book Antiqua" w:eastAsia="Book Antiqua" w:hAnsi="Book Antiqua" w:cs="Book Antiqua"/>
        </w:rPr>
        <w:t>low density lipoprotein (LDL), 5.67 mmol/L.</w:t>
      </w:r>
    </w:p>
    <w:p w14:paraId="4BE98B0F" w14:textId="5EBECF30" w:rsidR="00A77B3E" w:rsidRPr="00031AE3" w:rsidRDefault="008F2500" w:rsidP="00031AE3">
      <w:pPr>
        <w:snapToGrid w:val="0"/>
        <w:spacing w:line="360" w:lineRule="auto"/>
        <w:ind w:firstLineChars="100" w:firstLine="240"/>
        <w:jc w:val="both"/>
      </w:pPr>
      <w:r w:rsidRPr="00031AE3">
        <w:rPr>
          <w:rFonts w:ascii="Book Antiqua" w:eastAsia="Book Antiqua" w:hAnsi="Book Antiqua" w:cs="Book Antiqua"/>
        </w:rPr>
        <w:t>To determine</w:t>
      </w:r>
      <w:r w:rsidR="00D267DB" w:rsidRPr="00031AE3">
        <w:rPr>
          <w:rFonts w:ascii="Book Antiqua" w:eastAsia="Book Antiqua" w:hAnsi="Book Antiqua" w:cs="Book Antiqua"/>
        </w:rPr>
        <w:t xml:space="preserve"> </w:t>
      </w:r>
      <w:r w:rsidRPr="00031AE3">
        <w:rPr>
          <w:rFonts w:ascii="Book Antiqua" w:eastAsia="Book Antiqua" w:hAnsi="Book Antiqua" w:cs="Book Antiqua"/>
        </w:rPr>
        <w:t>whether</w:t>
      </w:r>
      <w:r w:rsidR="00D267DB" w:rsidRPr="00031AE3">
        <w:rPr>
          <w:rFonts w:ascii="Book Antiqua" w:eastAsia="Book Antiqua" w:hAnsi="Book Antiqua" w:cs="Book Antiqua"/>
        </w:rPr>
        <w:t xml:space="preserve"> </w:t>
      </w:r>
      <w:r w:rsidRPr="00031AE3">
        <w:rPr>
          <w:rFonts w:ascii="Book Antiqua" w:eastAsia="Book Antiqua" w:hAnsi="Book Antiqua" w:cs="Book Antiqua"/>
        </w:rPr>
        <w:t>the</w:t>
      </w:r>
      <w:r w:rsidR="00D267DB" w:rsidRPr="00031AE3">
        <w:rPr>
          <w:rFonts w:ascii="Book Antiqua" w:eastAsia="Book Antiqua" w:hAnsi="Book Antiqua" w:cs="Book Antiqua"/>
        </w:rPr>
        <w:t xml:space="preserve"> </w:t>
      </w:r>
      <w:r w:rsidRPr="00031AE3">
        <w:rPr>
          <w:rFonts w:ascii="Book Antiqua" w:eastAsia="Book Antiqua" w:hAnsi="Book Antiqua" w:cs="Book Antiqua"/>
        </w:rPr>
        <w:t>erythrocytosis was truly caused by SHLE, we drew dual blood samples, measured them (the chylomicron layer was removed in one sample and was not in another) at the same time, and then compared the CBC results. As we expected, there was a significant difference in the CBC results. While the CBC readings in the sample without removing the layer showed WBC,</w:t>
      </w:r>
      <w:r w:rsidR="00D267DB" w:rsidRPr="00031AE3">
        <w:rPr>
          <w:rFonts w:ascii="Book Antiqua" w:eastAsia="Book Antiqua" w:hAnsi="Book Antiqua" w:cs="Book Antiqua"/>
        </w:rPr>
        <w:t xml:space="preserve"> </w:t>
      </w:r>
      <w:r w:rsidRPr="00031AE3">
        <w:rPr>
          <w:rFonts w:ascii="Book Antiqua" w:eastAsia="Book Antiqua" w:hAnsi="Book Antiqua" w:cs="Book Antiqua"/>
        </w:rPr>
        <w:t>10.94</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ANC,</w:t>
      </w:r>
      <w:r w:rsidR="00D267DB" w:rsidRPr="00031AE3">
        <w:rPr>
          <w:rFonts w:ascii="Book Antiqua" w:eastAsia="Book Antiqua" w:hAnsi="Book Antiqua" w:cs="Book Antiqua"/>
        </w:rPr>
        <w:t xml:space="preserve"> </w:t>
      </w:r>
      <w:r w:rsidRPr="00031AE3">
        <w:rPr>
          <w:rFonts w:ascii="Book Antiqua" w:eastAsia="Book Antiqua" w:hAnsi="Book Antiqua" w:cs="Book Antiqua"/>
        </w:rPr>
        <w:t>8.86</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lastRenderedPageBreak/>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RBC,</w:t>
      </w:r>
      <w:r w:rsidR="00D267DB" w:rsidRPr="00031AE3">
        <w:rPr>
          <w:rFonts w:ascii="Book Antiqua" w:eastAsia="Book Antiqua" w:hAnsi="Book Antiqua" w:cs="Book Antiqua"/>
        </w:rPr>
        <w:t xml:space="preserve"> </w:t>
      </w:r>
      <w:r w:rsidRPr="00031AE3">
        <w:rPr>
          <w:rFonts w:ascii="Book Antiqua" w:eastAsia="Book Antiqua" w:hAnsi="Book Antiqua" w:cs="Book Antiqua"/>
        </w:rPr>
        <w:t>4.26</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12</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Hb,</w:t>
      </w:r>
      <w:r w:rsidR="00D267DB" w:rsidRPr="00031AE3">
        <w:rPr>
          <w:rFonts w:ascii="Book Antiqua" w:eastAsia="Book Antiqua" w:hAnsi="Book Antiqua" w:cs="Book Antiqua"/>
        </w:rPr>
        <w:t xml:space="preserve"> </w:t>
      </w:r>
      <w:r w:rsidRPr="00031AE3">
        <w:rPr>
          <w:rFonts w:ascii="Book Antiqua" w:eastAsia="Book Antiqua" w:hAnsi="Book Antiqua" w:cs="Book Antiqua"/>
        </w:rPr>
        <w:t>208</w:t>
      </w:r>
      <w:r w:rsidR="00D267DB" w:rsidRPr="00031AE3">
        <w:rPr>
          <w:rFonts w:ascii="Book Antiqua" w:eastAsia="Book Antiqua" w:hAnsi="Book Antiqua" w:cs="Book Antiqua"/>
        </w:rPr>
        <w:t xml:space="preserve"> </w:t>
      </w:r>
      <w:r w:rsidRPr="00031AE3">
        <w:rPr>
          <w:rFonts w:ascii="Book Antiqua" w:eastAsia="Book Antiqua" w:hAnsi="Book Antiqua" w:cs="Book Antiqua"/>
        </w:rPr>
        <w:t>g/L;</w:t>
      </w:r>
      <w:r w:rsidR="00D267DB" w:rsidRPr="00031AE3">
        <w:rPr>
          <w:rFonts w:ascii="Book Antiqua" w:eastAsia="Book Antiqua" w:hAnsi="Book Antiqua" w:cs="Book Antiqua"/>
        </w:rPr>
        <w:t xml:space="preserve"> </w:t>
      </w:r>
      <w:r w:rsidRPr="00031AE3">
        <w:rPr>
          <w:rFonts w:ascii="Book Antiqua" w:eastAsia="Book Antiqua" w:hAnsi="Book Antiqua" w:cs="Book Antiqua"/>
        </w:rPr>
        <w:t xml:space="preserve">and </w:t>
      </w:r>
      <w:proofErr w:type="spellStart"/>
      <w:r w:rsidRPr="00031AE3">
        <w:rPr>
          <w:rFonts w:ascii="Book Antiqua" w:eastAsia="Book Antiqua" w:hAnsi="Book Antiqua" w:cs="Book Antiqua"/>
        </w:rPr>
        <w:t>Plt</w:t>
      </w:r>
      <w:proofErr w:type="spellEnd"/>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287</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697F06" w:rsidRPr="00031AE3">
        <w:rPr>
          <w:rFonts w:ascii="Book Antiqua" w:eastAsia="Book Antiqua" w:hAnsi="Book Antiqua" w:cs="Book Antiqua"/>
        </w:rPr>
        <w:t>;</w:t>
      </w:r>
      <w:r w:rsidRPr="00031AE3">
        <w:rPr>
          <w:rFonts w:ascii="Book Antiqua" w:eastAsia="Book Antiqua" w:hAnsi="Book Antiqua" w:cs="Book Antiqua"/>
        </w:rPr>
        <w:t xml:space="preserve"> the readings in the sample in which a</w:t>
      </w:r>
      <w:r w:rsidR="00D267DB" w:rsidRPr="00031AE3">
        <w:rPr>
          <w:rFonts w:ascii="Book Antiqua" w:eastAsia="Book Antiqua" w:hAnsi="Book Antiqua" w:cs="Book Antiqua"/>
        </w:rPr>
        <w:t xml:space="preserve"> </w:t>
      </w:r>
      <w:r w:rsidRPr="00031AE3">
        <w:rPr>
          <w:rFonts w:ascii="Book Antiqua" w:eastAsia="Book Antiqua" w:hAnsi="Book Antiqua" w:cs="Book Antiqua"/>
        </w:rPr>
        <w:t>large part of the layer was removed showed WBC,</w:t>
      </w:r>
      <w:r w:rsidR="00D267DB" w:rsidRPr="00031AE3">
        <w:rPr>
          <w:rFonts w:ascii="Book Antiqua" w:eastAsia="Book Antiqua" w:hAnsi="Book Antiqua" w:cs="Book Antiqua"/>
        </w:rPr>
        <w:t xml:space="preserve"> </w:t>
      </w:r>
      <w:r w:rsidRPr="00031AE3">
        <w:rPr>
          <w:rFonts w:ascii="Book Antiqua" w:eastAsia="Book Antiqua" w:hAnsi="Book Antiqua" w:cs="Book Antiqua"/>
        </w:rPr>
        <w:t>4.34</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ANC,</w:t>
      </w:r>
      <w:r w:rsidR="00D267DB" w:rsidRPr="00031AE3">
        <w:rPr>
          <w:rFonts w:ascii="Book Antiqua" w:eastAsia="Book Antiqua" w:hAnsi="Book Antiqua" w:cs="Book Antiqua"/>
        </w:rPr>
        <w:t xml:space="preserve"> </w:t>
      </w:r>
      <w:r w:rsidRPr="00031AE3">
        <w:rPr>
          <w:rFonts w:ascii="Book Antiqua" w:eastAsia="Book Antiqua" w:hAnsi="Book Antiqua" w:cs="Book Antiqua"/>
        </w:rPr>
        <w:t>2.88</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RBC,</w:t>
      </w:r>
      <w:r w:rsidR="00D267DB" w:rsidRPr="00031AE3">
        <w:rPr>
          <w:rFonts w:ascii="Book Antiqua" w:eastAsia="Book Antiqua" w:hAnsi="Book Antiqua" w:cs="Book Antiqua"/>
        </w:rPr>
        <w:t xml:space="preserve"> </w:t>
      </w:r>
      <w:r w:rsidRPr="00031AE3">
        <w:rPr>
          <w:rFonts w:ascii="Book Antiqua" w:eastAsia="Book Antiqua" w:hAnsi="Book Antiqua" w:cs="Book Antiqua"/>
        </w:rPr>
        <w:t>3.69</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12</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Hb,</w:t>
      </w:r>
      <w:r w:rsidR="00D267DB" w:rsidRPr="00031AE3">
        <w:rPr>
          <w:rFonts w:ascii="Book Antiqua" w:eastAsia="Book Antiqua" w:hAnsi="Book Antiqua" w:cs="Book Antiqua"/>
        </w:rPr>
        <w:t xml:space="preserve"> </w:t>
      </w:r>
      <w:r w:rsidRPr="00031AE3">
        <w:rPr>
          <w:rFonts w:ascii="Book Antiqua" w:eastAsia="Book Antiqua" w:hAnsi="Book Antiqua" w:cs="Book Antiqua"/>
        </w:rPr>
        <w:t>114</w:t>
      </w:r>
      <w:r w:rsidR="00D267DB" w:rsidRPr="00031AE3">
        <w:rPr>
          <w:rFonts w:ascii="Book Antiqua" w:eastAsia="Book Antiqua" w:hAnsi="Book Antiqua" w:cs="Book Antiqua"/>
        </w:rPr>
        <w:t xml:space="preserve"> </w:t>
      </w:r>
      <w:r w:rsidRPr="00031AE3">
        <w:rPr>
          <w:rFonts w:ascii="Book Antiqua" w:eastAsia="Book Antiqua" w:hAnsi="Book Antiqua" w:cs="Book Antiqua"/>
        </w:rPr>
        <w:t>g/L;</w:t>
      </w:r>
      <w:r w:rsidR="00D267DB" w:rsidRPr="00031AE3">
        <w:rPr>
          <w:rFonts w:ascii="Book Antiqua" w:eastAsia="Book Antiqua" w:hAnsi="Book Antiqua" w:cs="Book Antiqua"/>
        </w:rPr>
        <w:t xml:space="preserve"> </w:t>
      </w:r>
      <w:r w:rsidRPr="00031AE3">
        <w:rPr>
          <w:rFonts w:ascii="Book Antiqua" w:eastAsia="Book Antiqua" w:hAnsi="Book Antiqua" w:cs="Book Antiqua"/>
        </w:rPr>
        <w:t xml:space="preserve">and </w:t>
      </w:r>
      <w:proofErr w:type="spellStart"/>
      <w:r w:rsidRPr="00031AE3">
        <w:rPr>
          <w:rFonts w:ascii="Book Antiqua" w:eastAsia="Book Antiqua" w:hAnsi="Book Antiqua" w:cs="Book Antiqua"/>
        </w:rPr>
        <w:t>Plt</w:t>
      </w:r>
      <w:proofErr w:type="spellEnd"/>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215</w:t>
      </w:r>
      <w:r w:rsidR="00D267DB" w:rsidRPr="00031AE3">
        <w:rPr>
          <w:rFonts w:ascii="Book Antiqua" w:eastAsia="Book Antiqua" w:hAnsi="Book Antiqua" w:cs="Book Antiqua"/>
        </w:rPr>
        <w:t xml:space="preserve"> </w:t>
      </w:r>
      <w:r w:rsidRPr="00031AE3">
        <w:rPr>
          <w:rFonts w:ascii="Book Antiqua" w:eastAsia="Book Antiqua" w:hAnsi="Book Antiqua" w:cs="Book Antiqua"/>
        </w:rPr>
        <w:t>×</w:t>
      </w:r>
      <w:r w:rsidR="00D267DB" w:rsidRPr="00031AE3">
        <w:rPr>
          <w:rFonts w:ascii="Book Antiqua" w:eastAsia="Book Antiqua" w:hAnsi="Book Antiqua" w:cs="Book Antiqua"/>
        </w:rPr>
        <w:t xml:space="preserve"> </w:t>
      </w:r>
      <w:r w:rsidRPr="00031AE3">
        <w:rPr>
          <w:rFonts w:ascii="Book Antiqua" w:eastAsia="Book Antiqua" w:hAnsi="Book Antiqua" w:cs="Book Antiqua"/>
        </w:rPr>
        <w:t>10</w:t>
      </w:r>
      <w:r w:rsidRPr="00031AE3">
        <w:rPr>
          <w:rFonts w:ascii="Book Antiqua" w:eastAsia="Book Antiqua" w:hAnsi="Book Antiqua" w:cs="Book Antiqua"/>
          <w:vertAlign w:val="superscript"/>
        </w:rPr>
        <w:t>9</w:t>
      </w:r>
      <w:r w:rsidRPr="00031AE3">
        <w:rPr>
          <w:rFonts w:ascii="Book Antiqua" w:eastAsia="Book Antiqua" w:hAnsi="Book Antiqua" w:cs="Book Antiqua"/>
        </w:rPr>
        <w:t>/L.</w:t>
      </w:r>
      <w:r w:rsidR="00D267DB" w:rsidRPr="00031AE3">
        <w:rPr>
          <w:rFonts w:ascii="Book Antiqua" w:eastAsia="Book Antiqua" w:hAnsi="Book Antiqua" w:cs="Book Antiqua"/>
        </w:rPr>
        <w:t xml:space="preserve"> </w:t>
      </w:r>
      <w:r w:rsidRPr="00031AE3">
        <w:rPr>
          <w:rFonts w:ascii="Book Antiqua" w:eastAsia="Book Antiqua" w:hAnsi="Book Antiqua" w:cs="Book Antiqua"/>
        </w:rPr>
        <w:t>Subsequently, the repeated tests using this method yielded the similar results (listed in Table 1), confirming the contribution of SHLE</w:t>
      </w:r>
      <w:r w:rsidR="00D267DB" w:rsidRPr="00031AE3">
        <w:rPr>
          <w:rFonts w:ascii="Book Antiqua" w:eastAsia="Book Antiqua" w:hAnsi="Book Antiqua" w:cs="Book Antiqua"/>
        </w:rPr>
        <w:t xml:space="preserve"> </w:t>
      </w:r>
      <w:r w:rsidRPr="00031AE3">
        <w:rPr>
          <w:rFonts w:ascii="Book Antiqua" w:eastAsia="Book Antiqua" w:hAnsi="Book Antiqua" w:cs="Book Antiqua"/>
        </w:rPr>
        <w:t>to the formation of pseudoerythrocytosis.</w:t>
      </w:r>
    </w:p>
    <w:p w14:paraId="59888F25" w14:textId="77777777" w:rsidR="00A77B3E" w:rsidRPr="00031AE3" w:rsidRDefault="00A77B3E" w:rsidP="00031AE3">
      <w:pPr>
        <w:snapToGrid w:val="0"/>
        <w:spacing w:line="360" w:lineRule="auto"/>
        <w:jc w:val="both"/>
      </w:pPr>
    </w:p>
    <w:p w14:paraId="66E87055" w14:textId="77777777" w:rsidR="00A77B3E" w:rsidRPr="00031AE3" w:rsidRDefault="008F2500" w:rsidP="00031AE3">
      <w:pPr>
        <w:snapToGrid w:val="0"/>
        <w:spacing w:line="360" w:lineRule="auto"/>
        <w:jc w:val="both"/>
      </w:pPr>
      <w:r w:rsidRPr="00031AE3">
        <w:rPr>
          <w:rFonts w:ascii="Book Antiqua" w:eastAsia="Book Antiqua" w:hAnsi="Book Antiqua" w:cs="Book Antiqua"/>
          <w:b/>
          <w:i/>
        </w:rPr>
        <w:t>Imaging examinations</w:t>
      </w:r>
    </w:p>
    <w:p w14:paraId="7E2A4A50" w14:textId="14B1A470" w:rsidR="00A77B3E" w:rsidRPr="00031AE3" w:rsidRDefault="008F2500" w:rsidP="00031AE3">
      <w:pPr>
        <w:snapToGrid w:val="0"/>
        <w:spacing w:line="360" w:lineRule="auto"/>
        <w:jc w:val="both"/>
      </w:pPr>
      <w:r w:rsidRPr="00031AE3">
        <w:rPr>
          <w:rFonts w:ascii="Book Antiqua" w:eastAsia="Book Antiqua" w:hAnsi="Book Antiqua" w:cs="Book Antiqua"/>
        </w:rPr>
        <w:t>On 5</w:t>
      </w:r>
      <w:r w:rsidRPr="006529DD">
        <w:rPr>
          <w:rFonts w:ascii="Book Antiqua" w:eastAsia="Book Antiqua" w:hAnsi="Book Antiqua" w:cs="Book Antiqua"/>
          <w:vertAlign w:val="superscript"/>
        </w:rPr>
        <w:t>th</w:t>
      </w:r>
      <w:r w:rsidRPr="00031AE3">
        <w:rPr>
          <w:rFonts w:ascii="Book Antiqua" w:eastAsia="Book Antiqua" w:hAnsi="Book Antiqua" w:cs="Book Antiqua"/>
        </w:rPr>
        <w:t xml:space="preserve"> day of hospitalization, CT reexamination revealed an exudative lesion surrounding the pancreas, in accordance with the diagnosis of pancreatitis.</w:t>
      </w:r>
    </w:p>
    <w:p w14:paraId="3771CC4F" w14:textId="77777777" w:rsidR="00A77B3E" w:rsidRPr="00031AE3" w:rsidRDefault="00A77B3E" w:rsidP="00031AE3">
      <w:pPr>
        <w:snapToGrid w:val="0"/>
        <w:spacing w:line="360" w:lineRule="auto"/>
        <w:jc w:val="both"/>
      </w:pPr>
    </w:p>
    <w:p w14:paraId="23B7C63F"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FINAL DIAGNOSIS</w:t>
      </w:r>
    </w:p>
    <w:p w14:paraId="5C3D26AB" w14:textId="7D37FD4B" w:rsidR="00A77B3E" w:rsidRPr="00031AE3" w:rsidRDefault="008F2500" w:rsidP="00031AE3">
      <w:pPr>
        <w:snapToGrid w:val="0"/>
        <w:spacing w:line="360" w:lineRule="auto"/>
        <w:jc w:val="both"/>
      </w:pPr>
      <w:r w:rsidRPr="00031AE3">
        <w:rPr>
          <w:rFonts w:ascii="Book Antiqua" w:eastAsia="Book Antiqua" w:hAnsi="Book Antiqua" w:cs="Book Antiqua"/>
        </w:rPr>
        <w:t>After intensive consultation with specialists in gastroenterology, ultrasonography and radiology, a definitive diagnosis was made as recurrent</w:t>
      </w:r>
      <w:r w:rsidR="00BC7B40" w:rsidRPr="00031AE3">
        <w:rPr>
          <w:rFonts w:ascii="Book Antiqua" w:eastAsia="Book Antiqua" w:hAnsi="Book Antiqua" w:cs="Book Antiqua"/>
        </w:rPr>
        <w:t xml:space="preserve"> </w:t>
      </w:r>
      <w:r w:rsidRPr="00031AE3">
        <w:rPr>
          <w:rFonts w:ascii="Book Antiqua" w:eastAsia="Book Antiqua" w:hAnsi="Book Antiqua" w:cs="Book Antiqua"/>
        </w:rPr>
        <w:t>pancreatitis, hyperlipemia</w:t>
      </w:r>
      <w:r w:rsidR="00BC7B40" w:rsidRPr="00031AE3">
        <w:rPr>
          <w:rFonts w:ascii="Book Antiqua" w:eastAsia="Book Antiqua" w:hAnsi="Book Antiqua" w:cs="Book Antiqua"/>
        </w:rPr>
        <w:t xml:space="preserve"> </w:t>
      </w:r>
      <w:r w:rsidRPr="00031AE3">
        <w:rPr>
          <w:rFonts w:ascii="Book Antiqua" w:eastAsia="Book Antiqua" w:hAnsi="Book Antiqua" w:cs="Book Antiqua"/>
        </w:rPr>
        <w:t>and pseudoerythrocytosis.</w:t>
      </w:r>
    </w:p>
    <w:p w14:paraId="31014869" w14:textId="77777777" w:rsidR="00A77B3E" w:rsidRPr="00031AE3" w:rsidRDefault="00A77B3E" w:rsidP="00031AE3">
      <w:pPr>
        <w:snapToGrid w:val="0"/>
        <w:spacing w:line="360" w:lineRule="auto"/>
        <w:jc w:val="both"/>
      </w:pPr>
    </w:p>
    <w:p w14:paraId="1943B944"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TREATMENT</w:t>
      </w:r>
    </w:p>
    <w:p w14:paraId="5627265D" w14:textId="3AB43314" w:rsidR="00A77B3E" w:rsidRPr="00031AE3" w:rsidRDefault="008F2500" w:rsidP="00031AE3">
      <w:pPr>
        <w:snapToGrid w:val="0"/>
        <w:spacing w:line="360" w:lineRule="auto"/>
        <w:jc w:val="both"/>
      </w:pPr>
      <w:r w:rsidRPr="00031AE3">
        <w:rPr>
          <w:rFonts w:ascii="Book Antiqua" w:eastAsia="Book Antiqua" w:hAnsi="Book Antiqua" w:cs="Book Antiqua"/>
        </w:rPr>
        <w:t>After the definitive diagnosis of recurrent</w:t>
      </w:r>
      <w:r w:rsidR="00BC7B40" w:rsidRPr="00031AE3">
        <w:rPr>
          <w:rFonts w:ascii="Book Antiqua" w:eastAsia="Book Antiqua" w:hAnsi="Book Antiqua" w:cs="Book Antiqua"/>
        </w:rPr>
        <w:t xml:space="preserve"> </w:t>
      </w:r>
      <w:r w:rsidRPr="00031AE3">
        <w:rPr>
          <w:rFonts w:ascii="Book Antiqua" w:eastAsia="Book Antiqua" w:hAnsi="Book Antiqua" w:cs="Book Antiqua"/>
        </w:rPr>
        <w:t>pancreatitis, hyperlipemia</w:t>
      </w:r>
      <w:r w:rsidR="00BC7B40" w:rsidRPr="00031AE3">
        <w:rPr>
          <w:rFonts w:ascii="Book Antiqua" w:eastAsia="Book Antiqua" w:hAnsi="Book Antiqua" w:cs="Book Antiqua"/>
        </w:rPr>
        <w:t xml:space="preserve"> </w:t>
      </w:r>
      <w:r w:rsidRPr="00031AE3">
        <w:rPr>
          <w:rFonts w:ascii="Book Antiqua" w:eastAsia="Book Antiqua" w:hAnsi="Book Antiqua" w:cs="Book Antiqua"/>
        </w:rPr>
        <w:t>and pseudoerythrocytosis</w:t>
      </w:r>
      <w:r w:rsidR="00BC7B40" w:rsidRPr="00031AE3">
        <w:rPr>
          <w:rFonts w:ascii="Book Antiqua" w:eastAsia="Book Antiqua" w:hAnsi="Book Antiqua" w:cs="Book Antiqua"/>
        </w:rPr>
        <w:t xml:space="preserve"> </w:t>
      </w:r>
      <w:r w:rsidRPr="00031AE3">
        <w:rPr>
          <w:rFonts w:ascii="Book Antiqua" w:eastAsia="Book Antiqua" w:hAnsi="Book Antiqua" w:cs="Book Antiqua"/>
        </w:rPr>
        <w:t>was made, he was transferred to the gastroenterology</w:t>
      </w:r>
      <w:r w:rsidR="00BC7B40" w:rsidRPr="00031AE3">
        <w:rPr>
          <w:rFonts w:ascii="Book Antiqua" w:eastAsia="Book Antiqua" w:hAnsi="Book Antiqua" w:cs="Book Antiqua"/>
        </w:rPr>
        <w:t xml:space="preserve"> </w:t>
      </w:r>
      <w:r w:rsidRPr="00031AE3">
        <w:rPr>
          <w:rFonts w:ascii="Book Antiqua" w:eastAsia="Book Antiqua" w:hAnsi="Book Antiqua" w:cs="Book Antiqua"/>
        </w:rPr>
        <w:t>department and was treated for his pancreatitis</w:t>
      </w:r>
      <w:r w:rsidR="00BC7B40" w:rsidRPr="00031AE3">
        <w:rPr>
          <w:rFonts w:ascii="Book Antiqua" w:eastAsia="Book Antiqua" w:hAnsi="Book Antiqua" w:cs="Book Antiqua"/>
        </w:rPr>
        <w:t xml:space="preserve"> </w:t>
      </w:r>
      <w:r w:rsidRPr="00031AE3">
        <w:rPr>
          <w:rFonts w:ascii="Book Antiqua" w:eastAsia="Book Antiqua" w:hAnsi="Book Antiqua" w:cs="Book Antiqua"/>
        </w:rPr>
        <w:t xml:space="preserve">according to </w:t>
      </w:r>
      <w:r w:rsidR="00BC7B40" w:rsidRPr="00031AE3">
        <w:rPr>
          <w:rFonts w:ascii="Book Antiqua" w:eastAsia="Book Antiqua" w:hAnsi="Book Antiqua" w:cs="Book Antiqua"/>
        </w:rPr>
        <w:t>g</w:t>
      </w:r>
      <w:r w:rsidRPr="00031AE3">
        <w:rPr>
          <w:rFonts w:ascii="Book Antiqua" w:eastAsia="Book Antiqua" w:hAnsi="Book Antiqua" w:cs="Book Antiqua"/>
        </w:rPr>
        <w:t>uidelines for diagnosis and treatment of chronic pancreatitis</w:t>
      </w:r>
      <w:r w:rsidRPr="00031AE3">
        <w:rPr>
          <w:rFonts w:ascii="Book Antiqua" w:eastAsia="Book Antiqua" w:hAnsi="Book Antiqua" w:cs="Book Antiqua"/>
          <w:b/>
          <w:bCs/>
          <w:i/>
          <w:iCs/>
        </w:rPr>
        <w:t xml:space="preserve"> </w:t>
      </w:r>
      <w:r w:rsidRPr="00031AE3">
        <w:rPr>
          <w:rFonts w:ascii="Book Antiqua" w:eastAsia="Book Antiqua" w:hAnsi="Book Antiqua" w:cs="Book Antiqua"/>
        </w:rPr>
        <w:t>(Nanjing, 2018).</w:t>
      </w:r>
    </w:p>
    <w:p w14:paraId="36F7B49F" w14:textId="77777777" w:rsidR="00A77B3E" w:rsidRPr="00031AE3" w:rsidRDefault="00A77B3E" w:rsidP="00031AE3">
      <w:pPr>
        <w:snapToGrid w:val="0"/>
        <w:spacing w:line="360" w:lineRule="auto"/>
        <w:jc w:val="both"/>
      </w:pPr>
    </w:p>
    <w:p w14:paraId="57D914BF"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OUTCOME AND FOLLOW-UP</w:t>
      </w:r>
    </w:p>
    <w:p w14:paraId="3DFDCD30" w14:textId="412761A9" w:rsidR="00A77B3E" w:rsidRPr="00031AE3" w:rsidRDefault="008F2500" w:rsidP="00031AE3">
      <w:pPr>
        <w:snapToGrid w:val="0"/>
        <w:spacing w:line="360" w:lineRule="auto"/>
        <w:jc w:val="both"/>
      </w:pPr>
      <w:r w:rsidRPr="00031AE3">
        <w:rPr>
          <w:rFonts w:ascii="Book Antiqua" w:eastAsia="Book Antiqua" w:hAnsi="Book Antiqua" w:cs="Book Antiqua"/>
        </w:rPr>
        <w:t>This patient was treated in the gastroenterology</w:t>
      </w:r>
      <w:r w:rsidR="00BC7B40" w:rsidRPr="00031AE3">
        <w:rPr>
          <w:rFonts w:ascii="Book Antiqua" w:eastAsia="Book Antiqua" w:hAnsi="Book Antiqua" w:cs="Book Antiqua"/>
        </w:rPr>
        <w:t xml:space="preserve"> </w:t>
      </w:r>
      <w:r w:rsidRPr="00031AE3">
        <w:rPr>
          <w:rFonts w:ascii="Book Antiqua" w:eastAsia="Book Antiqua" w:hAnsi="Book Antiqua" w:cs="Book Antiqua"/>
        </w:rPr>
        <w:t>department</w:t>
      </w:r>
      <w:r w:rsidR="00BC7B40" w:rsidRPr="00031AE3">
        <w:rPr>
          <w:rFonts w:ascii="Book Antiqua" w:eastAsia="Book Antiqua" w:hAnsi="Book Antiqua" w:cs="Book Antiqua"/>
        </w:rPr>
        <w:t xml:space="preserve"> </w:t>
      </w:r>
      <w:r w:rsidRPr="00031AE3">
        <w:rPr>
          <w:rFonts w:ascii="Book Antiqua" w:eastAsia="Book Antiqua" w:hAnsi="Book Antiqua" w:cs="Book Antiqua"/>
        </w:rPr>
        <w:t>for his pancreatitis, and the serum level of TGs,</w:t>
      </w:r>
      <w:r w:rsidR="00BC7B40" w:rsidRPr="00031AE3">
        <w:rPr>
          <w:rFonts w:ascii="Book Antiqua" w:eastAsia="Book Antiqua" w:hAnsi="Book Antiqua" w:cs="Book Antiqua"/>
        </w:rPr>
        <w:t xml:space="preserve"> </w:t>
      </w:r>
      <w:r w:rsidRPr="00031AE3">
        <w:rPr>
          <w:rFonts w:ascii="Book Antiqua" w:eastAsia="Book Antiqua" w:hAnsi="Book Antiqua" w:cs="Book Antiqua"/>
        </w:rPr>
        <w:t>TC</w:t>
      </w:r>
      <w:r w:rsidR="0057058E" w:rsidRPr="00031AE3">
        <w:rPr>
          <w:rFonts w:ascii="Book Antiqua" w:eastAsia="Book Antiqua" w:hAnsi="Book Antiqua" w:cs="Book Antiqua"/>
        </w:rPr>
        <w:t>,</w:t>
      </w:r>
      <w:r w:rsidRPr="00031AE3">
        <w:rPr>
          <w:rFonts w:ascii="Book Antiqua" w:eastAsia="Book Antiqua" w:hAnsi="Book Antiqua" w:cs="Book Antiqua"/>
        </w:rPr>
        <w:t xml:space="preserve"> and</w:t>
      </w:r>
      <w:r w:rsidR="00BC7B40" w:rsidRPr="00031AE3">
        <w:rPr>
          <w:rFonts w:ascii="Book Antiqua" w:eastAsia="Book Antiqua" w:hAnsi="Book Antiqua" w:cs="Book Antiqua"/>
        </w:rPr>
        <w:t xml:space="preserve"> </w:t>
      </w:r>
      <w:r w:rsidRPr="00031AE3">
        <w:rPr>
          <w:rFonts w:ascii="Book Antiqua" w:eastAsia="Book Antiqua" w:hAnsi="Book Antiqua" w:cs="Book Antiqua"/>
        </w:rPr>
        <w:t>LDL</w:t>
      </w:r>
      <w:r w:rsidR="00BC7B40" w:rsidRPr="00031AE3">
        <w:rPr>
          <w:rFonts w:ascii="Book Antiqua" w:eastAsia="Book Antiqua" w:hAnsi="Book Antiqua" w:cs="Book Antiqua"/>
        </w:rPr>
        <w:t xml:space="preserve"> </w:t>
      </w:r>
      <w:r w:rsidRPr="00031AE3">
        <w:rPr>
          <w:rFonts w:ascii="Book Antiqua" w:eastAsia="Book Antiqua" w:hAnsi="Book Antiqua" w:cs="Book Antiqua"/>
        </w:rPr>
        <w:t>gradually decreased.</w:t>
      </w:r>
      <w:r w:rsidR="00BC7B40" w:rsidRPr="00031AE3">
        <w:rPr>
          <w:rFonts w:ascii="Book Antiqua" w:eastAsia="Book Antiqua" w:hAnsi="Book Antiqua" w:cs="Book Antiqua"/>
        </w:rPr>
        <w:t xml:space="preserve"> </w:t>
      </w:r>
      <w:r w:rsidRPr="00031AE3">
        <w:rPr>
          <w:rFonts w:ascii="Book Antiqua" w:eastAsia="Book Antiqua" w:hAnsi="Book Antiqua" w:cs="Book Antiqua"/>
        </w:rPr>
        <w:t>Along with the decreasing serum level of TGs</w:t>
      </w:r>
      <w:r w:rsidR="0050781F" w:rsidRPr="00031AE3">
        <w:rPr>
          <w:rFonts w:ascii="Book Antiqua" w:eastAsia="Book Antiqua" w:hAnsi="Book Antiqua" w:cs="Book Antiqua"/>
        </w:rPr>
        <w:t>,</w:t>
      </w:r>
      <w:r w:rsidR="00BC7B40" w:rsidRPr="00031AE3">
        <w:rPr>
          <w:rFonts w:ascii="Book Antiqua" w:eastAsia="Book Antiqua" w:hAnsi="Book Antiqua" w:cs="Book Antiqua"/>
        </w:rPr>
        <w:t xml:space="preserve"> </w:t>
      </w:r>
      <w:r w:rsidRPr="00031AE3">
        <w:rPr>
          <w:rFonts w:ascii="Book Antiqua" w:eastAsia="Book Antiqua" w:hAnsi="Book Antiqua" w:cs="Book Antiqua"/>
        </w:rPr>
        <w:t>TC</w:t>
      </w:r>
      <w:r w:rsidR="0057058E" w:rsidRPr="00031AE3">
        <w:rPr>
          <w:rFonts w:ascii="Book Antiqua" w:eastAsia="Book Antiqua" w:hAnsi="Book Antiqua" w:cs="Book Antiqua"/>
        </w:rPr>
        <w:t>,</w:t>
      </w:r>
      <w:r w:rsidRPr="00031AE3">
        <w:rPr>
          <w:rFonts w:ascii="Book Antiqua" w:eastAsia="Book Antiqua" w:hAnsi="Book Antiqua" w:cs="Book Antiqua"/>
        </w:rPr>
        <w:t xml:space="preserve"> and</w:t>
      </w:r>
      <w:r w:rsidR="00BC7B40" w:rsidRPr="00031AE3">
        <w:rPr>
          <w:rFonts w:ascii="Book Antiqua" w:eastAsia="Book Antiqua" w:hAnsi="Book Antiqua" w:cs="Book Antiqua"/>
        </w:rPr>
        <w:t xml:space="preserve"> </w:t>
      </w:r>
      <w:r w:rsidRPr="00031AE3">
        <w:rPr>
          <w:rFonts w:ascii="Book Antiqua" w:eastAsia="Book Antiqua" w:hAnsi="Book Antiqua" w:cs="Book Antiqua"/>
        </w:rPr>
        <w:t>LDL, the results of CBC examination w</w:t>
      </w:r>
      <w:r w:rsidR="00BC7B40" w:rsidRPr="00031AE3">
        <w:rPr>
          <w:rFonts w:ascii="Book Antiqua" w:eastAsia="Book Antiqua" w:hAnsi="Book Antiqua" w:cs="Book Antiqua"/>
        </w:rPr>
        <w:t>ere</w:t>
      </w:r>
      <w:r w:rsidRPr="00031AE3">
        <w:rPr>
          <w:rFonts w:ascii="Book Antiqua" w:eastAsia="Book Antiqua" w:hAnsi="Book Antiqua" w:cs="Book Antiqua"/>
        </w:rPr>
        <w:t xml:space="preserve"> normalized with the exception of a mild anemia.</w:t>
      </w:r>
    </w:p>
    <w:p w14:paraId="4CB57032" w14:textId="77777777" w:rsidR="00A77B3E" w:rsidRPr="00031AE3" w:rsidRDefault="00A77B3E" w:rsidP="00031AE3">
      <w:pPr>
        <w:snapToGrid w:val="0"/>
        <w:spacing w:line="360" w:lineRule="auto"/>
        <w:jc w:val="both"/>
      </w:pPr>
    </w:p>
    <w:p w14:paraId="679E0C1F"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DISCUSSION</w:t>
      </w:r>
    </w:p>
    <w:p w14:paraId="0AF532D7" w14:textId="107AD529" w:rsidR="00BC7B40" w:rsidRPr="00031AE3" w:rsidRDefault="00BC7B40" w:rsidP="00031AE3">
      <w:pPr>
        <w:snapToGrid w:val="0"/>
        <w:spacing w:line="360" w:lineRule="auto"/>
        <w:jc w:val="both"/>
      </w:pPr>
      <w:r w:rsidRPr="00031AE3">
        <w:rPr>
          <w:rFonts w:ascii="Book Antiqua" w:eastAsia="Book Antiqua" w:hAnsi="Book Antiqua" w:cs="Book Antiqua"/>
        </w:rPr>
        <w:lastRenderedPageBreak/>
        <w:t xml:space="preserve">MPNs, including chronic myelogenous leukemia, 8P11 myeloproliferative syndrome, chronic eosinophilic leukemia, </w:t>
      </w:r>
      <w:r w:rsidR="000B07EB" w:rsidRPr="00031AE3">
        <w:rPr>
          <w:rFonts w:ascii="Book Antiqua" w:eastAsia="Book Antiqua" w:hAnsi="Book Antiqua" w:cs="Book Antiqua"/>
        </w:rPr>
        <w:t>p</w:t>
      </w:r>
      <w:r w:rsidRPr="00031AE3">
        <w:rPr>
          <w:rFonts w:ascii="Book Antiqua" w:eastAsia="Book Antiqua" w:hAnsi="Book Antiqua" w:cs="Book Antiqua"/>
        </w:rPr>
        <w:t xml:space="preserve">olycythemia vera (PV), essential thrombocythemia, </w:t>
      </w:r>
      <w:r w:rsidR="000B07EB" w:rsidRPr="00031AE3">
        <w:rPr>
          <w:rFonts w:ascii="Book Antiqua" w:eastAsia="Book Antiqua" w:hAnsi="Book Antiqua" w:cs="Book Antiqua"/>
        </w:rPr>
        <w:t>p</w:t>
      </w:r>
      <w:r w:rsidRPr="00031AE3">
        <w:rPr>
          <w:rFonts w:ascii="Book Antiqua" w:eastAsia="Book Antiqua" w:hAnsi="Book Antiqua" w:cs="Book Antiqua"/>
        </w:rPr>
        <w:t xml:space="preserve">rimary myelofibrosis, </w:t>
      </w:r>
      <w:r w:rsidR="000B07EB" w:rsidRPr="00031AE3">
        <w:rPr>
          <w:rFonts w:ascii="Book Antiqua" w:eastAsia="Book Antiqua" w:hAnsi="Book Antiqua" w:cs="Book Antiqua"/>
        </w:rPr>
        <w:t>c</w:t>
      </w:r>
      <w:r w:rsidRPr="00031AE3">
        <w:rPr>
          <w:rFonts w:ascii="Book Antiqua" w:eastAsia="Book Antiqua" w:hAnsi="Book Antiqua" w:cs="Book Antiqua"/>
        </w:rPr>
        <w:t>hronic neutrophilic leukemia, systemic mastocytosis</w:t>
      </w:r>
      <w:r w:rsidR="0057058E" w:rsidRPr="00031AE3">
        <w:rPr>
          <w:rFonts w:ascii="Book Antiqua" w:eastAsia="Book Antiqua" w:hAnsi="Book Antiqua" w:cs="Book Antiqua"/>
        </w:rPr>
        <w:t>,</w:t>
      </w:r>
      <w:r w:rsidR="000B07EB" w:rsidRPr="00031AE3">
        <w:rPr>
          <w:rFonts w:ascii="Book Antiqua" w:eastAsia="Book Antiqua" w:hAnsi="Book Antiqua" w:cs="Book Antiqua"/>
        </w:rPr>
        <w:t xml:space="preserve"> </w:t>
      </w:r>
      <w:r w:rsidRPr="00031AE3">
        <w:rPr>
          <w:rFonts w:ascii="Book Antiqua" w:eastAsia="Book Antiqua" w:hAnsi="Book Antiqua" w:cs="Book Antiqua"/>
        </w:rPr>
        <w:t>and chronic basophilic leukemia, are clonal diseases resulting from the uncontrolled proliferation</w:t>
      </w:r>
      <w:r w:rsidR="000B07EB" w:rsidRPr="00031AE3">
        <w:rPr>
          <w:rFonts w:ascii="Book Antiqua" w:eastAsia="Book Antiqua" w:hAnsi="Book Antiqua" w:cs="Book Antiqua"/>
        </w:rPr>
        <w:t xml:space="preserve"> </w:t>
      </w:r>
      <w:r w:rsidRPr="00031AE3">
        <w:rPr>
          <w:rFonts w:ascii="Book Antiqua" w:eastAsia="Book Antiqua" w:hAnsi="Book Antiqua" w:cs="Book Antiqua"/>
        </w:rPr>
        <w:t>of hematopoietic stem and progenitor cells without obvious differential arrest and dysplasia, leading to the hypercellular</w:t>
      </w:r>
      <w:r w:rsidR="000B07EB" w:rsidRPr="00031AE3">
        <w:rPr>
          <w:rFonts w:ascii="Book Antiqua" w:eastAsia="Book Antiqua" w:hAnsi="Book Antiqua" w:cs="Book Antiqua"/>
        </w:rPr>
        <w:t xml:space="preserve"> </w:t>
      </w:r>
      <w:r w:rsidRPr="00031AE3">
        <w:rPr>
          <w:rFonts w:ascii="Book Antiqua" w:eastAsia="Book Antiqua" w:hAnsi="Book Antiqua" w:cs="Book Antiqua"/>
        </w:rPr>
        <w:t>BM</w:t>
      </w:r>
      <w:r w:rsidR="000B07EB" w:rsidRPr="00031AE3">
        <w:rPr>
          <w:rFonts w:ascii="Book Antiqua" w:eastAsia="Book Antiqua" w:hAnsi="Book Antiqua" w:cs="Book Antiqua"/>
        </w:rPr>
        <w:t xml:space="preserve"> </w:t>
      </w:r>
      <w:r w:rsidRPr="00031AE3">
        <w:rPr>
          <w:rFonts w:ascii="Book Antiqua" w:eastAsia="Book Antiqua" w:hAnsi="Book Antiqua" w:cs="Book Antiqua"/>
        </w:rPr>
        <w:t xml:space="preserve">and the increased periphery blood (PB) cell counts. Diagnosis and classification of MPNs are primarily based on the morphological examination of the BM and PB cells. These seemingly normal-appearance blood cells are caused by gain of function reciprocal translocations and mutations in genes encoding receptor tyrosine kinases or their </w:t>
      </w:r>
      <w:r w:rsidR="00B745C7" w:rsidRPr="00031AE3">
        <w:rPr>
          <w:rFonts w:ascii="Book Antiqua" w:eastAsia="Book Antiqua" w:hAnsi="Book Antiqua" w:cs="Book Antiqua"/>
        </w:rPr>
        <w:t>c-Jun N-terminal kinase</w:t>
      </w:r>
      <w:r w:rsidR="0057058E" w:rsidRPr="00031AE3">
        <w:rPr>
          <w:rFonts w:ascii="Book Antiqua" w:eastAsia="Book Antiqua" w:hAnsi="Book Antiqua" w:cs="Book Antiqua"/>
        </w:rPr>
        <w:t>-signal transducer and activator of transcription (</w:t>
      </w:r>
      <w:r w:rsidRPr="00031AE3">
        <w:rPr>
          <w:rFonts w:ascii="Book Antiqua" w:eastAsia="Book Antiqua" w:hAnsi="Book Antiqua" w:cs="Book Antiqua"/>
        </w:rPr>
        <w:t>JNK-STAT</w:t>
      </w:r>
      <w:r w:rsidR="0057058E" w:rsidRPr="00031AE3">
        <w:rPr>
          <w:rFonts w:ascii="Book Antiqua" w:eastAsia="Book Antiqua" w:hAnsi="Book Antiqua" w:cs="Book Antiqua"/>
        </w:rPr>
        <w:t>)</w:t>
      </w:r>
      <w:r w:rsidR="000B07EB" w:rsidRPr="00031AE3">
        <w:rPr>
          <w:rFonts w:ascii="Book Antiqua" w:eastAsia="Book Antiqua" w:hAnsi="Book Antiqua" w:cs="Book Antiqua"/>
        </w:rPr>
        <w:t>-</w:t>
      </w:r>
      <w:r w:rsidRPr="00031AE3">
        <w:rPr>
          <w:rFonts w:ascii="Book Antiqua" w:eastAsia="Book Antiqua" w:hAnsi="Book Antiqua" w:cs="Book Antiqua"/>
        </w:rPr>
        <w:t xml:space="preserve">associated signal pathway components. </w:t>
      </w:r>
      <w:r w:rsidR="0057058E" w:rsidRPr="00031AE3">
        <w:rPr>
          <w:rFonts w:ascii="Book Antiqua" w:eastAsia="Book Antiqua" w:hAnsi="Book Antiqua" w:cs="Book Antiqua"/>
        </w:rPr>
        <w:t>C</w:t>
      </w:r>
      <w:r w:rsidRPr="00031AE3">
        <w:rPr>
          <w:rFonts w:ascii="Book Antiqua" w:eastAsia="Book Antiqua" w:hAnsi="Book Antiqua" w:cs="Book Antiqua"/>
        </w:rPr>
        <w:t xml:space="preserve">onstitutive activation of </w:t>
      </w:r>
      <w:r w:rsidR="0057058E" w:rsidRPr="00031AE3">
        <w:rPr>
          <w:rFonts w:ascii="Book Antiqua" w:eastAsia="Book Antiqua" w:hAnsi="Book Antiqua" w:cs="Book Antiqua"/>
        </w:rPr>
        <w:t xml:space="preserve">the </w:t>
      </w:r>
      <w:r w:rsidRPr="00031AE3">
        <w:rPr>
          <w:rFonts w:ascii="Book Antiqua" w:eastAsia="Book Antiqua" w:hAnsi="Book Antiqua" w:cs="Book Antiqua"/>
        </w:rPr>
        <w:t>JNK-STAT signal</w:t>
      </w:r>
      <w:r w:rsidR="0057058E" w:rsidRPr="00031AE3">
        <w:rPr>
          <w:rFonts w:ascii="Book Antiqua" w:eastAsia="Book Antiqua" w:hAnsi="Book Antiqua" w:cs="Book Antiqua"/>
        </w:rPr>
        <w:t>ing</w:t>
      </w:r>
      <w:r w:rsidRPr="00031AE3">
        <w:rPr>
          <w:rFonts w:ascii="Book Antiqua" w:eastAsia="Book Antiqua" w:hAnsi="Book Antiqua" w:cs="Book Antiqua"/>
        </w:rPr>
        <w:t xml:space="preserve"> pathway </w:t>
      </w:r>
      <w:r w:rsidR="0057058E" w:rsidRPr="00031AE3">
        <w:rPr>
          <w:rFonts w:ascii="Book Antiqua" w:eastAsia="Book Antiqua" w:hAnsi="Book Antiqua" w:cs="Book Antiqua"/>
        </w:rPr>
        <w:t xml:space="preserve">is </w:t>
      </w:r>
      <w:r w:rsidRPr="00031AE3">
        <w:rPr>
          <w:rFonts w:ascii="Book Antiqua" w:eastAsia="Book Antiqua" w:hAnsi="Book Antiqua" w:cs="Book Antiqua"/>
        </w:rPr>
        <w:t xml:space="preserve">responsible for excessive and autonomous blood cell </w:t>
      </w:r>
      <w:proofErr w:type="gramStart"/>
      <w:r w:rsidRPr="00031AE3">
        <w:rPr>
          <w:rFonts w:ascii="Book Antiqua" w:eastAsia="Book Antiqua" w:hAnsi="Book Antiqua" w:cs="Book Antiqua"/>
        </w:rPr>
        <w:t>production</w:t>
      </w:r>
      <w:r w:rsidRPr="00031AE3">
        <w:rPr>
          <w:rFonts w:ascii="Book Antiqua" w:eastAsia="Book Antiqua" w:hAnsi="Book Antiqua" w:cs="Book Antiqua"/>
          <w:vertAlign w:val="superscript"/>
        </w:rPr>
        <w:t>[</w:t>
      </w:r>
      <w:proofErr w:type="gramEnd"/>
      <w:r w:rsidRPr="00031AE3">
        <w:rPr>
          <w:rFonts w:ascii="Book Antiqua" w:eastAsia="Book Antiqua" w:hAnsi="Book Antiqua" w:cs="Book Antiqua"/>
          <w:vertAlign w:val="superscript"/>
        </w:rPr>
        <w:t>1-3]</w:t>
      </w:r>
      <w:r w:rsidRPr="00031AE3">
        <w:rPr>
          <w:rFonts w:ascii="Book Antiqua" w:eastAsia="Book Antiqua" w:hAnsi="Book Antiqua" w:cs="Book Antiqua"/>
        </w:rPr>
        <w:t xml:space="preserve">. MPN-associated fusion genes caused by the recurrent rearrangements frequently </w:t>
      </w:r>
      <w:r w:rsidR="00B5476F" w:rsidRPr="00031AE3">
        <w:rPr>
          <w:rFonts w:ascii="Book Antiqua" w:eastAsia="Book Antiqua" w:hAnsi="Book Antiqua" w:cs="Book Antiqua"/>
        </w:rPr>
        <w:t>involved</w:t>
      </w:r>
      <w:r w:rsidR="0057058E" w:rsidRPr="00031AE3">
        <w:rPr>
          <w:rFonts w:ascii="Book Antiqua" w:eastAsia="Book Antiqua" w:hAnsi="Book Antiqua" w:cs="Book Antiqua"/>
        </w:rPr>
        <w:t xml:space="preserve"> </w:t>
      </w:r>
      <w:r w:rsidRPr="00031AE3">
        <w:rPr>
          <w:rFonts w:ascii="Book Antiqua" w:eastAsia="Book Antiqua" w:hAnsi="Book Antiqua" w:cs="Book Antiqua"/>
        </w:rPr>
        <w:t xml:space="preserve">the genes </w:t>
      </w:r>
      <w:r w:rsidR="0057058E" w:rsidRPr="006529DD">
        <w:rPr>
          <w:rFonts w:ascii="Book Antiqua" w:eastAsia="Book Antiqua" w:hAnsi="Book Antiqua" w:cs="Book Antiqua"/>
        </w:rPr>
        <w:t>ABL1</w:t>
      </w:r>
      <w:r w:rsidRPr="00031AE3">
        <w:rPr>
          <w:rFonts w:ascii="Book Antiqua" w:eastAsia="Book Antiqua" w:hAnsi="Book Antiqua" w:cs="Book Antiqua"/>
        </w:rPr>
        <w:t>,</w:t>
      </w:r>
      <w:r w:rsidR="000B07EB" w:rsidRPr="00031AE3">
        <w:rPr>
          <w:rFonts w:ascii="Book Antiqua" w:eastAsia="Book Antiqua" w:hAnsi="Book Antiqua" w:cs="Book Antiqua"/>
        </w:rPr>
        <w:t xml:space="preserve"> </w:t>
      </w:r>
      <w:r w:rsidRPr="00031AE3">
        <w:rPr>
          <w:rFonts w:ascii="Book Antiqua" w:eastAsia="Book Antiqua" w:hAnsi="Book Antiqua" w:cs="Book Antiqua"/>
        </w:rPr>
        <w:t>platelet-derived growth factor receptor-</w:t>
      </w:r>
      <w:r w:rsidR="0057058E" w:rsidRPr="006529DD">
        <w:rPr>
          <w:rFonts w:ascii="Symbol" w:eastAsia="Book Antiqua" w:hAnsi="Symbol" w:cs="Book Antiqua"/>
        </w:rPr>
        <w:t></w:t>
      </w:r>
      <w:r w:rsidR="0057058E" w:rsidRPr="00031AE3">
        <w:rPr>
          <w:rFonts w:ascii="Book Antiqua" w:eastAsia="Book Antiqua" w:hAnsi="Book Antiqua" w:cs="Book Antiqua"/>
          <w:i/>
          <w:iCs/>
        </w:rPr>
        <w:t xml:space="preserve"> (</w:t>
      </w:r>
      <w:r w:rsidR="0057058E" w:rsidRPr="006529DD">
        <w:rPr>
          <w:rFonts w:ascii="Book Antiqua" w:eastAsia="Book Antiqua" w:hAnsi="Book Antiqua" w:cs="Book Antiqua"/>
        </w:rPr>
        <w:t>PDGFR-</w:t>
      </w:r>
      <w:r w:rsidR="0057058E" w:rsidRPr="006529DD">
        <w:rPr>
          <w:rFonts w:ascii="Symbol" w:eastAsia="Book Antiqua" w:hAnsi="Symbol" w:cs="Book Antiqua"/>
        </w:rPr>
        <w:t></w:t>
      </w:r>
      <w:r w:rsidRPr="00031AE3">
        <w:rPr>
          <w:rFonts w:ascii="Book Antiqua" w:eastAsia="Book Antiqua" w:hAnsi="Book Antiqua" w:cs="Book Antiqua"/>
        </w:rPr>
        <w:t>),</w:t>
      </w:r>
      <w:r w:rsidR="000B07EB" w:rsidRPr="00031AE3">
        <w:rPr>
          <w:rFonts w:ascii="Book Antiqua" w:eastAsia="Book Antiqua" w:hAnsi="Book Antiqua" w:cs="Book Antiqua"/>
        </w:rPr>
        <w:t xml:space="preserve"> </w:t>
      </w:r>
      <w:r w:rsidRPr="006529DD">
        <w:rPr>
          <w:rFonts w:ascii="Book Antiqua" w:eastAsia="Book Antiqua" w:hAnsi="Book Antiqua" w:cs="Book Antiqua"/>
        </w:rPr>
        <w:t>PDGFR-β</w:t>
      </w:r>
      <w:r w:rsidRPr="00031AE3">
        <w:rPr>
          <w:rFonts w:ascii="Book Antiqua" w:eastAsia="Book Antiqua" w:hAnsi="Book Antiqua" w:cs="Book Antiqua"/>
        </w:rPr>
        <w:t>,</w:t>
      </w:r>
      <w:r w:rsidR="000B07EB" w:rsidRPr="00031AE3">
        <w:rPr>
          <w:rFonts w:ascii="Book Antiqua" w:eastAsia="Book Antiqua" w:hAnsi="Book Antiqua" w:cs="Book Antiqua"/>
        </w:rPr>
        <w:t xml:space="preserve"> </w:t>
      </w:r>
      <w:r w:rsidRPr="00031AE3">
        <w:rPr>
          <w:rFonts w:ascii="Book Antiqua" w:eastAsia="Book Antiqua" w:hAnsi="Book Antiqua" w:cs="Book Antiqua"/>
        </w:rPr>
        <w:t>and fibroblast growth factor receptor-1, whereas MPN-associated gene mutations frequently involve</w:t>
      </w:r>
      <w:r w:rsidR="00B5476F" w:rsidRPr="00031AE3">
        <w:rPr>
          <w:rFonts w:ascii="Book Antiqua" w:eastAsia="Book Antiqua" w:hAnsi="Book Antiqua" w:cs="Book Antiqua"/>
        </w:rPr>
        <w:t>d</w:t>
      </w:r>
      <w:r w:rsidRPr="00031AE3">
        <w:rPr>
          <w:rFonts w:ascii="Book Antiqua" w:eastAsia="Book Antiqua" w:hAnsi="Book Antiqua" w:cs="Book Antiqua"/>
        </w:rPr>
        <w:t xml:space="preserve"> the genes</w:t>
      </w:r>
      <w:r w:rsidRPr="006529DD">
        <w:rPr>
          <w:rFonts w:ascii="Book Antiqua" w:eastAsia="Book Antiqua" w:hAnsi="Book Antiqua" w:cs="Book Antiqua"/>
        </w:rPr>
        <w:t xml:space="preserve"> JAK2</w:t>
      </w:r>
      <w:r w:rsidRPr="00031AE3">
        <w:rPr>
          <w:rFonts w:ascii="Book Antiqua" w:eastAsia="Book Antiqua" w:hAnsi="Book Antiqua" w:cs="Book Antiqua"/>
        </w:rPr>
        <w:t>,</w:t>
      </w:r>
      <w:r w:rsidR="000B07EB" w:rsidRPr="00031AE3">
        <w:rPr>
          <w:rFonts w:ascii="Book Antiqua" w:eastAsia="Book Antiqua" w:hAnsi="Book Antiqua" w:cs="Book Antiqua"/>
        </w:rPr>
        <w:t xml:space="preserve"> </w:t>
      </w:r>
      <w:r w:rsidRPr="006529DD">
        <w:rPr>
          <w:rFonts w:ascii="Book Antiqua" w:eastAsia="Book Antiqua" w:hAnsi="Book Antiqua" w:cs="Book Antiqua"/>
        </w:rPr>
        <w:t>CALR</w:t>
      </w:r>
      <w:r w:rsidRPr="00031AE3">
        <w:rPr>
          <w:rFonts w:ascii="Book Antiqua" w:eastAsia="Book Antiqua" w:hAnsi="Book Antiqua" w:cs="Book Antiqua"/>
          <w:i/>
          <w:iCs/>
        </w:rPr>
        <w:t>,</w:t>
      </w:r>
      <w:r w:rsidR="000B07EB" w:rsidRPr="00031AE3">
        <w:rPr>
          <w:rFonts w:ascii="Book Antiqua" w:eastAsia="Book Antiqua" w:hAnsi="Book Antiqua" w:cs="Book Antiqua"/>
          <w:i/>
          <w:iCs/>
        </w:rPr>
        <w:t xml:space="preserve"> </w:t>
      </w:r>
      <w:proofErr w:type="spellStart"/>
      <w:r w:rsidRPr="006529DD">
        <w:rPr>
          <w:rFonts w:ascii="Book Antiqua" w:eastAsia="Book Antiqua" w:hAnsi="Book Antiqua" w:cs="Book Antiqua"/>
        </w:rPr>
        <w:t>M</w:t>
      </w:r>
      <w:r w:rsidR="00B5476F" w:rsidRPr="006529DD">
        <w:rPr>
          <w:rFonts w:ascii="Book Antiqua" w:eastAsia="Book Antiqua" w:hAnsi="Book Antiqua" w:cs="Book Antiqua"/>
        </w:rPr>
        <w:t>plV</w:t>
      </w:r>
      <w:proofErr w:type="spellEnd"/>
      <w:r w:rsidRPr="00031AE3">
        <w:rPr>
          <w:rFonts w:ascii="Book Antiqua" w:eastAsia="Book Antiqua" w:hAnsi="Book Antiqua" w:cs="Book Antiqua"/>
        </w:rPr>
        <w:t xml:space="preserve">, </w:t>
      </w:r>
      <w:r w:rsidRPr="006529DD">
        <w:rPr>
          <w:rFonts w:ascii="Book Antiqua" w:eastAsia="Book Antiqua" w:hAnsi="Book Antiqua" w:cs="Book Antiqua"/>
        </w:rPr>
        <w:t>CSF3R</w:t>
      </w:r>
      <w:r w:rsidRPr="00031AE3">
        <w:rPr>
          <w:rFonts w:ascii="Book Antiqua" w:eastAsia="Book Antiqua" w:hAnsi="Book Antiqua" w:cs="Book Antiqua"/>
          <w:i/>
          <w:iCs/>
        </w:rPr>
        <w:t>,</w:t>
      </w:r>
      <w:r w:rsidR="000B07EB" w:rsidRPr="00031AE3">
        <w:rPr>
          <w:rFonts w:ascii="Book Antiqua" w:eastAsia="Book Antiqua" w:hAnsi="Book Antiqua" w:cs="Book Antiqua"/>
          <w:i/>
          <w:iCs/>
        </w:rPr>
        <w:t xml:space="preserve"> </w:t>
      </w:r>
      <w:r w:rsidRPr="00031AE3">
        <w:rPr>
          <w:rFonts w:ascii="Book Antiqua" w:eastAsia="Book Antiqua" w:hAnsi="Book Antiqua" w:cs="Book Antiqua"/>
        </w:rPr>
        <w:t xml:space="preserve">and </w:t>
      </w:r>
      <w:r w:rsidR="00D735D9" w:rsidRPr="00031AE3">
        <w:rPr>
          <w:rFonts w:ascii="Book Antiqua" w:eastAsia="Book Antiqua" w:hAnsi="Book Antiqua" w:cs="Book Antiqua"/>
        </w:rPr>
        <w:t xml:space="preserve">the </w:t>
      </w:r>
      <w:r w:rsidRPr="00031AE3">
        <w:rPr>
          <w:rFonts w:ascii="Book Antiqua" w:eastAsia="Book Antiqua" w:hAnsi="Book Antiqua" w:cs="Book Antiqua"/>
        </w:rPr>
        <w:t xml:space="preserve">stem cell growth factor receptor gene </w:t>
      </w:r>
      <w:r w:rsidRPr="006529DD">
        <w:rPr>
          <w:rFonts w:ascii="Book Antiqua" w:eastAsia="Book Antiqua" w:hAnsi="Book Antiqua" w:cs="Book Antiqua"/>
        </w:rPr>
        <w:t>CD117</w:t>
      </w:r>
      <w:r w:rsidRPr="00031AE3">
        <w:rPr>
          <w:rFonts w:ascii="Book Antiqua" w:eastAsia="Book Antiqua" w:hAnsi="Book Antiqua" w:cs="Book Antiqua"/>
          <w:vertAlign w:val="superscript"/>
        </w:rPr>
        <w:t>[1-7]</w:t>
      </w:r>
      <w:r w:rsidRPr="00031AE3">
        <w:rPr>
          <w:rFonts w:ascii="Book Antiqua" w:eastAsia="Book Antiqua" w:hAnsi="Book Antiqua" w:cs="Book Antiqua"/>
        </w:rPr>
        <w:t>.</w:t>
      </w:r>
    </w:p>
    <w:p w14:paraId="159F1177" w14:textId="035EDEDE" w:rsidR="00BC7B40" w:rsidRPr="00031AE3" w:rsidRDefault="00BC7B40" w:rsidP="00031AE3">
      <w:pPr>
        <w:snapToGrid w:val="0"/>
        <w:spacing w:line="360" w:lineRule="auto"/>
        <w:ind w:firstLineChars="100" w:firstLine="240"/>
        <w:jc w:val="both"/>
      </w:pPr>
      <w:r w:rsidRPr="00031AE3">
        <w:rPr>
          <w:rFonts w:ascii="Book Antiqua" w:eastAsia="Book Antiqua" w:hAnsi="Book Antiqua" w:cs="Book Antiqua"/>
        </w:rPr>
        <w:t>In this paper, we described a pancreatitis</w:t>
      </w:r>
      <w:r w:rsidR="000B07EB" w:rsidRPr="00031AE3">
        <w:rPr>
          <w:rFonts w:ascii="Book Antiqua" w:eastAsia="Book Antiqua" w:hAnsi="Book Antiqua" w:cs="Book Antiqua"/>
        </w:rPr>
        <w:t xml:space="preserve"> </w:t>
      </w:r>
      <w:r w:rsidRPr="00031AE3">
        <w:rPr>
          <w:rFonts w:ascii="Book Antiqua" w:eastAsia="Book Antiqua" w:hAnsi="Book Antiqua" w:cs="Book Antiqua"/>
        </w:rPr>
        <w:t>patient who was at first misdiagnosed as erythrocytosis (presumptive diagnosis of PV) because of the markedly elevated Hb level at presentation due to the mistaken readings of the ABCC in the evaluation of complete blood cells, but he was eventually diagnosed with SHLE-induced ps</w:t>
      </w:r>
      <w:r w:rsidR="00E20AF1">
        <w:rPr>
          <w:rFonts w:ascii="Book Antiqua" w:eastAsia="Book Antiqua" w:hAnsi="Book Antiqua" w:cs="Book Antiqua"/>
        </w:rPr>
        <w:t>e</w:t>
      </w:r>
      <w:r w:rsidRPr="00031AE3">
        <w:rPr>
          <w:rFonts w:ascii="Book Antiqua" w:eastAsia="Book Antiqua" w:hAnsi="Book Antiqua" w:cs="Book Antiqua"/>
        </w:rPr>
        <w:t>udoerythrocytosis. The purpose of reporting this patient and the diagnostic process is for the doctors to call attention to the comprehensive and objective evaluation of the CBC results on ABCC, especially in the setting of SHLE, a very common laboratory finding in clinical practice.</w:t>
      </w:r>
    </w:p>
    <w:p w14:paraId="1767A0D7" w14:textId="16D504C6" w:rsidR="00BC7B40" w:rsidRPr="00031AE3" w:rsidRDefault="00BC7B40" w:rsidP="00031AE3">
      <w:pPr>
        <w:snapToGrid w:val="0"/>
        <w:spacing w:line="360" w:lineRule="auto"/>
        <w:ind w:firstLineChars="100" w:firstLine="240"/>
        <w:jc w:val="both"/>
      </w:pPr>
      <w:r w:rsidRPr="00031AE3">
        <w:rPr>
          <w:rFonts w:ascii="Book Antiqua" w:eastAsia="Book Antiqua" w:hAnsi="Book Antiqua" w:cs="Book Antiqua"/>
        </w:rPr>
        <w:t xml:space="preserve">The </w:t>
      </w:r>
      <w:r w:rsidR="00D735D9" w:rsidRPr="00031AE3">
        <w:rPr>
          <w:rFonts w:ascii="Book Antiqua" w:eastAsia="Book Antiqua" w:hAnsi="Book Antiqua" w:cs="Book Antiqua"/>
        </w:rPr>
        <w:t>W</w:t>
      </w:r>
      <w:r w:rsidRPr="00031AE3">
        <w:rPr>
          <w:rFonts w:ascii="Book Antiqua" w:eastAsia="Book Antiqua" w:hAnsi="Book Antiqua" w:cs="Book Antiqua"/>
        </w:rPr>
        <w:t xml:space="preserve">orld </w:t>
      </w:r>
      <w:r w:rsidR="00D735D9" w:rsidRPr="00031AE3">
        <w:rPr>
          <w:rFonts w:ascii="Book Antiqua" w:eastAsia="Book Antiqua" w:hAnsi="Book Antiqua" w:cs="Book Antiqua"/>
        </w:rPr>
        <w:t>H</w:t>
      </w:r>
      <w:r w:rsidRPr="00031AE3">
        <w:rPr>
          <w:rFonts w:ascii="Book Antiqua" w:eastAsia="Book Antiqua" w:hAnsi="Book Antiqua" w:cs="Book Antiqua"/>
        </w:rPr>
        <w:t xml:space="preserve">ealth </w:t>
      </w:r>
      <w:r w:rsidR="00D735D9" w:rsidRPr="00031AE3">
        <w:rPr>
          <w:rFonts w:ascii="Book Antiqua" w:eastAsia="Book Antiqua" w:hAnsi="Book Antiqua" w:cs="Book Antiqua"/>
        </w:rPr>
        <w:t>O</w:t>
      </w:r>
      <w:r w:rsidRPr="00031AE3">
        <w:rPr>
          <w:rFonts w:ascii="Book Antiqua" w:eastAsia="Book Antiqua" w:hAnsi="Book Antiqua" w:cs="Book Antiqua"/>
        </w:rPr>
        <w:t>rganization diagnostic criteria for PV is based on the elevated Hb (&gt;</w:t>
      </w:r>
      <w:r w:rsidR="000B07EB" w:rsidRPr="00031AE3">
        <w:rPr>
          <w:rFonts w:ascii="Book Antiqua" w:eastAsia="Book Antiqua" w:hAnsi="Book Antiqua" w:cs="Book Antiqua"/>
        </w:rPr>
        <w:t xml:space="preserve"> </w:t>
      </w:r>
      <w:r w:rsidRPr="00031AE3">
        <w:rPr>
          <w:rFonts w:ascii="Book Antiqua" w:eastAsia="Book Antiqua" w:hAnsi="Book Antiqua" w:cs="Book Antiqua"/>
        </w:rPr>
        <w:t>16.5 g/dL in men or &gt;</w:t>
      </w:r>
      <w:r w:rsidR="000B07EB" w:rsidRPr="00031AE3">
        <w:rPr>
          <w:rFonts w:ascii="Book Antiqua" w:eastAsia="Book Antiqua" w:hAnsi="Book Antiqua" w:cs="Book Antiqua"/>
        </w:rPr>
        <w:t xml:space="preserve"> </w:t>
      </w:r>
      <w:r w:rsidRPr="00031AE3">
        <w:rPr>
          <w:rFonts w:ascii="Book Antiqua" w:eastAsia="Book Antiqua" w:hAnsi="Book Antiqua" w:cs="Book Antiqua"/>
        </w:rPr>
        <w:t>16.0 g/dL in women) or Hct (&gt;</w:t>
      </w:r>
      <w:r w:rsidR="000B07EB" w:rsidRPr="00031AE3">
        <w:rPr>
          <w:rFonts w:ascii="Book Antiqua" w:eastAsia="Book Antiqua" w:hAnsi="Book Antiqua" w:cs="Book Antiqua"/>
        </w:rPr>
        <w:t xml:space="preserve"> </w:t>
      </w:r>
      <w:r w:rsidRPr="00031AE3">
        <w:rPr>
          <w:rFonts w:ascii="Book Antiqua" w:eastAsia="Book Antiqua" w:hAnsi="Book Antiqua" w:cs="Book Antiqua"/>
        </w:rPr>
        <w:t>49% in men or &gt;</w:t>
      </w:r>
      <w:r w:rsidR="000B07EB" w:rsidRPr="00031AE3">
        <w:rPr>
          <w:rFonts w:ascii="Book Antiqua" w:eastAsia="Book Antiqua" w:hAnsi="Book Antiqua" w:cs="Book Antiqua"/>
        </w:rPr>
        <w:t xml:space="preserve"> </w:t>
      </w:r>
      <w:r w:rsidRPr="00031AE3">
        <w:rPr>
          <w:rFonts w:ascii="Book Antiqua" w:eastAsia="Book Antiqua" w:hAnsi="Book Antiqua" w:cs="Book Antiqua"/>
        </w:rPr>
        <w:t xml:space="preserve">48% in women) levels, with the prominent erythroid, granulocytic and megakaryocytic proliferation in BM biopsy, incorporating the presence of JAK2V617F or JAK2 exon 12 </w:t>
      </w:r>
      <w:r w:rsidRPr="00031AE3">
        <w:rPr>
          <w:rFonts w:ascii="Book Antiqua" w:eastAsia="Book Antiqua" w:hAnsi="Book Antiqua" w:cs="Book Antiqua"/>
        </w:rPr>
        <w:lastRenderedPageBreak/>
        <w:t>mutation</w:t>
      </w:r>
      <w:r w:rsidRPr="00031AE3">
        <w:rPr>
          <w:rFonts w:ascii="Book Antiqua" w:eastAsia="Book Antiqua" w:hAnsi="Book Antiqua" w:cs="Book Antiqua"/>
          <w:vertAlign w:val="superscript"/>
        </w:rPr>
        <w:t>[2,3]</w:t>
      </w:r>
      <w:r w:rsidRPr="00031AE3">
        <w:rPr>
          <w:rFonts w:ascii="Book Antiqua" w:eastAsia="Book Antiqua" w:hAnsi="Book Antiqua" w:cs="Book Antiqua"/>
        </w:rPr>
        <w:t>. In clinical practice, the elevated Hb level is the most commonly used parameter for the diagnosis and grading of anemia and erythrocytosis. In this patient, the markedly elevated Hb level at presentation (up to 225</w:t>
      </w:r>
      <w:r w:rsidR="000B07EB" w:rsidRPr="00031AE3">
        <w:rPr>
          <w:rFonts w:ascii="Book Antiqua" w:eastAsia="Book Antiqua" w:hAnsi="Book Antiqua" w:cs="Book Antiqua"/>
        </w:rPr>
        <w:t xml:space="preserve"> </w:t>
      </w:r>
      <w:r w:rsidRPr="00031AE3">
        <w:rPr>
          <w:rFonts w:ascii="Book Antiqua" w:eastAsia="Book Antiqua" w:hAnsi="Book Antiqua" w:cs="Book Antiqua"/>
        </w:rPr>
        <w:t>g/L</w:t>
      </w:r>
      <w:r w:rsidR="000B07EB" w:rsidRPr="00031AE3">
        <w:rPr>
          <w:rFonts w:ascii="Book Antiqua" w:eastAsia="Book Antiqua" w:hAnsi="Book Antiqua" w:cs="Book Antiqua"/>
        </w:rPr>
        <w:t xml:space="preserve"> = </w:t>
      </w:r>
      <w:r w:rsidRPr="00031AE3">
        <w:rPr>
          <w:rFonts w:ascii="Book Antiqua" w:eastAsia="Book Antiqua" w:hAnsi="Book Antiqua" w:cs="Book Antiqua"/>
        </w:rPr>
        <w:t>22.5</w:t>
      </w:r>
      <w:r w:rsidR="000B07EB" w:rsidRPr="00031AE3">
        <w:rPr>
          <w:rFonts w:ascii="Book Antiqua" w:eastAsia="Book Antiqua" w:hAnsi="Book Antiqua" w:cs="Book Antiqua"/>
        </w:rPr>
        <w:t xml:space="preserve"> </w:t>
      </w:r>
      <w:r w:rsidRPr="00031AE3">
        <w:rPr>
          <w:rFonts w:ascii="Book Antiqua" w:eastAsia="Book Antiqua" w:hAnsi="Book Antiqua" w:cs="Book Antiqua"/>
        </w:rPr>
        <w:t>g/dL) strongly indicated the possibility of the presence of PV. However, the following laboratory investigations, including morphological examination, cytogenetic and molecular analysis, did not meet criteria for the diagnosis of any kind of MPN.</w:t>
      </w:r>
    </w:p>
    <w:p w14:paraId="6900CBB6" w14:textId="11116A8E" w:rsidR="00BC7B40" w:rsidRPr="00031AE3" w:rsidRDefault="00BC7B40" w:rsidP="00031AE3">
      <w:pPr>
        <w:snapToGrid w:val="0"/>
        <w:spacing w:line="360" w:lineRule="auto"/>
        <w:ind w:firstLineChars="100" w:firstLine="240"/>
        <w:jc w:val="both"/>
      </w:pPr>
      <w:r w:rsidRPr="00031AE3">
        <w:rPr>
          <w:rFonts w:ascii="Book Antiqua" w:eastAsia="Book Antiqua" w:hAnsi="Book Antiqua" w:cs="Book Antiqua"/>
        </w:rPr>
        <w:t>The CBC profile in this patient revealed a</w:t>
      </w:r>
      <w:r w:rsidR="000B07EB" w:rsidRPr="00031AE3">
        <w:rPr>
          <w:rFonts w:ascii="Book Antiqua" w:eastAsia="Book Antiqua" w:hAnsi="Book Antiqua" w:cs="Book Antiqua"/>
        </w:rPr>
        <w:t xml:space="preserve"> </w:t>
      </w:r>
      <w:r w:rsidRPr="00031AE3">
        <w:rPr>
          <w:rFonts w:ascii="Book Antiqua" w:eastAsia="Book Antiqua" w:hAnsi="Book Antiqua" w:cs="Book Antiqua"/>
        </w:rPr>
        <w:t>noteworthy feature: WBCs, ANCs, Hb, MCH</w:t>
      </w:r>
      <w:r w:rsidR="00D735D9" w:rsidRPr="00031AE3">
        <w:rPr>
          <w:rFonts w:ascii="Book Antiqua" w:eastAsia="Book Antiqua" w:hAnsi="Book Antiqua" w:cs="Book Antiqua"/>
        </w:rPr>
        <w:t>,</w:t>
      </w:r>
      <w:r w:rsidRPr="00031AE3">
        <w:rPr>
          <w:rFonts w:ascii="Book Antiqua" w:eastAsia="Book Antiqua" w:hAnsi="Book Antiqua" w:cs="Book Antiqua"/>
        </w:rPr>
        <w:t xml:space="preserve"> and</w:t>
      </w:r>
      <w:r w:rsidR="000B07EB" w:rsidRPr="00031AE3">
        <w:rPr>
          <w:rFonts w:ascii="Book Antiqua" w:eastAsia="Book Antiqua" w:hAnsi="Book Antiqua" w:cs="Book Antiqua"/>
        </w:rPr>
        <w:t xml:space="preserve"> </w:t>
      </w:r>
      <w:r w:rsidRPr="00031AE3">
        <w:rPr>
          <w:rFonts w:ascii="Book Antiqua" w:eastAsia="Book Antiqua" w:hAnsi="Book Antiqua" w:cs="Book Antiqua"/>
        </w:rPr>
        <w:t>MCHC</w:t>
      </w:r>
      <w:r w:rsidR="000B07EB" w:rsidRPr="00031AE3">
        <w:rPr>
          <w:rFonts w:ascii="Book Antiqua" w:eastAsia="Book Antiqua" w:hAnsi="Book Antiqua" w:cs="Book Antiqua"/>
        </w:rPr>
        <w:t xml:space="preserve"> </w:t>
      </w:r>
      <w:r w:rsidRPr="00031AE3">
        <w:rPr>
          <w:rFonts w:ascii="Book Antiqua" w:eastAsia="Book Antiqua" w:hAnsi="Book Antiqua" w:cs="Book Antiqua"/>
        </w:rPr>
        <w:t>were all increased to some degree, with the presence of markedly elevated Hb</w:t>
      </w:r>
      <w:r w:rsidR="000B07EB" w:rsidRPr="00031AE3">
        <w:rPr>
          <w:rFonts w:ascii="Book Antiqua" w:eastAsia="Book Antiqua" w:hAnsi="Book Antiqua" w:cs="Book Antiqua"/>
        </w:rPr>
        <w:t xml:space="preserve"> </w:t>
      </w:r>
      <w:r w:rsidRPr="00031AE3">
        <w:rPr>
          <w:rFonts w:ascii="Book Antiqua" w:eastAsia="Book Antiqua" w:hAnsi="Book Antiqua" w:cs="Book Antiqua"/>
        </w:rPr>
        <w:t>and MCHC level</w:t>
      </w:r>
      <w:r w:rsidR="00D735D9" w:rsidRPr="00031AE3">
        <w:rPr>
          <w:rFonts w:ascii="Book Antiqua" w:eastAsia="Book Antiqua" w:hAnsi="Book Antiqua" w:cs="Book Antiqua"/>
        </w:rPr>
        <w:t>,</w:t>
      </w:r>
      <w:r w:rsidRPr="00031AE3">
        <w:rPr>
          <w:rFonts w:ascii="Book Antiqua" w:eastAsia="Book Antiqua" w:hAnsi="Book Antiqua" w:cs="Book Antiqua"/>
        </w:rPr>
        <w:t xml:space="preserve"> but the absence of a paralleled increase in RBCs</w:t>
      </w:r>
      <w:r w:rsidR="000B07EB" w:rsidRPr="00031AE3">
        <w:rPr>
          <w:rFonts w:ascii="Book Antiqua" w:eastAsia="Book Antiqua" w:hAnsi="Book Antiqua" w:cs="Book Antiqua"/>
        </w:rPr>
        <w:t xml:space="preserve"> </w:t>
      </w:r>
      <w:r w:rsidRPr="00031AE3">
        <w:rPr>
          <w:rFonts w:ascii="Book Antiqua" w:eastAsia="Book Antiqua" w:hAnsi="Book Antiqua" w:cs="Book Antiqua"/>
        </w:rPr>
        <w:t xml:space="preserve">and </w:t>
      </w:r>
      <w:proofErr w:type="spellStart"/>
      <w:r w:rsidRPr="00031AE3">
        <w:rPr>
          <w:rFonts w:ascii="Book Antiqua" w:eastAsia="Book Antiqua" w:hAnsi="Book Antiqua" w:cs="Book Antiqua"/>
        </w:rPr>
        <w:t>Hct</w:t>
      </w:r>
      <w:proofErr w:type="spellEnd"/>
      <w:r w:rsidR="000B07EB" w:rsidRPr="00031AE3">
        <w:rPr>
          <w:rFonts w:ascii="Book Antiqua" w:eastAsia="Book Antiqua" w:hAnsi="Book Antiqua" w:cs="Book Antiqua"/>
        </w:rPr>
        <w:t xml:space="preserve"> </w:t>
      </w:r>
      <w:r w:rsidR="00D735D9" w:rsidRPr="00031AE3">
        <w:rPr>
          <w:rFonts w:ascii="Book Antiqua" w:eastAsia="Book Antiqua" w:hAnsi="Book Antiqua" w:cs="Book Antiqua"/>
        </w:rPr>
        <w:t xml:space="preserve">was </w:t>
      </w:r>
      <w:r w:rsidRPr="00031AE3">
        <w:rPr>
          <w:rFonts w:ascii="Book Antiqua" w:eastAsia="Book Antiqua" w:hAnsi="Book Antiqua" w:cs="Book Antiqua"/>
        </w:rPr>
        <w:t>the most prominent feature.</w:t>
      </w:r>
      <w:r w:rsidR="000B07EB" w:rsidRPr="00031AE3">
        <w:rPr>
          <w:rFonts w:ascii="Book Antiqua" w:eastAsia="Book Antiqua" w:hAnsi="Book Antiqua" w:cs="Book Antiqua"/>
        </w:rPr>
        <w:t xml:space="preserve"> </w:t>
      </w:r>
      <w:r w:rsidRPr="00031AE3">
        <w:rPr>
          <w:rFonts w:ascii="Book Antiqua" w:eastAsia="Book Antiqua" w:hAnsi="Book Antiqua" w:cs="Book Antiqua"/>
        </w:rPr>
        <w:t>The dramatically fluctuating and obviously discrepant CBC results among Hct, RBCs, Hb, MCV, MCH, and MCHC were easily identified.</w:t>
      </w:r>
      <w:r w:rsidR="000B07EB" w:rsidRPr="00031AE3">
        <w:rPr>
          <w:rFonts w:ascii="Book Antiqua" w:eastAsia="Book Antiqua" w:hAnsi="Book Antiqua" w:cs="Book Antiqua"/>
        </w:rPr>
        <w:t xml:space="preserve"> </w:t>
      </w:r>
      <w:r w:rsidRPr="00031AE3">
        <w:rPr>
          <w:rFonts w:ascii="Book Antiqua" w:eastAsia="Book Antiqua" w:hAnsi="Book Antiqua" w:cs="Book Antiqua"/>
        </w:rPr>
        <w:t>In addition,</w:t>
      </w:r>
      <w:r w:rsidR="000B07EB" w:rsidRPr="00031AE3">
        <w:rPr>
          <w:rFonts w:ascii="Book Antiqua" w:eastAsia="Book Antiqua" w:hAnsi="Book Antiqua" w:cs="Book Antiqua"/>
        </w:rPr>
        <w:t xml:space="preserve"> </w:t>
      </w:r>
      <w:r w:rsidRPr="00031AE3">
        <w:rPr>
          <w:rFonts w:ascii="Book Antiqua" w:eastAsia="Book Antiqua" w:hAnsi="Book Antiqua" w:cs="Book Antiqua"/>
        </w:rPr>
        <w:t>there was a conspicuous chylomicron layer</w:t>
      </w:r>
      <w:r w:rsidR="000B07EB" w:rsidRPr="00031AE3">
        <w:rPr>
          <w:rFonts w:ascii="Book Antiqua" w:eastAsia="Book Antiqua" w:hAnsi="Book Antiqua" w:cs="Book Antiqua"/>
        </w:rPr>
        <w:t xml:space="preserve"> </w:t>
      </w:r>
      <w:r w:rsidRPr="00031AE3">
        <w:rPr>
          <w:rFonts w:ascii="Book Antiqua" w:eastAsia="Book Antiqua" w:hAnsi="Book Antiqua" w:cs="Book Antiqua"/>
        </w:rPr>
        <w:t>floating on the surface of the blood samples. Having noticed these, we removed</w:t>
      </w:r>
      <w:r w:rsidR="000B07EB" w:rsidRPr="00031AE3">
        <w:rPr>
          <w:rFonts w:ascii="Book Antiqua" w:eastAsia="Book Antiqua" w:hAnsi="Book Antiqua" w:cs="Book Antiqua"/>
        </w:rPr>
        <w:t xml:space="preserve"> </w:t>
      </w:r>
      <w:r w:rsidRPr="00031AE3">
        <w:rPr>
          <w:rFonts w:ascii="Book Antiqua" w:eastAsia="Book Antiqua" w:hAnsi="Book Antiqua" w:cs="Book Antiqua"/>
        </w:rPr>
        <w:t>a large part of the chylomicron layer</w:t>
      </w:r>
      <w:r w:rsidR="000B07EB" w:rsidRPr="00031AE3">
        <w:rPr>
          <w:rFonts w:ascii="Book Antiqua" w:eastAsia="Book Antiqua" w:hAnsi="Book Antiqua" w:cs="Book Antiqua"/>
        </w:rPr>
        <w:t xml:space="preserve"> </w:t>
      </w:r>
      <w:r w:rsidRPr="00031AE3">
        <w:rPr>
          <w:rFonts w:ascii="Book Antiqua" w:eastAsia="Book Antiqua" w:hAnsi="Book Antiqua" w:cs="Book Antiqua"/>
        </w:rPr>
        <w:t>and then evaluated the CBC readings. After</w:t>
      </w:r>
      <w:r w:rsidR="000B07EB" w:rsidRPr="00031AE3">
        <w:rPr>
          <w:rFonts w:ascii="Book Antiqua" w:eastAsia="Book Antiqua" w:hAnsi="Book Antiqua" w:cs="Book Antiqua"/>
        </w:rPr>
        <w:t xml:space="preserve"> </w:t>
      </w:r>
      <w:r w:rsidRPr="00031AE3">
        <w:rPr>
          <w:rFonts w:ascii="Book Antiqua" w:eastAsia="Book Antiqua" w:hAnsi="Book Antiqua" w:cs="Book Antiqua"/>
        </w:rPr>
        <w:t>removing</w:t>
      </w:r>
      <w:r w:rsidR="000B07EB" w:rsidRPr="00031AE3">
        <w:rPr>
          <w:rFonts w:ascii="Book Antiqua" w:eastAsia="Book Antiqua" w:hAnsi="Book Antiqua" w:cs="Book Antiqua"/>
        </w:rPr>
        <w:t xml:space="preserve"> </w:t>
      </w:r>
      <w:r w:rsidRPr="00031AE3">
        <w:rPr>
          <w:rFonts w:ascii="Book Antiqua" w:eastAsia="Book Antiqua" w:hAnsi="Book Antiqua" w:cs="Book Antiqua"/>
        </w:rPr>
        <w:t>a large part of the chylomicron layer, WBCs, ANC, Hb, MCH, MCHC</w:t>
      </w:r>
      <w:r w:rsidR="00863084" w:rsidRPr="00031AE3">
        <w:rPr>
          <w:rFonts w:ascii="Book Antiqua" w:eastAsia="Book Antiqua" w:hAnsi="Book Antiqua" w:cs="Book Antiqua"/>
        </w:rPr>
        <w:t>,</w:t>
      </w:r>
      <w:r w:rsidRPr="00031AE3">
        <w:rPr>
          <w:rFonts w:ascii="Book Antiqua" w:eastAsia="Book Antiqua" w:hAnsi="Book Antiqua" w:cs="Book Antiqua"/>
        </w:rPr>
        <w:t xml:space="preserve"> and </w:t>
      </w:r>
      <w:proofErr w:type="spellStart"/>
      <w:r w:rsidRPr="00031AE3">
        <w:rPr>
          <w:rFonts w:ascii="Book Antiqua" w:eastAsia="Book Antiqua" w:hAnsi="Book Antiqua" w:cs="Book Antiqua"/>
        </w:rPr>
        <w:t>Plt</w:t>
      </w:r>
      <w:proofErr w:type="spellEnd"/>
      <w:r w:rsidRPr="00031AE3">
        <w:rPr>
          <w:rFonts w:ascii="Book Antiqua" w:eastAsia="Book Antiqua" w:hAnsi="Book Antiqua" w:cs="Book Antiqua"/>
        </w:rPr>
        <w:t xml:space="preserve"> were all decreased to varying degrees. We presumed that the erythrocytosis</w:t>
      </w:r>
      <w:r w:rsidR="000B07EB" w:rsidRPr="00031AE3">
        <w:rPr>
          <w:rFonts w:ascii="Book Antiqua" w:eastAsia="Book Antiqua" w:hAnsi="Book Antiqua" w:cs="Book Antiqua"/>
        </w:rPr>
        <w:t xml:space="preserve"> </w:t>
      </w:r>
      <w:r w:rsidRPr="00031AE3">
        <w:rPr>
          <w:rFonts w:ascii="Book Antiqua" w:eastAsia="Book Antiqua" w:hAnsi="Book Antiqua" w:cs="Book Antiqua"/>
        </w:rPr>
        <w:t>was the result of fatty droplets that are mistakenly identified</w:t>
      </w:r>
      <w:r w:rsidR="000B07EB" w:rsidRPr="00031AE3">
        <w:rPr>
          <w:rFonts w:ascii="Book Antiqua" w:eastAsia="Book Antiqua" w:hAnsi="Book Antiqua" w:cs="Book Antiqua"/>
        </w:rPr>
        <w:t xml:space="preserve"> </w:t>
      </w:r>
      <w:r w:rsidRPr="00031AE3">
        <w:rPr>
          <w:rFonts w:ascii="Book Antiqua" w:eastAsia="Book Antiqua" w:hAnsi="Book Antiqua" w:cs="Book Antiqua"/>
        </w:rPr>
        <w:t>as blood cells due to the limited parameters of ABCC. So a laboratory investigation was performed by drawing</w:t>
      </w:r>
      <w:r w:rsidR="0098641A" w:rsidRPr="00031AE3">
        <w:rPr>
          <w:rFonts w:ascii="Book Antiqua" w:eastAsia="Book Antiqua" w:hAnsi="Book Antiqua" w:cs="Book Antiqua"/>
        </w:rPr>
        <w:t xml:space="preserve"> </w:t>
      </w:r>
      <w:r w:rsidRPr="00031AE3">
        <w:rPr>
          <w:rFonts w:ascii="Book Antiqua" w:eastAsia="Book Antiqua" w:hAnsi="Book Antiqua" w:cs="Book Antiqua"/>
        </w:rPr>
        <w:t>dual blood samples, measuring</w:t>
      </w:r>
      <w:r w:rsidR="0098641A" w:rsidRPr="00031AE3">
        <w:rPr>
          <w:rFonts w:ascii="Book Antiqua" w:eastAsia="Book Antiqua" w:hAnsi="Book Antiqua" w:cs="Book Antiqua"/>
        </w:rPr>
        <w:t xml:space="preserve"> </w:t>
      </w:r>
      <w:r w:rsidRPr="00031AE3">
        <w:rPr>
          <w:rFonts w:ascii="Book Antiqua" w:eastAsia="Book Antiqua" w:hAnsi="Book Antiqua" w:cs="Book Antiqua"/>
        </w:rPr>
        <w:t>them (the chylomicron layer was removed in one sample and was not in another) at the same time, and comparing</w:t>
      </w:r>
      <w:r w:rsidR="0098641A" w:rsidRPr="00031AE3">
        <w:rPr>
          <w:rFonts w:ascii="Book Antiqua" w:eastAsia="Book Antiqua" w:hAnsi="Book Antiqua" w:cs="Book Antiqua"/>
        </w:rPr>
        <w:t xml:space="preserve"> </w:t>
      </w:r>
      <w:r w:rsidRPr="00031AE3">
        <w:rPr>
          <w:rFonts w:ascii="Book Antiqua" w:eastAsia="Book Antiqua" w:hAnsi="Book Antiqua" w:cs="Book Antiqua"/>
        </w:rPr>
        <w:t>the CBC results. As we expected, there was a significant difference in the CBC results.</w:t>
      </w:r>
      <w:r w:rsidR="0098641A" w:rsidRPr="00031AE3">
        <w:rPr>
          <w:rFonts w:ascii="Book Antiqua" w:eastAsia="Book Antiqua" w:hAnsi="Book Antiqua" w:cs="Book Antiqua"/>
        </w:rPr>
        <w:t xml:space="preserve"> </w:t>
      </w:r>
      <w:r w:rsidRPr="00031AE3">
        <w:rPr>
          <w:rFonts w:ascii="Book Antiqua" w:eastAsia="Book Antiqua" w:hAnsi="Book Antiqua" w:cs="Book Antiqua"/>
        </w:rPr>
        <w:t>This laboratory investigation provided strong evidence to conform the contribution of SHLE to the markedly elevated Hb and MCHC levels in CBC examination in this patient.</w:t>
      </w:r>
    </w:p>
    <w:p w14:paraId="6AB7A4D8" w14:textId="17949941" w:rsidR="00BC7B40" w:rsidRPr="00031AE3" w:rsidRDefault="00BC7B40" w:rsidP="00031AE3">
      <w:pPr>
        <w:snapToGrid w:val="0"/>
        <w:spacing w:line="360" w:lineRule="auto"/>
        <w:ind w:firstLineChars="100" w:firstLine="240"/>
        <w:jc w:val="both"/>
      </w:pPr>
      <w:r w:rsidRPr="00031AE3">
        <w:rPr>
          <w:rFonts w:ascii="Book Antiqua" w:eastAsia="Book Antiqua" w:hAnsi="Book Antiqua" w:cs="Book Antiqua"/>
        </w:rPr>
        <w:t>Hyperlipemia, one of the essential compartment</w:t>
      </w:r>
      <w:r w:rsidR="0050781F" w:rsidRPr="00031AE3">
        <w:rPr>
          <w:rFonts w:ascii="Book Antiqua" w:eastAsia="Book Antiqua" w:hAnsi="Book Antiqua" w:cs="Book Antiqua"/>
        </w:rPr>
        <w:t>s</w:t>
      </w:r>
      <w:r w:rsidRPr="00031AE3">
        <w:rPr>
          <w:rFonts w:ascii="Book Antiqua" w:eastAsia="Book Antiqua" w:hAnsi="Book Antiqua" w:cs="Book Antiqua"/>
        </w:rPr>
        <w:t xml:space="preserve"> of metabolic syndrome, combination of genetic background and environmental factors in its pathogenesis, is a common laboratory finding in biochemical tests.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could be the complication of various diseases mainly involving diseases in the cardiovascular system, endocrine system, liver, pancreas and kidneys, in which hyperlipemia</w:t>
      </w:r>
      <w:r w:rsidR="0098641A" w:rsidRPr="00031AE3">
        <w:rPr>
          <w:rFonts w:ascii="Book Antiqua" w:eastAsia="Book Antiqua" w:hAnsi="Book Antiqua" w:cs="Book Antiqua"/>
        </w:rPr>
        <w:t xml:space="preserve"> </w:t>
      </w:r>
      <w:r w:rsidRPr="00031AE3">
        <w:rPr>
          <w:rFonts w:ascii="Book Antiqua" w:eastAsia="Book Antiqua" w:hAnsi="Book Antiqua" w:cs="Book Antiqua"/>
        </w:rPr>
        <w:t xml:space="preserve">may the consequence of metabolic abnormalities and play an essential role in the pathogenesis of targeted tissue </w:t>
      </w:r>
      <w:r w:rsidRPr="00031AE3">
        <w:rPr>
          <w:rFonts w:ascii="Book Antiqua" w:eastAsia="Book Antiqua" w:hAnsi="Book Antiqua" w:cs="Book Antiqua"/>
        </w:rPr>
        <w:lastRenderedPageBreak/>
        <w:t>damages</w:t>
      </w:r>
      <w:r w:rsidRPr="00031AE3">
        <w:rPr>
          <w:rFonts w:ascii="Book Antiqua" w:eastAsia="Book Antiqua" w:hAnsi="Book Antiqua" w:cs="Book Antiqua"/>
          <w:vertAlign w:val="superscript"/>
        </w:rPr>
        <w:t>[8-21]</w:t>
      </w:r>
      <w:r w:rsidRPr="00031AE3">
        <w:rPr>
          <w:rFonts w:ascii="Book Antiqua" w:eastAsia="Book Antiqua" w:hAnsi="Book Antiqua" w:cs="Book Antiqua"/>
        </w:rPr>
        <w:t>. In the genetically predisposed individuals, systemic inflammatory conditions and dietary regimen may be the major environmental factors to influence the lipid metabolism and insulin resistance</w:t>
      </w:r>
      <w:r w:rsidRPr="00031AE3">
        <w:rPr>
          <w:rFonts w:ascii="Book Antiqua" w:eastAsia="Book Antiqua" w:hAnsi="Book Antiqua" w:cs="Book Antiqua"/>
          <w:vertAlign w:val="superscript"/>
        </w:rPr>
        <w:t>[22-27]</w:t>
      </w:r>
      <w:r w:rsidRPr="00031AE3">
        <w:rPr>
          <w:rFonts w:ascii="Book Antiqua" w:eastAsia="Book Antiqua" w:hAnsi="Book Antiqua" w:cs="Book Antiqua"/>
        </w:rPr>
        <w:t>.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sometimes occurs in the natural history or in the treatment of certain hematological diseases, such as in tyrosine kinase inhibitor</w:t>
      </w:r>
      <w:r w:rsidR="0098641A" w:rsidRPr="00031AE3">
        <w:rPr>
          <w:rFonts w:ascii="Book Antiqua" w:eastAsia="Book Antiqua" w:hAnsi="Book Antiqua" w:cs="Book Antiqua"/>
        </w:rPr>
        <w:t xml:space="preserve"> </w:t>
      </w:r>
      <w:r w:rsidRPr="00031AE3">
        <w:rPr>
          <w:rFonts w:ascii="Book Antiqua" w:eastAsia="Book Antiqua" w:hAnsi="Book Antiqua" w:cs="Book Antiqua"/>
        </w:rPr>
        <w:t>treatment for patients with MPNs, retinoic acid treatment for patients with acute promyelocytic leukemia</w:t>
      </w:r>
      <w:r w:rsidR="0098641A" w:rsidRPr="00031AE3">
        <w:rPr>
          <w:rFonts w:ascii="Book Antiqua" w:eastAsia="Book Antiqua" w:hAnsi="Book Antiqua" w:cs="Book Antiqua"/>
        </w:rPr>
        <w:t xml:space="preserve"> </w:t>
      </w:r>
      <w:r w:rsidRPr="00031AE3">
        <w:rPr>
          <w:rFonts w:ascii="Book Antiqua" w:eastAsia="Book Antiqua" w:hAnsi="Book Antiqua" w:cs="Book Antiqua"/>
        </w:rPr>
        <w:t>and</w:t>
      </w:r>
      <w:r w:rsidR="0098641A" w:rsidRPr="00031AE3">
        <w:rPr>
          <w:rFonts w:ascii="Book Antiqua" w:eastAsia="Book Antiqua" w:hAnsi="Book Antiqua" w:cs="Book Antiqua"/>
        </w:rPr>
        <w:t xml:space="preserve"> </w:t>
      </w:r>
      <w:r w:rsidRPr="00031AE3">
        <w:rPr>
          <w:rFonts w:ascii="Book Antiqua" w:eastAsia="Book Antiqua" w:hAnsi="Book Antiqua" w:cs="Book Antiqua"/>
        </w:rPr>
        <w:t>L-asparaginase treatment for patients with acute lymphoblastic leukemia</w:t>
      </w:r>
      <w:r w:rsidRPr="00031AE3">
        <w:rPr>
          <w:rFonts w:ascii="Book Antiqua" w:eastAsia="Book Antiqua" w:hAnsi="Book Antiqua" w:cs="Book Antiqua"/>
          <w:vertAlign w:val="superscript"/>
        </w:rPr>
        <w:t>[28-32]</w:t>
      </w:r>
      <w:r w:rsidRPr="00031AE3">
        <w:rPr>
          <w:rFonts w:ascii="Book Antiqua" w:eastAsia="Book Antiqua" w:hAnsi="Book Antiqua" w:cs="Book Antiqua"/>
        </w:rPr>
        <w:t>.</w:t>
      </w:r>
      <w:r w:rsidR="0098641A" w:rsidRPr="00031AE3">
        <w:rPr>
          <w:rFonts w:ascii="Book Antiqua" w:eastAsia="Book Antiqua" w:hAnsi="Book Antiqua" w:cs="Book Antiqua"/>
        </w:rPr>
        <w:t xml:space="preserve"> </w:t>
      </w:r>
      <w:r w:rsidRPr="00031AE3">
        <w:rPr>
          <w:rFonts w:ascii="Book Antiqua" w:eastAsia="Book Antiqua" w:hAnsi="Book Antiqua" w:cs="Book Antiqua"/>
        </w:rPr>
        <w:t>It is well known that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have an unexpected impact on many kinds of laboratory tests, making the diagnostic process more complicated and perplexed.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may also affect the CBC results on the ABCC.</w:t>
      </w:r>
    </w:p>
    <w:p w14:paraId="6FD6CDCB" w14:textId="64317D0F" w:rsidR="00BC7B40" w:rsidRPr="00031AE3" w:rsidRDefault="00CA36BA" w:rsidP="00031AE3">
      <w:pPr>
        <w:snapToGrid w:val="0"/>
        <w:spacing w:line="360" w:lineRule="auto"/>
        <w:ind w:firstLineChars="100" w:firstLine="240"/>
        <w:jc w:val="both"/>
      </w:pPr>
      <w:r w:rsidRPr="00031AE3">
        <w:rPr>
          <w:rFonts w:ascii="Book Antiqua" w:eastAsia="Book Antiqua" w:hAnsi="Book Antiqua" w:cs="Book Antiqua"/>
        </w:rPr>
        <w:t>T</w:t>
      </w:r>
      <w:r w:rsidR="00BC7B40" w:rsidRPr="00031AE3">
        <w:rPr>
          <w:rFonts w:ascii="Book Antiqua" w:eastAsia="Book Antiqua" w:hAnsi="Book Antiqua" w:cs="Book Antiqua"/>
        </w:rPr>
        <w:t>o date, there are</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too few reports that have documented the erythrocytosis to be</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complicated by hyperlipemia</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in that erythrocytosis</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 xml:space="preserve">was in association with the high frequency of cardiovascular events and the incitation of </w:t>
      </w:r>
      <w:proofErr w:type="gramStart"/>
      <w:r w:rsidR="00BC7B40" w:rsidRPr="00031AE3">
        <w:rPr>
          <w:rFonts w:ascii="Book Antiqua" w:eastAsia="Book Antiqua" w:hAnsi="Book Antiqua" w:cs="Book Antiqua"/>
        </w:rPr>
        <w:t>pancreatitis</w:t>
      </w:r>
      <w:r w:rsidR="00BC7B40" w:rsidRPr="00031AE3">
        <w:rPr>
          <w:rFonts w:ascii="Book Antiqua" w:eastAsia="Book Antiqua" w:hAnsi="Book Antiqua" w:cs="Book Antiqua"/>
          <w:vertAlign w:val="superscript"/>
        </w:rPr>
        <w:t>[</w:t>
      </w:r>
      <w:proofErr w:type="gramEnd"/>
      <w:r w:rsidR="00BC7B40" w:rsidRPr="00031AE3">
        <w:rPr>
          <w:rFonts w:ascii="Book Antiqua" w:eastAsia="Book Antiqua" w:hAnsi="Book Antiqua" w:cs="Book Antiqua"/>
          <w:vertAlign w:val="superscript"/>
        </w:rPr>
        <w:t>33-38]</w:t>
      </w:r>
      <w:r w:rsidR="00BC7B40" w:rsidRPr="00031AE3">
        <w:rPr>
          <w:rFonts w:ascii="Book Antiqua" w:eastAsia="Book Antiqua" w:hAnsi="Book Antiqua" w:cs="Book Antiqua"/>
        </w:rPr>
        <w:t>.</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However,</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it has never been recognized that SHLE</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can lead to the induction of pseudoerythrocytosis. The higher frequency of erythrocytosis in the context</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of SHLE strongly indicates that some patients may be misdiagnosed as MPNs</w:t>
      </w:r>
      <w:r w:rsidR="0098641A" w:rsidRPr="00031AE3">
        <w:rPr>
          <w:rFonts w:ascii="Book Antiqua" w:eastAsia="Book Antiqua" w:hAnsi="Book Antiqua" w:cs="Book Antiqua"/>
          <w:vertAlign w:val="superscript"/>
        </w:rPr>
        <w:t xml:space="preserve"> </w:t>
      </w:r>
      <w:r w:rsidR="00BC7B40" w:rsidRPr="00031AE3">
        <w:rPr>
          <w:rFonts w:ascii="Book Antiqua" w:eastAsia="Book Antiqua" w:hAnsi="Book Antiqua" w:cs="Book Antiqua"/>
        </w:rPr>
        <w:t>due to mistaken readings by the ABCCs</w:t>
      </w:r>
      <w:r w:rsidR="00BC7B40" w:rsidRPr="00031AE3">
        <w:rPr>
          <w:rFonts w:ascii="Book Antiqua" w:eastAsia="Book Antiqua" w:hAnsi="Book Antiqua" w:cs="Book Antiqua"/>
          <w:vertAlign w:val="superscript"/>
        </w:rPr>
        <w:t>[38]</w:t>
      </w:r>
      <w:r w:rsidR="0098641A" w:rsidRPr="00031AE3">
        <w:rPr>
          <w:rFonts w:ascii="Book Antiqua" w:eastAsia="Book Antiqua" w:hAnsi="Book Antiqua" w:cs="Book Antiqua"/>
          <w:vertAlign w:val="superscript"/>
        </w:rPr>
        <w:t xml:space="preserve"> </w:t>
      </w:r>
      <w:r w:rsidR="00BC7B40" w:rsidRPr="00031AE3">
        <w:rPr>
          <w:rFonts w:ascii="Book Antiqua" w:eastAsia="Book Antiqua" w:hAnsi="Book Antiqua" w:cs="Book Antiqua"/>
        </w:rPr>
        <w:t>as reported in the present case.</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The high frequency of cardiovascular events and the induction of pancreatitis</w:t>
      </w:r>
      <w:r w:rsidR="0098641A" w:rsidRPr="00031AE3">
        <w:rPr>
          <w:rFonts w:ascii="Book Antiqua" w:eastAsia="Book Antiqua" w:hAnsi="Book Antiqua" w:cs="Book Antiqua"/>
        </w:rPr>
        <w:t xml:space="preserve"> </w:t>
      </w:r>
      <w:r w:rsidR="00BC7B40" w:rsidRPr="00031AE3">
        <w:rPr>
          <w:rFonts w:ascii="Book Antiqua" w:eastAsia="Book Antiqua" w:hAnsi="Book Antiqua" w:cs="Book Antiqua"/>
        </w:rPr>
        <w:t>in this setting may lie in the hyperlipemia-related diseases themselves which may result from the dysregulated metabolic activities and the co-existing inflammatory conditions</w:t>
      </w:r>
      <w:r w:rsidR="00BC7B40" w:rsidRPr="00031AE3">
        <w:rPr>
          <w:rFonts w:ascii="Book Antiqua" w:eastAsia="Book Antiqua" w:hAnsi="Book Antiqua" w:cs="Book Antiqua"/>
          <w:vertAlign w:val="superscript"/>
        </w:rPr>
        <w:t>[21-27]</w:t>
      </w:r>
      <w:r w:rsidR="00BC7B40" w:rsidRPr="00031AE3">
        <w:rPr>
          <w:rFonts w:ascii="Book Antiqua" w:eastAsia="Book Antiqua" w:hAnsi="Book Antiqua" w:cs="Book Antiqua"/>
        </w:rPr>
        <w:t>.</w:t>
      </w:r>
    </w:p>
    <w:p w14:paraId="41DF26C9" w14:textId="093B40F5" w:rsidR="00BC7B40" w:rsidRPr="00031AE3" w:rsidRDefault="00BC7B40" w:rsidP="00031AE3">
      <w:pPr>
        <w:snapToGrid w:val="0"/>
        <w:spacing w:line="360" w:lineRule="auto"/>
        <w:ind w:firstLineChars="100" w:firstLine="240"/>
        <w:jc w:val="both"/>
      </w:pPr>
      <w:r w:rsidRPr="00031AE3">
        <w:rPr>
          <w:rFonts w:ascii="Book Antiqua" w:eastAsia="Book Antiqua" w:hAnsi="Book Antiqua" w:cs="Book Antiqua"/>
        </w:rPr>
        <w:t>The impact of SHLE on the CBC</w:t>
      </w:r>
      <w:r w:rsidR="0098641A" w:rsidRPr="00031AE3">
        <w:rPr>
          <w:rFonts w:ascii="Book Antiqua" w:eastAsia="Book Antiqua" w:hAnsi="Book Antiqua" w:cs="Book Antiqua"/>
        </w:rPr>
        <w:t xml:space="preserve"> </w:t>
      </w:r>
      <w:r w:rsidRPr="00031AE3">
        <w:rPr>
          <w:rFonts w:ascii="Book Antiqua" w:eastAsia="Book Antiqua" w:hAnsi="Book Antiqua" w:cs="Book Antiqua"/>
        </w:rPr>
        <w:t>results may be overlooked because hyperlipemia</w:t>
      </w:r>
      <w:r w:rsidR="0098641A" w:rsidRPr="00031AE3">
        <w:rPr>
          <w:rFonts w:ascii="Book Antiqua" w:eastAsia="Book Antiqua" w:hAnsi="Book Antiqua" w:cs="Book Antiqua"/>
        </w:rPr>
        <w:t xml:space="preserve"> </w:t>
      </w:r>
      <w:r w:rsidRPr="00031AE3">
        <w:rPr>
          <w:rFonts w:ascii="Book Antiqua" w:eastAsia="Book Antiqua" w:hAnsi="Book Antiqua" w:cs="Book Antiqua"/>
        </w:rPr>
        <w:t>patients seldom see the hematologists, and thus, this phenomenon has not been rigorously investigated. Differential diagnosis between true erythrocytosis and pseudoerythrocytosis in the setting of hyperlipemia</w:t>
      </w:r>
      <w:r w:rsidR="0098641A" w:rsidRPr="00031AE3">
        <w:rPr>
          <w:rFonts w:ascii="Book Antiqua" w:eastAsia="Book Antiqua" w:hAnsi="Book Antiqua" w:cs="Book Antiqua"/>
        </w:rPr>
        <w:t xml:space="preserve"> </w:t>
      </w:r>
      <w:r w:rsidRPr="00031AE3">
        <w:rPr>
          <w:rFonts w:ascii="Book Antiqua" w:eastAsia="Book Antiqua" w:hAnsi="Book Antiqua" w:cs="Book Antiqua"/>
        </w:rPr>
        <w:t>may be simply by intellectual and comprehensive analysis of the reasonableness of each CBC results (especially by the observation whether the Hb level is in parallel to the Hct value or not) at first and by comparing the CBC results between blood samples with and without removal of the chylomicron layer</w:t>
      </w:r>
      <w:r w:rsidR="0098641A" w:rsidRPr="00031AE3">
        <w:rPr>
          <w:rFonts w:ascii="Book Antiqua" w:eastAsia="Book Antiqua" w:hAnsi="Book Antiqua" w:cs="Book Antiqua"/>
        </w:rPr>
        <w:t xml:space="preserve"> </w:t>
      </w:r>
      <w:r w:rsidRPr="00031AE3">
        <w:rPr>
          <w:rFonts w:ascii="Book Antiqua" w:eastAsia="Book Antiqua" w:hAnsi="Book Antiqua" w:cs="Book Antiqua"/>
        </w:rPr>
        <w:t xml:space="preserve">subsequently by a means employed in this paper. In addition, the elevated even normal serum levels of total, LDL and high density lipoprotein cholesterol are biased to the diagnosis of hyperlipemia-induced pseudoerythrocytosis </w:t>
      </w:r>
      <w:r w:rsidRPr="00031AE3">
        <w:rPr>
          <w:rFonts w:ascii="Book Antiqua" w:eastAsia="Book Antiqua" w:hAnsi="Book Antiqua" w:cs="Book Antiqua"/>
        </w:rPr>
        <w:lastRenderedPageBreak/>
        <w:t>or have an co-existence of MPNs and hyperlipemia-related diseases</w:t>
      </w:r>
      <w:r w:rsidRPr="00031AE3">
        <w:rPr>
          <w:rFonts w:ascii="Book Antiqua" w:eastAsia="Book Antiqua" w:hAnsi="Book Antiqua" w:cs="Book Antiqua"/>
          <w:vertAlign w:val="superscript"/>
        </w:rPr>
        <w:t>[39-42]</w:t>
      </w:r>
      <w:r w:rsidRPr="00031AE3">
        <w:rPr>
          <w:rFonts w:ascii="Book Antiqua" w:eastAsia="Book Antiqua" w:hAnsi="Book Antiqua" w:cs="Book Antiqua"/>
        </w:rPr>
        <w:t>. However, this investigation is limited by the changes in the value of blood sample, and th</w:t>
      </w:r>
      <w:r w:rsidR="0098641A" w:rsidRPr="00031AE3">
        <w:rPr>
          <w:rFonts w:ascii="Book Antiqua" w:eastAsia="Book Antiqua" w:hAnsi="Book Antiqua" w:cs="Book Antiqua"/>
        </w:rPr>
        <w:t>ese</w:t>
      </w:r>
      <w:r w:rsidRPr="00031AE3">
        <w:rPr>
          <w:rFonts w:ascii="Book Antiqua" w:eastAsia="Book Antiqua" w:hAnsi="Book Antiqua" w:cs="Book Antiqua"/>
        </w:rPr>
        <w:t xml:space="preserve"> changes may make it difficult to interpret the true Hb concentration in patient’s blood. Another question is what concentration and components of blood lipids are able to significantly affect the CBC readings on the ABCC. So</w:t>
      </w:r>
      <w:r w:rsidR="0098641A" w:rsidRPr="00031AE3">
        <w:rPr>
          <w:rFonts w:ascii="Book Antiqua" w:eastAsia="Book Antiqua" w:hAnsi="Book Antiqua" w:cs="Book Antiqua"/>
        </w:rPr>
        <w:t>,</w:t>
      </w:r>
      <w:r w:rsidRPr="00031AE3">
        <w:rPr>
          <w:rFonts w:ascii="Book Antiqua" w:eastAsia="Book Antiqua" w:hAnsi="Book Antiqua" w:cs="Book Antiqua"/>
        </w:rPr>
        <w:t xml:space="preserve"> this investigation merely provide</w:t>
      </w:r>
      <w:r w:rsidR="0098641A" w:rsidRPr="00031AE3">
        <w:rPr>
          <w:rFonts w:ascii="Book Antiqua" w:eastAsia="Book Antiqua" w:hAnsi="Book Antiqua" w:cs="Book Antiqua"/>
        </w:rPr>
        <w:t>s</w:t>
      </w:r>
      <w:r w:rsidRPr="00031AE3">
        <w:rPr>
          <w:rFonts w:ascii="Book Antiqua" w:eastAsia="Book Antiqua" w:hAnsi="Book Antiqua" w:cs="Book Antiqua"/>
        </w:rPr>
        <w:t xml:space="preserve"> an information that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could affect the CBC results measured by ABCC, and how to correctly measure the true Hb concentration in patient’s blood warrants further investigations.</w:t>
      </w:r>
    </w:p>
    <w:p w14:paraId="3543F8EC" w14:textId="019C7682" w:rsidR="00A77B3E" w:rsidRPr="00031AE3" w:rsidRDefault="00BC7B40" w:rsidP="00031AE3">
      <w:pPr>
        <w:snapToGrid w:val="0"/>
        <w:spacing w:line="360" w:lineRule="auto"/>
        <w:ind w:firstLineChars="100" w:firstLine="240"/>
        <w:jc w:val="both"/>
        <w:rPr>
          <w:rFonts w:ascii="Book Antiqua" w:eastAsia="Book Antiqua" w:hAnsi="Book Antiqua" w:cs="Book Antiqua"/>
        </w:rPr>
      </w:pPr>
      <w:r w:rsidRPr="00031AE3">
        <w:rPr>
          <w:rFonts w:ascii="Book Antiqua" w:eastAsia="Book Antiqua" w:hAnsi="Book Antiqua" w:cs="Book Antiqua"/>
        </w:rPr>
        <w:t>Recognizing this phenomenon helps better understand the CBC results on ABCC in the context of hyperlipemia, especially in individuals with SHLE.</w:t>
      </w:r>
      <w:r w:rsidR="0098641A" w:rsidRPr="00031AE3">
        <w:rPr>
          <w:rFonts w:ascii="Book Antiqua" w:eastAsia="Book Antiqua" w:hAnsi="Book Antiqua" w:cs="Book Antiqua"/>
        </w:rPr>
        <w:t xml:space="preserve"> </w:t>
      </w:r>
      <w:r w:rsidRPr="00031AE3">
        <w:rPr>
          <w:rFonts w:ascii="Book Antiqua" w:eastAsia="Book Antiqua" w:hAnsi="Book Antiqua" w:cs="Book Antiqua"/>
        </w:rPr>
        <w:t>MPNs are clonal diseases characterized by the constitutive activation of genes in growth factor receptors or their signal pathway components, resulting in the uncontrolled proliferation of hematopoietic cells. Treatment of MPNs</w:t>
      </w:r>
      <w:r w:rsidR="0098641A" w:rsidRPr="00031AE3">
        <w:rPr>
          <w:rFonts w:ascii="Book Antiqua" w:eastAsia="Book Antiqua" w:hAnsi="Book Antiqua" w:cs="Book Antiqua"/>
        </w:rPr>
        <w:t xml:space="preserve"> </w:t>
      </w:r>
      <w:r w:rsidRPr="00031AE3">
        <w:rPr>
          <w:rFonts w:ascii="Book Antiqua" w:eastAsia="Book Antiqua" w:hAnsi="Book Antiqua" w:cs="Book Antiqua"/>
        </w:rPr>
        <w:t>differ completely from that of hyperlipemia-related diseases. Therefore, the differential diagnosis between these diseases</w:t>
      </w:r>
      <w:r w:rsidR="0098641A" w:rsidRPr="00031AE3">
        <w:rPr>
          <w:rFonts w:ascii="Book Antiqua" w:eastAsia="Book Antiqua" w:hAnsi="Book Antiqua" w:cs="Book Antiqua"/>
        </w:rPr>
        <w:t xml:space="preserve"> </w:t>
      </w:r>
      <w:r w:rsidRPr="00031AE3">
        <w:rPr>
          <w:rFonts w:ascii="Book Antiqua" w:eastAsia="Book Antiqua" w:hAnsi="Book Antiqua" w:cs="Book Antiqua"/>
        </w:rPr>
        <w:t>is very important as demonstrated in this</w:t>
      </w:r>
      <w:r w:rsidR="0098641A" w:rsidRPr="00031AE3">
        <w:rPr>
          <w:rFonts w:ascii="Book Antiqua" w:eastAsia="Book Antiqua" w:hAnsi="Book Antiqua" w:cs="Book Antiqua"/>
        </w:rPr>
        <w:t xml:space="preserve"> </w:t>
      </w:r>
      <w:r w:rsidRPr="00031AE3">
        <w:rPr>
          <w:rFonts w:ascii="Book Antiqua" w:eastAsia="Book Antiqua" w:hAnsi="Book Antiqua" w:cs="Book Antiqua"/>
        </w:rPr>
        <w:t>case. In addition, SHLE sometimes occurs in the treatment of hematological malignancies, and this may lead to the misinterpretation</w:t>
      </w:r>
      <w:r w:rsidR="0098641A" w:rsidRPr="00031AE3">
        <w:rPr>
          <w:rFonts w:ascii="Book Antiqua" w:eastAsia="Book Antiqua" w:hAnsi="Book Antiqua" w:cs="Book Antiqua"/>
        </w:rPr>
        <w:t xml:space="preserve"> </w:t>
      </w:r>
      <w:r w:rsidRPr="00031AE3">
        <w:rPr>
          <w:rFonts w:ascii="Book Antiqua" w:eastAsia="Book Antiqua" w:hAnsi="Book Antiqua" w:cs="Book Antiqua"/>
        </w:rPr>
        <w:t>of</w:t>
      </w:r>
      <w:r w:rsidR="0098641A" w:rsidRPr="00031AE3">
        <w:rPr>
          <w:rFonts w:ascii="Book Antiqua" w:eastAsia="Book Antiqua" w:hAnsi="Book Antiqua" w:cs="Book Antiqua"/>
        </w:rPr>
        <w:t xml:space="preserve"> </w:t>
      </w:r>
      <w:r w:rsidRPr="00031AE3">
        <w:rPr>
          <w:rFonts w:ascii="Book Antiqua" w:eastAsia="Book Antiqua" w:hAnsi="Book Antiqua" w:cs="Book Antiqua"/>
        </w:rPr>
        <w:t>transfusion indications, which may result in serious consequences such as severe ischemic episodes and severe bleeding events.</w:t>
      </w:r>
    </w:p>
    <w:p w14:paraId="6A7B1C5C" w14:textId="77777777" w:rsidR="0098641A" w:rsidRPr="00031AE3" w:rsidRDefault="0098641A" w:rsidP="00031AE3">
      <w:pPr>
        <w:snapToGrid w:val="0"/>
        <w:spacing w:line="360" w:lineRule="auto"/>
        <w:jc w:val="both"/>
      </w:pPr>
    </w:p>
    <w:p w14:paraId="0BB152A6" w14:textId="77777777"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CONCLUSION</w:t>
      </w:r>
    </w:p>
    <w:p w14:paraId="2333651C" w14:textId="04D80573" w:rsidR="0098641A" w:rsidRPr="00031AE3" w:rsidRDefault="0098641A" w:rsidP="00031AE3">
      <w:pPr>
        <w:snapToGrid w:val="0"/>
        <w:spacing w:line="360" w:lineRule="auto"/>
        <w:jc w:val="both"/>
        <w:rPr>
          <w:rFonts w:ascii="Book Antiqua" w:hAnsi="Book Antiqua"/>
        </w:rPr>
      </w:pPr>
      <w:r w:rsidRPr="00031AE3">
        <w:rPr>
          <w:rFonts w:ascii="Book Antiqua" w:hAnsi="Book Antiqua"/>
        </w:rPr>
        <w:t>SHLE could significantly affect the CBC results on ABCC. This phenomenon may lead to the misdiagnosis of hyperlipemia-related diseases as MPNs and the resultant mistreatment. It may also lead to the misinterpretation of transfusion indications in the treatment of hematopoietic diseases.</w:t>
      </w:r>
    </w:p>
    <w:p w14:paraId="280CBDB3" w14:textId="5997A07C" w:rsidR="00A77B3E" w:rsidRPr="00031AE3" w:rsidRDefault="0098641A" w:rsidP="00031AE3">
      <w:pPr>
        <w:snapToGrid w:val="0"/>
        <w:spacing w:line="360" w:lineRule="auto"/>
        <w:ind w:firstLineChars="100" w:firstLine="240"/>
        <w:jc w:val="both"/>
      </w:pPr>
      <w:r w:rsidRPr="00031AE3">
        <w:rPr>
          <w:rFonts w:ascii="Book Antiqua" w:hAnsi="Book Antiqua"/>
        </w:rPr>
        <w:t>When a patient presents with a high level of Hb and makes a presumptive diagnosis of MPNs, it is very necessary to carefully examine the blood samples, to correctly evaluate the CBC results and to look up the biochemical tests. The appearance of a chylomicron layer in blood samples, the discrepant results in CBC examination and the elevated serum levels of TGs, TC</w:t>
      </w:r>
      <w:r w:rsidR="0057058E" w:rsidRPr="00031AE3">
        <w:rPr>
          <w:rFonts w:ascii="Book Antiqua" w:hAnsi="Book Antiqua"/>
        </w:rPr>
        <w:t>,</w:t>
      </w:r>
      <w:r w:rsidRPr="00031AE3">
        <w:rPr>
          <w:rFonts w:ascii="Book Antiqua" w:hAnsi="Book Antiqua"/>
        </w:rPr>
        <w:t xml:space="preserve"> and LDL strongly indicate the possible diagnosis of </w:t>
      </w:r>
      <w:r w:rsidRPr="00031AE3">
        <w:rPr>
          <w:rFonts w:ascii="Book Antiqua" w:hAnsi="Book Antiqua"/>
        </w:rPr>
        <w:lastRenderedPageBreak/>
        <w:t xml:space="preserve">pseudoerythrocytosis. In this setting, investigations are warranted as showed in our paper, and the underlying diseases must be diagnosed as soon as possible so as to let the patient receive prompt and proper treatments. In patients with hematological diseases in the setting of hyperlipemia, the blood transfusion indications must be adjusted according to the patient’s symptoms rather than are dependent merely on the Hb levels or the </w:t>
      </w:r>
      <w:proofErr w:type="spellStart"/>
      <w:r w:rsidR="0057058E" w:rsidRPr="00031AE3">
        <w:rPr>
          <w:rFonts w:ascii="Book Antiqua" w:hAnsi="Book Antiqua"/>
        </w:rPr>
        <w:t>Plt</w:t>
      </w:r>
      <w:proofErr w:type="spellEnd"/>
      <w:r w:rsidR="0057058E" w:rsidRPr="00031AE3">
        <w:rPr>
          <w:rFonts w:ascii="Book Antiqua" w:hAnsi="Book Antiqua"/>
        </w:rPr>
        <w:t xml:space="preserve"> </w:t>
      </w:r>
      <w:r w:rsidRPr="00031AE3">
        <w:rPr>
          <w:rFonts w:ascii="Book Antiqua" w:hAnsi="Book Antiqua"/>
        </w:rPr>
        <w:t>counts.</w:t>
      </w:r>
    </w:p>
    <w:p w14:paraId="07BF1D91" w14:textId="77777777" w:rsidR="0098641A" w:rsidRPr="00031AE3" w:rsidRDefault="0098641A" w:rsidP="00031AE3">
      <w:pPr>
        <w:snapToGrid w:val="0"/>
        <w:spacing w:line="360" w:lineRule="auto"/>
        <w:jc w:val="both"/>
      </w:pPr>
    </w:p>
    <w:p w14:paraId="0BD64BE8" w14:textId="28F48E70" w:rsidR="00A77B3E" w:rsidRPr="00031AE3" w:rsidRDefault="008F2500" w:rsidP="00031AE3">
      <w:pPr>
        <w:snapToGrid w:val="0"/>
        <w:spacing w:line="360" w:lineRule="auto"/>
        <w:jc w:val="both"/>
      </w:pPr>
      <w:r w:rsidRPr="00031AE3">
        <w:rPr>
          <w:rFonts w:ascii="Book Antiqua" w:eastAsia="Book Antiqua" w:hAnsi="Book Antiqua" w:cs="Book Antiqua"/>
          <w:b/>
          <w:caps/>
          <w:u w:val="single"/>
        </w:rPr>
        <w:t>ACKNOWLEDGMENTS</w:t>
      </w:r>
    </w:p>
    <w:p w14:paraId="372AA885" w14:textId="23D5A848" w:rsidR="00A77B3E" w:rsidRPr="00031AE3" w:rsidRDefault="008F2500" w:rsidP="00031AE3">
      <w:pPr>
        <w:snapToGrid w:val="0"/>
        <w:spacing w:line="360" w:lineRule="auto"/>
        <w:jc w:val="both"/>
      </w:pPr>
      <w:r w:rsidRPr="00031AE3">
        <w:rPr>
          <w:rFonts w:ascii="Book Antiqua" w:eastAsia="Book Antiqua" w:hAnsi="Book Antiqua" w:cs="Book Antiqua"/>
          <w:shd w:val="clear" w:color="auto" w:fill="FFFFFF"/>
        </w:rPr>
        <w:t>The authors would like to thank</w:t>
      </w:r>
      <w:r w:rsidR="0098641A" w:rsidRPr="00031AE3">
        <w:rPr>
          <w:rFonts w:ascii="Book Antiqua" w:eastAsia="Book Antiqua" w:hAnsi="Book Antiqua" w:cs="Book Antiqua"/>
          <w:shd w:val="clear" w:color="auto" w:fill="FFFFFF"/>
        </w:rPr>
        <w:t xml:space="preserve"> </w:t>
      </w:r>
      <w:r w:rsidRPr="00031AE3">
        <w:rPr>
          <w:rFonts w:ascii="Book Antiqua" w:eastAsia="Book Antiqua" w:hAnsi="Book Antiqua" w:cs="Book Antiqua"/>
          <w:shd w:val="clear" w:color="auto" w:fill="FFFFFF"/>
        </w:rPr>
        <w:t>Bin L</w:t>
      </w:r>
      <w:r w:rsidR="0098641A" w:rsidRPr="00031AE3">
        <w:rPr>
          <w:rFonts w:ascii="Book Antiqua" w:eastAsia="Book Antiqua" w:hAnsi="Book Antiqua" w:cs="Book Antiqua"/>
          <w:shd w:val="clear" w:color="auto" w:fill="FFFFFF"/>
        </w:rPr>
        <w:t>i</w:t>
      </w:r>
      <w:r w:rsidRPr="00031AE3">
        <w:rPr>
          <w:rFonts w:ascii="Book Antiqua" w:eastAsia="Book Antiqua" w:hAnsi="Book Antiqua" w:cs="Book Antiqua"/>
          <w:shd w:val="clear" w:color="auto" w:fill="FFFFFF"/>
        </w:rPr>
        <w:t xml:space="preserve"> (</w:t>
      </w:r>
      <w:r w:rsidR="005E5EE8" w:rsidRPr="00031AE3">
        <w:rPr>
          <w:rFonts w:ascii="Book Antiqua" w:eastAsia="Book Antiqua" w:hAnsi="Book Antiqua" w:cs="Book Antiqua"/>
        </w:rPr>
        <w:t>Department</w:t>
      </w:r>
      <w:r w:rsidRPr="00031AE3">
        <w:rPr>
          <w:rFonts w:ascii="Book Antiqua" w:eastAsia="Book Antiqua" w:hAnsi="Book Antiqua" w:cs="Book Antiqua"/>
          <w:shd w:val="clear" w:color="auto" w:fill="FFFFFF"/>
        </w:rPr>
        <w:t xml:space="preserve"> G</w:t>
      </w:r>
      <w:r w:rsidRPr="00031AE3">
        <w:rPr>
          <w:rFonts w:ascii="Book Antiqua" w:eastAsia="Book Antiqua" w:hAnsi="Book Antiqua" w:cs="Book Antiqua"/>
        </w:rPr>
        <w:t>astroenterology</w:t>
      </w:r>
      <w:r w:rsidRPr="00031AE3">
        <w:rPr>
          <w:rFonts w:ascii="Book Antiqua" w:eastAsia="Book Antiqua" w:hAnsi="Book Antiqua" w:cs="Book Antiqua"/>
          <w:shd w:val="clear" w:color="auto" w:fill="FFFFFF"/>
        </w:rPr>
        <w:t xml:space="preserve">, </w:t>
      </w:r>
      <w:r w:rsidRPr="00031AE3">
        <w:rPr>
          <w:rFonts w:ascii="Book Antiqua" w:eastAsia="Book Antiqua" w:hAnsi="Book Antiqua" w:cs="Book Antiqua"/>
        </w:rPr>
        <w:t>The Affiliated Hospital of Qingdao University</w:t>
      </w:r>
      <w:r w:rsidRPr="00031AE3">
        <w:rPr>
          <w:rFonts w:ascii="Book Antiqua" w:eastAsia="Book Antiqua" w:hAnsi="Book Antiqua" w:cs="Book Antiqua"/>
          <w:shd w:val="clear" w:color="auto" w:fill="FFFFFF"/>
        </w:rPr>
        <w:t>), Xiu-Shuan Feng (</w:t>
      </w:r>
      <w:r w:rsidR="005E5EE8" w:rsidRPr="00031AE3">
        <w:rPr>
          <w:rFonts w:ascii="Book Antiqua" w:eastAsia="Book Antiqua" w:hAnsi="Book Antiqua" w:cs="Book Antiqua"/>
        </w:rPr>
        <w:t>Department</w:t>
      </w:r>
      <w:r w:rsidRPr="00031AE3">
        <w:rPr>
          <w:rFonts w:ascii="Book Antiqua" w:eastAsia="Book Antiqua" w:hAnsi="Book Antiqua" w:cs="Book Antiqua"/>
          <w:shd w:val="clear" w:color="auto" w:fill="FFFFFF"/>
        </w:rPr>
        <w:t xml:space="preserve"> Radiology, </w:t>
      </w:r>
      <w:r w:rsidRPr="00031AE3">
        <w:rPr>
          <w:rFonts w:ascii="Book Antiqua" w:eastAsia="Book Antiqua" w:hAnsi="Book Antiqua" w:cs="Book Antiqua"/>
        </w:rPr>
        <w:t>The Central Hospital of Qingdao West Coast New Area</w:t>
      </w:r>
      <w:r w:rsidRPr="00031AE3">
        <w:rPr>
          <w:rFonts w:ascii="Book Antiqua" w:eastAsia="Book Antiqua" w:hAnsi="Book Antiqua" w:cs="Book Antiqua"/>
          <w:shd w:val="clear" w:color="auto" w:fill="FFFFFF"/>
        </w:rPr>
        <w:t>), and Ming Bai (</w:t>
      </w:r>
      <w:r w:rsidR="005E5EE8" w:rsidRPr="00031AE3">
        <w:rPr>
          <w:rFonts w:ascii="Book Antiqua" w:eastAsia="Book Antiqua" w:hAnsi="Book Antiqua" w:cs="Book Antiqua"/>
        </w:rPr>
        <w:t>Department</w:t>
      </w:r>
      <w:r w:rsidRPr="00031AE3">
        <w:rPr>
          <w:rFonts w:ascii="Book Antiqua" w:eastAsia="Book Antiqua" w:hAnsi="Book Antiqua" w:cs="Book Antiqua"/>
          <w:shd w:val="clear" w:color="auto" w:fill="FFFFFF"/>
        </w:rPr>
        <w:t xml:space="preserve"> U</w:t>
      </w:r>
      <w:r w:rsidRPr="00031AE3">
        <w:rPr>
          <w:rFonts w:ascii="Book Antiqua" w:eastAsia="Book Antiqua" w:hAnsi="Book Antiqua" w:cs="Book Antiqua"/>
        </w:rPr>
        <w:t>ltrasonography</w:t>
      </w:r>
      <w:r w:rsidRPr="00031AE3">
        <w:rPr>
          <w:rFonts w:ascii="Book Antiqua" w:eastAsia="Book Antiqua" w:hAnsi="Book Antiqua" w:cs="Book Antiqua"/>
          <w:shd w:val="clear" w:color="auto" w:fill="FFFFFF"/>
        </w:rPr>
        <w:t xml:space="preserve">, </w:t>
      </w:r>
      <w:r w:rsidRPr="00031AE3">
        <w:rPr>
          <w:rFonts w:ascii="Book Antiqua" w:eastAsia="Book Antiqua" w:hAnsi="Book Antiqua" w:cs="Book Antiqua"/>
        </w:rPr>
        <w:t>The Central Hospital of Qingdao West Coast New Area</w:t>
      </w:r>
      <w:r w:rsidRPr="00031AE3">
        <w:rPr>
          <w:rFonts w:ascii="Book Antiqua" w:eastAsia="Book Antiqua" w:hAnsi="Book Antiqua" w:cs="Book Antiqua"/>
          <w:shd w:val="clear" w:color="auto" w:fill="FFFFFF"/>
        </w:rPr>
        <w:t>) for assistance in the analysis of laboratory and imaging examination.</w:t>
      </w:r>
    </w:p>
    <w:p w14:paraId="7A8FDAB8" w14:textId="77777777" w:rsidR="00A77B3E" w:rsidRPr="00031AE3" w:rsidRDefault="00A77B3E" w:rsidP="00031AE3">
      <w:pPr>
        <w:snapToGrid w:val="0"/>
        <w:spacing w:line="360" w:lineRule="auto"/>
        <w:jc w:val="both"/>
      </w:pPr>
    </w:p>
    <w:p w14:paraId="7BC6ADF7"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REFERENCES</w:t>
      </w:r>
    </w:p>
    <w:p w14:paraId="100CD6F1" w14:textId="5867D35D" w:rsidR="00A77B3E" w:rsidRPr="00031AE3" w:rsidRDefault="004E5F47" w:rsidP="00031AE3">
      <w:pPr>
        <w:snapToGrid w:val="0"/>
        <w:spacing w:line="360" w:lineRule="auto"/>
        <w:jc w:val="both"/>
      </w:pPr>
      <w:r w:rsidRPr="00031AE3">
        <w:rPr>
          <w:rFonts w:ascii="Book Antiqua" w:eastAsia="Book Antiqua" w:hAnsi="Book Antiqua" w:cs="Book Antiqua"/>
        </w:rPr>
        <w:t>1</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Lichtman MA</w:t>
      </w:r>
      <w:r w:rsidRPr="00031AE3">
        <w:rPr>
          <w:rFonts w:ascii="Book Antiqua" w:hAnsi="Book Antiqua" w:cs="Book Antiqua"/>
          <w:lang w:eastAsia="zh-CN"/>
        </w:rPr>
        <w:t xml:space="preserve">, </w:t>
      </w:r>
      <w:r w:rsidR="008F2500" w:rsidRPr="00031AE3">
        <w:rPr>
          <w:rFonts w:ascii="Book Antiqua" w:eastAsia="Book Antiqua" w:hAnsi="Book Antiqua" w:cs="Book Antiqua"/>
        </w:rPr>
        <w:t xml:space="preserve">Prchal JF, Prchal JT, Beer PA, Green AR, </w:t>
      </w:r>
      <w:proofErr w:type="spellStart"/>
      <w:r w:rsidR="008F2500" w:rsidRPr="00031AE3">
        <w:rPr>
          <w:rFonts w:ascii="Book Antiqua" w:eastAsia="Book Antiqua" w:hAnsi="Book Antiqua" w:cs="Book Antiqua"/>
        </w:rPr>
        <w:t>Liesveld</w:t>
      </w:r>
      <w:proofErr w:type="spellEnd"/>
      <w:r w:rsidR="008F2500" w:rsidRPr="00031AE3">
        <w:rPr>
          <w:rFonts w:ascii="Book Antiqua" w:eastAsia="Book Antiqua" w:hAnsi="Book Antiqua" w:cs="Book Antiqua"/>
        </w:rPr>
        <w:t xml:space="preserve"> JL.</w:t>
      </w:r>
      <w:r w:rsidRPr="00031AE3">
        <w:rPr>
          <w:rFonts w:ascii="Book Antiqua" w:eastAsia="Book Antiqua" w:hAnsi="Book Antiqua" w:cs="Book Antiqua"/>
        </w:rPr>
        <w:t xml:space="preserve"> </w:t>
      </w:r>
      <w:r w:rsidR="008F2500" w:rsidRPr="00031AE3">
        <w:rPr>
          <w:rFonts w:ascii="Book Antiqua" w:eastAsia="Book Antiqua" w:hAnsi="Book Antiqua" w:cs="Book Antiqua"/>
        </w:rPr>
        <w:t>Malignant myeloid diseases. In: Williams Hematology. 9th ed. New York</w:t>
      </w:r>
      <w:r w:rsidR="00297267" w:rsidRPr="00031AE3">
        <w:rPr>
          <w:rFonts w:ascii="Book Antiqua" w:eastAsia="Book Antiqua" w:hAnsi="Book Antiqua" w:cs="Book Antiqua"/>
        </w:rPr>
        <w:t>:</w:t>
      </w:r>
      <w:r w:rsidR="008F2500" w:rsidRPr="00031AE3">
        <w:rPr>
          <w:rFonts w:ascii="Book Antiqua" w:eastAsia="Book Antiqua" w:hAnsi="Book Antiqua" w:cs="Book Antiqua"/>
        </w:rPr>
        <w:t xml:space="preserve"> The McGraw-Hill Companies;</w:t>
      </w:r>
      <w:r w:rsidRPr="00031AE3">
        <w:rPr>
          <w:rFonts w:ascii="Book Antiqua" w:eastAsia="Book Antiqua" w:hAnsi="Book Antiqua" w:cs="Book Antiqua"/>
        </w:rPr>
        <w:t xml:space="preserve"> </w:t>
      </w:r>
      <w:r w:rsidR="008F2500" w:rsidRPr="00031AE3">
        <w:rPr>
          <w:rFonts w:ascii="Book Antiqua" w:eastAsia="Book Antiqua" w:hAnsi="Book Antiqua" w:cs="Book Antiqua"/>
        </w:rPr>
        <w:t>2016;</w:t>
      </w:r>
      <w:r w:rsidRPr="00031AE3">
        <w:rPr>
          <w:rFonts w:ascii="Book Antiqua" w:eastAsia="Book Antiqua" w:hAnsi="Book Antiqua" w:cs="Book Antiqua"/>
        </w:rPr>
        <w:t xml:space="preserve"> </w:t>
      </w:r>
      <w:r w:rsidR="008F2500" w:rsidRPr="00031AE3">
        <w:rPr>
          <w:rFonts w:ascii="Book Antiqua" w:eastAsia="Book Antiqua" w:hAnsi="Book Antiqua" w:cs="Book Antiqua"/>
        </w:rPr>
        <w:t>1275-1399, 1437-1490</w:t>
      </w:r>
    </w:p>
    <w:p w14:paraId="579E98EA" w14:textId="77932A11" w:rsidR="00A77B3E" w:rsidRPr="00031AE3" w:rsidRDefault="004E5F47" w:rsidP="00031AE3">
      <w:pPr>
        <w:snapToGrid w:val="0"/>
        <w:spacing w:line="360" w:lineRule="auto"/>
        <w:jc w:val="both"/>
      </w:pPr>
      <w:r w:rsidRPr="00031AE3">
        <w:rPr>
          <w:rFonts w:ascii="Book Antiqua" w:eastAsia="Book Antiqua" w:hAnsi="Book Antiqua" w:cs="Book Antiqua"/>
        </w:rPr>
        <w:t>2</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Arber DA</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Orazi</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Hasserjian</w:t>
      </w:r>
      <w:proofErr w:type="spellEnd"/>
      <w:r w:rsidR="008F2500" w:rsidRPr="00031AE3">
        <w:rPr>
          <w:rFonts w:ascii="Book Antiqua" w:eastAsia="Book Antiqua" w:hAnsi="Book Antiqua" w:cs="Book Antiqua"/>
        </w:rPr>
        <w:t xml:space="preserve"> R, Thiele J, Borowitz MJ, Le Beau</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MM, Bloomfield CD, </w:t>
      </w:r>
      <w:proofErr w:type="spellStart"/>
      <w:r w:rsidR="008F2500" w:rsidRPr="00031AE3">
        <w:rPr>
          <w:rFonts w:ascii="Book Antiqua" w:eastAsia="Book Antiqua" w:hAnsi="Book Antiqua" w:cs="Book Antiqua"/>
        </w:rPr>
        <w:t>Cazzola</w:t>
      </w:r>
      <w:proofErr w:type="spellEnd"/>
      <w:r w:rsidR="008F2500" w:rsidRPr="00031AE3">
        <w:rPr>
          <w:rFonts w:ascii="Book Antiqua" w:eastAsia="Book Antiqua" w:hAnsi="Book Antiqua" w:cs="Book Antiqua"/>
        </w:rPr>
        <w:t xml:space="preserve"> M, </w:t>
      </w:r>
      <w:proofErr w:type="spellStart"/>
      <w:r w:rsidR="008F2500" w:rsidRPr="00031AE3">
        <w:rPr>
          <w:rFonts w:ascii="Book Antiqua" w:eastAsia="Book Antiqua" w:hAnsi="Book Antiqua" w:cs="Book Antiqua"/>
        </w:rPr>
        <w:t>Vardiman</w:t>
      </w:r>
      <w:proofErr w:type="spellEnd"/>
      <w:r w:rsidR="008F2500" w:rsidRPr="00031AE3">
        <w:rPr>
          <w:rFonts w:ascii="Book Antiqua" w:eastAsia="Book Antiqua" w:hAnsi="Book Antiqua" w:cs="Book Antiqua"/>
        </w:rPr>
        <w:t xml:space="preserve"> JW.</w:t>
      </w:r>
      <w:r w:rsidRPr="00031AE3">
        <w:rPr>
          <w:rFonts w:ascii="Book Antiqua" w:eastAsia="Book Antiqua" w:hAnsi="Book Antiqua" w:cs="Book Antiqua"/>
        </w:rPr>
        <w:t xml:space="preserve"> </w:t>
      </w:r>
      <w:r w:rsidR="008F2500" w:rsidRPr="00031AE3">
        <w:rPr>
          <w:rFonts w:ascii="Book Antiqua" w:eastAsia="Book Antiqua" w:hAnsi="Book Antiqua" w:cs="Book Antiqua"/>
        </w:rPr>
        <w:t>The 2016 revision to the World Health Organization classification of myeloid</w:t>
      </w:r>
      <w:r w:rsidRPr="00031AE3">
        <w:rPr>
          <w:rFonts w:ascii="Book Antiqua" w:eastAsia="Book Antiqua" w:hAnsi="Book Antiqua" w:cs="Book Antiqua"/>
        </w:rPr>
        <w:t xml:space="preserve"> </w:t>
      </w:r>
      <w:r w:rsidR="008F2500" w:rsidRPr="00031AE3">
        <w:rPr>
          <w:rFonts w:ascii="Book Antiqua" w:eastAsia="Book Antiqua" w:hAnsi="Book Antiqua" w:cs="Book Antiqua"/>
        </w:rPr>
        <w:t>neoplasms and acute leukemia.</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Blood</w:t>
      </w:r>
      <w:r w:rsidR="008F2500" w:rsidRPr="00031AE3">
        <w:rPr>
          <w:rFonts w:ascii="Book Antiqua" w:eastAsia="Book Antiqua" w:hAnsi="Book Antiqua" w:cs="Book Antiqua"/>
        </w:rPr>
        <w:t xml:space="preserve"> 2016;</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127</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2391-2405 [PMID: 27069254</w:t>
      </w:r>
      <w:r w:rsidR="00CF5845" w:rsidRPr="00031AE3">
        <w:rPr>
          <w:rFonts w:ascii="Book Antiqua" w:eastAsia="Book Antiqua" w:hAnsi="Book Antiqua" w:cs="Book Antiqua"/>
        </w:rPr>
        <w:t xml:space="preserve"> </w:t>
      </w:r>
      <w:r w:rsidR="008F2500" w:rsidRPr="00031AE3">
        <w:rPr>
          <w:rFonts w:ascii="Book Antiqua" w:eastAsia="Book Antiqua" w:hAnsi="Book Antiqua" w:cs="Book Antiqua"/>
        </w:rPr>
        <w:t>DOI: 10.1182/blood-2016-03-643544]</w:t>
      </w:r>
    </w:p>
    <w:p w14:paraId="7A5D4024" w14:textId="38C9CEAA" w:rsidR="00A77B3E" w:rsidRPr="00031AE3" w:rsidRDefault="00CF5845" w:rsidP="00031AE3">
      <w:pPr>
        <w:snapToGrid w:val="0"/>
        <w:spacing w:line="360" w:lineRule="auto"/>
        <w:jc w:val="both"/>
      </w:pPr>
      <w:r w:rsidRPr="00031AE3">
        <w:rPr>
          <w:rFonts w:ascii="Book Antiqua" w:eastAsia="Book Antiqua" w:hAnsi="Book Antiqua" w:cs="Book Antiqua"/>
        </w:rPr>
        <w:t>3</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Barbui</w:t>
      </w:r>
      <w:proofErr w:type="spellEnd"/>
      <w:r w:rsidR="008F2500" w:rsidRPr="00031AE3">
        <w:rPr>
          <w:rFonts w:ascii="Book Antiqua" w:eastAsia="Book Antiqua" w:hAnsi="Book Antiqua" w:cs="Book Antiqua"/>
          <w:b/>
          <w:bCs/>
        </w:rPr>
        <w:t xml:space="preserve"> T</w:t>
      </w:r>
      <w:r w:rsidR="008F2500" w:rsidRPr="00031AE3">
        <w:rPr>
          <w:rFonts w:ascii="Book Antiqua" w:eastAsia="Book Antiqua" w:hAnsi="Book Antiqua" w:cs="Book Antiqua"/>
        </w:rPr>
        <w:t xml:space="preserve">, Thiele J, </w:t>
      </w:r>
      <w:proofErr w:type="spellStart"/>
      <w:r w:rsidR="008F2500" w:rsidRPr="00031AE3">
        <w:rPr>
          <w:rFonts w:ascii="Book Antiqua" w:eastAsia="Book Antiqua" w:hAnsi="Book Antiqua" w:cs="Book Antiqua"/>
        </w:rPr>
        <w:t>Gisslinger</w:t>
      </w:r>
      <w:proofErr w:type="spellEnd"/>
      <w:r w:rsidR="008F2500" w:rsidRPr="00031AE3">
        <w:rPr>
          <w:rFonts w:ascii="Book Antiqua" w:eastAsia="Book Antiqua" w:hAnsi="Book Antiqua" w:cs="Book Antiqua"/>
        </w:rPr>
        <w:t xml:space="preserve"> H, </w:t>
      </w:r>
      <w:proofErr w:type="spellStart"/>
      <w:r w:rsidR="008F2500" w:rsidRPr="00031AE3">
        <w:rPr>
          <w:rFonts w:ascii="Book Antiqua" w:eastAsia="Book Antiqua" w:hAnsi="Book Antiqua" w:cs="Book Antiqua"/>
        </w:rPr>
        <w:t>Kvasnicka</w:t>
      </w:r>
      <w:proofErr w:type="spellEnd"/>
      <w:r w:rsidR="008F2500" w:rsidRPr="00031AE3">
        <w:rPr>
          <w:rFonts w:ascii="Book Antiqua" w:eastAsia="Book Antiqua" w:hAnsi="Book Antiqua" w:cs="Book Antiqua"/>
        </w:rPr>
        <w:t xml:space="preserve"> HM, </w:t>
      </w:r>
      <w:proofErr w:type="spellStart"/>
      <w:r w:rsidR="008F2500" w:rsidRPr="00031AE3">
        <w:rPr>
          <w:rFonts w:ascii="Book Antiqua" w:eastAsia="Book Antiqua" w:hAnsi="Book Antiqua" w:cs="Book Antiqua"/>
        </w:rPr>
        <w:t>Vannucchi</w:t>
      </w:r>
      <w:proofErr w:type="spellEnd"/>
      <w:r w:rsidR="008F2500" w:rsidRPr="00031AE3">
        <w:rPr>
          <w:rFonts w:ascii="Book Antiqua" w:eastAsia="Book Antiqua" w:hAnsi="Book Antiqua" w:cs="Book Antiqua"/>
        </w:rPr>
        <w:t xml:space="preserve"> AM, Guglielmelli P, </w:t>
      </w:r>
      <w:proofErr w:type="spellStart"/>
      <w:r w:rsidR="008F2500" w:rsidRPr="00031AE3">
        <w:rPr>
          <w:rFonts w:ascii="Book Antiqua" w:eastAsia="Book Antiqua" w:hAnsi="Book Antiqua" w:cs="Book Antiqua"/>
        </w:rPr>
        <w:t>Orazi</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Tefferi</w:t>
      </w:r>
      <w:proofErr w:type="spellEnd"/>
      <w:r w:rsidR="008F2500" w:rsidRPr="00031AE3">
        <w:rPr>
          <w:rFonts w:ascii="Book Antiqua" w:eastAsia="Book Antiqua" w:hAnsi="Book Antiqua" w:cs="Book Antiqua"/>
        </w:rPr>
        <w:t xml:space="preserve"> A.</w:t>
      </w:r>
      <w:r w:rsidRPr="00031AE3">
        <w:rPr>
          <w:rFonts w:ascii="Book Antiqua" w:eastAsia="Book Antiqua" w:hAnsi="Book Antiqua" w:cs="Book Antiqua"/>
        </w:rPr>
        <w:t xml:space="preserve"> </w:t>
      </w:r>
      <w:r w:rsidR="008F2500" w:rsidRPr="00031AE3">
        <w:rPr>
          <w:rFonts w:ascii="Book Antiqua" w:eastAsia="Book Antiqua" w:hAnsi="Book Antiqua" w:cs="Book Antiqua"/>
        </w:rPr>
        <w:t>The 2016 WHO classification and diagnostic criteria for myeloproliferative neoplasms: document summary and in-depth discussion.</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Blood Cancer J</w:t>
      </w:r>
      <w:r w:rsidR="008F2500" w:rsidRPr="00031AE3">
        <w:rPr>
          <w:rFonts w:ascii="Book Antiqua" w:eastAsia="Book Antiqua" w:hAnsi="Book Antiqua" w:cs="Book Antiqua"/>
        </w:rPr>
        <w:t xml:space="preserve"> 2018;</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8</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15 [PMID: 29426921</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10.1038/s41408-018-0054-y]</w:t>
      </w:r>
    </w:p>
    <w:p w14:paraId="25A885B7" w14:textId="77777777" w:rsidR="00CF5845" w:rsidRPr="00031AE3" w:rsidRDefault="00CF5845" w:rsidP="00031AE3">
      <w:pPr>
        <w:snapToGrid w:val="0"/>
        <w:spacing w:line="360" w:lineRule="auto"/>
        <w:jc w:val="both"/>
      </w:pPr>
      <w:r w:rsidRPr="00031AE3">
        <w:rPr>
          <w:rFonts w:ascii="Book Antiqua" w:eastAsia="Book Antiqua" w:hAnsi="Book Antiqua" w:cs="Book Antiqua"/>
        </w:rPr>
        <w:t>4</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Jang MA</w:t>
      </w:r>
      <w:r w:rsidR="008F2500" w:rsidRPr="00031AE3">
        <w:rPr>
          <w:rFonts w:ascii="Book Antiqua" w:eastAsia="Book Antiqua" w:hAnsi="Book Antiqua" w:cs="Book Antiqua"/>
        </w:rPr>
        <w:t xml:space="preserve">, Choi CW. Recent insights regarding the molecular basis of myeloproliferative neoplasms. </w:t>
      </w:r>
      <w:r w:rsidR="008F2500" w:rsidRPr="00031AE3">
        <w:rPr>
          <w:rFonts w:ascii="Book Antiqua" w:eastAsia="Book Antiqua" w:hAnsi="Book Antiqua" w:cs="Book Antiqua"/>
          <w:i/>
          <w:iCs/>
        </w:rPr>
        <w:t>Korean J Intern Med</w:t>
      </w:r>
      <w:r w:rsidR="008F2500" w:rsidRPr="00031AE3">
        <w:rPr>
          <w:rFonts w:ascii="Book Antiqua" w:eastAsia="Book Antiqua" w:hAnsi="Book Antiqua" w:cs="Book Antiqua"/>
        </w:rPr>
        <w:t xml:space="preserve"> 2020;</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35</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1-11</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31778606</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10.3904/kjim.2019.317]</w:t>
      </w:r>
    </w:p>
    <w:p w14:paraId="5621D993" w14:textId="6E4D9AFE" w:rsidR="00A77B3E" w:rsidRPr="00031AE3" w:rsidRDefault="00CF5845" w:rsidP="00031AE3">
      <w:pPr>
        <w:snapToGrid w:val="0"/>
        <w:spacing w:line="360" w:lineRule="auto"/>
        <w:jc w:val="both"/>
      </w:pPr>
      <w:r w:rsidRPr="00031AE3">
        <w:rPr>
          <w:rFonts w:ascii="Book Antiqua" w:hAnsi="Book Antiqua"/>
        </w:rPr>
        <w:lastRenderedPageBreak/>
        <w:t>5</w:t>
      </w:r>
      <w:r w:rsidRPr="00031AE3">
        <w:t xml:space="preserve"> </w:t>
      </w:r>
      <w:r w:rsidR="008F2500" w:rsidRPr="00031AE3">
        <w:rPr>
          <w:rFonts w:ascii="Book Antiqua" w:eastAsia="Book Antiqua" w:hAnsi="Book Antiqua" w:cs="Book Antiqua"/>
          <w:b/>
          <w:bCs/>
        </w:rPr>
        <w:t>Li B</w:t>
      </w:r>
      <w:r w:rsidR="008F2500" w:rsidRPr="00031AE3">
        <w:rPr>
          <w:rFonts w:ascii="Book Antiqua" w:eastAsia="Book Antiqua" w:hAnsi="Book Antiqua" w:cs="Book Antiqua"/>
        </w:rPr>
        <w:t>, Gale RP, Xiao Z.</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Molecular genetics of chronic neutrophilic leukemia, chronic myelomonocytic leukemia and atypical chronic myeloid leukemia. </w:t>
      </w:r>
      <w:r w:rsidR="008F2500" w:rsidRPr="00031AE3">
        <w:rPr>
          <w:rFonts w:ascii="Book Antiqua" w:eastAsia="Book Antiqua" w:hAnsi="Book Antiqua" w:cs="Book Antiqua"/>
          <w:i/>
          <w:iCs/>
        </w:rPr>
        <w:t xml:space="preserve">J </w:t>
      </w:r>
      <w:proofErr w:type="spellStart"/>
      <w:r w:rsidR="008F2500" w:rsidRPr="00031AE3">
        <w:rPr>
          <w:rFonts w:ascii="Book Antiqua" w:eastAsia="Book Antiqua" w:hAnsi="Book Antiqua" w:cs="Book Antiqua"/>
          <w:i/>
          <w:iCs/>
        </w:rPr>
        <w:t>Hematol</w:t>
      </w:r>
      <w:proofErr w:type="spellEnd"/>
      <w:r w:rsidR="008F2500" w:rsidRPr="00031AE3">
        <w:rPr>
          <w:rFonts w:ascii="Book Antiqua" w:eastAsia="Book Antiqua" w:hAnsi="Book Antiqua" w:cs="Book Antiqua"/>
          <w:i/>
          <w:iCs/>
        </w:rPr>
        <w:t xml:space="preserve"> </w:t>
      </w:r>
      <w:proofErr w:type="spellStart"/>
      <w:r w:rsidR="008F2500" w:rsidRPr="00031AE3">
        <w:rPr>
          <w:rFonts w:ascii="Book Antiqua" w:eastAsia="Book Antiqua" w:hAnsi="Book Antiqua" w:cs="Book Antiqua"/>
          <w:i/>
          <w:iCs/>
        </w:rPr>
        <w:t>Oncol</w:t>
      </w:r>
      <w:proofErr w:type="spellEnd"/>
      <w:r w:rsidR="008F2500" w:rsidRPr="00031AE3">
        <w:rPr>
          <w:rFonts w:ascii="Book Antiqua" w:eastAsia="Book Antiqua" w:hAnsi="Book Antiqua" w:cs="Book Antiqua"/>
        </w:rPr>
        <w:t xml:space="preserve"> 2014;</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7:</w:t>
      </w:r>
      <w:r w:rsidRPr="00031AE3">
        <w:rPr>
          <w:rFonts w:ascii="Book Antiqua" w:eastAsia="Book Antiqua" w:hAnsi="Book Antiqua" w:cs="Book Antiqua"/>
        </w:rPr>
        <w:t xml:space="preserve"> </w:t>
      </w:r>
      <w:r w:rsidR="008F2500" w:rsidRPr="00031AE3">
        <w:rPr>
          <w:rFonts w:ascii="Book Antiqua" w:eastAsia="Book Antiqua" w:hAnsi="Book Antiqua" w:cs="Book Antiqua"/>
        </w:rPr>
        <w:t>93</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25498990</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10.1186/s13045-014-0093-1]</w:t>
      </w:r>
    </w:p>
    <w:p w14:paraId="6BA4D0FD" w14:textId="279EA98B" w:rsidR="00A77B3E" w:rsidRPr="00031AE3" w:rsidRDefault="00CF5845" w:rsidP="00031AE3">
      <w:pPr>
        <w:snapToGrid w:val="0"/>
        <w:spacing w:line="360" w:lineRule="auto"/>
        <w:jc w:val="both"/>
      </w:pPr>
      <w:r w:rsidRPr="00031AE3">
        <w:rPr>
          <w:rFonts w:ascii="Book Antiqua" w:eastAsia="Book Antiqua" w:hAnsi="Book Antiqua" w:cs="Book Antiqua"/>
        </w:rPr>
        <w:t xml:space="preserve">6 </w:t>
      </w:r>
      <w:proofErr w:type="spellStart"/>
      <w:r w:rsidR="008F2500" w:rsidRPr="00031AE3">
        <w:rPr>
          <w:rFonts w:ascii="Book Antiqua" w:eastAsia="Book Antiqua" w:hAnsi="Book Antiqua" w:cs="Book Antiqua"/>
          <w:b/>
          <w:bCs/>
        </w:rPr>
        <w:t>Shomali</w:t>
      </w:r>
      <w:proofErr w:type="spellEnd"/>
      <w:r w:rsidR="008F2500" w:rsidRPr="00031AE3">
        <w:rPr>
          <w:rFonts w:ascii="Book Antiqua" w:eastAsia="Book Antiqua" w:hAnsi="Book Antiqua" w:cs="Book Antiqua"/>
          <w:b/>
          <w:bCs/>
        </w:rPr>
        <w:t xml:space="preserve"> W</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Gotlib</w:t>
      </w:r>
      <w:proofErr w:type="spellEnd"/>
      <w:r w:rsidR="008F2500" w:rsidRPr="00031AE3">
        <w:rPr>
          <w:rFonts w:ascii="Book Antiqua" w:eastAsia="Book Antiqua" w:hAnsi="Book Antiqua" w:cs="Book Antiqua"/>
        </w:rPr>
        <w:t xml:space="preserve"> J.</w:t>
      </w:r>
      <w:r w:rsidRPr="00031AE3">
        <w:rPr>
          <w:rFonts w:ascii="Book Antiqua" w:eastAsia="Book Antiqua" w:hAnsi="Book Antiqua" w:cs="Book Antiqua"/>
        </w:rPr>
        <w:t xml:space="preserve"> </w:t>
      </w:r>
      <w:r w:rsidR="008F2500" w:rsidRPr="00031AE3">
        <w:rPr>
          <w:rFonts w:ascii="Book Antiqua" w:eastAsia="Book Antiqua" w:hAnsi="Book Antiqua" w:cs="Book Antiqua"/>
        </w:rPr>
        <w:t>World Health Organization-defined eosinophilic disorders: 2019 update on diagnosis, risk stratification, and management.</w:t>
      </w:r>
      <w:r w:rsidR="008F2500" w:rsidRPr="00031AE3">
        <w:rPr>
          <w:rFonts w:ascii="Book Antiqua" w:eastAsia="Book Antiqua" w:hAnsi="Book Antiqua" w:cs="Book Antiqua"/>
          <w:i/>
          <w:iCs/>
        </w:rPr>
        <w:t xml:space="preserve"> Am J </w:t>
      </w:r>
      <w:proofErr w:type="spellStart"/>
      <w:r w:rsidR="008F2500" w:rsidRPr="00031AE3">
        <w:rPr>
          <w:rFonts w:ascii="Book Antiqua" w:eastAsia="Book Antiqua" w:hAnsi="Book Antiqua" w:cs="Book Antiqua"/>
          <w:i/>
          <w:iCs/>
        </w:rPr>
        <w:t>Hematol</w:t>
      </w:r>
      <w:proofErr w:type="spellEnd"/>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94</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1149-1167</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31423623</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10.1002/ajh.25617]</w:t>
      </w:r>
    </w:p>
    <w:p w14:paraId="2CF26C07" w14:textId="63482A7C" w:rsidR="00A77B3E" w:rsidRPr="00031AE3" w:rsidRDefault="00CF5845" w:rsidP="00031AE3">
      <w:pPr>
        <w:snapToGrid w:val="0"/>
        <w:spacing w:line="360" w:lineRule="auto"/>
        <w:jc w:val="both"/>
      </w:pPr>
      <w:r w:rsidRPr="00031AE3">
        <w:rPr>
          <w:rFonts w:ascii="Book Antiqua" w:eastAsia="Book Antiqua" w:hAnsi="Book Antiqua" w:cs="Book Antiqua"/>
        </w:rPr>
        <w:t>7</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Pardanani</w:t>
      </w:r>
      <w:proofErr w:type="spellEnd"/>
      <w:r w:rsidR="008F2500" w:rsidRPr="00031AE3">
        <w:rPr>
          <w:rFonts w:ascii="Book Antiqua" w:eastAsia="Book Antiqua" w:hAnsi="Book Antiqua" w:cs="Book Antiqua"/>
          <w:b/>
          <w:bCs/>
        </w:rPr>
        <w:t xml:space="preserve"> A</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Systemic mastocytosis in adults: 2019 update on diagnosis, risk stratification and management. </w:t>
      </w:r>
      <w:r w:rsidR="008F2500" w:rsidRPr="00031AE3">
        <w:rPr>
          <w:rFonts w:ascii="Book Antiqua" w:eastAsia="Book Antiqua" w:hAnsi="Book Antiqua" w:cs="Book Antiqua"/>
          <w:i/>
          <w:iCs/>
        </w:rPr>
        <w:t xml:space="preserve">Am J </w:t>
      </w:r>
      <w:proofErr w:type="spellStart"/>
      <w:r w:rsidR="008F2500" w:rsidRPr="00031AE3">
        <w:rPr>
          <w:rFonts w:ascii="Book Antiqua" w:eastAsia="Book Antiqua" w:hAnsi="Book Antiqua" w:cs="Book Antiqua"/>
          <w:i/>
          <w:iCs/>
        </w:rPr>
        <w:t>Hematol</w:t>
      </w:r>
      <w:proofErr w:type="spellEnd"/>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94</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363-377 [PMID: 30536695</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10.1002/ajh.25371]</w:t>
      </w:r>
    </w:p>
    <w:p w14:paraId="6B271498" w14:textId="035C809D" w:rsidR="00A77B3E" w:rsidRPr="00031AE3" w:rsidRDefault="00CF5845" w:rsidP="00031AE3">
      <w:pPr>
        <w:snapToGrid w:val="0"/>
        <w:spacing w:line="360" w:lineRule="auto"/>
        <w:jc w:val="both"/>
      </w:pPr>
      <w:r w:rsidRPr="00031AE3">
        <w:rPr>
          <w:rFonts w:ascii="Book Antiqua" w:eastAsia="Book Antiqua" w:hAnsi="Book Antiqua" w:cs="Book Antiqua"/>
        </w:rPr>
        <w:t>8</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 xml:space="preserve">Zafar U, </w:t>
      </w:r>
      <w:r w:rsidR="008F2500" w:rsidRPr="00031AE3">
        <w:rPr>
          <w:rFonts w:ascii="Book Antiqua" w:eastAsia="Book Antiqua" w:hAnsi="Book Antiqua" w:cs="Book Antiqua"/>
        </w:rPr>
        <w:t>Khaliq S, Ahmad HU, Manzoor S, Lone KP. Metabolic syndrome: an</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update on diagnostic criteria, pathogenesis, and genetic links. </w:t>
      </w:r>
      <w:r w:rsidR="008F2500" w:rsidRPr="00031AE3">
        <w:rPr>
          <w:rFonts w:ascii="Book Antiqua" w:eastAsia="Book Antiqua" w:hAnsi="Book Antiqua" w:cs="Book Antiqua"/>
          <w:i/>
          <w:iCs/>
        </w:rPr>
        <w:t>Hormones</w:t>
      </w:r>
      <w:r w:rsidRPr="00031AE3">
        <w:rPr>
          <w:rFonts w:ascii="Book Antiqua" w:eastAsia="Book Antiqua" w:hAnsi="Book Antiqua" w:cs="Book Antiqua"/>
          <w:i/>
          <w:iCs/>
        </w:rPr>
        <w:t xml:space="preserve"> </w:t>
      </w:r>
      <w:r w:rsidR="008F2500" w:rsidRPr="00031AE3">
        <w:rPr>
          <w:rFonts w:ascii="Book Antiqua" w:eastAsia="Book Antiqua" w:hAnsi="Book Antiqua" w:cs="Book Antiqua"/>
          <w:i/>
          <w:iCs/>
        </w:rPr>
        <w:t>(Athens)</w:t>
      </w:r>
      <w:r w:rsidR="008F2500" w:rsidRPr="00031AE3">
        <w:rPr>
          <w:rFonts w:ascii="Book Antiqua" w:eastAsia="Book Antiqua" w:hAnsi="Book Antiqua" w:cs="Book Antiqua"/>
        </w:rPr>
        <w:t xml:space="preserve"> 2018;</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17</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299-313 [PMID: 30171523</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10.1007/s42000-018-0051-3]</w:t>
      </w:r>
    </w:p>
    <w:p w14:paraId="554DF312" w14:textId="3132ECA6" w:rsidR="00A77B3E" w:rsidRPr="00031AE3" w:rsidRDefault="00CF5845" w:rsidP="00031AE3">
      <w:pPr>
        <w:snapToGrid w:val="0"/>
        <w:spacing w:line="360" w:lineRule="auto"/>
        <w:jc w:val="both"/>
      </w:pPr>
      <w:r w:rsidRPr="00031AE3">
        <w:rPr>
          <w:rFonts w:ascii="Book Antiqua" w:eastAsia="Book Antiqua" w:hAnsi="Book Antiqua" w:cs="Book Antiqua"/>
        </w:rPr>
        <w:t>9</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Williams RR</w:t>
      </w:r>
      <w:r w:rsidR="008F2500" w:rsidRPr="00031AE3">
        <w:rPr>
          <w:rFonts w:ascii="Book Antiqua" w:eastAsia="Book Antiqua" w:hAnsi="Book Antiqua" w:cs="Book Antiqua"/>
        </w:rPr>
        <w:t xml:space="preserve">, Hopkins PN, Hunt SC, Schumacher MC, </w:t>
      </w:r>
      <w:proofErr w:type="spellStart"/>
      <w:r w:rsidR="008F2500" w:rsidRPr="00031AE3">
        <w:rPr>
          <w:rFonts w:ascii="Book Antiqua" w:eastAsia="Book Antiqua" w:hAnsi="Book Antiqua" w:cs="Book Antiqua"/>
        </w:rPr>
        <w:t>Elbein</w:t>
      </w:r>
      <w:proofErr w:type="spellEnd"/>
      <w:r w:rsidR="008F2500" w:rsidRPr="00031AE3">
        <w:rPr>
          <w:rFonts w:ascii="Book Antiqua" w:eastAsia="Book Antiqua" w:hAnsi="Book Antiqua" w:cs="Book Antiqua"/>
        </w:rPr>
        <w:t xml:space="preserve"> SC, Wilson DE, Stults</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BM, Wu LL, </w:t>
      </w:r>
      <w:proofErr w:type="spellStart"/>
      <w:r w:rsidR="008F2500" w:rsidRPr="00031AE3">
        <w:rPr>
          <w:rFonts w:ascii="Book Antiqua" w:eastAsia="Book Antiqua" w:hAnsi="Book Antiqua" w:cs="Book Antiqua"/>
        </w:rPr>
        <w:t>Hasstedt</w:t>
      </w:r>
      <w:proofErr w:type="spellEnd"/>
      <w:r w:rsidR="008F2500" w:rsidRPr="00031AE3">
        <w:rPr>
          <w:rFonts w:ascii="Book Antiqua" w:eastAsia="Book Antiqua" w:hAnsi="Book Antiqua" w:cs="Book Antiqua"/>
        </w:rPr>
        <w:t xml:space="preserve"> SJ, </w:t>
      </w:r>
      <w:proofErr w:type="spellStart"/>
      <w:r w:rsidR="008F2500" w:rsidRPr="00031AE3">
        <w:rPr>
          <w:rFonts w:ascii="Book Antiqua" w:eastAsia="Book Antiqua" w:hAnsi="Book Antiqua" w:cs="Book Antiqua"/>
        </w:rPr>
        <w:t>Lalouel</w:t>
      </w:r>
      <w:proofErr w:type="spellEnd"/>
      <w:r w:rsidR="008F2500" w:rsidRPr="00031AE3">
        <w:rPr>
          <w:rFonts w:ascii="Book Antiqua" w:eastAsia="Book Antiqua" w:hAnsi="Book Antiqua" w:cs="Book Antiqua"/>
        </w:rPr>
        <w:t xml:space="preserve"> JM. Familial </w:t>
      </w:r>
      <w:proofErr w:type="spellStart"/>
      <w:r w:rsidR="008F2500" w:rsidRPr="00031AE3">
        <w:rPr>
          <w:rFonts w:ascii="Book Antiqua" w:eastAsia="Book Antiqua" w:hAnsi="Book Antiqua" w:cs="Book Antiqua"/>
        </w:rPr>
        <w:t>dyslipidaemic</w:t>
      </w:r>
      <w:proofErr w:type="spellEnd"/>
      <w:r w:rsidR="008F2500" w:rsidRPr="00031AE3">
        <w:rPr>
          <w:rFonts w:ascii="Book Antiqua" w:eastAsia="Book Antiqua" w:hAnsi="Book Antiqua" w:cs="Book Antiqua"/>
        </w:rPr>
        <w:t xml:space="preserve"> hypertension and</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other multiple metabolic syndromes. </w:t>
      </w:r>
      <w:r w:rsidR="008F2500" w:rsidRPr="00031AE3">
        <w:rPr>
          <w:rFonts w:ascii="Book Antiqua" w:eastAsia="Book Antiqua" w:hAnsi="Book Antiqua" w:cs="Book Antiqua"/>
          <w:i/>
          <w:iCs/>
        </w:rPr>
        <w:t>Ann Med</w:t>
      </w:r>
      <w:r w:rsidR="008F2500" w:rsidRPr="00031AE3">
        <w:rPr>
          <w:rFonts w:ascii="Book Antiqua" w:eastAsia="Book Antiqua" w:hAnsi="Book Antiqua" w:cs="Book Antiqua"/>
        </w:rPr>
        <w:t xml:space="preserve"> 1992;</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24</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469-475 [PMID: 1485941</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10.3109/07853899209166998]</w:t>
      </w:r>
    </w:p>
    <w:p w14:paraId="2A72CA17" w14:textId="4CBA2070" w:rsidR="00A77B3E" w:rsidRPr="00031AE3" w:rsidRDefault="00CF5845" w:rsidP="00031AE3">
      <w:pPr>
        <w:snapToGrid w:val="0"/>
        <w:spacing w:line="360" w:lineRule="auto"/>
        <w:jc w:val="both"/>
      </w:pPr>
      <w:r w:rsidRPr="00031AE3">
        <w:rPr>
          <w:rFonts w:ascii="Book Antiqua" w:eastAsia="Book Antiqua" w:hAnsi="Book Antiqua" w:cs="Book Antiqua"/>
        </w:rPr>
        <w:t>10</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Mikolasevic</w:t>
      </w:r>
      <w:proofErr w:type="spellEnd"/>
      <w:r w:rsidR="008F2500" w:rsidRPr="00031AE3">
        <w:rPr>
          <w:rFonts w:ascii="Book Antiqua" w:eastAsia="Book Antiqua" w:hAnsi="Book Antiqua" w:cs="Book Antiqua"/>
          <w:b/>
          <w:bCs/>
        </w:rPr>
        <w:t xml:space="preserve"> I</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Milic</w:t>
      </w:r>
      <w:proofErr w:type="spellEnd"/>
      <w:r w:rsidR="008F2500" w:rsidRPr="00031AE3">
        <w:rPr>
          <w:rFonts w:ascii="Book Antiqua" w:eastAsia="Book Antiqua" w:hAnsi="Book Antiqua" w:cs="Book Antiqua"/>
        </w:rPr>
        <w:t xml:space="preserve"> S, Turk </w:t>
      </w:r>
      <w:proofErr w:type="spellStart"/>
      <w:r w:rsidR="008F2500" w:rsidRPr="00031AE3">
        <w:rPr>
          <w:rFonts w:ascii="Book Antiqua" w:eastAsia="Book Antiqua" w:hAnsi="Book Antiqua" w:cs="Book Antiqua"/>
        </w:rPr>
        <w:t>Wensveen</w:t>
      </w:r>
      <w:proofErr w:type="spellEnd"/>
      <w:r w:rsidR="008F2500" w:rsidRPr="00031AE3">
        <w:rPr>
          <w:rFonts w:ascii="Book Antiqua" w:eastAsia="Book Antiqua" w:hAnsi="Book Antiqua" w:cs="Book Antiqua"/>
        </w:rPr>
        <w:t xml:space="preserve"> T, </w:t>
      </w:r>
      <w:proofErr w:type="spellStart"/>
      <w:r w:rsidR="008F2500" w:rsidRPr="00031AE3">
        <w:rPr>
          <w:rFonts w:ascii="Book Antiqua" w:eastAsia="Book Antiqua" w:hAnsi="Book Antiqua" w:cs="Book Antiqua"/>
        </w:rPr>
        <w:t>Grgic</w:t>
      </w:r>
      <w:proofErr w:type="spellEnd"/>
      <w:r w:rsidR="008F2500" w:rsidRPr="00031AE3">
        <w:rPr>
          <w:rFonts w:ascii="Book Antiqua" w:eastAsia="Book Antiqua" w:hAnsi="Book Antiqua" w:cs="Book Antiqua"/>
        </w:rPr>
        <w:t xml:space="preserve"> I, </w:t>
      </w:r>
      <w:proofErr w:type="spellStart"/>
      <w:r w:rsidR="008F2500" w:rsidRPr="00031AE3">
        <w:rPr>
          <w:rFonts w:ascii="Book Antiqua" w:eastAsia="Book Antiqua" w:hAnsi="Book Antiqua" w:cs="Book Antiqua"/>
        </w:rPr>
        <w:t>Jakopcic</w:t>
      </w:r>
      <w:proofErr w:type="spellEnd"/>
      <w:r w:rsidR="008F2500" w:rsidRPr="00031AE3">
        <w:rPr>
          <w:rFonts w:ascii="Book Antiqua" w:eastAsia="Book Antiqua" w:hAnsi="Book Antiqua" w:cs="Book Antiqua"/>
        </w:rPr>
        <w:t xml:space="preserve"> I, </w:t>
      </w:r>
      <w:proofErr w:type="spellStart"/>
      <w:r w:rsidR="008F2500" w:rsidRPr="00031AE3">
        <w:rPr>
          <w:rFonts w:ascii="Book Antiqua" w:eastAsia="Book Antiqua" w:hAnsi="Book Antiqua" w:cs="Book Antiqua"/>
        </w:rPr>
        <w:t>Stimac</w:t>
      </w:r>
      <w:proofErr w:type="spellEnd"/>
      <w:r w:rsidR="008F2500" w:rsidRPr="00031AE3">
        <w:rPr>
          <w:rFonts w:ascii="Book Antiqua" w:eastAsia="Book Antiqua" w:hAnsi="Book Antiqua" w:cs="Book Antiqua"/>
        </w:rPr>
        <w:t xml:space="preserve"> D,</w:t>
      </w:r>
      <w:r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Wensveen</w:t>
      </w:r>
      <w:proofErr w:type="spellEnd"/>
      <w:r w:rsidR="008F2500" w:rsidRPr="00031AE3">
        <w:rPr>
          <w:rFonts w:ascii="Book Antiqua" w:eastAsia="Book Antiqua" w:hAnsi="Book Antiqua" w:cs="Book Antiqua"/>
        </w:rPr>
        <w:t xml:space="preserve"> F, </w:t>
      </w:r>
      <w:proofErr w:type="spellStart"/>
      <w:r w:rsidR="008F2500" w:rsidRPr="00031AE3">
        <w:rPr>
          <w:rFonts w:ascii="Book Antiqua" w:eastAsia="Book Antiqua" w:hAnsi="Book Antiqua" w:cs="Book Antiqua"/>
        </w:rPr>
        <w:t>Orlic</w:t>
      </w:r>
      <w:proofErr w:type="spellEnd"/>
      <w:r w:rsidR="008F2500" w:rsidRPr="00031AE3">
        <w:rPr>
          <w:rFonts w:ascii="Book Antiqua" w:eastAsia="Book Antiqua" w:hAnsi="Book Antiqua" w:cs="Book Antiqua"/>
        </w:rPr>
        <w:t xml:space="preserve"> L. Nonalcoholic fatty liver disease - A multisystem disease?</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World J Gastroenterol</w:t>
      </w:r>
      <w:r w:rsidRPr="00031AE3">
        <w:rPr>
          <w:rFonts w:ascii="Book Antiqua" w:eastAsia="Book Antiqua" w:hAnsi="Book Antiqua" w:cs="Book Antiqua"/>
        </w:rPr>
        <w:t xml:space="preserve"> </w:t>
      </w:r>
      <w:r w:rsidR="008F2500" w:rsidRPr="00031AE3">
        <w:rPr>
          <w:rFonts w:ascii="Book Antiqua" w:eastAsia="Book Antiqua" w:hAnsi="Book Antiqua" w:cs="Book Antiqua"/>
        </w:rPr>
        <w:t>2016;</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22</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9488-9505 [PMID: 27920470 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10.3748/wjg.v22.i43.9488]</w:t>
      </w:r>
    </w:p>
    <w:p w14:paraId="10BF91F3" w14:textId="15295F5D" w:rsidR="00A77B3E" w:rsidRPr="00031AE3" w:rsidRDefault="00CF5845" w:rsidP="00031AE3">
      <w:pPr>
        <w:snapToGrid w:val="0"/>
        <w:spacing w:line="360" w:lineRule="auto"/>
        <w:jc w:val="both"/>
      </w:pPr>
      <w:r w:rsidRPr="00031AE3">
        <w:rPr>
          <w:rFonts w:ascii="Book Antiqua" w:eastAsia="Book Antiqua" w:hAnsi="Book Antiqua" w:cs="Book Antiqua"/>
        </w:rPr>
        <w:t>11</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Chiang JY</w:t>
      </w:r>
      <w:r w:rsidR="008F2500" w:rsidRPr="00031AE3">
        <w:rPr>
          <w:rFonts w:ascii="Book Antiqua" w:eastAsia="Book Antiqua" w:hAnsi="Book Antiqua" w:cs="Book Antiqua"/>
        </w:rPr>
        <w:t xml:space="preserve">. Bile acid metabolism and signaling. </w:t>
      </w:r>
      <w:proofErr w:type="spellStart"/>
      <w:r w:rsidR="008F2500" w:rsidRPr="00031AE3">
        <w:rPr>
          <w:rFonts w:ascii="Book Antiqua" w:eastAsia="Book Antiqua" w:hAnsi="Book Antiqua" w:cs="Book Antiqua"/>
          <w:i/>
          <w:iCs/>
        </w:rPr>
        <w:t>Compr</w:t>
      </w:r>
      <w:proofErr w:type="spellEnd"/>
      <w:r w:rsidR="008F2500" w:rsidRPr="00031AE3">
        <w:rPr>
          <w:rFonts w:ascii="Book Antiqua" w:eastAsia="Book Antiqua" w:hAnsi="Book Antiqua" w:cs="Book Antiqua"/>
          <w:i/>
          <w:iCs/>
        </w:rPr>
        <w:t xml:space="preserve"> </w:t>
      </w:r>
      <w:proofErr w:type="spellStart"/>
      <w:r w:rsidR="008F2500" w:rsidRPr="00031AE3">
        <w:rPr>
          <w:rFonts w:ascii="Book Antiqua" w:eastAsia="Book Antiqua" w:hAnsi="Book Antiqua" w:cs="Book Antiqua"/>
          <w:i/>
          <w:iCs/>
        </w:rPr>
        <w:t>Physiol</w:t>
      </w:r>
      <w:proofErr w:type="spellEnd"/>
      <w:r w:rsidR="008F2500" w:rsidRPr="00031AE3">
        <w:rPr>
          <w:rFonts w:ascii="Book Antiqua" w:eastAsia="Book Antiqua" w:hAnsi="Book Antiqua" w:cs="Book Antiqua"/>
        </w:rPr>
        <w:t xml:space="preserve"> 2013;</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1191-1212</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23897684</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10.1002/cphy.c120023]</w:t>
      </w:r>
    </w:p>
    <w:p w14:paraId="204ED698" w14:textId="23772F60" w:rsidR="00A77B3E" w:rsidRPr="00031AE3" w:rsidRDefault="008F2500" w:rsidP="00031AE3">
      <w:pPr>
        <w:snapToGrid w:val="0"/>
        <w:spacing w:line="360" w:lineRule="auto"/>
        <w:jc w:val="both"/>
      </w:pPr>
      <w:r w:rsidRPr="00031AE3">
        <w:rPr>
          <w:rFonts w:ascii="Book Antiqua" w:eastAsia="Book Antiqua" w:hAnsi="Book Antiqua" w:cs="Book Antiqua"/>
        </w:rPr>
        <w:t>12</w:t>
      </w:r>
      <w:r w:rsidRPr="00031AE3">
        <w:rPr>
          <w:rFonts w:ascii="Book Antiqua" w:eastAsia="Book Antiqua" w:hAnsi="Book Antiqua" w:cs="Book Antiqua"/>
          <w:b/>
          <w:bCs/>
        </w:rPr>
        <w:t xml:space="preserve"> </w:t>
      </w:r>
      <w:proofErr w:type="spellStart"/>
      <w:r w:rsidRPr="00031AE3">
        <w:rPr>
          <w:rFonts w:ascii="Book Antiqua" w:eastAsia="Book Antiqua" w:hAnsi="Book Antiqua" w:cs="Book Antiqua"/>
          <w:b/>
          <w:bCs/>
        </w:rPr>
        <w:t>Targher</w:t>
      </w:r>
      <w:proofErr w:type="spellEnd"/>
      <w:r w:rsidRPr="00031AE3">
        <w:rPr>
          <w:rFonts w:ascii="Book Antiqua" w:eastAsia="Book Antiqua" w:hAnsi="Book Antiqua" w:cs="Book Antiqua"/>
          <w:b/>
          <w:bCs/>
        </w:rPr>
        <w:t xml:space="preserve"> G</w:t>
      </w:r>
      <w:r w:rsidRPr="00031AE3">
        <w:rPr>
          <w:rFonts w:ascii="Book Antiqua" w:eastAsia="Book Antiqua" w:hAnsi="Book Antiqua" w:cs="Book Antiqua"/>
        </w:rPr>
        <w:t xml:space="preserve">, Byrne CD. Non-alcoholic fatty liver disease: an emerging driving force in chronic kidney disease. </w:t>
      </w:r>
      <w:r w:rsidRPr="00031AE3">
        <w:rPr>
          <w:rFonts w:ascii="Book Antiqua" w:eastAsia="Book Antiqua" w:hAnsi="Book Antiqua" w:cs="Book Antiqua"/>
          <w:i/>
          <w:iCs/>
        </w:rPr>
        <w:t>Nat Rev Nephrol</w:t>
      </w:r>
      <w:r w:rsidRPr="00031AE3">
        <w:rPr>
          <w:rFonts w:ascii="Book Antiqua" w:eastAsia="Book Antiqua" w:hAnsi="Book Antiqua" w:cs="Book Antiqua"/>
        </w:rPr>
        <w:t xml:space="preserve"> 2017; </w:t>
      </w:r>
      <w:r w:rsidRPr="00031AE3">
        <w:rPr>
          <w:rFonts w:ascii="Book Antiqua" w:eastAsia="Book Antiqua" w:hAnsi="Book Antiqua" w:cs="Book Antiqua"/>
          <w:b/>
          <w:bCs/>
        </w:rPr>
        <w:t>13</w:t>
      </w:r>
      <w:r w:rsidRPr="00031AE3">
        <w:rPr>
          <w:rFonts w:ascii="Book Antiqua" w:eastAsia="Book Antiqua" w:hAnsi="Book Antiqua" w:cs="Book Antiqua"/>
        </w:rPr>
        <w:t>: 297-310 [PMID: 28218263 DOI: 10.1038/nrneph.2017.16]</w:t>
      </w:r>
    </w:p>
    <w:p w14:paraId="0B8B4B5B" w14:textId="2EF24E3B" w:rsidR="00A77B3E" w:rsidRPr="00031AE3" w:rsidRDefault="008F2500" w:rsidP="00031AE3">
      <w:pPr>
        <w:snapToGrid w:val="0"/>
        <w:spacing w:line="360" w:lineRule="auto"/>
        <w:jc w:val="both"/>
      </w:pPr>
      <w:r w:rsidRPr="00031AE3">
        <w:rPr>
          <w:rFonts w:ascii="Book Antiqua" w:eastAsia="Book Antiqua" w:hAnsi="Book Antiqua" w:cs="Book Antiqua"/>
        </w:rPr>
        <w:t>13</w:t>
      </w:r>
      <w:r w:rsidRPr="00031AE3">
        <w:rPr>
          <w:rFonts w:ascii="Book Antiqua" w:eastAsia="Book Antiqua" w:hAnsi="Book Antiqua" w:cs="Book Antiqua"/>
          <w:b/>
          <w:bCs/>
        </w:rPr>
        <w:t xml:space="preserve"> Wang CS</w:t>
      </w:r>
      <w:r w:rsidRPr="00031AE3">
        <w:rPr>
          <w:rFonts w:ascii="Book Antiqua" w:eastAsia="Book Antiqua" w:hAnsi="Book Antiqua" w:cs="Book Antiqua"/>
        </w:rPr>
        <w:t xml:space="preserve">, Greenbaum LA. Nephrotic Syndrome. </w:t>
      </w:r>
      <w:proofErr w:type="spellStart"/>
      <w:r w:rsidRPr="00031AE3">
        <w:rPr>
          <w:rFonts w:ascii="Book Antiqua" w:eastAsia="Book Antiqua" w:hAnsi="Book Antiqua" w:cs="Book Antiqua"/>
          <w:i/>
          <w:iCs/>
        </w:rPr>
        <w:t>Pediatr</w:t>
      </w:r>
      <w:proofErr w:type="spellEnd"/>
      <w:r w:rsidRPr="00031AE3">
        <w:rPr>
          <w:rFonts w:ascii="Book Antiqua" w:eastAsia="Book Antiqua" w:hAnsi="Book Antiqua" w:cs="Book Antiqua"/>
          <w:i/>
          <w:iCs/>
        </w:rPr>
        <w:t xml:space="preserve"> </w:t>
      </w:r>
      <w:proofErr w:type="spellStart"/>
      <w:r w:rsidRPr="00031AE3">
        <w:rPr>
          <w:rFonts w:ascii="Book Antiqua" w:eastAsia="Book Antiqua" w:hAnsi="Book Antiqua" w:cs="Book Antiqua"/>
          <w:i/>
          <w:iCs/>
        </w:rPr>
        <w:t>Clin</w:t>
      </w:r>
      <w:proofErr w:type="spellEnd"/>
      <w:r w:rsidRPr="00031AE3">
        <w:rPr>
          <w:rFonts w:ascii="Book Antiqua" w:eastAsia="Book Antiqua" w:hAnsi="Book Antiqua" w:cs="Book Antiqua"/>
          <w:i/>
          <w:iCs/>
        </w:rPr>
        <w:t xml:space="preserve"> North Am</w:t>
      </w:r>
      <w:r w:rsidRPr="00031AE3">
        <w:rPr>
          <w:rFonts w:ascii="Book Antiqua" w:eastAsia="Book Antiqua" w:hAnsi="Book Antiqua" w:cs="Book Antiqua"/>
        </w:rPr>
        <w:t xml:space="preserve"> 2019; </w:t>
      </w:r>
      <w:r w:rsidRPr="00031AE3">
        <w:rPr>
          <w:rFonts w:ascii="Book Antiqua" w:eastAsia="Book Antiqua" w:hAnsi="Book Antiqua" w:cs="Book Antiqua"/>
          <w:b/>
          <w:bCs/>
        </w:rPr>
        <w:t>66</w:t>
      </w:r>
      <w:r w:rsidRPr="00031AE3">
        <w:rPr>
          <w:rFonts w:ascii="Book Antiqua" w:eastAsia="Book Antiqua" w:hAnsi="Book Antiqua" w:cs="Book Antiqua"/>
        </w:rPr>
        <w:t>: 73-85 [PMID: 30454752 DOI: 10.1016/j.pcl.2018.08.006]</w:t>
      </w:r>
    </w:p>
    <w:p w14:paraId="79D69621" w14:textId="3787DDDE" w:rsidR="00A77B3E" w:rsidRPr="00031AE3" w:rsidRDefault="008F2500" w:rsidP="00031AE3">
      <w:pPr>
        <w:snapToGrid w:val="0"/>
        <w:spacing w:line="360" w:lineRule="auto"/>
        <w:jc w:val="both"/>
      </w:pPr>
      <w:r w:rsidRPr="00031AE3">
        <w:rPr>
          <w:rFonts w:ascii="Book Antiqua" w:eastAsia="Book Antiqua" w:hAnsi="Book Antiqua" w:cs="Book Antiqua"/>
        </w:rPr>
        <w:t>14</w:t>
      </w:r>
      <w:r w:rsidRPr="00031AE3">
        <w:rPr>
          <w:rFonts w:ascii="Book Antiqua" w:eastAsia="Book Antiqua" w:hAnsi="Book Antiqua" w:cs="Book Antiqua"/>
          <w:b/>
          <w:bCs/>
        </w:rPr>
        <w:t xml:space="preserve"> </w:t>
      </w:r>
      <w:proofErr w:type="spellStart"/>
      <w:r w:rsidRPr="00031AE3">
        <w:rPr>
          <w:rFonts w:ascii="Book Antiqua" w:eastAsia="Book Antiqua" w:hAnsi="Book Antiqua" w:cs="Book Antiqua"/>
          <w:b/>
          <w:bCs/>
        </w:rPr>
        <w:t>Vaziri</w:t>
      </w:r>
      <w:proofErr w:type="spellEnd"/>
      <w:r w:rsidRPr="00031AE3">
        <w:rPr>
          <w:rFonts w:ascii="Book Antiqua" w:eastAsia="Book Antiqua" w:hAnsi="Book Antiqua" w:cs="Book Antiqua"/>
          <w:b/>
          <w:bCs/>
        </w:rPr>
        <w:t xml:space="preserve"> ND</w:t>
      </w:r>
      <w:r w:rsidRPr="00031AE3">
        <w:rPr>
          <w:rFonts w:ascii="Book Antiqua" w:eastAsia="Book Antiqua" w:hAnsi="Book Antiqua" w:cs="Book Antiqua"/>
        </w:rPr>
        <w:t xml:space="preserve">. Disorders of lipid metabolism in nephrotic syndrome: mechanisms and consequences. </w:t>
      </w:r>
      <w:r w:rsidRPr="00031AE3">
        <w:rPr>
          <w:rFonts w:ascii="Book Antiqua" w:eastAsia="Book Antiqua" w:hAnsi="Book Antiqua" w:cs="Book Antiqua"/>
          <w:i/>
          <w:iCs/>
        </w:rPr>
        <w:t>Kidney Int</w:t>
      </w:r>
      <w:r w:rsidRPr="00031AE3">
        <w:rPr>
          <w:rFonts w:ascii="Book Antiqua" w:eastAsia="Book Antiqua" w:hAnsi="Book Antiqua" w:cs="Book Antiqua"/>
        </w:rPr>
        <w:t xml:space="preserve"> 2016; </w:t>
      </w:r>
      <w:r w:rsidRPr="00031AE3">
        <w:rPr>
          <w:rFonts w:ascii="Book Antiqua" w:eastAsia="Book Antiqua" w:hAnsi="Book Antiqua" w:cs="Book Antiqua"/>
          <w:b/>
          <w:bCs/>
        </w:rPr>
        <w:t>90</w:t>
      </w:r>
      <w:r w:rsidRPr="00031AE3">
        <w:rPr>
          <w:rFonts w:ascii="Book Antiqua" w:eastAsia="Book Antiqua" w:hAnsi="Book Antiqua" w:cs="Book Antiqua"/>
        </w:rPr>
        <w:t>: 41-52 [PMID: 27165836 DOI: 10.1016/j.kint.2016.02.026]</w:t>
      </w:r>
    </w:p>
    <w:p w14:paraId="384A7968" w14:textId="7C4C76A3" w:rsidR="00A77B3E" w:rsidRPr="00031AE3" w:rsidRDefault="008F2500" w:rsidP="00031AE3">
      <w:pPr>
        <w:snapToGrid w:val="0"/>
        <w:spacing w:line="360" w:lineRule="auto"/>
        <w:jc w:val="both"/>
      </w:pPr>
      <w:r w:rsidRPr="00031AE3">
        <w:rPr>
          <w:rFonts w:ascii="Book Antiqua" w:eastAsia="Book Antiqua" w:hAnsi="Book Antiqua" w:cs="Book Antiqua"/>
        </w:rPr>
        <w:lastRenderedPageBreak/>
        <w:t>15</w:t>
      </w:r>
      <w:r w:rsidRPr="00031AE3">
        <w:rPr>
          <w:rFonts w:ascii="Book Antiqua" w:eastAsia="Book Antiqua" w:hAnsi="Book Antiqua" w:cs="Book Antiqua"/>
          <w:b/>
          <w:bCs/>
        </w:rPr>
        <w:t xml:space="preserve"> </w:t>
      </w:r>
      <w:proofErr w:type="spellStart"/>
      <w:r w:rsidRPr="00031AE3">
        <w:rPr>
          <w:rFonts w:ascii="Book Antiqua" w:eastAsia="Book Antiqua" w:hAnsi="Book Antiqua" w:cs="Book Antiqua"/>
          <w:b/>
          <w:bCs/>
        </w:rPr>
        <w:t>Khatua</w:t>
      </w:r>
      <w:proofErr w:type="spellEnd"/>
      <w:r w:rsidRPr="00031AE3">
        <w:rPr>
          <w:rFonts w:ascii="Book Antiqua" w:eastAsia="Book Antiqua" w:hAnsi="Book Antiqua" w:cs="Book Antiqua"/>
          <w:b/>
          <w:bCs/>
        </w:rPr>
        <w:t xml:space="preserve"> B, </w:t>
      </w:r>
      <w:r w:rsidRPr="00031AE3">
        <w:rPr>
          <w:rFonts w:ascii="Book Antiqua" w:eastAsia="Book Antiqua" w:hAnsi="Book Antiqua" w:cs="Book Antiqua"/>
        </w:rPr>
        <w:t>El-</w:t>
      </w:r>
      <w:proofErr w:type="spellStart"/>
      <w:r w:rsidRPr="00031AE3">
        <w:rPr>
          <w:rFonts w:ascii="Book Antiqua" w:eastAsia="Book Antiqua" w:hAnsi="Book Antiqua" w:cs="Book Antiqua"/>
        </w:rPr>
        <w:t>Kurdi</w:t>
      </w:r>
      <w:proofErr w:type="spellEnd"/>
      <w:r w:rsidRPr="00031AE3">
        <w:rPr>
          <w:rFonts w:ascii="Book Antiqua" w:eastAsia="Book Antiqua" w:hAnsi="Book Antiqua" w:cs="Book Antiqua"/>
        </w:rPr>
        <w:t xml:space="preserve"> B, Singh VP. Obesity and pancreatitis. </w:t>
      </w:r>
      <w:proofErr w:type="spellStart"/>
      <w:r w:rsidRPr="00031AE3">
        <w:rPr>
          <w:rFonts w:ascii="Book Antiqua" w:eastAsia="Book Antiqua" w:hAnsi="Book Antiqua" w:cs="Book Antiqua"/>
          <w:i/>
          <w:iCs/>
        </w:rPr>
        <w:t>Curr</w:t>
      </w:r>
      <w:proofErr w:type="spellEnd"/>
      <w:r w:rsidRPr="00031AE3">
        <w:rPr>
          <w:rFonts w:ascii="Book Antiqua" w:eastAsia="Book Antiqua" w:hAnsi="Book Antiqua" w:cs="Book Antiqua"/>
          <w:i/>
          <w:iCs/>
        </w:rPr>
        <w:t xml:space="preserve"> </w:t>
      </w:r>
      <w:proofErr w:type="spellStart"/>
      <w:r w:rsidRPr="00031AE3">
        <w:rPr>
          <w:rFonts w:ascii="Book Antiqua" w:eastAsia="Book Antiqua" w:hAnsi="Book Antiqua" w:cs="Book Antiqua"/>
          <w:i/>
          <w:iCs/>
        </w:rPr>
        <w:t>Opin</w:t>
      </w:r>
      <w:proofErr w:type="spellEnd"/>
      <w:r w:rsidRPr="00031AE3">
        <w:rPr>
          <w:rFonts w:ascii="Book Antiqua" w:eastAsia="Book Antiqua" w:hAnsi="Book Antiqua" w:cs="Book Antiqua"/>
          <w:i/>
          <w:iCs/>
        </w:rPr>
        <w:t xml:space="preserve"> </w:t>
      </w:r>
      <w:proofErr w:type="spellStart"/>
      <w:r w:rsidRPr="00031AE3">
        <w:rPr>
          <w:rFonts w:ascii="Book Antiqua" w:eastAsia="Book Antiqua" w:hAnsi="Book Antiqua" w:cs="Book Antiqua"/>
          <w:i/>
          <w:iCs/>
        </w:rPr>
        <w:t>Gastroenterol</w:t>
      </w:r>
      <w:proofErr w:type="spellEnd"/>
      <w:r w:rsidRPr="00031AE3">
        <w:rPr>
          <w:rFonts w:ascii="Book Antiqua" w:eastAsia="Book Antiqua" w:hAnsi="Book Antiqua" w:cs="Book Antiqua"/>
        </w:rPr>
        <w:t xml:space="preserve"> 2017; </w:t>
      </w:r>
      <w:r w:rsidRPr="00031AE3">
        <w:rPr>
          <w:rFonts w:ascii="Book Antiqua" w:eastAsia="Book Antiqua" w:hAnsi="Book Antiqua" w:cs="Book Antiqua"/>
          <w:b/>
          <w:bCs/>
        </w:rPr>
        <w:t>33</w:t>
      </w:r>
      <w:r w:rsidRPr="00031AE3">
        <w:rPr>
          <w:rFonts w:ascii="Book Antiqua" w:eastAsia="Book Antiqua" w:hAnsi="Book Antiqua" w:cs="Book Antiqua"/>
        </w:rPr>
        <w:t>: 374-382 [PMID: 28719397 DOI: 10.1097/MOG.0000000000000386]</w:t>
      </w:r>
    </w:p>
    <w:p w14:paraId="1C2069B8" w14:textId="3D1E0E34" w:rsidR="00A77B3E" w:rsidRPr="00031AE3" w:rsidRDefault="008F2500" w:rsidP="00031AE3">
      <w:pPr>
        <w:snapToGrid w:val="0"/>
        <w:spacing w:line="360" w:lineRule="auto"/>
        <w:jc w:val="both"/>
      </w:pPr>
      <w:r w:rsidRPr="00031AE3">
        <w:rPr>
          <w:rFonts w:ascii="Book Antiqua" w:eastAsia="Book Antiqua" w:hAnsi="Book Antiqua" w:cs="Book Antiqua"/>
          <w:b/>
          <w:bCs/>
        </w:rPr>
        <w:t>16 Guo YY</w:t>
      </w:r>
      <w:r w:rsidRPr="00031AE3">
        <w:rPr>
          <w:rFonts w:ascii="Book Antiqua" w:eastAsia="Book Antiqua" w:hAnsi="Book Antiqua" w:cs="Book Antiqua"/>
        </w:rPr>
        <w:t>, Li HX, Zhang Y, He WH. Hypertriglyceridemia-induced acute</w:t>
      </w:r>
      <w:r w:rsidR="00476247" w:rsidRPr="00031AE3">
        <w:rPr>
          <w:rFonts w:ascii="Book Antiqua" w:eastAsia="Book Antiqua" w:hAnsi="Book Antiqua" w:cs="Book Antiqua"/>
        </w:rPr>
        <w:t xml:space="preserve"> </w:t>
      </w:r>
      <w:r w:rsidRPr="00031AE3">
        <w:rPr>
          <w:rFonts w:ascii="Book Antiqua" w:eastAsia="Book Antiqua" w:hAnsi="Book Antiqua" w:cs="Book Antiqua"/>
        </w:rPr>
        <w:t xml:space="preserve">pancreatitis: progress on disease mechanisms and treatment modalities. </w:t>
      </w:r>
      <w:proofErr w:type="spellStart"/>
      <w:r w:rsidRPr="00031AE3">
        <w:rPr>
          <w:rFonts w:ascii="Book Antiqua" w:eastAsia="Book Antiqua" w:hAnsi="Book Antiqua" w:cs="Book Antiqua"/>
          <w:i/>
          <w:iCs/>
        </w:rPr>
        <w:t>Discov</w:t>
      </w:r>
      <w:proofErr w:type="spellEnd"/>
      <w:r w:rsidR="00476247" w:rsidRPr="00031AE3">
        <w:rPr>
          <w:rFonts w:ascii="Book Antiqua" w:eastAsia="Book Antiqua" w:hAnsi="Book Antiqua" w:cs="Book Antiqua"/>
          <w:i/>
          <w:iCs/>
        </w:rPr>
        <w:t xml:space="preserve"> </w:t>
      </w:r>
      <w:r w:rsidRPr="00031AE3">
        <w:rPr>
          <w:rFonts w:ascii="Book Antiqua" w:eastAsia="Book Antiqua" w:hAnsi="Book Antiqua" w:cs="Book Antiqua"/>
          <w:i/>
          <w:iCs/>
        </w:rPr>
        <w:t>Med</w:t>
      </w:r>
      <w:r w:rsidRPr="00031AE3">
        <w:rPr>
          <w:rFonts w:ascii="Book Antiqua" w:eastAsia="Book Antiqua" w:hAnsi="Book Antiqua" w:cs="Book Antiqua"/>
        </w:rPr>
        <w:t xml:space="preserve"> 2019;</w:t>
      </w:r>
      <w:r w:rsidR="00476247" w:rsidRPr="00031AE3">
        <w:rPr>
          <w:rFonts w:ascii="Book Antiqua" w:eastAsia="Book Antiqua" w:hAnsi="Book Antiqua" w:cs="Book Antiqua"/>
        </w:rPr>
        <w:t xml:space="preserve"> </w:t>
      </w:r>
      <w:r w:rsidRPr="00031AE3">
        <w:rPr>
          <w:rFonts w:ascii="Book Antiqua" w:eastAsia="Book Antiqua" w:hAnsi="Book Antiqua" w:cs="Book Antiqua"/>
          <w:b/>
          <w:bCs/>
        </w:rPr>
        <w:t>27</w:t>
      </w:r>
      <w:r w:rsidRPr="00031AE3">
        <w:rPr>
          <w:rFonts w:ascii="Book Antiqua" w:eastAsia="Book Antiqua" w:hAnsi="Book Antiqua" w:cs="Book Antiqua"/>
        </w:rPr>
        <w:t>:</w:t>
      </w:r>
      <w:r w:rsidR="00476247" w:rsidRPr="00031AE3">
        <w:rPr>
          <w:rFonts w:ascii="Book Antiqua" w:eastAsia="Book Antiqua" w:hAnsi="Book Antiqua" w:cs="Book Antiqua"/>
        </w:rPr>
        <w:t xml:space="preserve"> </w:t>
      </w:r>
      <w:r w:rsidRPr="00031AE3">
        <w:rPr>
          <w:rFonts w:ascii="Book Antiqua" w:eastAsia="Book Antiqua" w:hAnsi="Book Antiqua" w:cs="Book Antiqua"/>
        </w:rPr>
        <w:t>101-109 [PMID: 30939294]</w:t>
      </w:r>
    </w:p>
    <w:p w14:paraId="228470A4" w14:textId="4120637C" w:rsidR="00A77B3E" w:rsidRPr="00031AE3" w:rsidRDefault="00476247" w:rsidP="00031AE3">
      <w:pPr>
        <w:snapToGrid w:val="0"/>
        <w:spacing w:line="360" w:lineRule="auto"/>
        <w:jc w:val="both"/>
      </w:pPr>
      <w:r w:rsidRPr="00031AE3">
        <w:rPr>
          <w:rFonts w:ascii="Book Antiqua" w:eastAsia="Book Antiqua" w:hAnsi="Book Antiqua" w:cs="Book Antiqua"/>
        </w:rPr>
        <w:t>17</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Ferraù</w:t>
      </w:r>
      <w:proofErr w:type="spellEnd"/>
      <w:r w:rsidR="008F2500" w:rsidRPr="00031AE3">
        <w:rPr>
          <w:rFonts w:ascii="Book Antiqua" w:eastAsia="Book Antiqua" w:hAnsi="Book Antiqua" w:cs="Book Antiqua"/>
          <w:b/>
          <w:bCs/>
        </w:rPr>
        <w:t xml:space="preserve"> F</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Korbonits</w:t>
      </w:r>
      <w:proofErr w:type="spellEnd"/>
      <w:r w:rsidR="008F2500" w:rsidRPr="00031AE3">
        <w:rPr>
          <w:rFonts w:ascii="Book Antiqua" w:eastAsia="Book Antiqua" w:hAnsi="Book Antiqua" w:cs="Book Antiqua"/>
        </w:rPr>
        <w:t xml:space="preserve"> M. Metabolic Syndrome in Cushing's Syndrome Patients.</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 xml:space="preserve">Front </w:t>
      </w:r>
      <w:proofErr w:type="spellStart"/>
      <w:r w:rsidR="008F2500" w:rsidRPr="00031AE3">
        <w:rPr>
          <w:rFonts w:ascii="Book Antiqua" w:eastAsia="Book Antiqua" w:hAnsi="Book Antiqua" w:cs="Book Antiqua"/>
          <w:i/>
          <w:iCs/>
        </w:rPr>
        <w:t>Horm</w:t>
      </w:r>
      <w:proofErr w:type="spellEnd"/>
      <w:r w:rsidR="008F2500" w:rsidRPr="00031AE3">
        <w:rPr>
          <w:rFonts w:ascii="Book Antiqua" w:eastAsia="Book Antiqua" w:hAnsi="Book Antiqua" w:cs="Book Antiqua"/>
          <w:i/>
          <w:iCs/>
        </w:rPr>
        <w:t xml:space="preserve"> Res</w:t>
      </w:r>
      <w:r w:rsidR="008F2500" w:rsidRPr="00031AE3">
        <w:rPr>
          <w:rFonts w:ascii="Book Antiqua" w:eastAsia="Book Antiqua" w:hAnsi="Book Antiqua" w:cs="Book Antiqua"/>
        </w:rPr>
        <w:t xml:space="preserve"> 2018;</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49</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85-103</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w:t>
      </w:r>
      <w:r w:rsidRPr="00031AE3">
        <w:rPr>
          <w:rFonts w:ascii="Book Antiqua" w:eastAsia="Book Antiqua" w:hAnsi="Book Antiqua" w:cs="Book Antiqua"/>
        </w:rPr>
        <w:t xml:space="preserve"> </w:t>
      </w:r>
      <w:r w:rsidR="008F2500" w:rsidRPr="00031AE3">
        <w:rPr>
          <w:rFonts w:ascii="Book Antiqua" w:eastAsia="Book Antiqua" w:hAnsi="Book Antiqua" w:cs="Book Antiqua"/>
        </w:rPr>
        <w:t>29894989</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10.1159/000486002]</w:t>
      </w:r>
    </w:p>
    <w:p w14:paraId="4DE21147" w14:textId="22B4F15E" w:rsidR="00A77B3E" w:rsidRPr="00031AE3" w:rsidRDefault="00476247" w:rsidP="00031AE3">
      <w:pPr>
        <w:snapToGrid w:val="0"/>
        <w:spacing w:line="360" w:lineRule="auto"/>
        <w:jc w:val="both"/>
      </w:pPr>
      <w:r w:rsidRPr="00031AE3">
        <w:rPr>
          <w:rFonts w:ascii="Book Antiqua" w:eastAsia="Book Antiqua" w:hAnsi="Book Antiqua" w:cs="Book Antiqua"/>
        </w:rPr>
        <w:t>18</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Nieman LK</w:t>
      </w:r>
      <w:r w:rsidR="008F2500" w:rsidRPr="00031AE3">
        <w:rPr>
          <w:rFonts w:ascii="Book Antiqua" w:eastAsia="Book Antiqua" w:hAnsi="Book Antiqua" w:cs="Book Antiqua"/>
        </w:rPr>
        <w:t>. Hypertension and Cardiovascular Mortality in Patients with Cushing</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Syndrome. </w:t>
      </w:r>
      <w:proofErr w:type="spellStart"/>
      <w:r w:rsidR="008F2500" w:rsidRPr="00031AE3">
        <w:rPr>
          <w:rFonts w:ascii="Book Antiqua" w:eastAsia="Book Antiqua" w:hAnsi="Book Antiqua" w:cs="Book Antiqua"/>
          <w:i/>
          <w:iCs/>
        </w:rPr>
        <w:t>Endocrinol</w:t>
      </w:r>
      <w:proofErr w:type="spellEnd"/>
      <w:r w:rsidR="008F2500" w:rsidRPr="00031AE3">
        <w:rPr>
          <w:rFonts w:ascii="Book Antiqua" w:eastAsia="Book Antiqua" w:hAnsi="Book Antiqua" w:cs="Book Antiqua"/>
          <w:i/>
          <w:iCs/>
        </w:rPr>
        <w:t xml:space="preserve"> </w:t>
      </w:r>
      <w:proofErr w:type="spellStart"/>
      <w:r w:rsidR="008F2500" w:rsidRPr="00031AE3">
        <w:rPr>
          <w:rFonts w:ascii="Book Antiqua" w:eastAsia="Book Antiqua" w:hAnsi="Book Antiqua" w:cs="Book Antiqua"/>
          <w:i/>
          <w:iCs/>
        </w:rPr>
        <w:t>Metab</w:t>
      </w:r>
      <w:proofErr w:type="spellEnd"/>
      <w:r w:rsidR="008F2500" w:rsidRPr="00031AE3">
        <w:rPr>
          <w:rFonts w:ascii="Book Antiqua" w:eastAsia="Book Antiqua" w:hAnsi="Book Antiqua" w:cs="Book Antiqua"/>
          <w:i/>
          <w:iCs/>
        </w:rPr>
        <w:t xml:space="preserve"> </w:t>
      </w:r>
      <w:proofErr w:type="spellStart"/>
      <w:r w:rsidR="008F2500" w:rsidRPr="00031AE3">
        <w:rPr>
          <w:rFonts w:ascii="Book Antiqua" w:eastAsia="Book Antiqua" w:hAnsi="Book Antiqua" w:cs="Book Antiqua"/>
          <w:i/>
          <w:iCs/>
        </w:rPr>
        <w:t>Clin</w:t>
      </w:r>
      <w:proofErr w:type="spellEnd"/>
      <w:r w:rsidR="008F2500" w:rsidRPr="00031AE3">
        <w:rPr>
          <w:rFonts w:ascii="Book Antiqua" w:eastAsia="Book Antiqua" w:hAnsi="Book Antiqua" w:cs="Book Antiqua"/>
          <w:i/>
          <w:iCs/>
        </w:rPr>
        <w:t xml:space="preserve"> North Am</w:t>
      </w:r>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48</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717-725 [PMID: 31655772</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10.1016/j.ecl.2019.08.005]</w:t>
      </w:r>
    </w:p>
    <w:p w14:paraId="74BDB87E" w14:textId="65BC8A1E" w:rsidR="00A77B3E" w:rsidRPr="00031AE3" w:rsidRDefault="00476247" w:rsidP="00031AE3">
      <w:pPr>
        <w:snapToGrid w:val="0"/>
        <w:spacing w:line="360" w:lineRule="auto"/>
        <w:jc w:val="both"/>
      </w:pPr>
      <w:r w:rsidRPr="00031AE3">
        <w:rPr>
          <w:rFonts w:ascii="Book Antiqua" w:eastAsia="Book Antiqua" w:hAnsi="Book Antiqua" w:cs="Book Antiqua"/>
        </w:rPr>
        <w:t>19</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Delitala</w:t>
      </w:r>
      <w:proofErr w:type="spellEnd"/>
      <w:r w:rsidR="008F2500" w:rsidRPr="00031AE3">
        <w:rPr>
          <w:rFonts w:ascii="Book Antiqua" w:eastAsia="Book Antiqua" w:hAnsi="Book Antiqua" w:cs="Book Antiqua"/>
          <w:b/>
          <w:bCs/>
        </w:rPr>
        <w:t xml:space="preserve"> AP, </w:t>
      </w:r>
      <w:proofErr w:type="spellStart"/>
      <w:r w:rsidR="008F2500" w:rsidRPr="00031AE3">
        <w:rPr>
          <w:rFonts w:ascii="Book Antiqua" w:eastAsia="Book Antiqua" w:hAnsi="Book Antiqua" w:cs="Book Antiqua"/>
        </w:rPr>
        <w:t>Scuteri</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Maioli</w:t>
      </w:r>
      <w:proofErr w:type="spellEnd"/>
      <w:r w:rsidR="008F2500" w:rsidRPr="00031AE3">
        <w:rPr>
          <w:rFonts w:ascii="Book Antiqua" w:eastAsia="Book Antiqua" w:hAnsi="Book Antiqua" w:cs="Book Antiqua"/>
        </w:rPr>
        <w:t xml:space="preserve"> M, </w:t>
      </w:r>
      <w:proofErr w:type="spellStart"/>
      <w:r w:rsidR="008F2500" w:rsidRPr="00031AE3">
        <w:rPr>
          <w:rFonts w:ascii="Book Antiqua" w:eastAsia="Book Antiqua" w:hAnsi="Book Antiqua" w:cs="Book Antiqua"/>
        </w:rPr>
        <w:t>Mangatia</w:t>
      </w:r>
      <w:proofErr w:type="spellEnd"/>
      <w:r w:rsidR="008F2500" w:rsidRPr="00031AE3">
        <w:rPr>
          <w:rFonts w:ascii="Book Antiqua" w:eastAsia="Book Antiqua" w:hAnsi="Book Antiqua" w:cs="Book Antiqua"/>
        </w:rPr>
        <w:t xml:space="preserve"> P, </w:t>
      </w:r>
      <w:proofErr w:type="spellStart"/>
      <w:r w:rsidR="008F2500" w:rsidRPr="00031AE3">
        <w:rPr>
          <w:rFonts w:ascii="Book Antiqua" w:eastAsia="Book Antiqua" w:hAnsi="Book Antiqua" w:cs="Book Antiqua"/>
        </w:rPr>
        <w:t>Vilardi</w:t>
      </w:r>
      <w:proofErr w:type="spellEnd"/>
      <w:r w:rsidR="008F2500" w:rsidRPr="00031AE3">
        <w:rPr>
          <w:rFonts w:ascii="Book Antiqua" w:eastAsia="Book Antiqua" w:hAnsi="Book Antiqua" w:cs="Book Antiqua"/>
        </w:rPr>
        <w:t xml:space="preserve"> L, </w:t>
      </w:r>
      <w:proofErr w:type="spellStart"/>
      <w:r w:rsidR="008F2500" w:rsidRPr="00031AE3">
        <w:rPr>
          <w:rFonts w:ascii="Book Antiqua" w:eastAsia="Book Antiqua" w:hAnsi="Book Antiqua" w:cs="Book Antiqua"/>
        </w:rPr>
        <w:t>Erre</w:t>
      </w:r>
      <w:proofErr w:type="spellEnd"/>
      <w:r w:rsidR="008F2500" w:rsidRPr="00031AE3">
        <w:rPr>
          <w:rFonts w:ascii="Book Antiqua" w:eastAsia="Book Antiqua" w:hAnsi="Book Antiqua" w:cs="Book Antiqua"/>
        </w:rPr>
        <w:t xml:space="preserve"> GL. Subclinical</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hypothyroidism and cardiovascular risk factors. </w:t>
      </w:r>
      <w:r w:rsidR="008F2500" w:rsidRPr="00031AE3">
        <w:rPr>
          <w:rFonts w:ascii="Book Antiqua" w:eastAsia="Book Antiqua" w:hAnsi="Book Antiqua" w:cs="Book Antiqua"/>
          <w:i/>
          <w:iCs/>
        </w:rPr>
        <w:t>Minerva Med</w:t>
      </w:r>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110</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530-545 [PMID:</w:t>
      </w:r>
      <w:r w:rsidRPr="00031AE3">
        <w:rPr>
          <w:rFonts w:ascii="Book Antiqua" w:eastAsia="Book Antiqua" w:hAnsi="Book Antiqua" w:cs="Book Antiqua"/>
        </w:rPr>
        <w:t xml:space="preserve"> </w:t>
      </w:r>
      <w:r w:rsidR="008F2500" w:rsidRPr="00031AE3">
        <w:rPr>
          <w:rFonts w:ascii="Book Antiqua" w:eastAsia="Book Antiqua" w:hAnsi="Book Antiqua" w:cs="Book Antiqua"/>
        </w:rPr>
        <w:t>31726814</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10.23736/S0026-4806.19.06292-X]</w:t>
      </w:r>
    </w:p>
    <w:p w14:paraId="2D5BA299" w14:textId="61ECA24C" w:rsidR="00A77B3E" w:rsidRPr="00031AE3" w:rsidRDefault="00476247" w:rsidP="00031AE3">
      <w:pPr>
        <w:snapToGrid w:val="0"/>
        <w:spacing w:line="360" w:lineRule="auto"/>
        <w:jc w:val="both"/>
      </w:pPr>
      <w:r w:rsidRPr="00031AE3">
        <w:rPr>
          <w:rFonts w:ascii="Book Antiqua" w:eastAsia="Book Antiqua" w:hAnsi="Book Antiqua" w:cs="Book Antiqua"/>
        </w:rPr>
        <w:t>20</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Jabbar</w:t>
      </w:r>
      <w:proofErr w:type="spellEnd"/>
      <w:r w:rsidR="008F2500" w:rsidRPr="00031AE3">
        <w:rPr>
          <w:rFonts w:ascii="Book Antiqua" w:eastAsia="Book Antiqua" w:hAnsi="Book Antiqua" w:cs="Book Antiqua"/>
          <w:b/>
          <w:bCs/>
        </w:rPr>
        <w:t xml:space="preserve"> A</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Pingitore</w:t>
      </w:r>
      <w:proofErr w:type="spellEnd"/>
      <w:r w:rsidR="008F2500" w:rsidRPr="00031AE3">
        <w:rPr>
          <w:rFonts w:ascii="Book Antiqua" w:eastAsia="Book Antiqua" w:hAnsi="Book Antiqua" w:cs="Book Antiqua"/>
        </w:rPr>
        <w:t xml:space="preserve"> A, Pearce SH, Zaman A, </w:t>
      </w:r>
      <w:proofErr w:type="spellStart"/>
      <w:r w:rsidR="008F2500" w:rsidRPr="00031AE3">
        <w:rPr>
          <w:rFonts w:ascii="Book Antiqua" w:eastAsia="Book Antiqua" w:hAnsi="Book Antiqua" w:cs="Book Antiqua"/>
        </w:rPr>
        <w:t>Iervasi</w:t>
      </w:r>
      <w:proofErr w:type="spellEnd"/>
      <w:r w:rsidR="008F2500" w:rsidRPr="00031AE3">
        <w:rPr>
          <w:rFonts w:ascii="Book Antiqua" w:eastAsia="Book Antiqua" w:hAnsi="Book Antiqua" w:cs="Book Antiqua"/>
        </w:rPr>
        <w:t xml:space="preserve"> G, </w:t>
      </w:r>
      <w:proofErr w:type="spellStart"/>
      <w:r w:rsidR="008F2500" w:rsidRPr="00031AE3">
        <w:rPr>
          <w:rFonts w:ascii="Book Antiqua" w:eastAsia="Book Antiqua" w:hAnsi="Book Antiqua" w:cs="Book Antiqua"/>
        </w:rPr>
        <w:t>Razvi</w:t>
      </w:r>
      <w:proofErr w:type="spellEnd"/>
      <w:r w:rsidR="008F2500" w:rsidRPr="00031AE3">
        <w:rPr>
          <w:rFonts w:ascii="Book Antiqua" w:eastAsia="Book Antiqua" w:hAnsi="Book Antiqua" w:cs="Book Antiqua"/>
        </w:rPr>
        <w:t xml:space="preserve"> S. Thyroid</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hormones and cardiovascular disease. </w:t>
      </w:r>
      <w:r w:rsidR="008F2500" w:rsidRPr="00031AE3">
        <w:rPr>
          <w:rFonts w:ascii="Book Antiqua" w:eastAsia="Book Antiqua" w:hAnsi="Book Antiqua" w:cs="Book Antiqua"/>
          <w:i/>
          <w:iCs/>
        </w:rPr>
        <w:t>Nat Rev Cardiol</w:t>
      </w:r>
      <w:r w:rsidR="008F2500" w:rsidRPr="00031AE3">
        <w:rPr>
          <w:rFonts w:ascii="Book Antiqua" w:eastAsia="Book Antiqua" w:hAnsi="Book Antiqua" w:cs="Book Antiqua"/>
        </w:rPr>
        <w:t xml:space="preserve"> 2017;</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14</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39-55 [PMID: 27811932</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10.1038/nrcardio.2016.174]</w:t>
      </w:r>
    </w:p>
    <w:p w14:paraId="2F79A5EB" w14:textId="688A81CA" w:rsidR="00A77B3E" w:rsidRPr="00031AE3" w:rsidRDefault="00476247" w:rsidP="00031AE3">
      <w:pPr>
        <w:snapToGrid w:val="0"/>
        <w:spacing w:line="360" w:lineRule="auto"/>
        <w:jc w:val="both"/>
      </w:pPr>
      <w:r w:rsidRPr="00031AE3">
        <w:rPr>
          <w:rFonts w:ascii="Book Antiqua" w:eastAsia="Book Antiqua" w:hAnsi="Book Antiqua" w:cs="Book Antiqua"/>
        </w:rPr>
        <w:t>21</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Navina</w:t>
      </w:r>
      <w:proofErr w:type="spellEnd"/>
      <w:r w:rsidR="008F2500" w:rsidRPr="00031AE3">
        <w:rPr>
          <w:rFonts w:ascii="Book Antiqua" w:eastAsia="Book Antiqua" w:hAnsi="Book Antiqua" w:cs="Book Antiqua"/>
          <w:b/>
          <w:bCs/>
        </w:rPr>
        <w:t xml:space="preserve"> S</w:t>
      </w:r>
      <w:r w:rsidR="008F2500" w:rsidRPr="00031AE3">
        <w:rPr>
          <w:rFonts w:ascii="Book Antiqua" w:eastAsia="Book Antiqua" w:hAnsi="Book Antiqua" w:cs="Book Antiqua"/>
        </w:rPr>
        <w:t xml:space="preserve">, Acharya C, </w:t>
      </w:r>
      <w:proofErr w:type="spellStart"/>
      <w:r w:rsidR="008F2500" w:rsidRPr="00031AE3">
        <w:rPr>
          <w:rFonts w:ascii="Book Antiqua" w:eastAsia="Book Antiqua" w:hAnsi="Book Antiqua" w:cs="Book Antiqua"/>
        </w:rPr>
        <w:t>DeLany</w:t>
      </w:r>
      <w:proofErr w:type="spellEnd"/>
      <w:r w:rsidR="008F2500" w:rsidRPr="00031AE3">
        <w:rPr>
          <w:rFonts w:ascii="Book Antiqua" w:eastAsia="Book Antiqua" w:hAnsi="Book Antiqua" w:cs="Book Antiqua"/>
        </w:rPr>
        <w:t xml:space="preserve"> JP, </w:t>
      </w:r>
      <w:proofErr w:type="spellStart"/>
      <w:r w:rsidR="008F2500" w:rsidRPr="00031AE3">
        <w:rPr>
          <w:rFonts w:ascii="Book Antiqua" w:eastAsia="Book Antiqua" w:hAnsi="Book Antiqua" w:cs="Book Antiqua"/>
        </w:rPr>
        <w:t>Orlichenko</w:t>
      </w:r>
      <w:proofErr w:type="spellEnd"/>
      <w:r w:rsidR="008F2500" w:rsidRPr="00031AE3">
        <w:rPr>
          <w:rFonts w:ascii="Book Antiqua" w:eastAsia="Book Antiqua" w:hAnsi="Book Antiqua" w:cs="Book Antiqua"/>
        </w:rPr>
        <w:t xml:space="preserve"> LS, </w:t>
      </w:r>
      <w:proofErr w:type="spellStart"/>
      <w:r w:rsidR="008F2500" w:rsidRPr="00031AE3">
        <w:rPr>
          <w:rFonts w:ascii="Book Antiqua" w:eastAsia="Book Antiqua" w:hAnsi="Book Antiqua" w:cs="Book Antiqua"/>
        </w:rPr>
        <w:t>Baty</w:t>
      </w:r>
      <w:proofErr w:type="spellEnd"/>
      <w:r w:rsidR="008F2500" w:rsidRPr="00031AE3">
        <w:rPr>
          <w:rFonts w:ascii="Book Antiqua" w:eastAsia="Book Antiqua" w:hAnsi="Book Antiqua" w:cs="Book Antiqua"/>
        </w:rPr>
        <w:t xml:space="preserve"> CJ, Shiva SS, </w:t>
      </w:r>
      <w:proofErr w:type="spellStart"/>
      <w:r w:rsidR="008F2500" w:rsidRPr="00031AE3">
        <w:rPr>
          <w:rFonts w:ascii="Book Antiqua" w:eastAsia="Book Antiqua" w:hAnsi="Book Antiqua" w:cs="Book Antiqua"/>
        </w:rPr>
        <w:t>Durgampudi</w:t>
      </w:r>
      <w:proofErr w:type="spellEnd"/>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C, </w:t>
      </w:r>
      <w:proofErr w:type="spellStart"/>
      <w:r w:rsidR="008F2500" w:rsidRPr="00031AE3">
        <w:rPr>
          <w:rFonts w:ascii="Book Antiqua" w:eastAsia="Book Antiqua" w:hAnsi="Book Antiqua" w:cs="Book Antiqua"/>
        </w:rPr>
        <w:t>Karlsson</w:t>
      </w:r>
      <w:proofErr w:type="spellEnd"/>
      <w:r w:rsidR="008F2500" w:rsidRPr="00031AE3">
        <w:rPr>
          <w:rFonts w:ascii="Book Antiqua" w:eastAsia="Book Antiqua" w:hAnsi="Book Antiqua" w:cs="Book Antiqua"/>
        </w:rPr>
        <w:t xml:space="preserve"> JM, Lee K, Bae KT, </w:t>
      </w:r>
      <w:proofErr w:type="spellStart"/>
      <w:r w:rsidR="008F2500" w:rsidRPr="00031AE3">
        <w:rPr>
          <w:rFonts w:ascii="Book Antiqua" w:eastAsia="Book Antiqua" w:hAnsi="Book Antiqua" w:cs="Book Antiqua"/>
        </w:rPr>
        <w:t>Furlan</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Behari</w:t>
      </w:r>
      <w:proofErr w:type="spellEnd"/>
      <w:r w:rsidR="008F2500" w:rsidRPr="00031AE3">
        <w:rPr>
          <w:rFonts w:ascii="Book Antiqua" w:eastAsia="Book Antiqua" w:hAnsi="Book Antiqua" w:cs="Book Antiqua"/>
        </w:rPr>
        <w:t xml:space="preserve"> J, Liu S, McHale T, Nichols L,</w:t>
      </w:r>
      <w:r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Papachristou</w:t>
      </w:r>
      <w:proofErr w:type="spellEnd"/>
      <w:r w:rsidR="008F2500" w:rsidRPr="00031AE3">
        <w:rPr>
          <w:rFonts w:ascii="Book Antiqua" w:eastAsia="Book Antiqua" w:hAnsi="Book Antiqua" w:cs="Book Antiqua"/>
        </w:rPr>
        <w:t xml:space="preserve"> GI, Yadav D, Singh VP. </w:t>
      </w:r>
      <w:proofErr w:type="spellStart"/>
      <w:r w:rsidR="008F2500" w:rsidRPr="00031AE3">
        <w:rPr>
          <w:rFonts w:ascii="Book Antiqua" w:eastAsia="Book Antiqua" w:hAnsi="Book Antiqua" w:cs="Book Antiqua"/>
        </w:rPr>
        <w:t>Lipotoxicity</w:t>
      </w:r>
      <w:proofErr w:type="spellEnd"/>
      <w:r w:rsidR="008F2500" w:rsidRPr="00031AE3">
        <w:rPr>
          <w:rFonts w:ascii="Book Antiqua" w:eastAsia="Book Antiqua" w:hAnsi="Book Antiqua" w:cs="Book Antiqua"/>
        </w:rPr>
        <w:t xml:space="preserve"> causes multisystem organ</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failure and exacerbates acute pancreatitis in obesity. </w:t>
      </w:r>
      <w:proofErr w:type="spellStart"/>
      <w:r w:rsidR="008F2500" w:rsidRPr="00031AE3">
        <w:rPr>
          <w:rFonts w:ascii="Book Antiqua" w:eastAsia="Book Antiqua" w:hAnsi="Book Antiqua" w:cs="Book Antiqua"/>
          <w:i/>
          <w:iCs/>
        </w:rPr>
        <w:t>Sci</w:t>
      </w:r>
      <w:proofErr w:type="spellEnd"/>
      <w:r w:rsidR="008F2500" w:rsidRPr="00031AE3">
        <w:rPr>
          <w:rFonts w:ascii="Book Antiqua" w:eastAsia="Book Antiqua" w:hAnsi="Book Antiqua" w:cs="Book Antiqua"/>
          <w:i/>
          <w:iCs/>
        </w:rPr>
        <w:t xml:space="preserve"> </w:t>
      </w:r>
      <w:proofErr w:type="spellStart"/>
      <w:r w:rsidR="008F2500" w:rsidRPr="00031AE3">
        <w:rPr>
          <w:rFonts w:ascii="Book Antiqua" w:eastAsia="Book Antiqua" w:hAnsi="Book Antiqua" w:cs="Book Antiqua"/>
          <w:i/>
          <w:iCs/>
        </w:rPr>
        <w:t>Transl</w:t>
      </w:r>
      <w:proofErr w:type="spellEnd"/>
      <w:r w:rsidR="008F2500" w:rsidRPr="00031AE3">
        <w:rPr>
          <w:rFonts w:ascii="Book Antiqua" w:eastAsia="Book Antiqua" w:hAnsi="Book Antiqua" w:cs="Book Antiqua"/>
          <w:i/>
          <w:iCs/>
        </w:rPr>
        <w:t xml:space="preserve"> Med</w:t>
      </w:r>
      <w:r w:rsidR="008F2500" w:rsidRPr="00031AE3">
        <w:rPr>
          <w:rFonts w:ascii="Book Antiqua" w:eastAsia="Book Antiqua" w:hAnsi="Book Antiqua" w:cs="Book Antiqua"/>
        </w:rPr>
        <w:t xml:space="preserve"> 2011;</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107</w:t>
      </w:r>
      <w:r w:rsidR="00BC4F41" w:rsidRPr="00031AE3">
        <w:rPr>
          <w:rFonts w:ascii="Book Antiqua" w:eastAsia="Book Antiqua" w:hAnsi="Book Antiqua" w:cs="Book Antiqua"/>
        </w:rPr>
        <w:t>ra</w:t>
      </w:r>
      <w:r w:rsidR="008F2500" w:rsidRPr="00031AE3">
        <w:rPr>
          <w:rFonts w:ascii="Book Antiqua" w:eastAsia="Book Antiqua" w:hAnsi="Book Antiqua" w:cs="Book Antiqua"/>
        </w:rPr>
        <w:t>110 [PMID: 22049070</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10.1126/scitranslmed.3002573]</w:t>
      </w:r>
    </w:p>
    <w:p w14:paraId="68DEF625" w14:textId="32C7CBC3" w:rsidR="00A77B3E" w:rsidRPr="00031AE3" w:rsidRDefault="00476247" w:rsidP="00031AE3">
      <w:pPr>
        <w:snapToGrid w:val="0"/>
        <w:spacing w:line="360" w:lineRule="auto"/>
        <w:jc w:val="both"/>
      </w:pPr>
      <w:r w:rsidRPr="00031AE3">
        <w:rPr>
          <w:rFonts w:ascii="Book Antiqua" w:eastAsia="Book Antiqua" w:hAnsi="Book Antiqua" w:cs="Book Antiqua"/>
        </w:rPr>
        <w:t>22</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Jiang N</w:t>
      </w:r>
      <w:r w:rsidR="008F2500" w:rsidRPr="00031AE3">
        <w:rPr>
          <w:rFonts w:ascii="Book Antiqua" w:eastAsia="Book Antiqua" w:hAnsi="Book Antiqua" w:cs="Book Antiqua"/>
        </w:rPr>
        <w:t>, Li Y, Shu T, Wang J. Cytokines and inflammation in adipogenesis: an</w:t>
      </w:r>
      <w:r w:rsidRPr="00031AE3">
        <w:rPr>
          <w:rFonts w:ascii="Book Antiqua" w:eastAsia="Book Antiqua" w:hAnsi="Book Antiqua" w:cs="Book Antiqua"/>
        </w:rPr>
        <w:t xml:space="preserve"> </w:t>
      </w:r>
      <w:r w:rsidR="008F2500" w:rsidRPr="00031AE3">
        <w:rPr>
          <w:rFonts w:ascii="Book Antiqua" w:eastAsia="Book Antiqua" w:hAnsi="Book Antiqua" w:cs="Book Antiqua"/>
        </w:rPr>
        <w:t>updated review.</w:t>
      </w:r>
      <w:r w:rsidR="008F2500" w:rsidRPr="00031AE3">
        <w:rPr>
          <w:rFonts w:ascii="Book Antiqua" w:eastAsia="Book Antiqua" w:hAnsi="Book Antiqua" w:cs="Book Antiqua"/>
          <w:i/>
          <w:iCs/>
        </w:rPr>
        <w:t xml:space="preserve"> Front Med</w:t>
      </w:r>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314-329 [</w:t>
      </w:r>
      <w:r w:rsidRPr="00031AE3">
        <w:rPr>
          <w:rFonts w:ascii="Book Antiqua" w:eastAsia="Book Antiqua" w:hAnsi="Book Antiqua" w:cs="Book Antiqua"/>
        </w:rPr>
        <w:t xml:space="preserve">PMID: 30066061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10.1007/s11684-018-0625-0]</w:t>
      </w:r>
    </w:p>
    <w:p w14:paraId="4C95D81C" w14:textId="24A2073D" w:rsidR="00A77B3E" w:rsidRPr="00031AE3" w:rsidRDefault="00476247" w:rsidP="00031AE3">
      <w:pPr>
        <w:snapToGrid w:val="0"/>
        <w:spacing w:line="360" w:lineRule="auto"/>
        <w:jc w:val="both"/>
      </w:pPr>
      <w:r w:rsidRPr="00031AE3">
        <w:rPr>
          <w:rFonts w:ascii="Book Antiqua" w:eastAsia="Book Antiqua" w:hAnsi="Book Antiqua" w:cs="Book Antiqua"/>
        </w:rPr>
        <w:t>23</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Kalupahana</w:t>
      </w:r>
      <w:proofErr w:type="spellEnd"/>
      <w:r w:rsidR="008F2500" w:rsidRPr="00031AE3">
        <w:rPr>
          <w:rFonts w:ascii="Book Antiqua" w:eastAsia="Book Antiqua" w:hAnsi="Book Antiqua" w:cs="Book Antiqua"/>
          <w:b/>
          <w:bCs/>
        </w:rPr>
        <w:t xml:space="preserve"> NS</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Moustaid</w:t>
      </w:r>
      <w:proofErr w:type="spellEnd"/>
      <w:r w:rsidR="008F2500" w:rsidRPr="00031AE3">
        <w:rPr>
          <w:rFonts w:ascii="Book Antiqua" w:eastAsia="Book Antiqua" w:hAnsi="Book Antiqua" w:cs="Book Antiqua"/>
        </w:rPr>
        <w:t xml:space="preserve">-Moussa N, </w:t>
      </w:r>
      <w:proofErr w:type="spellStart"/>
      <w:r w:rsidR="008F2500" w:rsidRPr="00031AE3">
        <w:rPr>
          <w:rFonts w:ascii="Book Antiqua" w:eastAsia="Book Antiqua" w:hAnsi="Book Antiqua" w:cs="Book Antiqua"/>
        </w:rPr>
        <w:t>Claycombe</w:t>
      </w:r>
      <w:proofErr w:type="spellEnd"/>
      <w:r w:rsidR="008F2500" w:rsidRPr="00031AE3">
        <w:rPr>
          <w:rFonts w:ascii="Book Antiqua" w:eastAsia="Book Antiqua" w:hAnsi="Book Antiqua" w:cs="Book Antiqua"/>
        </w:rPr>
        <w:t xml:space="preserve"> KJ. Immunity as a link between</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obesity and insulin resistance. </w:t>
      </w:r>
      <w:r w:rsidR="008F2500" w:rsidRPr="00031AE3">
        <w:rPr>
          <w:rFonts w:ascii="Book Antiqua" w:eastAsia="Book Antiqua" w:hAnsi="Book Antiqua" w:cs="Book Antiqua"/>
          <w:i/>
          <w:iCs/>
        </w:rPr>
        <w:t>Mol Aspects Med</w:t>
      </w:r>
      <w:r w:rsidR="008F2500" w:rsidRPr="00031AE3">
        <w:rPr>
          <w:rFonts w:ascii="Book Antiqua" w:eastAsia="Book Antiqua" w:hAnsi="Book Antiqua" w:cs="Book Antiqua"/>
        </w:rPr>
        <w:t xml:space="preserve"> 2012;</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26-3</w:t>
      </w:r>
      <w:r w:rsidR="00BC4F41" w:rsidRPr="00031AE3">
        <w:rPr>
          <w:rFonts w:ascii="Book Antiqua" w:eastAsia="Book Antiqua" w:hAnsi="Book Antiqua" w:cs="Book Antiqua"/>
        </w:rPr>
        <w:t>4</w:t>
      </w:r>
      <w:r w:rsidR="008F2500" w:rsidRPr="00031AE3">
        <w:rPr>
          <w:rFonts w:ascii="Book Antiqua" w:eastAsia="Book Antiqua" w:hAnsi="Book Antiqua" w:cs="Book Antiqua"/>
        </w:rPr>
        <w:t xml:space="preserve"> [PMID: 22040698</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10.1016/j.mam.2011.10.011]</w:t>
      </w:r>
    </w:p>
    <w:p w14:paraId="2B908EE1" w14:textId="0545B099" w:rsidR="00A77B3E" w:rsidRPr="00031AE3" w:rsidRDefault="00476247" w:rsidP="00031AE3">
      <w:pPr>
        <w:snapToGrid w:val="0"/>
        <w:spacing w:line="360" w:lineRule="auto"/>
        <w:jc w:val="both"/>
      </w:pPr>
      <w:r w:rsidRPr="00031AE3">
        <w:rPr>
          <w:rFonts w:ascii="Book Antiqua" w:eastAsia="Book Antiqua" w:hAnsi="Book Antiqua" w:cs="Book Antiqua"/>
        </w:rPr>
        <w:lastRenderedPageBreak/>
        <w:t>24</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Bedimo</w:t>
      </w:r>
      <w:proofErr w:type="spellEnd"/>
      <w:r w:rsidR="008F2500" w:rsidRPr="00031AE3">
        <w:rPr>
          <w:rFonts w:ascii="Book Antiqua" w:eastAsia="Book Antiqua" w:hAnsi="Book Antiqua" w:cs="Book Antiqua"/>
          <w:b/>
          <w:bCs/>
        </w:rPr>
        <w:t xml:space="preserve"> R</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Abodunde</w:t>
      </w:r>
      <w:proofErr w:type="spellEnd"/>
      <w:r w:rsidR="008F2500" w:rsidRPr="00031AE3">
        <w:rPr>
          <w:rFonts w:ascii="Book Antiqua" w:eastAsia="Book Antiqua" w:hAnsi="Book Antiqua" w:cs="Book Antiqua"/>
        </w:rPr>
        <w:t xml:space="preserve"> O. Metabolic and Cardiovascular Complications in HIV/HCV-Co-infected Patients.</w:t>
      </w:r>
      <w:r w:rsidR="008F2500" w:rsidRPr="00031AE3">
        <w:rPr>
          <w:rFonts w:ascii="Book Antiqua" w:eastAsia="Book Antiqua" w:hAnsi="Book Antiqua" w:cs="Book Antiqua"/>
          <w:i/>
          <w:iCs/>
        </w:rPr>
        <w:t xml:space="preserve"> </w:t>
      </w:r>
      <w:proofErr w:type="spellStart"/>
      <w:r w:rsidR="008F2500" w:rsidRPr="00031AE3">
        <w:rPr>
          <w:rFonts w:ascii="Book Antiqua" w:eastAsia="Book Antiqua" w:hAnsi="Book Antiqua" w:cs="Book Antiqua"/>
          <w:i/>
          <w:iCs/>
        </w:rPr>
        <w:t>Curr</w:t>
      </w:r>
      <w:proofErr w:type="spellEnd"/>
      <w:r w:rsidR="008F2500" w:rsidRPr="00031AE3">
        <w:rPr>
          <w:rFonts w:ascii="Book Antiqua" w:eastAsia="Book Antiqua" w:hAnsi="Book Antiqua" w:cs="Book Antiqua"/>
          <w:i/>
          <w:iCs/>
        </w:rPr>
        <w:t xml:space="preserve"> HIV/AIDS Rep</w:t>
      </w:r>
      <w:r w:rsidR="008F2500" w:rsidRPr="00031AE3">
        <w:rPr>
          <w:rFonts w:ascii="Book Antiqua" w:eastAsia="Book Antiqua" w:hAnsi="Book Antiqua" w:cs="Book Antiqua"/>
        </w:rPr>
        <w:t xml:space="preserve"> 2016;</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328-339</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27595755</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10.1007/s11904-016-0333-9]</w:t>
      </w:r>
    </w:p>
    <w:p w14:paraId="63C60602" w14:textId="76FC755D" w:rsidR="00A77B3E" w:rsidRPr="00031AE3" w:rsidRDefault="00476247" w:rsidP="00031AE3">
      <w:pPr>
        <w:snapToGrid w:val="0"/>
        <w:spacing w:line="360" w:lineRule="auto"/>
        <w:jc w:val="both"/>
      </w:pPr>
      <w:r w:rsidRPr="00031AE3">
        <w:rPr>
          <w:rFonts w:ascii="Book Antiqua" w:eastAsia="Book Antiqua" w:hAnsi="Book Antiqua" w:cs="Book Antiqua"/>
        </w:rPr>
        <w:t>25</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 xml:space="preserve">Akhtar DH, </w:t>
      </w:r>
      <w:r w:rsidR="008F2500" w:rsidRPr="00031AE3">
        <w:rPr>
          <w:rFonts w:ascii="Book Antiqua" w:eastAsia="Book Antiqua" w:hAnsi="Book Antiqua" w:cs="Book Antiqua"/>
        </w:rPr>
        <w:t>Iqbal U, Vazquez-</w:t>
      </w:r>
      <w:proofErr w:type="spellStart"/>
      <w:r w:rsidR="008F2500" w:rsidRPr="00031AE3">
        <w:rPr>
          <w:rFonts w:ascii="Book Antiqua" w:eastAsia="Book Antiqua" w:hAnsi="Book Antiqua" w:cs="Book Antiqua"/>
        </w:rPr>
        <w:t>Montesino</w:t>
      </w:r>
      <w:proofErr w:type="spellEnd"/>
      <w:r w:rsidR="008F2500" w:rsidRPr="00031AE3">
        <w:rPr>
          <w:rFonts w:ascii="Book Antiqua" w:eastAsia="Book Antiqua" w:hAnsi="Book Antiqua" w:cs="Book Antiqua"/>
        </w:rPr>
        <w:t xml:space="preserve"> LM, Dennis BB, Ahmed A. Pathogenesis of</w:t>
      </w:r>
      <w:r w:rsidRPr="00031AE3">
        <w:rPr>
          <w:rFonts w:ascii="Book Antiqua" w:eastAsia="Book Antiqua" w:hAnsi="Book Antiqua" w:cs="Book Antiqua"/>
        </w:rPr>
        <w:t xml:space="preserve"> </w:t>
      </w:r>
      <w:r w:rsidR="008F2500" w:rsidRPr="00031AE3">
        <w:rPr>
          <w:rFonts w:ascii="Book Antiqua" w:eastAsia="Book Antiqua" w:hAnsi="Book Antiqua" w:cs="Book Antiqua"/>
        </w:rPr>
        <w:t>Insulin Resistance and Atherogenic Dyslipidemia in Nonalcoholic Fatty Liver</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Disease. </w:t>
      </w:r>
      <w:r w:rsidR="008F2500" w:rsidRPr="00031AE3">
        <w:rPr>
          <w:rFonts w:ascii="Book Antiqua" w:eastAsia="Book Antiqua" w:hAnsi="Book Antiqua" w:cs="Book Antiqua"/>
          <w:i/>
          <w:iCs/>
        </w:rPr>
        <w:t xml:space="preserve">J </w:t>
      </w:r>
      <w:proofErr w:type="spellStart"/>
      <w:r w:rsidR="008F2500" w:rsidRPr="00031AE3">
        <w:rPr>
          <w:rFonts w:ascii="Book Antiqua" w:eastAsia="Book Antiqua" w:hAnsi="Book Antiqua" w:cs="Book Antiqua"/>
          <w:i/>
          <w:iCs/>
        </w:rPr>
        <w:t>Clin</w:t>
      </w:r>
      <w:proofErr w:type="spellEnd"/>
      <w:r w:rsidR="008F2500" w:rsidRPr="00031AE3">
        <w:rPr>
          <w:rFonts w:ascii="Book Antiqua" w:eastAsia="Book Antiqua" w:hAnsi="Book Antiqua" w:cs="Book Antiqua"/>
          <w:i/>
          <w:iCs/>
        </w:rPr>
        <w:t xml:space="preserve"> </w:t>
      </w:r>
      <w:proofErr w:type="spellStart"/>
      <w:r w:rsidR="008F2500" w:rsidRPr="00031AE3">
        <w:rPr>
          <w:rFonts w:ascii="Book Antiqua" w:eastAsia="Book Antiqua" w:hAnsi="Book Antiqua" w:cs="Book Antiqua"/>
          <w:i/>
          <w:iCs/>
        </w:rPr>
        <w:t>Transl</w:t>
      </w:r>
      <w:proofErr w:type="spellEnd"/>
      <w:r w:rsidR="008F2500" w:rsidRPr="00031AE3">
        <w:rPr>
          <w:rFonts w:ascii="Book Antiqua" w:eastAsia="Book Antiqua" w:hAnsi="Book Antiqua" w:cs="Book Antiqua"/>
          <w:i/>
          <w:iCs/>
        </w:rPr>
        <w:t xml:space="preserve"> </w:t>
      </w:r>
      <w:proofErr w:type="spellStart"/>
      <w:r w:rsidR="008F2500" w:rsidRPr="00031AE3">
        <w:rPr>
          <w:rFonts w:ascii="Book Antiqua" w:eastAsia="Book Antiqua" w:hAnsi="Book Antiqua" w:cs="Book Antiqua"/>
          <w:i/>
          <w:iCs/>
        </w:rPr>
        <w:t>Hepatol</w:t>
      </w:r>
      <w:proofErr w:type="spellEnd"/>
      <w:r w:rsidR="008F2500" w:rsidRPr="00031AE3">
        <w:rPr>
          <w:rFonts w:ascii="Book Antiqua" w:eastAsia="Book Antiqua" w:hAnsi="Book Antiqua" w:cs="Book Antiqua"/>
        </w:rPr>
        <w:t xml:space="preserve"> 2019;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7</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362-370 [PMID: 31915606</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10.14218/JCTH.2019.00028]</w:t>
      </w:r>
    </w:p>
    <w:p w14:paraId="3EE16460" w14:textId="0BAE0E99" w:rsidR="00A77B3E" w:rsidRPr="00031AE3" w:rsidRDefault="00476247" w:rsidP="00031AE3">
      <w:pPr>
        <w:snapToGrid w:val="0"/>
        <w:spacing w:line="360" w:lineRule="auto"/>
        <w:jc w:val="both"/>
      </w:pPr>
      <w:r w:rsidRPr="00031AE3">
        <w:rPr>
          <w:rFonts w:ascii="Book Antiqua" w:eastAsia="Book Antiqua" w:hAnsi="Book Antiqua" w:cs="Book Antiqua"/>
        </w:rPr>
        <w:t>26</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Stahel</w:t>
      </w:r>
      <w:proofErr w:type="spellEnd"/>
      <w:r w:rsidR="008F2500" w:rsidRPr="00031AE3">
        <w:rPr>
          <w:rFonts w:ascii="Book Antiqua" w:eastAsia="Book Antiqua" w:hAnsi="Book Antiqua" w:cs="Book Antiqua"/>
          <w:b/>
          <w:bCs/>
        </w:rPr>
        <w:t xml:space="preserve"> P</w:t>
      </w:r>
      <w:r w:rsidR="008F2500" w:rsidRPr="00031AE3">
        <w:rPr>
          <w:rFonts w:ascii="Book Antiqua" w:eastAsia="Book Antiqua" w:hAnsi="Book Antiqua" w:cs="Book Antiqua"/>
        </w:rPr>
        <w:t>, Xiao C, Nahmias A, Lewis GF. Role of the Gut in Diabetic Dyslipidemia.</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Front Endocrinol (Lausanne)</w:t>
      </w:r>
      <w:r w:rsidR="008F2500" w:rsidRPr="00031AE3">
        <w:rPr>
          <w:rFonts w:ascii="Book Antiqua" w:eastAsia="Book Antiqua" w:hAnsi="Book Antiqua" w:cs="Book Antiqua"/>
        </w:rPr>
        <w:t xml:space="preserve"> 2020;</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11</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116</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32231641</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00192F92" w:rsidRPr="00031AE3">
        <w:rPr>
          <w:rFonts w:ascii="Book Antiqua" w:eastAsia="Book Antiqua" w:hAnsi="Book Antiqua" w:cs="Book Antiqua"/>
        </w:rPr>
        <w:t xml:space="preserve"> </w:t>
      </w:r>
      <w:r w:rsidR="008F2500" w:rsidRPr="00031AE3">
        <w:rPr>
          <w:rFonts w:ascii="Book Antiqua" w:eastAsia="Book Antiqua" w:hAnsi="Book Antiqua" w:cs="Book Antiqua"/>
        </w:rPr>
        <w:t>10.3389/fendo.2020.00116]</w:t>
      </w:r>
    </w:p>
    <w:p w14:paraId="67D4950F" w14:textId="7CF0E3E0" w:rsidR="00A77B3E" w:rsidRPr="00031AE3" w:rsidRDefault="00476247" w:rsidP="00031AE3">
      <w:pPr>
        <w:snapToGrid w:val="0"/>
        <w:spacing w:line="360" w:lineRule="auto"/>
        <w:jc w:val="both"/>
      </w:pPr>
      <w:r w:rsidRPr="00031AE3">
        <w:rPr>
          <w:rFonts w:ascii="Book Antiqua" w:eastAsia="Book Antiqua" w:hAnsi="Book Antiqua" w:cs="Book Antiqua"/>
          <w:b/>
          <w:bCs/>
        </w:rPr>
        <w:t xml:space="preserve">27 </w:t>
      </w:r>
      <w:proofErr w:type="spellStart"/>
      <w:r w:rsidR="008F2500" w:rsidRPr="00031AE3">
        <w:rPr>
          <w:rFonts w:ascii="Book Antiqua" w:eastAsia="Book Antiqua" w:hAnsi="Book Antiqua" w:cs="Book Antiqua"/>
          <w:b/>
          <w:bCs/>
        </w:rPr>
        <w:t>Fousekis</w:t>
      </w:r>
      <w:proofErr w:type="spellEnd"/>
      <w:r w:rsidR="008F2500" w:rsidRPr="00031AE3">
        <w:rPr>
          <w:rFonts w:ascii="Book Antiqua" w:eastAsia="Book Antiqua" w:hAnsi="Book Antiqua" w:cs="Book Antiqua"/>
          <w:b/>
          <w:bCs/>
        </w:rPr>
        <w:t xml:space="preserve"> FS</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Theopistos</w:t>
      </w:r>
      <w:proofErr w:type="spellEnd"/>
      <w:r w:rsidR="008F2500" w:rsidRPr="00031AE3">
        <w:rPr>
          <w:rFonts w:ascii="Book Antiqua" w:eastAsia="Book Antiqua" w:hAnsi="Book Antiqua" w:cs="Book Antiqua"/>
        </w:rPr>
        <w:t xml:space="preserve"> VI, </w:t>
      </w:r>
      <w:proofErr w:type="spellStart"/>
      <w:r w:rsidR="008F2500" w:rsidRPr="00031AE3">
        <w:rPr>
          <w:rFonts w:ascii="Book Antiqua" w:eastAsia="Book Antiqua" w:hAnsi="Book Antiqua" w:cs="Book Antiqua"/>
        </w:rPr>
        <w:t>Katsanos</w:t>
      </w:r>
      <w:proofErr w:type="spellEnd"/>
      <w:r w:rsidR="008F2500" w:rsidRPr="00031AE3">
        <w:rPr>
          <w:rFonts w:ascii="Book Antiqua" w:eastAsia="Book Antiqua" w:hAnsi="Book Antiqua" w:cs="Book Antiqua"/>
        </w:rPr>
        <w:t xml:space="preserve"> KH, Christodoulou DK.</w:t>
      </w:r>
      <w:r w:rsidRPr="00031AE3">
        <w:rPr>
          <w:rFonts w:ascii="Book Antiqua" w:eastAsia="Book Antiqua" w:hAnsi="Book Antiqua" w:cs="Book Antiqua"/>
        </w:rPr>
        <w:t xml:space="preserve"> </w:t>
      </w:r>
      <w:r w:rsidR="008F2500" w:rsidRPr="00031AE3">
        <w:rPr>
          <w:rFonts w:ascii="Book Antiqua" w:eastAsia="Book Antiqua" w:hAnsi="Book Antiqua" w:cs="Book Antiqua"/>
        </w:rPr>
        <w:t>Pancreatic Involvement in Inflammatory Bowel Disease: A Review.</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J Clin Med Res</w:t>
      </w:r>
      <w:r w:rsidR="008F2500" w:rsidRPr="00031AE3">
        <w:rPr>
          <w:rFonts w:ascii="Book Antiqua" w:eastAsia="Book Antiqua" w:hAnsi="Book Antiqua" w:cs="Book Antiqua"/>
        </w:rPr>
        <w:t xml:space="preserve"> 2018;</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10</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743-751 [PMID: 30214645</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10.14740/jocmr3561w]</w:t>
      </w:r>
    </w:p>
    <w:p w14:paraId="616746A6" w14:textId="59E7A761" w:rsidR="00A77B3E" w:rsidRPr="00031AE3" w:rsidRDefault="00476247" w:rsidP="00031AE3">
      <w:pPr>
        <w:snapToGrid w:val="0"/>
        <w:spacing w:line="360" w:lineRule="auto"/>
        <w:jc w:val="both"/>
      </w:pPr>
      <w:r w:rsidRPr="00031AE3">
        <w:rPr>
          <w:rFonts w:ascii="Book Antiqua" w:eastAsia="Book Antiqua" w:hAnsi="Book Antiqua" w:cs="Book Antiqua"/>
        </w:rPr>
        <w:t>28</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Rea D</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Mirault</w:t>
      </w:r>
      <w:proofErr w:type="spellEnd"/>
      <w:r w:rsidR="008F2500" w:rsidRPr="00031AE3">
        <w:rPr>
          <w:rFonts w:ascii="Book Antiqua" w:eastAsia="Book Antiqua" w:hAnsi="Book Antiqua" w:cs="Book Antiqua"/>
        </w:rPr>
        <w:t xml:space="preserve"> T, </w:t>
      </w:r>
      <w:proofErr w:type="spellStart"/>
      <w:r w:rsidR="008F2500" w:rsidRPr="00031AE3">
        <w:rPr>
          <w:rFonts w:ascii="Book Antiqua" w:eastAsia="Book Antiqua" w:hAnsi="Book Antiqua" w:cs="Book Antiqua"/>
        </w:rPr>
        <w:t>Cluzeau</w:t>
      </w:r>
      <w:proofErr w:type="spellEnd"/>
      <w:r w:rsidR="008F2500" w:rsidRPr="00031AE3">
        <w:rPr>
          <w:rFonts w:ascii="Book Antiqua" w:eastAsia="Book Antiqua" w:hAnsi="Book Antiqua" w:cs="Book Antiqua"/>
        </w:rPr>
        <w:t xml:space="preserve"> T, Gautier JF, </w:t>
      </w:r>
      <w:proofErr w:type="spellStart"/>
      <w:r w:rsidR="008F2500" w:rsidRPr="00031AE3">
        <w:rPr>
          <w:rFonts w:ascii="Book Antiqua" w:eastAsia="Book Antiqua" w:hAnsi="Book Antiqua" w:cs="Book Antiqua"/>
        </w:rPr>
        <w:t>Guilhot</w:t>
      </w:r>
      <w:proofErr w:type="spellEnd"/>
      <w:r w:rsidR="008F2500" w:rsidRPr="00031AE3">
        <w:rPr>
          <w:rFonts w:ascii="Book Antiqua" w:eastAsia="Book Antiqua" w:hAnsi="Book Antiqua" w:cs="Book Antiqua"/>
        </w:rPr>
        <w:t xml:space="preserve"> F, </w:t>
      </w:r>
      <w:proofErr w:type="spellStart"/>
      <w:r w:rsidR="008F2500" w:rsidRPr="00031AE3">
        <w:rPr>
          <w:rFonts w:ascii="Book Antiqua" w:eastAsia="Book Antiqua" w:hAnsi="Book Antiqua" w:cs="Book Antiqua"/>
        </w:rPr>
        <w:t>Dombret</w:t>
      </w:r>
      <w:proofErr w:type="spellEnd"/>
      <w:r w:rsidR="008F2500" w:rsidRPr="00031AE3">
        <w:rPr>
          <w:rFonts w:ascii="Book Antiqua" w:eastAsia="Book Antiqua" w:hAnsi="Book Antiqua" w:cs="Book Antiqua"/>
        </w:rPr>
        <w:t xml:space="preserve"> H, </w:t>
      </w:r>
      <w:proofErr w:type="spellStart"/>
      <w:r w:rsidR="008F2500" w:rsidRPr="00031AE3">
        <w:rPr>
          <w:rFonts w:ascii="Book Antiqua" w:eastAsia="Book Antiqua" w:hAnsi="Book Antiqua" w:cs="Book Antiqua"/>
        </w:rPr>
        <w:t>Messas</w:t>
      </w:r>
      <w:proofErr w:type="spellEnd"/>
      <w:r w:rsidR="008F2500" w:rsidRPr="00031AE3">
        <w:rPr>
          <w:rFonts w:ascii="Book Antiqua" w:eastAsia="Book Antiqua" w:hAnsi="Book Antiqua" w:cs="Book Antiqua"/>
        </w:rPr>
        <w:t xml:space="preserve"> E.</w:t>
      </w:r>
      <w:r w:rsidRPr="00031AE3">
        <w:rPr>
          <w:rFonts w:ascii="Book Antiqua" w:eastAsia="Book Antiqua" w:hAnsi="Book Antiqua" w:cs="Book Antiqua"/>
        </w:rPr>
        <w:t xml:space="preserve"> </w:t>
      </w:r>
      <w:r w:rsidR="008F2500" w:rsidRPr="00031AE3">
        <w:rPr>
          <w:rFonts w:ascii="Book Antiqua" w:eastAsia="Book Antiqua" w:hAnsi="Book Antiqua" w:cs="Book Antiqua"/>
        </w:rPr>
        <w:t>Early onset hypercholesterolemia induced by the 2nd-generation tyrosine kinase</w:t>
      </w:r>
      <w:r w:rsidRPr="00031AE3">
        <w:rPr>
          <w:rFonts w:ascii="Book Antiqua" w:eastAsia="Book Antiqua" w:hAnsi="Book Antiqua" w:cs="Book Antiqua"/>
        </w:rPr>
        <w:t xml:space="preserve"> </w:t>
      </w:r>
      <w:r w:rsidR="008F2500" w:rsidRPr="00031AE3">
        <w:rPr>
          <w:rFonts w:ascii="Book Antiqua" w:eastAsia="Book Antiqua" w:hAnsi="Book Antiqua" w:cs="Book Antiqua"/>
        </w:rPr>
        <w:t>inhibitor nilotinib in patients with chronic phase-chronic myeloid leukemia.</w:t>
      </w:r>
      <w:r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i/>
          <w:iCs/>
        </w:rPr>
        <w:t>Haematologica</w:t>
      </w:r>
      <w:proofErr w:type="spellEnd"/>
      <w:r w:rsidR="008F2500" w:rsidRPr="00031AE3">
        <w:rPr>
          <w:rFonts w:ascii="Book Antiqua" w:eastAsia="Book Antiqua" w:hAnsi="Book Antiqua" w:cs="Book Antiqua"/>
        </w:rPr>
        <w:t xml:space="preserve"> 2014;</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99</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1197-1203 [PMID: 24658819</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10.3324/haematol.2014.10407</w:t>
      </w:r>
      <w:r w:rsidR="00192F92" w:rsidRPr="00031AE3">
        <w:rPr>
          <w:rFonts w:ascii="Book Antiqua" w:eastAsia="Book Antiqua" w:hAnsi="Book Antiqua" w:cs="Book Antiqua"/>
        </w:rPr>
        <w:t>5</w:t>
      </w:r>
      <w:r w:rsidR="008F2500" w:rsidRPr="00031AE3">
        <w:rPr>
          <w:rFonts w:ascii="Book Antiqua" w:eastAsia="Book Antiqua" w:hAnsi="Book Antiqua" w:cs="Book Antiqua"/>
        </w:rPr>
        <w:t>]</w:t>
      </w:r>
    </w:p>
    <w:p w14:paraId="520E4537" w14:textId="08CECF2C" w:rsidR="00A77B3E" w:rsidRPr="00031AE3" w:rsidRDefault="00476247" w:rsidP="00031AE3">
      <w:pPr>
        <w:snapToGrid w:val="0"/>
        <w:spacing w:line="360" w:lineRule="auto"/>
        <w:jc w:val="both"/>
      </w:pPr>
      <w:r w:rsidRPr="00031AE3">
        <w:rPr>
          <w:rFonts w:ascii="Book Antiqua" w:eastAsia="Book Antiqua" w:hAnsi="Book Antiqua" w:cs="Book Antiqua"/>
        </w:rPr>
        <w:t>29</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Fujiwara H</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Umeda</w:t>
      </w:r>
      <w:proofErr w:type="spellEnd"/>
      <w:r w:rsidR="008F2500" w:rsidRPr="00031AE3">
        <w:rPr>
          <w:rFonts w:ascii="Book Antiqua" w:eastAsia="Book Antiqua" w:hAnsi="Book Antiqua" w:cs="Book Antiqua"/>
        </w:rPr>
        <w:t xml:space="preserve"> Y, </w:t>
      </w:r>
      <w:proofErr w:type="spellStart"/>
      <w:r w:rsidR="008F2500" w:rsidRPr="00031AE3">
        <w:rPr>
          <w:rFonts w:ascii="Book Antiqua" w:eastAsia="Book Antiqua" w:hAnsi="Book Antiqua" w:cs="Book Antiqua"/>
        </w:rPr>
        <w:t>Yonekura</w:t>
      </w:r>
      <w:proofErr w:type="spellEnd"/>
      <w:r w:rsidR="008F2500" w:rsidRPr="00031AE3">
        <w:rPr>
          <w:rFonts w:ascii="Book Antiqua" w:eastAsia="Book Antiqua" w:hAnsi="Book Antiqua" w:cs="Book Antiqua"/>
        </w:rPr>
        <w:t xml:space="preserve"> S. Cerebellar infarction with</w:t>
      </w:r>
      <w:r w:rsidRPr="00031AE3">
        <w:rPr>
          <w:rFonts w:ascii="Book Antiqua" w:eastAsia="Book Antiqua" w:hAnsi="Book Antiqua" w:cs="Book Antiqua"/>
        </w:rPr>
        <w:t xml:space="preserve"> </w:t>
      </w:r>
      <w:r w:rsidR="008F2500" w:rsidRPr="00031AE3">
        <w:rPr>
          <w:rFonts w:ascii="Book Antiqua" w:eastAsia="Book Antiqua" w:hAnsi="Book Antiqua" w:cs="Book Antiqua"/>
        </w:rPr>
        <w:t>hypertriglyceridemia during all-trans retinoic acid therapy for acute</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promyelocytic leukemia. </w:t>
      </w:r>
      <w:r w:rsidR="008F2500" w:rsidRPr="00031AE3">
        <w:rPr>
          <w:rFonts w:ascii="Book Antiqua" w:eastAsia="Book Antiqua" w:hAnsi="Book Antiqua" w:cs="Book Antiqua"/>
          <w:i/>
          <w:iCs/>
        </w:rPr>
        <w:t>Leukemia</w:t>
      </w:r>
      <w:r w:rsidR="008F2500" w:rsidRPr="00031AE3">
        <w:rPr>
          <w:rFonts w:ascii="Book Antiqua" w:eastAsia="Book Antiqua" w:hAnsi="Book Antiqua" w:cs="Book Antiqua"/>
        </w:rPr>
        <w:t xml:space="preserve"> 1995;</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9</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1602-1603 [PMID: 7658733]</w:t>
      </w:r>
    </w:p>
    <w:p w14:paraId="088232F0" w14:textId="43F04F09" w:rsidR="00A77B3E" w:rsidRPr="00031AE3" w:rsidRDefault="00476247" w:rsidP="00031AE3">
      <w:pPr>
        <w:snapToGrid w:val="0"/>
        <w:spacing w:line="360" w:lineRule="auto"/>
        <w:jc w:val="both"/>
      </w:pPr>
      <w:r w:rsidRPr="00031AE3">
        <w:rPr>
          <w:rFonts w:ascii="Book Antiqua" w:eastAsia="Book Antiqua" w:hAnsi="Book Antiqua" w:cs="Book Antiqua"/>
        </w:rPr>
        <w:t>30</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Gu W</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Hu S, He B, </w:t>
      </w:r>
      <w:proofErr w:type="spellStart"/>
      <w:r w:rsidR="008F2500" w:rsidRPr="00031AE3">
        <w:rPr>
          <w:rFonts w:ascii="Book Antiqua" w:eastAsia="Book Antiqua" w:hAnsi="Book Antiqua" w:cs="Book Antiqua"/>
        </w:rPr>
        <w:t>Qiu</w:t>
      </w:r>
      <w:proofErr w:type="spellEnd"/>
      <w:r w:rsidR="008F2500" w:rsidRPr="00031AE3">
        <w:rPr>
          <w:rFonts w:ascii="Book Antiqua" w:eastAsia="Book Antiqua" w:hAnsi="Book Antiqua" w:cs="Book Antiqua"/>
        </w:rPr>
        <w:t xml:space="preserve"> G, Ma J, Chen Z. Metabolites of acute promyelocytic leukemia cells participate in contributing to hypertriglyceridemia induced by all-trans retinoic acid. </w:t>
      </w:r>
      <w:proofErr w:type="spellStart"/>
      <w:r w:rsidR="008F2500" w:rsidRPr="00031AE3">
        <w:rPr>
          <w:rFonts w:ascii="Book Antiqua" w:eastAsia="Book Antiqua" w:hAnsi="Book Antiqua" w:cs="Book Antiqua"/>
          <w:i/>
          <w:iCs/>
        </w:rPr>
        <w:t>Leuk</w:t>
      </w:r>
      <w:proofErr w:type="spellEnd"/>
      <w:r w:rsidR="008F2500" w:rsidRPr="00031AE3">
        <w:rPr>
          <w:rFonts w:ascii="Book Antiqua" w:eastAsia="Book Antiqua" w:hAnsi="Book Antiqua" w:cs="Book Antiqua"/>
          <w:i/>
          <w:iCs/>
        </w:rPr>
        <w:t xml:space="preserve"> Res</w:t>
      </w:r>
      <w:r w:rsidR="008F2500" w:rsidRPr="00031AE3">
        <w:rPr>
          <w:rFonts w:ascii="Book Antiqua" w:eastAsia="Book Antiqua" w:hAnsi="Book Antiqua" w:cs="Book Antiqua"/>
        </w:rPr>
        <w:t xml:space="preserve"> 2009;</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592-594 [PMID: 18722659</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w:t>
      </w:r>
      <w:r w:rsidRPr="00031AE3">
        <w:rPr>
          <w:rFonts w:ascii="Book Antiqua" w:eastAsia="Book Antiqua" w:hAnsi="Book Antiqua" w:cs="Book Antiqua"/>
        </w:rPr>
        <w:t xml:space="preserve"> </w:t>
      </w:r>
      <w:r w:rsidR="008F2500" w:rsidRPr="00031AE3">
        <w:rPr>
          <w:rFonts w:ascii="Book Antiqua" w:eastAsia="Book Antiqua" w:hAnsi="Book Antiqua" w:cs="Book Antiqua"/>
        </w:rPr>
        <w:t>10.1016/j.leukres.2008.07.017]</w:t>
      </w:r>
    </w:p>
    <w:p w14:paraId="05E8E081" w14:textId="69F7B69D" w:rsidR="00A77B3E" w:rsidRPr="00031AE3" w:rsidRDefault="00476247" w:rsidP="00031AE3">
      <w:pPr>
        <w:snapToGrid w:val="0"/>
        <w:spacing w:line="360" w:lineRule="auto"/>
        <w:jc w:val="both"/>
      </w:pPr>
      <w:r w:rsidRPr="00031AE3">
        <w:rPr>
          <w:rFonts w:ascii="Book Antiqua" w:eastAsia="Book Antiqua" w:hAnsi="Book Antiqua" w:cs="Book Antiqua"/>
        </w:rPr>
        <w:t>31</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Nesheli</w:t>
      </w:r>
      <w:proofErr w:type="spellEnd"/>
      <w:r w:rsidR="008F2500" w:rsidRPr="00031AE3">
        <w:rPr>
          <w:rFonts w:ascii="Book Antiqua" w:eastAsia="Book Antiqua" w:hAnsi="Book Antiqua" w:cs="Book Antiqua"/>
          <w:b/>
          <w:bCs/>
        </w:rPr>
        <w:t xml:space="preserve"> HM</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Tamaddoni</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Nesheli</w:t>
      </w:r>
      <w:proofErr w:type="spellEnd"/>
      <w:r w:rsidR="008F2500" w:rsidRPr="00031AE3">
        <w:rPr>
          <w:rFonts w:ascii="Book Antiqua" w:eastAsia="Book Antiqua" w:hAnsi="Book Antiqua" w:cs="Book Antiqua"/>
        </w:rPr>
        <w:t xml:space="preserve"> MM, </w:t>
      </w:r>
      <w:proofErr w:type="spellStart"/>
      <w:r w:rsidR="008F2500" w:rsidRPr="00031AE3">
        <w:rPr>
          <w:rFonts w:ascii="Book Antiqua" w:eastAsia="Book Antiqua" w:hAnsi="Book Antiqua" w:cs="Book Antiqua"/>
        </w:rPr>
        <w:t>Yahyai</w:t>
      </w:r>
      <w:proofErr w:type="spellEnd"/>
      <w:r w:rsidR="008F2500" w:rsidRPr="00031AE3">
        <w:rPr>
          <w:rFonts w:ascii="Book Antiqua" w:eastAsia="Book Antiqua" w:hAnsi="Book Antiqua" w:cs="Book Antiqua"/>
        </w:rPr>
        <w:t xml:space="preserve"> A, </w:t>
      </w:r>
      <w:proofErr w:type="spellStart"/>
      <w:r w:rsidR="008F2500" w:rsidRPr="00031AE3">
        <w:rPr>
          <w:rFonts w:ascii="Book Antiqua" w:eastAsia="Book Antiqua" w:hAnsi="Book Antiqua" w:cs="Book Antiqua"/>
        </w:rPr>
        <w:t>Khabiri</w:t>
      </w:r>
      <w:proofErr w:type="spellEnd"/>
      <w:r w:rsidR="008F2500" w:rsidRPr="00031AE3">
        <w:rPr>
          <w:rFonts w:ascii="Book Antiqua" w:eastAsia="Book Antiqua" w:hAnsi="Book Antiqua" w:cs="Book Antiqua"/>
        </w:rPr>
        <w:t xml:space="preserve"> F, </w:t>
      </w:r>
      <w:proofErr w:type="spellStart"/>
      <w:r w:rsidR="008F2500" w:rsidRPr="00031AE3">
        <w:rPr>
          <w:rFonts w:ascii="Book Antiqua" w:eastAsia="Book Antiqua" w:hAnsi="Book Antiqua" w:cs="Book Antiqua"/>
        </w:rPr>
        <w:t>Hosseinzadeh</w:t>
      </w:r>
      <w:proofErr w:type="spellEnd"/>
      <w:r w:rsidR="008F2500" w:rsidRPr="00031AE3">
        <w:rPr>
          <w:rFonts w:ascii="Book Antiqua" w:eastAsia="Book Antiqua" w:hAnsi="Book Antiqua" w:cs="Book Antiqua"/>
        </w:rPr>
        <w:t xml:space="preserve"> F, Moghaddam TG.</w:t>
      </w:r>
      <w:r w:rsidRPr="00031AE3">
        <w:rPr>
          <w:rFonts w:ascii="Book Antiqua" w:eastAsia="Book Antiqua" w:hAnsi="Book Antiqua" w:cs="Book Antiqua"/>
        </w:rPr>
        <w:t xml:space="preserve"> </w:t>
      </w:r>
      <w:r w:rsidR="008F2500" w:rsidRPr="00031AE3">
        <w:rPr>
          <w:rFonts w:ascii="Book Antiqua" w:eastAsia="Book Antiqua" w:hAnsi="Book Antiqua" w:cs="Book Antiqua"/>
        </w:rPr>
        <w:t>L-</w:t>
      </w:r>
      <w:proofErr w:type="spellStart"/>
      <w:r w:rsidR="008F2500" w:rsidRPr="00031AE3">
        <w:rPr>
          <w:rFonts w:ascii="Book Antiqua" w:eastAsia="Book Antiqua" w:hAnsi="Book Antiqua" w:cs="Book Antiqua"/>
        </w:rPr>
        <w:t>asparaginase</w:t>
      </w:r>
      <w:proofErr w:type="spellEnd"/>
      <w:r w:rsidR="008F2500" w:rsidRPr="00031AE3">
        <w:rPr>
          <w:rFonts w:ascii="Book Antiqua" w:eastAsia="Book Antiqua" w:hAnsi="Book Antiqua" w:cs="Book Antiqua"/>
        </w:rPr>
        <w:t xml:space="preserve"> induced </w:t>
      </w:r>
      <w:proofErr w:type="spellStart"/>
      <w:r w:rsidR="008F2500" w:rsidRPr="00031AE3">
        <w:rPr>
          <w:rFonts w:ascii="Book Antiqua" w:eastAsia="Book Antiqua" w:hAnsi="Book Antiqua" w:cs="Book Antiqua"/>
        </w:rPr>
        <w:t>hyperlipidaemia</w:t>
      </w:r>
      <w:proofErr w:type="spellEnd"/>
      <w:r w:rsidR="008F2500" w:rsidRPr="00031AE3">
        <w:rPr>
          <w:rFonts w:ascii="Book Antiqua" w:eastAsia="Book Antiqua" w:hAnsi="Book Antiqua" w:cs="Book Antiqua"/>
        </w:rPr>
        <w:t xml:space="preserve"> in acute lymphoblastic </w:t>
      </w:r>
      <w:proofErr w:type="spellStart"/>
      <w:r w:rsidR="008F2500" w:rsidRPr="00031AE3">
        <w:rPr>
          <w:rFonts w:ascii="Book Antiqua" w:eastAsia="Book Antiqua" w:hAnsi="Book Antiqua" w:cs="Book Antiqua"/>
        </w:rPr>
        <w:t>leukaemia</w:t>
      </w:r>
      <w:proofErr w:type="spellEnd"/>
      <w:r w:rsidR="008F2500" w:rsidRPr="00031AE3">
        <w:rPr>
          <w:rFonts w:ascii="Book Antiqua" w:eastAsia="Book Antiqua" w:hAnsi="Book Antiqua" w:cs="Book Antiqua"/>
        </w:rPr>
        <w:t xml:space="preserve">. </w:t>
      </w:r>
      <w:r w:rsidR="008F2500" w:rsidRPr="00031AE3">
        <w:rPr>
          <w:rFonts w:ascii="Book Antiqua" w:eastAsia="Book Antiqua" w:hAnsi="Book Antiqua" w:cs="Book Antiqua"/>
          <w:i/>
          <w:iCs/>
        </w:rPr>
        <w:t>J Pak Med Assoc</w:t>
      </w:r>
      <w:r w:rsidR="008F2500" w:rsidRPr="00031AE3">
        <w:rPr>
          <w:rFonts w:ascii="Book Antiqua" w:eastAsia="Book Antiqua" w:hAnsi="Book Antiqua" w:cs="Book Antiqua"/>
        </w:rPr>
        <w:t xml:space="preserve"> 2013;</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63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324-326 [PMID: 23914630]</w:t>
      </w:r>
    </w:p>
    <w:p w14:paraId="51F97AFF" w14:textId="0954B627" w:rsidR="00A77B3E" w:rsidRPr="00031AE3" w:rsidRDefault="00476247" w:rsidP="00031AE3">
      <w:pPr>
        <w:snapToGrid w:val="0"/>
        <w:spacing w:line="360" w:lineRule="auto"/>
        <w:jc w:val="both"/>
      </w:pPr>
      <w:r w:rsidRPr="00031AE3">
        <w:rPr>
          <w:rFonts w:ascii="Book Antiqua" w:eastAsia="Book Antiqua" w:hAnsi="Book Antiqua" w:cs="Book Antiqua"/>
        </w:rPr>
        <w:t>32</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Lau KM</w:t>
      </w:r>
      <w:r w:rsidR="008F2500" w:rsidRPr="00031AE3">
        <w:rPr>
          <w:rFonts w:ascii="Book Antiqua" w:eastAsia="Book Antiqua" w:hAnsi="Book Antiqua" w:cs="Book Antiqua"/>
        </w:rPr>
        <w:t xml:space="preserve">, Saunders IM, Goodman A. </w:t>
      </w:r>
      <w:proofErr w:type="spellStart"/>
      <w:r w:rsidR="008F2500" w:rsidRPr="00031AE3">
        <w:rPr>
          <w:rFonts w:ascii="Book Antiqua" w:eastAsia="Book Antiqua" w:hAnsi="Book Antiqua" w:cs="Book Antiqua"/>
        </w:rPr>
        <w:t>Pegaspargase</w:t>
      </w:r>
      <w:proofErr w:type="spellEnd"/>
      <w:r w:rsidR="008F2500" w:rsidRPr="00031AE3">
        <w:rPr>
          <w:rFonts w:ascii="Book Antiqua" w:eastAsia="Book Antiqua" w:hAnsi="Book Antiqua" w:cs="Book Antiqua"/>
        </w:rPr>
        <w:t>-induced hypertriglyceridemia in</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a patient with acute lymphoblastic leukemia. </w:t>
      </w:r>
      <w:r w:rsidR="008F2500" w:rsidRPr="00031AE3">
        <w:rPr>
          <w:rFonts w:ascii="Book Antiqua" w:eastAsia="Book Antiqua" w:hAnsi="Book Antiqua" w:cs="Book Antiqua"/>
          <w:i/>
          <w:iCs/>
        </w:rPr>
        <w:t xml:space="preserve">J </w:t>
      </w:r>
      <w:proofErr w:type="spellStart"/>
      <w:r w:rsidR="008F2500" w:rsidRPr="00031AE3">
        <w:rPr>
          <w:rFonts w:ascii="Book Antiqua" w:eastAsia="Book Antiqua" w:hAnsi="Book Antiqua" w:cs="Book Antiqua"/>
          <w:i/>
          <w:iCs/>
        </w:rPr>
        <w:t>Oncol</w:t>
      </w:r>
      <w:proofErr w:type="spellEnd"/>
      <w:r w:rsidR="008F2500" w:rsidRPr="00031AE3">
        <w:rPr>
          <w:rFonts w:ascii="Book Antiqua" w:eastAsia="Book Antiqua" w:hAnsi="Book Antiqua" w:cs="Book Antiqua"/>
          <w:i/>
          <w:iCs/>
        </w:rPr>
        <w:t xml:space="preserve"> Pharm </w:t>
      </w:r>
      <w:proofErr w:type="spellStart"/>
      <w:r w:rsidR="008F2500" w:rsidRPr="00031AE3">
        <w:rPr>
          <w:rFonts w:ascii="Book Antiqua" w:eastAsia="Book Antiqua" w:hAnsi="Book Antiqua" w:cs="Book Antiqua"/>
          <w:i/>
          <w:iCs/>
        </w:rPr>
        <w:t>Pract</w:t>
      </w:r>
      <w:proofErr w:type="spellEnd"/>
      <w:r w:rsidR="008F2500" w:rsidRPr="00031AE3">
        <w:rPr>
          <w:rFonts w:ascii="Book Antiqua" w:eastAsia="Book Antiqua" w:hAnsi="Book Antiqua" w:cs="Book Antiqua"/>
        </w:rPr>
        <w:t xml:space="preserve"> 2020;</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26</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193-199 [PMID:</w:t>
      </w:r>
      <w:r w:rsidRPr="00031AE3">
        <w:rPr>
          <w:rFonts w:ascii="Book Antiqua" w:eastAsia="Book Antiqua" w:hAnsi="Book Antiqua" w:cs="Book Antiqua"/>
        </w:rPr>
        <w:t xml:space="preserve"> </w:t>
      </w:r>
      <w:r w:rsidR="008F2500" w:rsidRPr="00031AE3">
        <w:rPr>
          <w:rFonts w:ascii="Book Antiqua" w:eastAsia="Book Antiqua" w:hAnsi="Book Antiqua" w:cs="Book Antiqua"/>
        </w:rPr>
        <w:t>30823860</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10.1177/1078155219833438]</w:t>
      </w:r>
    </w:p>
    <w:p w14:paraId="6AF06313" w14:textId="282BBC9B" w:rsidR="00A77B3E" w:rsidRPr="00031AE3" w:rsidRDefault="00476247" w:rsidP="00031AE3">
      <w:pPr>
        <w:snapToGrid w:val="0"/>
        <w:spacing w:line="360" w:lineRule="auto"/>
        <w:jc w:val="both"/>
      </w:pPr>
      <w:r w:rsidRPr="00031AE3">
        <w:rPr>
          <w:rFonts w:ascii="Book Antiqua" w:eastAsia="Book Antiqua" w:hAnsi="Book Antiqua" w:cs="Book Antiqua"/>
        </w:rPr>
        <w:lastRenderedPageBreak/>
        <w:t>33</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Santer</w:t>
      </w:r>
      <w:proofErr w:type="spellEnd"/>
      <w:r w:rsidR="008F2500" w:rsidRPr="00031AE3">
        <w:rPr>
          <w:rFonts w:ascii="Book Antiqua" w:eastAsia="Book Antiqua" w:hAnsi="Book Antiqua" w:cs="Book Antiqua"/>
          <w:b/>
          <w:bCs/>
        </w:rPr>
        <w:t xml:space="preserve"> MA Jr</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Waldmann</w:t>
      </w:r>
      <w:proofErr w:type="spellEnd"/>
      <w:r w:rsidR="008F2500" w:rsidRPr="00031AE3">
        <w:rPr>
          <w:rFonts w:ascii="Book Antiqua" w:eastAsia="Book Antiqua" w:hAnsi="Book Antiqua" w:cs="Book Antiqua"/>
        </w:rPr>
        <w:t xml:space="preserve"> TA, Fallon HJ. Erythrocytosis and hyperlipemia as manifestations of hepatic carcinoma.</w:t>
      </w:r>
      <w:r w:rsidR="008F2500" w:rsidRPr="00031AE3">
        <w:rPr>
          <w:rFonts w:ascii="Book Antiqua" w:eastAsia="Book Antiqua" w:hAnsi="Book Antiqua" w:cs="Book Antiqua"/>
          <w:i/>
          <w:iCs/>
        </w:rPr>
        <w:t xml:space="preserve"> Arch Intern Med</w:t>
      </w:r>
      <w:r w:rsidR="008F2500" w:rsidRPr="00031AE3">
        <w:rPr>
          <w:rFonts w:ascii="Book Antiqua" w:eastAsia="Book Antiqua" w:hAnsi="Book Antiqua" w:cs="Book Antiqua"/>
        </w:rPr>
        <w:t xml:space="preserve"> 1967;</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120</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735-739 [PMID: 4293747]</w:t>
      </w:r>
    </w:p>
    <w:p w14:paraId="2315B2F6" w14:textId="14428925" w:rsidR="00A77B3E" w:rsidRPr="00031AE3" w:rsidRDefault="00476247" w:rsidP="00031AE3">
      <w:pPr>
        <w:snapToGrid w:val="0"/>
        <w:spacing w:line="360" w:lineRule="auto"/>
        <w:jc w:val="both"/>
      </w:pPr>
      <w:r w:rsidRPr="00031AE3">
        <w:rPr>
          <w:rFonts w:ascii="Book Antiqua" w:eastAsia="Book Antiqua" w:hAnsi="Book Antiqua" w:cs="Book Antiqua"/>
        </w:rPr>
        <w:t>34</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Chu CW</w:t>
      </w:r>
      <w:r w:rsidR="008F2500" w:rsidRPr="00031AE3">
        <w:rPr>
          <w:rFonts w:ascii="Book Antiqua" w:eastAsia="Book Antiqua" w:hAnsi="Book Antiqua" w:cs="Book Antiqua"/>
        </w:rPr>
        <w:t xml:space="preserve">, Hwang SJ, Luo JC, </w:t>
      </w:r>
      <w:proofErr w:type="spellStart"/>
      <w:r w:rsidR="008F2500" w:rsidRPr="00031AE3">
        <w:rPr>
          <w:rFonts w:ascii="Book Antiqua" w:eastAsia="Book Antiqua" w:hAnsi="Book Antiqua" w:cs="Book Antiqua"/>
        </w:rPr>
        <w:t>Tsay</w:t>
      </w:r>
      <w:proofErr w:type="spellEnd"/>
      <w:r w:rsidR="008F2500" w:rsidRPr="00031AE3">
        <w:rPr>
          <w:rFonts w:ascii="Book Antiqua" w:eastAsia="Book Antiqua" w:hAnsi="Book Antiqua" w:cs="Book Antiqua"/>
        </w:rPr>
        <w:t xml:space="preserve"> SH, Li CP, Chang FY, Lee SD, Lui WY, Chiang JH. Manifestations of </w:t>
      </w:r>
      <w:proofErr w:type="spellStart"/>
      <w:r w:rsidR="008F2500" w:rsidRPr="00031AE3">
        <w:rPr>
          <w:rFonts w:ascii="Book Antiqua" w:eastAsia="Book Antiqua" w:hAnsi="Book Antiqua" w:cs="Book Antiqua"/>
        </w:rPr>
        <w:t>hypercholesterolaemia</w:t>
      </w:r>
      <w:proofErr w:type="spellEnd"/>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hypoglycaemia</w:t>
      </w:r>
      <w:proofErr w:type="spellEnd"/>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erythrocytosis</w:t>
      </w:r>
      <w:proofErr w:type="spellEnd"/>
      <w:r w:rsidR="008F2500" w:rsidRPr="00031AE3">
        <w:rPr>
          <w:rFonts w:ascii="Book Antiqua" w:eastAsia="Book Antiqua" w:hAnsi="Book Antiqua" w:cs="Book Antiqua"/>
        </w:rPr>
        <w:t xml:space="preserve"> and </w:t>
      </w:r>
      <w:proofErr w:type="spellStart"/>
      <w:r w:rsidR="008F2500" w:rsidRPr="00031AE3">
        <w:rPr>
          <w:rFonts w:ascii="Book Antiqua" w:eastAsia="Book Antiqua" w:hAnsi="Book Antiqua" w:cs="Book Antiqua"/>
        </w:rPr>
        <w:t>hypercalcaemia</w:t>
      </w:r>
      <w:proofErr w:type="spellEnd"/>
      <w:r w:rsidR="008F2500" w:rsidRPr="00031AE3">
        <w:rPr>
          <w:rFonts w:ascii="Book Antiqua" w:eastAsia="Book Antiqua" w:hAnsi="Book Antiqua" w:cs="Book Antiqua"/>
        </w:rPr>
        <w:t xml:space="preserve"> in patients with hepatocellular carcinoma: report of two cases.</w:t>
      </w:r>
      <w:r w:rsidR="008F2500" w:rsidRPr="00031AE3">
        <w:rPr>
          <w:rFonts w:ascii="Book Antiqua" w:eastAsia="Book Antiqua" w:hAnsi="Book Antiqua" w:cs="Book Antiqua"/>
          <w:i/>
          <w:iCs/>
        </w:rPr>
        <w:t xml:space="preserve"> J Gastroenterol Hepatol </w:t>
      </w:r>
      <w:r w:rsidR="008F2500" w:rsidRPr="00031AE3">
        <w:rPr>
          <w:rFonts w:ascii="Book Antiqua" w:eastAsia="Book Antiqua" w:hAnsi="Book Antiqua" w:cs="Book Antiqua"/>
        </w:rPr>
        <w:t>1999;</w:t>
      </w:r>
      <w:r w:rsidR="00BC4F41" w:rsidRPr="00031AE3">
        <w:rPr>
          <w:rFonts w:ascii="Book Antiqua" w:eastAsia="Book Antiqua" w:hAnsi="Book Antiqua" w:cs="Book Antiqua"/>
        </w:rPr>
        <w:t xml:space="preserve"> </w:t>
      </w:r>
      <w:r w:rsidR="008F2500" w:rsidRPr="00031AE3">
        <w:rPr>
          <w:rFonts w:ascii="Book Antiqua" w:eastAsia="Book Antiqua" w:hAnsi="Book Antiqua" w:cs="Book Antiqua"/>
          <w:b/>
          <w:bCs/>
        </w:rPr>
        <w:t>14</w:t>
      </w:r>
      <w:r w:rsidR="008F2500" w:rsidRPr="00031AE3">
        <w:rPr>
          <w:rFonts w:ascii="Book Antiqua" w:eastAsia="Book Antiqua" w:hAnsi="Book Antiqua" w:cs="Book Antiqua"/>
        </w:rPr>
        <w:t>:</w:t>
      </w:r>
      <w:r w:rsidR="00BC4F41" w:rsidRPr="00031AE3">
        <w:rPr>
          <w:rFonts w:ascii="Book Antiqua" w:eastAsia="Book Antiqua" w:hAnsi="Book Antiqua" w:cs="Book Antiqua"/>
        </w:rPr>
        <w:t xml:space="preserve"> </w:t>
      </w:r>
      <w:r w:rsidR="008F2500" w:rsidRPr="00031AE3">
        <w:rPr>
          <w:rFonts w:ascii="Book Antiqua" w:eastAsia="Book Antiqua" w:hAnsi="Book Antiqua" w:cs="Book Antiqua"/>
        </w:rPr>
        <w:t>807-810 [PMID: 10482434</w:t>
      </w:r>
      <w:r w:rsidR="00192F92" w:rsidRPr="00031AE3">
        <w:rPr>
          <w:rFonts w:ascii="Book Antiqua" w:eastAsia="Book Antiqua" w:hAnsi="Book Antiqua" w:cs="Book Antiqua"/>
        </w:rPr>
        <w:t xml:space="preserve"> DOI: 10.1046/j.1440-1746.1999.01955.x</w:t>
      </w:r>
      <w:r w:rsidR="008F2500" w:rsidRPr="00031AE3">
        <w:rPr>
          <w:rFonts w:ascii="Book Antiqua" w:eastAsia="Book Antiqua" w:hAnsi="Book Antiqua" w:cs="Book Antiqua"/>
        </w:rPr>
        <w:t>]</w:t>
      </w:r>
    </w:p>
    <w:p w14:paraId="127F3FF1" w14:textId="4BDD37AF" w:rsidR="00A77B3E" w:rsidRPr="00031AE3" w:rsidRDefault="00BC4F41" w:rsidP="00031AE3">
      <w:pPr>
        <w:snapToGrid w:val="0"/>
        <w:spacing w:line="360" w:lineRule="auto"/>
        <w:jc w:val="both"/>
      </w:pPr>
      <w:r w:rsidRPr="00031AE3">
        <w:rPr>
          <w:rFonts w:ascii="Book Antiqua" w:eastAsia="Book Antiqua" w:hAnsi="Book Antiqua" w:cs="Book Antiqua"/>
        </w:rPr>
        <w:t>35</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Jonsson</w:t>
      </w:r>
      <w:proofErr w:type="spellEnd"/>
      <w:r w:rsidR="008F2500" w:rsidRPr="00031AE3">
        <w:rPr>
          <w:rFonts w:ascii="Book Antiqua" w:eastAsia="Book Antiqua" w:hAnsi="Book Antiqua" w:cs="Book Antiqua"/>
          <w:b/>
          <w:bCs/>
        </w:rPr>
        <w:t xml:space="preserve"> V</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Manthorpe</w:t>
      </w:r>
      <w:proofErr w:type="spellEnd"/>
      <w:r w:rsidR="008F2500" w:rsidRPr="00031AE3">
        <w:rPr>
          <w:rFonts w:ascii="Book Antiqua" w:eastAsia="Book Antiqua" w:hAnsi="Book Antiqua" w:cs="Book Antiqua"/>
        </w:rPr>
        <w:t xml:space="preserve"> R. </w:t>
      </w:r>
      <w:proofErr w:type="spellStart"/>
      <w:r w:rsidR="008F2500" w:rsidRPr="00031AE3">
        <w:rPr>
          <w:rFonts w:ascii="Book Antiqua" w:eastAsia="Book Antiqua" w:hAnsi="Book Antiqua" w:cs="Book Antiqua"/>
        </w:rPr>
        <w:t>Hyperlipaemia</w:t>
      </w:r>
      <w:proofErr w:type="spellEnd"/>
      <w:r w:rsidR="008F2500" w:rsidRPr="00031AE3">
        <w:rPr>
          <w:rFonts w:ascii="Book Antiqua" w:eastAsia="Book Antiqua" w:hAnsi="Book Antiqua" w:cs="Book Antiqua"/>
        </w:rPr>
        <w:t xml:space="preserve"> following phlebotomies. </w:t>
      </w:r>
      <w:proofErr w:type="spellStart"/>
      <w:r w:rsidR="008F2500" w:rsidRPr="00031AE3">
        <w:rPr>
          <w:rFonts w:ascii="Book Antiqua" w:eastAsia="Book Antiqua" w:hAnsi="Book Antiqua" w:cs="Book Antiqua"/>
        </w:rPr>
        <w:t>Hyperlipaemia</w:t>
      </w:r>
      <w:proofErr w:type="spellEnd"/>
      <w:r w:rsidR="008F2500" w:rsidRPr="00031AE3">
        <w:rPr>
          <w:rFonts w:ascii="Book Antiqua" w:eastAsia="Book Antiqua" w:hAnsi="Book Antiqua" w:cs="Book Antiqua"/>
        </w:rPr>
        <w:t xml:space="preserve"> of Fredrickson's type V after phlebotomies for control of erythrocytosis. </w:t>
      </w:r>
      <w:r w:rsidR="008F2500" w:rsidRPr="00031AE3">
        <w:rPr>
          <w:rFonts w:ascii="Book Antiqua" w:eastAsia="Book Antiqua" w:hAnsi="Book Antiqua" w:cs="Book Antiqua"/>
          <w:i/>
          <w:iCs/>
        </w:rPr>
        <w:t>Atherosclerosis</w:t>
      </w:r>
      <w:r w:rsidRPr="00031AE3">
        <w:rPr>
          <w:rFonts w:ascii="Book Antiqua" w:eastAsia="Book Antiqua" w:hAnsi="Book Antiqua" w:cs="Book Antiqua"/>
          <w:i/>
          <w:iCs/>
        </w:rPr>
        <w:t xml:space="preserve"> </w:t>
      </w:r>
      <w:r w:rsidR="008F2500" w:rsidRPr="00031AE3">
        <w:rPr>
          <w:rFonts w:ascii="Book Antiqua" w:eastAsia="Book Antiqua" w:hAnsi="Book Antiqua" w:cs="Book Antiqua"/>
        </w:rPr>
        <w:t>1974;</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20</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89-92 [PMID: 4376407</w:t>
      </w:r>
      <w:r w:rsidR="00192F92" w:rsidRPr="00031AE3">
        <w:rPr>
          <w:rFonts w:ascii="Book Antiqua" w:eastAsia="Book Antiqua" w:hAnsi="Book Antiqua" w:cs="Book Antiqua"/>
        </w:rPr>
        <w:t xml:space="preserve"> DOI: 10.1016/0021-9150(74)90082-3</w:t>
      </w:r>
      <w:r w:rsidR="008F2500" w:rsidRPr="00031AE3">
        <w:rPr>
          <w:rFonts w:ascii="Book Antiqua" w:eastAsia="Book Antiqua" w:hAnsi="Book Antiqua" w:cs="Book Antiqua"/>
        </w:rPr>
        <w:t>]</w:t>
      </w:r>
    </w:p>
    <w:p w14:paraId="36C4B959" w14:textId="00AE0DAB" w:rsidR="00A77B3E" w:rsidRPr="00031AE3" w:rsidRDefault="00BC4F41" w:rsidP="00031AE3">
      <w:pPr>
        <w:snapToGrid w:val="0"/>
        <w:spacing w:line="360" w:lineRule="auto"/>
        <w:jc w:val="both"/>
      </w:pPr>
      <w:r w:rsidRPr="00031AE3">
        <w:rPr>
          <w:rFonts w:ascii="Book Antiqua" w:eastAsia="Book Antiqua" w:hAnsi="Book Antiqua" w:cs="Book Antiqua"/>
        </w:rPr>
        <w:t>36</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b/>
          <w:bCs/>
        </w:rPr>
        <w:t>Costantini</w:t>
      </w:r>
      <w:proofErr w:type="spellEnd"/>
      <w:r w:rsidR="008F2500" w:rsidRPr="00031AE3">
        <w:rPr>
          <w:rFonts w:ascii="Book Antiqua" w:eastAsia="Book Antiqua" w:hAnsi="Book Antiqua" w:cs="Book Antiqua"/>
          <w:b/>
          <w:bCs/>
        </w:rPr>
        <w:t xml:space="preserve"> N</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Mameli</w:t>
      </w:r>
      <w:proofErr w:type="spellEnd"/>
      <w:r w:rsidR="008F2500" w:rsidRPr="00031AE3">
        <w:rPr>
          <w:rFonts w:ascii="Book Antiqua" w:eastAsia="Book Antiqua" w:hAnsi="Book Antiqua" w:cs="Book Antiqua"/>
        </w:rPr>
        <w:t xml:space="preserve"> A, Marongiu F. Plasmapheresis for Preventing Complication of Hypertriglyceridemia: A Case Report and Review of Literature. </w:t>
      </w:r>
      <w:r w:rsidR="008F2500" w:rsidRPr="00031AE3">
        <w:rPr>
          <w:rFonts w:ascii="Book Antiqua" w:eastAsia="Book Antiqua" w:hAnsi="Book Antiqua" w:cs="Book Antiqua"/>
          <w:i/>
          <w:iCs/>
        </w:rPr>
        <w:t xml:space="preserve">Am J </w:t>
      </w:r>
      <w:proofErr w:type="spellStart"/>
      <w:r w:rsidR="008F2500" w:rsidRPr="00031AE3">
        <w:rPr>
          <w:rFonts w:ascii="Book Antiqua" w:eastAsia="Book Antiqua" w:hAnsi="Book Antiqua" w:cs="Book Antiqua"/>
          <w:i/>
          <w:iCs/>
        </w:rPr>
        <w:t>Ther</w:t>
      </w:r>
      <w:proofErr w:type="spellEnd"/>
      <w:r w:rsidR="008F2500" w:rsidRPr="00031AE3">
        <w:rPr>
          <w:rFonts w:ascii="Book Antiqua" w:eastAsia="Book Antiqua" w:hAnsi="Book Antiqua" w:cs="Book Antiqua"/>
          <w:i/>
          <w:iCs/>
        </w:rPr>
        <w:t xml:space="preserve"> </w:t>
      </w:r>
      <w:r w:rsidR="008F2500" w:rsidRPr="00031AE3">
        <w:rPr>
          <w:rFonts w:ascii="Book Antiqua" w:eastAsia="Book Antiqua" w:hAnsi="Book Antiqua" w:cs="Book Antiqua"/>
        </w:rPr>
        <w:t>2016;</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23</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e288-</w:t>
      </w:r>
      <w:r w:rsidR="00192F92" w:rsidRPr="00031AE3">
        <w:rPr>
          <w:rFonts w:ascii="Book Antiqua" w:eastAsia="Book Antiqua" w:hAnsi="Book Antiqua" w:cs="Book Antiqua"/>
        </w:rPr>
        <w:t>e</w:t>
      </w:r>
      <w:r w:rsidR="008F2500" w:rsidRPr="00031AE3">
        <w:rPr>
          <w:rFonts w:ascii="Book Antiqua" w:eastAsia="Book Antiqua" w:hAnsi="Book Antiqua" w:cs="Book Antiqua"/>
        </w:rPr>
        <w:t>291 [PMID: 25285671</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10.1097/MJT.0000000000000079]</w:t>
      </w:r>
    </w:p>
    <w:p w14:paraId="34075909" w14:textId="6377FD31" w:rsidR="00A77B3E" w:rsidRPr="00031AE3" w:rsidRDefault="00BC4F41" w:rsidP="00031AE3">
      <w:pPr>
        <w:snapToGrid w:val="0"/>
        <w:spacing w:line="360" w:lineRule="auto"/>
        <w:jc w:val="both"/>
      </w:pPr>
      <w:r w:rsidRPr="00031AE3">
        <w:rPr>
          <w:rFonts w:ascii="Book Antiqua" w:eastAsia="Book Antiqua" w:hAnsi="Book Antiqua" w:cs="Book Antiqua"/>
        </w:rPr>
        <w:t>37</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Ramírez-Bueno A</w:t>
      </w:r>
      <w:r w:rsidR="008F2500" w:rsidRPr="00031AE3">
        <w:rPr>
          <w:rFonts w:ascii="Book Antiqua" w:eastAsia="Book Antiqua" w:hAnsi="Book Antiqua" w:cs="Book Antiqua"/>
        </w:rPr>
        <w:t>, Salazar-Ramírez C, Cota-Delgado F, de la Torre-</w:t>
      </w:r>
      <w:proofErr w:type="spellStart"/>
      <w:r w:rsidR="008F2500" w:rsidRPr="00031AE3">
        <w:rPr>
          <w:rFonts w:ascii="Book Antiqua" w:eastAsia="Book Antiqua" w:hAnsi="Book Antiqua" w:cs="Book Antiqua"/>
        </w:rPr>
        <w:t>Prados</w:t>
      </w:r>
      <w:proofErr w:type="spellEnd"/>
      <w:r w:rsidR="008F2500" w:rsidRPr="00031AE3">
        <w:rPr>
          <w:rFonts w:ascii="Book Antiqua" w:eastAsia="Book Antiqua" w:hAnsi="Book Antiqua" w:cs="Book Antiqua"/>
        </w:rPr>
        <w:t xml:space="preserve"> MV,</w:t>
      </w:r>
      <w:r w:rsidR="00192F92"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Valdivielso</w:t>
      </w:r>
      <w:proofErr w:type="spellEnd"/>
      <w:r w:rsidR="008F2500" w:rsidRPr="00031AE3">
        <w:rPr>
          <w:rFonts w:ascii="Book Antiqua" w:eastAsia="Book Antiqua" w:hAnsi="Book Antiqua" w:cs="Book Antiqua"/>
        </w:rPr>
        <w:t xml:space="preserve"> P. Plasmapheresis as treatment for hyperlipidemic pancreatitis. </w:t>
      </w:r>
      <w:r w:rsidR="008F2500" w:rsidRPr="00031AE3">
        <w:rPr>
          <w:rFonts w:ascii="Book Antiqua" w:eastAsia="Book Antiqua" w:hAnsi="Book Antiqua" w:cs="Book Antiqua"/>
          <w:i/>
          <w:iCs/>
        </w:rPr>
        <w:t>Eur</w:t>
      </w:r>
      <w:r w:rsidRPr="00031AE3">
        <w:rPr>
          <w:rFonts w:ascii="Book Antiqua" w:eastAsia="Book Antiqua" w:hAnsi="Book Antiqua" w:cs="Book Antiqua"/>
          <w:i/>
          <w:iCs/>
        </w:rPr>
        <w:t xml:space="preserve"> </w:t>
      </w:r>
      <w:r w:rsidR="008F2500" w:rsidRPr="00031AE3">
        <w:rPr>
          <w:rFonts w:ascii="Book Antiqua" w:eastAsia="Book Antiqua" w:hAnsi="Book Antiqua" w:cs="Book Antiqua"/>
          <w:i/>
          <w:iCs/>
        </w:rPr>
        <w:t>J Intern Med</w:t>
      </w:r>
      <w:r w:rsidR="008F2500" w:rsidRPr="00031AE3">
        <w:rPr>
          <w:rFonts w:ascii="Book Antiqua" w:eastAsia="Book Antiqua" w:hAnsi="Book Antiqua" w:cs="Book Antiqua"/>
        </w:rPr>
        <w:t xml:space="preserve"> 2014;</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25:</w:t>
      </w:r>
      <w:r w:rsidRPr="00031AE3">
        <w:rPr>
          <w:rFonts w:ascii="Book Antiqua" w:eastAsia="Book Antiqua" w:hAnsi="Book Antiqua" w:cs="Book Antiqua"/>
        </w:rPr>
        <w:t xml:space="preserve"> </w:t>
      </w:r>
      <w:r w:rsidR="008F2500" w:rsidRPr="00031AE3">
        <w:rPr>
          <w:rFonts w:ascii="Book Antiqua" w:eastAsia="Book Antiqua" w:hAnsi="Book Antiqua" w:cs="Book Antiqua"/>
        </w:rPr>
        <w:t>160-163</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24012324</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10.1016/j.ejim.2013.08.701]</w:t>
      </w:r>
    </w:p>
    <w:p w14:paraId="18EF6F9C" w14:textId="7B1995B3" w:rsidR="00A77B3E" w:rsidRPr="00031AE3" w:rsidRDefault="00BC4F41" w:rsidP="00031AE3">
      <w:pPr>
        <w:snapToGrid w:val="0"/>
        <w:spacing w:line="360" w:lineRule="auto"/>
        <w:jc w:val="both"/>
      </w:pPr>
      <w:r w:rsidRPr="00031AE3">
        <w:rPr>
          <w:rFonts w:ascii="Book Antiqua" w:eastAsia="Book Antiqua" w:hAnsi="Book Antiqua" w:cs="Book Antiqua"/>
        </w:rPr>
        <w:t>38</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Benjamin D</w:t>
      </w:r>
      <w:r w:rsidR="008F2500" w:rsidRPr="00031AE3">
        <w:rPr>
          <w:rFonts w:ascii="Book Antiqua" w:eastAsia="Book Antiqua" w:hAnsi="Book Antiqua" w:cs="Book Antiqua"/>
        </w:rPr>
        <w:t xml:space="preserve">, </w:t>
      </w:r>
      <w:proofErr w:type="spellStart"/>
      <w:r w:rsidR="008F2500" w:rsidRPr="00031AE3">
        <w:rPr>
          <w:rFonts w:ascii="Book Antiqua" w:eastAsia="Book Antiqua" w:hAnsi="Book Antiqua" w:cs="Book Antiqua"/>
        </w:rPr>
        <w:t>Yeshurun</w:t>
      </w:r>
      <w:proofErr w:type="spellEnd"/>
      <w:r w:rsidR="008F2500" w:rsidRPr="00031AE3">
        <w:rPr>
          <w:rFonts w:ascii="Book Antiqua" w:eastAsia="Book Antiqua" w:hAnsi="Book Antiqua" w:cs="Book Antiqua"/>
        </w:rPr>
        <w:t xml:space="preserve"> D, </w:t>
      </w:r>
      <w:proofErr w:type="spellStart"/>
      <w:r w:rsidR="008F2500" w:rsidRPr="00031AE3">
        <w:rPr>
          <w:rFonts w:ascii="Book Antiqua" w:eastAsia="Book Antiqua" w:hAnsi="Book Antiqua" w:cs="Book Antiqua"/>
        </w:rPr>
        <w:t>Charnilas</w:t>
      </w:r>
      <w:proofErr w:type="spellEnd"/>
      <w:r w:rsidR="008F2500" w:rsidRPr="00031AE3">
        <w:rPr>
          <w:rFonts w:ascii="Book Antiqua" w:eastAsia="Book Antiqua" w:hAnsi="Book Antiqua" w:cs="Book Antiqua"/>
        </w:rPr>
        <w:t xml:space="preserve"> J, </w:t>
      </w:r>
      <w:proofErr w:type="spellStart"/>
      <w:r w:rsidR="008F2500" w:rsidRPr="00031AE3">
        <w:rPr>
          <w:rFonts w:ascii="Book Antiqua" w:eastAsia="Book Antiqua" w:hAnsi="Book Antiqua" w:cs="Book Antiqua"/>
        </w:rPr>
        <w:t>Pinkhas</w:t>
      </w:r>
      <w:proofErr w:type="spellEnd"/>
      <w:r w:rsidR="008F2500" w:rsidRPr="00031AE3">
        <w:rPr>
          <w:rFonts w:ascii="Book Antiqua" w:eastAsia="Book Antiqua" w:hAnsi="Book Antiqua" w:cs="Book Antiqua"/>
        </w:rPr>
        <w:t xml:space="preserve"> J. Hyperlipidemia and myocardial infarction among 118 patients with polycythemia vera. </w:t>
      </w:r>
      <w:r w:rsidR="008F2500" w:rsidRPr="00031AE3">
        <w:rPr>
          <w:rFonts w:ascii="Book Antiqua" w:eastAsia="Book Antiqua" w:hAnsi="Book Antiqua" w:cs="Book Antiqua"/>
          <w:i/>
          <w:iCs/>
        </w:rPr>
        <w:t>Am J Med Sci</w:t>
      </w:r>
      <w:r w:rsidR="008F2500" w:rsidRPr="00031AE3">
        <w:rPr>
          <w:rFonts w:ascii="Book Antiqua" w:eastAsia="Book Antiqua" w:hAnsi="Book Antiqua" w:cs="Book Antiqua"/>
        </w:rPr>
        <w:t xml:space="preserve"> 1978;</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276</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23-26</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215033</w:t>
      </w:r>
      <w:r w:rsidR="00192F92" w:rsidRPr="00031AE3">
        <w:rPr>
          <w:rFonts w:ascii="Book Antiqua" w:eastAsia="Book Antiqua" w:hAnsi="Book Antiqua" w:cs="Book Antiqua"/>
        </w:rPr>
        <w:t xml:space="preserve"> DOI: 10.1097/00000441-197807000-00002</w:t>
      </w:r>
      <w:r w:rsidR="008F2500" w:rsidRPr="00031AE3">
        <w:rPr>
          <w:rFonts w:ascii="Book Antiqua" w:eastAsia="Book Antiqua" w:hAnsi="Book Antiqua" w:cs="Book Antiqua"/>
        </w:rPr>
        <w:t>]</w:t>
      </w:r>
    </w:p>
    <w:p w14:paraId="34997622" w14:textId="6DA8A0CA" w:rsidR="00A77B3E" w:rsidRPr="00031AE3" w:rsidRDefault="00BC4F41" w:rsidP="00031AE3">
      <w:pPr>
        <w:snapToGrid w:val="0"/>
        <w:spacing w:line="360" w:lineRule="auto"/>
        <w:jc w:val="both"/>
      </w:pPr>
      <w:r w:rsidRPr="00031AE3">
        <w:rPr>
          <w:rFonts w:ascii="Book Antiqua" w:eastAsia="Book Antiqua" w:hAnsi="Book Antiqua" w:cs="Book Antiqua"/>
        </w:rPr>
        <w:t>39</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Gilbert HS</w:t>
      </w:r>
      <w:r w:rsidR="008F2500" w:rsidRPr="00031AE3">
        <w:rPr>
          <w:rFonts w:ascii="Book Antiqua" w:eastAsia="Book Antiqua" w:hAnsi="Book Antiqua" w:cs="Book Antiqua"/>
        </w:rPr>
        <w:t xml:space="preserve">, Ginsberg H, </w:t>
      </w:r>
      <w:proofErr w:type="spellStart"/>
      <w:r w:rsidR="008F2500" w:rsidRPr="00031AE3">
        <w:rPr>
          <w:rFonts w:ascii="Book Antiqua" w:eastAsia="Book Antiqua" w:hAnsi="Book Antiqua" w:cs="Book Antiqua"/>
        </w:rPr>
        <w:t>Fagerstrom</w:t>
      </w:r>
      <w:proofErr w:type="spellEnd"/>
      <w:r w:rsidR="008F2500" w:rsidRPr="00031AE3">
        <w:rPr>
          <w:rFonts w:ascii="Book Antiqua" w:eastAsia="Book Antiqua" w:hAnsi="Book Antiqua" w:cs="Book Antiqua"/>
        </w:rPr>
        <w:t xml:space="preserve"> R, Brown WV.</w:t>
      </w:r>
      <w:r w:rsidRPr="00031AE3">
        <w:rPr>
          <w:rFonts w:ascii="Book Antiqua" w:eastAsia="Book Antiqua" w:hAnsi="Book Antiqua" w:cs="Book Antiqua"/>
        </w:rPr>
        <w:t xml:space="preserve"> </w:t>
      </w:r>
      <w:r w:rsidR="008F2500" w:rsidRPr="00031AE3">
        <w:rPr>
          <w:rFonts w:ascii="Book Antiqua" w:eastAsia="Book Antiqua" w:hAnsi="Book Antiqua" w:cs="Book Antiqua"/>
        </w:rPr>
        <w:t>Characterization of hypocholesterolemia in myeloproliferative disease. Relation</w:t>
      </w:r>
      <w:r w:rsidRPr="00031AE3">
        <w:rPr>
          <w:rFonts w:ascii="Book Antiqua" w:eastAsia="Book Antiqua" w:hAnsi="Book Antiqua" w:cs="Book Antiqua"/>
        </w:rPr>
        <w:t xml:space="preserve"> </w:t>
      </w:r>
      <w:r w:rsidR="008F2500" w:rsidRPr="00031AE3">
        <w:rPr>
          <w:rFonts w:ascii="Book Antiqua" w:eastAsia="Book Antiqua" w:hAnsi="Book Antiqua" w:cs="Book Antiqua"/>
        </w:rPr>
        <w:t>to disease manifestations and activity.</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Am J Med</w:t>
      </w:r>
      <w:r w:rsidR="008F2500" w:rsidRPr="00031AE3">
        <w:rPr>
          <w:rFonts w:ascii="Book Antiqua" w:eastAsia="Book Antiqua" w:hAnsi="Book Antiqua" w:cs="Book Antiqua"/>
        </w:rPr>
        <w:t xml:space="preserve"> 1981;</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71</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595-602</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7282748</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10.1016/0002-9343(81)90212-6]</w:t>
      </w:r>
    </w:p>
    <w:p w14:paraId="7E55D49C" w14:textId="4FD384EF" w:rsidR="00A77B3E" w:rsidRPr="00031AE3" w:rsidRDefault="00BC4F41" w:rsidP="00031AE3">
      <w:pPr>
        <w:snapToGrid w:val="0"/>
        <w:spacing w:line="360" w:lineRule="auto"/>
        <w:jc w:val="both"/>
      </w:pPr>
      <w:r w:rsidRPr="00031AE3">
        <w:rPr>
          <w:rFonts w:ascii="Book Antiqua" w:eastAsia="Book Antiqua" w:hAnsi="Book Antiqua" w:cs="Book Antiqua"/>
        </w:rPr>
        <w:t>40</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Ginsberg H</w:t>
      </w:r>
      <w:r w:rsidR="008F2500" w:rsidRPr="00031AE3">
        <w:rPr>
          <w:rFonts w:ascii="Book Antiqua" w:eastAsia="Book Antiqua" w:hAnsi="Book Antiqua" w:cs="Book Antiqua"/>
        </w:rPr>
        <w:t>, Gilbert HS, Gibson JC, Le NA, Brown WV.</w:t>
      </w:r>
      <w:r w:rsidRPr="00031AE3">
        <w:rPr>
          <w:rFonts w:ascii="Book Antiqua" w:eastAsia="Book Antiqua" w:hAnsi="Book Antiqua" w:cs="Book Antiqua"/>
        </w:rPr>
        <w:t xml:space="preserve"> </w:t>
      </w:r>
      <w:r w:rsidR="008F2500" w:rsidRPr="00031AE3">
        <w:rPr>
          <w:rFonts w:ascii="Book Antiqua" w:eastAsia="Book Antiqua" w:hAnsi="Book Antiqua" w:cs="Book Antiqua"/>
        </w:rPr>
        <w:t>Increased low-density-lipoprotein catabolism in myeloproliferative disorders.</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Ann Intern Med</w:t>
      </w:r>
      <w:r w:rsidR="008F2500" w:rsidRPr="00031AE3">
        <w:rPr>
          <w:rFonts w:ascii="Book Antiqua" w:eastAsia="Book Antiqua" w:hAnsi="Book Antiqua" w:cs="Book Antiqua"/>
        </w:rPr>
        <w:t xml:space="preserve"> 1982;</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96</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311-316</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7059093</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10.7326/0003-4819-96-3-311]</w:t>
      </w:r>
    </w:p>
    <w:p w14:paraId="3DCA51D8" w14:textId="20EC1A6F" w:rsidR="00A77B3E" w:rsidRPr="00031AE3" w:rsidRDefault="00BC4F41" w:rsidP="00031AE3">
      <w:pPr>
        <w:snapToGrid w:val="0"/>
        <w:spacing w:line="360" w:lineRule="auto"/>
        <w:jc w:val="both"/>
      </w:pPr>
      <w:r w:rsidRPr="00031AE3">
        <w:rPr>
          <w:rFonts w:ascii="Book Antiqua" w:eastAsia="Book Antiqua" w:hAnsi="Book Antiqua" w:cs="Book Antiqua"/>
        </w:rPr>
        <w:t>41</w:t>
      </w:r>
      <w:r w:rsidRPr="00031AE3">
        <w:rPr>
          <w:rFonts w:ascii="Book Antiqua" w:eastAsia="Book Antiqua" w:hAnsi="Book Antiqua" w:cs="Book Antiqua"/>
          <w:b/>
          <w:bCs/>
        </w:rPr>
        <w:t xml:space="preserve"> </w:t>
      </w:r>
      <w:r w:rsidR="008F2500" w:rsidRPr="00031AE3">
        <w:rPr>
          <w:rFonts w:ascii="Book Antiqua" w:eastAsia="Book Antiqua" w:hAnsi="Book Antiqua" w:cs="Book Antiqua"/>
          <w:b/>
          <w:bCs/>
        </w:rPr>
        <w:t>Ginsberg HN</w:t>
      </w:r>
      <w:r w:rsidR="008F2500" w:rsidRPr="00031AE3">
        <w:rPr>
          <w:rFonts w:ascii="Book Antiqua" w:eastAsia="Book Antiqua" w:hAnsi="Book Antiqua" w:cs="Book Antiqua"/>
        </w:rPr>
        <w:t xml:space="preserve">, Le NA, Gilbert HS. Altered high density lipoprotein metabolism in patients with myeloproliferative disorders and hypocholesterolemia. </w:t>
      </w:r>
      <w:r w:rsidR="008F2500" w:rsidRPr="00031AE3">
        <w:rPr>
          <w:rFonts w:ascii="Book Antiqua" w:eastAsia="Book Antiqua" w:hAnsi="Book Antiqua" w:cs="Book Antiqua"/>
          <w:i/>
          <w:iCs/>
        </w:rPr>
        <w:t xml:space="preserve">Metabolism </w:t>
      </w:r>
      <w:r w:rsidR="008F2500" w:rsidRPr="00031AE3">
        <w:rPr>
          <w:rFonts w:ascii="Book Antiqua" w:eastAsia="Book Antiqua" w:hAnsi="Book Antiqua" w:cs="Book Antiqua"/>
        </w:rPr>
        <w:t>1986;</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35</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878-882</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3747843</w:t>
      </w:r>
      <w:r w:rsidR="00192F92" w:rsidRPr="00031AE3">
        <w:rPr>
          <w:rFonts w:ascii="Book Antiqua" w:eastAsia="Book Antiqua" w:hAnsi="Book Antiqua" w:cs="Book Antiqua"/>
        </w:rPr>
        <w:t xml:space="preserve"> DOI: 10.1016/0026-0495(86)90232-5</w:t>
      </w:r>
      <w:r w:rsidR="008F2500" w:rsidRPr="00031AE3">
        <w:rPr>
          <w:rFonts w:ascii="Book Antiqua" w:eastAsia="Book Antiqua" w:hAnsi="Book Antiqua" w:cs="Book Antiqua"/>
        </w:rPr>
        <w:t>]</w:t>
      </w:r>
    </w:p>
    <w:p w14:paraId="15B297F9" w14:textId="2327B618" w:rsidR="00A77B3E" w:rsidRPr="00031AE3" w:rsidRDefault="00BC4F41" w:rsidP="00031AE3">
      <w:pPr>
        <w:snapToGrid w:val="0"/>
        <w:spacing w:line="360" w:lineRule="auto"/>
        <w:jc w:val="both"/>
      </w:pPr>
      <w:r w:rsidRPr="00031AE3">
        <w:rPr>
          <w:rFonts w:ascii="Book Antiqua" w:eastAsia="Book Antiqua" w:hAnsi="Book Antiqua" w:cs="Book Antiqua"/>
        </w:rPr>
        <w:lastRenderedPageBreak/>
        <w:t xml:space="preserve">42 </w:t>
      </w:r>
      <w:r w:rsidR="008F2500" w:rsidRPr="00031AE3">
        <w:rPr>
          <w:rFonts w:ascii="Book Antiqua" w:eastAsia="Book Antiqua" w:hAnsi="Book Antiqua" w:cs="Book Antiqua"/>
          <w:b/>
          <w:bCs/>
        </w:rPr>
        <w:t>Zhou P,</w:t>
      </w:r>
      <w:r w:rsidRPr="00031AE3">
        <w:rPr>
          <w:rFonts w:ascii="Book Antiqua" w:eastAsia="Book Antiqua" w:hAnsi="Book Antiqua" w:cs="Book Antiqua"/>
          <w:b/>
          <w:bCs/>
        </w:rPr>
        <w:t xml:space="preserve"> </w:t>
      </w:r>
      <w:proofErr w:type="spellStart"/>
      <w:r w:rsidR="008F2500" w:rsidRPr="00031AE3">
        <w:rPr>
          <w:rFonts w:ascii="Book Antiqua" w:eastAsia="Book Antiqua" w:hAnsi="Book Antiqua" w:cs="Book Antiqua"/>
        </w:rPr>
        <w:t>Hatziieremia</w:t>
      </w:r>
      <w:proofErr w:type="spellEnd"/>
      <w:r w:rsidR="008F2500" w:rsidRPr="00031AE3">
        <w:rPr>
          <w:rFonts w:ascii="Book Antiqua" w:eastAsia="Book Antiqua" w:hAnsi="Book Antiqua" w:cs="Book Antiqua"/>
        </w:rPr>
        <w:t xml:space="preserve"> S, Elliott MA, Scobie L, </w:t>
      </w:r>
      <w:proofErr w:type="spellStart"/>
      <w:r w:rsidR="008F2500" w:rsidRPr="00031AE3">
        <w:rPr>
          <w:rFonts w:ascii="Book Antiqua" w:eastAsia="Book Antiqua" w:hAnsi="Book Antiqua" w:cs="Book Antiqua"/>
        </w:rPr>
        <w:t>Crossan</w:t>
      </w:r>
      <w:proofErr w:type="spellEnd"/>
      <w:r w:rsidR="008F2500" w:rsidRPr="00031AE3">
        <w:rPr>
          <w:rFonts w:ascii="Book Antiqua" w:eastAsia="Book Antiqua" w:hAnsi="Book Antiqua" w:cs="Book Antiqua"/>
        </w:rPr>
        <w:t xml:space="preserve"> C, </w:t>
      </w:r>
      <w:proofErr w:type="spellStart"/>
      <w:r w:rsidR="008F2500" w:rsidRPr="00031AE3">
        <w:rPr>
          <w:rFonts w:ascii="Book Antiqua" w:eastAsia="Book Antiqua" w:hAnsi="Book Antiqua" w:cs="Book Antiqua"/>
        </w:rPr>
        <w:t>Michie</w:t>
      </w:r>
      <w:proofErr w:type="spellEnd"/>
      <w:r w:rsidR="008F2500" w:rsidRPr="00031AE3">
        <w:rPr>
          <w:rFonts w:ascii="Book Antiqua" w:eastAsia="Book Antiqua" w:hAnsi="Book Antiqua" w:cs="Book Antiqua"/>
        </w:rPr>
        <w:t xml:space="preserve"> AM, Holyoake</w:t>
      </w:r>
      <w:r w:rsidRPr="00031AE3">
        <w:rPr>
          <w:rFonts w:ascii="Book Antiqua" w:eastAsia="Book Antiqua" w:hAnsi="Book Antiqua" w:cs="Book Antiqua"/>
        </w:rPr>
        <w:t xml:space="preserve"> </w:t>
      </w:r>
      <w:r w:rsidR="008F2500" w:rsidRPr="00031AE3">
        <w:rPr>
          <w:rFonts w:ascii="Book Antiqua" w:eastAsia="Book Antiqua" w:hAnsi="Book Antiqua" w:cs="Book Antiqua"/>
        </w:rPr>
        <w:t xml:space="preserve">TL, </w:t>
      </w:r>
      <w:proofErr w:type="spellStart"/>
      <w:r w:rsidR="008F2500" w:rsidRPr="00031AE3">
        <w:rPr>
          <w:rFonts w:ascii="Book Antiqua" w:eastAsia="Book Antiqua" w:hAnsi="Book Antiqua" w:cs="Book Antiqua"/>
        </w:rPr>
        <w:t>Halbert</w:t>
      </w:r>
      <w:proofErr w:type="spellEnd"/>
      <w:r w:rsidR="008F2500" w:rsidRPr="00031AE3">
        <w:rPr>
          <w:rFonts w:ascii="Book Antiqua" w:eastAsia="Book Antiqua" w:hAnsi="Book Antiqua" w:cs="Book Antiqua"/>
        </w:rPr>
        <w:t xml:space="preserve"> GW, </w:t>
      </w:r>
      <w:proofErr w:type="spellStart"/>
      <w:r w:rsidR="008F2500" w:rsidRPr="00031AE3">
        <w:rPr>
          <w:rFonts w:ascii="Book Antiqua" w:eastAsia="Book Antiqua" w:hAnsi="Book Antiqua" w:cs="Book Antiqua"/>
        </w:rPr>
        <w:t>Jørgensen</w:t>
      </w:r>
      <w:proofErr w:type="spellEnd"/>
      <w:r w:rsidR="008F2500" w:rsidRPr="00031AE3">
        <w:rPr>
          <w:rFonts w:ascii="Book Antiqua" w:eastAsia="Book Antiqua" w:hAnsi="Book Antiqua" w:cs="Book Antiqua"/>
        </w:rPr>
        <w:t xml:space="preserve"> HG.</w:t>
      </w:r>
      <w:r w:rsidRPr="00031AE3">
        <w:rPr>
          <w:rFonts w:ascii="Book Antiqua" w:eastAsia="Book Antiqua" w:hAnsi="Book Antiqua" w:cs="Book Antiqua"/>
        </w:rPr>
        <w:t xml:space="preserve"> </w:t>
      </w:r>
      <w:r w:rsidR="008F2500" w:rsidRPr="00031AE3">
        <w:rPr>
          <w:rFonts w:ascii="Book Antiqua" w:eastAsia="Book Antiqua" w:hAnsi="Book Antiqua" w:cs="Book Antiqua"/>
        </w:rPr>
        <w:t>Uptake of synthetic Low Density Lipoprotein by leukemic stem cells--a potential</w:t>
      </w:r>
      <w:r w:rsidRPr="00031AE3">
        <w:rPr>
          <w:rFonts w:ascii="Book Antiqua" w:eastAsia="Book Antiqua" w:hAnsi="Book Antiqua" w:cs="Book Antiqua"/>
        </w:rPr>
        <w:t xml:space="preserve"> </w:t>
      </w:r>
      <w:r w:rsidR="008F2500" w:rsidRPr="00031AE3">
        <w:rPr>
          <w:rFonts w:ascii="Book Antiqua" w:eastAsia="Book Antiqua" w:hAnsi="Book Antiqua" w:cs="Book Antiqua"/>
        </w:rPr>
        <w:t>stem cell targeted drug delivery strategy.</w:t>
      </w:r>
      <w:r w:rsidRPr="00031AE3">
        <w:rPr>
          <w:rFonts w:ascii="Book Antiqua" w:eastAsia="Book Antiqua" w:hAnsi="Book Antiqua" w:cs="Book Antiqua"/>
        </w:rPr>
        <w:t xml:space="preserve"> </w:t>
      </w:r>
      <w:r w:rsidR="008F2500" w:rsidRPr="00031AE3">
        <w:rPr>
          <w:rFonts w:ascii="Book Antiqua" w:eastAsia="Book Antiqua" w:hAnsi="Book Antiqua" w:cs="Book Antiqua"/>
          <w:i/>
          <w:iCs/>
        </w:rPr>
        <w:t>J Control Release</w:t>
      </w:r>
      <w:r w:rsidR="008F2500" w:rsidRPr="00031AE3">
        <w:rPr>
          <w:rFonts w:ascii="Book Antiqua" w:eastAsia="Book Antiqua" w:hAnsi="Book Antiqua" w:cs="Book Antiqua"/>
        </w:rPr>
        <w:t xml:space="preserve"> 2010;</w:t>
      </w:r>
      <w:r w:rsidRPr="00031AE3">
        <w:rPr>
          <w:rFonts w:ascii="Book Antiqua" w:eastAsia="Book Antiqua" w:hAnsi="Book Antiqua" w:cs="Book Antiqua"/>
        </w:rPr>
        <w:t xml:space="preserve"> </w:t>
      </w:r>
      <w:r w:rsidR="008F2500" w:rsidRPr="00031AE3">
        <w:rPr>
          <w:rFonts w:ascii="Book Antiqua" w:eastAsia="Book Antiqua" w:hAnsi="Book Antiqua" w:cs="Book Antiqua"/>
          <w:b/>
          <w:bCs/>
        </w:rPr>
        <w:t>148</w:t>
      </w:r>
      <w:r w:rsidR="008F2500" w:rsidRPr="00031AE3">
        <w:rPr>
          <w:rFonts w:ascii="Book Antiqua" w:eastAsia="Book Antiqua" w:hAnsi="Book Antiqua" w:cs="Book Antiqua"/>
        </w:rPr>
        <w:t>:</w:t>
      </w:r>
      <w:r w:rsidRPr="00031AE3">
        <w:rPr>
          <w:rFonts w:ascii="Book Antiqua" w:eastAsia="Book Antiqua" w:hAnsi="Book Antiqua" w:cs="Book Antiqua"/>
        </w:rPr>
        <w:t xml:space="preserve"> </w:t>
      </w:r>
      <w:r w:rsidR="008F2500" w:rsidRPr="00031AE3">
        <w:rPr>
          <w:rFonts w:ascii="Book Antiqua" w:eastAsia="Book Antiqua" w:hAnsi="Book Antiqua" w:cs="Book Antiqua"/>
        </w:rPr>
        <w:t>380-387</w:t>
      </w:r>
      <w:r w:rsidRPr="00031AE3">
        <w:rPr>
          <w:rFonts w:ascii="Book Antiqua" w:eastAsia="Book Antiqua" w:hAnsi="Book Antiqua" w:cs="Book Antiqua"/>
        </w:rPr>
        <w:t xml:space="preserve"> </w:t>
      </w:r>
      <w:r w:rsidR="008F2500" w:rsidRPr="00031AE3">
        <w:rPr>
          <w:rFonts w:ascii="Book Antiqua" w:eastAsia="Book Antiqua" w:hAnsi="Book Antiqua" w:cs="Book Antiqua"/>
        </w:rPr>
        <w:t>[PMID: 20869412</w:t>
      </w:r>
      <w:r w:rsidRPr="00031AE3">
        <w:rPr>
          <w:rFonts w:ascii="Book Antiqua" w:eastAsia="Book Antiqua" w:hAnsi="Book Antiqua" w:cs="Book Antiqua"/>
        </w:rPr>
        <w:t xml:space="preserve"> </w:t>
      </w:r>
      <w:r w:rsidR="008F2500" w:rsidRPr="00031AE3">
        <w:rPr>
          <w:rFonts w:ascii="Book Antiqua" w:eastAsia="Book Antiqua" w:hAnsi="Book Antiqua" w:cs="Book Antiqua"/>
        </w:rPr>
        <w:t>DOI: 10.1016/j.jconrel.2010.09.016]</w:t>
      </w:r>
    </w:p>
    <w:p w14:paraId="7F7CF063" w14:textId="77777777" w:rsidR="00A77B3E" w:rsidRPr="00031AE3" w:rsidRDefault="00A77B3E" w:rsidP="00031AE3">
      <w:pPr>
        <w:snapToGrid w:val="0"/>
        <w:spacing w:line="360" w:lineRule="auto"/>
        <w:jc w:val="both"/>
        <w:sectPr w:rsidR="00A77B3E" w:rsidRPr="00031AE3">
          <w:footerReference w:type="default" r:id="rId8"/>
          <w:pgSz w:w="12240" w:h="15840"/>
          <w:pgMar w:top="1440" w:right="1440" w:bottom="1440" w:left="1440" w:header="720" w:footer="720" w:gutter="0"/>
          <w:cols w:space="720"/>
          <w:docGrid w:linePitch="360"/>
        </w:sectPr>
      </w:pPr>
    </w:p>
    <w:p w14:paraId="771F0A5C" w14:textId="77777777" w:rsidR="00A77B3E" w:rsidRPr="00031AE3" w:rsidRDefault="008F2500" w:rsidP="00031AE3">
      <w:pPr>
        <w:snapToGrid w:val="0"/>
        <w:spacing w:line="360" w:lineRule="auto"/>
        <w:jc w:val="both"/>
      </w:pPr>
      <w:r w:rsidRPr="00031AE3">
        <w:rPr>
          <w:rFonts w:ascii="Book Antiqua" w:eastAsia="Book Antiqua" w:hAnsi="Book Antiqua" w:cs="Book Antiqua"/>
          <w:b/>
        </w:rPr>
        <w:lastRenderedPageBreak/>
        <w:t>Footnotes</w:t>
      </w:r>
    </w:p>
    <w:p w14:paraId="7CDD6A1F"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Informed consent statement: </w:t>
      </w:r>
      <w:r w:rsidRPr="00031AE3">
        <w:rPr>
          <w:rFonts w:ascii="Book Antiqua" w:eastAsia="Book Antiqua" w:hAnsi="Book Antiqua" w:cs="Book Antiqua"/>
        </w:rPr>
        <w:t>Informed written consent was obtained from the patient for publishing this report and any accompanying laboratory data.</w:t>
      </w:r>
    </w:p>
    <w:p w14:paraId="553D2D75" w14:textId="77777777" w:rsidR="00A77B3E" w:rsidRPr="00031AE3" w:rsidRDefault="00A77B3E" w:rsidP="00031AE3">
      <w:pPr>
        <w:snapToGrid w:val="0"/>
        <w:spacing w:line="360" w:lineRule="auto"/>
        <w:jc w:val="both"/>
      </w:pPr>
    </w:p>
    <w:p w14:paraId="2705C7A2" w14:textId="6FE02578"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Conflict-of-interest statement: </w:t>
      </w:r>
      <w:r w:rsidRPr="00031AE3">
        <w:rPr>
          <w:rFonts w:ascii="Book Antiqua" w:eastAsia="Book Antiqua" w:hAnsi="Book Antiqua" w:cs="Book Antiqua"/>
        </w:rPr>
        <w:t>The authors declare that they have no conflict</w:t>
      </w:r>
      <w:r w:rsidR="00F51B3C">
        <w:rPr>
          <w:rFonts w:ascii="Book Antiqua" w:eastAsia="Book Antiqua" w:hAnsi="Book Antiqua" w:cs="Book Antiqua"/>
        </w:rPr>
        <w:t>s</w:t>
      </w:r>
      <w:r w:rsidRPr="00031AE3">
        <w:rPr>
          <w:rFonts w:ascii="Book Antiqua" w:eastAsia="Book Antiqua" w:hAnsi="Book Antiqua" w:cs="Book Antiqua"/>
        </w:rPr>
        <w:t xml:space="preserve"> of interest.</w:t>
      </w:r>
    </w:p>
    <w:p w14:paraId="23C85B6F" w14:textId="77777777" w:rsidR="00A77B3E" w:rsidRPr="00031AE3" w:rsidRDefault="00A77B3E" w:rsidP="00031AE3">
      <w:pPr>
        <w:snapToGrid w:val="0"/>
        <w:spacing w:line="360" w:lineRule="auto"/>
        <w:jc w:val="both"/>
      </w:pPr>
    </w:p>
    <w:p w14:paraId="58687309"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CARE Checklist (2016) statement: </w:t>
      </w:r>
      <w:r w:rsidRPr="00031AE3">
        <w:rPr>
          <w:rFonts w:ascii="Book Antiqua" w:eastAsia="Book Antiqua" w:hAnsi="Book Antiqua" w:cs="Book Antiqua"/>
        </w:rPr>
        <w:t>The authors have read the CARE Checklist (2016), and the manuscript was prepared and revised according to the CARE Checklist (2016).</w:t>
      </w:r>
    </w:p>
    <w:p w14:paraId="3A120593" w14:textId="77777777" w:rsidR="00A77B3E" w:rsidRPr="00031AE3" w:rsidRDefault="00A77B3E" w:rsidP="00031AE3">
      <w:pPr>
        <w:snapToGrid w:val="0"/>
        <w:spacing w:line="360" w:lineRule="auto"/>
        <w:jc w:val="both"/>
      </w:pPr>
    </w:p>
    <w:p w14:paraId="606CA20E" w14:textId="77777777" w:rsidR="00A77B3E" w:rsidRPr="00031AE3" w:rsidRDefault="008F2500" w:rsidP="00031AE3">
      <w:pPr>
        <w:snapToGrid w:val="0"/>
        <w:spacing w:line="360" w:lineRule="auto"/>
        <w:jc w:val="both"/>
      </w:pPr>
      <w:r w:rsidRPr="00031AE3">
        <w:rPr>
          <w:rFonts w:ascii="Book Antiqua" w:eastAsia="Book Antiqua" w:hAnsi="Book Antiqua" w:cs="Book Antiqua"/>
          <w:b/>
          <w:bCs/>
        </w:rPr>
        <w:t xml:space="preserve">Open-Access: </w:t>
      </w:r>
      <w:r w:rsidRPr="00031AE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91E221" w14:textId="77777777" w:rsidR="00A77B3E" w:rsidRPr="00031AE3" w:rsidRDefault="00A77B3E" w:rsidP="00031AE3">
      <w:pPr>
        <w:snapToGrid w:val="0"/>
        <w:spacing w:line="360" w:lineRule="auto"/>
        <w:jc w:val="both"/>
      </w:pPr>
    </w:p>
    <w:p w14:paraId="719CED2B" w14:textId="792A3091" w:rsidR="00A77B3E" w:rsidRPr="00031AE3" w:rsidRDefault="008F2500" w:rsidP="00031AE3">
      <w:pPr>
        <w:snapToGrid w:val="0"/>
        <w:spacing w:line="360" w:lineRule="auto"/>
        <w:jc w:val="both"/>
      </w:pPr>
      <w:r w:rsidRPr="00031AE3">
        <w:rPr>
          <w:rFonts w:ascii="Book Antiqua" w:eastAsia="Book Antiqua" w:hAnsi="Book Antiqua" w:cs="Book Antiqua"/>
          <w:b/>
        </w:rPr>
        <w:t xml:space="preserve">Manuscript source: </w:t>
      </w:r>
      <w:r w:rsidRPr="00031AE3">
        <w:rPr>
          <w:rFonts w:ascii="Book Antiqua" w:eastAsia="Book Antiqua" w:hAnsi="Book Antiqua" w:cs="Book Antiqua"/>
        </w:rPr>
        <w:t xml:space="preserve">Unsolicited </w:t>
      </w:r>
      <w:r w:rsidR="00BC4F41" w:rsidRPr="00031AE3">
        <w:rPr>
          <w:rFonts w:ascii="Book Antiqua" w:eastAsia="Book Antiqua" w:hAnsi="Book Antiqua" w:cs="Book Antiqua"/>
        </w:rPr>
        <w:t>m</w:t>
      </w:r>
      <w:r w:rsidRPr="00031AE3">
        <w:rPr>
          <w:rFonts w:ascii="Book Antiqua" w:eastAsia="Book Antiqua" w:hAnsi="Book Antiqua" w:cs="Book Antiqua"/>
        </w:rPr>
        <w:t>anuscript</w:t>
      </w:r>
    </w:p>
    <w:p w14:paraId="33D30D9D" w14:textId="77777777" w:rsidR="00A77B3E" w:rsidRPr="00031AE3" w:rsidRDefault="00A77B3E" w:rsidP="00031AE3">
      <w:pPr>
        <w:snapToGrid w:val="0"/>
        <w:spacing w:line="360" w:lineRule="auto"/>
        <w:jc w:val="both"/>
      </w:pPr>
    </w:p>
    <w:p w14:paraId="42BE0C9D"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Peer-review started: </w:t>
      </w:r>
      <w:r w:rsidRPr="00031AE3">
        <w:rPr>
          <w:rFonts w:ascii="Book Antiqua" w:eastAsia="Book Antiqua" w:hAnsi="Book Antiqua" w:cs="Book Antiqua"/>
        </w:rPr>
        <w:t>May 8, 2020</w:t>
      </w:r>
    </w:p>
    <w:p w14:paraId="0FF6AEF1"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First decision: </w:t>
      </w:r>
      <w:r w:rsidRPr="00031AE3">
        <w:rPr>
          <w:rFonts w:ascii="Book Antiqua" w:eastAsia="Book Antiqua" w:hAnsi="Book Antiqua" w:cs="Book Antiqua"/>
        </w:rPr>
        <w:t>July 25, 2020</w:t>
      </w:r>
    </w:p>
    <w:p w14:paraId="05A2071B" w14:textId="365C9431" w:rsidR="00A77B3E" w:rsidRPr="00031AE3" w:rsidRDefault="008F2500" w:rsidP="00031AE3">
      <w:pPr>
        <w:snapToGrid w:val="0"/>
        <w:spacing w:line="360" w:lineRule="auto"/>
        <w:jc w:val="both"/>
      </w:pPr>
      <w:r w:rsidRPr="00031AE3">
        <w:rPr>
          <w:rFonts w:ascii="Book Antiqua" w:eastAsia="Book Antiqua" w:hAnsi="Book Antiqua" w:cs="Book Antiqua"/>
          <w:b/>
        </w:rPr>
        <w:t xml:space="preserve">Article in press: </w:t>
      </w:r>
      <w:r w:rsidR="00050F0B" w:rsidRPr="00031AE3">
        <w:rPr>
          <w:rFonts w:ascii="Book Antiqua" w:eastAsia="Book Antiqua" w:hAnsi="Book Antiqua" w:cs="Book Antiqua"/>
        </w:rPr>
        <w:t>August 29, 2020</w:t>
      </w:r>
    </w:p>
    <w:p w14:paraId="33F74916" w14:textId="77777777" w:rsidR="00A77B3E" w:rsidRPr="00031AE3" w:rsidRDefault="00A77B3E" w:rsidP="00031AE3">
      <w:pPr>
        <w:snapToGrid w:val="0"/>
        <w:spacing w:line="360" w:lineRule="auto"/>
        <w:jc w:val="both"/>
      </w:pPr>
    </w:p>
    <w:p w14:paraId="30BBA643" w14:textId="76E112E5" w:rsidR="00A77B3E" w:rsidRPr="00031AE3" w:rsidRDefault="008F2500" w:rsidP="00031AE3">
      <w:pPr>
        <w:snapToGrid w:val="0"/>
        <w:spacing w:line="360" w:lineRule="auto"/>
        <w:jc w:val="both"/>
      </w:pPr>
      <w:r w:rsidRPr="00031AE3">
        <w:rPr>
          <w:rFonts w:ascii="Book Antiqua" w:eastAsia="Book Antiqua" w:hAnsi="Book Antiqua" w:cs="Book Antiqua"/>
          <w:b/>
        </w:rPr>
        <w:t xml:space="preserve">Specialty type: </w:t>
      </w:r>
      <w:r w:rsidR="003F5D08" w:rsidRPr="00031AE3">
        <w:rPr>
          <w:rFonts w:ascii="Book Antiqua" w:eastAsia="Book Antiqua" w:hAnsi="Book Antiqua" w:cs="Book Antiqua"/>
        </w:rPr>
        <w:t>Medicine, research and experimental</w:t>
      </w:r>
    </w:p>
    <w:p w14:paraId="29E626F1"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 xml:space="preserve">Country/Territory of origin: </w:t>
      </w:r>
      <w:r w:rsidRPr="00031AE3">
        <w:rPr>
          <w:rFonts w:ascii="Book Antiqua" w:eastAsia="Book Antiqua" w:hAnsi="Book Antiqua" w:cs="Book Antiqua"/>
        </w:rPr>
        <w:t>China</w:t>
      </w:r>
    </w:p>
    <w:p w14:paraId="7D70B3C7" w14:textId="77777777" w:rsidR="00A77B3E" w:rsidRPr="00031AE3" w:rsidRDefault="008F2500" w:rsidP="00031AE3">
      <w:pPr>
        <w:snapToGrid w:val="0"/>
        <w:spacing w:line="360" w:lineRule="auto"/>
        <w:jc w:val="both"/>
      </w:pPr>
      <w:r w:rsidRPr="00031AE3">
        <w:rPr>
          <w:rFonts w:ascii="Book Antiqua" w:eastAsia="Book Antiqua" w:hAnsi="Book Antiqua" w:cs="Book Antiqua"/>
          <w:b/>
        </w:rPr>
        <w:t>Peer-review report’s scientific quality classification</w:t>
      </w:r>
    </w:p>
    <w:p w14:paraId="67ADDD64" w14:textId="77777777" w:rsidR="00A77B3E" w:rsidRPr="00031AE3" w:rsidRDefault="008F2500" w:rsidP="00031AE3">
      <w:pPr>
        <w:snapToGrid w:val="0"/>
        <w:spacing w:line="360" w:lineRule="auto"/>
        <w:jc w:val="both"/>
      </w:pPr>
      <w:r w:rsidRPr="00031AE3">
        <w:rPr>
          <w:rFonts w:ascii="Book Antiqua" w:eastAsia="Book Antiqua" w:hAnsi="Book Antiqua" w:cs="Book Antiqua"/>
        </w:rPr>
        <w:t>Grade A (Excellent): A</w:t>
      </w:r>
    </w:p>
    <w:p w14:paraId="14132829" w14:textId="77777777" w:rsidR="00A77B3E" w:rsidRPr="00031AE3" w:rsidRDefault="008F2500" w:rsidP="00031AE3">
      <w:pPr>
        <w:snapToGrid w:val="0"/>
        <w:spacing w:line="360" w:lineRule="auto"/>
        <w:jc w:val="both"/>
      </w:pPr>
      <w:r w:rsidRPr="00031AE3">
        <w:rPr>
          <w:rFonts w:ascii="Book Antiqua" w:eastAsia="Book Antiqua" w:hAnsi="Book Antiqua" w:cs="Book Antiqua"/>
        </w:rPr>
        <w:t>Grade B (Very good): B</w:t>
      </w:r>
    </w:p>
    <w:p w14:paraId="3DF876C6" w14:textId="77777777" w:rsidR="00A77B3E" w:rsidRPr="00031AE3" w:rsidRDefault="008F2500" w:rsidP="00031AE3">
      <w:pPr>
        <w:snapToGrid w:val="0"/>
        <w:spacing w:line="360" w:lineRule="auto"/>
        <w:jc w:val="both"/>
      </w:pPr>
      <w:r w:rsidRPr="00031AE3">
        <w:rPr>
          <w:rFonts w:ascii="Book Antiqua" w:eastAsia="Book Antiqua" w:hAnsi="Book Antiqua" w:cs="Book Antiqua"/>
        </w:rPr>
        <w:lastRenderedPageBreak/>
        <w:t>Grade C (Good): 0</w:t>
      </w:r>
    </w:p>
    <w:p w14:paraId="7FF16783" w14:textId="77777777" w:rsidR="00A77B3E" w:rsidRPr="00031AE3" w:rsidRDefault="008F2500" w:rsidP="00031AE3">
      <w:pPr>
        <w:snapToGrid w:val="0"/>
        <w:spacing w:line="360" w:lineRule="auto"/>
        <w:jc w:val="both"/>
      </w:pPr>
      <w:r w:rsidRPr="00031AE3">
        <w:rPr>
          <w:rFonts w:ascii="Book Antiqua" w:eastAsia="Book Antiqua" w:hAnsi="Book Antiqua" w:cs="Book Antiqua"/>
        </w:rPr>
        <w:t>Grade D (Fair): 0</w:t>
      </w:r>
    </w:p>
    <w:p w14:paraId="6B1D07C5" w14:textId="77777777" w:rsidR="00A77B3E" w:rsidRPr="00031AE3" w:rsidRDefault="008F2500" w:rsidP="00031AE3">
      <w:pPr>
        <w:snapToGrid w:val="0"/>
        <w:spacing w:line="360" w:lineRule="auto"/>
        <w:jc w:val="both"/>
      </w:pPr>
      <w:r w:rsidRPr="00031AE3">
        <w:rPr>
          <w:rFonts w:ascii="Book Antiqua" w:eastAsia="Book Antiqua" w:hAnsi="Book Antiqua" w:cs="Book Antiqua"/>
        </w:rPr>
        <w:t>Grade E (Poor): 0</w:t>
      </w:r>
    </w:p>
    <w:p w14:paraId="53C00215" w14:textId="77777777" w:rsidR="00A77B3E" w:rsidRPr="00031AE3" w:rsidRDefault="00A77B3E" w:rsidP="00031AE3">
      <w:pPr>
        <w:snapToGrid w:val="0"/>
        <w:spacing w:line="360" w:lineRule="auto"/>
        <w:jc w:val="both"/>
      </w:pPr>
    </w:p>
    <w:p w14:paraId="081CC0AA" w14:textId="6E0502A1" w:rsidR="00D57FD3" w:rsidRPr="00525B8B" w:rsidRDefault="008F2500" w:rsidP="00031AE3">
      <w:pPr>
        <w:snapToGrid w:val="0"/>
        <w:spacing w:line="360" w:lineRule="auto"/>
        <w:jc w:val="both"/>
        <w:rPr>
          <w:rFonts w:ascii="Book Antiqua" w:hAnsi="Book Antiqua" w:cs="Book Antiqua"/>
          <w:b/>
          <w:lang w:eastAsia="zh-CN"/>
        </w:rPr>
      </w:pPr>
      <w:r w:rsidRPr="00031AE3">
        <w:rPr>
          <w:rFonts w:ascii="Book Antiqua" w:eastAsia="Book Antiqua" w:hAnsi="Book Antiqua" w:cs="Book Antiqua"/>
          <w:b/>
        </w:rPr>
        <w:t xml:space="preserve">P-Reviewer: </w:t>
      </w:r>
      <w:r w:rsidRPr="00031AE3">
        <w:rPr>
          <w:rFonts w:ascii="Book Antiqua" w:eastAsia="Book Antiqua" w:hAnsi="Book Antiqua" w:cs="Book Antiqua"/>
        </w:rPr>
        <w:t>Neninger E</w:t>
      </w:r>
      <w:r w:rsidRPr="00031AE3">
        <w:rPr>
          <w:rFonts w:ascii="Book Antiqua" w:eastAsia="Book Antiqua" w:hAnsi="Book Antiqua" w:cs="Book Antiqua"/>
          <w:b/>
        </w:rPr>
        <w:t xml:space="preserve"> S-Editor: </w:t>
      </w:r>
      <w:r w:rsidRPr="00031AE3">
        <w:rPr>
          <w:rFonts w:ascii="Book Antiqua" w:eastAsia="Book Antiqua" w:hAnsi="Book Antiqua" w:cs="Book Antiqua"/>
        </w:rPr>
        <w:t>Huang P</w:t>
      </w:r>
      <w:r w:rsidRPr="00031AE3">
        <w:rPr>
          <w:rFonts w:ascii="Book Antiqua" w:eastAsia="Book Antiqua" w:hAnsi="Book Antiqua" w:cs="Book Antiqua"/>
          <w:b/>
        </w:rPr>
        <w:t xml:space="preserve"> L-Editor: </w:t>
      </w:r>
      <w:proofErr w:type="spellStart"/>
      <w:r w:rsidR="00E136B4" w:rsidRPr="00031AE3">
        <w:rPr>
          <w:rFonts w:ascii="Book Antiqua" w:eastAsia="Book Antiqua" w:hAnsi="Book Antiqua" w:cs="Book Antiqua"/>
          <w:bCs/>
        </w:rPr>
        <w:t>Filipodia</w:t>
      </w:r>
      <w:proofErr w:type="spellEnd"/>
      <w:r w:rsidRPr="00031AE3">
        <w:rPr>
          <w:rFonts w:ascii="Book Antiqua" w:eastAsia="Book Antiqua" w:hAnsi="Book Antiqua" w:cs="Book Antiqua"/>
          <w:b/>
        </w:rPr>
        <w:t xml:space="preserve"> P-Editor:</w:t>
      </w:r>
      <w:r w:rsidRPr="00525B8B">
        <w:rPr>
          <w:rFonts w:ascii="Book Antiqua" w:eastAsia="Book Antiqua" w:hAnsi="Book Antiqua" w:cs="Book Antiqua"/>
        </w:rPr>
        <w:t xml:space="preserve"> </w:t>
      </w:r>
      <w:r w:rsidR="00525B8B" w:rsidRPr="00525B8B">
        <w:rPr>
          <w:rFonts w:ascii="Book Antiqua" w:hAnsi="Book Antiqua" w:cs="Book Antiqua" w:hint="eastAsia"/>
          <w:lang w:eastAsia="zh-CN"/>
        </w:rPr>
        <w:t>Li X</w:t>
      </w:r>
    </w:p>
    <w:p w14:paraId="7702C2A1" w14:textId="410B2D27" w:rsidR="00A77B3E" w:rsidRPr="00031AE3" w:rsidRDefault="00D57FD3" w:rsidP="00031AE3">
      <w:pPr>
        <w:snapToGrid w:val="0"/>
        <w:spacing w:line="360" w:lineRule="auto"/>
        <w:jc w:val="both"/>
        <w:rPr>
          <w:rFonts w:ascii="Book Antiqua" w:eastAsia="Book Antiqua" w:hAnsi="Book Antiqua" w:cs="Book Antiqua"/>
          <w:b/>
        </w:rPr>
      </w:pPr>
      <w:r w:rsidRPr="00031AE3">
        <w:rPr>
          <w:rFonts w:ascii="Book Antiqua" w:eastAsia="Book Antiqua" w:hAnsi="Book Antiqua" w:cs="Book Antiqua"/>
          <w:b/>
        </w:rPr>
        <w:br w:type="page"/>
      </w:r>
      <w:r w:rsidRPr="00031AE3">
        <w:rPr>
          <w:rFonts w:ascii="Book Antiqua" w:eastAsia="Book Antiqua" w:hAnsi="Book Antiqua" w:cs="Book Antiqua"/>
          <w:b/>
        </w:rPr>
        <w:lastRenderedPageBreak/>
        <w:t>Table 1</w:t>
      </w:r>
      <w:r w:rsidR="002650C5" w:rsidRPr="00031AE3">
        <w:rPr>
          <w:rFonts w:ascii="Book Antiqua" w:eastAsia="Book Antiqua" w:hAnsi="Book Antiqua" w:cs="Book Antiqua"/>
          <w:b/>
        </w:rPr>
        <w:t xml:space="preserve"> Complete blood count</w:t>
      </w:r>
      <w:r w:rsidR="00D24BC7" w:rsidRPr="00031AE3">
        <w:rPr>
          <w:rFonts w:ascii="Book Antiqua" w:eastAsia="Book Antiqua" w:hAnsi="Book Antiqua" w:cs="Book Antiqua"/>
          <w:b/>
        </w:rPr>
        <w:t xml:space="preserve"> </w:t>
      </w:r>
      <w:r w:rsidRPr="00031AE3">
        <w:rPr>
          <w:rFonts w:ascii="Book Antiqua" w:eastAsia="Book Antiqua" w:hAnsi="Book Antiqua" w:cs="Book Antiqua"/>
          <w:b/>
        </w:rPr>
        <w:t>results before and after removing the chylomicron layer</w:t>
      </w:r>
    </w:p>
    <w:tbl>
      <w:tblPr>
        <w:tblStyle w:val="a3"/>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93"/>
        <w:gridCol w:w="1416"/>
        <w:gridCol w:w="1418"/>
        <w:gridCol w:w="1276"/>
        <w:gridCol w:w="1275"/>
        <w:gridCol w:w="1134"/>
        <w:gridCol w:w="1276"/>
        <w:gridCol w:w="1276"/>
      </w:tblGrid>
      <w:tr w:rsidR="00031AE3" w:rsidRPr="00031AE3" w14:paraId="782BE167" w14:textId="77777777" w:rsidTr="00D57FD3">
        <w:tc>
          <w:tcPr>
            <w:tcW w:w="1809" w:type="dxa"/>
            <w:gridSpan w:val="2"/>
            <w:tcBorders>
              <w:top w:val="single" w:sz="4" w:space="0" w:color="auto"/>
              <w:tl2br w:val="nil"/>
              <w:tr2bl w:val="nil"/>
            </w:tcBorders>
          </w:tcPr>
          <w:p w14:paraId="59045219"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Times No.</w:t>
            </w:r>
          </w:p>
        </w:tc>
        <w:tc>
          <w:tcPr>
            <w:tcW w:w="1418" w:type="dxa"/>
            <w:tcBorders>
              <w:top w:val="single" w:sz="4" w:space="0" w:color="auto"/>
              <w:tl2br w:val="nil"/>
              <w:tr2bl w:val="nil"/>
            </w:tcBorders>
          </w:tcPr>
          <w:p w14:paraId="15CE7A3A"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WBCs</w:t>
            </w:r>
          </w:p>
        </w:tc>
        <w:tc>
          <w:tcPr>
            <w:tcW w:w="1276" w:type="dxa"/>
            <w:tcBorders>
              <w:top w:val="single" w:sz="4" w:space="0" w:color="auto"/>
              <w:tl2br w:val="nil"/>
              <w:tr2bl w:val="nil"/>
            </w:tcBorders>
          </w:tcPr>
          <w:p w14:paraId="2D33C130"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ANC</w:t>
            </w:r>
          </w:p>
        </w:tc>
        <w:tc>
          <w:tcPr>
            <w:tcW w:w="1275" w:type="dxa"/>
            <w:tcBorders>
              <w:top w:val="single" w:sz="4" w:space="0" w:color="auto"/>
              <w:tl2br w:val="nil"/>
              <w:tr2bl w:val="nil"/>
            </w:tcBorders>
          </w:tcPr>
          <w:p w14:paraId="3587182B"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RBCs</w:t>
            </w:r>
          </w:p>
        </w:tc>
        <w:tc>
          <w:tcPr>
            <w:tcW w:w="1134" w:type="dxa"/>
            <w:tcBorders>
              <w:top w:val="single" w:sz="4" w:space="0" w:color="auto"/>
              <w:tl2br w:val="nil"/>
              <w:tr2bl w:val="nil"/>
            </w:tcBorders>
          </w:tcPr>
          <w:p w14:paraId="1AB6F946"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Hb</w:t>
            </w:r>
          </w:p>
        </w:tc>
        <w:tc>
          <w:tcPr>
            <w:tcW w:w="1276" w:type="dxa"/>
            <w:tcBorders>
              <w:top w:val="single" w:sz="4" w:space="0" w:color="auto"/>
              <w:tl2br w:val="nil"/>
              <w:tr2bl w:val="nil"/>
            </w:tcBorders>
          </w:tcPr>
          <w:p w14:paraId="7885A920"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Hct</w:t>
            </w:r>
          </w:p>
        </w:tc>
        <w:tc>
          <w:tcPr>
            <w:tcW w:w="1276" w:type="dxa"/>
            <w:tcBorders>
              <w:top w:val="single" w:sz="4" w:space="0" w:color="auto"/>
              <w:tl2br w:val="nil"/>
              <w:tr2bl w:val="nil"/>
            </w:tcBorders>
          </w:tcPr>
          <w:p w14:paraId="3AB62165" w14:textId="77777777" w:rsidR="00D57FD3" w:rsidRPr="00031AE3" w:rsidRDefault="00D57FD3" w:rsidP="00031AE3">
            <w:pPr>
              <w:snapToGrid w:val="0"/>
              <w:spacing w:line="360" w:lineRule="auto"/>
              <w:rPr>
                <w:rFonts w:ascii="Book Antiqua" w:hAnsi="Book Antiqua" w:cs="Book Antiqua"/>
                <w:b/>
                <w:bCs/>
              </w:rPr>
            </w:pPr>
            <w:r w:rsidRPr="00031AE3">
              <w:rPr>
                <w:rFonts w:ascii="Book Antiqua" w:hAnsi="Book Antiqua" w:cs="Book Antiqua"/>
                <w:b/>
                <w:bCs/>
              </w:rPr>
              <w:t>Plts</w:t>
            </w:r>
          </w:p>
        </w:tc>
      </w:tr>
      <w:tr w:rsidR="00031AE3" w:rsidRPr="00031AE3" w14:paraId="0AC1925F" w14:textId="77777777" w:rsidTr="00D57FD3">
        <w:tc>
          <w:tcPr>
            <w:tcW w:w="393" w:type="dxa"/>
            <w:vMerge w:val="restart"/>
            <w:tcBorders>
              <w:top w:val="nil"/>
              <w:bottom w:val="nil"/>
            </w:tcBorders>
          </w:tcPr>
          <w:p w14:paraId="467311B9"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w:t>
            </w:r>
          </w:p>
        </w:tc>
        <w:tc>
          <w:tcPr>
            <w:tcW w:w="1416" w:type="dxa"/>
            <w:tcBorders>
              <w:top w:val="nil"/>
              <w:bottom w:val="nil"/>
            </w:tcBorders>
          </w:tcPr>
          <w:p w14:paraId="477BAFDD"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BRL</w:t>
            </w:r>
          </w:p>
        </w:tc>
        <w:tc>
          <w:tcPr>
            <w:tcW w:w="1418" w:type="dxa"/>
            <w:tcBorders>
              <w:top w:val="nil"/>
              <w:bottom w:val="nil"/>
            </w:tcBorders>
          </w:tcPr>
          <w:p w14:paraId="6F1679F7"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10.94</w:t>
            </w:r>
          </w:p>
        </w:tc>
        <w:tc>
          <w:tcPr>
            <w:tcW w:w="1276" w:type="dxa"/>
            <w:tcBorders>
              <w:top w:val="nil"/>
              <w:bottom w:val="nil"/>
            </w:tcBorders>
          </w:tcPr>
          <w:p w14:paraId="4C51D9E9"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8.86</w:t>
            </w:r>
          </w:p>
        </w:tc>
        <w:tc>
          <w:tcPr>
            <w:tcW w:w="1275" w:type="dxa"/>
            <w:tcBorders>
              <w:top w:val="nil"/>
              <w:bottom w:val="nil"/>
            </w:tcBorders>
          </w:tcPr>
          <w:p w14:paraId="7B21B01C"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4.26</w:t>
            </w:r>
          </w:p>
        </w:tc>
        <w:tc>
          <w:tcPr>
            <w:tcW w:w="1134" w:type="dxa"/>
            <w:tcBorders>
              <w:top w:val="nil"/>
              <w:bottom w:val="nil"/>
            </w:tcBorders>
          </w:tcPr>
          <w:p w14:paraId="566E14A9"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208</w:t>
            </w:r>
          </w:p>
        </w:tc>
        <w:tc>
          <w:tcPr>
            <w:tcW w:w="1276" w:type="dxa"/>
            <w:tcBorders>
              <w:top w:val="nil"/>
              <w:bottom w:val="nil"/>
            </w:tcBorders>
          </w:tcPr>
          <w:p w14:paraId="581B8636"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36.20</w:t>
            </w:r>
          </w:p>
        </w:tc>
        <w:tc>
          <w:tcPr>
            <w:tcW w:w="1276" w:type="dxa"/>
            <w:tcBorders>
              <w:top w:val="nil"/>
              <w:bottom w:val="nil"/>
            </w:tcBorders>
          </w:tcPr>
          <w:p w14:paraId="32F8B842"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287</w:t>
            </w:r>
          </w:p>
        </w:tc>
      </w:tr>
      <w:tr w:rsidR="00031AE3" w:rsidRPr="00031AE3" w14:paraId="4A75AD3A" w14:textId="77777777" w:rsidTr="00D57FD3">
        <w:tc>
          <w:tcPr>
            <w:tcW w:w="393" w:type="dxa"/>
            <w:vMerge/>
            <w:tcBorders>
              <w:top w:val="nil"/>
              <w:bottom w:val="nil"/>
            </w:tcBorders>
          </w:tcPr>
          <w:p w14:paraId="3F190A8C" w14:textId="77777777" w:rsidR="00D57FD3" w:rsidRPr="00031AE3" w:rsidRDefault="00D57FD3" w:rsidP="00031AE3">
            <w:pPr>
              <w:snapToGrid w:val="0"/>
              <w:spacing w:line="360" w:lineRule="auto"/>
              <w:rPr>
                <w:rFonts w:ascii="Book Antiqua" w:hAnsi="Book Antiqua" w:cs="Book Antiqua"/>
              </w:rPr>
            </w:pPr>
          </w:p>
        </w:tc>
        <w:tc>
          <w:tcPr>
            <w:tcW w:w="1416" w:type="dxa"/>
            <w:tcBorders>
              <w:top w:val="nil"/>
              <w:bottom w:val="nil"/>
            </w:tcBorders>
          </w:tcPr>
          <w:p w14:paraId="3EB67400"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ARL</w:t>
            </w:r>
          </w:p>
        </w:tc>
        <w:tc>
          <w:tcPr>
            <w:tcW w:w="1418" w:type="dxa"/>
            <w:tcBorders>
              <w:top w:val="nil"/>
              <w:bottom w:val="nil"/>
            </w:tcBorders>
          </w:tcPr>
          <w:p w14:paraId="788D075A"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4.83</w:t>
            </w:r>
          </w:p>
        </w:tc>
        <w:tc>
          <w:tcPr>
            <w:tcW w:w="1276" w:type="dxa"/>
            <w:tcBorders>
              <w:top w:val="nil"/>
              <w:bottom w:val="nil"/>
            </w:tcBorders>
          </w:tcPr>
          <w:p w14:paraId="5560025A"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2.88</w:t>
            </w:r>
          </w:p>
        </w:tc>
        <w:tc>
          <w:tcPr>
            <w:tcW w:w="1275" w:type="dxa"/>
            <w:tcBorders>
              <w:top w:val="nil"/>
              <w:bottom w:val="nil"/>
            </w:tcBorders>
          </w:tcPr>
          <w:p w14:paraId="5F471DD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3.69</w:t>
            </w:r>
          </w:p>
        </w:tc>
        <w:tc>
          <w:tcPr>
            <w:tcW w:w="1134" w:type="dxa"/>
            <w:tcBorders>
              <w:top w:val="nil"/>
              <w:bottom w:val="nil"/>
            </w:tcBorders>
          </w:tcPr>
          <w:p w14:paraId="4651D26C"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114</w:t>
            </w:r>
          </w:p>
        </w:tc>
        <w:tc>
          <w:tcPr>
            <w:tcW w:w="1276" w:type="dxa"/>
            <w:tcBorders>
              <w:top w:val="nil"/>
              <w:bottom w:val="nil"/>
            </w:tcBorders>
          </w:tcPr>
          <w:p w14:paraId="4C024DFA"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33.70</w:t>
            </w:r>
          </w:p>
        </w:tc>
        <w:tc>
          <w:tcPr>
            <w:tcW w:w="1276" w:type="dxa"/>
            <w:tcBorders>
              <w:top w:val="nil"/>
              <w:bottom w:val="nil"/>
            </w:tcBorders>
          </w:tcPr>
          <w:p w14:paraId="0F765A5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215</w:t>
            </w:r>
          </w:p>
        </w:tc>
      </w:tr>
      <w:tr w:rsidR="00031AE3" w:rsidRPr="00031AE3" w14:paraId="33C64BE5" w14:textId="77777777" w:rsidTr="00D57FD3">
        <w:tc>
          <w:tcPr>
            <w:tcW w:w="393" w:type="dxa"/>
            <w:vMerge w:val="restart"/>
            <w:tcBorders>
              <w:top w:val="nil"/>
              <w:bottom w:val="nil"/>
            </w:tcBorders>
          </w:tcPr>
          <w:p w14:paraId="1F83652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w:t>
            </w:r>
          </w:p>
        </w:tc>
        <w:tc>
          <w:tcPr>
            <w:tcW w:w="1416" w:type="dxa"/>
            <w:tcBorders>
              <w:top w:val="nil"/>
              <w:bottom w:val="nil"/>
            </w:tcBorders>
          </w:tcPr>
          <w:p w14:paraId="0ECD911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BRL</w:t>
            </w:r>
          </w:p>
        </w:tc>
        <w:tc>
          <w:tcPr>
            <w:tcW w:w="1418" w:type="dxa"/>
            <w:tcBorders>
              <w:top w:val="nil"/>
              <w:bottom w:val="nil"/>
            </w:tcBorders>
          </w:tcPr>
          <w:p w14:paraId="7F450BF4"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9.85</w:t>
            </w:r>
          </w:p>
        </w:tc>
        <w:tc>
          <w:tcPr>
            <w:tcW w:w="1276" w:type="dxa"/>
            <w:tcBorders>
              <w:top w:val="nil"/>
              <w:bottom w:val="nil"/>
            </w:tcBorders>
          </w:tcPr>
          <w:p w14:paraId="16E88A9A"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7.08</w:t>
            </w:r>
          </w:p>
        </w:tc>
        <w:tc>
          <w:tcPr>
            <w:tcW w:w="1275" w:type="dxa"/>
            <w:tcBorders>
              <w:top w:val="nil"/>
              <w:bottom w:val="nil"/>
            </w:tcBorders>
          </w:tcPr>
          <w:p w14:paraId="7219EC44"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4.63</w:t>
            </w:r>
          </w:p>
        </w:tc>
        <w:tc>
          <w:tcPr>
            <w:tcW w:w="1134" w:type="dxa"/>
            <w:tcBorders>
              <w:top w:val="nil"/>
              <w:bottom w:val="nil"/>
            </w:tcBorders>
          </w:tcPr>
          <w:p w14:paraId="6789E0FD"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221</w:t>
            </w:r>
          </w:p>
        </w:tc>
        <w:tc>
          <w:tcPr>
            <w:tcW w:w="1276" w:type="dxa"/>
            <w:tcBorders>
              <w:top w:val="nil"/>
              <w:bottom w:val="nil"/>
            </w:tcBorders>
          </w:tcPr>
          <w:p w14:paraId="2F894684"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40.30</w:t>
            </w:r>
          </w:p>
        </w:tc>
        <w:tc>
          <w:tcPr>
            <w:tcW w:w="1276" w:type="dxa"/>
            <w:tcBorders>
              <w:top w:val="nil"/>
              <w:bottom w:val="nil"/>
            </w:tcBorders>
          </w:tcPr>
          <w:p w14:paraId="4063126A"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242</w:t>
            </w:r>
          </w:p>
        </w:tc>
      </w:tr>
      <w:tr w:rsidR="00031AE3" w:rsidRPr="00031AE3" w14:paraId="379C2734" w14:textId="77777777" w:rsidTr="00D57FD3">
        <w:tc>
          <w:tcPr>
            <w:tcW w:w="393" w:type="dxa"/>
            <w:vMerge/>
            <w:tcBorders>
              <w:top w:val="nil"/>
              <w:bottom w:val="nil"/>
            </w:tcBorders>
          </w:tcPr>
          <w:p w14:paraId="595A4C6F" w14:textId="77777777" w:rsidR="00D57FD3" w:rsidRPr="00031AE3" w:rsidRDefault="00D57FD3" w:rsidP="00031AE3">
            <w:pPr>
              <w:snapToGrid w:val="0"/>
              <w:spacing w:line="360" w:lineRule="auto"/>
              <w:rPr>
                <w:rFonts w:ascii="Book Antiqua" w:hAnsi="Book Antiqua" w:cs="Book Antiqua"/>
              </w:rPr>
            </w:pPr>
          </w:p>
        </w:tc>
        <w:tc>
          <w:tcPr>
            <w:tcW w:w="1416" w:type="dxa"/>
            <w:tcBorders>
              <w:top w:val="nil"/>
              <w:bottom w:val="nil"/>
            </w:tcBorders>
          </w:tcPr>
          <w:p w14:paraId="783319A9"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ARL</w:t>
            </w:r>
          </w:p>
        </w:tc>
        <w:tc>
          <w:tcPr>
            <w:tcW w:w="1418" w:type="dxa"/>
            <w:tcBorders>
              <w:top w:val="nil"/>
              <w:bottom w:val="nil"/>
            </w:tcBorders>
          </w:tcPr>
          <w:p w14:paraId="5B6C5258"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4.49</w:t>
            </w:r>
          </w:p>
        </w:tc>
        <w:tc>
          <w:tcPr>
            <w:tcW w:w="1276" w:type="dxa"/>
            <w:tcBorders>
              <w:top w:val="nil"/>
              <w:bottom w:val="nil"/>
            </w:tcBorders>
          </w:tcPr>
          <w:p w14:paraId="659FCDD0"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2.10</w:t>
            </w:r>
          </w:p>
        </w:tc>
        <w:tc>
          <w:tcPr>
            <w:tcW w:w="1275" w:type="dxa"/>
            <w:tcBorders>
              <w:top w:val="nil"/>
              <w:bottom w:val="nil"/>
            </w:tcBorders>
          </w:tcPr>
          <w:p w14:paraId="3EA78838"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4.37</w:t>
            </w:r>
          </w:p>
        </w:tc>
        <w:tc>
          <w:tcPr>
            <w:tcW w:w="1134" w:type="dxa"/>
            <w:tcBorders>
              <w:top w:val="nil"/>
              <w:bottom w:val="nil"/>
            </w:tcBorders>
          </w:tcPr>
          <w:p w14:paraId="3C219626"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132</w:t>
            </w:r>
          </w:p>
        </w:tc>
        <w:tc>
          <w:tcPr>
            <w:tcW w:w="1276" w:type="dxa"/>
            <w:tcBorders>
              <w:top w:val="nil"/>
              <w:bottom w:val="nil"/>
            </w:tcBorders>
          </w:tcPr>
          <w:p w14:paraId="6F8A066B"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39.50</w:t>
            </w:r>
          </w:p>
        </w:tc>
        <w:tc>
          <w:tcPr>
            <w:tcW w:w="1276" w:type="dxa"/>
            <w:tcBorders>
              <w:top w:val="nil"/>
              <w:bottom w:val="nil"/>
            </w:tcBorders>
          </w:tcPr>
          <w:p w14:paraId="1D25362D"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177</w:t>
            </w:r>
          </w:p>
        </w:tc>
      </w:tr>
      <w:tr w:rsidR="00031AE3" w:rsidRPr="00031AE3" w14:paraId="118B1EF8" w14:textId="77777777" w:rsidTr="00D57FD3">
        <w:tc>
          <w:tcPr>
            <w:tcW w:w="393" w:type="dxa"/>
            <w:vMerge w:val="restart"/>
            <w:tcBorders>
              <w:top w:val="nil"/>
              <w:bottom w:val="nil"/>
            </w:tcBorders>
          </w:tcPr>
          <w:p w14:paraId="7C98BAF9"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w:t>
            </w:r>
          </w:p>
        </w:tc>
        <w:tc>
          <w:tcPr>
            <w:tcW w:w="1416" w:type="dxa"/>
            <w:tcBorders>
              <w:top w:val="nil"/>
              <w:bottom w:val="nil"/>
            </w:tcBorders>
          </w:tcPr>
          <w:p w14:paraId="0A49CE6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BRL</w:t>
            </w:r>
          </w:p>
        </w:tc>
        <w:tc>
          <w:tcPr>
            <w:tcW w:w="1418" w:type="dxa"/>
            <w:tcBorders>
              <w:top w:val="nil"/>
              <w:bottom w:val="nil"/>
            </w:tcBorders>
          </w:tcPr>
          <w:p w14:paraId="4C81220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10.72</w:t>
            </w:r>
          </w:p>
        </w:tc>
        <w:tc>
          <w:tcPr>
            <w:tcW w:w="1276" w:type="dxa"/>
            <w:tcBorders>
              <w:top w:val="nil"/>
              <w:bottom w:val="nil"/>
            </w:tcBorders>
          </w:tcPr>
          <w:p w14:paraId="110479F6"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8.76</w:t>
            </w:r>
          </w:p>
        </w:tc>
        <w:tc>
          <w:tcPr>
            <w:tcW w:w="1275" w:type="dxa"/>
            <w:tcBorders>
              <w:top w:val="nil"/>
              <w:bottom w:val="nil"/>
            </w:tcBorders>
          </w:tcPr>
          <w:p w14:paraId="73C7840B"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4.23</w:t>
            </w:r>
          </w:p>
        </w:tc>
        <w:tc>
          <w:tcPr>
            <w:tcW w:w="1134" w:type="dxa"/>
            <w:tcBorders>
              <w:top w:val="nil"/>
              <w:bottom w:val="nil"/>
            </w:tcBorders>
          </w:tcPr>
          <w:p w14:paraId="4821843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188</w:t>
            </w:r>
          </w:p>
        </w:tc>
        <w:tc>
          <w:tcPr>
            <w:tcW w:w="1276" w:type="dxa"/>
            <w:tcBorders>
              <w:top w:val="nil"/>
              <w:bottom w:val="nil"/>
            </w:tcBorders>
          </w:tcPr>
          <w:p w14:paraId="48DB2E3E"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36.30</w:t>
            </w:r>
          </w:p>
        </w:tc>
        <w:tc>
          <w:tcPr>
            <w:tcW w:w="1276" w:type="dxa"/>
            <w:tcBorders>
              <w:top w:val="nil"/>
              <w:bottom w:val="nil"/>
            </w:tcBorders>
          </w:tcPr>
          <w:p w14:paraId="1B89D3B2"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326</w:t>
            </w:r>
          </w:p>
        </w:tc>
      </w:tr>
      <w:tr w:rsidR="00031AE3" w:rsidRPr="00031AE3" w14:paraId="0DBF5802" w14:textId="77777777" w:rsidTr="00D57FD3">
        <w:tc>
          <w:tcPr>
            <w:tcW w:w="393" w:type="dxa"/>
            <w:vMerge/>
            <w:tcBorders>
              <w:top w:val="nil"/>
            </w:tcBorders>
          </w:tcPr>
          <w:p w14:paraId="212FD8A0" w14:textId="77777777" w:rsidR="00D57FD3" w:rsidRPr="00031AE3" w:rsidRDefault="00D57FD3" w:rsidP="00031AE3">
            <w:pPr>
              <w:snapToGrid w:val="0"/>
              <w:spacing w:line="360" w:lineRule="auto"/>
              <w:rPr>
                <w:rFonts w:ascii="Book Antiqua" w:hAnsi="Book Antiqua" w:cs="Book Antiqua"/>
              </w:rPr>
            </w:pPr>
          </w:p>
        </w:tc>
        <w:tc>
          <w:tcPr>
            <w:tcW w:w="1416" w:type="dxa"/>
            <w:tcBorders>
              <w:top w:val="nil"/>
            </w:tcBorders>
          </w:tcPr>
          <w:p w14:paraId="4396455F"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ARL</w:t>
            </w:r>
          </w:p>
        </w:tc>
        <w:tc>
          <w:tcPr>
            <w:tcW w:w="1418" w:type="dxa"/>
            <w:tcBorders>
              <w:top w:val="nil"/>
            </w:tcBorders>
          </w:tcPr>
          <w:p w14:paraId="76F01FC8"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4.98</w:t>
            </w:r>
          </w:p>
        </w:tc>
        <w:tc>
          <w:tcPr>
            <w:tcW w:w="1276" w:type="dxa"/>
            <w:tcBorders>
              <w:top w:val="nil"/>
            </w:tcBorders>
          </w:tcPr>
          <w:p w14:paraId="7500266D"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2.93</w:t>
            </w:r>
          </w:p>
        </w:tc>
        <w:tc>
          <w:tcPr>
            <w:tcW w:w="1275" w:type="dxa"/>
            <w:tcBorders>
              <w:top w:val="nil"/>
            </w:tcBorders>
          </w:tcPr>
          <w:p w14:paraId="21CF1DA8"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3.76</w:t>
            </w:r>
          </w:p>
        </w:tc>
        <w:tc>
          <w:tcPr>
            <w:tcW w:w="1134" w:type="dxa"/>
            <w:tcBorders>
              <w:top w:val="nil"/>
            </w:tcBorders>
          </w:tcPr>
          <w:p w14:paraId="21B18BD4"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115</w:t>
            </w:r>
          </w:p>
        </w:tc>
        <w:tc>
          <w:tcPr>
            <w:tcW w:w="1276" w:type="dxa"/>
            <w:tcBorders>
              <w:top w:val="nil"/>
            </w:tcBorders>
          </w:tcPr>
          <w:p w14:paraId="334DF6AB"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34.10</w:t>
            </w:r>
          </w:p>
        </w:tc>
        <w:tc>
          <w:tcPr>
            <w:tcW w:w="1276" w:type="dxa"/>
            <w:tcBorders>
              <w:top w:val="nil"/>
            </w:tcBorders>
          </w:tcPr>
          <w:p w14:paraId="50FCCFDE" w14:textId="77777777" w:rsidR="00D57FD3" w:rsidRPr="00031AE3" w:rsidRDefault="00D57FD3" w:rsidP="00031AE3">
            <w:pPr>
              <w:snapToGrid w:val="0"/>
              <w:spacing w:line="360" w:lineRule="auto"/>
              <w:rPr>
                <w:rFonts w:ascii="Book Antiqua" w:hAnsi="Book Antiqua" w:cs="Book Antiqua"/>
              </w:rPr>
            </w:pPr>
            <w:r w:rsidRPr="00031AE3">
              <w:rPr>
                <w:rFonts w:ascii="Book Antiqua" w:hAnsi="Book Antiqua" w:cs="Book Antiqua"/>
              </w:rPr>
              <w:t>231</w:t>
            </w:r>
          </w:p>
        </w:tc>
      </w:tr>
    </w:tbl>
    <w:p w14:paraId="55502F6D" w14:textId="39DA1018" w:rsidR="00D57FD3" w:rsidRPr="00031AE3" w:rsidRDefault="00D57FD3" w:rsidP="00031AE3">
      <w:pPr>
        <w:snapToGrid w:val="0"/>
        <w:spacing w:line="360" w:lineRule="auto"/>
        <w:jc w:val="both"/>
        <w:rPr>
          <w:rFonts w:ascii="Book Antiqua" w:hAnsi="Book Antiqua"/>
        </w:rPr>
      </w:pPr>
      <w:r w:rsidRPr="00031AE3">
        <w:rPr>
          <w:rFonts w:ascii="Book Antiqua" w:hAnsi="Book Antiqua" w:cs="Book Antiqua"/>
        </w:rPr>
        <w:t>WBC</w:t>
      </w:r>
      <w:r w:rsidR="00BE31AC" w:rsidRPr="00031AE3">
        <w:rPr>
          <w:rFonts w:ascii="Book Antiqua" w:hAnsi="Book Antiqua" w:cs="Book Antiqua"/>
        </w:rPr>
        <w:t>: W</w:t>
      </w:r>
      <w:r w:rsidRPr="00031AE3">
        <w:rPr>
          <w:rFonts w:ascii="Book Antiqua" w:hAnsi="Book Antiqua" w:cs="Book Antiqua"/>
        </w:rPr>
        <w:t>hite blood cell, ×</w:t>
      </w:r>
      <w:r w:rsidR="00BE31AC" w:rsidRPr="00031AE3">
        <w:rPr>
          <w:rFonts w:ascii="Book Antiqua" w:hAnsi="Book Antiqua" w:cs="Book Antiqua"/>
        </w:rPr>
        <w:t xml:space="preserve"> </w:t>
      </w:r>
      <w:r w:rsidRPr="00031AE3">
        <w:rPr>
          <w:rFonts w:ascii="Book Antiqua" w:hAnsi="Book Antiqua" w:cs="Book Antiqua"/>
        </w:rPr>
        <w:t>10</w:t>
      </w:r>
      <w:r w:rsidRPr="00031AE3">
        <w:rPr>
          <w:rFonts w:ascii="Book Antiqua" w:eastAsia="宋体" w:hAnsi="Book Antiqua" w:cs="Book Antiqua"/>
          <w:vertAlign w:val="superscript"/>
        </w:rPr>
        <w:t>9</w:t>
      </w:r>
      <w:r w:rsidRPr="00031AE3">
        <w:rPr>
          <w:rFonts w:ascii="Book Antiqua" w:hAnsi="Book Antiqua" w:cs="Book Antiqua"/>
        </w:rPr>
        <w:t>/L; ANC</w:t>
      </w:r>
      <w:r w:rsidR="00BE31AC" w:rsidRPr="00031AE3">
        <w:rPr>
          <w:rFonts w:ascii="Book Antiqua" w:hAnsi="Book Antiqua" w:cs="Book Antiqua"/>
        </w:rPr>
        <w:t>: A</w:t>
      </w:r>
      <w:r w:rsidRPr="00031AE3">
        <w:rPr>
          <w:rFonts w:ascii="Book Antiqua" w:hAnsi="Book Antiqua" w:cs="Book Antiqua"/>
        </w:rPr>
        <w:t>bsolute neutrophil count, ×</w:t>
      </w:r>
      <w:r w:rsidR="00BE31AC" w:rsidRPr="00031AE3">
        <w:rPr>
          <w:rFonts w:ascii="Book Antiqua" w:hAnsi="Book Antiqua" w:cs="Book Antiqua"/>
        </w:rPr>
        <w:t xml:space="preserve"> </w:t>
      </w:r>
      <w:r w:rsidRPr="00031AE3">
        <w:rPr>
          <w:rFonts w:ascii="Book Antiqua" w:hAnsi="Book Antiqua" w:cs="Book Antiqua"/>
        </w:rPr>
        <w:t>10</w:t>
      </w:r>
      <w:r w:rsidRPr="00031AE3">
        <w:rPr>
          <w:rFonts w:ascii="Book Antiqua" w:eastAsia="宋体" w:hAnsi="Book Antiqua" w:cs="Book Antiqua"/>
          <w:vertAlign w:val="superscript"/>
        </w:rPr>
        <w:t>9</w:t>
      </w:r>
      <w:r w:rsidRPr="00031AE3">
        <w:rPr>
          <w:rFonts w:ascii="Book Antiqua" w:hAnsi="Book Antiqua" w:cs="Book Antiqua"/>
        </w:rPr>
        <w:t>/L; RBC</w:t>
      </w:r>
      <w:r w:rsidR="00BE31AC" w:rsidRPr="00031AE3">
        <w:rPr>
          <w:rFonts w:ascii="Book Antiqua" w:hAnsi="Book Antiqua" w:cs="Book Antiqua"/>
        </w:rPr>
        <w:t>: R</w:t>
      </w:r>
      <w:r w:rsidRPr="00031AE3">
        <w:rPr>
          <w:rFonts w:ascii="Book Antiqua" w:hAnsi="Book Antiqua" w:cs="Book Antiqua"/>
        </w:rPr>
        <w:t>ed</w:t>
      </w:r>
      <w:r w:rsidRPr="00031AE3">
        <w:rPr>
          <w:rFonts w:ascii="Book Antiqua" w:hAnsi="Book Antiqua" w:cs="Book Antiqua"/>
          <w:shd w:val="clear" w:color="auto" w:fill="FFFFFF"/>
        </w:rPr>
        <w:t xml:space="preserve"> </w:t>
      </w:r>
      <w:r w:rsidRPr="00031AE3">
        <w:rPr>
          <w:rFonts w:ascii="Book Antiqua" w:hAnsi="Book Antiqua" w:cs="Book Antiqua"/>
        </w:rPr>
        <w:t>blood cell, ×</w:t>
      </w:r>
      <w:r w:rsidR="00BE31AC" w:rsidRPr="00031AE3">
        <w:rPr>
          <w:rFonts w:ascii="Book Antiqua" w:hAnsi="Book Antiqua" w:cs="Book Antiqua"/>
        </w:rPr>
        <w:t xml:space="preserve"> </w:t>
      </w:r>
      <w:r w:rsidRPr="00031AE3">
        <w:rPr>
          <w:rFonts w:ascii="Book Antiqua" w:hAnsi="Book Antiqua" w:cs="Book Antiqua"/>
        </w:rPr>
        <w:t>10</w:t>
      </w:r>
      <w:r w:rsidRPr="00031AE3">
        <w:rPr>
          <w:rFonts w:ascii="Book Antiqua" w:eastAsia="宋体" w:hAnsi="Book Antiqua" w:cs="Book Antiqua"/>
          <w:vertAlign w:val="superscript"/>
        </w:rPr>
        <w:t>12</w:t>
      </w:r>
      <w:r w:rsidRPr="00031AE3">
        <w:rPr>
          <w:rFonts w:ascii="Book Antiqua" w:hAnsi="Book Antiqua" w:cs="Book Antiqua"/>
        </w:rPr>
        <w:t xml:space="preserve">/L; </w:t>
      </w:r>
      <w:proofErr w:type="spellStart"/>
      <w:r w:rsidRPr="00031AE3">
        <w:rPr>
          <w:rFonts w:ascii="Book Antiqua" w:hAnsi="Book Antiqua" w:cs="Book Antiqua"/>
        </w:rPr>
        <w:t>Hb</w:t>
      </w:r>
      <w:proofErr w:type="spellEnd"/>
      <w:r w:rsidR="00BE31AC" w:rsidRPr="00031AE3">
        <w:rPr>
          <w:rFonts w:ascii="Book Antiqua" w:hAnsi="Book Antiqua" w:cs="Book Antiqua"/>
        </w:rPr>
        <w:t xml:space="preserve">: </w:t>
      </w:r>
      <w:proofErr w:type="spellStart"/>
      <w:r w:rsidR="00BE31AC" w:rsidRPr="00031AE3">
        <w:rPr>
          <w:rFonts w:ascii="Book Antiqua" w:hAnsi="Book Antiqua" w:cs="Book Antiqua"/>
        </w:rPr>
        <w:t>H</w:t>
      </w:r>
      <w:r w:rsidRPr="00031AE3">
        <w:rPr>
          <w:rFonts w:ascii="Book Antiqua" w:hAnsi="Book Antiqua" w:cs="Book Antiqua"/>
        </w:rPr>
        <w:t>emoglobulin</w:t>
      </w:r>
      <w:proofErr w:type="spellEnd"/>
      <w:r w:rsidRPr="00031AE3">
        <w:rPr>
          <w:rFonts w:ascii="Book Antiqua" w:hAnsi="Book Antiqua" w:cs="Book Antiqua"/>
        </w:rPr>
        <w:t xml:space="preserve">, g/L; </w:t>
      </w:r>
      <w:proofErr w:type="spellStart"/>
      <w:r w:rsidRPr="00031AE3">
        <w:rPr>
          <w:rFonts w:ascii="Book Antiqua" w:hAnsi="Book Antiqua" w:cs="Book Antiqua"/>
        </w:rPr>
        <w:t>Hct</w:t>
      </w:r>
      <w:proofErr w:type="spellEnd"/>
      <w:r w:rsidR="00BE31AC" w:rsidRPr="00031AE3">
        <w:rPr>
          <w:rFonts w:ascii="Book Antiqua" w:hAnsi="Book Antiqua" w:cs="Book Antiqua"/>
        </w:rPr>
        <w:t>: H</w:t>
      </w:r>
      <w:r w:rsidRPr="00031AE3">
        <w:rPr>
          <w:rFonts w:ascii="Book Antiqua" w:hAnsi="Book Antiqua" w:cs="Book Antiqua"/>
        </w:rPr>
        <w:t xml:space="preserve">ematocrit, %; </w:t>
      </w:r>
      <w:proofErr w:type="spellStart"/>
      <w:r w:rsidRPr="00031AE3">
        <w:rPr>
          <w:rFonts w:ascii="Book Antiqua" w:hAnsi="Book Antiqua" w:cs="Book Antiqua"/>
        </w:rPr>
        <w:t>Plt</w:t>
      </w:r>
      <w:proofErr w:type="spellEnd"/>
      <w:r w:rsidR="00BE31AC" w:rsidRPr="00031AE3">
        <w:rPr>
          <w:rFonts w:ascii="Book Antiqua" w:hAnsi="Book Antiqua" w:cs="Book Antiqua"/>
        </w:rPr>
        <w:t>: P</w:t>
      </w:r>
      <w:r w:rsidRPr="00031AE3">
        <w:rPr>
          <w:rFonts w:ascii="Book Antiqua" w:hAnsi="Book Antiqua" w:cs="Book Antiqua"/>
        </w:rPr>
        <w:t>latelet, ×</w:t>
      </w:r>
      <w:r w:rsidR="00BE31AC" w:rsidRPr="00031AE3">
        <w:rPr>
          <w:rFonts w:ascii="Book Antiqua" w:hAnsi="Book Antiqua" w:cs="Book Antiqua"/>
        </w:rPr>
        <w:t xml:space="preserve"> </w:t>
      </w:r>
      <w:r w:rsidRPr="00031AE3">
        <w:rPr>
          <w:rFonts w:ascii="Book Antiqua" w:hAnsi="Book Antiqua" w:cs="Book Antiqua"/>
        </w:rPr>
        <w:t>10</w:t>
      </w:r>
      <w:r w:rsidRPr="00031AE3">
        <w:rPr>
          <w:rFonts w:ascii="Book Antiqua" w:eastAsia="宋体" w:hAnsi="Book Antiqua" w:cs="Book Antiqua"/>
          <w:vertAlign w:val="superscript"/>
        </w:rPr>
        <w:t>9</w:t>
      </w:r>
      <w:r w:rsidRPr="00031AE3">
        <w:rPr>
          <w:rFonts w:ascii="Book Antiqua" w:hAnsi="Book Antiqua" w:cs="Book Antiqua"/>
        </w:rPr>
        <w:t>/L; BRL</w:t>
      </w:r>
      <w:r w:rsidR="00BE31AC" w:rsidRPr="00031AE3">
        <w:rPr>
          <w:rFonts w:ascii="Book Antiqua" w:hAnsi="Book Antiqua" w:cs="Book Antiqua"/>
        </w:rPr>
        <w:t>: B</w:t>
      </w:r>
      <w:r w:rsidRPr="00031AE3">
        <w:rPr>
          <w:rFonts w:ascii="Book Antiqua" w:hAnsi="Book Antiqua" w:cs="Book Antiqua"/>
        </w:rPr>
        <w:t>efore removing the chylomicron layer; ARL</w:t>
      </w:r>
      <w:r w:rsidR="00BE31AC" w:rsidRPr="00031AE3">
        <w:rPr>
          <w:rFonts w:ascii="Book Antiqua" w:hAnsi="Book Antiqua" w:cs="Book Antiqua"/>
        </w:rPr>
        <w:t>: A</w:t>
      </w:r>
      <w:r w:rsidRPr="00031AE3">
        <w:rPr>
          <w:rFonts w:ascii="Book Antiqua" w:hAnsi="Book Antiqua" w:cs="Book Antiqua"/>
        </w:rPr>
        <w:t>fter removing the chylomicron layer</w:t>
      </w:r>
      <w:r w:rsidR="00BE31AC" w:rsidRPr="00031AE3">
        <w:rPr>
          <w:rFonts w:ascii="Book Antiqua" w:hAnsi="Book Antiqua" w:cs="Book Antiqua"/>
        </w:rPr>
        <w:t>.</w:t>
      </w:r>
    </w:p>
    <w:sectPr w:rsidR="00D57FD3" w:rsidRPr="00031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80D20" w14:textId="77777777" w:rsidR="00A05115" w:rsidRDefault="00A05115" w:rsidP="00D0514E">
      <w:r>
        <w:separator/>
      </w:r>
    </w:p>
  </w:endnote>
  <w:endnote w:type="continuationSeparator" w:id="0">
    <w:p w14:paraId="75B41EBF" w14:textId="77777777" w:rsidR="00A05115" w:rsidRDefault="00A05115" w:rsidP="00D0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8082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7208F84" w14:textId="0547D0CC" w:rsidR="00D0514E" w:rsidRPr="006529DD" w:rsidRDefault="00D0514E" w:rsidP="00D0514E">
            <w:pPr>
              <w:pStyle w:val="a5"/>
              <w:jc w:val="right"/>
              <w:rPr>
                <w:sz w:val="24"/>
                <w:szCs w:val="24"/>
              </w:rPr>
            </w:pPr>
            <w:r>
              <w:rPr>
                <w:lang w:val="zh-CN" w:eastAsia="zh-CN"/>
              </w:rPr>
              <w:t xml:space="preserve"> </w:t>
            </w:r>
            <w:r w:rsidRPr="006529DD">
              <w:rPr>
                <w:rFonts w:ascii="Book Antiqua" w:hAnsi="Book Antiqua"/>
                <w:sz w:val="24"/>
                <w:szCs w:val="24"/>
              </w:rPr>
              <w:fldChar w:fldCharType="begin"/>
            </w:r>
            <w:r w:rsidRPr="006529DD">
              <w:rPr>
                <w:rFonts w:ascii="Book Antiqua" w:hAnsi="Book Antiqua"/>
                <w:sz w:val="24"/>
                <w:szCs w:val="24"/>
              </w:rPr>
              <w:instrText>PAGE</w:instrText>
            </w:r>
            <w:r w:rsidRPr="006529DD">
              <w:rPr>
                <w:rFonts w:ascii="Book Antiqua" w:hAnsi="Book Antiqua"/>
                <w:sz w:val="24"/>
                <w:szCs w:val="24"/>
              </w:rPr>
              <w:fldChar w:fldCharType="separate"/>
            </w:r>
            <w:r w:rsidR="00CB7E16">
              <w:rPr>
                <w:rFonts w:ascii="Book Antiqua" w:hAnsi="Book Antiqua"/>
                <w:noProof/>
                <w:sz w:val="24"/>
                <w:szCs w:val="24"/>
              </w:rPr>
              <w:t>3</w:t>
            </w:r>
            <w:r w:rsidRPr="006529DD">
              <w:rPr>
                <w:rFonts w:ascii="Book Antiqua" w:hAnsi="Book Antiqua"/>
                <w:sz w:val="24"/>
                <w:szCs w:val="24"/>
              </w:rPr>
              <w:fldChar w:fldCharType="end"/>
            </w:r>
            <w:r w:rsidRPr="006529DD">
              <w:rPr>
                <w:rFonts w:ascii="Book Antiqua" w:hAnsi="Book Antiqua"/>
                <w:sz w:val="24"/>
                <w:szCs w:val="24"/>
                <w:lang w:val="zh-CN" w:eastAsia="zh-CN"/>
              </w:rPr>
              <w:t xml:space="preserve"> / </w:t>
            </w:r>
            <w:r w:rsidRPr="006529DD">
              <w:rPr>
                <w:rFonts w:ascii="Book Antiqua" w:hAnsi="Book Antiqua"/>
                <w:sz w:val="24"/>
                <w:szCs w:val="24"/>
              </w:rPr>
              <w:fldChar w:fldCharType="begin"/>
            </w:r>
            <w:r w:rsidRPr="006529DD">
              <w:rPr>
                <w:rFonts w:ascii="Book Antiqua" w:hAnsi="Book Antiqua"/>
                <w:sz w:val="24"/>
                <w:szCs w:val="24"/>
              </w:rPr>
              <w:instrText>NUMPAGES</w:instrText>
            </w:r>
            <w:r w:rsidRPr="006529DD">
              <w:rPr>
                <w:rFonts w:ascii="Book Antiqua" w:hAnsi="Book Antiqua"/>
                <w:sz w:val="24"/>
                <w:szCs w:val="24"/>
              </w:rPr>
              <w:fldChar w:fldCharType="separate"/>
            </w:r>
            <w:r w:rsidR="00CB7E16">
              <w:rPr>
                <w:rFonts w:ascii="Book Antiqua" w:hAnsi="Book Antiqua"/>
                <w:noProof/>
                <w:sz w:val="24"/>
                <w:szCs w:val="24"/>
              </w:rPr>
              <w:t>21</w:t>
            </w:r>
            <w:r w:rsidRPr="006529DD">
              <w:rPr>
                <w:rFonts w:ascii="Book Antiqua" w:hAnsi="Book Antiqua"/>
                <w:sz w:val="24"/>
                <w:szCs w:val="24"/>
              </w:rPr>
              <w:fldChar w:fldCharType="end"/>
            </w:r>
          </w:p>
        </w:sdtContent>
      </w:sdt>
    </w:sdtContent>
  </w:sdt>
  <w:p w14:paraId="03C1403C" w14:textId="77777777" w:rsidR="00D0514E" w:rsidRDefault="00D05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6BDD1" w14:textId="77777777" w:rsidR="00A05115" w:rsidRDefault="00A05115" w:rsidP="00D0514E">
      <w:r>
        <w:separator/>
      </w:r>
    </w:p>
  </w:footnote>
  <w:footnote w:type="continuationSeparator" w:id="0">
    <w:p w14:paraId="5DFF0319" w14:textId="77777777" w:rsidR="00A05115" w:rsidRDefault="00A05115" w:rsidP="00D05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922"/>
    <w:rsid w:val="00031AE3"/>
    <w:rsid w:val="00050F0B"/>
    <w:rsid w:val="00076659"/>
    <w:rsid w:val="000A7272"/>
    <w:rsid w:val="000B07EB"/>
    <w:rsid w:val="000B2E52"/>
    <w:rsid w:val="00171842"/>
    <w:rsid w:val="00182230"/>
    <w:rsid w:val="00192F92"/>
    <w:rsid w:val="002650C5"/>
    <w:rsid w:val="00292404"/>
    <w:rsid w:val="00297267"/>
    <w:rsid w:val="002D27AF"/>
    <w:rsid w:val="00356847"/>
    <w:rsid w:val="00357322"/>
    <w:rsid w:val="003643C1"/>
    <w:rsid w:val="00393870"/>
    <w:rsid w:val="003B5DEE"/>
    <w:rsid w:val="003C7D46"/>
    <w:rsid w:val="003F5D08"/>
    <w:rsid w:val="00476247"/>
    <w:rsid w:val="004A3438"/>
    <w:rsid w:val="004A69F6"/>
    <w:rsid w:val="004B1AFE"/>
    <w:rsid w:val="004C0E51"/>
    <w:rsid w:val="004E5F47"/>
    <w:rsid w:val="0050781F"/>
    <w:rsid w:val="00513D54"/>
    <w:rsid w:val="00525B8B"/>
    <w:rsid w:val="0057058E"/>
    <w:rsid w:val="005D5519"/>
    <w:rsid w:val="005E5EE8"/>
    <w:rsid w:val="00622DE7"/>
    <w:rsid w:val="006529DD"/>
    <w:rsid w:val="0069423A"/>
    <w:rsid w:val="00697F06"/>
    <w:rsid w:val="007A09A4"/>
    <w:rsid w:val="007B70E2"/>
    <w:rsid w:val="007D4EF5"/>
    <w:rsid w:val="00800758"/>
    <w:rsid w:val="00861153"/>
    <w:rsid w:val="008626BD"/>
    <w:rsid w:val="00863084"/>
    <w:rsid w:val="00896B9B"/>
    <w:rsid w:val="008F2500"/>
    <w:rsid w:val="0091690C"/>
    <w:rsid w:val="0098641A"/>
    <w:rsid w:val="00A05115"/>
    <w:rsid w:val="00A77B3E"/>
    <w:rsid w:val="00A8586D"/>
    <w:rsid w:val="00B37CB7"/>
    <w:rsid w:val="00B5476F"/>
    <w:rsid w:val="00B745C7"/>
    <w:rsid w:val="00B8360F"/>
    <w:rsid w:val="00BC4F41"/>
    <w:rsid w:val="00BC7B40"/>
    <w:rsid w:val="00BE31AC"/>
    <w:rsid w:val="00C83926"/>
    <w:rsid w:val="00CA2A55"/>
    <w:rsid w:val="00CA36BA"/>
    <w:rsid w:val="00CB7E16"/>
    <w:rsid w:val="00CC21D6"/>
    <w:rsid w:val="00CE38EE"/>
    <w:rsid w:val="00CF5845"/>
    <w:rsid w:val="00D0514E"/>
    <w:rsid w:val="00D24BC7"/>
    <w:rsid w:val="00D267DB"/>
    <w:rsid w:val="00D57FD3"/>
    <w:rsid w:val="00D735D9"/>
    <w:rsid w:val="00DE701A"/>
    <w:rsid w:val="00E136B4"/>
    <w:rsid w:val="00E20AF1"/>
    <w:rsid w:val="00E57232"/>
    <w:rsid w:val="00E77076"/>
    <w:rsid w:val="00E8621C"/>
    <w:rsid w:val="00F051F1"/>
    <w:rsid w:val="00F44BFD"/>
    <w:rsid w:val="00F51B3C"/>
    <w:rsid w:val="00F53571"/>
    <w:rsid w:val="00F6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F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57FD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05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0514E"/>
    <w:rPr>
      <w:sz w:val="18"/>
      <w:szCs w:val="18"/>
    </w:rPr>
  </w:style>
  <w:style w:type="paragraph" w:styleId="a5">
    <w:name w:val="footer"/>
    <w:basedOn w:val="a"/>
    <w:link w:val="Char0"/>
    <w:uiPriority w:val="99"/>
    <w:unhideWhenUsed/>
    <w:rsid w:val="00D0514E"/>
    <w:pPr>
      <w:tabs>
        <w:tab w:val="center" w:pos="4153"/>
        <w:tab w:val="right" w:pos="8306"/>
      </w:tabs>
      <w:snapToGrid w:val="0"/>
    </w:pPr>
    <w:rPr>
      <w:sz w:val="18"/>
      <w:szCs w:val="18"/>
    </w:rPr>
  </w:style>
  <w:style w:type="character" w:customStyle="1" w:styleId="Char0">
    <w:name w:val="页脚 Char"/>
    <w:basedOn w:val="a0"/>
    <w:link w:val="a5"/>
    <w:uiPriority w:val="99"/>
    <w:rsid w:val="00D0514E"/>
    <w:rPr>
      <w:sz w:val="18"/>
      <w:szCs w:val="18"/>
    </w:rPr>
  </w:style>
  <w:style w:type="paragraph" w:styleId="a6">
    <w:name w:val="Balloon Text"/>
    <w:basedOn w:val="a"/>
    <w:link w:val="Char1"/>
    <w:semiHidden/>
    <w:unhideWhenUsed/>
    <w:rsid w:val="00622DE7"/>
    <w:rPr>
      <w:sz w:val="18"/>
      <w:szCs w:val="18"/>
    </w:rPr>
  </w:style>
  <w:style w:type="character" w:customStyle="1" w:styleId="Char1">
    <w:name w:val="批注框文本 Char"/>
    <w:basedOn w:val="a0"/>
    <w:link w:val="a6"/>
    <w:semiHidden/>
    <w:rsid w:val="00622DE7"/>
    <w:rPr>
      <w:sz w:val="18"/>
      <w:szCs w:val="18"/>
    </w:rPr>
  </w:style>
  <w:style w:type="character" w:styleId="a7">
    <w:name w:val="Hyperlink"/>
    <w:basedOn w:val="a0"/>
    <w:unhideWhenUsed/>
    <w:rsid w:val="00CB7E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57FD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05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0514E"/>
    <w:rPr>
      <w:sz w:val="18"/>
      <w:szCs w:val="18"/>
    </w:rPr>
  </w:style>
  <w:style w:type="paragraph" w:styleId="a5">
    <w:name w:val="footer"/>
    <w:basedOn w:val="a"/>
    <w:link w:val="Char0"/>
    <w:uiPriority w:val="99"/>
    <w:unhideWhenUsed/>
    <w:rsid w:val="00D0514E"/>
    <w:pPr>
      <w:tabs>
        <w:tab w:val="center" w:pos="4153"/>
        <w:tab w:val="right" w:pos="8306"/>
      </w:tabs>
      <w:snapToGrid w:val="0"/>
    </w:pPr>
    <w:rPr>
      <w:sz w:val="18"/>
      <w:szCs w:val="18"/>
    </w:rPr>
  </w:style>
  <w:style w:type="character" w:customStyle="1" w:styleId="Char0">
    <w:name w:val="页脚 Char"/>
    <w:basedOn w:val="a0"/>
    <w:link w:val="a5"/>
    <w:uiPriority w:val="99"/>
    <w:rsid w:val="00D0514E"/>
    <w:rPr>
      <w:sz w:val="18"/>
      <w:szCs w:val="18"/>
    </w:rPr>
  </w:style>
  <w:style w:type="paragraph" w:styleId="a6">
    <w:name w:val="Balloon Text"/>
    <w:basedOn w:val="a"/>
    <w:link w:val="Char1"/>
    <w:semiHidden/>
    <w:unhideWhenUsed/>
    <w:rsid w:val="00622DE7"/>
    <w:rPr>
      <w:sz w:val="18"/>
      <w:szCs w:val="18"/>
    </w:rPr>
  </w:style>
  <w:style w:type="character" w:customStyle="1" w:styleId="Char1">
    <w:name w:val="批注框文本 Char"/>
    <w:basedOn w:val="a0"/>
    <w:link w:val="a6"/>
    <w:semiHidden/>
    <w:rsid w:val="00622DE7"/>
    <w:rPr>
      <w:sz w:val="18"/>
      <w:szCs w:val="18"/>
    </w:rPr>
  </w:style>
  <w:style w:type="character" w:styleId="a7">
    <w:name w:val="Hyperlink"/>
    <w:basedOn w:val="a0"/>
    <w:unhideWhenUsed/>
    <w:rsid w:val="00CB7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2307-8960/full/v8/i19/459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21</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29</cp:revision>
  <dcterms:created xsi:type="dcterms:W3CDTF">2020-09-01T02:16:00Z</dcterms:created>
  <dcterms:modified xsi:type="dcterms:W3CDTF">2020-09-25T17:02:00Z</dcterms:modified>
</cp:coreProperties>
</file>