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0094" w14:textId="77777777" w:rsidR="00FC4B6A" w:rsidRDefault="005069E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0839280D" w14:textId="77777777" w:rsidR="00FC4B6A" w:rsidRDefault="005069E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56747</w:t>
      </w:r>
    </w:p>
    <w:p w14:paraId="13C23EFC" w14:textId="77777777" w:rsidR="00FC4B6A" w:rsidRDefault="005069E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DF70F3C" w14:textId="77777777" w:rsidR="00FC4B6A" w:rsidRDefault="00FC4B6A">
      <w:pPr>
        <w:spacing w:line="360" w:lineRule="auto"/>
        <w:jc w:val="both"/>
      </w:pPr>
    </w:p>
    <w:p w14:paraId="2A10216D" w14:textId="77777777" w:rsidR="00FC4B6A" w:rsidRDefault="005069E0">
      <w:pPr>
        <w:spacing w:line="360" w:lineRule="auto"/>
        <w:jc w:val="both"/>
      </w:pPr>
      <w:r>
        <w:rPr>
          <w:rFonts w:ascii="Book Antiqua" w:eastAsia="Book Antiqua" w:hAnsi="Book Antiqua" w:cs="Book Antiqua"/>
          <w:b/>
          <w:i/>
          <w:color w:val="000000"/>
        </w:rPr>
        <w:t>Retrospective Cohort Study</w:t>
      </w:r>
    </w:p>
    <w:p w14:paraId="47DF2804" w14:textId="77777777" w:rsidR="00FC4B6A" w:rsidRDefault="005069E0">
      <w:pPr>
        <w:spacing w:line="360" w:lineRule="auto"/>
        <w:jc w:val="both"/>
      </w:pPr>
      <w:bookmarkStart w:id="0" w:name="OLE_LINK352"/>
      <w:bookmarkStart w:id="1" w:name="OLE_LINK353"/>
      <w:r>
        <w:rPr>
          <w:rFonts w:ascii="Book Antiqua" w:eastAsia="Book Antiqua" w:hAnsi="Book Antiqua" w:cs="Book Antiqua"/>
          <w:b/>
          <w:bCs/>
          <w:color w:val="000000"/>
        </w:rPr>
        <w:t>Exploring the safety and efficacy of adding ketoconazole to tacrolimus in pediatric renal transplant immunosuppression</w:t>
      </w:r>
    </w:p>
    <w:bookmarkEnd w:id="0"/>
    <w:bookmarkEnd w:id="1"/>
    <w:p w14:paraId="25B01776" w14:textId="77777777" w:rsidR="006B5477" w:rsidRPr="006B5477" w:rsidRDefault="006B5477">
      <w:pPr>
        <w:spacing w:line="360" w:lineRule="auto"/>
        <w:jc w:val="both"/>
        <w:rPr>
          <w:rFonts w:eastAsiaTheme="minorEastAsia"/>
          <w:lang w:eastAsia="zh-CN"/>
        </w:rPr>
      </w:pPr>
    </w:p>
    <w:p w14:paraId="7532B942" w14:textId="77777777" w:rsidR="00FC4B6A" w:rsidRDefault="005069E0">
      <w:pPr>
        <w:spacing w:line="360" w:lineRule="auto"/>
        <w:jc w:val="both"/>
      </w:pPr>
      <w:r>
        <w:rPr>
          <w:rFonts w:ascii="Book Antiqua" w:eastAsia="Book Antiqua" w:hAnsi="Book Antiqua" w:cs="Book Antiqua"/>
          <w:color w:val="000000"/>
        </w:rPr>
        <w:t xml:space="preserve">Méndez S </w:t>
      </w:r>
      <w:r>
        <w:rPr>
          <w:rFonts w:ascii="Book Antiqua" w:eastAsia="Book Antiqua" w:hAnsi="Book Antiqua" w:cs="Book Antiqua"/>
          <w:i/>
          <w:iCs/>
          <w:color w:val="000000"/>
        </w:rPr>
        <w:t>et al</w:t>
      </w:r>
      <w:r>
        <w:rPr>
          <w:rFonts w:ascii="Book Antiqua" w:eastAsia="Book Antiqua" w:hAnsi="Book Antiqua" w:cs="Book Antiqua"/>
          <w:color w:val="000000"/>
        </w:rPr>
        <w:t>. Safety and efficacy of adding ketoconazole to tacrolimus</w:t>
      </w:r>
    </w:p>
    <w:p w14:paraId="35FA1DD3" w14:textId="77777777" w:rsidR="00FC4B6A" w:rsidRDefault="00FC4B6A">
      <w:pPr>
        <w:spacing w:line="360" w:lineRule="auto"/>
        <w:jc w:val="both"/>
      </w:pPr>
    </w:p>
    <w:p w14:paraId="57570370" w14:textId="77777777" w:rsidR="00FC4B6A" w:rsidRPr="006962CD" w:rsidRDefault="005069E0">
      <w:pPr>
        <w:spacing w:line="360" w:lineRule="auto"/>
        <w:jc w:val="both"/>
        <w:rPr>
          <w:lang w:val="es-ES"/>
        </w:rPr>
      </w:pPr>
      <w:r w:rsidRPr="006962CD">
        <w:rPr>
          <w:rFonts w:ascii="Book Antiqua" w:eastAsia="Book Antiqua" w:hAnsi="Book Antiqua" w:cs="Book Antiqua"/>
          <w:color w:val="000000"/>
          <w:lang w:val="es-ES"/>
        </w:rPr>
        <w:t>Sindy Méndez, Brooke M Ramay, Angie Aguilar-González, Randall Lou-Meda</w:t>
      </w:r>
    </w:p>
    <w:p w14:paraId="402BCD15" w14:textId="77777777" w:rsidR="00FC4B6A" w:rsidRPr="006962CD" w:rsidRDefault="00FC4B6A">
      <w:pPr>
        <w:spacing w:line="360" w:lineRule="auto"/>
        <w:jc w:val="both"/>
        <w:rPr>
          <w:lang w:val="es-ES"/>
        </w:rPr>
      </w:pPr>
    </w:p>
    <w:p w14:paraId="6B677FF5" w14:textId="77777777" w:rsidR="00FC4B6A" w:rsidRPr="006962CD" w:rsidRDefault="005069E0">
      <w:pPr>
        <w:spacing w:line="360" w:lineRule="auto"/>
        <w:jc w:val="both"/>
        <w:rPr>
          <w:lang w:val="es-ES"/>
        </w:rPr>
      </w:pPr>
      <w:r w:rsidRPr="006962CD">
        <w:rPr>
          <w:rFonts w:ascii="Book Antiqua" w:eastAsia="Book Antiqua" w:hAnsi="Book Antiqua" w:cs="Book Antiqua"/>
          <w:b/>
          <w:bCs/>
          <w:color w:val="000000"/>
          <w:lang w:val="es-ES"/>
        </w:rPr>
        <w:t xml:space="preserve">Sindy Méndez, Angie Aguilar-González, Randall Lou-Meda, </w:t>
      </w:r>
      <w:r w:rsidRPr="006962CD">
        <w:rPr>
          <w:rFonts w:ascii="Book Antiqua" w:eastAsia="Book Antiqua" w:hAnsi="Book Antiqua" w:cs="Book Antiqua"/>
          <w:color w:val="000000"/>
          <w:lang w:val="es-ES"/>
        </w:rPr>
        <w:t>Fundación para el Niño Enfermo Renal - FUNDANIER, Hospital Roosevelt Guatemala, Guatemala 01010, Guatemala</w:t>
      </w:r>
    </w:p>
    <w:p w14:paraId="7CA4D854" w14:textId="77777777" w:rsidR="00FC4B6A" w:rsidRPr="006962CD" w:rsidRDefault="00FC4B6A">
      <w:pPr>
        <w:spacing w:line="360" w:lineRule="auto"/>
        <w:jc w:val="both"/>
        <w:rPr>
          <w:lang w:val="es-ES"/>
        </w:rPr>
      </w:pPr>
    </w:p>
    <w:p w14:paraId="5B0C184F" w14:textId="77777777" w:rsidR="00FC4B6A" w:rsidRDefault="005069E0">
      <w:pPr>
        <w:spacing w:line="360" w:lineRule="auto"/>
        <w:jc w:val="both"/>
      </w:pPr>
      <w:r>
        <w:rPr>
          <w:rFonts w:ascii="Book Antiqua" w:eastAsia="Book Antiqua" w:hAnsi="Book Antiqua" w:cs="Book Antiqua"/>
          <w:b/>
          <w:bCs/>
          <w:color w:val="000000"/>
        </w:rPr>
        <w:t xml:space="preserve">Brooke M </w:t>
      </w:r>
      <w:proofErr w:type="spellStart"/>
      <w:r>
        <w:rPr>
          <w:rFonts w:ascii="Book Antiqua" w:eastAsia="Book Antiqua" w:hAnsi="Book Antiqua" w:cs="Book Antiqua"/>
          <w:b/>
          <w:bCs/>
          <w:color w:val="000000"/>
        </w:rPr>
        <w:t>Ramay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Pharmaceutical Chemistry, Universidad del Valle de Guatemala, Guatemala 01015, Guatemala</w:t>
      </w:r>
    </w:p>
    <w:p w14:paraId="7A0D6A09" w14:textId="77777777" w:rsidR="00FC4B6A" w:rsidRDefault="00FC4B6A">
      <w:pPr>
        <w:spacing w:line="360" w:lineRule="auto"/>
        <w:jc w:val="both"/>
      </w:pPr>
    </w:p>
    <w:p w14:paraId="6FA9C537" w14:textId="06C86733" w:rsidR="00FC4B6A" w:rsidRDefault="005069E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Méndez S, </w:t>
      </w:r>
      <w:proofErr w:type="spellStart"/>
      <w:r>
        <w:rPr>
          <w:rFonts w:ascii="Book Antiqua" w:eastAsia="Book Antiqua" w:hAnsi="Book Antiqua" w:cs="Book Antiqua"/>
          <w:color w:val="000000"/>
          <w:shd w:val="clear" w:color="auto" w:fill="FFFFFF"/>
        </w:rPr>
        <w:t>Ramay</w:t>
      </w:r>
      <w:proofErr w:type="spellEnd"/>
      <w:r>
        <w:rPr>
          <w:rFonts w:ascii="Book Antiqua" w:eastAsia="Book Antiqua" w:hAnsi="Book Antiqua" w:cs="Book Antiqua"/>
          <w:color w:val="000000"/>
          <w:shd w:val="clear" w:color="auto" w:fill="FFFFFF"/>
        </w:rPr>
        <w:t xml:space="preserve"> BM, Aguilar-González A and Lou-</w:t>
      </w:r>
      <w:proofErr w:type="spellStart"/>
      <w:r>
        <w:rPr>
          <w:rFonts w:ascii="Book Antiqua" w:eastAsia="Book Antiqua" w:hAnsi="Book Antiqua" w:cs="Book Antiqua"/>
          <w:color w:val="000000"/>
          <w:shd w:val="clear" w:color="auto" w:fill="FFFFFF"/>
        </w:rPr>
        <w:t>Meda</w:t>
      </w:r>
      <w:proofErr w:type="spellEnd"/>
      <w:r>
        <w:rPr>
          <w:rFonts w:ascii="Book Antiqua" w:eastAsia="Book Antiqua" w:hAnsi="Book Antiqua" w:cs="Book Antiqua"/>
          <w:color w:val="000000"/>
          <w:shd w:val="clear" w:color="auto" w:fill="FFFFFF"/>
        </w:rPr>
        <w:t xml:space="preserve"> R conceptualized and designed the study, acquired</w:t>
      </w:r>
      <w:r w:rsidR="006137C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analyzed and interpreted data, supported drafting the article and making critical revisions; all the authors have given final approval of the version of the article to be published. </w:t>
      </w:r>
    </w:p>
    <w:p w14:paraId="5EFFC930" w14:textId="77777777" w:rsidR="00FC4B6A" w:rsidRDefault="00FC4B6A">
      <w:pPr>
        <w:spacing w:line="360" w:lineRule="auto"/>
        <w:jc w:val="both"/>
      </w:pPr>
    </w:p>
    <w:p w14:paraId="15D61A2C" w14:textId="77777777" w:rsidR="00FC4B6A" w:rsidRDefault="005069E0">
      <w:pPr>
        <w:spacing w:line="360" w:lineRule="auto"/>
        <w:jc w:val="both"/>
      </w:pPr>
      <w:r>
        <w:rPr>
          <w:rFonts w:ascii="Book Antiqua" w:eastAsia="Book Antiqua" w:hAnsi="Book Antiqua" w:cs="Book Antiqua"/>
          <w:b/>
          <w:bCs/>
          <w:color w:val="000000"/>
        </w:rPr>
        <w:t xml:space="preserve">Corresponding author: Brooke M </w:t>
      </w:r>
      <w:proofErr w:type="spellStart"/>
      <w:r>
        <w:rPr>
          <w:rFonts w:ascii="Book Antiqua" w:eastAsia="Book Antiqua" w:hAnsi="Book Antiqua" w:cs="Book Antiqua"/>
          <w:b/>
          <w:bCs/>
          <w:color w:val="000000"/>
        </w:rPr>
        <w:t>Ramay</w:t>
      </w:r>
      <w:proofErr w:type="spellEnd"/>
      <w:r>
        <w:rPr>
          <w:rFonts w:ascii="Book Antiqua" w:eastAsia="Book Antiqua" w:hAnsi="Book Antiqua" w:cs="Book Antiqua"/>
          <w:b/>
          <w:bCs/>
          <w:color w:val="000000"/>
        </w:rPr>
        <w:t xml:space="preserve">, BSc, PharmD, Pharmacist, Professor, </w:t>
      </w:r>
      <w:r>
        <w:rPr>
          <w:rFonts w:ascii="Book Antiqua" w:eastAsia="Book Antiqua" w:hAnsi="Book Antiqua" w:cs="Book Antiqua"/>
          <w:color w:val="000000"/>
        </w:rPr>
        <w:t>Department of Pharmaceutical Chemistry, Universidad del Valle de Guatemala, 18 Avenida 11-95, Guatemala 01015, Guatemala. bramay@uvg.edu.gt</w:t>
      </w:r>
    </w:p>
    <w:p w14:paraId="51B6B465" w14:textId="77777777" w:rsidR="00FC4B6A" w:rsidRDefault="00FC4B6A">
      <w:pPr>
        <w:spacing w:line="360" w:lineRule="auto"/>
        <w:jc w:val="both"/>
      </w:pPr>
    </w:p>
    <w:p w14:paraId="6933592F" w14:textId="77777777" w:rsidR="00FC4B6A" w:rsidRDefault="005069E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15, 2020</w:t>
      </w:r>
    </w:p>
    <w:p w14:paraId="71F15FC0" w14:textId="77777777" w:rsidR="00FC4B6A" w:rsidRDefault="005069E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18, 2020</w:t>
      </w:r>
    </w:p>
    <w:p w14:paraId="53F3365F" w14:textId="1716EC16" w:rsidR="00FC4B6A" w:rsidRDefault="005069E0">
      <w:pPr>
        <w:spacing w:line="360" w:lineRule="auto"/>
        <w:jc w:val="both"/>
      </w:pPr>
      <w:r>
        <w:rPr>
          <w:rFonts w:ascii="Book Antiqua" w:eastAsia="Book Antiqua" w:hAnsi="Book Antiqua" w:cs="Book Antiqua"/>
          <w:b/>
          <w:bCs/>
          <w:color w:val="000000"/>
        </w:rPr>
        <w:lastRenderedPageBreak/>
        <w:t xml:space="preserve">Accepted: </w:t>
      </w:r>
      <w:r w:rsidR="00A212E0" w:rsidRPr="00A212E0">
        <w:rPr>
          <w:rFonts w:ascii="Book Antiqua" w:eastAsia="Book Antiqua" w:hAnsi="Book Antiqua" w:cs="Book Antiqua"/>
          <w:bCs/>
          <w:color w:val="000000"/>
        </w:rPr>
        <w:t>September 18, 2020</w:t>
      </w:r>
    </w:p>
    <w:p w14:paraId="3479AA76" w14:textId="77777777" w:rsidR="00FC4B6A" w:rsidRDefault="005069E0">
      <w:pPr>
        <w:spacing w:line="360" w:lineRule="auto"/>
        <w:jc w:val="both"/>
      </w:pPr>
      <w:r>
        <w:rPr>
          <w:rFonts w:ascii="Book Antiqua" w:eastAsia="Book Antiqua" w:hAnsi="Book Antiqua" w:cs="Book Antiqua"/>
          <w:b/>
          <w:bCs/>
          <w:color w:val="000000"/>
        </w:rPr>
        <w:t xml:space="preserve">Published online: </w:t>
      </w:r>
    </w:p>
    <w:p w14:paraId="3A8D4370" w14:textId="77777777" w:rsidR="00FC4B6A" w:rsidRDefault="00FC4B6A">
      <w:pPr>
        <w:spacing w:line="360" w:lineRule="auto"/>
        <w:jc w:val="both"/>
        <w:sectPr w:rsidR="00FC4B6A">
          <w:footerReference w:type="even" r:id="rId8"/>
          <w:footerReference w:type="default" r:id="rId9"/>
          <w:pgSz w:w="12240" w:h="15840"/>
          <w:pgMar w:top="1440" w:right="1440" w:bottom="1440" w:left="1440" w:header="720" w:footer="720" w:gutter="0"/>
          <w:cols w:space="720"/>
          <w:docGrid w:linePitch="360"/>
        </w:sectPr>
      </w:pPr>
    </w:p>
    <w:p w14:paraId="5860FFF8" w14:textId="77777777" w:rsidR="00FC4B6A" w:rsidRDefault="005069E0">
      <w:pPr>
        <w:spacing w:line="360" w:lineRule="auto"/>
        <w:jc w:val="both"/>
      </w:pPr>
      <w:r>
        <w:rPr>
          <w:rFonts w:ascii="Book Antiqua" w:eastAsia="Book Antiqua" w:hAnsi="Book Antiqua" w:cs="Book Antiqua"/>
          <w:b/>
          <w:color w:val="000000"/>
        </w:rPr>
        <w:lastRenderedPageBreak/>
        <w:t>Abstract</w:t>
      </w:r>
    </w:p>
    <w:p w14:paraId="1C48B698" w14:textId="77777777" w:rsidR="00FC4B6A" w:rsidRDefault="005069E0">
      <w:pPr>
        <w:spacing w:line="360" w:lineRule="auto"/>
        <w:jc w:val="both"/>
      </w:pPr>
      <w:r>
        <w:rPr>
          <w:rFonts w:ascii="Book Antiqua" w:eastAsia="Book Antiqua" w:hAnsi="Book Antiqua" w:cs="Book Antiqua"/>
          <w:color w:val="000000"/>
        </w:rPr>
        <w:t>BACKGROUND</w:t>
      </w:r>
    </w:p>
    <w:p w14:paraId="2C91B578" w14:textId="7E0F25FE" w:rsidR="00FC4B6A" w:rsidRDefault="005069E0">
      <w:pPr>
        <w:spacing w:line="360" w:lineRule="auto"/>
        <w:jc w:val="both"/>
      </w:pPr>
      <w:r>
        <w:rPr>
          <w:rFonts w:ascii="Book Antiqua" w:eastAsia="Book Antiqua" w:hAnsi="Book Antiqua" w:cs="Book Antiqua"/>
          <w:color w:val="000000"/>
          <w:shd w:val="clear" w:color="auto" w:fill="FFFFFF"/>
        </w:rPr>
        <w:t xml:space="preserve">Guatemala </w:t>
      </w:r>
      <w:r>
        <w:rPr>
          <w:rFonts w:ascii="Book Antiqua" w:eastAsia="Book Antiqua" w:hAnsi="Book Antiqua" w:cs="Book Antiqua"/>
          <w:color w:val="000000"/>
        </w:rPr>
        <w:t xml:space="preserve">is a developing country in Central America </w:t>
      </w:r>
      <w:r>
        <w:rPr>
          <w:rFonts w:ascii="Book Antiqua" w:eastAsia="Book Antiqua" w:hAnsi="Book Antiqua" w:cs="Book Antiqua"/>
          <w:color w:val="000000"/>
          <w:shd w:val="clear" w:color="auto" w:fill="FFFFFF"/>
        </w:rPr>
        <w:t xml:space="preserve">with limited health resources. </w:t>
      </w:r>
      <w:r>
        <w:rPr>
          <w:rFonts w:ascii="Book Antiqua" w:eastAsia="Book Antiqua" w:hAnsi="Book Antiqua" w:cs="Book Antiqua"/>
          <w:color w:val="000000"/>
        </w:rPr>
        <w:t>In order to expand successful renal transplant care to children and adolescents at the lowest possible cost, our pediatric renal transplant clinic use</w:t>
      </w:r>
      <w:r w:rsidR="006137CF">
        <w:rPr>
          <w:rFonts w:ascii="Book Antiqua" w:eastAsia="Book Antiqua" w:hAnsi="Book Antiqua" w:cs="Book Antiqua"/>
          <w:color w:val="000000"/>
        </w:rPr>
        <w:t>s</w:t>
      </w:r>
      <w:r>
        <w:rPr>
          <w:rFonts w:ascii="Book Antiqua" w:eastAsia="Book Antiqua" w:hAnsi="Book Antiqua" w:cs="Book Antiqua"/>
          <w:color w:val="000000"/>
        </w:rPr>
        <w:t xml:space="preserve"> a post-transplant tacrolimus-sparing strategy </w:t>
      </w:r>
      <w:r w:rsidRPr="007D1FCE">
        <w:rPr>
          <w:rFonts w:ascii="Book Antiqua" w:eastAsia="Book Antiqua" w:hAnsi="Book Antiqua" w:cs="Book Antiqua"/>
          <w:i/>
          <w:color w:val="000000"/>
        </w:rPr>
        <w:t>via</w:t>
      </w:r>
      <w:r>
        <w:rPr>
          <w:rFonts w:ascii="Book Antiqua" w:eastAsia="Book Antiqua" w:hAnsi="Book Antiqua" w:cs="Book Antiqua"/>
          <w:color w:val="000000"/>
        </w:rPr>
        <w:t xml:space="preserve"> inhibition of CYP3A4</w:t>
      </w:r>
      <w:r w:rsidR="007D1FCE" w:rsidRPr="007D1FCE">
        <w:rPr>
          <w:rFonts w:ascii="Book Antiqua" w:eastAsiaTheme="minorEastAsia" w:hAnsi="Book Antiqua" w:cs="Book Antiqua"/>
          <w:color w:val="000000"/>
          <w:lang w:eastAsia="zh-CN"/>
        </w:rPr>
        <w:t>.</w:t>
      </w:r>
    </w:p>
    <w:p w14:paraId="6CEB84AC" w14:textId="77777777" w:rsidR="00FC4B6A" w:rsidRDefault="00FC4B6A">
      <w:pPr>
        <w:spacing w:line="360" w:lineRule="auto"/>
        <w:jc w:val="both"/>
      </w:pPr>
    </w:p>
    <w:p w14:paraId="224DB0A6" w14:textId="77777777" w:rsidR="00FC4B6A" w:rsidRDefault="005069E0">
      <w:pPr>
        <w:spacing w:line="360" w:lineRule="auto"/>
        <w:jc w:val="both"/>
      </w:pPr>
      <w:r>
        <w:rPr>
          <w:rFonts w:ascii="Book Antiqua" w:eastAsia="Book Antiqua" w:hAnsi="Book Antiqua" w:cs="Book Antiqua"/>
          <w:color w:val="000000"/>
        </w:rPr>
        <w:t>AIM</w:t>
      </w:r>
    </w:p>
    <w:p w14:paraId="197E9504" w14:textId="77777777" w:rsidR="00FC4B6A" w:rsidRDefault="005069E0">
      <w:pPr>
        <w:spacing w:line="360" w:lineRule="auto"/>
        <w:jc w:val="both"/>
      </w:pPr>
      <w:r>
        <w:rPr>
          <w:rFonts w:ascii="Book Antiqua" w:eastAsia="Book Antiqua" w:hAnsi="Book Antiqua" w:cs="Book Antiqua"/>
          <w:color w:val="000000"/>
        </w:rPr>
        <w:t>To study</w:t>
      </w:r>
      <w:r>
        <w:rPr>
          <w:rFonts w:ascii="Book Antiqua" w:eastAsia="Book Antiqua" w:hAnsi="Book Antiqua" w:cs="Book Antiqua"/>
          <w:color w:val="000000"/>
          <w:shd w:val="clear" w:color="auto" w:fill="FFFFFF"/>
        </w:rPr>
        <w:t xml:space="preserve"> the safety, efficacy and the associated cost reduction of </w:t>
      </w:r>
      <w:r>
        <w:rPr>
          <w:rFonts w:ascii="Book Antiqua" w:eastAsia="Book Antiqua" w:hAnsi="Book Antiqua" w:cs="Book Antiqua"/>
          <w:color w:val="000000"/>
        </w:rPr>
        <w:t>ketoconazole in combination with tacrolimus in this pediatric population</w:t>
      </w:r>
      <w:r>
        <w:rPr>
          <w:rFonts w:ascii="Book Antiqua" w:eastAsia="Book Antiqua" w:hAnsi="Book Antiqua" w:cs="Book Antiqua"/>
          <w:color w:val="000000"/>
          <w:shd w:val="clear" w:color="auto" w:fill="FFFFFF"/>
        </w:rPr>
        <w:t>.</w:t>
      </w:r>
    </w:p>
    <w:p w14:paraId="28278396" w14:textId="77777777" w:rsidR="00FC4B6A" w:rsidRDefault="00FC4B6A">
      <w:pPr>
        <w:spacing w:line="360" w:lineRule="auto"/>
        <w:jc w:val="both"/>
      </w:pPr>
    </w:p>
    <w:p w14:paraId="0EEFCFC3" w14:textId="77777777" w:rsidR="00FC4B6A" w:rsidRDefault="005069E0">
      <w:pPr>
        <w:spacing w:line="360" w:lineRule="auto"/>
        <w:jc w:val="both"/>
      </w:pPr>
      <w:r>
        <w:rPr>
          <w:rFonts w:ascii="Book Antiqua" w:eastAsia="Book Antiqua" w:hAnsi="Book Antiqua" w:cs="Book Antiqua"/>
          <w:color w:val="000000"/>
        </w:rPr>
        <w:t>METHODS</w:t>
      </w:r>
    </w:p>
    <w:p w14:paraId="21021D25" w14:textId="77777777" w:rsidR="00FC4B6A" w:rsidRDefault="005069E0">
      <w:pPr>
        <w:spacing w:line="360" w:lineRule="auto"/>
        <w:jc w:val="both"/>
      </w:pPr>
      <w:r>
        <w:rPr>
          <w:rFonts w:ascii="Book Antiqua" w:eastAsia="Book Antiqua" w:hAnsi="Book Antiqua" w:cs="Book Antiqua"/>
          <w:color w:val="000000"/>
        </w:rPr>
        <w:t xml:space="preserve">A retrospective chart review was carried out among the cohort of </w:t>
      </w:r>
      <w:r>
        <w:rPr>
          <w:rFonts w:ascii="Book Antiqua" w:eastAsia="Book Antiqua" w:hAnsi="Book Antiqua" w:cs="Book Antiqua"/>
          <w:color w:val="000000"/>
          <w:shd w:val="clear" w:color="auto" w:fill="FFFFFF"/>
        </w:rPr>
        <w:t>pediatric renal transplant recipients treated at the Foundation for pediatric renal patients (</w:t>
      </w:r>
      <w:r>
        <w:rPr>
          <w:rFonts w:ascii="Book Antiqua" w:eastAsia="Book Antiqua" w:hAnsi="Book Antiqua" w:cs="Book Antiqua"/>
          <w:color w:val="000000"/>
        </w:rPr>
        <w:t xml:space="preserve">Fundación para el Niño </w:t>
      </w:r>
      <w:proofErr w:type="spellStart"/>
      <w:r>
        <w:rPr>
          <w:rFonts w:ascii="Book Antiqua" w:eastAsia="Book Antiqua" w:hAnsi="Book Antiqua" w:cs="Book Antiqua"/>
          <w:color w:val="000000"/>
        </w:rPr>
        <w:t>Enfermo</w:t>
      </w:r>
      <w:proofErr w:type="spellEnd"/>
      <w:r>
        <w:rPr>
          <w:rFonts w:ascii="Book Antiqua" w:eastAsia="Book Antiqua" w:hAnsi="Book Antiqua" w:cs="Book Antiqua"/>
          <w:color w:val="000000"/>
        </w:rPr>
        <w:t xml:space="preserve"> Renal - FUNDANIER), </w:t>
      </w:r>
      <w:r>
        <w:rPr>
          <w:rFonts w:ascii="Book Antiqua" w:eastAsia="Book Antiqua" w:hAnsi="Book Antiqua" w:cs="Book Antiqua"/>
          <w:color w:val="000000"/>
          <w:shd w:val="clear" w:color="auto" w:fill="FFFFFF"/>
        </w:rPr>
        <w:t xml:space="preserve">a pediatric tertiary care renal transplant center in Guatemala City, Guatemala. Patient charts were reviewed to ascertain the number of transplant recipients who were transitioned from tacrolimus based immunosuppression to combination therapy with ketoconazole and tacrolimus. </w:t>
      </w:r>
      <w:r>
        <w:rPr>
          <w:rFonts w:ascii="Book Antiqua" w:eastAsia="Book Antiqua" w:hAnsi="Book Antiqua" w:cs="Book Antiqua"/>
          <w:color w:val="000000"/>
        </w:rPr>
        <w:t>Twenty-five</w:t>
      </w:r>
      <w:r>
        <w:rPr>
          <w:rFonts w:ascii="Book Antiqua" w:eastAsia="Book Antiqua" w:hAnsi="Book Antiqua" w:cs="Book Antiqua"/>
          <w:color w:val="000000"/>
          <w:shd w:val="clear" w:color="auto" w:fill="FFFFFF"/>
        </w:rPr>
        <w:t xml:space="preserve"> post-transplant patients that used ketoconazole combined with tacrolimus were identified. Anthropometric, clinical and laboratory data </w:t>
      </w:r>
      <w:r>
        <w:rPr>
          <w:rFonts w:ascii="Book Antiqua" w:eastAsia="Book Antiqua" w:hAnsi="Book Antiqua" w:cs="Book Antiqua"/>
          <w:color w:val="000000"/>
        </w:rPr>
        <w:t xml:space="preserve">was collected from patient charts before and after the transition. </w:t>
      </w:r>
    </w:p>
    <w:p w14:paraId="6924DBD9" w14:textId="77777777" w:rsidR="00FC4B6A" w:rsidRDefault="00FC4B6A">
      <w:pPr>
        <w:spacing w:line="360" w:lineRule="auto"/>
        <w:jc w:val="both"/>
      </w:pPr>
    </w:p>
    <w:p w14:paraId="4612F1A4" w14:textId="77777777" w:rsidR="00FC4B6A" w:rsidRDefault="005069E0">
      <w:pPr>
        <w:spacing w:line="360" w:lineRule="auto"/>
        <w:jc w:val="both"/>
      </w:pPr>
      <w:r>
        <w:rPr>
          <w:rFonts w:ascii="Book Antiqua" w:eastAsia="Book Antiqua" w:hAnsi="Book Antiqua" w:cs="Book Antiqua"/>
          <w:color w:val="000000"/>
        </w:rPr>
        <w:t>RESULTS</w:t>
      </w:r>
    </w:p>
    <w:p w14:paraId="5FCD0A4D" w14:textId="2631800E" w:rsidR="00FC4B6A" w:rsidRDefault="005069E0">
      <w:pPr>
        <w:spacing w:line="360" w:lineRule="auto"/>
        <w:jc w:val="both"/>
      </w:pPr>
      <w:r>
        <w:rPr>
          <w:rFonts w:ascii="Book Antiqua" w:eastAsia="Book Antiqua" w:hAnsi="Book Antiqua" w:cs="Book Antiqua"/>
          <w:color w:val="000000"/>
        </w:rPr>
        <w:t>Of the 25 patient charts reviewed 12 (48%) patients were male and the average patient age was 13 years. Twenty-four (96%) transplant</w:t>
      </w:r>
      <w:r w:rsidR="006137CF">
        <w:rPr>
          <w:rFonts w:ascii="Book Antiqua" w:eastAsia="Book Antiqua" w:hAnsi="Book Antiqua" w:cs="Book Antiqua"/>
          <w:color w:val="000000"/>
        </w:rPr>
        <w:t>s</w:t>
      </w:r>
      <w:r>
        <w:rPr>
          <w:rFonts w:ascii="Book Antiqua" w:eastAsia="Book Antiqua" w:hAnsi="Book Antiqua" w:cs="Book Antiqua"/>
          <w:color w:val="000000"/>
        </w:rPr>
        <w:t xml:space="preserve"> were from living donors. There was a non-significant difference between the mean tacrolimus doses six months and two months prior to ketoconazole:</w:t>
      </w:r>
      <w:r w:rsidR="007D1FCE">
        <w:rPr>
          <w:rFonts w:ascii="Book Antiqua" w:eastAsia="Book Antiqua" w:hAnsi="Book Antiqua" w:cs="Book Antiqua"/>
          <w:color w:val="000000"/>
        </w:rPr>
        <w:t xml:space="preserve"> </w:t>
      </w:r>
      <w:r>
        <w:rPr>
          <w:rFonts w:ascii="Book Antiqua" w:eastAsia="Book Antiqua" w:hAnsi="Book Antiqua" w:cs="Book Antiqua"/>
          <w:color w:val="000000"/>
        </w:rPr>
        <w:t>-0.10 ± 0.04 (</w:t>
      </w:r>
      <w:r w:rsidR="00176B3C">
        <w:rPr>
          <w:rFonts w:ascii="Book Antiqua" w:eastAsia="Book Antiqua" w:hAnsi="Book Antiqua" w:cs="Book Antiqua"/>
          <w:color w:val="000000"/>
        </w:rPr>
        <w:t>95%CI</w:t>
      </w:r>
      <w:r w:rsidR="00F45C48">
        <w:rPr>
          <w:rFonts w:ascii="Book Antiqua" w:eastAsia="Book Antiqua" w:hAnsi="Book Antiqua" w:cs="Book Antiqua"/>
          <w:color w:val="000000"/>
        </w:rPr>
        <w:t>:</w:t>
      </w:r>
      <w:r>
        <w:rPr>
          <w:rFonts w:ascii="Book Antiqua" w:eastAsia="Book Antiqua" w:hAnsi="Book Antiqua" w:cs="Book Antiqua"/>
          <w:color w:val="000000"/>
        </w:rPr>
        <w:t xml:space="preserve"> 0.007,</w:t>
      </w:r>
      <w:r w:rsidR="007D1FCE">
        <w:rPr>
          <w:rFonts w:ascii="Book Antiqua" w:eastAsia="Book Antiqua" w:hAnsi="Book Antiqua" w:cs="Book Antiqua"/>
          <w:color w:val="000000"/>
        </w:rPr>
        <w:t xml:space="preserve"> </w:t>
      </w:r>
      <w:r>
        <w:rPr>
          <w:rFonts w:ascii="Book Antiqua" w:eastAsia="Book Antiqua" w:hAnsi="Book Antiqua" w:cs="Book Antiqua"/>
          <w:color w:val="000000"/>
        </w:rPr>
        <w:t xml:space="preserve">-0.029), </w:t>
      </w:r>
      <w:r>
        <w:rPr>
          <w:rFonts w:ascii="Book Antiqua" w:eastAsia="Book Antiqua" w:hAnsi="Book Antiqua" w:cs="Book Antiqua"/>
          <w:i/>
          <w:iCs/>
          <w:color w:val="000000"/>
        </w:rPr>
        <w:t>P</w:t>
      </w:r>
      <w:r>
        <w:rPr>
          <w:rFonts w:ascii="Book Antiqua" w:eastAsia="Book Antiqua" w:hAnsi="Book Antiqua" w:cs="Book Antiqua"/>
          <w:color w:val="000000"/>
        </w:rPr>
        <w:t xml:space="preserve"> = 0.23. However, the difference between the mean tacrolimus doses six months prior to ketoconazole initiation and six months after ketoconazole addition was significant: 0.06 </w:t>
      </w:r>
      <w:r w:rsidR="007D1FCE">
        <w:rPr>
          <w:rFonts w:ascii="Book Antiqua" w:eastAsia="Book Antiqua" w:hAnsi="Book Antiqua" w:cs="Book Antiqua"/>
          <w:color w:val="000000"/>
        </w:rPr>
        <w:t xml:space="preserve">± </w:t>
      </w:r>
      <w:r>
        <w:rPr>
          <w:rFonts w:ascii="Book Antiqua" w:eastAsia="Book Antiqua" w:hAnsi="Book Antiqua" w:cs="Book Antiqua"/>
          <w:color w:val="000000"/>
        </w:rPr>
        <w:t>0.05 (</w:t>
      </w:r>
      <w:r w:rsidR="00176B3C">
        <w:rPr>
          <w:rFonts w:ascii="Book Antiqua" w:eastAsia="Book Antiqua" w:hAnsi="Book Antiqua" w:cs="Book Antiqua"/>
          <w:color w:val="000000"/>
        </w:rPr>
        <w:t>95%CI</w:t>
      </w:r>
      <w:r w:rsidR="00F45C4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-0.034, -0.086)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shd w:val="clear" w:color="auto" w:fill="FFFFFF"/>
        </w:rPr>
        <w:t xml:space="preserve"> All tacrolimus doses were reduced by 45% after the addition of ketoconazole. </w:t>
      </w:r>
      <w:r>
        <w:rPr>
          <w:rFonts w:ascii="Book Antiqua" w:eastAsia="Book Antiqua" w:hAnsi="Book Antiqua" w:cs="Book Antiqua"/>
          <w:color w:val="000000"/>
        </w:rPr>
        <w:t xml:space="preserve">Therapeutic levels of tacrolimus ranged between 6.8-8.8 ng/mL during the study period and patients demonstrated an increase in </w:t>
      </w:r>
      <w:r w:rsidR="000E67F9" w:rsidRPr="000E67F9">
        <w:rPr>
          <w:rFonts w:ascii="Book Antiqua" w:eastAsia="Book Antiqua" w:hAnsi="Book Antiqua" w:cs="Book Antiqua"/>
          <w:color w:val="000000"/>
        </w:rPr>
        <w:t>estimated glomerular filtration rate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combination of tacrolimus and ketoconazole resulted in a 21% reduction </w:t>
      </w:r>
      <w:r w:rsidR="006137CF">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cost.</w:t>
      </w:r>
    </w:p>
    <w:p w14:paraId="58111120" w14:textId="77777777" w:rsidR="00FC4B6A" w:rsidRDefault="00FC4B6A">
      <w:pPr>
        <w:spacing w:line="360" w:lineRule="auto"/>
        <w:jc w:val="both"/>
      </w:pPr>
    </w:p>
    <w:p w14:paraId="21CADAB5" w14:textId="77777777" w:rsidR="00FC4B6A" w:rsidRDefault="005069E0">
      <w:pPr>
        <w:spacing w:line="360" w:lineRule="auto"/>
        <w:jc w:val="both"/>
      </w:pPr>
      <w:r>
        <w:rPr>
          <w:rFonts w:ascii="Book Antiqua" w:eastAsia="Book Antiqua" w:hAnsi="Book Antiqua" w:cs="Book Antiqua"/>
          <w:color w:val="000000"/>
        </w:rPr>
        <w:t>CONCLUSION</w:t>
      </w:r>
    </w:p>
    <w:p w14:paraId="7E3522AC" w14:textId="540A64FD" w:rsidR="00FC4B6A" w:rsidRDefault="005069E0">
      <w:pPr>
        <w:spacing w:line="360" w:lineRule="auto"/>
        <w:jc w:val="both"/>
      </w:pPr>
      <w:r>
        <w:rPr>
          <w:rFonts w:ascii="Book Antiqua" w:eastAsia="Book Antiqua" w:hAnsi="Book Antiqua" w:cs="Book Antiqua"/>
          <w:color w:val="000000"/>
        </w:rPr>
        <w:t xml:space="preserve">Patients experienced an effective dose-reduction of tacrolimus with the administration of ketoconazole. There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no relevant variation</w:t>
      </w:r>
      <w:r w:rsidR="00594ADB">
        <w:rPr>
          <w:rFonts w:ascii="Book Antiqua" w:eastAsia="Book Antiqua" w:hAnsi="Book Antiqua" w:cs="Book Antiqua"/>
          <w:color w:val="000000"/>
        </w:rPr>
        <w:t>s</w:t>
      </w:r>
      <w:r>
        <w:rPr>
          <w:rFonts w:ascii="Book Antiqua" w:eastAsia="Book Antiqua" w:hAnsi="Book Antiqua" w:cs="Book Antiqua"/>
          <w:color w:val="000000"/>
        </w:rPr>
        <w:t xml:space="preserve"> in </w:t>
      </w:r>
      <w:r w:rsidR="006137CF">
        <w:rPr>
          <w:rFonts w:ascii="Book Antiqua" w:eastAsia="Book Antiqua" w:hAnsi="Book Antiqua" w:cs="Book Antiqua"/>
          <w:color w:val="000000"/>
        </w:rPr>
        <w:t>t</w:t>
      </w:r>
      <w:r>
        <w:rPr>
          <w:rFonts w:ascii="Book Antiqua" w:eastAsia="Book Antiqua" w:hAnsi="Book Antiqua" w:cs="Book Antiqua"/>
          <w:color w:val="000000"/>
        </w:rPr>
        <w:t>acrolimus serum levels, number of rejections, or significant liver toxicity. The strategy allowed a cost reduction in pediatric immunosuppressive therapy.</w:t>
      </w:r>
    </w:p>
    <w:p w14:paraId="57802747" w14:textId="77777777" w:rsidR="00FC4B6A" w:rsidRDefault="00FC4B6A">
      <w:pPr>
        <w:spacing w:line="360" w:lineRule="auto"/>
        <w:jc w:val="both"/>
      </w:pPr>
    </w:p>
    <w:p w14:paraId="6A6FC64D" w14:textId="77777777" w:rsidR="00FC4B6A" w:rsidRDefault="005069E0">
      <w:pPr>
        <w:spacing w:line="360" w:lineRule="auto"/>
        <w:jc w:val="both"/>
      </w:pPr>
      <w:r>
        <w:rPr>
          <w:rFonts w:ascii="Book Antiqua" w:eastAsia="Book Antiqua" w:hAnsi="Book Antiqua" w:cs="Book Antiqua"/>
          <w:b/>
          <w:bCs/>
          <w:color w:val="000000"/>
        </w:rPr>
        <w:t xml:space="preserve">Key </w:t>
      </w:r>
      <w:r w:rsidRPr="00A651D6">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Transplant; Immunosuppression; Tacrolimus; Ketoconazole; Pediatric; Chart review</w:t>
      </w:r>
    </w:p>
    <w:p w14:paraId="5D176D4F" w14:textId="77777777" w:rsidR="00FC4B6A" w:rsidRDefault="00FC4B6A">
      <w:pPr>
        <w:spacing w:line="360" w:lineRule="auto"/>
        <w:jc w:val="both"/>
      </w:pPr>
    </w:p>
    <w:p w14:paraId="66C95AC5" w14:textId="77777777" w:rsidR="00FC4B6A" w:rsidRDefault="005069E0">
      <w:pPr>
        <w:spacing w:line="360" w:lineRule="auto"/>
        <w:jc w:val="both"/>
      </w:pPr>
      <w:r>
        <w:rPr>
          <w:rFonts w:ascii="Book Antiqua" w:eastAsia="Book Antiqua" w:hAnsi="Book Antiqua" w:cs="Book Antiqua"/>
          <w:color w:val="000000"/>
        </w:rPr>
        <w:t xml:space="preserve">Méndez S, </w:t>
      </w:r>
      <w:proofErr w:type="spellStart"/>
      <w:r>
        <w:rPr>
          <w:rFonts w:ascii="Book Antiqua" w:eastAsia="Book Antiqua" w:hAnsi="Book Antiqua" w:cs="Book Antiqua"/>
          <w:color w:val="000000"/>
        </w:rPr>
        <w:t>Ramay</w:t>
      </w:r>
      <w:proofErr w:type="spellEnd"/>
      <w:r>
        <w:rPr>
          <w:rFonts w:ascii="Book Antiqua" w:eastAsia="Book Antiqua" w:hAnsi="Book Antiqua" w:cs="Book Antiqua"/>
          <w:color w:val="000000"/>
        </w:rPr>
        <w:t xml:space="preserve"> BM, Aguilar-González A, Lou-</w:t>
      </w:r>
      <w:proofErr w:type="spellStart"/>
      <w:r>
        <w:rPr>
          <w:rFonts w:ascii="Book Antiqua" w:eastAsia="Book Antiqua" w:hAnsi="Book Antiqua" w:cs="Book Antiqua"/>
          <w:color w:val="000000"/>
        </w:rPr>
        <w:t>Meda</w:t>
      </w:r>
      <w:proofErr w:type="spellEnd"/>
      <w:r>
        <w:rPr>
          <w:rFonts w:ascii="Book Antiqua" w:eastAsia="Book Antiqua" w:hAnsi="Book Antiqua" w:cs="Book Antiqua"/>
          <w:color w:val="000000"/>
        </w:rPr>
        <w:t xml:space="preserve"> R. Exploring the safety and efficacy of adding ketoconazole to tacrolimus in pediatric renal transplant immunosuppression.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2020; In press</w:t>
      </w:r>
    </w:p>
    <w:p w14:paraId="55AC270F" w14:textId="77777777" w:rsidR="00FC4B6A" w:rsidRDefault="00FC4B6A">
      <w:pPr>
        <w:spacing w:line="360" w:lineRule="auto"/>
        <w:jc w:val="both"/>
      </w:pPr>
    </w:p>
    <w:p w14:paraId="48634F14" w14:textId="498BD24B" w:rsidR="00FC4B6A" w:rsidRDefault="005069E0">
      <w:pPr>
        <w:spacing w:line="360" w:lineRule="auto"/>
        <w:jc w:val="both"/>
      </w:pPr>
      <w:r>
        <w:rPr>
          <w:rFonts w:ascii="Book Antiqua" w:eastAsia="Book Antiqua" w:hAnsi="Book Antiqua" w:cs="Book Antiqua"/>
          <w:b/>
          <w:bCs/>
          <w:color w:val="000000"/>
        </w:rPr>
        <w:t xml:space="preserve">Core </w:t>
      </w:r>
      <w:r w:rsidRPr="00241F9A">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In the most advanced stages of </w:t>
      </w:r>
      <w:r w:rsidR="006A0839">
        <w:rPr>
          <w:rFonts w:ascii="Book Antiqua" w:eastAsia="Book Antiqua" w:hAnsi="Book Antiqua" w:cs="Book Antiqua"/>
          <w:color w:val="000000"/>
        </w:rPr>
        <w:t>chronic kidney disease</w:t>
      </w:r>
      <w:r w:rsidR="006137CF">
        <w:rPr>
          <w:rFonts w:ascii="Book Antiqua" w:eastAsia="Book Antiqua" w:hAnsi="Book Antiqua" w:cs="Book Antiqua"/>
          <w:color w:val="000000"/>
        </w:rPr>
        <w:t>,</w:t>
      </w:r>
      <w:r w:rsidR="00F45C48">
        <w:rPr>
          <w:rFonts w:ascii="Book Antiqua" w:eastAsia="Book Antiqua" w:hAnsi="Book Antiqua" w:cs="Book Antiqua"/>
          <w:color w:val="000000"/>
        </w:rPr>
        <w:t xml:space="preserve"> </w:t>
      </w:r>
      <w:r>
        <w:rPr>
          <w:rFonts w:ascii="Book Antiqua" w:eastAsia="Book Antiqua" w:hAnsi="Book Antiqua" w:cs="Book Antiqua"/>
          <w:color w:val="000000"/>
        </w:rPr>
        <w:t xml:space="preserve">transplantation improves patient survival. </w:t>
      </w:r>
      <w:r w:rsidR="006137CF">
        <w:rPr>
          <w:rFonts w:ascii="Book Antiqua" w:eastAsia="Book Antiqua" w:hAnsi="Book Antiqua" w:cs="Book Antiqua"/>
          <w:color w:val="000000"/>
        </w:rPr>
        <w:t>However,</w:t>
      </w:r>
      <w:r>
        <w:rPr>
          <w:rFonts w:ascii="Book Antiqua" w:eastAsia="Book Antiqua" w:hAnsi="Book Antiqua" w:cs="Book Antiqua"/>
          <w:color w:val="000000"/>
        </w:rPr>
        <w:t xml:space="preserve"> in </w:t>
      </w:r>
      <w:r w:rsidR="001E4FC3">
        <w:rPr>
          <w:rFonts w:ascii="Book Antiqua" w:eastAsia="Book Antiqua" w:hAnsi="Book Antiqua" w:cs="Book Antiqua"/>
          <w:color w:val="000000"/>
        </w:rPr>
        <w:t>low to middle income countries</w:t>
      </w:r>
      <w:r w:rsidR="006137CF">
        <w:rPr>
          <w:rFonts w:ascii="Book Antiqua" w:eastAsia="Book Antiqua" w:hAnsi="Book Antiqua" w:cs="Book Antiqua"/>
          <w:color w:val="000000"/>
        </w:rPr>
        <w:t>,</w:t>
      </w:r>
      <w:r w:rsidR="00F45C48">
        <w:rPr>
          <w:rFonts w:ascii="Book Antiqua" w:eastAsia="Book Antiqua" w:hAnsi="Book Antiqua" w:cs="Book Antiqua"/>
          <w:color w:val="000000"/>
        </w:rPr>
        <w:t xml:space="preserve"> </w:t>
      </w:r>
      <w:r>
        <w:rPr>
          <w:rFonts w:ascii="Book Antiqua" w:eastAsia="Book Antiqua" w:hAnsi="Book Antiqua" w:cs="Book Antiqua"/>
          <w:color w:val="000000"/>
        </w:rPr>
        <w:t xml:space="preserve">transplantation is not feasible due to </w:t>
      </w:r>
      <w:r w:rsidR="006137CF">
        <w:rPr>
          <w:rFonts w:ascii="Book Antiqua" w:eastAsia="Book Antiqua" w:hAnsi="Book Antiqua" w:cs="Book Antiqua"/>
          <w:color w:val="000000"/>
        </w:rPr>
        <w:t xml:space="preserve">the </w:t>
      </w:r>
      <w:r>
        <w:rPr>
          <w:rFonts w:ascii="Book Antiqua" w:eastAsia="Book Antiqua" w:hAnsi="Book Antiqua" w:cs="Book Antiqua"/>
          <w:color w:val="000000"/>
        </w:rPr>
        <w:t xml:space="preserve">high cost associated </w:t>
      </w:r>
      <w:r w:rsidR="006137CF">
        <w:rPr>
          <w:rFonts w:ascii="Book Antiqua" w:eastAsia="Book Antiqua" w:hAnsi="Book Antiqua" w:cs="Book Antiqua"/>
          <w:color w:val="000000"/>
        </w:rPr>
        <w:t>with</w:t>
      </w:r>
      <w:r>
        <w:rPr>
          <w:rFonts w:ascii="Book Antiqua" w:eastAsia="Book Antiqua" w:hAnsi="Book Antiqua" w:cs="Book Antiqua"/>
          <w:color w:val="000000"/>
        </w:rPr>
        <w:t xml:space="preserve"> transplant maintenance. Expenditures may be mitigated by pharmacokinetically boosting transplant medications. We present the addition of ketoconazole to post transplant regimens to boost therapeutic levels of tacrolimus, thus maintaining efficacy while reducing total daily doses. We found that therapeutic levels of tacrolimus were preserved during the study period, patients demonstrated an improvement in </w:t>
      </w:r>
      <w:r w:rsidR="000E67F9" w:rsidRPr="000E67F9">
        <w:rPr>
          <w:rFonts w:ascii="Book Antiqua" w:eastAsia="Book Antiqua" w:hAnsi="Book Antiqua" w:cs="Book Antiqua"/>
          <w:color w:val="000000"/>
        </w:rPr>
        <w:t>estimated glomerular filtration rate</w:t>
      </w:r>
      <w:r>
        <w:rPr>
          <w:rFonts w:ascii="Book Antiqua" w:eastAsia="Book Antiqua" w:hAnsi="Book Antiqua" w:cs="Book Antiqua"/>
          <w:color w:val="000000"/>
        </w:rPr>
        <w:t xml:space="preserve"> and a 21% reduction in medication cost. </w:t>
      </w:r>
    </w:p>
    <w:p w14:paraId="24DD89EF" w14:textId="77777777" w:rsidR="00FC4B6A" w:rsidRDefault="00FC4B6A">
      <w:pPr>
        <w:spacing w:line="360" w:lineRule="auto"/>
        <w:jc w:val="both"/>
      </w:pPr>
    </w:p>
    <w:p w14:paraId="62015D3B" w14:textId="77777777" w:rsidR="00FC4B6A" w:rsidRDefault="005069E0">
      <w:pPr>
        <w:spacing w:line="360" w:lineRule="auto"/>
        <w:jc w:val="both"/>
      </w:pPr>
      <w:r>
        <w:rPr>
          <w:rFonts w:ascii="Book Antiqua" w:eastAsia="Book Antiqua" w:hAnsi="Book Antiqua" w:cs="Book Antiqua"/>
          <w:b/>
          <w:caps/>
          <w:color w:val="000000"/>
          <w:u w:val="single"/>
        </w:rPr>
        <w:lastRenderedPageBreak/>
        <w:t>INTRODUCTION</w:t>
      </w:r>
    </w:p>
    <w:p w14:paraId="69627E3E" w14:textId="31CD4AC7" w:rsidR="00FC4B6A" w:rsidRDefault="005069E0">
      <w:pPr>
        <w:spacing w:line="360" w:lineRule="auto"/>
        <w:jc w:val="both"/>
      </w:pPr>
      <w:r>
        <w:rPr>
          <w:rFonts w:ascii="Book Antiqua" w:eastAsia="Book Antiqua" w:hAnsi="Book Antiqua" w:cs="Book Antiqua"/>
          <w:color w:val="000000"/>
        </w:rPr>
        <w:t xml:space="preserve">Treating pediatric patients with End-Stage Renal Disease (ESRD) in low to middle income countries is </w:t>
      </w:r>
      <w:proofErr w:type="gramStart"/>
      <w:r>
        <w:rPr>
          <w:rFonts w:ascii="Book Antiqua" w:eastAsia="Book Antiqua" w:hAnsi="Book Antiqua" w:cs="Book Antiqua"/>
          <w:color w:val="000000"/>
        </w:rPr>
        <w:t>challenging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Unfavorable socioeconomic conditions, insufficient numbers of pediatric clinics treating ESRD, limited access to medication, and clinics working with limited resources to treat patients with renal replacement therapy (RRT), all pose serious challenges for clinicians and patients with ESRD</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addition to clinical challenges, government expenditures on health in Low to Middle Income Countries (LMIC) have been shown to range from 2.6% to 9% of the national Gross Domestic Product (GDP), a small fraction of each nation's </w:t>
      </w:r>
      <w:proofErr w:type="gramStart"/>
      <w:r>
        <w:rPr>
          <w:rFonts w:ascii="Book Antiqua" w:eastAsia="Book Antiqua" w:hAnsi="Book Antiqua" w:cs="Book Antiqua"/>
          <w:color w:val="000000"/>
        </w:rPr>
        <w:t>income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These clinical barriers to care, combined with paucity in national investment in RRT, result in a significant number of patients left without healthcare services treating RRT. Worldwide data show that over 2 million people are kept alive by RRT, the majority of whom are treated in only five countries (United States, Japan, Germany, Brazil, and Italy) constituting only 12% of </w:t>
      </w:r>
      <w:r w:rsidR="00F93EC4">
        <w:rPr>
          <w:rFonts w:ascii="Book Antiqua" w:eastAsia="Book Antiqua" w:hAnsi="Book Antiqua" w:cs="Book Antiqua"/>
          <w:color w:val="000000"/>
        </w:rPr>
        <w:t xml:space="preserve">the </w:t>
      </w:r>
      <w:r>
        <w:rPr>
          <w:rFonts w:ascii="Book Antiqua" w:eastAsia="Book Antiqua" w:hAnsi="Book Antiqua" w:cs="Book Antiqua"/>
          <w:color w:val="000000"/>
        </w:rPr>
        <w:t>world´s population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contrast, only 20% are treated in about 100 LMIC that make up over 50% of the world's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For every 1 million population with ESRD, less than 100 are treated in LMIC coun</w:t>
      </w:r>
      <w:r w:rsidR="0056408A">
        <w:rPr>
          <w:rFonts w:ascii="Book Antiqua" w:eastAsia="Book Antiqua" w:hAnsi="Book Antiqua" w:cs="Book Antiqua"/>
          <w:color w:val="000000"/>
        </w:rPr>
        <w:t>tries. In contrast, more than 1</w:t>
      </w:r>
      <w:r>
        <w:rPr>
          <w:rFonts w:ascii="Book Antiqua" w:eastAsia="Book Antiqua" w:hAnsi="Book Antiqua" w:cs="Book Antiqua"/>
          <w:color w:val="000000"/>
        </w:rPr>
        <w:t xml:space="preserve">000 per million population are treated in high income countries; the prevalence of RRT is higher in countries with higher </w:t>
      </w:r>
      <w:proofErr w:type="gramStart"/>
      <w:r>
        <w:rPr>
          <w:rFonts w:ascii="Book Antiqua" w:eastAsia="Book Antiqua" w:hAnsi="Book Antiqua" w:cs="Book Antiqua"/>
          <w:color w:val="000000"/>
        </w:rPr>
        <w:t>incomes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This depicts a clear and direct association between GDP and availability of RRT.  </w:t>
      </w:r>
    </w:p>
    <w:p w14:paraId="0291FA40" w14:textId="0737C9D2" w:rsidR="00FC4B6A" w:rsidRDefault="005069E0">
      <w:pPr>
        <w:spacing w:line="360" w:lineRule="auto"/>
        <w:ind w:firstLineChars="100" w:firstLine="240"/>
        <w:jc w:val="both"/>
      </w:pPr>
      <w:r>
        <w:rPr>
          <w:rFonts w:ascii="Book Antiqua" w:eastAsia="Book Antiqua" w:hAnsi="Book Antiqua" w:cs="Book Antiqua"/>
          <w:color w:val="000000"/>
        </w:rPr>
        <w:t xml:space="preserve">The population of Guatemala </w:t>
      </w:r>
      <w:r>
        <w:rPr>
          <w:rFonts w:ascii="Book Antiqua" w:eastAsia="Book Antiqua" w:hAnsi="Book Antiqua" w:cs="Book Antiqua"/>
          <w:color w:val="000000"/>
          <w:shd w:val="clear" w:color="auto" w:fill="FFFFFF"/>
        </w:rPr>
        <w:t xml:space="preserve">exceeds 16 million inhabitants, 61% of which are under the age of twenty </w:t>
      </w:r>
      <w:proofErr w:type="gramStart"/>
      <w:r>
        <w:rPr>
          <w:rFonts w:ascii="Book Antiqua" w:eastAsia="Book Antiqua" w:hAnsi="Book Antiqua" w:cs="Book Antiqua"/>
          <w:color w:val="000000"/>
          <w:shd w:val="clear" w:color="auto" w:fill="FFFFFF"/>
        </w:rPr>
        <w:t>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hd w:val="clear" w:color="auto" w:fill="FFFFFF"/>
        </w:rPr>
        <w:t>. ESRD incidence in children in Guatemala is 4.6 per million age-related population (</w:t>
      </w:r>
      <w:proofErr w:type="spellStart"/>
      <w:r>
        <w:rPr>
          <w:rFonts w:ascii="Book Antiqua" w:eastAsia="Book Antiqua" w:hAnsi="Book Antiqua" w:cs="Book Antiqua"/>
          <w:color w:val="000000"/>
          <w:shd w:val="clear" w:color="auto" w:fill="FFFFFF"/>
        </w:rPr>
        <w:t>pmarp</w:t>
      </w:r>
      <w:proofErr w:type="spellEnd"/>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As in other LMIC, clinics struggle to obtain the necessary resources to provide RRT </w:t>
      </w:r>
      <w:r w:rsidR="00F93EC4">
        <w:rPr>
          <w:rFonts w:ascii="Book Antiqua" w:eastAsia="Book Antiqua" w:hAnsi="Book Antiqua" w:cs="Book Antiqua"/>
          <w:color w:val="000000"/>
        </w:rPr>
        <w:t>for</w:t>
      </w:r>
      <w:r>
        <w:rPr>
          <w:rFonts w:ascii="Book Antiqua" w:eastAsia="Book Antiqua" w:hAnsi="Book Antiqua" w:cs="Book Antiqua"/>
          <w:color w:val="000000"/>
        </w:rPr>
        <w:t xml:space="preserve"> pediatric patients. The Foundation for Children with Kidney Diseases (FUNDANIER) was founded in 2007 in agreement with the Ministry of Health through Roosevelt Hospital, and created the first program providing free access to comprehensive RRT</w:t>
      </w:r>
      <w:r>
        <w:rPr>
          <w:rFonts w:ascii="Book Antiqua" w:eastAsia="Book Antiqua" w:hAnsi="Book Antiqua" w:cs="Book Antiqua"/>
          <w:color w:val="000000"/>
          <w:shd w:val="clear" w:color="auto" w:fill="FFFFFF"/>
        </w:rPr>
        <w:t xml:space="preserve"> including transplantation, and immunosuppressi</w:t>
      </w:r>
      <w:r w:rsidR="00F93EC4">
        <w:rPr>
          <w:rFonts w:ascii="Book Antiqua" w:eastAsia="Book Antiqua" w:hAnsi="Book Antiqua" w:cs="Book Antiqua"/>
          <w:color w:val="000000"/>
          <w:shd w:val="clear" w:color="auto" w:fill="FFFFFF"/>
        </w:rPr>
        <w:t>ve</w:t>
      </w:r>
      <w:r>
        <w:rPr>
          <w:rFonts w:ascii="Book Antiqua" w:eastAsia="Book Antiqua" w:hAnsi="Book Antiqua" w:cs="Book Antiqua"/>
          <w:color w:val="000000"/>
          <w:shd w:val="clear" w:color="auto" w:fill="FFFFFF"/>
        </w:rPr>
        <w:t xml:space="preserve"> treatment, to Guatemalan </w:t>
      </w:r>
      <w:proofErr w:type="gramStart"/>
      <w:r w:rsidR="00F93EC4">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hildren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In our program we previously reported a patient population of 432 patients with </w:t>
      </w:r>
      <w:r w:rsidR="00532991">
        <w:rPr>
          <w:rFonts w:ascii="Book Antiqua" w:eastAsia="Book Antiqua" w:hAnsi="Book Antiqua" w:cs="Book Antiqua"/>
          <w:color w:val="000000"/>
        </w:rPr>
        <w:t>chronic kidney disease</w:t>
      </w:r>
      <w:r>
        <w:rPr>
          <w:rFonts w:ascii="Book Antiqua" w:eastAsia="Book Antiqua" w:hAnsi="Book Antiqua" w:cs="Book Antiqua"/>
          <w:color w:val="000000"/>
        </w:rPr>
        <w:t xml:space="preserve"> (CKD) stage 2 or more. Of these, </w:t>
      </w:r>
      <w:r>
        <w:rPr>
          <w:rFonts w:ascii="Book Antiqua" w:eastAsia="Book Antiqua" w:hAnsi="Book Antiqua" w:cs="Book Antiqua"/>
          <w:color w:val="000000"/>
        </w:rPr>
        <w:lastRenderedPageBreak/>
        <w:t xml:space="preserve">193 were stage 5 CKD of whom 40% received peritoneal dialysis, 26.4% received hemodialysis, 12.4% received a transplant, and 17.6 % were managed without </w:t>
      </w:r>
      <w:proofErr w:type="gramStart"/>
      <w:r>
        <w:rPr>
          <w:rFonts w:ascii="Book Antiqua" w:eastAsia="Book Antiqua" w:hAnsi="Book Antiqua" w:cs="Book Antiqua"/>
          <w:color w:val="000000"/>
        </w:rPr>
        <w:t>RRT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353A280A" w14:textId="2FBF5DC9" w:rsidR="00FC4B6A" w:rsidRDefault="005069E0">
      <w:pPr>
        <w:spacing w:line="360" w:lineRule="auto"/>
        <w:ind w:firstLineChars="100" w:firstLine="240"/>
        <w:jc w:val="both"/>
      </w:pPr>
      <w:r>
        <w:rPr>
          <w:rFonts w:ascii="Book Antiqua" w:eastAsia="Book Antiqua" w:hAnsi="Book Antiqua" w:cs="Book Antiqua"/>
          <w:color w:val="000000"/>
        </w:rPr>
        <w:t xml:space="preserve">Transplant clinics in developing countries other than Guatemala have similar goals and objectives in expanding successful renal transplant care at the lowest possible cost, and have reported </w:t>
      </w:r>
      <w:r w:rsidR="00F93EC4">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combined use of ketoconazole with low-dose tacrolimus to increase tacrolimus bioavailability through metabolic inhibition </w:t>
      </w:r>
      <w:r w:rsidRPr="00E91105">
        <w:rPr>
          <w:rFonts w:ascii="Book Antiqua" w:eastAsia="Book Antiqua" w:hAnsi="Book Antiqua" w:cs="Book Antiqua"/>
          <w:i/>
          <w:color w:val="000000"/>
          <w:shd w:val="clear" w:color="auto" w:fill="FFFFFF"/>
        </w:rPr>
        <w:t>via</w:t>
      </w:r>
      <w:r>
        <w:rPr>
          <w:rFonts w:ascii="Book Antiqua" w:eastAsia="Book Antiqua" w:hAnsi="Book Antiqua" w:cs="Book Antiqua"/>
          <w:color w:val="000000"/>
          <w:shd w:val="clear" w:color="auto" w:fill="FFFFFF"/>
        </w:rPr>
        <w:t xml:space="preserve"> P450 3A4</w:t>
      </w:r>
      <w:r>
        <w:rPr>
          <w:rFonts w:ascii="Book Antiqua" w:eastAsia="Book Antiqua" w:hAnsi="Book Antiqua" w:cs="Book Antiqua"/>
          <w:color w:val="000000"/>
          <w:szCs w:val="30"/>
          <w:vertAlign w:val="superscript"/>
        </w:rPr>
        <w:t>[11-17]</w:t>
      </w:r>
      <w:r>
        <w:rPr>
          <w:rFonts w:ascii="Book Antiqua" w:eastAsia="Book Antiqua" w:hAnsi="Book Antiqua" w:cs="Book Antiqua"/>
          <w:color w:val="000000"/>
        </w:rPr>
        <w:t>. Small short-term studies had previously supported such practice in Egypt, México, U</w:t>
      </w:r>
      <w:r w:rsidR="00532991">
        <w:rPr>
          <w:rFonts w:ascii="Book Antiqua" w:eastAsia="Book Antiqua" w:hAnsi="Book Antiqua" w:cs="Book Antiqua"/>
          <w:color w:val="000000"/>
        </w:rPr>
        <w:t>nited States</w:t>
      </w:r>
      <w:r w:rsidR="00E0303E">
        <w:rPr>
          <w:rFonts w:ascii="Book Antiqua" w:eastAsia="Book Antiqua" w:hAnsi="Book Antiqua" w:cs="Book Antiqua"/>
          <w:color w:val="000000"/>
        </w:rPr>
        <w:t xml:space="preserve"> </w:t>
      </w:r>
      <w:r>
        <w:rPr>
          <w:rFonts w:ascii="Book Antiqua" w:eastAsia="Book Antiqua" w:hAnsi="Book Antiqua" w:cs="Book Antiqua"/>
          <w:color w:val="000000"/>
        </w:rPr>
        <w:t xml:space="preserve">and India resulting in an annual cost savings of up to 60% in the immunosuppressive protocol while maintaining safety and efficacy of therapy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This combination has yet to be used in Central America where outcomes using the combination, especially in children, are still </w:t>
      </w:r>
      <w:proofErr w:type="gramStart"/>
      <w:r>
        <w:rPr>
          <w:rFonts w:ascii="Book Antiqua" w:eastAsia="Book Antiqua" w:hAnsi="Book Antiqua" w:cs="Book Antiqua"/>
          <w:color w:val="000000"/>
          <w:shd w:val="clear" w:color="auto" w:fill="FFFFFF"/>
        </w:rPr>
        <w:t>unknown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11,12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hd w:val="clear" w:color="auto" w:fill="FFFFFF"/>
        </w:rPr>
        <w:t>.</w:t>
      </w:r>
    </w:p>
    <w:p w14:paraId="131EE9B8" w14:textId="0D7B0D16"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The objective of this study was to identify the changes in tacrolimus dose and plasma concentration associated </w:t>
      </w:r>
      <w:r w:rsidR="00F93EC4">
        <w:rPr>
          <w:rFonts w:ascii="Book Antiqua" w:eastAsia="Book Antiqua" w:hAnsi="Book Antiqua" w:cs="Book Antiqua"/>
          <w:color w:val="000000"/>
          <w:shd w:val="clear" w:color="auto" w:fill="FFFFFF"/>
        </w:rPr>
        <w:t xml:space="preserve">with </w:t>
      </w:r>
      <w:r>
        <w:rPr>
          <w:rFonts w:ascii="Book Antiqua" w:eastAsia="Book Antiqua" w:hAnsi="Book Antiqua" w:cs="Book Antiqua"/>
          <w:color w:val="000000"/>
          <w:shd w:val="clear" w:color="auto" w:fill="FFFFFF"/>
        </w:rPr>
        <w:t xml:space="preserve">the use of ketoconazole as a pharmacokinetic booster. We explore the safety, efficacy and the associated cost reduction of this combination </w:t>
      </w:r>
      <w:r w:rsidR="00F93EC4">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 xml:space="preserve">a retrospective cohort of children with kidney transplant in </w:t>
      </w:r>
      <w:r w:rsidR="00F93EC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FUNDANIER.</w:t>
      </w:r>
    </w:p>
    <w:p w14:paraId="23F8F968" w14:textId="77777777" w:rsidR="00FC4B6A" w:rsidRDefault="00FC4B6A">
      <w:pPr>
        <w:spacing w:line="360" w:lineRule="auto"/>
        <w:jc w:val="both"/>
      </w:pPr>
    </w:p>
    <w:p w14:paraId="2184E226" w14:textId="77777777" w:rsidR="00FC4B6A" w:rsidRDefault="005069E0">
      <w:pPr>
        <w:spacing w:line="360" w:lineRule="auto"/>
        <w:jc w:val="both"/>
      </w:pPr>
      <w:r>
        <w:rPr>
          <w:rFonts w:ascii="Book Antiqua" w:eastAsia="Book Antiqua" w:hAnsi="Book Antiqua" w:cs="Book Antiqua"/>
          <w:b/>
          <w:caps/>
          <w:color w:val="000000"/>
          <w:u w:val="single"/>
        </w:rPr>
        <w:t>MATERIALS AND METHODS</w:t>
      </w:r>
    </w:p>
    <w:p w14:paraId="01E49DB5" w14:textId="60959E06" w:rsidR="00FC4B6A" w:rsidRDefault="005069E0">
      <w:pPr>
        <w:spacing w:line="360" w:lineRule="auto"/>
        <w:jc w:val="both"/>
      </w:pPr>
      <w:r>
        <w:rPr>
          <w:rFonts w:ascii="Book Antiqua" w:eastAsia="Book Antiqua" w:hAnsi="Book Antiqua" w:cs="Book Antiqua"/>
          <w:color w:val="000000"/>
        </w:rPr>
        <w:t xml:space="preserve">After approval by </w:t>
      </w:r>
      <w:r>
        <w:rPr>
          <w:rFonts w:ascii="Book Antiqua" w:eastAsia="Book Antiqua" w:hAnsi="Book Antiqua" w:cs="Book Antiqua"/>
          <w:color w:val="000000"/>
          <w:shd w:val="clear" w:color="auto" w:fill="FFFFFF"/>
        </w:rPr>
        <w:t>the Research Ethics Committee at the Universidad del Valle de Guatemala</w:t>
      </w:r>
      <w:r>
        <w:rPr>
          <w:rFonts w:ascii="Book Antiqua" w:eastAsia="Book Antiqua" w:hAnsi="Book Antiqua" w:cs="Book Antiqua"/>
          <w:color w:val="000000"/>
        </w:rPr>
        <w:t xml:space="preserve"> (QF-010-febrero2015), we performed a retrospective evaluation of all </w:t>
      </w:r>
      <w:r>
        <w:rPr>
          <w:rFonts w:ascii="Book Antiqua" w:eastAsia="Book Antiqua" w:hAnsi="Book Antiqua" w:cs="Book Antiqua"/>
          <w:color w:val="000000"/>
          <w:shd w:val="clear" w:color="auto" w:fill="FFFFFF"/>
        </w:rPr>
        <w:t xml:space="preserve">pediatric renal recipients who received concomitant ketoconazole </w:t>
      </w:r>
      <w:r w:rsidR="00F93EC4">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tacrolimus-based immunosuppression in the FUNDANIER, a tertiary care renal transplant center in Guatemala.</w:t>
      </w:r>
      <w:r>
        <w:rPr>
          <w:rFonts w:ascii="Book Antiqua" w:eastAsia="Book Antiqua" w:hAnsi="Book Antiqua" w:cs="Book Antiqua"/>
          <w:color w:val="000000"/>
        </w:rPr>
        <w:t xml:space="preserve"> FUNDANIER carries out approximately 8-10 pediatric renal transplants per year in a population where patients are at, or below the national poverty line. Maintenance immunosuppressive treatment costs USD 725 per month for an average patient weighing 20</w:t>
      </w:r>
      <w:r w:rsidR="0056408A">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kg (this cost represents the average of protocol A and protocol B </w:t>
      </w:r>
      <w:r w:rsidRPr="00282C28">
        <w:rPr>
          <w:rFonts w:ascii="Book Antiqua" w:eastAsia="Book Antiqua" w:hAnsi="Book Antiqua" w:cs="Book Antiqua"/>
          <w:color w:val="000000"/>
        </w:rPr>
        <w:t>for a 20 kg-</w:t>
      </w:r>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w:t>
      </w:r>
    </w:p>
    <w:p w14:paraId="3A82CA53" w14:textId="77777777" w:rsidR="00FC4B6A" w:rsidRDefault="00FC4B6A">
      <w:pPr>
        <w:spacing w:line="360" w:lineRule="auto"/>
        <w:jc w:val="both"/>
      </w:pPr>
    </w:p>
    <w:p w14:paraId="46989404" w14:textId="66DC41BD" w:rsidR="00FC4B6A" w:rsidRDefault="005069E0">
      <w:pPr>
        <w:spacing w:line="360" w:lineRule="auto"/>
        <w:ind w:firstLineChars="100" w:firstLine="240"/>
        <w:jc w:val="both"/>
      </w:pPr>
      <w:r>
        <w:rPr>
          <w:rFonts w:ascii="Book Antiqua" w:eastAsia="Book Antiqua" w:hAnsi="Book Antiqua" w:cs="Book Antiqua"/>
          <w:color w:val="000000"/>
        </w:rPr>
        <w:t xml:space="preserve">At FUNDANIER, patients do not have to pay for transplant services and medications, </w:t>
      </w:r>
      <w:r w:rsidR="00F93EC4">
        <w:rPr>
          <w:rFonts w:ascii="Book Antiqua" w:eastAsia="Book Antiqua" w:hAnsi="Book Antiqua" w:cs="Book Antiqua"/>
          <w:color w:val="000000"/>
        </w:rPr>
        <w:t>as</w:t>
      </w:r>
      <w:r>
        <w:rPr>
          <w:rFonts w:ascii="Book Antiqua" w:eastAsia="Book Antiqua" w:hAnsi="Book Antiqua" w:cs="Book Antiqua"/>
          <w:color w:val="000000"/>
        </w:rPr>
        <w:t xml:space="preserve"> they are provided by the clinic. In order to achieve optimal cost benefit outcomes </w:t>
      </w:r>
      <w:r>
        <w:rPr>
          <w:rFonts w:ascii="Book Antiqua" w:eastAsia="Book Antiqua" w:hAnsi="Book Antiqua" w:cs="Book Antiqua"/>
          <w:color w:val="000000"/>
        </w:rPr>
        <w:lastRenderedPageBreak/>
        <w:t xml:space="preserve">while maximizing patient coverage, immunosuppressive protocols are designed to treat patients at </w:t>
      </w:r>
      <w:r w:rsidR="00F93EC4">
        <w:rPr>
          <w:rFonts w:ascii="Book Antiqua" w:eastAsia="Book Antiqua" w:hAnsi="Book Antiqua" w:cs="Book Antiqua"/>
          <w:color w:val="000000"/>
        </w:rPr>
        <w:t xml:space="preserve">the </w:t>
      </w:r>
      <w:r>
        <w:rPr>
          <w:rFonts w:ascii="Book Antiqua" w:eastAsia="Book Antiqua" w:hAnsi="Book Antiqua" w:cs="Book Antiqua"/>
          <w:color w:val="000000"/>
        </w:rPr>
        <w:t xml:space="preserve">lowest possible </w:t>
      </w:r>
      <w:proofErr w:type="gramStart"/>
      <w:r>
        <w:rPr>
          <w:rFonts w:ascii="Book Antiqua" w:eastAsia="Book Antiqua" w:hAnsi="Book Antiqua" w:cs="Book Antiqua"/>
          <w:color w:val="000000"/>
        </w:rPr>
        <w:t>price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22-27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example, initial post-transplant protocol calls for use of tacrolimus, mycophenolate and prednisone (protocol A) after completing one year on maintenance therapy at FUNDANIER, mycophenolate is replaced by azathioprine, a more affordable immunosuppressive medication (protocol B).  With this intervention, FUNDANIER has improved the access to maintenance immunosuppressive therapy, reducing </w:t>
      </w:r>
      <w:r w:rsidR="00F93EC4">
        <w:rPr>
          <w:rFonts w:ascii="Book Antiqua" w:eastAsia="Book Antiqua" w:hAnsi="Book Antiqua" w:cs="Book Antiqua"/>
          <w:color w:val="000000"/>
        </w:rPr>
        <w:t xml:space="preserve">the </w:t>
      </w:r>
      <w:r>
        <w:rPr>
          <w:rFonts w:ascii="Book Antiqua" w:eastAsia="Book Antiqua" w:hAnsi="Book Antiqua" w:cs="Book Antiqua"/>
          <w:color w:val="000000"/>
        </w:rPr>
        <w:t xml:space="preserve">cost by 40%. For example, replacing protocol A with protocol B in a patient who weighs 20 kg results in a cost reduction from USD 904 per month to USD 544 per </w:t>
      </w:r>
      <w:proofErr w:type="gramStart"/>
      <w:r>
        <w:rPr>
          <w:rFonts w:ascii="Book Antiqua" w:eastAsia="Book Antiqua" w:hAnsi="Book Antiqua" w:cs="Book Antiqua"/>
          <w:color w:val="000000"/>
        </w:rPr>
        <w:t>month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 These types of changes to immunosuppressive regimens have been used at FUNDANIER to successfully overcome budget constraints and more effectively provide medication to patients.</w:t>
      </w:r>
    </w:p>
    <w:p w14:paraId="66734155" w14:textId="2AD2EFA4"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We carried out a retrospective observational study, with a pre-post single arm </w:t>
      </w:r>
      <w:proofErr w:type="gramStart"/>
      <w:r>
        <w:rPr>
          <w:rFonts w:ascii="Book Antiqua" w:eastAsia="Book Antiqua" w:hAnsi="Book Antiqua" w:cs="Book Antiqua"/>
          <w:color w:val="000000"/>
          <w:shd w:val="clear" w:color="auto" w:fill="FFFFFF"/>
        </w:rPr>
        <w:t>design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shd w:val="clear" w:color="auto" w:fill="FFFFFF"/>
          <w:vertAlign w:val="superscript"/>
        </w:rPr>
        <w:t>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xml:space="preserve"> collecting information from 2011 to 2015 from </w:t>
      </w:r>
      <w:r w:rsidR="008F648D">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cohort of patient records stored in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FUNDANIER database before and after the addition of ketoconazole to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usual immunosuppressive protocol. Inclusion criteria for chart review were: age younger than 18 years old, at least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in the program post-transplantation currently on the tacrolimus protocol, and switched to ketoconazole/tacrolimus combination during their outpatient transplant clinic attendance. Charts were reviewed to identify the point at which ketoconazole was added to the post-transplant treatment. A total of six documented visits were reviewed for each patient chart during the study: 3 visits prior to ketoconazole initiation and 3 visits after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combination was initiated. An average of 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between each visit w</w:t>
      </w:r>
      <w:r w:rsidR="008F648D">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documented.</w:t>
      </w:r>
    </w:p>
    <w:p w14:paraId="6E9E3896" w14:textId="2C98CCB9"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Based on the pediatric nephrology service protocol, all patients in the chart review initially received the following maintenance immunosuppressive treatment (“protocol A”): tacrolimus (0.1-0.</w:t>
      </w:r>
      <w:r w:rsidR="001D65A3">
        <w:rPr>
          <w:rFonts w:ascii="Book Antiqua" w:eastAsia="Book Antiqua" w:hAnsi="Book Antiqua" w:cs="Book Antiqua"/>
          <w:color w:val="000000"/>
          <w:shd w:val="clear" w:color="auto" w:fill="FFFFFF"/>
        </w:rPr>
        <w:t>3 mg/kg/d</w:t>
      </w:r>
      <w:r>
        <w:rPr>
          <w:rFonts w:ascii="Book Antiqua" w:eastAsia="Book Antiqua" w:hAnsi="Book Antiqua" w:cs="Book Antiqua"/>
          <w:color w:val="000000"/>
          <w:shd w:val="clear" w:color="auto" w:fill="FFFFFF"/>
        </w:rPr>
        <w:t>), mycophenolate (1200 mg/m</w:t>
      </w:r>
      <w:r>
        <w:rPr>
          <w:rFonts w:ascii="Book Antiqua" w:eastAsia="Book Antiqua" w:hAnsi="Book Antiqua" w:cs="Book Antiqua"/>
          <w:color w:val="000000"/>
          <w:szCs w:val="30"/>
          <w:shd w:val="clear" w:color="auto" w:fill="FFFFFF"/>
          <w:vertAlign w:val="superscript"/>
        </w:rPr>
        <w:t>2</w:t>
      </w:r>
      <w:r w:rsidR="001D65A3">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and prednisone</w:t>
      </w:r>
      <w:r w:rsidR="00896C73">
        <w:rPr>
          <w:rFonts w:ascii="Book Antiqua" w:eastAsia="Book Antiqua" w:hAnsi="Book Antiqua" w:cs="Book Antiqua"/>
          <w:color w:val="000000"/>
          <w:shd w:val="clear" w:color="auto" w:fill="FFFFFF"/>
        </w:rPr>
        <w:t xml:space="preserve"> (5 mg/d</w:t>
      </w:r>
      <w:r>
        <w:rPr>
          <w:rFonts w:ascii="Book Antiqua" w:eastAsia="Book Antiqua" w:hAnsi="Book Antiqua" w:cs="Book Antiqua"/>
          <w:color w:val="000000"/>
          <w:shd w:val="clear" w:color="auto" w:fill="FFFFFF"/>
        </w:rPr>
        <w:t xml:space="preserve">). Ketoconazole suspension (100 mg/5 mL) </w:t>
      </w:r>
      <w:r w:rsidR="008F648D">
        <w:rPr>
          <w:rFonts w:ascii="Book Antiqua" w:eastAsia="Book Antiqua" w:hAnsi="Book Antiqua" w:cs="Book Antiqua"/>
          <w:color w:val="000000"/>
          <w:shd w:val="clear" w:color="auto" w:fill="FFFFFF"/>
        </w:rPr>
        <w:t>at</w:t>
      </w:r>
      <w:r>
        <w:rPr>
          <w:rFonts w:ascii="Book Antiqua" w:eastAsia="Book Antiqua" w:hAnsi="Book Antiqua" w:cs="Book Antiqua"/>
          <w:color w:val="000000"/>
          <w:shd w:val="clear" w:color="auto" w:fill="FFFFFF"/>
        </w:rPr>
        <w:t xml:space="preserve"> a dose of 1.5 </w:t>
      </w:r>
      <w:r w:rsidR="001D65A3">
        <w:rPr>
          <w:rFonts w:ascii="Book Antiqua" w:eastAsia="Book Antiqua" w:hAnsi="Book Antiqua" w:cs="Book Antiqua"/>
          <w:color w:val="000000"/>
          <w:shd w:val="clear" w:color="auto" w:fill="FFFFFF"/>
        </w:rPr>
        <w:t>mg/kg/d</w:t>
      </w:r>
      <w:r>
        <w:rPr>
          <w:rFonts w:ascii="Book Antiqua" w:eastAsia="Book Antiqua" w:hAnsi="Book Antiqua" w:cs="Book Antiqua"/>
          <w:color w:val="000000"/>
          <w:shd w:val="clear" w:color="auto" w:fill="FFFFFF"/>
        </w:rPr>
        <w:t xml:space="preserve"> in one dose per 24 h was added to the immunosuppressive treatment (</w:t>
      </w:r>
      <w:proofErr w:type="spellStart"/>
      <w:r>
        <w:rPr>
          <w:rFonts w:ascii="Book Antiqua" w:eastAsia="Book Antiqua" w:hAnsi="Book Antiqua" w:cs="Book Antiqua"/>
          <w:color w:val="000000"/>
          <w:shd w:val="clear" w:color="auto" w:fill="FFFFFF"/>
        </w:rPr>
        <w:t>Ketospor</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Qualipharm</w:t>
      </w:r>
      <w:proofErr w:type="spellEnd"/>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during the period of 2011-2015. Patients were instructed not to take macrolides or grapefruit at the time of the study.</w:t>
      </w:r>
    </w:p>
    <w:p w14:paraId="46EDC31C" w14:textId="135A5BD1"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Outcome measures obtained from patient charts were: (1) Tacrolimus dose/kg; (2) Serum tacrolimus levels (taken at hospital laboratory by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electrochemiluminescence (ECL) method and documented in charts); (3) </w:t>
      </w:r>
      <w:r w:rsidR="00282C28" w:rsidRPr="00282C28">
        <w:rPr>
          <w:rFonts w:ascii="Book Antiqua" w:eastAsia="Book Antiqua" w:hAnsi="Book Antiqua" w:cs="Book Antiqua"/>
          <w:color w:val="000000"/>
          <w:shd w:val="clear" w:color="auto" w:fill="FFFFFF"/>
        </w:rPr>
        <w:t xml:space="preserve">Estimated glomerular filtration rate </w:t>
      </w:r>
      <w:r w:rsidR="00282C2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eGFR</w:t>
      </w:r>
      <w:r w:rsidR="00282C28">
        <w:rPr>
          <w:rFonts w:ascii="Book Antiqua" w:eastAsia="Book Antiqua" w:hAnsi="Book Antiqua" w:cs="Book Antiqua"/>
          <w:color w:val="000000"/>
          <w:shd w:val="clear" w:color="auto" w:fill="FFFFFF"/>
        </w:rPr>
        <w:t>)</w:t>
      </w:r>
      <w:r w:rsidR="00594ADB">
        <w:rPr>
          <w:rFonts w:ascii="Book Antiqua" w:eastAsia="Book Antiqua" w:hAnsi="Book Antiqua" w:cs="Book Antiqua"/>
          <w:color w:val="000000"/>
          <w:shd w:val="clear" w:color="auto" w:fill="FFFFFF"/>
        </w:rPr>
        <w:t xml:space="preserve"> was</w:t>
      </w:r>
      <w:r w:rsidR="001D65A3">
        <w:rPr>
          <w:rFonts w:ascii="Book Antiqua" w:eastAsia="Book Antiqua" w:hAnsi="Book Antiqua" w:cs="Book Antiqua"/>
          <w:color w:val="000000"/>
          <w:shd w:val="clear" w:color="auto" w:fill="FFFFFF"/>
        </w:rPr>
        <w:t xml:space="preserve"> estimated by </w:t>
      </w:r>
      <w:r w:rsidR="008F648D">
        <w:rPr>
          <w:rFonts w:ascii="Book Antiqua" w:eastAsia="Book Antiqua" w:hAnsi="Book Antiqua" w:cs="Book Antiqua"/>
          <w:color w:val="000000"/>
          <w:shd w:val="clear" w:color="auto" w:fill="FFFFFF"/>
        </w:rPr>
        <w:t xml:space="preserve">the </w:t>
      </w:r>
      <w:r w:rsidR="001D65A3">
        <w:rPr>
          <w:rFonts w:ascii="Book Antiqua" w:eastAsia="Book Antiqua" w:hAnsi="Book Antiqua" w:cs="Book Antiqua"/>
          <w:color w:val="000000"/>
          <w:shd w:val="clear" w:color="auto" w:fill="FFFFFF"/>
        </w:rPr>
        <w:t>Schwartz formula</w:t>
      </w:r>
      <w:r w:rsidR="001D65A3" w:rsidRPr="001D65A3">
        <w:rPr>
          <w:rFonts w:ascii="Book Antiqua" w:eastAsia="Book Antiqua" w:hAnsi="Book Antiqua" w:cs="Book Antiqua"/>
          <w:color w:val="000000"/>
          <w:shd w:val="clear" w:color="auto" w:fill="FFFFFF"/>
          <w:vertAlign w:val="superscript"/>
        </w:rPr>
        <w:t>[</w:t>
      </w:r>
      <w:r w:rsidRPr="001D65A3">
        <w:rPr>
          <w:rFonts w:ascii="Book Antiqua" w:eastAsia="Book Antiqua" w:hAnsi="Book Antiqua" w:cs="Book Antiqua"/>
          <w:color w:val="000000"/>
          <w:szCs w:val="30"/>
          <w:shd w:val="clear" w:color="auto" w:fill="FFFFFF"/>
          <w:vertAlign w:val="superscript"/>
        </w:rPr>
        <w:t>22</w:t>
      </w:r>
      <w:r w:rsidR="001D65A3" w:rsidRPr="001D65A3">
        <w:rPr>
          <w:rFonts w:ascii="Book Antiqua" w:eastAsia="Book Antiqua" w:hAnsi="Book Antiqua" w:cs="Book Antiqua"/>
          <w:color w:val="000000"/>
          <w:szCs w:val="30"/>
          <w:shd w:val="clear" w:color="auto" w:fill="FFFFFF"/>
          <w:vertAlign w:val="superscript"/>
        </w:rPr>
        <w:t>]</w:t>
      </w:r>
      <w:r w:rsidRPr="001D65A3">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shd w:val="clear" w:color="auto" w:fill="FFFFFF"/>
        </w:rPr>
        <w:t>th</w:t>
      </w:r>
      <w:r w:rsidR="008F648D">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ough creatinine measure</w:t>
      </w:r>
      <w:r w:rsidR="008F648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by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Jaffe method; (4) Graft rejection, defined by the transplant team at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hospital as biopsy findings or a 50% elevation in serum creatinine without apparent cause, and with a favorable response to treatment with steroids; (5) Ketoconazole hepatotoxicity was defined as an </w:t>
      </w:r>
      <w:r>
        <w:rPr>
          <w:rFonts w:ascii="Book Antiqua" w:eastAsia="Book Antiqua" w:hAnsi="Book Antiqua" w:cs="Book Antiqua"/>
          <w:color w:val="000000"/>
        </w:rPr>
        <w:t>increase in liver enzymes greater than twice the normal value compared to the reference laboratory</w:t>
      </w:r>
      <w:r>
        <w:rPr>
          <w:rFonts w:ascii="Book Antiqua" w:eastAsia="Book Antiqua" w:hAnsi="Book Antiqua" w:cs="Book Antiqua"/>
          <w:color w:val="000000"/>
          <w:shd w:val="clear" w:color="auto" w:fill="FFFFFF"/>
        </w:rPr>
        <w:t xml:space="preserve"> (transaminases)</w:t>
      </w:r>
      <w:r w:rsidR="001E793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(6) Cost difference of immunosuppressive treatment.</w:t>
      </w:r>
    </w:p>
    <w:p w14:paraId="2A62E350" w14:textId="77777777" w:rsidR="00FC4B6A" w:rsidRDefault="00FC4B6A">
      <w:pPr>
        <w:spacing w:line="360" w:lineRule="auto"/>
        <w:jc w:val="both"/>
      </w:pPr>
    </w:p>
    <w:p w14:paraId="2EB73B3F" w14:textId="77777777" w:rsidR="00FC4B6A" w:rsidRDefault="005069E0">
      <w:pPr>
        <w:spacing w:line="360" w:lineRule="auto"/>
        <w:jc w:val="both"/>
        <w:rPr>
          <w:i/>
          <w:iCs/>
        </w:rPr>
      </w:pPr>
      <w:r>
        <w:rPr>
          <w:rFonts w:ascii="Book Antiqua" w:eastAsia="Book Antiqua" w:hAnsi="Book Antiqua" w:cs="Book Antiqua"/>
          <w:b/>
          <w:bCs/>
          <w:i/>
          <w:iCs/>
          <w:color w:val="000000"/>
          <w:shd w:val="clear" w:color="auto" w:fill="FFFFFF"/>
        </w:rPr>
        <w:t>Data analysis</w:t>
      </w:r>
    </w:p>
    <w:p w14:paraId="4668A8CB" w14:textId="4FAC0389" w:rsidR="00FC4B6A" w:rsidRDefault="005069E0">
      <w:pPr>
        <w:spacing w:line="360" w:lineRule="auto"/>
        <w:jc w:val="both"/>
      </w:pPr>
      <w:r>
        <w:rPr>
          <w:rFonts w:ascii="Book Antiqua" w:eastAsia="Book Antiqua" w:hAnsi="Book Antiqua" w:cs="Book Antiqua"/>
          <w:color w:val="000000"/>
          <w:shd w:val="clear" w:color="auto" w:fill="FFFFFF"/>
        </w:rPr>
        <w:t>Descriptive statistics were used to define the tacrolimus dose and serum concentration for each patient and for the entire population before, and after initiating therapy with ketoconazole. eGFR values were calculated during follow</w:t>
      </w:r>
      <w:r w:rsidR="008F648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up for graft stability and function. </w:t>
      </w:r>
      <w:r w:rsidR="008F648D">
        <w:rPr>
          <w:rFonts w:ascii="Book Antiqua" w:eastAsia="Book Antiqua" w:hAnsi="Book Antiqua" w:cs="Book Antiqua"/>
          <w:color w:val="000000"/>
          <w:shd w:val="clear" w:color="auto" w:fill="FFFFFF"/>
        </w:rPr>
        <w:t>The n</w:t>
      </w:r>
      <w:r>
        <w:rPr>
          <w:rFonts w:ascii="Book Antiqua" w:eastAsia="Book Antiqua" w:hAnsi="Book Antiqua" w:cs="Book Antiqua"/>
          <w:color w:val="000000"/>
          <w:shd w:val="clear" w:color="auto" w:fill="FFFFFF"/>
        </w:rPr>
        <w:t xml:space="preserve">umber of graft rejection episodes before and after ketoconazole were reported, </w:t>
      </w:r>
      <w:r>
        <w:rPr>
          <w:rFonts w:ascii="Book Antiqua" w:eastAsia="Book Antiqua" w:hAnsi="Book Antiqua" w:cs="Book Antiqua"/>
          <w:color w:val="000000"/>
        </w:rPr>
        <w:t xml:space="preserve">additionally, the number of cases where transaminases were two times the normal limit compared to laboratory reference values during ketoconazole combination were monitored </w:t>
      </w:r>
      <w:r>
        <w:rPr>
          <w:rFonts w:ascii="Book Antiqua" w:eastAsia="Book Antiqua" w:hAnsi="Book Antiqua" w:cs="Book Antiqua"/>
          <w:color w:val="000000"/>
          <w:shd w:val="clear" w:color="auto" w:fill="FFFFFF"/>
        </w:rPr>
        <w:t xml:space="preserve">and used as </w:t>
      </w:r>
      <w:r w:rsidR="008F648D">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 xml:space="preserve">indication of toxicity. </w:t>
      </w:r>
      <w:r w:rsidR="008F648D">
        <w:rPr>
          <w:rFonts w:ascii="Book Antiqua" w:eastAsia="Book Antiqua" w:hAnsi="Book Antiqua" w:cs="Book Antiqua"/>
          <w:color w:val="000000"/>
          <w:shd w:val="clear" w:color="auto" w:fill="FFFFFF"/>
        </w:rPr>
        <w:t>The c</w:t>
      </w:r>
      <w:r>
        <w:rPr>
          <w:rFonts w:ascii="Book Antiqua" w:eastAsia="Book Antiqua" w:hAnsi="Book Antiqua" w:cs="Book Antiqua"/>
          <w:color w:val="000000"/>
          <w:shd w:val="clear" w:color="auto" w:fill="FFFFFF"/>
        </w:rPr>
        <w:t>ost of immunosuppressive treatment is reported prior to and after ketoconazole use.</w:t>
      </w:r>
    </w:p>
    <w:p w14:paraId="38204378" w14:textId="12EBF253"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Mean differences in the dose of tacrolimus and eGFR before and after addition of ketoconazole were compared using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paired student’s </w:t>
      </w:r>
      <w:r>
        <w:rPr>
          <w:rFonts w:ascii="Book Antiqua" w:eastAsia="Book Antiqua" w:hAnsi="Book Antiqua" w:cs="Book Antiqua"/>
          <w:i/>
          <w:iCs/>
          <w:color w:val="000000"/>
          <w:shd w:val="clear" w:color="auto" w:fill="FFFFFF"/>
        </w:rPr>
        <w:t>t</w:t>
      </w:r>
      <w:r>
        <w:rPr>
          <w:rFonts w:ascii="Book Antiqua" w:eastAsia="Book Antiqua" w:hAnsi="Book Antiqua" w:cs="Book Antiqua"/>
          <w:color w:val="000000"/>
          <w:shd w:val="clear" w:color="auto" w:fill="FFFFFF"/>
        </w:rPr>
        <w:t xml:space="preserve">-test. Statistical significance was defined using a 95% confidence interval and </w:t>
      </w:r>
      <w:r w:rsidRPr="00B25652">
        <w:rPr>
          <w:rFonts w:ascii="Book Antiqua" w:eastAsia="Book Antiqua" w:hAnsi="Book Antiqua" w:cs="Book Antiqua"/>
          <w:i/>
          <w:iCs/>
          <w:caps/>
          <w:color w:val="000000"/>
          <w:shd w:val="clear" w:color="auto" w:fill="FFFFFF"/>
        </w:rPr>
        <w:t>p</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values less than 0.05</w:t>
      </w:r>
      <w:r>
        <w:rPr>
          <w:rFonts w:ascii="Book Antiqua" w:eastAsia="Book Antiqua" w:hAnsi="Book Antiqua" w:cs="Book Antiqua"/>
          <w:color w:val="000000"/>
        </w:rPr>
        <w:t>.</w:t>
      </w:r>
    </w:p>
    <w:p w14:paraId="48C9369F" w14:textId="77777777" w:rsidR="00FC4B6A" w:rsidRDefault="00FC4B6A">
      <w:pPr>
        <w:spacing w:line="360" w:lineRule="auto"/>
        <w:jc w:val="both"/>
      </w:pPr>
    </w:p>
    <w:p w14:paraId="6A415E68" w14:textId="77777777" w:rsidR="00FC4B6A" w:rsidRDefault="005069E0">
      <w:pPr>
        <w:spacing w:line="360" w:lineRule="auto"/>
        <w:jc w:val="both"/>
      </w:pPr>
      <w:r>
        <w:rPr>
          <w:rFonts w:ascii="Book Antiqua" w:eastAsia="Book Antiqua" w:hAnsi="Book Antiqua" w:cs="Book Antiqua"/>
          <w:b/>
          <w:caps/>
          <w:color w:val="000000"/>
          <w:u w:val="single"/>
        </w:rPr>
        <w:t>RESULTS</w:t>
      </w:r>
    </w:p>
    <w:p w14:paraId="68CFA427" w14:textId="239453CB" w:rsidR="00FC4B6A" w:rsidRDefault="005069E0">
      <w:pPr>
        <w:spacing w:line="360" w:lineRule="auto"/>
        <w:jc w:val="both"/>
      </w:pPr>
      <w:r>
        <w:rPr>
          <w:rFonts w:ascii="Book Antiqua" w:eastAsia="Book Antiqua" w:hAnsi="Book Antiqua" w:cs="Book Antiqua"/>
          <w:color w:val="000000"/>
          <w:shd w:val="clear" w:color="auto" w:fill="FFFFFF"/>
        </w:rPr>
        <w:t xml:space="preserve">According to the FUNDANIER database in 2015, twenty-five post-transplant patients used ketoconazole combined with tacrolimus. Twelve (48%) patients were male and the average </w:t>
      </w:r>
      <w:r w:rsidR="008F648D">
        <w:rPr>
          <w:rFonts w:ascii="Book Antiqua" w:eastAsia="Book Antiqua" w:hAnsi="Book Antiqua" w:cs="Book Antiqua"/>
          <w:color w:val="000000"/>
          <w:shd w:val="clear" w:color="auto" w:fill="FFFFFF"/>
        </w:rPr>
        <w:t xml:space="preserve">age of the </w:t>
      </w:r>
      <w:r>
        <w:rPr>
          <w:rFonts w:ascii="Book Antiqua" w:eastAsia="Book Antiqua" w:hAnsi="Book Antiqua" w:cs="Book Antiqua"/>
          <w:color w:val="000000"/>
          <w:shd w:val="clear" w:color="auto" w:fill="FFFFFF"/>
        </w:rPr>
        <w:t>patient</w:t>
      </w:r>
      <w:r w:rsidR="008F648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was 13 years. Ninety six percent of transplants were from living donors</w:t>
      </w:r>
      <w:r w:rsidR="00594ADB">
        <w:rPr>
          <w:rFonts w:ascii="Book Antiqua" w:eastAsia="Book Antiqua" w:hAnsi="Book Antiqua" w:cs="Book Antiqua"/>
          <w:color w:val="000000"/>
          <w:shd w:val="clear" w:color="auto" w:fill="FFFFFF"/>
        </w:rPr>
        <w:t xml:space="preserve"> with</w:t>
      </w:r>
      <w:r>
        <w:rPr>
          <w:rFonts w:ascii="Book Antiqua" w:eastAsia="Book Antiqua" w:hAnsi="Book Antiqua" w:cs="Book Antiqua"/>
          <w:color w:val="000000"/>
        </w:rPr>
        <w:t xml:space="preserve"> a mean follow</w:t>
      </w:r>
      <w:r w:rsidR="008F648D">
        <w:rPr>
          <w:rFonts w:ascii="Book Antiqua" w:eastAsia="Book Antiqua" w:hAnsi="Book Antiqua" w:cs="Book Antiqua"/>
          <w:color w:val="000000"/>
        </w:rPr>
        <w:t>-</w:t>
      </w:r>
      <w:r>
        <w:rPr>
          <w:rFonts w:ascii="Book Antiqua" w:eastAsia="Book Antiqua" w:hAnsi="Book Antiqua" w:cs="Book Antiqua"/>
          <w:color w:val="000000"/>
        </w:rPr>
        <w:t xml:space="preserve">up of 18.5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 20).</w:t>
      </w:r>
    </w:p>
    <w:p w14:paraId="00D96D59" w14:textId="77777777" w:rsidR="00FC4B6A" w:rsidRDefault="00FC4B6A">
      <w:pPr>
        <w:spacing w:line="360" w:lineRule="auto"/>
        <w:jc w:val="both"/>
      </w:pPr>
    </w:p>
    <w:p w14:paraId="3044A881" w14:textId="77777777" w:rsidR="00FC4B6A" w:rsidRDefault="005069E0">
      <w:pPr>
        <w:spacing w:line="360" w:lineRule="auto"/>
        <w:jc w:val="both"/>
        <w:rPr>
          <w:i/>
          <w:iCs/>
        </w:rPr>
      </w:pPr>
      <w:r>
        <w:rPr>
          <w:rFonts w:ascii="Book Antiqua" w:eastAsia="Book Antiqua" w:hAnsi="Book Antiqua" w:cs="Book Antiqua"/>
          <w:b/>
          <w:bCs/>
          <w:i/>
          <w:iCs/>
          <w:color w:val="000000"/>
          <w:shd w:val="clear" w:color="auto" w:fill="FFFFFF"/>
        </w:rPr>
        <w:t>Tacrolimus dose and serum concentrations</w:t>
      </w:r>
    </w:p>
    <w:p w14:paraId="5501270B" w14:textId="60A8FD43" w:rsidR="00FC4B6A" w:rsidRDefault="005069E0">
      <w:pPr>
        <w:spacing w:line="360" w:lineRule="auto"/>
        <w:jc w:val="both"/>
      </w:pPr>
      <w:r>
        <w:rPr>
          <w:rFonts w:ascii="Book Antiqua" w:eastAsia="Book Antiqua" w:hAnsi="Book Antiqua" w:cs="Book Antiqua"/>
          <w:color w:val="000000"/>
        </w:rPr>
        <w:t>The average recorded tacrolimus weight</w:t>
      </w:r>
      <w:r w:rsidR="008F648D">
        <w:rPr>
          <w:rFonts w:ascii="Book Antiqua" w:eastAsia="Book Antiqua" w:hAnsi="Book Antiqua" w:cs="Book Antiqua"/>
          <w:color w:val="000000"/>
        </w:rPr>
        <w:t>-</w:t>
      </w:r>
      <w:r>
        <w:rPr>
          <w:rFonts w:ascii="Book Antiqua" w:eastAsia="Book Antiqua" w:hAnsi="Book Antiqua" w:cs="Book Antiqua"/>
          <w:color w:val="000000"/>
        </w:rPr>
        <w:t>based doses at six, four and two months prior to ketoconazol</w:t>
      </w:r>
      <w:r w:rsidR="00B25652">
        <w:rPr>
          <w:rFonts w:ascii="Book Antiqua" w:eastAsia="Book Antiqua" w:hAnsi="Book Antiqua" w:cs="Book Antiqua"/>
          <w:color w:val="000000"/>
        </w:rPr>
        <w:t>e initiation were 0.13 mg/kg/d; 0.12 mg/kg/d</w:t>
      </w:r>
      <w:r>
        <w:rPr>
          <w:rFonts w:ascii="Book Antiqua" w:eastAsia="Book Antiqua" w:hAnsi="Book Antiqua" w:cs="Book Antiqua"/>
          <w:color w:val="000000"/>
        </w:rPr>
        <w:t xml:space="preserve">; and 0.11 </w:t>
      </w:r>
      <w:r w:rsidR="00B25652">
        <w:rPr>
          <w:rFonts w:ascii="Book Antiqua" w:eastAsia="Book Antiqua" w:hAnsi="Book Antiqua" w:cs="Book Antiqua"/>
          <w:color w:val="000000"/>
        </w:rPr>
        <w:t>mg/kg/d</w:t>
      </w:r>
      <w:r w:rsidR="008F648D">
        <w:rPr>
          <w:rFonts w:ascii="Book Antiqua" w:eastAsia="Book Antiqua" w:hAnsi="Book Antiqua" w:cs="Book Antiqua"/>
          <w:color w:val="000000"/>
        </w:rPr>
        <w:t>,</w:t>
      </w:r>
      <w:r>
        <w:rPr>
          <w:rFonts w:ascii="Book Antiqua" w:eastAsia="Book Antiqua" w:hAnsi="Book Antiqua" w:cs="Book Antiqua"/>
          <w:color w:val="000000"/>
        </w:rPr>
        <w:t xml:space="preserve"> respectively. The average recorded tacrolimus weight</w:t>
      </w:r>
      <w:r w:rsidR="008F648D">
        <w:rPr>
          <w:rFonts w:ascii="Book Antiqua" w:eastAsia="Book Antiqua" w:hAnsi="Book Antiqua" w:cs="Book Antiqua"/>
          <w:color w:val="000000"/>
        </w:rPr>
        <w:t>-</w:t>
      </w:r>
      <w:r>
        <w:rPr>
          <w:rFonts w:ascii="Book Antiqua" w:eastAsia="Book Antiqua" w:hAnsi="Book Antiqua" w:cs="Book Antiqua"/>
          <w:color w:val="000000"/>
        </w:rPr>
        <w:t xml:space="preserve">based doses at two, </w:t>
      </w:r>
      <w:proofErr w:type="gramStart"/>
      <w:r>
        <w:rPr>
          <w:rFonts w:ascii="Book Antiqua" w:eastAsia="Book Antiqua" w:hAnsi="Book Antiqua" w:cs="Book Antiqua"/>
          <w:color w:val="000000"/>
        </w:rPr>
        <w:t>four and six months</w:t>
      </w:r>
      <w:proofErr w:type="gramEnd"/>
      <w:r>
        <w:rPr>
          <w:rFonts w:ascii="Book Antiqua" w:eastAsia="Book Antiqua" w:hAnsi="Book Antiqua" w:cs="Book Antiqua"/>
          <w:color w:val="000000"/>
        </w:rPr>
        <w:t xml:space="preserve"> post</w:t>
      </w:r>
      <w:r w:rsidR="008F648D">
        <w:rPr>
          <w:rFonts w:ascii="Book Antiqua" w:eastAsia="Book Antiqua" w:hAnsi="Book Antiqua" w:cs="Book Antiqua"/>
          <w:color w:val="000000"/>
        </w:rPr>
        <w:t>-</w:t>
      </w:r>
      <w:r>
        <w:rPr>
          <w:rFonts w:ascii="Book Antiqua" w:eastAsia="Book Antiqua" w:hAnsi="Book Antiqua" w:cs="Book Antiqua"/>
          <w:color w:val="000000"/>
        </w:rPr>
        <w:t>ketoconazol</w:t>
      </w:r>
      <w:r w:rsidR="00B25652">
        <w:rPr>
          <w:rFonts w:ascii="Book Antiqua" w:eastAsia="Book Antiqua" w:hAnsi="Book Antiqua" w:cs="Book Antiqua"/>
          <w:color w:val="000000"/>
        </w:rPr>
        <w:t>e initiation were 0.09 mg/kg/d; 0.07 mg/kg/d</w:t>
      </w:r>
      <w:r>
        <w:rPr>
          <w:rFonts w:ascii="Book Antiqua" w:eastAsia="Book Antiqua" w:hAnsi="Book Antiqua" w:cs="Book Antiqua"/>
          <w:color w:val="000000"/>
        </w:rPr>
        <w:t xml:space="preserve">; and 0.06 </w:t>
      </w:r>
      <w:r w:rsidR="00B25652">
        <w:rPr>
          <w:rFonts w:ascii="Book Antiqua" w:eastAsia="Book Antiqua" w:hAnsi="Book Antiqua" w:cs="Book Antiqua"/>
          <w:color w:val="000000"/>
        </w:rPr>
        <w:t>mg/kg/d</w:t>
      </w:r>
      <w:r w:rsidR="008F648D">
        <w:rPr>
          <w:rFonts w:ascii="Book Antiqua" w:eastAsia="Book Antiqua" w:hAnsi="Book Antiqua" w:cs="Book Antiqua"/>
          <w:color w:val="000000"/>
        </w:rPr>
        <w:t>,</w:t>
      </w:r>
      <w:r>
        <w:rPr>
          <w:rFonts w:ascii="Book Antiqua" w:eastAsia="Book Antiqua" w:hAnsi="Book Antiqua" w:cs="Book Antiqua"/>
          <w:color w:val="000000"/>
        </w:rPr>
        <w:t xml:space="preserve"> respectively. </w:t>
      </w:r>
    </w:p>
    <w:p w14:paraId="2843AF98" w14:textId="45E76A86" w:rsidR="00FC4B6A" w:rsidRDefault="005069E0">
      <w:pPr>
        <w:spacing w:line="360" w:lineRule="auto"/>
        <w:ind w:firstLineChars="100" w:firstLine="240"/>
        <w:jc w:val="both"/>
      </w:pPr>
      <w:r>
        <w:rPr>
          <w:rFonts w:ascii="Book Antiqua" w:eastAsia="Book Antiqua" w:hAnsi="Book Antiqua" w:cs="Book Antiqua"/>
          <w:color w:val="000000"/>
        </w:rPr>
        <w:t xml:space="preserve">The mean tacrolimus blood levels at six, four and two months prior </w:t>
      </w:r>
      <w:r w:rsidR="008F648D">
        <w:rPr>
          <w:rFonts w:ascii="Book Antiqua" w:eastAsia="Book Antiqua" w:hAnsi="Book Antiqua" w:cs="Book Antiqua"/>
          <w:color w:val="000000"/>
        </w:rPr>
        <w:t xml:space="preserve">to </w:t>
      </w:r>
      <w:r>
        <w:rPr>
          <w:rFonts w:ascii="Book Antiqua" w:eastAsia="Book Antiqua" w:hAnsi="Book Antiqua" w:cs="Book Antiqua"/>
          <w:color w:val="000000"/>
        </w:rPr>
        <w:t>ketoconaz</w:t>
      </w:r>
      <w:r w:rsidR="008F648D">
        <w:rPr>
          <w:rFonts w:ascii="Book Antiqua" w:eastAsia="Book Antiqua" w:hAnsi="Book Antiqua" w:cs="Book Antiqua"/>
          <w:color w:val="000000"/>
        </w:rPr>
        <w:t>o</w:t>
      </w:r>
      <w:r>
        <w:rPr>
          <w:rFonts w:ascii="Book Antiqua" w:eastAsia="Book Antiqua" w:hAnsi="Book Antiqua" w:cs="Book Antiqua"/>
          <w:color w:val="000000"/>
        </w:rPr>
        <w:t>le initiation were: 7.4</w:t>
      </w:r>
      <w:r w:rsidR="00B25652">
        <w:rPr>
          <w:rFonts w:ascii="Book Antiqua" w:eastAsia="Book Antiqua" w:hAnsi="Book Antiqua" w:cs="Book Antiqua"/>
          <w:color w:val="000000"/>
        </w:rPr>
        <w:t xml:space="preserve"> </w:t>
      </w:r>
      <w:r>
        <w:rPr>
          <w:rFonts w:ascii="Book Antiqua" w:eastAsia="Book Antiqua" w:hAnsi="Book Antiqua" w:cs="Book Antiqua"/>
          <w:color w:val="000000"/>
        </w:rPr>
        <w:t>± 2.6 ng/dL; 7.4</w:t>
      </w:r>
      <w:r w:rsidR="00B25652">
        <w:rPr>
          <w:rFonts w:ascii="Book Antiqua" w:eastAsia="Book Antiqua" w:hAnsi="Book Antiqua" w:cs="Book Antiqua"/>
          <w:color w:val="000000"/>
        </w:rPr>
        <w:t xml:space="preserve"> </w:t>
      </w:r>
      <w:r>
        <w:rPr>
          <w:rFonts w:ascii="Book Antiqua" w:eastAsia="Book Antiqua" w:hAnsi="Book Antiqua" w:cs="Book Antiqua"/>
          <w:color w:val="000000"/>
        </w:rPr>
        <w:t xml:space="preserve">± 2.5 ng/dL; </w:t>
      </w:r>
      <w:r w:rsidR="00B01660">
        <w:rPr>
          <w:rFonts w:ascii="Book Antiqua" w:eastAsia="Book Antiqua" w:hAnsi="Book Antiqua" w:cs="Book Antiqua"/>
          <w:color w:val="000000"/>
        </w:rPr>
        <w:t xml:space="preserve">and </w:t>
      </w:r>
      <w:r>
        <w:rPr>
          <w:rFonts w:ascii="Book Antiqua" w:eastAsia="Book Antiqua" w:hAnsi="Book Antiqua" w:cs="Book Antiqua"/>
          <w:color w:val="000000"/>
        </w:rPr>
        <w:t>7.4</w:t>
      </w:r>
      <w:r w:rsidR="00B25652">
        <w:rPr>
          <w:rFonts w:ascii="Book Antiqua" w:eastAsia="Book Antiqua" w:hAnsi="Book Antiqua" w:cs="Book Antiqua"/>
          <w:color w:val="000000"/>
        </w:rPr>
        <w:t xml:space="preserve"> </w:t>
      </w:r>
      <w:r>
        <w:rPr>
          <w:rFonts w:ascii="Book Antiqua" w:eastAsia="Book Antiqua" w:hAnsi="Book Antiqua" w:cs="Book Antiqua"/>
          <w:color w:val="000000"/>
        </w:rPr>
        <w:t>± 2.6 ng/dL</w:t>
      </w:r>
      <w:r w:rsidR="00B01660">
        <w:rPr>
          <w:rFonts w:ascii="Book Antiqua" w:eastAsia="Book Antiqua" w:hAnsi="Book Antiqua" w:cs="Book Antiqua"/>
          <w:color w:val="000000"/>
        </w:rPr>
        <w:t>, respectively</w:t>
      </w:r>
      <w:r>
        <w:rPr>
          <w:rFonts w:ascii="Book Antiqua" w:eastAsia="Book Antiqua" w:hAnsi="Book Antiqua" w:cs="Book Antiqua"/>
          <w:color w:val="000000"/>
        </w:rPr>
        <w:t>. The mean tacrolimus blood levels recorded at two, four and six month visits post</w:t>
      </w:r>
      <w:r w:rsidR="00B01660">
        <w:rPr>
          <w:rFonts w:ascii="Book Antiqua" w:eastAsia="Book Antiqua" w:hAnsi="Book Antiqua" w:cs="Book Antiqua"/>
          <w:color w:val="000000"/>
        </w:rPr>
        <w:t>-</w:t>
      </w:r>
      <w:r>
        <w:rPr>
          <w:rFonts w:ascii="Book Antiqua" w:eastAsia="Book Antiqua" w:hAnsi="Book Antiqua" w:cs="Book Antiqua"/>
          <w:color w:val="000000"/>
        </w:rPr>
        <w:t xml:space="preserve">ketoconazole initiation </w:t>
      </w:r>
      <w:r w:rsidRPr="000976F7">
        <w:rPr>
          <w:rFonts w:ascii="Book Antiqua" w:eastAsia="Book Antiqua" w:hAnsi="Book Antiqua" w:cs="Book Antiqua"/>
          <w:color w:val="000000"/>
        </w:rPr>
        <w:t>were:  8.8</w:t>
      </w:r>
      <w:r w:rsidR="00B25652" w:rsidRPr="000976F7">
        <w:rPr>
          <w:rFonts w:ascii="Book Antiqua" w:eastAsia="Book Antiqua" w:hAnsi="Book Antiqua" w:cs="Book Antiqua"/>
          <w:color w:val="000000"/>
        </w:rPr>
        <w:t xml:space="preserve"> </w:t>
      </w:r>
      <w:r w:rsidRPr="000976F7">
        <w:rPr>
          <w:rFonts w:ascii="Book Antiqua" w:eastAsia="Book Antiqua" w:hAnsi="Book Antiqua" w:cs="Book Antiqua"/>
          <w:color w:val="000000"/>
        </w:rPr>
        <w:t>± 4.9</w:t>
      </w:r>
      <w:r w:rsidR="00B25652" w:rsidRPr="000976F7">
        <w:rPr>
          <w:rFonts w:ascii="Book Antiqua" w:eastAsia="Book Antiqua" w:hAnsi="Book Antiqua" w:cs="Book Antiqua"/>
          <w:color w:val="000000"/>
        </w:rPr>
        <w:t xml:space="preserve"> ng/dL</w:t>
      </w:r>
      <w:r w:rsidRPr="000976F7">
        <w:rPr>
          <w:rFonts w:ascii="Book Antiqua" w:eastAsia="Book Antiqua" w:hAnsi="Book Antiqua" w:cs="Book Antiqua"/>
          <w:color w:val="000000"/>
        </w:rPr>
        <w:t>; 6.9</w:t>
      </w:r>
      <w:r w:rsidR="00B25652" w:rsidRPr="000976F7">
        <w:rPr>
          <w:rFonts w:ascii="Book Antiqua" w:eastAsia="Book Antiqua" w:hAnsi="Book Antiqua" w:cs="Book Antiqua"/>
          <w:color w:val="000000"/>
        </w:rPr>
        <w:t xml:space="preserve"> </w:t>
      </w:r>
      <w:r w:rsidRPr="000976F7">
        <w:rPr>
          <w:rFonts w:ascii="Book Antiqua" w:eastAsia="Book Antiqua" w:hAnsi="Book Antiqua" w:cs="Book Antiqua"/>
          <w:color w:val="000000"/>
        </w:rPr>
        <w:t>± 3.6</w:t>
      </w:r>
      <w:r w:rsidR="00B25652" w:rsidRPr="000976F7">
        <w:rPr>
          <w:rFonts w:ascii="Book Antiqua" w:eastAsia="Book Antiqua" w:hAnsi="Book Antiqua" w:cs="Book Antiqua"/>
          <w:color w:val="000000"/>
        </w:rPr>
        <w:t xml:space="preserve"> ng/dL</w:t>
      </w:r>
      <w:r w:rsidRPr="000976F7">
        <w:rPr>
          <w:rFonts w:ascii="Book Antiqua" w:eastAsia="Book Antiqua" w:hAnsi="Book Antiqua" w:cs="Book Antiqua"/>
          <w:color w:val="000000"/>
        </w:rPr>
        <w:t>; and 6.8</w:t>
      </w:r>
      <w:r w:rsidR="00B25652" w:rsidRPr="000976F7">
        <w:rPr>
          <w:rFonts w:ascii="Book Antiqua" w:eastAsia="Book Antiqua" w:hAnsi="Book Antiqua" w:cs="Book Antiqua"/>
          <w:color w:val="000000"/>
        </w:rPr>
        <w:t xml:space="preserve"> </w:t>
      </w:r>
      <w:r w:rsidRPr="000976F7">
        <w:rPr>
          <w:rFonts w:ascii="Book Antiqua" w:eastAsia="Book Antiqua" w:hAnsi="Book Antiqua" w:cs="Book Antiqua"/>
          <w:color w:val="000000"/>
        </w:rPr>
        <w:t xml:space="preserve">± 3.2 </w:t>
      </w:r>
      <w:r w:rsidR="00B25652" w:rsidRPr="000976F7">
        <w:rPr>
          <w:rFonts w:ascii="Book Antiqua" w:eastAsia="Book Antiqua" w:hAnsi="Book Antiqua" w:cs="Book Antiqua"/>
          <w:color w:val="000000"/>
        </w:rPr>
        <w:t>ng/dL</w:t>
      </w:r>
      <w:r w:rsidR="00B01660">
        <w:rPr>
          <w:rFonts w:ascii="Book Antiqua" w:eastAsia="Book Antiqua" w:hAnsi="Book Antiqua" w:cs="Book Antiqua"/>
          <w:color w:val="000000"/>
        </w:rPr>
        <w:t>,</w:t>
      </w:r>
      <w:r w:rsidR="00B25652" w:rsidRPr="000976F7">
        <w:rPr>
          <w:rFonts w:ascii="Book Antiqua" w:eastAsia="Book Antiqua" w:hAnsi="Book Antiqua" w:cs="Book Antiqua"/>
          <w:color w:val="000000"/>
        </w:rPr>
        <w:t xml:space="preserve"> </w:t>
      </w:r>
      <w:r w:rsidRPr="000976F7">
        <w:rPr>
          <w:rFonts w:ascii="Book Antiqua" w:eastAsia="Book Antiqua" w:hAnsi="Book Antiqua" w:cs="Book Antiqua"/>
          <w:color w:val="000000"/>
        </w:rPr>
        <w:t>r</w:t>
      </w:r>
      <w:r>
        <w:rPr>
          <w:rFonts w:ascii="Book Antiqua" w:eastAsia="Book Antiqua" w:hAnsi="Book Antiqua" w:cs="Book Antiqua"/>
          <w:color w:val="000000"/>
        </w:rPr>
        <w:t xml:space="preserve">espectively (Table 1). </w:t>
      </w:r>
    </w:p>
    <w:p w14:paraId="47B42D3D" w14:textId="5CBEC18C" w:rsidR="00FC4B6A" w:rsidRDefault="005069E0">
      <w:pPr>
        <w:spacing w:line="360" w:lineRule="auto"/>
        <w:ind w:firstLineChars="100" w:firstLine="240"/>
        <w:jc w:val="both"/>
      </w:pPr>
      <w:r>
        <w:rPr>
          <w:rFonts w:ascii="Book Antiqua" w:eastAsia="Book Antiqua" w:hAnsi="Book Antiqua" w:cs="Book Antiqua"/>
          <w:color w:val="000000"/>
        </w:rPr>
        <w:t xml:space="preserve">There was a non-significant difference between the mean tacrolimus doses </w:t>
      </w:r>
      <w:r w:rsidR="00B01660">
        <w:rPr>
          <w:rFonts w:ascii="Book Antiqua" w:eastAsia="Book Antiqua" w:hAnsi="Book Antiqua" w:cs="Book Antiqua"/>
          <w:color w:val="000000"/>
        </w:rPr>
        <w:t xml:space="preserve">at </w:t>
      </w:r>
      <w:r>
        <w:rPr>
          <w:rFonts w:ascii="Book Antiqua" w:eastAsia="Book Antiqua" w:hAnsi="Book Antiqua" w:cs="Book Antiqua"/>
          <w:color w:val="000000"/>
        </w:rPr>
        <w:t>six months and two months prior to ketoconazole:  -0.10 ± 0.04 (</w:t>
      </w:r>
      <w:r w:rsidR="00176B3C">
        <w:rPr>
          <w:rFonts w:ascii="Book Antiqua" w:eastAsia="Book Antiqua" w:hAnsi="Book Antiqua" w:cs="Book Antiqua"/>
          <w:color w:val="000000"/>
        </w:rPr>
        <w:t>95%CI</w:t>
      </w:r>
      <w:r w:rsidR="00F35F9A">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0.007, -0.029), </w:t>
      </w:r>
      <w:r w:rsidRPr="000976F7">
        <w:rPr>
          <w:rFonts w:ascii="Book Antiqua" w:eastAsia="Book Antiqua" w:hAnsi="Book Antiqua" w:cs="Book Antiqua"/>
          <w:i/>
          <w:iCs/>
          <w:color w:val="000000"/>
        </w:rPr>
        <w:t>P</w:t>
      </w:r>
      <w:r w:rsidRPr="000976F7">
        <w:rPr>
          <w:rFonts w:ascii="Book Antiqua" w:eastAsia="Book Antiqua" w:hAnsi="Book Antiqua" w:cs="Book Antiqua"/>
          <w:color w:val="000000"/>
        </w:rPr>
        <w:t xml:space="preserve"> </w:t>
      </w:r>
      <w:r w:rsidR="000976F7" w:rsidRPr="000976F7">
        <w:rPr>
          <w:rFonts w:ascii="Book Antiqua" w:eastAsia="Book Antiqua" w:hAnsi="Book Antiqua" w:cs="Book Antiqua"/>
          <w:color w:val="000000"/>
        </w:rPr>
        <w:t xml:space="preserve">= </w:t>
      </w:r>
      <w:r w:rsidRPr="000976F7">
        <w:rPr>
          <w:rFonts w:ascii="Book Antiqua" w:eastAsia="Book Antiqua" w:hAnsi="Book Antiqua" w:cs="Book Antiqua"/>
          <w:color w:val="000000"/>
        </w:rPr>
        <w:t>0.23.</w:t>
      </w:r>
      <w:r>
        <w:rPr>
          <w:rFonts w:ascii="Book Antiqua" w:eastAsia="Book Antiqua" w:hAnsi="Book Antiqua" w:cs="Book Antiqua"/>
          <w:color w:val="000000"/>
        </w:rPr>
        <w:t xml:space="preserve"> However, the difference between the mean tacrolimus doses six months prior to ketoconazole initiation and six months after ketoconazole addition was significant: 0.06 </w:t>
      </w:r>
      <w:r w:rsidR="00E6224A" w:rsidRPr="000976F7">
        <w:rPr>
          <w:rFonts w:ascii="Book Antiqua" w:eastAsia="Book Antiqua" w:hAnsi="Book Antiqua" w:cs="Book Antiqua"/>
          <w:color w:val="000000"/>
        </w:rPr>
        <w:t>±</w:t>
      </w:r>
      <w:r w:rsidR="00E6224A">
        <w:rPr>
          <w:rFonts w:ascii="Book Antiqua" w:eastAsia="Book Antiqua" w:hAnsi="Book Antiqua" w:cs="Book Antiqua"/>
          <w:color w:val="000000"/>
        </w:rPr>
        <w:t xml:space="preserve"> </w:t>
      </w:r>
      <w:r>
        <w:rPr>
          <w:rFonts w:ascii="Book Antiqua" w:eastAsia="Book Antiqua" w:hAnsi="Book Antiqua" w:cs="Book Antiqua"/>
          <w:color w:val="000000"/>
        </w:rPr>
        <w:t>0.05 (</w:t>
      </w:r>
      <w:r w:rsidR="00176B3C">
        <w:rPr>
          <w:rFonts w:ascii="Book Antiqua" w:eastAsia="Book Antiqua" w:hAnsi="Book Antiqua" w:cs="Book Antiqua"/>
          <w:color w:val="000000"/>
        </w:rPr>
        <w:t>95%CI</w:t>
      </w:r>
      <w:r w:rsidR="00F35F9A">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-0.034, -0.086)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p>
    <w:p w14:paraId="663860E3" w14:textId="4DE1176A" w:rsidR="00FC4B6A" w:rsidRDefault="005069E0">
      <w:pPr>
        <w:spacing w:line="360" w:lineRule="auto"/>
        <w:ind w:firstLineChars="100" w:firstLine="240"/>
        <w:jc w:val="both"/>
      </w:pPr>
      <w:r>
        <w:rPr>
          <w:rFonts w:ascii="Book Antiqua" w:eastAsia="Book Antiqua" w:hAnsi="Book Antiqua" w:cs="Book Antiqua"/>
          <w:color w:val="000000"/>
        </w:rPr>
        <w:t>There were no observed fluctuations in the blood levels of tacrolimus among patients during the visits before the combination, as compared to after the combination with ketoconazole (Table 1). None of the</w:t>
      </w:r>
      <w:r>
        <w:rPr>
          <w:rFonts w:ascii="Book Antiqua" w:eastAsia="Book Antiqua" w:hAnsi="Book Antiqua" w:cs="Book Antiqua"/>
          <w:color w:val="000000"/>
          <w:shd w:val="clear" w:color="auto" w:fill="FFFFFF"/>
        </w:rPr>
        <w:t xml:space="preserve"> patient charts documented a variation in serum transaminase levels during the visits pertaining to use of </w:t>
      </w:r>
      <w:r w:rsidR="00B0166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ketoconazole-tacrolimus combination. Overall, a reduction in tacrolimus dose was observed.  The mean tacrolimus dose reduction was 45% (</w:t>
      </w:r>
      <w:r w:rsidR="00FA30F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25</w:t>
      </w:r>
      <w:r w:rsidR="00FA30F1">
        <w:rPr>
          <w:rFonts w:ascii="Book Antiqua" w:eastAsiaTheme="minorEastAsi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after the addition of ketoconazole. </w:t>
      </w:r>
    </w:p>
    <w:p w14:paraId="1BE9DB9A" w14:textId="77777777" w:rsidR="00FC4B6A" w:rsidRDefault="00FC4B6A">
      <w:pPr>
        <w:spacing w:line="360" w:lineRule="auto"/>
        <w:jc w:val="both"/>
      </w:pPr>
    </w:p>
    <w:p w14:paraId="759A7570" w14:textId="77777777" w:rsidR="00FC4B6A" w:rsidRDefault="005069E0">
      <w:pPr>
        <w:spacing w:line="360" w:lineRule="auto"/>
        <w:jc w:val="both"/>
        <w:rPr>
          <w:i/>
          <w:iCs/>
        </w:rPr>
      </w:pPr>
      <w:r>
        <w:rPr>
          <w:rFonts w:ascii="Book Antiqua" w:eastAsia="Book Antiqua" w:hAnsi="Book Antiqua" w:cs="Book Antiqua"/>
          <w:b/>
          <w:bCs/>
          <w:i/>
          <w:iCs/>
          <w:color w:val="000000"/>
          <w:shd w:val="clear" w:color="auto" w:fill="FFFFFF"/>
        </w:rPr>
        <w:t>Renal function</w:t>
      </w:r>
    </w:p>
    <w:p w14:paraId="4198495E" w14:textId="38645DC2" w:rsidR="00FC4B6A" w:rsidRDefault="005069E0">
      <w:pPr>
        <w:spacing w:line="360" w:lineRule="auto"/>
        <w:jc w:val="both"/>
      </w:pPr>
      <w:r>
        <w:rPr>
          <w:rFonts w:ascii="Book Antiqua" w:eastAsia="Book Antiqua" w:hAnsi="Book Antiqua" w:cs="Book Antiqua"/>
          <w:color w:val="000000"/>
          <w:shd w:val="clear" w:color="auto" w:fill="FFFFFF"/>
        </w:rPr>
        <w:t>The mean eGFR before the addition of ketoconazole was 69.2 (± 29.7) mL/min/1.73 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and after the initiation of ketoconazole was 66.4 (± 23)</w:t>
      </w:r>
      <w:r w:rsidR="00B01660" w:rsidRPr="00B01660">
        <w:rPr>
          <w:rFonts w:ascii="Book Antiqua" w:eastAsia="Book Antiqua" w:hAnsi="Book Antiqua" w:cs="Book Antiqua"/>
          <w:color w:val="000000"/>
          <w:shd w:val="clear" w:color="auto" w:fill="FFFFFF"/>
        </w:rPr>
        <w:t xml:space="preserve"> </w:t>
      </w:r>
      <w:r w:rsidR="00B01660">
        <w:rPr>
          <w:rFonts w:ascii="Book Antiqua" w:eastAsia="Book Antiqua" w:hAnsi="Book Antiqua" w:cs="Book Antiqua"/>
          <w:color w:val="000000"/>
          <w:shd w:val="clear" w:color="auto" w:fill="FFFFFF"/>
        </w:rPr>
        <w:t>mL/min/1.73 m</w:t>
      </w:r>
      <w:r w:rsidR="00B01660">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Changes in eGFR were not significant </w:t>
      </w:r>
      <w:r w:rsidRPr="000976F7">
        <w:rPr>
          <w:rFonts w:ascii="Book Antiqua" w:eastAsia="Book Antiqua" w:hAnsi="Book Antiqua" w:cs="Book Antiqua"/>
          <w:color w:val="000000"/>
          <w:shd w:val="clear" w:color="auto" w:fill="FFFFFF"/>
        </w:rPr>
        <w:t>(</w:t>
      </w:r>
      <w:r w:rsidRPr="000976F7">
        <w:rPr>
          <w:rFonts w:ascii="Book Antiqua" w:eastAsia="Book Antiqua" w:hAnsi="Book Antiqua" w:cs="Book Antiqua"/>
          <w:i/>
          <w:iCs/>
          <w:color w:val="000000"/>
          <w:shd w:val="clear" w:color="auto" w:fill="FFFFFF"/>
        </w:rPr>
        <w:t>P</w:t>
      </w:r>
      <w:r w:rsidRPr="000976F7">
        <w:rPr>
          <w:rFonts w:ascii="Book Antiqua" w:eastAsia="Book Antiqua" w:hAnsi="Book Antiqua" w:cs="Book Antiqua"/>
          <w:color w:val="000000"/>
          <w:shd w:val="clear" w:color="auto" w:fill="FFFFFF"/>
        </w:rPr>
        <w:t xml:space="preserve"> </w:t>
      </w:r>
      <w:r w:rsidR="000976F7" w:rsidRPr="000976F7">
        <w:rPr>
          <w:rFonts w:ascii="Book Antiqua" w:eastAsia="Book Antiqua" w:hAnsi="Book Antiqua" w:cs="Book Antiqua"/>
          <w:color w:val="000000"/>
          <w:shd w:val="clear" w:color="auto" w:fill="FFFFFF"/>
        </w:rPr>
        <w:t xml:space="preserve">= </w:t>
      </w:r>
      <w:r w:rsidRPr="000976F7">
        <w:rPr>
          <w:rFonts w:ascii="Book Antiqua" w:eastAsia="Book Antiqua" w:hAnsi="Book Antiqua" w:cs="Book Antiqua"/>
          <w:color w:val="000000"/>
          <w:shd w:val="clear" w:color="auto" w:fill="FFFFFF"/>
        </w:rPr>
        <w:t>0.062)</w:t>
      </w:r>
      <w:r>
        <w:rPr>
          <w:rFonts w:ascii="Book Antiqua" w:eastAsia="Book Antiqua" w:hAnsi="Book Antiqua" w:cs="Book Antiqua"/>
          <w:color w:val="000000"/>
          <w:shd w:val="clear" w:color="auto" w:fill="FFFFFF"/>
        </w:rPr>
        <w:t xml:space="preserve"> (Table 1). However, </w:t>
      </w:r>
      <w:r>
        <w:rPr>
          <w:rFonts w:ascii="Book Antiqua" w:eastAsia="Book Antiqua" w:hAnsi="Book Antiqua" w:cs="Book Antiqua"/>
          <w:color w:val="000000"/>
        </w:rPr>
        <w:t xml:space="preserve">patients demonstrated an </w:t>
      </w:r>
      <w:r>
        <w:rPr>
          <w:rFonts w:ascii="Book Antiqua" w:eastAsia="Book Antiqua" w:hAnsi="Book Antiqua" w:cs="Book Antiqua"/>
          <w:color w:val="000000"/>
        </w:rPr>
        <w:lastRenderedPageBreak/>
        <w:t xml:space="preserve">increased eGFR level from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w:t>
      </w:r>
      <w:r w:rsidR="00B01660">
        <w:rPr>
          <w:rFonts w:ascii="Book Antiqua" w:eastAsia="Book Antiqua" w:hAnsi="Book Antiqua" w:cs="Book Antiqua"/>
          <w:color w:val="000000"/>
        </w:rPr>
        <w:t xml:space="preserve">the </w:t>
      </w:r>
      <w:r>
        <w:rPr>
          <w:rFonts w:ascii="Book Antiqua" w:eastAsia="Book Antiqua" w:hAnsi="Book Antiqua" w:cs="Book Antiqua"/>
          <w:color w:val="000000"/>
        </w:rPr>
        <w:t xml:space="preserve">combination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w:t>
      </w:r>
      <w:r w:rsidR="00B01660">
        <w:rPr>
          <w:rFonts w:ascii="Book Antiqua" w:eastAsia="Book Antiqua" w:hAnsi="Book Antiqua" w:cs="Book Antiqua"/>
          <w:color w:val="000000"/>
        </w:rPr>
        <w:t>-</w:t>
      </w:r>
      <w:r>
        <w:rPr>
          <w:rFonts w:ascii="Book Antiqua" w:eastAsia="Book Antiqua" w:hAnsi="Book Antiqua" w:cs="Book Antiqua"/>
          <w:color w:val="000000"/>
        </w:rPr>
        <w:t>combination during the study period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0.050). </w:t>
      </w:r>
    </w:p>
    <w:p w14:paraId="0A436269" w14:textId="77777777" w:rsidR="00FC4B6A" w:rsidRDefault="00FC4B6A">
      <w:pPr>
        <w:spacing w:line="360" w:lineRule="auto"/>
        <w:jc w:val="both"/>
      </w:pPr>
    </w:p>
    <w:p w14:paraId="5622FFA7" w14:textId="77777777" w:rsidR="00FC4B6A" w:rsidRDefault="005069E0">
      <w:pPr>
        <w:spacing w:line="360" w:lineRule="auto"/>
        <w:jc w:val="both"/>
        <w:rPr>
          <w:i/>
          <w:iCs/>
        </w:rPr>
      </w:pPr>
      <w:r>
        <w:rPr>
          <w:rFonts w:ascii="Book Antiqua" w:eastAsia="Book Antiqua" w:hAnsi="Book Antiqua" w:cs="Book Antiqua"/>
          <w:b/>
          <w:bCs/>
          <w:i/>
          <w:iCs/>
          <w:color w:val="000000"/>
        </w:rPr>
        <w:t>Graft rejections</w:t>
      </w:r>
    </w:p>
    <w:p w14:paraId="17B69BA3" w14:textId="7D6DB743" w:rsidR="00FC4B6A" w:rsidRDefault="005069E0">
      <w:pPr>
        <w:spacing w:line="360" w:lineRule="auto"/>
        <w:jc w:val="both"/>
      </w:pPr>
      <w:r>
        <w:rPr>
          <w:rFonts w:ascii="Book Antiqua" w:eastAsia="Book Antiqua" w:hAnsi="Book Antiqua" w:cs="Book Antiqua"/>
          <w:color w:val="000000"/>
        </w:rPr>
        <w:t>10 rejection episodes were reported during the study, the majority of which were reported before initiation of ketoconazole. Eight of ten cases (80%) were reported before the combination of ketoconazole and 2 of 10 (20%) episodes after the addition of ketoconazole to tacrolimus (Table 1).</w:t>
      </w:r>
    </w:p>
    <w:p w14:paraId="537D7A41" w14:textId="77777777" w:rsidR="00FC4B6A" w:rsidRDefault="00FC4B6A">
      <w:pPr>
        <w:spacing w:line="360" w:lineRule="auto"/>
        <w:jc w:val="both"/>
      </w:pPr>
    </w:p>
    <w:p w14:paraId="0FC7F8BE" w14:textId="77777777" w:rsidR="00FC4B6A" w:rsidRDefault="005069E0">
      <w:pPr>
        <w:spacing w:line="360" w:lineRule="auto"/>
        <w:jc w:val="both"/>
        <w:rPr>
          <w:i/>
          <w:iCs/>
        </w:rPr>
      </w:pPr>
      <w:r>
        <w:rPr>
          <w:rFonts w:ascii="Book Antiqua" w:eastAsia="Book Antiqua" w:hAnsi="Book Antiqua" w:cs="Book Antiqua"/>
          <w:b/>
          <w:bCs/>
          <w:i/>
          <w:iCs/>
          <w:color w:val="000000"/>
        </w:rPr>
        <w:t>Cost savings</w:t>
      </w:r>
    </w:p>
    <w:p w14:paraId="059E3E6F" w14:textId="5F6A77A1" w:rsidR="00FC4B6A" w:rsidRDefault="005069E0">
      <w:pPr>
        <w:spacing w:line="360" w:lineRule="auto"/>
        <w:jc w:val="both"/>
      </w:pPr>
      <w:r>
        <w:rPr>
          <w:rFonts w:ascii="Book Antiqua" w:eastAsia="Book Antiqua" w:hAnsi="Book Antiqua" w:cs="Book Antiqua"/>
          <w:color w:val="000000"/>
          <w:shd w:val="clear" w:color="auto" w:fill="FFFFFF"/>
        </w:rPr>
        <w:t xml:space="preserve">The combination of tacrolimus and ketoconazole resulted in a substantial cost saving. The immunosuppressive therapy cost dropped from USD 872 (SD, 168) per patient to USD 691 (SD, 128) per patient. Given the variation in patient weight and the resulting associated cost </w:t>
      </w:r>
      <w:r w:rsidR="00B01660">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treatment, the mean cost reduction for the sample was 21% (SD, 17).  This includes 18 patients with a reduction in cost ranging from (21%</w:t>
      </w:r>
      <w:r w:rsidR="00CF6DA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42%), 6 patients with no change in cost (0%) and 1 pati</w:t>
      </w:r>
      <w:r w:rsidR="00F75C34">
        <w:rPr>
          <w:rFonts w:ascii="Book Antiqua" w:eastAsia="Book Antiqua" w:hAnsi="Book Antiqua" w:cs="Book Antiqua"/>
          <w:color w:val="000000"/>
          <w:shd w:val="clear" w:color="auto" w:fill="FFFFFF"/>
        </w:rPr>
        <w:t>ent with an increase in cost (+</w:t>
      </w:r>
      <w:r>
        <w:rPr>
          <w:rFonts w:ascii="Book Antiqua" w:eastAsia="Book Antiqua" w:hAnsi="Book Antiqua" w:cs="Book Antiqua"/>
          <w:color w:val="000000"/>
          <w:shd w:val="clear" w:color="auto" w:fill="FFFFFF"/>
        </w:rPr>
        <w:t xml:space="preserve">27%).  </w:t>
      </w:r>
    </w:p>
    <w:p w14:paraId="22CDDEA6" w14:textId="77777777" w:rsidR="00FC4B6A" w:rsidRDefault="00FC4B6A">
      <w:pPr>
        <w:spacing w:line="360" w:lineRule="auto"/>
        <w:jc w:val="both"/>
      </w:pPr>
    </w:p>
    <w:p w14:paraId="4EE3543B" w14:textId="77777777" w:rsidR="00FC4B6A" w:rsidRDefault="005069E0">
      <w:pPr>
        <w:spacing w:line="360" w:lineRule="auto"/>
        <w:jc w:val="both"/>
      </w:pPr>
      <w:r>
        <w:rPr>
          <w:rFonts w:ascii="Book Antiqua" w:eastAsia="Book Antiqua" w:hAnsi="Book Antiqua" w:cs="Book Antiqua"/>
          <w:b/>
          <w:caps/>
          <w:color w:val="000000"/>
          <w:u w:val="single"/>
        </w:rPr>
        <w:t>DISCUSSION</w:t>
      </w:r>
    </w:p>
    <w:p w14:paraId="022331AE" w14:textId="471D4338" w:rsidR="00FC4B6A" w:rsidRDefault="005069E0">
      <w:pPr>
        <w:spacing w:line="360" w:lineRule="auto"/>
        <w:jc w:val="both"/>
      </w:pPr>
      <w:r>
        <w:rPr>
          <w:rFonts w:ascii="Book Antiqua" w:eastAsia="Book Antiqua" w:hAnsi="Book Antiqua" w:cs="Book Antiqua"/>
          <w:color w:val="000000"/>
          <w:shd w:val="clear" w:color="auto" w:fill="FFFFFF"/>
        </w:rPr>
        <w:t xml:space="preserve">The combination of tacrolimus and ketoconazole resulted in a substantial tacrolimus dose reduction (45% reduction) while maintaining therapeutic levels (5-7 ng/mL) in pediatric transplant patients at FUNDANIER. Findings from this chart review are similar to other reports where the combination has been used in </w:t>
      </w:r>
      <w:proofErr w:type="gramStart"/>
      <w:r>
        <w:rPr>
          <w:rFonts w:ascii="Book Antiqua" w:eastAsia="Book Antiqua" w:hAnsi="Book Antiqua" w:cs="Book Antiqua"/>
          <w:color w:val="000000"/>
          <w:shd w:val="clear" w:color="auto" w:fill="FFFFFF"/>
        </w:rPr>
        <w:t>adults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15-18,20,23-26]</w:t>
      </w:r>
      <w:r>
        <w:rPr>
          <w:rFonts w:ascii="Book Antiqua" w:eastAsia="Book Antiqua" w:hAnsi="Book Antiqua" w:cs="Book Antiqua"/>
          <w:color w:val="000000"/>
          <w:shd w:val="clear" w:color="auto" w:fill="FFFFFF"/>
        </w:rPr>
        <w:t xml:space="preserve">. In one study from Mexico, eleven patients using the ketoconazole-tacrolimus combination post-transplant were followed for 15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 10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w:t>
      </w:r>
      <w:r w:rsidR="00091C73">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demonstrat</w:t>
      </w:r>
      <w:r w:rsidR="00091C73">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 78% dose reduction in tacrolimus while maintaining therapeutic immunosuppressive </w:t>
      </w:r>
      <w:proofErr w:type="gramStart"/>
      <w:r>
        <w:rPr>
          <w:rFonts w:ascii="Book Antiqua" w:eastAsia="Book Antiqua" w:hAnsi="Book Antiqua" w:cs="Book Antiqua"/>
          <w:color w:val="000000"/>
          <w:shd w:val="clear" w:color="auto" w:fill="FFFFFF"/>
        </w:rPr>
        <w:t>levels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w:t>
      </w:r>
      <w:r w:rsidR="000976F7" w:rsidRPr="000976F7">
        <w:rPr>
          <w:rFonts w:ascii="Book Antiqua" w:eastAsia="Book Antiqua" w:hAnsi="Book Antiqua" w:cs="Book Antiqua"/>
          <w:color w:val="000000"/>
          <w:shd w:val="clear" w:color="auto" w:fill="FFFFFF"/>
        </w:rPr>
        <w:t>el-</w:t>
      </w:r>
      <w:proofErr w:type="spellStart"/>
      <w:r w:rsidR="000976F7" w:rsidRPr="000976F7">
        <w:rPr>
          <w:rFonts w:ascii="Book Antiqua" w:eastAsia="Book Antiqua" w:hAnsi="Book Antiqua" w:cs="Book Antiqua"/>
          <w:color w:val="000000"/>
          <w:shd w:val="clear" w:color="auto" w:fill="FFFFFF"/>
        </w:rPr>
        <w:t>Dahshan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0976F7" w:rsidRPr="000976F7">
        <w:rPr>
          <w:rFonts w:ascii="Book Antiqua" w:eastAsia="Book Antiqua" w:hAnsi="Book Antiqua" w:cs="Book Antiqua"/>
          <w:iCs/>
          <w:color w:val="000000"/>
          <w:shd w:val="clear" w:color="auto" w:fill="FFFFFF"/>
          <w:vertAlign w:val="superscript"/>
        </w:rPr>
        <w:t>[</w:t>
      </w:r>
      <w:proofErr w:type="gramEnd"/>
      <w:r w:rsidR="000976F7" w:rsidRPr="000976F7">
        <w:rPr>
          <w:rFonts w:ascii="Book Antiqua" w:eastAsia="Book Antiqua" w:hAnsi="Book Antiqua" w:cs="Book Antiqua"/>
          <w:iCs/>
          <w:color w:val="000000"/>
          <w:shd w:val="clear" w:color="auto" w:fill="FFFFFF"/>
          <w:vertAlign w:val="superscript"/>
        </w:rPr>
        <w:t>15]</w:t>
      </w:r>
      <w:r>
        <w:rPr>
          <w:rFonts w:ascii="Book Antiqua" w:eastAsia="Book Antiqua" w:hAnsi="Book Antiqua" w:cs="Book Antiqua"/>
          <w:color w:val="000000"/>
          <w:shd w:val="clear" w:color="auto" w:fill="FFFFFF"/>
        </w:rPr>
        <w:t xml:space="preserve">, described a 59% reduction in the tacrolimus dose after six months of therapy in 70 Egyptian post-transplant patients. These patients ranged in age from 16 to 45 years and demonstrated therapeutic tacrolimus levels upon using the ketoconazole </w:t>
      </w:r>
      <w:proofErr w:type="gramStart"/>
      <w:r>
        <w:rPr>
          <w:rFonts w:ascii="Book Antiqua" w:eastAsia="Book Antiqua" w:hAnsi="Book Antiqua" w:cs="Book Antiqua"/>
          <w:color w:val="000000"/>
          <w:shd w:val="clear" w:color="auto" w:fill="FFFFFF"/>
        </w:rPr>
        <w:t>combination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hd w:val="clear" w:color="auto" w:fill="FFFFFF"/>
        </w:rPr>
        <w:t xml:space="preserve">. After two years of therapy, the same Egyptian cohort successfully </w:t>
      </w:r>
      <w:r>
        <w:rPr>
          <w:rFonts w:ascii="Book Antiqua" w:eastAsia="Book Antiqua" w:hAnsi="Book Antiqua" w:cs="Book Antiqua"/>
          <w:color w:val="000000"/>
          <w:shd w:val="clear" w:color="auto" w:fill="FFFFFF"/>
        </w:rPr>
        <w:lastRenderedPageBreak/>
        <w:t xml:space="preserve">maintained immunosuppressive therapy using </w:t>
      </w:r>
      <w:r w:rsidR="008979CE">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reduced dose at 53.8% of the normal tacrolimus dose compared to the control </w:t>
      </w:r>
      <w:proofErr w:type="gramStart"/>
      <w:r>
        <w:rPr>
          <w:rFonts w:ascii="Book Antiqua" w:eastAsia="Book Antiqua" w:hAnsi="Book Antiqua" w:cs="Book Antiqua"/>
          <w:color w:val="000000"/>
          <w:shd w:val="clear" w:color="auto" w:fill="FFFFFF"/>
        </w:rPr>
        <w:t>group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w:t>
      </w:r>
      <w:proofErr w:type="spellStart"/>
      <w:r w:rsidRPr="00C53E2E">
        <w:rPr>
          <w:rFonts w:ascii="Book Antiqua" w:eastAsia="Book Antiqua" w:hAnsi="Book Antiqua" w:cs="Book Antiqua"/>
          <w:color w:val="000000"/>
          <w:shd w:val="clear" w:color="auto" w:fill="FFFFFF"/>
        </w:rPr>
        <w:t>Elamin</w:t>
      </w:r>
      <w:proofErr w:type="spellEnd"/>
      <w:r w:rsidRPr="00C53E2E">
        <w:rPr>
          <w:rFonts w:ascii="Book Antiqua" w:eastAsia="Book Antiqua" w:hAnsi="Book Antiqua" w:cs="Book Antiqua"/>
          <w:color w:val="000000"/>
          <w:shd w:val="clear" w:color="auto" w:fill="FFFFFF"/>
        </w:rPr>
        <w:t xml:space="preserve"> </w:t>
      </w:r>
      <w:r w:rsidRPr="00C53E2E">
        <w:rPr>
          <w:rFonts w:ascii="Book Antiqua" w:eastAsia="Book Antiqua" w:hAnsi="Book Antiqua" w:cs="Book Antiqua"/>
          <w:i/>
          <w:iCs/>
          <w:color w:val="000000"/>
          <w:shd w:val="clear" w:color="auto" w:fill="FFFFFF"/>
        </w:rPr>
        <w:t xml:space="preserve">et </w:t>
      </w:r>
      <w:proofErr w:type="gramStart"/>
      <w:r w:rsidRPr="00C53E2E">
        <w:rPr>
          <w:rFonts w:ascii="Book Antiqua" w:eastAsia="Book Antiqua" w:hAnsi="Book Antiqua" w:cs="Book Antiqua"/>
          <w:i/>
          <w:iCs/>
          <w:color w:val="000000"/>
          <w:shd w:val="clear" w:color="auto" w:fill="FFFFFF"/>
        </w:rPr>
        <w:t>al</w:t>
      </w:r>
      <w:r w:rsidRPr="00C53E2E">
        <w:rPr>
          <w:rFonts w:ascii="Book Antiqua" w:eastAsia="Book Antiqua" w:hAnsi="Book Antiqua" w:cs="Book Antiqua"/>
          <w:color w:val="000000"/>
          <w:szCs w:val="30"/>
          <w:shd w:val="clear" w:color="auto" w:fill="FFFFFF"/>
          <w:vertAlign w:val="superscript"/>
        </w:rPr>
        <w:t>[</w:t>
      </w:r>
      <w:proofErr w:type="gramEnd"/>
      <w:r w:rsidRPr="00C53E2E">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also reported a 63% median tacrolimus dose reduction, ranging from 50% to 83% in 30 Sudan patients. The</w:t>
      </w:r>
      <w:r w:rsidR="008979CE">
        <w:rPr>
          <w:rFonts w:ascii="Book Antiqua" w:eastAsia="Book Antiqua" w:hAnsi="Book Antiqua" w:cs="Book Antiqua"/>
          <w:color w:val="000000"/>
          <w:shd w:val="clear" w:color="auto" w:fill="FFFFFF"/>
        </w:rPr>
        <w:t xml:space="preserve"> mean age of these</w:t>
      </w:r>
      <w:r>
        <w:rPr>
          <w:rFonts w:ascii="Book Antiqua" w:eastAsia="Book Antiqua" w:hAnsi="Book Antiqua" w:cs="Book Antiqua"/>
          <w:color w:val="000000"/>
          <w:shd w:val="clear" w:color="auto" w:fill="FFFFFF"/>
        </w:rPr>
        <w:t xml:space="preserve"> patients </w:t>
      </w:r>
      <w:r w:rsidR="008979CE">
        <w:rPr>
          <w:rFonts w:ascii="Book Antiqua" w:eastAsia="Book Antiqua" w:hAnsi="Book Antiqua" w:cs="Book Antiqua"/>
          <w:color w:val="000000"/>
          <w:shd w:val="clear" w:color="auto" w:fill="FFFFFF"/>
        </w:rPr>
        <w:t>was</w:t>
      </w:r>
      <w:r>
        <w:rPr>
          <w:rFonts w:ascii="Book Antiqua" w:eastAsia="Book Antiqua" w:hAnsi="Book Antiqua" w:cs="Book Antiqua"/>
          <w:color w:val="000000"/>
          <w:shd w:val="clear" w:color="auto" w:fill="FFFFFF"/>
        </w:rPr>
        <w:t xml:space="preserve"> 36 ± 12 years. During </w:t>
      </w:r>
      <w:r w:rsidR="008979CE">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one-year follow</w:t>
      </w:r>
      <w:r w:rsidR="008979C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up</w:t>
      </w:r>
      <w:r w:rsidR="008979C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tacrolimus remained in </w:t>
      </w:r>
      <w:r w:rsidR="008979CE">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therapeutic range, between 5-7 ng/</w:t>
      </w:r>
      <w:proofErr w:type="spellStart"/>
      <w:r>
        <w:rPr>
          <w:rFonts w:ascii="Book Antiqua" w:eastAsia="Book Antiqua" w:hAnsi="Book Antiqua" w:cs="Book Antiqua"/>
          <w:color w:val="000000"/>
          <w:shd w:val="clear" w:color="auto" w:fill="FFFFFF"/>
        </w:rPr>
        <w:t>mL.</w:t>
      </w:r>
      <w:proofErr w:type="spellEnd"/>
      <w:r>
        <w:rPr>
          <w:rFonts w:ascii="Book Antiqua" w:eastAsia="Book Antiqua" w:hAnsi="Book Antiqua" w:cs="Book Antiqua"/>
          <w:color w:val="000000"/>
          <w:shd w:val="clear" w:color="auto" w:fill="FFFFFF"/>
        </w:rPr>
        <w:t xml:space="preserve"> The differences in mean tacrolimus </w:t>
      </w:r>
      <w:r>
        <w:rPr>
          <w:rFonts w:ascii="Book Antiqua" w:eastAsia="Book Antiqua" w:hAnsi="Book Antiqua" w:cs="Book Antiqua"/>
          <w:color w:val="000000"/>
        </w:rPr>
        <w:t xml:space="preserve">dose showed no significant </w:t>
      </w:r>
      <w:r>
        <w:rPr>
          <w:rFonts w:ascii="Book Antiqua" w:eastAsia="Book Antiqua" w:hAnsi="Book Antiqua" w:cs="Book Antiqua"/>
          <w:color w:val="000000"/>
          <w:shd w:val="clear" w:color="auto" w:fill="FFFFFF"/>
        </w:rPr>
        <w:t xml:space="preserve">variation upon ketoconazole initiation, nevertheless, 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after </w:t>
      </w:r>
      <w:r w:rsidR="008979CE">
        <w:rPr>
          <w:rFonts w:ascii="Book Antiqua" w:eastAsia="Book Antiqua" w:hAnsi="Book Antiqua" w:cs="Book Antiqua"/>
          <w:color w:val="000000"/>
          <w:shd w:val="clear" w:color="auto" w:fill="FFFFFF"/>
        </w:rPr>
        <w:t xml:space="preserve">initiation of </w:t>
      </w:r>
      <w:r>
        <w:rPr>
          <w:rFonts w:ascii="Book Antiqua" w:eastAsia="Book Antiqua" w:hAnsi="Book Antiqua" w:cs="Book Antiqua"/>
          <w:color w:val="000000"/>
          <w:shd w:val="clear" w:color="auto" w:fill="FFFFFF"/>
        </w:rPr>
        <w:t xml:space="preserve">the combination, there was a significant decrease in the tacrolimus dose. Here we describe the successful use of tacrolimus combined with ketoconazole in a population of pediatric transplant patients. </w:t>
      </w:r>
    </w:p>
    <w:p w14:paraId="1B359650" w14:textId="27506BC6"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In our study, none of the patients in the ketoconazole group experienced a decrease in eGFR. We observed an improvement in eGFR when we compared the last visit of patients </w:t>
      </w:r>
      <w:r w:rsidR="008979CE">
        <w:rPr>
          <w:rFonts w:ascii="Book Antiqua" w:eastAsia="Book Antiqua" w:hAnsi="Book Antiqua" w:cs="Book Antiqua"/>
          <w:color w:val="000000"/>
          <w:shd w:val="clear" w:color="auto" w:fill="FFFFFF"/>
        </w:rPr>
        <w:t>on the</w:t>
      </w:r>
      <w:r>
        <w:rPr>
          <w:rFonts w:ascii="Book Antiqua" w:eastAsia="Book Antiqua" w:hAnsi="Book Antiqua" w:cs="Book Antiqua"/>
          <w:color w:val="000000"/>
          <w:shd w:val="clear" w:color="auto" w:fill="FFFFFF"/>
        </w:rPr>
        <w:t xml:space="preserve"> ketoconazole combination and the visit before the combination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 0.001). Improvements in graft function with the addition of ketoconazole have been reported in pr</w:t>
      </w:r>
      <w:r w:rsidR="008979CE">
        <w:rPr>
          <w:rFonts w:ascii="Book Antiqua" w:eastAsia="Book Antiqua" w:hAnsi="Book Antiqua" w:cs="Book Antiqua"/>
          <w:color w:val="000000"/>
          <w:shd w:val="clear" w:color="auto" w:fill="FFFFFF"/>
        </w:rPr>
        <w:t>evious</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18,26]</w:t>
      </w:r>
      <w:r>
        <w:rPr>
          <w:rFonts w:ascii="Book Antiqua" w:eastAsia="Book Antiqua" w:hAnsi="Book Antiqua" w:cs="Book Antiqua"/>
          <w:color w:val="000000"/>
          <w:shd w:val="clear" w:color="auto" w:fill="FFFFFF"/>
        </w:rPr>
        <w:t xml:space="preserve"> suggesting that a reduction in tacrolimus dose decreases the risk and prevalence of tacrolimus nephrotoxicity. Studies have demonstrated that improvement in eGFR lead</w:t>
      </w:r>
      <w:r w:rsidR="008979C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to an increase in patient graft survival, and </w:t>
      </w:r>
      <w:r w:rsidR="008979CE">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reduction in graft </w:t>
      </w:r>
      <w:proofErr w:type="gramStart"/>
      <w:r>
        <w:rPr>
          <w:rFonts w:ascii="Book Antiqua" w:eastAsia="Book Antiqua" w:hAnsi="Book Antiqua" w:cs="Book Antiqua"/>
          <w:color w:val="000000"/>
          <w:shd w:val="clear" w:color="auto" w:fill="FFFFFF"/>
        </w:rPr>
        <w:t>loss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28,29]</w:t>
      </w:r>
      <w:r>
        <w:rPr>
          <w:rFonts w:ascii="Book Antiqua" w:eastAsia="Book Antiqua" w:hAnsi="Book Antiqua" w:cs="Book Antiqua"/>
          <w:color w:val="000000"/>
          <w:shd w:val="clear" w:color="auto" w:fill="FFFFFF"/>
        </w:rPr>
        <w:t>, we therefore expect that patients using the ketoconazole-tacrolimus combination have an equally high chance of graft survival compared to patients on usual doses of tacrolimus.</w:t>
      </w:r>
      <w:r>
        <w:rPr>
          <w:rFonts w:ascii="Book Antiqua" w:eastAsia="Book Antiqua" w:hAnsi="Book Antiqua" w:cs="Book Antiqua"/>
          <w:color w:val="000000"/>
        </w:rPr>
        <w:t xml:space="preserve"> </w:t>
      </w:r>
    </w:p>
    <w:p w14:paraId="71D43415" w14:textId="53435628"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In our study, the rejection rate remained unchanged during t</w:t>
      </w:r>
      <w:r w:rsidR="008979CE">
        <w:rPr>
          <w:rFonts w:ascii="Book Antiqua" w:eastAsia="Book Antiqua" w:hAnsi="Book Antiqua" w:cs="Book Antiqua"/>
          <w:color w:val="000000"/>
          <w:shd w:val="clear" w:color="auto" w:fill="FFFFFF"/>
        </w:rPr>
        <w:t>reatment with t</w:t>
      </w:r>
      <w:r>
        <w:rPr>
          <w:rFonts w:ascii="Book Antiqua" w:eastAsia="Book Antiqua" w:hAnsi="Book Antiqua" w:cs="Book Antiqua"/>
          <w:color w:val="000000"/>
          <w:shd w:val="clear" w:color="auto" w:fill="FFFFFF"/>
        </w:rPr>
        <w:t xml:space="preserve">he combination of ketoconazole and tacrolimus. However, other similar studies have demonstrated an increase in rejection rates in patients exposed to the combination of ketoconazole and tacrolimus when these patients have a high immunological risk, for example, those with African ethnicity, transplant recipients from cadaveric donors, and previously sensitized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xml:space="preserve">. We found that the number of rejections did not differ before and after drug combination, most likely because the patient population at FUNDANIER fits into a low immunological risk group characterized as transplant recipients from living donors, HLA compatible and non-sensitized patients. Most </w:t>
      </w:r>
      <w:r>
        <w:rPr>
          <w:rFonts w:ascii="Book Antiqua" w:eastAsia="Book Antiqua" w:hAnsi="Book Antiqua" w:cs="Book Antiqua"/>
          <w:color w:val="000000"/>
          <w:shd w:val="clear" w:color="auto" w:fill="FFFFFF"/>
        </w:rPr>
        <w:lastRenderedPageBreak/>
        <w:t>importantly, stability in graft function did not fluctuate with the use of combination therapy.</w:t>
      </w:r>
    </w:p>
    <w:p w14:paraId="74DF033C" w14:textId="03AFF211"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In 2013, the United States Food and Drug Administration</w:t>
      </w:r>
      <w:r w:rsidR="00CF6D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the “</w:t>
      </w:r>
      <w:proofErr w:type="spellStart"/>
      <w:r>
        <w:rPr>
          <w:rFonts w:ascii="Book Antiqua" w:eastAsia="Book Antiqua" w:hAnsi="Book Antiqua" w:cs="Book Antiqua"/>
          <w:color w:val="000000"/>
          <w:shd w:val="clear" w:color="auto" w:fill="FFFFFF"/>
        </w:rPr>
        <w:t>Agencia</w:t>
      </w:r>
      <w:proofErr w:type="spellEnd"/>
      <w:r>
        <w:rPr>
          <w:rFonts w:ascii="Book Antiqua" w:eastAsia="Book Antiqua" w:hAnsi="Book Antiqua" w:cs="Book Antiqua"/>
          <w:color w:val="000000"/>
          <w:shd w:val="clear" w:color="auto" w:fill="FFFFFF"/>
        </w:rPr>
        <w:t xml:space="preserve"> Española de </w:t>
      </w:r>
      <w:proofErr w:type="spellStart"/>
      <w:r>
        <w:rPr>
          <w:rFonts w:ascii="Book Antiqua" w:eastAsia="Book Antiqua" w:hAnsi="Book Antiqua" w:cs="Book Antiqua"/>
          <w:color w:val="000000"/>
          <w:shd w:val="clear" w:color="auto" w:fill="FFFFFF"/>
        </w:rPr>
        <w:t>Medicamentos</w:t>
      </w:r>
      <w:proofErr w:type="spellEnd"/>
      <w:r>
        <w:rPr>
          <w:rFonts w:ascii="Book Antiqua" w:eastAsia="Book Antiqua" w:hAnsi="Book Antiqua" w:cs="Book Antiqua"/>
          <w:color w:val="000000"/>
          <w:shd w:val="clear" w:color="auto" w:fill="FFFFFF"/>
        </w:rPr>
        <w:t xml:space="preserve"> y </w:t>
      </w:r>
      <w:proofErr w:type="spellStart"/>
      <w:r>
        <w:rPr>
          <w:rFonts w:ascii="Book Antiqua" w:eastAsia="Book Antiqua" w:hAnsi="Book Antiqua" w:cs="Book Antiqua"/>
          <w:color w:val="000000"/>
          <w:shd w:val="clear" w:color="auto" w:fill="FFFFFF"/>
        </w:rPr>
        <w:t>Productos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Sanitarios</w:t>
      </w:r>
      <w:proofErr w:type="spellEnd"/>
      <w:r>
        <w:rPr>
          <w:rFonts w:ascii="Book Antiqua" w:eastAsia="Book Antiqua" w:hAnsi="Book Antiqua" w:cs="Book Antiqua"/>
          <w:color w:val="000000"/>
          <w:shd w:val="clear" w:color="auto" w:fill="FFFFFF"/>
        </w:rPr>
        <w:t xml:space="preserve"> (AEMPS)” issued a restriction o</w:t>
      </w:r>
      <w:r w:rsidR="008979CE">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 xml:space="preserve"> ketoconazole use due to side effects, primarily hepatotoxicity and adrenal gland </w:t>
      </w:r>
      <w:proofErr w:type="gramStart"/>
      <w:r>
        <w:rPr>
          <w:rFonts w:ascii="Book Antiqua" w:eastAsia="Book Antiqua" w:hAnsi="Book Antiqua" w:cs="Book Antiqua"/>
          <w:color w:val="000000"/>
          <w:shd w:val="clear" w:color="auto" w:fill="FFFFFF"/>
        </w:rPr>
        <w:t>insufficiency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Restriction</w:t>
      </w:r>
      <w:r w:rsidR="008979CE">
        <w:rPr>
          <w:rFonts w:ascii="Book Antiqua" w:eastAsia="Book Antiqua" w:hAnsi="Book Antiqua" w:cs="Book Antiqua"/>
          <w:color w:val="000000"/>
          <w:shd w:val="clear" w:color="auto" w:fill="FFFFFF"/>
        </w:rPr>
        <w:t>s on</w:t>
      </w:r>
      <w:r>
        <w:rPr>
          <w:rFonts w:ascii="Book Antiqua" w:eastAsia="Book Antiqua" w:hAnsi="Book Antiqua" w:cs="Book Antiqua"/>
          <w:color w:val="000000"/>
          <w:shd w:val="clear" w:color="auto" w:fill="FFFFFF"/>
        </w:rPr>
        <w:t xml:space="preserve"> ketoconazole </w:t>
      </w:r>
      <w:r w:rsidR="008979CE">
        <w:rPr>
          <w:rFonts w:ascii="Book Antiqua" w:eastAsia="Book Antiqua" w:hAnsi="Book Antiqua" w:cs="Book Antiqua"/>
          <w:color w:val="000000"/>
          <w:shd w:val="clear" w:color="auto" w:fill="FFFFFF"/>
        </w:rPr>
        <w:t xml:space="preserve">were </w:t>
      </w:r>
      <w:r>
        <w:rPr>
          <w:rFonts w:ascii="Book Antiqua" w:eastAsia="Book Antiqua" w:hAnsi="Book Antiqua" w:cs="Book Antiqua"/>
          <w:color w:val="000000"/>
          <w:shd w:val="clear" w:color="auto" w:fill="FFFFFF"/>
        </w:rPr>
        <w:t xml:space="preserve">initiated in Guatemala several years later (after this study, 2016), but no policy changes in Guatemala regarding ketoconazole use in adults or children have been made. Despite these warnings and restrictions, we found no hepatotoxicity in our study and </w:t>
      </w:r>
      <w:r w:rsidR="008979CE">
        <w:rPr>
          <w:rFonts w:ascii="Book Antiqua" w:eastAsia="Book Antiqua" w:hAnsi="Book Antiqua" w:cs="Book Antiqua"/>
          <w:color w:val="000000"/>
          <w:shd w:val="clear" w:color="auto" w:fill="FFFFFF"/>
        </w:rPr>
        <w:t xml:space="preserve">this </w:t>
      </w:r>
      <w:r>
        <w:rPr>
          <w:rFonts w:ascii="Book Antiqua" w:eastAsia="Book Antiqua" w:hAnsi="Book Antiqua" w:cs="Book Antiqua"/>
          <w:color w:val="000000"/>
          <w:shd w:val="clear" w:color="auto" w:fill="FFFFFF"/>
        </w:rPr>
        <w:t xml:space="preserve">is likely attributed to the small doses used in our pediatric population (1.3 </w:t>
      </w:r>
      <w:r w:rsidR="00141829">
        <w:rPr>
          <w:rFonts w:ascii="Book Antiqua" w:eastAsia="Book Antiqua" w:hAnsi="Book Antiqua" w:cs="Book Antiqua"/>
          <w:color w:val="000000"/>
          <w:shd w:val="clear" w:color="auto" w:fill="FFFFFF"/>
        </w:rPr>
        <w:t>mg/kg/</w:t>
      </w:r>
      <w:proofErr w:type="gramStart"/>
      <w:r w:rsidR="00141829" w:rsidRPr="008B7899">
        <w:rPr>
          <w:rFonts w:ascii="Book Antiqua" w:eastAsia="Book Antiqua" w:hAnsi="Book Antiqua" w:cs="Book Antiqua"/>
          <w:color w:val="000000"/>
          <w:shd w:val="clear" w:color="auto" w:fill="FFFFFF"/>
        </w:rPr>
        <w:t>d</w:t>
      </w:r>
      <w:r w:rsidRPr="008B7899">
        <w:rPr>
          <w:rFonts w:ascii="Book Antiqua" w:eastAsia="Book Antiqua" w:hAnsi="Book Antiqua" w:cs="Book Antiqua"/>
          <w:color w:val="000000"/>
          <w:shd w:val="clear" w:color="auto" w:fill="FFFFFF"/>
        </w:rPr>
        <w:t>)</w:t>
      </w:r>
      <w:r w:rsidRPr="008B7899">
        <w:rPr>
          <w:rFonts w:ascii="Book Antiqua" w:eastAsia="Book Antiqua" w:hAnsi="Book Antiqua" w:cs="Book Antiqua"/>
          <w:color w:val="000000"/>
          <w:szCs w:val="30"/>
          <w:shd w:val="clear" w:color="auto" w:fill="FFFFFF"/>
          <w:vertAlign w:val="superscript"/>
        </w:rPr>
        <w:t>[</w:t>
      </w:r>
      <w:proofErr w:type="gramEnd"/>
      <w:r w:rsidR="00F53D20" w:rsidRPr="008B7899">
        <w:rPr>
          <w:rFonts w:ascii="Book Antiqua" w:eastAsia="Book Antiqua" w:hAnsi="Book Antiqua" w:cs="Book Antiqua"/>
          <w:color w:val="000000"/>
          <w:szCs w:val="30"/>
          <w:shd w:val="clear" w:color="auto" w:fill="FFFFFF"/>
          <w:vertAlign w:val="superscript"/>
        </w:rPr>
        <w:t>30,</w:t>
      </w:r>
      <w:r w:rsidRPr="008B7899">
        <w:rPr>
          <w:rFonts w:ascii="Book Antiqua" w:eastAsia="Book Antiqua" w:hAnsi="Book Antiqua" w:cs="Book Antiqua"/>
          <w:color w:val="000000"/>
          <w:szCs w:val="30"/>
          <w:shd w:val="clear" w:color="auto" w:fill="FFFFFF"/>
          <w:vertAlign w:val="superscript"/>
        </w:rPr>
        <w:t>31]</w:t>
      </w:r>
      <w:r w:rsidRPr="008B789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Of note, tacrolimus itself is known to cause </w:t>
      </w:r>
      <w:r w:rsidR="008979CE">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 xml:space="preserve">increase in </w:t>
      </w:r>
      <w:proofErr w:type="gramStart"/>
      <w:r>
        <w:rPr>
          <w:rFonts w:ascii="Book Antiqua" w:eastAsia="Book Antiqua" w:hAnsi="Book Antiqua" w:cs="Book Antiqua"/>
          <w:color w:val="000000"/>
          <w:shd w:val="clear" w:color="auto" w:fill="FFFFFF"/>
        </w:rPr>
        <w:t>transaminases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therefore our patients may have been protected by the dose reduction of tacrolimus with the combination of ketoconazole. Findings from our observational study may be supported by larger experimental studies in order to draw conclusions regarding the safety of ketoconazole. </w:t>
      </w:r>
    </w:p>
    <w:p w14:paraId="2A8C0D82" w14:textId="0FE615A6"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The combination of tacrolimus and ketoconazole resulted in substantial cost savings while preserving the safety profile for our post-transplant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16,24,26]</w:t>
      </w:r>
      <w:r>
        <w:rPr>
          <w:rFonts w:ascii="Book Antiqua" w:eastAsia="Book Antiqua" w:hAnsi="Book Antiqua" w:cs="Book Antiqua"/>
          <w:color w:val="000000"/>
          <w:shd w:val="clear" w:color="auto" w:fill="FFFFFF"/>
        </w:rPr>
        <w:t xml:space="preserve">. Other similar studies, from Sudan, United Kingdom and Egypt have shown substantial cost reductions, ranging from 52% to 60% when using the </w:t>
      </w:r>
      <w:proofErr w:type="gramStart"/>
      <w:r>
        <w:rPr>
          <w:rFonts w:ascii="Book Antiqua" w:eastAsia="Book Antiqua" w:hAnsi="Book Antiqua" w:cs="Book Antiqua"/>
          <w:color w:val="000000"/>
          <w:shd w:val="clear" w:color="auto" w:fill="FFFFFF"/>
        </w:rPr>
        <w:t>combination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15,18,20]</w:t>
      </w:r>
      <w:r>
        <w:rPr>
          <w:rFonts w:ascii="Book Antiqua" w:eastAsia="Book Antiqua" w:hAnsi="Book Antiqua" w:cs="Book Antiqua"/>
          <w:color w:val="000000"/>
          <w:shd w:val="clear" w:color="auto" w:fill="FFFFFF"/>
        </w:rPr>
        <w:t xml:space="preserve">. As in many other </w:t>
      </w:r>
      <w:r w:rsidR="001B31B9">
        <w:rPr>
          <w:rFonts w:ascii="Book Antiqua" w:eastAsia="Book Antiqua" w:hAnsi="Book Antiqua" w:cs="Book Antiqua"/>
          <w:color w:val="000000"/>
          <w:shd w:val="clear" w:color="auto" w:fill="FFFFFF"/>
        </w:rPr>
        <w:t>LMIC</w:t>
      </w:r>
      <w:r>
        <w:rPr>
          <w:rFonts w:ascii="Book Antiqua" w:eastAsia="Book Antiqua" w:hAnsi="Book Antiqua" w:cs="Book Antiqua"/>
          <w:color w:val="000000"/>
          <w:shd w:val="clear" w:color="auto" w:fill="FFFFFF"/>
        </w:rPr>
        <w:t xml:space="preserve">, the small percent of GDP dedicated to health care in Guatemala compromises the local government’s ability to provide transplant medication to the population. Cost reduction in transplant medications helps to mitigate barriers in </w:t>
      </w:r>
      <w:r>
        <w:rPr>
          <w:rFonts w:ascii="Book Antiqua" w:eastAsia="Book Antiqua" w:hAnsi="Book Antiqua" w:cs="Book Antiqua"/>
          <w:color w:val="000000"/>
        </w:rPr>
        <w:t xml:space="preserve">treatment </w:t>
      </w:r>
      <w:proofErr w:type="gramStart"/>
      <w:r>
        <w:rPr>
          <w:rFonts w:ascii="Book Antiqua" w:eastAsia="Book Antiqua" w:hAnsi="Book Antiqua" w:cs="Book Antiqua"/>
          <w:color w:val="000000"/>
        </w:rPr>
        <w:t>access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Within the socioeconomic setting of FUNDANIER, 18 of 25 patients experienced a cost reduction allowing the clinic to treat a greater number of transplant patients. </w:t>
      </w:r>
    </w:p>
    <w:p w14:paraId="59EEFFAE" w14:textId="5978DFB3" w:rsidR="00FC4B6A" w:rsidRDefault="005069E0">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We recognize the limitations of this study </w:t>
      </w:r>
      <w:r w:rsidR="001B31B9">
        <w:rPr>
          <w:rFonts w:ascii="Book Antiqua" w:eastAsia="Book Antiqua" w:hAnsi="Book Antiqua" w:cs="Book Antiqua"/>
          <w:color w:val="000000"/>
          <w:shd w:val="clear" w:color="auto" w:fill="FFFFFF"/>
        </w:rPr>
        <w:t>which</w:t>
      </w:r>
      <w:r>
        <w:rPr>
          <w:rFonts w:ascii="Book Antiqua" w:eastAsia="Book Antiqua" w:hAnsi="Book Antiqua" w:cs="Book Antiqua"/>
          <w:color w:val="000000"/>
          <w:shd w:val="clear" w:color="auto" w:fill="FFFFFF"/>
        </w:rPr>
        <w:t xml:space="preserve"> are typical of retrospective chart reviews carried out with few patients during short periods of time. For example, liver function tests were the only values recorded from patient charts to document </w:t>
      </w:r>
      <w:r w:rsidR="001B31B9">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side effects </w:t>
      </w:r>
      <w:r w:rsidR="001B31B9">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ketoconazole use.  Metabolic and adrenal side effects, that may </w:t>
      </w:r>
      <w:r w:rsidR="001B31B9">
        <w:rPr>
          <w:rFonts w:ascii="Book Antiqua" w:eastAsia="Book Antiqua" w:hAnsi="Book Antiqua" w:cs="Book Antiqua"/>
          <w:color w:val="000000"/>
          <w:shd w:val="clear" w:color="auto" w:fill="FFFFFF"/>
        </w:rPr>
        <w:t xml:space="preserve">be the </w:t>
      </w:r>
      <w:r>
        <w:rPr>
          <w:rFonts w:ascii="Book Antiqua" w:eastAsia="Book Antiqua" w:hAnsi="Book Antiqua" w:cs="Book Antiqua"/>
          <w:color w:val="000000"/>
          <w:shd w:val="clear" w:color="auto" w:fill="FFFFFF"/>
        </w:rPr>
        <w:t xml:space="preserve">result </w:t>
      </w:r>
      <w:r w:rsidR="001B31B9">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ketoconazole use, were not documented in this study. Nevertheless, if serious adverse </w:t>
      </w:r>
      <w:r>
        <w:rPr>
          <w:rFonts w:ascii="Book Antiqua" w:eastAsia="Book Antiqua" w:hAnsi="Book Antiqua" w:cs="Book Antiqua"/>
          <w:color w:val="000000"/>
          <w:shd w:val="clear" w:color="auto" w:fill="FFFFFF"/>
        </w:rPr>
        <w:lastRenderedPageBreak/>
        <w:t xml:space="preserve">events </w:t>
      </w:r>
      <w:r w:rsidR="001B31B9">
        <w:rPr>
          <w:rFonts w:ascii="Book Antiqua" w:eastAsia="Book Antiqua" w:hAnsi="Book Antiqua" w:cs="Book Antiqua"/>
          <w:color w:val="000000"/>
          <w:shd w:val="clear" w:color="auto" w:fill="FFFFFF"/>
        </w:rPr>
        <w:t>due to</w:t>
      </w:r>
      <w:r>
        <w:rPr>
          <w:rFonts w:ascii="Book Antiqua" w:eastAsia="Book Antiqua" w:hAnsi="Book Antiqua" w:cs="Book Antiqua"/>
          <w:color w:val="000000"/>
          <w:shd w:val="clear" w:color="auto" w:fill="FFFFFF"/>
        </w:rPr>
        <w:t xml:space="preserve"> ketoconazole use </w:t>
      </w:r>
      <w:r w:rsidR="001B31B9">
        <w:rPr>
          <w:rFonts w:ascii="Book Antiqua" w:eastAsia="Book Antiqua" w:hAnsi="Book Antiqua" w:cs="Book Antiqua"/>
          <w:color w:val="000000"/>
          <w:shd w:val="clear" w:color="auto" w:fill="FFFFFF"/>
        </w:rPr>
        <w:t xml:space="preserve">had </w:t>
      </w:r>
      <w:r>
        <w:rPr>
          <w:rFonts w:ascii="Book Antiqua" w:eastAsia="Book Antiqua" w:hAnsi="Book Antiqua" w:cs="Book Antiqua"/>
          <w:color w:val="000000"/>
          <w:shd w:val="clear" w:color="auto" w:fill="FFFFFF"/>
        </w:rPr>
        <w:t>occurred (</w:t>
      </w:r>
      <w:r>
        <w:rPr>
          <w:rFonts w:ascii="Book Antiqua" w:eastAsia="Book Antiqua" w:hAnsi="Book Antiqua" w:cs="Book Antiqua"/>
          <w:i/>
          <w:iCs/>
          <w:color w:val="000000"/>
          <w:shd w:val="clear" w:color="auto" w:fill="FFFFFF"/>
        </w:rPr>
        <w:t>i.e.</w:t>
      </w:r>
      <w:r w:rsidR="00141829" w:rsidRPr="00141829">
        <w:rPr>
          <w:rFonts w:ascii="Book Antiqua" w:eastAsia="Book Antiqua" w:hAnsi="Book Antiqua" w:cs="Book Antiqua"/>
          <w:iCs/>
          <w:color w:val="000000"/>
          <w:shd w:val="clear" w:color="auto" w:fill="FFFFFF"/>
        </w:rPr>
        <w:t>,</w:t>
      </w:r>
      <w:r w:rsidRPr="0014182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metabolic adverse events, abnormalities in EKG), they would have been reported to the equivalent of the regulatory department in Guatemala and documented within this study. Also, our study represents a small proportion of patients who receive renal transplants in the LMIC setting and may not be representative of all patients in other countries. In the FUNDANIER clinic population, the safety and efficacy of tacrolimus and ketoconazole have been successfully observed in pediatric post-renal transplant patients demonstrating a significant cost reduction.  However</w:t>
      </w:r>
      <w:r w:rsidR="001B31B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larger studies need to be carried out to capture broad safety and efficacy profiles in this patient population. These types of interventions are of added benefit in the LMIC setting where access to medications post-transplant </w:t>
      </w:r>
      <w:r w:rsidR="001B31B9">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problematic. </w:t>
      </w:r>
    </w:p>
    <w:p w14:paraId="1046E726" w14:textId="77777777" w:rsidR="00CF04B0" w:rsidRDefault="00CF04B0" w:rsidP="00CF04B0">
      <w:pPr>
        <w:spacing w:line="360" w:lineRule="auto"/>
        <w:jc w:val="both"/>
        <w:rPr>
          <w:rFonts w:ascii="Book Antiqua" w:eastAsia="Book Antiqua" w:hAnsi="Book Antiqua" w:cs="Book Antiqua"/>
          <w:color w:val="000000"/>
          <w:shd w:val="clear" w:color="auto" w:fill="FFFFFF"/>
        </w:rPr>
      </w:pPr>
    </w:p>
    <w:p w14:paraId="764578B4" w14:textId="4D6BA322" w:rsidR="00CF04B0" w:rsidRPr="00CF04B0" w:rsidRDefault="00CF04B0" w:rsidP="00CF04B0">
      <w:pPr>
        <w:spacing w:line="360" w:lineRule="auto"/>
        <w:jc w:val="both"/>
        <w:rPr>
          <w:rFonts w:ascii="Book Antiqua" w:eastAsiaTheme="minorEastAsia" w:hAnsi="Book Antiqua" w:cs="Book Antiqua"/>
          <w:b/>
          <w:color w:val="000000"/>
          <w:u w:val="single"/>
          <w:shd w:val="clear" w:color="auto" w:fill="FFFFFF"/>
          <w:lang w:eastAsia="zh-CN"/>
        </w:rPr>
      </w:pPr>
      <w:r w:rsidRPr="00CF04B0">
        <w:rPr>
          <w:rFonts w:ascii="Book Antiqua" w:eastAsiaTheme="minorEastAsia" w:hAnsi="Book Antiqua" w:cs="Book Antiqua" w:hint="eastAsia"/>
          <w:b/>
          <w:color w:val="000000"/>
          <w:u w:val="single"/>
          <w:shd w:val="clear" w:color="auto" w:fill="FFFFFF"/>
          <w:lang w:eastAsia="zh-CN"/>
        </w:rPr>
        <w:t>C</w:t>
      </w:r>
      <w:r w:rsidRPr="00CF04B0">
        <w:rPr>
          <w:rFonts w:ascii="Book Antiqua" w:eastAsiaTheme="minorEastAsia" w:hAnsi="Book Antiqua" w:cs="Book Antiqua"/>
          <w:b/>
          <w:color w:val="000000"/>
          <w:u w:val="single"/>
          <w:shd w:val="clear" w:color="auto" w:fill="FFFFFF"/>
          <w:lang w:eastAsia="zh-CN"/>
        </w:rPr>
        <w:t>ONCLUSION</w:t>
      </w:r>
    </w:p>
    <w:p w14:paraId="40D38CAE" w14:textId="39D4D2D8" w:rsidR="00FC4B6A" w:rsidRDefault="005069E0" w:rsidP="00CF04B0">
      <w:pPr>
        <w:spacing w:line="360" w:lineRule="auto"/>
        <w:jc w:val="both"/>
      </w:pPr>
      <w:r>
        <w:rPr>
          <w:rFonts w:ascii="Book Antiqua" w:eastAsia="Book Antiqua" w:hAnsi="Book Antiqua" w:cs="Book Antiqua"/>
          <w:color w:val="000000"/>
        </w:rPr>
        <w:t xml:space="preserve">Patients experienced an effective dose-reduction of tacrolimus with the administration of ketoconazole. </w:t>
      </w:r>
      <w:r w:rsidR="001B31B9">
        <w:rPr>
          <w:rFonts w:ascii="Book Antiqua" w:eastAsia="Book Antiqua" w:hAnsi="Book Antiqua" w:cs="Book Antiqua"/>
          <w:color w:val="000000"/>
        </w:rPr>
        <w:t>N</w:t>
      </w:r>
      <w:r>
        <w:rPr>
          <w:rFonts w:ascii="Book Antiqua" w:eastAsia="Book Antiqua" w:hAnsi="Book Antiqua" w:cs="Book Antiqua"/>
          <w:color w:val="000000"/>
        </w:rPr>
        <w:t>o relevant variation</w:t>
      </w:r>
      <w:r w:rsidR="001B31B9">
        <w:rPr>
          <w:rFonts w:ascii="Book Antiqua" w:eastAsia="Book Antiqua" w:hAnsi="Book Antiqua" w:cs="Book Antiqua"/>
          <w:color w:val="000000"/>
        </w:rPr>
        <w:t>s</w:t>
      </w:r>
      <w:r>
        <w:rPr>
          <w:rFonts w:ascii="Book Antiqua" w:eastAsia="Book Antiqua" w:hAnsi="Book Antiqua" w:cs="Book Antiqua"/>
          <w:color w:val="000000"/>
        </w:rPr>
        <w:t xml:space="preserve"> in tacrolimus serum levels, number of rejections, or significant liver toxicity</w:t>
      </w:r>
      <w:r w:rsidR="001B31B9">
        <w:rPr>
          <w:rFonts w:ascii="Book Antiqua" w:eastAsia="Book Antiqua" w:hAnsi="Book Antiqua" w:cs="Book Antiqua"/>
          <w:color w:val="000000"/>
        </w:rPr>
        <w:t xml:space="preserve"> were observed</w:t>
      </w:r>
      <w:r>
        <w:rPr>
          <w:rFonts w:ascii="Book Antiqua" w:eastAsia="Book Antiqua" w:hAnsi="Book Antiqua" w:cs="Book Antiqua"/>
          <w:color w:val="000000"/>
        </w:rPr>
        <w:t>. This allowed a significant cost reduction in the use of pediatric immunosuppressive therapy.</w:t>
      </w:r>
    </w:p>
    <w:p w14:paraId="0EC8BA38" w14:textId="77777777" w:rsidR="00FC4B6A" w:rsidRDefault="00FC4B6A">
      <w:pPr>
        <w:spacing w:line="360" w:lineRule="auto"/>
        <w:jc w:val="both"/>
      </w:pPr>
    </w:p>
    <w:p w14:paraId="459CA300" w14:textId="77777777" w:rsidR="00FC4B6A" w:rsidRDefault="005069E0">
      <w:pPr>
        <w:spacing w:line="360" w:lineRule="auto"/>
        <w:jc w:val="both"/>
      </w:pPr>
      <w:r>
        <w:rPr>
          <w:rFonts w:ascii="Book Antiqua" w:eastAsia="Book Antiqua" w:hAnsi="Book Antiqua" w:cs="Book Antiqua"/>
          <w:b/>
          <w:caps/>
          <w:color w:val="000000"/>
          <w:u w:val="single"/>
        </w:rPr>
        <w:t>ARTICLE HIGHLIGHTS</w:t>
      </w:r>
    </w:p>
    <w:p w14:paraId="25261ABB" w14:textId="77777777" w:rsidR="00FC4B6A" w:rsidRDefault="005069E0">
      <w:pPr>
        <w:spacing w:line="360" w:lineRule="auto"/>
        <w:jc w:val="both"/>
      </w:pPr>
      <w:r>
        <w:rPr>
          <w:rFonts w:ascii="Book Antiqua" w:eastAsia="Book Antiqua" w:hAnsi="Book Antiqua" w:cs="Book Antiqua"/>
          <w:b/>
          <w:i/>
          <w:color w:val="000000"/>
        </w:rPr>
        <w:t>Research background</w:t>
      </w:r>
    </w:p>
    <w:p w14:paraId="41DC48B5" w14:textId="34A988C1" w:rsidR="00FC4B6A" w:rsidRDefault="005069E0">
      <w:pPr>
        <w:spacing w:line="360" w:lineRule="auto"/>
        <w:jc w:val="both"/>
      </w:pPr>
      <w:r>
        <w:rPr>
          <w:rFonts w:ascii="Book Antiqua" w:eastAsia="Book Antiqua" w:hAnsi="Book Antiqua" w:cs="Book Antiqua"/>
          <w:color w:val="000000"/>
        </w:rPr>
        <w:t xml:space="preserve">Transplant clinics in developing countries continually aim to provide successful renal transplant care at the lowest possible cost, and have reported </w:t>
      </w:r>
      <w:r w:rsidR="001B31B9">
        <w:rPr>
          <w:rFonts w:ascii="Book Antiqua" w:eastAsia="Book Antiqua" w:hAnsi="Book Antiqua" w:cs="Book Antiqua"/>
          <w:color w:val="000000"/>
        </w:rPr>
        <w:t xml:space="preserve">that the </w:t>
      </w:r>
      <w:r>
        <w:rPr>
          <w:rFonts w:ascii="Book Antiqua" w:eastAsia="Book Antiqua" w:hAnsi="Book Antiqua" w:cs="Book Antiqua"/>
          <w:color w:val="000000"/>
        </w:rPr>
        <w:t>combined use of ketoconazole with low-dose tacrolimus increase</w:t>
      </w:r>
      <w:r w:rsidR="001B31B9">
        <w:rPr>
          <w:rFonts w:ascii="Book Antiqua" w:eastAsia="Book Antiqua" w:hAnsi="Book Antiqua" w:cs="Book Antiqua"/>
          <w:color w:val="000000"/>
        </w:rPr>
        <w:t>s</w:t>
      </w:r>
      <w:r>
        <w:rPr>
          <w:rFonts w:ascii="Book Antiqua" w:eastAsia="Book Antiqua" w:hAnsi="Book Antiqua" w:cs="Book Antiqua"/>
          <w:color w:val="000000"/>
        </w:rPr>
        <w:t xml:space="preserve"> tacrolimus bioavailability through metabolic inhibition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P450 3A4. </w:t>
      </w:r>
    </w:p>
    <w:p w14:paraId="3ADE1A40" w14:textId="77777777" w:rsidR="00FC4B6A" w:rsidRDefault="00FC4B6A">
      <w:pPr>
        <w:spacing w:line="360" w:lineRule="auto"/>
        <w:jc w:val="both"/>
      </w:pPr>
    </w:p>
    <w:p w14:paraId="75A1E290" w14:textId="77777777" w:rsidR="00FC4B6A" w:rsidRDefault="005069E0">
      <w:pPr>
        <w:spacing w:line="360" w:lineRule="auto"/>
        <w:jc w:val="both"/>
      </w:pPr>
      <w:r>
        <w:rPr>
          <w:rFonts w:ascii="Book Antiqua" w:eastAsia="Book Antiqua" w:hAnsi="Book Antiqua" w:cs="Book Antiqua"/>
          <w:b/>
          <w:i/>
          <w:color w:val="000000"/>
        </w:rPr>
        <w:t>Research motivation</w:t>
      </w:r>
    </w:p>
    <w:p w14:paraId="5E7D9BEE" w14:textId="66F0173F" w:rsidR="00FC4B6A" w:rsidRDefault="005069E0">
      <w:pPr>
        <w:spacing w:line="360" w:lineRule="auto"/>
        <w:jc w:val="both"/>
      </w:pPr>
      <w:r>
        <w:rPr>
          <w:rFonts w:ascii="Book Antiqua" w:eastAsia="Book Antiqua" w:hAnsi="Book Antiqua" w:cs="Book Antiqua"/>
          <w:color w:val="000000"/>
        </w:rPr>
        <w:t xml:space="preserve">This combination has been used </w:t>
      </w:r>
      <w:r w:rsidR="001B31B9">
        <w:rPr>
          <w:rFonts w:ascii="Book Antiqua" w:eastAsia="Book Antiqua" w:hAnsi="Book Antiqua" w:cs="Book Antiqua"/>
          <w:color w:val="000000"/>
        </w:rPr>
        <w:t xml:space="preserve">successfully </w:t>
      </w:r>
      <w:r>
        <w:rPr>
          <w:rFonts w:ascii="Book Antiqua" w:eastAsia="Book Antiqua" w:hAnsi="Book Antiqua" w:cs="Book Antiqua"/>
          <w:color w:val="000000"/>
        </w:rPr>
        <w:t xml:space="preserve">in adult transplant patients, but has not been demonstrated in pediatric patients. In order to expand successful renal transplant care to children and adolescents at the lowest possible cost, our pediatric renal </w:t>
      </w:r>
      <w:r>
        <w:rPr>
          <w:rFonts w:ascii="Book Antiqua" w:eastAsia="Book Antiqua" w:hAnsi="Book Antiqua" w:cs="Book Antiqua"/>
          <w:color w:val="000000"/>
        </w:rPr>
        <w:lastRenderedPageBreak/>
        <w:t xml:space="preserve">transplant clinic uses a post-transplant tacrolimus-sparing strategy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CYP3A4.</w:t>
      </w:r>
    </w:p>
    <w:p w14:paraId="13D3EFC7" w14:textId="77777777" w:rsidR="00FC4B6A" w:rsidRDefault="00FC4B6A">
      <w:pPr>
        <w:spacing w:line="360" w:lineRule="auto"/>
        <w:jc w:val="both"/>
      </w:pPr>
    </w:p>
    <w:p w14:paraId="44A25180" w14:textId="77777777" w:rsidR="00FC4B6A" w:rsidRDefault="005069E0">
      <w:pPr>
        <w:spacing w:line="360" w:lineRule="auto"/>
        <w:jc w:val="both"/>
      </w:pPr>
      <w:r>
        <w:rPr>
          <w:rFonts w:ascii="Book Antiqua" w:eastAsia="Book Antiqua" w:hAnsi="Book Antiqua" w:cs="Book Antiqua"/>
          <w:b/>
          <w:i/>
          <w:color w:val="000000"/>
        </w:rPr>
        <w:t>Research objectives</w:t>
      </w:r>
    </w:p>
    <w:p w14:paraId="221D7BC9" w14:textId="23B8C280" w:rsidR="00FC4B6A" w:rsidRDefault="005069E0">
      <w:pPr>
        <w:spacing w:line="360" w:lineRule="auto"/>
        <w:jc w:val="both"/>
      </w:pPr>
      <w:r>
        <w:rPr>
          <w:rFonts w:ascii="Book Antiqua" w:eastAsia="Book Antiqua" w:hAnsi="Book Antiqua" w:cs="Book Antiqua"/>
          <w:color w:val="000000"/>
        </w:rPr>
        <w:t xml:space="preserve">The objective of this study was to identify the changes in tacrolimus dose and plasma concentration associated </w:t>
      </w:r>
      <w:r w:rsidR="001B31B9">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use of ketoconazole as a pharmacokinetic booster. We describe the safety, efficacy and the associated cost reduction of this combination from a retrospective cohort of children with </w:t>
      </w:r>
      <w:r w:rsidR="001B31B9">
        <w:rPr>
          <w:rFonts w:ascii="Book Antiqua" w:eastAsia="Book Antiqua" w:hAnsi="Book Antiqua" w:cs="Book Antiqua"/>
          <w:color w:val="000000"/>
        </w:rPr>
        <w:t xml:space="preserve">a </w:t>
      </w:r>
      <w:r>
        <w:rPr>
          <w:rFonts w:ascii="Book Antiqua" w:eastAsia="Book Antiqua" w:hAnsi="Book Antiqua" w:cs="Book Antiqua"/>
          <w:color w:val="000000"/>
        </w:rPr>
        <w:t xml:space="preserve">kidney transplant in </w:t>
      </w:r>
      <w:r w:rsidR="001B31B9">
        <w:rPr>
          <w:rFonts w:ascii="Book Antiqua" w:eastAsia="Book Antiqua" w:hAnsi="Book Antiqua" w:cs="Book Antiqua"/>
          <w:color w:val="000000"/>
        </w:rPr>
        <w:t xml:space="preserve">the </w:t>
      </w:r>
      <w:r>
        <w:rPr>
          <w:rFonts w:ascii="Book Antiqua" w:eastAsia="Book Antiqua" w:hAnsi="Book Antiqua" w:cs="Book Antiqua"/>
          <w:color w:val="000000"/>
        </w:rPr>
        <w:t>FUNDANIER.</w:t>
      </w:r>
    </w:p>
    <w:p w14:paraId="60229127" w14:textId="77777777" w:rsidR="00FC4B6A" w:rsidRDefault="00FC4B6A">
      <w:pPr>
        <w:spacing w:line="360" w:lineRule="auto"/>
        <w:jc w:val="both"/>
      </w:pPr>
    </w:p>
    <w:p w14:paraId="29277BC8" w14:textId="77777777" w:rsidR="00FC4B6A" w:rsidRDefault="005069E0">
      <w:pPr>
        <w:spacing w:line="360" w:lineRule="auto"/>
        <w:jc w:val="both"/>
      </w:pPr>
      <w:r>
        <w:rPr>
          <w:rFonts w:ascii="Book Antiqua" w:eastAsia="Book Antiqua" w:hAnsi="Book Antiqua" w:cs="Book Antiqua"/>
          <w:b/>
          <w:i/>
          <w:color w:val="000000"/>
        </w:rPr>
        <w:t>Research methods</w:t>
      </w:r>
    </w:p>
    <w:p w14:paraId="6AC46FBC" w14:textId="0444CE93" w:rsidR="00FC4B6A" w:rsidRDefault="005069E0">
      <w:pPr>
        <w:spacing w:line="360" w:lineRule="auto"/>
        <w:jc w:val="both"/>
      </w:pPr>
      <w:r>
        <w:rPr>
          <w:rFonts w:ascii="Book Antiqua" w:eastAsia="Book Antiqua" w:hAnsi="Book Antiqua" w:cs="Book Antiqua"/>
          <w:color w:val="000000"/>
        </w:rPr>
        <w:t xml:space="preserve">We carried out a retrospective observational study, with a pre-post single arm design collecting information from 2011 to 2015 from </w:t>
      </w:r>
      <w:r w:rsidR="001B31B9">
        <w:rPr>
          <w:rFonts w:ascii="Book Antiqua" w:eastAsia="Book Antiqua" w:hAnsi="Book Antiqua" w:cs="Book Antiqua"/>
          <w:color w:val="000000"/>
        </w:rPr>
        <w:t xml:space="preserve">a </w:t>
      </w:r>
      <w:r>
        <w:rPr>
          <w:rFonts w:ascii="Book Antiqua" w:eastAsia="Book Antiqua" w:hAnsi="Book Antiqua" w:cs="Book Antiqua"/>
          <w:color w:val="000000"/>
        </w:rPr>
        <w:t xml:space="preserve">cohort of patient records stored in FUNDANIER database before and after the addition of ketoconazole to </w:t>
      </w:r>
      <w:r w:rsidR="001B31B9">
        <w:rPr>
          <w:rFonts w:ascii="Book Antiqua" w:eastAsia="Book Antiqua" w:hAnsi="Book Antiqua" w:cs="Book Antiqua"/>
          <w:color w:val="000000"/>
        </w:rPr>
        <w:t xml:space="preserve">the </w:t>
      </w:r>
      <w:r>
        <w:rPr>
          <w:rFonts w:ascii="Book Antiqua" w:eastAsia="Book Antiqua" w:hAnsi="Book Antiqua" w:cs="Book Antiqua"/>
          <w:color w:val="000000"/>
        </w:rPr>
        <w:t xml:space="preserve">usual immunosuppressive protocol. Inclusion criteria for chart review were: age younger than 18 years, at least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post-transplantation, currently on the tacrolimus protocol, and switched to ketoconazole/tacrolimus combination during their outpatient transplant clinic attendance. Charts were reviewed to identify the point at which ketoconazole was added to the post-transplant treatment. A total of six documented visits were reviewed for each patient chart during the study: 3 visits prior to ketoconazole initiation and 3 visits after </w:t>
      </w:r>
      <w:r w:rsidR="001B31B9">
        <w:rPr>
          <w:rFonts w:ascii="Book Antiqua" w:eastAsia="Book Antiqua" w:hAnsi="Book Antiqua" w:cs="Book Antiqua"/>
          <w:color w:val="000000"/>
        </w:rPr>
        <w:t xml:space="preserve">the </w:t>
      </w:r>
      <w:r>
        <w:rPr>
          <w:rFonts w:ascii="Book Antiqua" w:eastAsia="Book Antiqua" w:hAnsi="Book Antiqua" w:cs="Book Antiqua"/>
          <w:color w:val="000000"/>
        </w:rPr>
        <w:t xml:space="preserve">combination was initiated. An average of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between each visit w</w:t>
      </w:r>
      <w:r w:rsidR="001B31B9">
        <w:rPr>
          <w:rFonts w:ascii="Book Antiqua" w:eastAsia="Book Antiqua" w:hAnsi="Book Antiqua" w:cs="Book Antiqua"/>
          <w:color w:val="000000"/>
        </w:rPr>
        <w:t>as</w:t>
      </w:r>
      <w:r>
        <w:rPr>
          <w:rFonts w:ascii="Book Antiqua" w:eastAsia="Book Antiqua" w:hAnsi="Book Antiqua" w:cs="Book Antiqua"/>
          <w:color w:val="000000"/>
        </w:rPr>
        <w:t xml:space="preserve"> documented.</w:t>
      </w:r>
    </w:p>
    <w:p w14:paraId="0CFF7576" w14:textId="77777777" w:rsidR="00FC4B6A" w:rsidRDefault="00FC4B6A">
      <w:pPr>
        <w:spacing w:line="360" w:lineRule="auto"/>
        <w:jc w:val="both"/>
      </w:pPr>
    </w:p>
    <w:p w14:paraId="3F49F494" w14:textId="77777777" w:rsidR="00FC4B6A" w:rsidRDefault="005069E0">
      <w:pPr>
        <w:spacing w:line="360" w:lineRule="auto"/>
        <w:jc w:val="both"/>
      </w:pPr>
      <w:r>
        <w:rPr>
          <w:rFonts w:ascii="Book Antiqua" w:eastAsia="Book Antiqua" w:hAnsi="Book Antiqua" w:cs="Book Antiqua"/>
          <w:b/>
          <w:i/>
          <w:color w:val="000000"/>
        </w:rPr>
        <w:t>Research results</w:t>
      </w:r>
    </w:p>
    <w:p w14:paraId="13389AE6" w14:textId="7641BC62" w:rsidR="00FC4B6A" w:rsidRDefault="005069E0">
      <w:pPr>
        <w:spacing w:line="360" w:lineRule="auto"/>
        <w:jc w:val="both"/>
      </w:pPr>
      <w:r>
        <w:rPr>
          <w:rFonts w:ascii="Book Antiqua" w:eastAsia="Book Antiqua" w:hAnsi="Book Antiqua" w:cs="Book Antiqua"/>
          <w:color w:val="000000"/>
        </w:rPr>
        <w:t>Of the 25 patient charts reviewed</w:t>
      </w:r>
      <w:r w:rsidR="001B31B9">
        <w:rPr>
          <w:rFonts w:ascii="Book Antiqua" w:eastAsia="Book Antiqua" w:hAnsi="Book Antiqua" w:cs="Book Antiqua"/>
          <w:color w:val="000000"/>
        </w:rPr>
        <w:t>,</w:t>
      </w:r>
      <w:r>
        <w:rPr>
          <w:rFonts w:ascii="Book Antiqua" w:eastAsia="Book Antiqua" w:hAnsi="Book Antiqua" w:cs="Book Antiqua"/>
          <w:color w:val="000000"/>
        </w:rPr>
        <w:t xml:space="preserve"> 12 (48%) patients were male and the average </w:t>
      </w:r>
      <w:r w:rsidR="001B31B9">
        <w:rPr>
          <w:rFonts w:ascii="Book Antiqua" w:eastAsia="Book Antiqua" w:hAnsi="Book Antiqua" w:cs="Book Antiqua"/>
          <w:color w:val="000000"/>
        </w:rPr>
        <w:t xml:space="preserve">age of the </w:t>
      </w:r>
      <w:r>
        <w:rPr>
          <w:rFonts w:ascii="Book Antiqua" w:eastAsia="Book Antiqua" w:hAnsi="Book Antiqua" w:cs="Book Antiqua"/>
          <w:color w:val="000000"/>
        </w:rPr>
        <w:t>patient</w:t>
      </w:r>
      <w:r w:rsidR="001B31B9">
        <w:rPr>
          <w:rFonts w:ascii="Book Antiqua" w:eastAsia="Book Antiqua" w:hAnsi="Book Antiqua" w:cs="Book Antiqua"/>
          <w:color w:val="000000"/>
        </w:rPr>
        <w:t>s</w:t>
      </w:r>
      <w:r>
        <w:rPr>
          <w:rFonts w:ascii="Book Antiqua" w:eastAsia="Book Antiqua" w:hAnsi="Book Antiqua" w:cs="Book Antiqua"/>
          <w:color w:val="000000"/>
        </w:rPr>
        <w:t xml:space="preserve"> was 13 years. Twenty-four (96%) transplant</w:t>
      </w:r>
      <w:r w:rsidR="001B31B9">
        <w:rPr>
          <w:rFonts w:ascii="Book Antiqua" w:eastAsia="Book Antiqua" w:hAnsi="Book Antiqua" w:cs="Book Antiqua"/>
          <w:color w:val="000000"/>
        </w:rPr>
        <w:t>s</w:t>
      </w:r>
      <w:r>
        <w:rPr>
          <w:rFonts w:ascii="Book Antiqua" w:eastAsia="Book Antiqua" w:hAnsi="Book Antiqua" w:cs="Book Antiqua"/>
          <w:color w:val="000000"/>
        </w:rPr>
        <w:t xml:space="preserve"> were from living donors. </w:t>
      </w:r>
      <w:r w:rsidRPr="00141829">
        <w:rPr>
          <w:rFonts w:ascii="Book Antiqua" w:eastAsia="Book Antiqua" w:hAnsi="Book Antiqua" w:cs="Book Antiqua"/>
          <w:color w:val="000000"/>
        </w:rPr>
        <w:t>There was a non-significant difference between the mean tacrolimus doses six months and two months prior to ketoconazole:  -0.10 ± 0.04 (</w:t>
      </w:r>
      <w:r w:rsidR="00176B3C">
        <w:rPr>
          <w:rFonts w:ascii="Book Antiqua" w:eastAsia="Book Antiqua" w:hAnsi="Book Antiqua" w:cs="Book Antiqua"/>
          <w:color w:val="000000"/>
        </w:rPr>
        <w:t>95%CI</w:t>
      </w:r>
      <w:r w:rsidR="00FA30F1">
        <w:rPr>
          <w:rFonts w:ascii="Book Antiqua" w:eastAsiaTheme="minorEastAsia" w:hAnsi="Book Antiqua" w:cs="Book Antiqua" w:hint="eastAsia"/>
          <w:color w:val="000000"/>
          <w:lang w:eastAsia="zh-CN"/>
        </w:rPr>
        <w:t>:</w:t>
      </w:r>
      <w:r w:rsidRPr="00141829">
        <w:rPr>
          <w:rFonts w:ascii="Book Antiqua" w:eastAsia="Book Antiqua" w:hAnsi="Book Antiqua" w:cs="Book Antiqua"/>
          <w:color w:val="000000"/>
        </w:rPr>
        <w:t xml:space="preserve"> 0.007, -0.029), </w:t>
      </w:r>
      <w:r w:rsidRPr="00141829">
        <w:rPr>
          <w:rFonts w:ascii="Book Antiqua" w:eastAsia="Book Antiqua" w:hAnsi="Book Antiqua" w:cs="Book Antiqua"/>
          <w:i/>
          <w:iCs/>
          <w:color w:val="000000"/>
        </w:rPr>
        <w:t>P</w:t>
      </w:r>
      <w:r w:rsidRPr="00141829">
        <w:rPr>
          <w:rFonts w:ascii="Book Antiqua" w:eastAsia="Book Antiqua" w:hAnsi="Book Antiqua" w:cs="Book Antiqua"/>
          <w:color w:val="000000"/>
        </w:rPr>
        <w:t xml:space="preserve"> </w:t>
      </w:r>
      <w:r w:rsidR="00141829" w:rsidRPr="00141829">
        <w:rPr>
          <w:rFonts w:ascii="Book Antiqua" w:eastAsia="Book Antiqua" w:hAnsi="Book Antiqua" w:cs="Book Antiqua"/>
          <w:color w:val="000000"/>
        </w:rPr>
        <w:t xml:space="preserve">= </w:t>
      </w:r>
      <w:r w:rsidRPr="00141829">
        <w:rPr>
          <w:rFonts w:ascii="Book Antiqua" w:eastAsia="Book Antiqua" w:hAnsi="Book Antiqua" w:cs="Book Antiqua"/>
          <w:color w:val="000000"/>
        </w:rPr>
        <w:t xml:space="preserve">0.23. However, the difference between the mean tacrolimus doses six months prior to ketoconazole initiation and six months after ketoconazole addition was significant: 0.06 </w:t>
      </w:r>
      <w:r w:rsidR="00141829" w:rsidRPr="00141829">
        <w:rPr>
          <w:rFonts w:ascii="Book Antiqua" w:eastAsia="Book Antiqua" w:hAnsi="Book Antiqua" w:cs="Book Antiqua"/>
          <w:color w:val="000000"/>
        </w:rPr>
        <w:lastRenderedPageBreak/>
        <w:t xml:space="preserve">± </w:t>
      </w:r>
      <w:r w:rsidRPr="00141829">
        <w:rPr>
          <w:rFonts w:ascii="Book Antiqua" w:eastAsia="Book Antiqua" w:hAnsi="Book Antiqua" w:cs="Book Antiqua"/>
          <w:color w:val="000000"/>
        </w:rPr>
        <w:t>0.05</w:t>
      </w:r>
      <w:r>
        <w:rPr>
          <w:rFonts w:ascii="Book Antiqua" w:eastAsia="Book Antiqua" w:hAnsi="Book Antiqua" w:cs="Book Antiqua"/>
          <w:color w:val="000000"/>
        </w:rPr>
        <w:t xml:space="preserve"> (</w:t>
      </w:r>
      <w:r w:rsidR="00176B3C">
        <w:rPr>
          <w:rFonts w:ascii="Book Antiqua" w:eastAsia="Book Antiqua" w:hAnsi="Book Antiqua" w:cs="Book Antiqua"/>
          <w:color w:val="000000"/>
        </w:rPr>
        <w:t>95%CI</w:t>
      </w:r>
      <w:r w:rsidR="00FA30F1">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-0.034, -0.086)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All tacrolimus doses were reduced by 45% after the addition of ketoconazole. Therapeutic levels of tacrolimus were preserved during the study period and patients demonstrated an improvement in eGFR. The combination of tacrolimus and ketoconazole resulted in a 21% reduction </w:t>
      </w:r>
      <w:r w:rsidR="00594ADB">
        <w:rPr>
          <w:rFonts w:ascii="Book Antiqua" w:eastAsia="Book Antiqua" w:hAnsi="Book Antiqua" w:cs="Book Antiqua"/>
          <w:color w:val="000000"/>
        </w:rPr>
        <w:t xml:space="preserve">in </w:t>
      </w:r>
      <w:r>
        <w:rPr>
          <w:rFonts w:ascii="Book Antiqua" w:eastAsia="Book Antiqua" w:hAnsi="Book Antiqua" w:cs="Book Antiqua"/>
          <w:color w:val="000000"/>
        </w:rPr>
        <w:t>cost.</w:t>
      </w:r>
    </w:p>
    <w:p w14:paraId="7D9B27D1" w14:textId="77777777" w:rsidR="00FC4B6A" w:rsidRDefault="00FC4B6A">
      <w:pPr>
        <w:spacing w:line="360" w:lineRule="auto"/>
        <w:jc w:val="both"/>
      </w:pPr>
    </w:p>
    <w:p w14:paraId="44537AF5" w14:textId="77777777" w:rsidR="00FC4B6A" w:rsidRDefault="005069E0">
      <w:pPr>
        <w:spacing w:line="360" w:lineRule="auto"/>
        <w:jc w:val="both"/>
      </w:pPr>
      <w:r>
        <w:rPr>
          <w:rFonts w:ascii="Book Antiqua" w:eastAsia="Book Antiqua" w:hAnsi="Book Antiqua" w:cs="Book Antiqua"/>
          <w:b/>
          <w:i/>
          <w:color w:val="000000"/>
        </w:rPr>
        <w:t>Research conclusions</w:t>
      </w:r>
    </w:p>
    <w:p w14:paraId="51A0D08F" w14:textId="3280A37B" w:rsidR="00FC4B6A" w:rsidRDefault="005069E0">
      <w:pPr>
        <w:spacing w:line="360" w:lineRule="auto"/>
        <w:jc w:val="both"/>
      </w:pPr>
      <w:r>
        <w:rPr>
          <w:rFonts w:ascii="Book Antiqua" w:eastAsia="Book Antiqua" w:hAnsi="Book Antiqua" w:cs="Book Antiqua"/>
          <w:color w:val="000000"/>
        </w:rPr>
        <w:t xml:space="preserve">Patients experienced an effective dose-reduction of tacrolimus with the administration of ketoconazole. </w:t>
      </w:r>
      <w:r w:rsidR="00594ADB">
        <w:rPr>
          <w:rFonts w:ascii="Book Antiqua" w:eastAsia="Book Antiqua" w:hAnsi="Book Antiqua" w:cs="Book Antiqua"/>
          <w:color w:val="000000"/>
        </w:rPr>
        <w:t>N</w:t>
      </w:r>
      <w:r>
        <w:rPr>
          <w:rFonts w:ascii="Book Antiqua" w:eastAsia="Book Antiqua" w:hAnsi="Book Antiqua" w:cs="Book Antiqua"/>
          <w:color w:val="000000"/>
        </w:rPr>
        <w:t>o relevant variation</w:t>
      </w:r>
      <w:r w:rsidR="00594ADB">
        <w:rPr>
          <w:rFonts w:ascii="Book Antiqua" w:eastAsia="Book Antiqua" w:hAnsi="Book Antiqua" w:cs="Book Antiqua"/>
          <w:color w:val="000000"/>
        </w:rPr>
        <w:t>s</w:t>
      </w:r>
      <w:r>
        <w:rPr>
          <w:rFonts w:ascii="Book Antiqua" w:eastAsia="Book Antiqua" w:hAnsi="Book Antiqua" w:cs="Book Antiqua"/>
          <w:color w:val="000000"/>
        </w:rPr>
        <w:t xml:space="preserve"> in tacrolimus serum levels, number of rejections, or significant liver toxicity</w:t>
      </w:r>
      <w:r w:rsidR="00594ADB">
        <w:rPr>
          <w:rFonts w:ascii="Book Antiqua" w:eastAsia="Book Antiqua" w:hAnsi="Book Antiqua" w:cs="Book Antiqua"/>
          <w:color w:val="000000"/>
        </w:rPr>
        <w:t xml:space="preserve"> were observed</w:t>
      </w:r>
      <w:r>
        <w:rPr>
          <w:rFonts w:ascii="Book Antiqua" w:eastAsia="Book Antiqua" w:hAnsi="Book Antiqua" w:cs="Book Antiqua"/>
          <w:color w:val="000000"/>
        </w:rPr>
        <w:t>. This allowed for a safe, efficacious, and significant cost reduction in pediatric immunosuppressive therapy.</w:t>
      </w:r>
    </w:p>
    <w:p w14:paraId="216DE9B3" w14:textId="77777777" w:rsidR="00FC4B6A" w:rsidRDefault="00FC4B6A">
      <w:pPr>
        <w:spacing w:line="360" w:lineRule="auto"/>
        <w:jc w:val="both"/>
      </w:pPr>
    </w:p>
    <w:p w14:paraId="10AB3326" w14:textId="77777777" w:rsidR="00FC4B6A" w:rsidRDefault="005069E0">
      <w:pPr>
        <w:spacing w:line="360" w:lineRule="auto"/>
        <w:jc w:val="both"/>
      </w:pPr>
      <w:r>
        <w:rPr>
          <w:rFonts w:ascii="Book Antiqua" w:eastAsia="Book Antiqua" w:hAnsi="Book Antiqua" w:cs="Book Antiqua"/>
          <w:b/>
          <w:i/>
          <w:color w:val="000000"/>
        </w:rPr>
        <w:t>Research perspectives</w:t>
      </w:r>
    </w:p>
    <w:p w14:paraId="12D5F859" w14:textId="79E55B11" w:rsidR="00FC4B6A" w:rsidRDefault="005069E0">
      <w:pPr>
        <w:spacing w:line="360" w:lineRule="auto"/>
        <w:jc w:val="both"/>
      </w:pPr>
      <w:r>
        <w:rPr>
          <w:rFonts w:ascii="Book Antiqua" w:eastAsia="Book Antiqua" w:hAnsi="Book Antiqua" w:cs="Book Antiqua"/>
          <w:color w:val="000000"/>
          <w:shd w:val="clear" w:color="auto" w:fill="FFFFFF"/>
        </w:rPr>
        <w:t xml:space="preserve">In the FUNDANIER clinic population, the safety and efficacy of tacrolimus and ketoconazole </w:t>
      </w:r>
      <w:r w:rsidR="00594ADB">
        <w:rPr>
          <w:rFonts w:ascii="Book Antiqua" w:eastAsia="Book Antiqua" w:hAnsi="Book Antiqua" w:cs="Book Antiqua"/>
          <w:color w:val="000000"/>
          <w:shd w:val="clear" w:color="auto" w:fill="FFFFFF"/>
        </w:rPr>
        <w:t>were</w:t>
      </w:r>
      <w:r>
        <w:rPr>
          <w:rFonts w:ascii="Book Antiqua" w:eastAsia="Book Antiqua" w:hAnsi="Book Antiqua" w:cs="Book Antiqua"/>
          <w:color w:val="000000"/>
          <w:shd w:val="clear" w:color="auto" w:fill="FFFFFF"/>
        </w:rPr>
        <w:t xml:space="preserve"> successfully observed in pediatric post-renal transplant patients demonstrating a significant cost reduction.  However</w:t>
      </w:r>
      <w:r w:rsidR="00594A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larger studies need to be carried out to capture broad safety and efficacy profiles in this patient population. These types of interventions are of added benefit in the </w:t>
      </w:r>
      <w:r w:rsidR="00784923">
        <w:rPr>
          <w:rFonts w:ascii="Book Antiqua" w:eastAsia="Book Antiqua" w:hAnsi="Book Antiqua" w:cs="Book Antiqua"/>
          <w:color w:val="000000"/>
        </w:rPr>
        <w:t>low to middle income countries</w:t>
      </w:r>
      <w:r>
        <w:rPr>
          <w:rFonts w:ascii="Book Antiqua" w:eastAsia="Book Antiqua" w:hAnsi="Book Antiqua" w:cs="Book Antiqua"/>
          <w:color w:val="000000"/>
          <w:shd w:val="clear" w:color="auto" w:fill="FFFFFF"/>
        </w:rPr>
        <w:t xml:space="preserve"> setting where access to medications post-transplant </w:t>
      </w:r>
      <w:r w:rsidR="00594ADB">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problematic. </w:t>
      </w:r>
    </w:p>
    <w:p w14:paraId="35A52302" w14:textId="77777777" w:rsidR="00FC4B6A" w:rsidRDefault="00FC4B6A">
      <w:pPr>
        <w:spacing w:line="360" w:lineRule="auto"/>
        <w:jc w:val="both"/>
      </w:pPr>
    </w:p>
    <w:p w14:paraId="1B3CD1CE" w14:textId="77777777" w:rsidR="00FC4B6A" w:rsidRDefault="005069E0">
      <w:pPr>
        <w:spacing w:line="360" w:lineRule="auto"/>
        <w:jc w:val="both"/>
      </w:pPr>
      <w:r>
        <w:rPr>
          <w:rFonts w:ascii="Book Antiqua" w:eastAsia="Book Antiqua" w:hAnsi="Book Antiqua" w:cs="Book Antiqua"/>
          <w:b/>
          <w:caps/>
          <w:color w:val="000000"/>
          <w:u w:val="single"/>
        </w:rPr>
        <w:t>ACKNOWLEDGEMENTS</w:t>
      </w:r>
    </w:p>
    <w:p w14:paraId="074989A8" w14:textId="77777777" w:rsidR="00FC4B6A" w:rsidRDefault="005069E0">
      <w:pPr>
        <w:spacing w:line="360" w:lineRule="auto"/>
        <w:jc w:val="both"/>
      </w:pPr>
      <w:r>
        <w:rPr>
          <w:rFonts w:ascii="Book Antiqua" w:eastAsia="Book Antiqua" w:hAnsi="Book Antiqua" w:cs="Book Antiqua"/>
          <w:color w:val="000000"/>
        </w:rPr>
        <w:t xml:space="preserve">The authors gratefully acknowledge the detailed review and helpful comments provided by Dr. Alejandro </w:t>
      </w:r>
      <w:proofErr w:type="spellStart"/>
      <w:r>
        <w:rPr>
          <w:rFonts w:ascii="Book Antiqua" w:eastAsia="Book Antiqua" w:hAnsi="Book Antiqua" w:cs="Book Antiqua"/>
          <w:color w:val="000000"/>
        </w:rPr>
        <w:t>Cerón</w:t>
      </w:r>
      <w:proofErr w:type="spellEnd"/>
      <w:r>
        <w:rPr>
          <w:rFonts w:ascii="Book Antiqua" w:eastAsia="Book Antiqua" w:hAnsi="Book Antiqua" w:cs="Book Antiqua"/>
          <w:color w:val="000000"/>
        </w:rPr>
        <w:t xml:space="preserve"> and Marilia Fuentes for her contributions in data collection. </w:t>
      </w:r>
    </w:p>
    <w:p w14:paraId="2B329FE4" w14:textId="77777777" w:rsidR="007B356D" w:rsidRDefault="007B356D">
      <w:pPr>
        <w:spacing w:line="360" w:lineRule="auto"/>
        <w:jc w:val="both"/>
      </w:pPr>
    </w:p>
    <w:p w14:paraId="502CA799" w14:textId="77777777" w:rsidR="00FC4B6A" w:rsidRDefault="005069E0">
      <w:pPr>
        <w:spacing w:line="360" w:lineRule="auto"/>
        <w:jc w:val="both"/>
      </w:pPr>
      <w:r>
        <w:rPr>
          <w:rFonts w:ascii="Book Antiqua" w:eastAsia="Book Antiqua" w:hAnsi="Book Antiqua" w:cs="Book Antiqua"/>
          <w:b/>
          <w:color w:val="000000"/>
        </w:rPr>
        <w:t>REFERENCES</w:t>
      </w:r>
    </w:p>
    <w:p w14:paraId="5C267425"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rPr>
        <w:t>Rizvi SA</w:t>
      </w:r>
      <w:r>
        <w:rPr>
          <w:rFonts w:ascii="Book Antiqua" w:hAnsi="Book Antiqua" w:cs="Book Antiqua"/>
        </w:rPr>
        <w:t xml:space="preserve">, Sultan S, Zafar MN, Naqvi SA, </w:t>
      </w:r>
      <w:proofErr w:type="spellStart"/>
      <w:r>
        <w:rPr>
          <w:rFonts w:ascii="Book Antiqua" w:hAnsi="Book Antiqua" w:cs="Book Antiqua"/>
        </w:rPr>
        <w:t>Lanewala</w:t>
      </w:r>
      <w:proofErr w:type="spellEnd"/>
      <w:r>
        <w:rPr>
          <w:rFonts w:ascii="Book Antiqua" w:hAnsi="Book Antiqua" w:cs="Book Antiqua"/>
        </w:rPr>
        <w:t xml:space="preserve"> AA, Hashmi S, Aziz T, Hassan AS, Ali B, Mohsin R, Mubarak M, </w:t>
      </w:r>
      <w:proofErr w:type="spellStart"/>
      <w:r>
        <w:rPr>
          <w:rFonts w:ascii="Book Antiqua" w:hAnsi="Book Antiqua" w:cs="Book Antiqua"/>
        </w:rPr>
        <w:t>Farasat</w:t>
      </w:r>
      <w:proofErr w:type="spellEnd"/>
      <w:r>
        <w:rPr>
          <w:rFonts w:ascii="Book Antiqua" w:hAnsi="Book Antiqua" w:cs="Book Antiqua"/>
        </w:rPr>
        <w:t xml:space="preserve"> S, Akhtar SF, Hashmi A, Hussain M, Hussain Z. Pediatric kidney transplantation in the developing world: challenges and solutions. </w:t>
      </w:r>
      <w:r>
        <w:rPr>
          <w:rFonts w:ascii="Book Antiqua" w:hAnsi="Book Antiqua" w:cs="Book Antiqua"/>
          <w:i/>
        </w:rPr>
        <w:t>Am J Transplant</w:t>
      </w:r>
      <w:r>
        <w:rPr>
          <w:rFonts w:ascii="Book Antiqua" w:hAnsi="Book Antiqua" w:cs="Book Antiqua"/>
        </w:rPr>
        <w:t xml:space="preserve"> 2013; </w:t>
      </w:r>
      <w:r>
        <w:rPr>
          <w:rFonts w:ascii="Book Antiqua" w:hAnsi="Book Antiqua" w:cs="Book Antiqua"/>
          <w:b/>
        </w:rPr>
        <w:t>13</w:t>
      </w:r>
      <w:r>
        <w:rPr>
          <w:rFonts w:ascii="Book Antiqua" w:hAnsi="Book Antiqua" w:cs="Book Antiqua"/>
        </w:rPr>
        <w:t>: 2441-2449 [PMID: 23865679 DOI: 10.1111/ajt.12356]</w:t>
      </w:r>
    </w:p>
    <w:p w14:paraId="4A4287EE" w14:textId="77777777" w:rsidR="00FC4B6A" w:rsidRDefault="005069E0">
      <w:pPr>
        <w:widowControl w:val="0"/>
        <w:spacing w:line="360" w:lineRule="auto"/>
        <w:jc w:val="both"/>
        <w:rPr>
          <w:rFonts w:ascii="Book Antiqua" w:hAnsi="Book Antiqua" w:cs="Book Antiqua"/>
        </w:rPr>
      </w:pPr>
      <w:r>
        <w:rPr>
          <w:rFonts w:ascii="Book Antiqua" w:hAnsi="Book Antiqua" w:cs="Book Antiqua"/>
        </w:rPr>
        <w:lastRenderedPageBreak/>
        <w:t xml:space="preserve">2 </w:t>
      </w:r>
      <w:proofErr w:type="spellStart"/>
      <w:r>
        <w:rPr>
          <w:rFonts w:ascii="Book Antiqua" w:hAnsi="Book Antiqua" w:cs="Book Antiqua"/>
          <w:b/>
        </w:rPr>
        <w:t>Warady</w:t>
      </w:r>
      <w:proofErr w:type="spellEnd"/>
      <w:r>
        <w:rPr>
          <w:rFonts w:ascii="Book Antiqua" w:hAnsi="Book Antiqua" w:cs="Book Antiqua"/>
          <w:b/>
        </w:rPr>
        <w:t xml:space="preserve"> BA</w:t>
      </w:r>
      <w:r>
        <w:rPr>
          <w:rFonts w:ascii="Book Antiqua" w:hAnsi="Book Antiqua" w:cs="Book Antiqua"/>
        </w:rPr>
        <w:t xml:space="preserve">, Chadha V. Chronic kidney disease in children: the global perspective. </w:t>
      </w:r>
      <w:proofErr w:type="spellStart"/>
      <w:r>
        <w:rPr>
          <w:rFonts w:ascii="Book Antiqua" w:hAnsi="Book Antiqua" w:cs="Book Antiqua"/>
          <w:i/>
        </w:rPr>
        <w:t>Pediatr</w:t>
      </w:r>
      <w:proofErr w:type="spellEnd"/>
      <w:r>
        <w:rPr>
          <w:rFonts w:ascii="Book Antiqua" w:hAnsi="Book Antiqua" w:cs="Book Antiqua"/>
          <w:i/>
        </w:rPr>
        <w:t xml:space="preserve"> Nephrol</w:t>
      </w:r>
      <w:r>
        <w:rPr>
          <w:rFonts w:ascii="Book Antiqua" w:hAnsi="Book Antiqua" w:cs="Book Antiqua"/>
        </w:rPr>
        <w:t xml:space="preserve"> 2007; </w:t>
      </w:r>
      <w:r>
        <w:rPr>
          <w:rFonts w:ascii="Book Antiqua" w:hAnsi="Book Antiqua" w:cs="Book Antiqua"/>
          <w:b/>
        </w:rPr>
        <w:t>22</w:t>
      </w:r>
      <w:r>
        <w:rPr>
          <w:rFonts w:ascii="Book Antiqua" w:hAnsi="Book Antiqua" w:cs="Book Antiqua"/>
        </w:rPr>
        <w:t>: 1999-2009 [PMID: 17310363 DOI: 10.1007/s00467-006-0410-1]</w:t>
      </w:r>
    </w:p>
    <w:p w14:paraId="7565A327"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Wetmore JB,</w:t>
      </w:r>
      <w:r>
        <w:rPr>
          <w:rFonts w:ascii="Book Antiqua" w:hAnsi="Book Antiqua" w:cs="Book Antiqua"/>
        </w:rPr>
        <w:t xml:space="preserve"> Collins AJ. Global challenges posed by the growth of end-stage renal disease. </w:t>
      </w:r>
      <w:r>
        <w:rPr>
          <w:rFonts w:ascii="Book Antiqua" w:hAnsi="Book Antiqua" w:cs="Book Antiqua"/>
          <w:i/>
          <w:iCs/>
        </w:rPr>
        <w:t xml:space="preserve">Ren Replace </w:t>
      </w:r>
      <w:proofErr w:type="spellStart"/>
      <w:r>
        <w:rPr>
          <w:rFonts w:ascii="Book Antiqua" w:hAnsi="Book Antiqua" w:cs="Book Antiqua"/>
          <w:i/>
          <w:iCs/>
        </w:rPr>
        <w:t>Ther</w:t>
      </w:r>
      <w:proofErr w:type="spellEnd"/>
      <w:r>
        <w:rPr>
          <w:rFonts w:ascii="Book Antiqua" w:hAnsi="Book Antiqua" w:cs="Book Antiqua"/>
        </w:rPr>
        <w:t xml:space="preserve"> 2016; </w:t>
      </w:r>
      <w:r>
        <w:rPr>
          <w:rFonts w:ascii="Book Antiqua" w:hAnsi="Book Antiqua" w:cs="Book Antiqua"/>
          <w:b/>
          <w:bCs/>
        </w:rPr>
        <w:t>2</w:t>
      </w:r>
      <w:r>
        <w:rPr>
          <w:rFonts w:ascii="Book Antiqua" w:hAnsi="Book Antiqua" w:cs="Book Antiqua"/>
        </w:rPr>
        <w:t>: 15 [DOI: 10.1186/s41100-016-0021-7]</w:t>
      </w:r>
    </w:p>
    <w:p w14:paraId="57310C5F"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Freeman MA</w:t>
      </w:r>
      <w:r>
        <w:rPr>
          <w:rFonts w:ascii="Book Antiqua" w:hAnsi="Book Antiqua" w:cs="Book Antiqua"/>
        </w:rPr>
        <w:t xml:space="preserve">, </w:t>
      </w:r>
      <w:proofErr w:type="spellStart"/>
      <w:r>
        <w:rPr>
          <w:rFonts w:ascii="Book Antiqua" w:hAnsi="Book Antiqua" w:cs="Book Antiqua"/>
        </w:rPr>
        <w:t>Myaskovsky</w:t>
      </w:r>
      <w:proofErr w:type="spellEnd"/>
      <w:r>
        <w:rPr>
          <w:rFonts w:ascii="Book Antiqua" w:hAnsi="Book Antiqua" w:cs="Book Antiqua"/>
        </w:rPr>
        <w:t xml:space="preserve"> L. An overview of disparities and interventions in pediatric kidney transplantation worldwide. </w:t>
      </w:r>
      <w:proofErr w:type="spellStart"/>
      <w:r>
        <w:rPr>
          <w:rFonts w:ascii="Book Antiqua" w:hAnsi="Book Antiqua" w:cs="Book Antiqua"/>
          <w:i/>
        </w:rPr>
        <w:t>Pediatr</w:t>
      </w:r>
      <w:proofErr w:type="spellEnd"/>
      <w:r>
        <w:rPr>
          <w:rFonts w:ascii="Book Antiqua" w:hAnsi="Book Antiqua" w:cs="Book Antiqua"/>
          <w:i/>
        </w:rPr>
        <w:t xml:space="preserve"> Nephrol</w:t>
      </w:r>
      <w:r>
        <w:rPr>
          <w:rFonts w:ascii="Book Antiqua" w:hAnsi="Book Antiqua" w:cs="Book Antiqua"/>
        </w:rPr>
        <w:t xml:space="preserve"> 2015; </w:t>
      </w:r>
      <w:r>
        <w:rPr>
          <w:rFonts w:ascii="Book Antiqua" w:hAnsi="Book Antiqua" w:cs="Book Antiqua"/>
          <w:b/>
        </w:rPr>
        <w:t>30</w:t>
      </w:r>
      <w:r>
        <w:rPr>
          <w:rFonts w:ascii="Book Antiqua" w:hAnsi="Book Antiqua" w:cs="Book Antiqua"/>
        </w:rPr>
        <w:t>: 1077-1086 [PMID: 25315177 DOI: 10.1007/s00467-014-2879-3]</w:t>
      </w:r>
    </w:p>
    <w:p w14:paraId="0FB4866F"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rPr>
        <w:t>Gulati S</w:t>
      </w:r>
      <w:r>
        <w:rPr>
          <w:rFonts w:ascii="Book Antiqua" w:hAnsi="Book Antiqua" w:cs="Book Antiqua"/>
        </w:rPr>
        <w:t xml:space="preserve">, Kumar A, Sharma RK, Gupta A, Bhandari M, Kumar A, Srivastava A. Outcome of pediatric renal transplants in a developing country. </w:t>
      </w:r>
      <w:proofErr w:type="spellStart"/>
      <w:r>
        <w:rPr>
          <w:rFonts w:ascii="Book Antiqua" w:hAnsi="Book Antiqua" w:cs="Book Antiqua"/>
          <w:i/>
        </w:rPr>
        <w:t>Pediatr</w:t>
      </w:r>
      <w:proofErr w:type="spellEnd"/>
      <w:r>
        <w:rPr>
          <w:rFonts w:ascii="Book Antiqua" w:hAnsi="Book Antiqua" w:cs="Book Antiqua"/>
          <w:i/>
        </w:rPr>
        <w:t xml:space="preserve"> Nephrol</w:t>
      </w:r>
      <w:r>
        <w:rPr>
          <w:rFonts w:ascii="Book Antiqua" w:hAnsi="Book Antiqua" w:cs="Book Antiqua"/>
        </w:rPr>
        <w:t xml:space="preserve"> 2004; </w:t>
      </w:r>
      <w:r>
        <w:rPr>
          <w:rFonts w:ascii="Book Antiqua" w:hAnsi="Book Antiqua" w:cs="Book Antiqua"/>
          <w:b/>
        </w:rPr>
        <w:t>19</w:t>
      </w:r>
      <w:r>
        <w:rPr>
          <w:rFonts w:ascii="Book Antiqua" w:hAnsi="Book Antiqua" w:cs="Book Antiqua"/>
        </w:rPr>
        <w:t>: 96-100 [PMID: 14648338 DOI: 10.1007/s00467-003-1316-9]</w:t>
      </w:r>
    </w:p>
    <w:p w14:paraId="1B9615B6"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rPr>
        <w:t>Couser</w:t>
      </w:r>
      <w:proofErr w:type="spellEnd"/>
      <w:r>
        <w:rPr>
          <w:rFonts w:ascii="Book Antiqua" w:hAnsi="Book Antiqua" w:cs="Book Antiqua"/>
          <w:b/>
        </w:rPr>
        <w:t xml:space="preserve"> WG</w:t>
      </w:r>
      <w:r>
        <w:rPr>
          <w:rFonts w:ascii="Book Antiqua" w:hAnsi="Book Antiqua" w:cs="Book Antiqua"/>
        </w:rPr>
        <w:t xml:space="preserve">, </w:t>
      </w:r>
      <w:proofErr w:type="spellStart"/>
      <w:r>
        <w:rPr>
          <w:rFonts w:ascii="Book Antiqua" w:hAnsi="Book Antiqua" w:cs="Book Antiqua"/>
        </w:rPr>
        <w:t>Remuzzi</w:t>
      </w:r>
      <w:proofErr w:type="spellEnd"/>
      <w:r>
        <w:rPr>
          <w:rFonts w:ascii="Book Antiqua" w:hAnsi="Book Antiqua" w:cs="Book Antiqua"/>
        </w:rPr>
        <w:t xml:space="preserve"> G, </w:t>
      </w:r>
      <w:proofErr w:type="spellStart"/>
      <w:r>
        <w:rPr>
          <w:rFonts w:ascii="Book Antiqua" w:hAnsi="Book Antiqua" w:cs="Book Antiqua"/>
        </w:rPr>
        <w:t>Mendis</w:t>
      </w:r>
      <w:proofErr w:type="spellEnd"/>
      <w:r>
        <w:rPr>
          <w:rFonts w:ascii="Book Antiqua" w:hAnsi="Book Antiqua" w:cs="Book Antiqua"/>
        </w:rPr>
        <w:t xml:space="preserve"> S, Tonelli M. The contribution of chronic kidney disease to the global burden of major noncommunicable diseases. </w:t>
      </w:r>
      <w:r>
        <w:rPr>
          <w:rFonts w:ascii="Book Antiqua" w:hAnsi="Book Antiqua" w:cs="Book Antiqua"/>
          <w:i/>
        </w:rPr>
        <w:t>Kidney Int</w:t>
      </w:r>
      <w:r>
        <w:rPr>
          <w:rFonts w:ascii="Book Antiqua" w:hAnsi="Book Antiqua" w:cs="Book Antiqua"/>
        </w:rPr>
        <w:t xml:space="preserve"> 2011; </w:t>
      </w:r>
      <w:r>
        <w:rPr>
          <w:rFonts w:ascii="Book Antiqua" w:hAnsi="Book Antiqua" w:cs="Book Antiqua"/>
          <w:b/>
        </w:rPr>
        <w:t>80</w:t>
      </w:r>
      <w:r>
        <w:rPr>
          <w:rFonts w:ascii="Book Antiqua" w:hAnsi="Book Antiqua" w:cs="Book Antiqua"/>
        </w:rPr>
        <w:t>: 1258-1270 [PMID: 21993585 DOI: 10.1038/ki.2011.368]</w:t>
      </w:r>
    </w:p>
    <w:p w14:paraId="67CBA23C"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Bello AK</w:t>
      </w:r>
      <w:r>
        <w:rPr>
          <w:rFonts w:ascii="Book Antiqua" w:hAnsi="Book Antiqua" w:cs="Book Antiqua"/>
        </w:rPr>
        <w:t xml:space="preserve">, Levin A, Tonelli M, </w:t>
      </w:r>
      <w:proofErr w:type="spellStart"/>
      <w:r>
        <w:rPr>
          <w:rFonts w:ascii="Book Antiqua" w:hAnsi="Book Antiqua" w:cs="Book Antiqua"/>
        </w:rPr>
        <w:t>Okpechi</w:t>
      </w:r>
      <w:proofErr w:type="spellEnd"/>
      <w:r>
        <w:rPr>
          <w:rFonts w:ascii="Book Antiqua" w:hAnsi="Book Antiqua" w:cs="Book Antiqua"/>
        </w:rPr>
        <w:t xml:space="preserve"> IG, </w:t>
      </w:r>
      <w:proofErr w:type="spellStart"/>
      <w:r>
        <w:rPr>
          <w:rFonts w:ascii="Book Antiqua" w:hAnsi="Book Antiqua" w:cs="Book Antiqua"/>
        </w:rPr>
        <w:t>Feehally</w:t>
      </w:r>
      <w:proofErr w:type="spellEnd"/>
      <w:r>
        <w:rPr>
          <w:rFonts w:ascii="Book Antiqua" w:hAnsi="Book Antiqua" w:cs="Book Antiqua"/>
        </w:rPr>
        <w:t xml:space="preserve"> J, Harris D, Jindal K, </w:t>
      </w:r>
      <w:proofErr w:type="spellStart"/>
      <w:r>
        <w:rPr>
          <w:rFonts w:ascii="Book Antiqua" w:hAnsi="Book Antiqua" w:cs="Book Antiqua"/>
        </w:rPr>
        <w:t>Salako</w:t>
      </w:r>
      <w:proofErr w:type="spellEnd"/>
      <w:r>
        <w:rPr>
          <w:rFonts w:ascii="Book Antiqua" w:hAnsi="Book Antiqua" w:cs="Book Antiqua"/>
        </w:rPr>
        <w:t xml:space="preserve"> BL, </w:t>
      </w:r>
      <w:proofErr w:type="spellStart"/>
      <w:r>
        <w:rPr>
          <w:rFonts w:ascii="Book Antiqua" w:hAnsi="Book Antiqua" w:cs="Book Antiqua"/>
        </w:rPr>
        <w:t>Rateb</w:t>
      </w:r>
      <w:proofErr w:type="spellEnd"/>
      <w:r>
        <w:rPr>
          <w:rFonts w:ascii="Book Antiqua" w:hAnsi="Book Antiqua" w:cs="Book Antiqua"/>
        </w:rPr>
        <w:t xml:space="preserve"> A, Osman MA, </w:t>
      </w:r>
      <w:proofErr w:type="spellStart"/>
      <w:r>
        <w:rPr>
          <w:rFonts w:ascii="Book Antiqua" w:hAnsi="Book Antiqua" w:cs="Book Antiqua"/>
        </w:rPr>
        <w:t>Qarni</w:t>
      </w:r>
      <w:proofErr w:type="spellEnd"/>
      <w:r>
        <w:rPr>
          <w:rFonts w:ascii="Book Antiqua" w:hAnsi="Book Antiqua" w:cs="Book Antiqua"/>
        </w:rPr>
        <w:t xml:space="preserve"> B, Saad S, </w:t>
      </w:r>
      <w:proofErr w:type="spellStart"/>
      <w:r>
        <w:rPr>
          <w:rFonts w:ascii="Book Antiqua" w:hAnsi="Book Antiqua" w:cs="Book Antiqua"/>
        </w:rPr>
        <w:t>Lunney</w:t>
      </w:r>
      <w:proofErr w:type="spellEnd"/>
      <w:r>
        <w:rPr>
          <w:rFonts w:ascii="Book Antiqua" w:hAnsi="Book Antiqua" w:cs="Book Antiqua"/>
        </w:rPr>
        <w:t xml:space="preserve"> M, Wiebe N, Ye F, Johnson DW. Assessment of Global Kidney Health Care Status. </w:t>
      </w:r>
      <w:r>
        <w:rPr>
          <w:rFonts w:ascii="Book Antiqua" w:hAnsi="Book Antiqua" w:cs="Book Antiqua"/>
          <w:i/>
        </w:rPr>
        <w:t>JAMA</w:t>
      </w:r>
      <w:r>
        <w:rPr>
          <w:rFonts w:ascii="Book Antiqua" w:hAnsi="Book Antiqua" w:cs="Book Antiqua"/>
        </w:rPr>
        <w:t xml:space="preserve"> 2017; </w:t>
      </w:r>
      <w:r>
        <w:rPr>
          <w:rFonts w:ascii="Book Antiqua" w:hAnsi="Book Antiqua" w:cs="Book Antiqua"/>
          <w:b/>
        </w:rPr>
        <w:t>317</w:t>
      </w:r>
      <w:r>
        <w:rPr>
          <w:rFonts w:ascii="Book Antiqua" w:hAnsi="Book Antiqua" w:cs="Book Antiqua"/>
        </w:rPr>
        <w:t>: 1864-1881 [PMID: 28430830 DOI: 10.1001/jama.2017.4046]</w:t>
      </w:r>
    </w:p>
    <w:p w14:paraId="0A1BBDB4" w14:textId="77777777" w:rsidR="00FC4B6A" w:rsidRDefault="005069E0">
      <w:pPr>
        <w:widowControl w:val="0"/>
        <w:spacing w:line="360" w:lineRule="auto"/>
        <w:jc w:val="both"/>
        <w:rPr>
          <w:rFonts w:ascii="Book Antiqua" w:hAnsi="Book Antiqua" w:cs="Book Antiqua"/>
        </w:rPr>
      </w:pPr>
      <w:r w:rsidRPr="006962CD">
        <w:rPr>
          <w:rFonts w:ascii="Book Antiqua" w:hAnsi="Book Antiqua" w:cs="Book Antiqua"/>
          <w:highlight w:val="yellow"/>
          <w:lang w:val="es-ES"/>
        </w:rPr>
        <w:t xml:space="preserve">8 </w:t>
      </w:r>
      <w:r w:rsidRPr="006962CD">
        <w:rPr>
          <w:rFonts w:ascii="Book Antiqua" w:hAnsi="Book Antiqua" w:cs="Book Antiqua"/>
          <w:b/>
          <w:highlight w:val="yellow"/>
          <w:lang w:val="es-ES"/>
        </w:rPr>
        <w:t>Instituto Nacional de Estadística (INE).</w:t>
      </w:r>
      <w:r w:rsidRPr="006962CD">
        <w:rPr>
          <w:rFonts w:ascii="Book Antiqua" w:hAnsi="Book Antiqua" w:cs="Book Antiqua"/>
          <w:highlight w:val="yellow"/>
          <w:lang w:val="es-ES"/>
        </w:rPr>
        <w:t xml:space="preserve"> Proyecciones de Población 2000-2020 con base al Censo 2002,</w:t>
      </w:r>
      <w:r w:rsidR="007B356D" w:rsidRPr="006962CD">
        <w:rPr>
          <w:rFonts w:ascii="Book Antiqua" w:hAnsi="Book Antiqua" w:cs="Book Antiqua"/>
          <w:highlight w:val="yellow"/>
          <w:lang w:val="es-ES"/>
        </w:rPr>
        <w:t xml:space="preserve"> </w:t>
      </w:r>
      <w:r w:rsidRPr="006962CD">
        <w:rPr>
          <w:rFonts w:ascii="Book Antiqua" w:hAnsi="Book Antiqua" w:cs="Book Antiqua"/>
          <w:highlight w:val="yellow"/>
          <w:lang w:val="es-ES"/>
        </w:rPr>
        <w:t xml:space="preserve">Guatemala. </w:t>
      </w:r>
      <w:r w:rsidRPr="007B356D">
        <w:rPr>
          <w:rFonts w:ascii="Book Antiqua" w:hAnsi="Book Antiqua" w:cs="Book Antiqua"/>
          <w:highlight w:val="yellow"/>
        </w:rPr>
        <w:t xml:space="preserve">[Internet] 2017. Available from: </w:t>
      </w:r>
      <w:hyperlink r:id="rId10" w:history="1">
        <w:r w:rsidR="007B356D" w:rsidRPr="007B356D">
          <w:rPr>
            <w:rStyle w:val="a7"/>
            <w:rFonts w:ascii="Book Antiqua" w:hAnsi="Book Antiqua" w:cs="Book Antiqua"/>
            <w:highlight w:val="yellow"/>
          </w:rPr>
          <w:t>https://www.ine.gob.gt/sistema/uploads/2014/02/20/jZqeGe1H9WdUDngYXkWt3GIhUUQCukcg.pdf</w:t>
        </w:r>
      </w:hyperlink>
      <w:r w:rsidR="007B356D">
        <w:rPr>
          <w:rFonts w:ascii="Book Antiqua" w:hAnsi="Book Antiqua" w:cs="Book Antiqua"/>
        </w:rPr>
        <w:t xml:space="preserve"> </w:t>
      </w:r>
    </w:p>
    <w:p w14:paraId="65495710"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rPr>
        <w:t>Lou-</w:t>
      </w:r>
      <w:proofErr w:type="spellStart"/>
      <w:r>
        <w:rPr>
          <w:rFonts w:ascii="Book Antiqua" w:hAnsi="Book Antiqua" w:cs="Book Antiqua"/>
          <w:b/>
        </w:rPr>
        <w:t>Meda</w:t>
      </w:r>
      <w:proofErr w:type="spellEnd"/>
      <w:r>
        <w:rPr>
          <w:rFonts w:ascii="Book Antiqua" w:hAnsi="Book Antiqua" w:cs="Book Antiqua"/>
          <w:b/>
        </w:rPr>
        <w:t xml:space="preserve"> R</w:t>
      </w:r>
      <w:r>
        <w:rPr>
          <w:rFonts w:ascii="Book Antiqua" w:hAnsi="Book Antiqua" w:cs="Book Antiqua"/>
        </w:rPr>
        <w:t xml:space="preserve">. Comprehensive approach to pediatric kidney diseases in Guatemala. </w:t>
      </w:r>
      <w:r>
        <w:rPr>
          <w:rFonts w:ascii="Book Antiqua" w:hAnsi="Book Antiqua" w:cs="Book Antiqua"/>
          <w:i/>
        </w:rPr>
        <w:t>Clin Nephrol</w:t>
      </w:r>
      <w:r>
        <w:rPr>
          <w:rFonts w:ascii="Book Antiqua" w:hAnsi="Book Antiqua" w:cs="Book Antiqua"/>
        </w:rPr>
        <w:t xml:space="preserve"> 2015; </w:t>
      </w:r>
      <w:r>
        <w:rPr>
          <w:rFonts w:ascii="Book Antiqua" w:hAnsi="Book Antiqua" w:cs="Book Antiqua"/>
          <w:b/>
        </w:rPr>
        <w:t>83</w:t>
      </w:r>
      <w:r>
        <w:rPr>
          <w:rFonts w:ascii="Book Antiqua" w:hAnsi="Book Antiqua" w:cs="Book Antiqua"/>
        </w:rPr>
        <w:t>: 82-84 [PMID: 25725248 DOI: 10.5414/CNP83S082]</w:t>
      </w:r>
    </w:p>
    <w:p w14:paraId="499DF540"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rPr>
        <w:t>Cerón</w:t>
      </w:r>
      <w:proofErr w:type="spellEnd"/>
      <w:r>
        <w:rPr>
          <w:rFonts w:ascii="Book Antiqua" w:hAnsi="Book Antiqua" w:cs="Book Antiqua"/>
          <w:b/>
        </w:rPr>
        <w:t xml:space="preserve"> A</w:t>
      </w:r>
      <w:r>
        <w:rPr>
          <w:rFonts w:ascii="Book Antiqua" w:hAnsi="Book Antiqua" w:cs="Book Antiqua"/>
        </w:rPr>
        <w:t xml:space="preserve">, Fort MP, </w:t>
      </w:r>
      <w:proofErr w:type="spellStart"/>
      <w:r>
        <w:rPr>
          <w:rFonts w:ascii="Book Antiqua" w:hAnsi="Book Antiqua" w:cs="Book Antiqua"/>
        </w:rPr>
        <w:t>Morine</w:t>
      </w:r>
      <w:proofErr w:type="spellEnd"/>
      <w:r>
        <w:rPr>
          <w:rFonts w:ascii="Book Antiqua" w:hAnsi="Book Antiqua" w:cs="Book Antiqua"/>
        </w:rPr>
        <w:t xml:space="preserve"> CM, Lou-</w:t>
      </w:r>
      <w:proofErr w:type="spellStart"/>
      <w:r>
        <w:rPr>
          <w:rFonts w:ascii="Book Antiqua" w:hAnsi="Book Antiqua" w:cs="Book Antiqua"/>
        </w:rPr>
        <w:t>Meda</w:t>
      </w:r>
      <w:proofErr w:type="spellEnd"/>
      <w:r>
        <w:rPr>
          <w:rFonts w:ascii="Book Antiqua" w:hAnsi="Book Antiqua" w:cs="Book Antiqua"/>
        </w:rPr>
        <w:t xml:space="preserve"> R. Chronic kidney disease among children in Guatemala. </w:t>
      </w:r>
      <w:r>
        <w:rPr>
          <w:rFonts w:ascii="Book Antiqua" w:hAnsi="Book Antiqua" w:cs="Book Antiqua"/>
          <w:i/>
        </w:rPr>
        <w:t xml:space="preserve">Rev </w:t>
      </w:r>
      <w:proofErr w:type="spellStart"/>
      <w:r>
        <w:rPr>
          <w:rFonts w:ascii="Book Antiqua" w:hAnsi="Book Antiqua" w:cs="Book Antiqua"/>
          <w:i/>
        </w:rPr>
        <w:t>Panam</w:t>
      </w:r>
      <w:proofErr w:type="spellEnd"/>
      <w:r>
        <w:rPr>
          <w:rFonts w:ascii="Book Antiqua" w:hAnsi="Book Antiqua" w:cs="Book Antiqua"/>
          <w:i/>
        </w:rPr>
        <w:t xml:space="preserve"> </w:t>
      </w:r>
      <w:proofErr w:type="spellStart"/>
      <w:r>
        <w:rPr>
          <w:rFonts w:ascii="Book Antiqua" w:hAnsi="Book Antiqua" w:cs="Book Antiqua"/>
          <w:i/>
        </w:rPr>
        <w:t>Salud</w:t>
      </w:r>
      <w:proofErr w:type="spellEnd"/>
      <w:r>
        <w:rPr>
          <w:rFonts w:ascii="Book Antiqua" w:hAnsi="Book Antiqua" w:cs="Book Antiqua"/>
          <w:i/>
        </w:rPr>
        <w:t xml:space="preserve"> Publica</w:t>
      </w:r>
      <w:r>
        <w:rPr>
          <w:rFonts w:ascii="Book Antiqua" w:hAnsi="Book Antiqua" w:cs="Book Antiqua"/>
        </w:rPr>
        <w:t xml:space="preserve"> 2014; </w:t>
      </w:r>
      <w:r>
        <w:rPr>
          <w:rFonts w:ascii="Book Antiqua" w:hAnsi="Book Antiqua" w:cs="Book Antiqua"/>
          <w:b/>
        </w:rPr>
        <w:t>36</w:t>
      </w:r>
      <w:r>
        <w:rPr>
          <w:rFonts w:ascii="Book Antiqua" w:hAnsi="Book Antiqua" w:cs="Book Antiqua"/>
        </w:rPr>
        <w:t>: 376-382 [PMID: 25711748]</w:t>
      </w:r>
    </w:p>
    <w:p w14:paraId="4BD67C6E" w14:textId="77777777" w:rsidR="00FC4B6A" w:rsidRDefault="005069E0">
      <w:pPr>
        <w:widowControl w:val="0"/>
        <w:spacing w:line="360" w:lineRule="auto"/>
        <w:jc w:val="both"/>
        <w:rPr>
          <w:rFonts w:ascii="Book Antiqua" w:hAnsi="Book Antiqua" w:cs="Book Antiqua"/>
        </w:rPr>
      </w:pPr>
      <w:r w:rsidRPr="00615033">
        <w:rPr>
          <w:rFonts w:ascii="Book Antiqua" w:hAnsi="Book Antiqua" w:cs="Book Antiqua"/>
        </w:rPr>
        <w:t xml:space="preserve">11 </w:t>
      </w:r>
      <w:r w:rsidRPr="00615033">
        <w:rPr>
          <w:rFonts w:ascii="Book Antiqua" w:hAnsi="Book Antiqua" w:cs="Book Antiqua"/>
          <w:b/>
        </w:rPr>
        <w:t>Zhang R</w:t>
      </w:r>
      <w:r w:rsidRPr="00615033">
        <w:rPr>
          <w:rFonts w:ascii="Book Antiqua" w:hAnsi="Book Antiqua" w:cs="Book Antiqua"/>
        </w:rPr>
        <w:t>.</w:t>
      </w:r>
      <w:r>
        <w:rPr>
          <w:rFonts w:ascii="Book Antiqua" w:hAnsi="Book Antiqua" w:cs="Book Antiqua"/>
        </w:rPr>
        <w:t xml:space="preserve"> Modern Immunosuppressive Therapy in Kidney Transplantation. </w:t>
      </w:r>
      <w:r>
        <w:rPr>
          <w:rFonts w:ascii="Book Antiqua" w:hAnsi="Book Antiqua" w:cs="Book Antiqua"/>
          <w:i/>
          <w:iCs/>
        </w:rPr>
        <w:t>Open J</w:t>
      </w:r>
      <w:r w:rsidR="00615033">
        <w:rPr>
          <w:rFonts w:ascii="Book Antiqua" w:hAnsi="Book Antiqua" w:cs="Book Antiqua"/>
          <w:i/>
          <w:iCs/>
        </w:rPr>
        <w:t xml:space="preserve"> </w:t>
      </w:r>
      <w:r>
        <w:rPr>
          <w:rFonts w:ascii="Book Antiqua" w:hAnsi="Book Antiqua" w:cs="Book Antiqua"/>
          <w:i/>
          <w:iCs/>
        </w:rPr>
        <w:t xml:space="preserve">Organ </w:t>
      </w:r>
      <w:proofErr w:type="spellStart"/>
      <w:r>
        <w:rPr>
          <w:rFonts w:ascii="Book Antiqua" w:hAnsi="Book Antiqua" w:cs="Book Antiqua"/>
          <w:i/>
          <w:iCs/>
        </w:rPr>
        <w:t>Transpl</w:t>
      </w:r>
      <w:proofErr w:type="spellEnd"/>
      <w:r w:rsidR="006B4FCA">
        <w:rPr>
          <w:rFonts w:ascii="Book Antiqua" w:hAnsi="Book Antiqua" w:cs="Book Antiqua"/>
          <w:i/>
          <w:iCs/>
        </w:rPr>
        <w:t xml:space="preserve"> </w:t>
      </w:r>
      <w:r>
        <w:rPr>
          <w:rFonts w:ascii="Book Antiqua" w:hAnsi="Book Antiqua" w:cs="Book Antiqua"/>
          <w:i/>
          <w:iCs/>
        </w:rPr>
        <w:t>Surg</w:t>
      </w:r>
      <w:r w:rsidR="00615033">
        <w:rPr>
          <w:rFonts w:ascii="Book Antiqua" w:hAnsi="Book Antiqua" w:cs="Book Antiqua"/>
          <w:i/>
          <w:iCs/>
        </w:rPr>
        <w:t xml:space="preserve"> </w:t>
      </w:r>
      <w:r>
        <w:rPr>
          <w:rFonts w:ascii="Book Antiqua" w:hAnsi="Book Antiqua" w:cs="Book Antiqua"/>
        </w:rPr>
        <w:t xml:space="preserve">2013; </w:t>
      </w:r>
      <w:r>
        <w:rPr>
          <w:rFonts w:ascii="Book Antiqua" w:hAnsi="Book Antiqua" w:cs="Book Antiqua"/>
          <w:b/>
          <w:bCs/>
        </w:rPr>
        <w:t>3</w:t>
      </w:r>
      <w:r>
        <w:rPr>
          <w:rFonts w:ascii="Book Antiqua" w:hAnsi="Book Antiqua" w:cs="Book Antiqua"/>
        </w:rPr>
        <w:t>: 22-31 [DOI: 10.4236/ojots.2013.32005]</w:t>
      </w:r>
    </w:p>
    <w:p w14:paraId="7E705C2D"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el-</w:t>
      </w:r>
      <w:proofErr w:type="spellStart"/>
      <w:r>
        <w:rPr>
          <w:rFonts w:ascii="Book Antiqua" w:hAnsi="Book Antiqua" w:cs="Book Antiqua"/>
          <w:b/>
        </w:rPr>
        <w:t>Agroudy</w:t>
      </w:r>
      <w:proofErr w:type="spellEnd"/>
      <w:r>
        <w:rPr>
          <w:rFonts w:ascii="Book Antiqua" w:hAnsi="Book Antiqua" w:cs="Book Antiqua"/>
          <w:b/>
        </w:rPr>
        <w:t xml:space="preserve"> AE</w:t>
      </w:r>
      <w:r>
        <w:rPr>
          <w:rFonts w:ascii="Book Antiqua" w:hAnsi="Book Antiqua" w:cs="Book Antiqua"/>
        </w:rPr>
        <w:t xml:space="preserve">, </w:t>
      </w:r>
      <w:proofErr w:type="spellStart"/>
      <w:r>
        <w:rPr>
          <w:rFonts w:ascii="Book Antiqua" w:hAnsi="Book Antiqua" w:cs="Book Antiqua"/>
        </w:rPr>
        <w:t>Sobh</w:t>
      </w:r>
      <w:proofErr w:type="spellEnd"/>
      <w:r>
        <w:rPr>
          <w:rFonts w:ascii="Book Antiqua" w:hAnsi="Book Antiqua" w:cs="Book Antiqua"/>
        </w:rPr>
        <w:t xml:space="preserve"> MA, </w:t>
      </w:r>
      <w:proofErr w:type="spellStart"/>
      <w:r>
        <w:rPr>
          <w:rFonts w:ascii="Book Antiqua" w:hAnsi="Book Antiqua" w:cs="Book Antiqua"/>
        </w:rPr>
        <w:t>Hamdy</w:t>
      </w:r>
      <w:proofErr w:type="spellEnd"/>
      <w:r>
        <w:rPr>
          <w:rFonts w:ascii="Book Antiqua" w:hAnsi="Book Antiqua" w:cs="Book Antiqua"/>
        </w:rPr>
        <w:t xml:space="preserve"> AF, </w:t>
      </w:r>
      <w:proofErr w:type="spellStart"/>
      <w:r>
        <w:rPr>
          <w:rFonts w:ascii="Book Antiqua" w:hAnsi="Book Antiqua" w:cs="Book Antiqua"/>
        </w:rPr>
        <w:t>Ghoneim</w:t>
      </w:r>
      <w:proofErr w:type="spellEnd"/>
      <w:r>
        <w:rPr>
          <w:rFonts w:ascii="Book Antiqua" w:hAnsi="Book Antiqua" w:cs="Book Antiqua"/>
        </w:rPr>
        <w:t xml:space="preserve"> MA. A prospective, randomized study of coadministration of ketoconazole and cyclosporine a in kidney transplant </w:t>
      </w:r>
      <w:r>
        <w:rPr>
          <w:rFonts w:ascii="Book Antiqua" w:hAnsi="Book Antiqua" w:cs="Book Antiqua"/>
        </w:rPr>
        <w:lastRenderedPageBreak/>
        <w:t xml:space="preserve">recipients: ten-year follow-up. </w:t>
      </w:r>
      <w:r>
        <w:rPr>
          <w:rFonts w:ascii="Book Antiqua" w:hAnsi="Book Antiqua" w:cs="Book Antiqua"/>
          <w:i/>
        </w:rPr>
        <w:t>Transplantation</w:t>
      </w:r>
      <w:r>
        <w:rPr>
          <w:rFonts w:ascii="Book Antiqua" w:hAnsi="Book Antiqua" w:cs="Book Antiqua"/>
        </w:rPr>
        <w:t xml:space="preserve"> 2004; </w:t>
      </w:r>
      <w:r>
        <w:rPr>
          <w:rFonts w:ascii="Book Antiqua" w:hAnsi="Book Antiqua" w:cs="Book Antiqua"/>
          <w:b/>
        </w:rPr>
        <w:t>77</w:t>
      </w:r>
      <w:r>
        <w:rPr>
          <w:rFonts w:ascii="Book Antiqua" w:hAnsi="Book Antiqua" w:cs="Book Antiqua"/>
        </w:rPr>
        <w:t>: 1371-1376 [PMID: 15167592 DOI: 10.1097/01.TP.0000121133.84763.26]</w:t>
      </w:r>
    </w:p>
    <w:p w14:paraId="378D30D8"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rPr>
        <w:t>Elamin</w:t>
      </w:r>
      <w:proofErr w:type="spellEnd"/>
      <w:r>
        <w:rPr>
          <w:rFonts w:ascii="Book Antiqua" w:hAnsi="Book Antiqua" w:cs="Book Antiqua"/>
          <w:b/>
        </w:rPr>
        <w:t xml:space="preserve"> S</w:t>
      </w:r>
      <w:r>
        <w:rPr>
          <w:rFonts w:ascii="Book Antiqua" w:hAnsi="Book Antiqua" w:cs="Book Antiqua"/>
        </w:rPr>
        <w:t>, El-</w:t>
      </w:r>
      <w:proofErr w:type="spellStart"/>
      <w:r>
        <w:rPr>
          <w:rFonts w:ascii="Book Antiqua" w:hAnsi="Book Antiqua" w:cs="Book Antiqua"/>
        </w:rPr>
        <w:t>Magzoub</w:t>
      </w:r>
      <w:proofErr w:type="spellEnd"/>
      <w:r>
        <w:rPr>
          <w:rFonts w:ascii="Book Antiqua" w:hAnsi="Book Antiqua" w:cs="Book Antiqua"/>
        </w:rPr>
        <w:t xml:space="preserve"> AR, </w:t>
      </w:r>
      <w:proofErr w:type="spellStart"/>
      <w:r>
        <w:rPr>
          <w:rFonts w:ascii="Book Antiqua" w:hAnsi="Book Antiqua" w:cs="Book Antiqua"/>
        </w:rPr>
        <w:t>Dablouk</w:t>
      </w:r>
      <w:proofErr w:type="spellEnd"/>
      <w:r>
        <w:rPr>
          <w:rFonts w:ascii="Book Antiqua" w:hAnsi="Book Antiqua" w:cs="Book Antiqua"/>
        </w:rPr>
        <w:t xml:space="preserve"> N, Mahmoud F, Abbas M. Co-administration of ketoconazole and tacrolimus to kidney transplant recipients: cost minimization and potential metabolic benefits. </w:t>
      </w:r>
      <w:r>
        <w:rPr>
          <w:rFonts w:ascii="Book Antiqua" w:hAnsi="Book Antiqua" w:cs="Book Antiqua"/>
          <w:i/>
        </w:rPr>
        <w:t xml:space="preserve">Saudi J Kidney Dis </w:t>
      </w:r>
      <w:proofErr w:type="spellStart"/>
      <w:r>
        <w:rPr>
          <w:rFonts w:ascii="Book Antiqua" w:hAnsi="Book Antiqua" w:cs="Book Antiqua"/>
          <w:i/>
        </w:rPr>
        <w:t>Transpl</w:t>
      </w:r>
      <w:proofErr w:type="spellEnd"/>
      <w:r>
        <w:rPr>
          <w:rFonts w:ascii="Book Antiqua" w:hAnsi="Book Antiqua" w:cs="Book Antiqua"/>
        </w:rPr>
        <w:t xml:space="preserve"> 2014; </w:t>
      </w:r>
      <w:r>
        <w:rPr>
          <w:rFonts w:ascii="Book Antiqua" w:hAnsi="Book Antiqua" w:cs="Book Antiqua"/>
          <w:b/>
        </w:rPr>
        <w:t>25</w:t>
      </w:r>
      <w:r>
        <w:rPr>
          <w:rFonts w:ascii="Book Antiqua" w:hAnsi="Book Antiqua" w:cs="Book Antiqua"/>
        </w:rPr>
        <w:t>: 814-818 [PMID: 24969193 DOI: 10.4103/1319-2442.135033]</w:t>
      </w:r>
    </w:p>
    <w:p w14:paraId="3E97AA1B"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Khan E</w:t>
      </w:r>
      <w:r>
        <w:rPr>
          <w:rFonts w:ascii="Book Antiqua" w:hAnsi="Book Antiqua" w:cs="Book Antiqua"/>
        </w:rPr>
        <w:t xml:space="preserve">, </w:t>
      </w:r>
      <w:proofErr w:type="spellStart"/>
      <w:r>
        <w:rPr>
          <w:rFonts w:ascii="Book Antiqua" w:hAnsi="Book Antiqua" w:cs="Book Antiqua"/>
        </w:rPr>
        <w:t>Killackey</w:t>
      </w:r>
      <w:proofErr w:type="spellEnd"/>
      <w:r>
        <w:rPr>
          <w:rFonts w:ascii="Book Antiqua" w:hAnsi="Book Antiqua" w:cs="Book Antiqua"/>
        </w:rPr>
        <w:t xml:space="preserve"> M, </w:t>
      </w:r>
      <w:proofErr w:type="spellStart"/>
      <w:r>
        <w:rPr>
          <w:rFonts w:ascii="Book Antiqua" w:hAnsi="Book Antiqua" w:cs="Book Antiqua"/>
        </w:rPr>
        <w:t>Kumbala</w:t>
      </w:r>
      <w:proofErr w:type="spellEnd"/>
      <w:r>
        <w:rPr>
          <w:rFonts w:ascii="Book Antiqua" w:hAnsi="Book Antiqua" w:cs="Book Antiqua"/>
        </w:rPr>
        <w:t xml:space="preserve"> D, LaGuardia H, Liu YJ, Qin HZ, </w:t>
      </w:r>
      <w:proofErr w:type="spellStart"/>
      <w:r>
        <w:rPr>
          <w:rFonts w:ascii="Book Antiqua" w:hAnsi="Book Antiqua" w:cs="Book Antiqua"/>
        </w:rPr>
        <w:t>Alper</w:t>
      </w:r>
      <w:proofErr w:type="spellEnd"/>
      <w:r>
        <w:rPr>
          <w:rFonts w:ascii="Book Antiqua" w:hAnsi="Book Antiqua" w:cs="Book Antiqua"/>
        </w:rPr>
        <w:t xml:space="preserve"> B, Paramesh A, Buell J, Zhang R. Long-term outcome of ketoconazole and tacrolimus co-administration in kidney transplant patients. </w:t>
      </w:r>
      <w:r>
        <w:rPr>
          <w:rFonts w:ascii="Book Antiqua" w:hAnsi="Book Antiqua" w:cs="Book Antiqua"/>
          <w:i/>
        </w:rPr>
        <w:t>World J Nephrol</w:t>
      </w:r>
      <w:r>
        <w:rPr>
          <w:rFonts w:ascii="Book Antiqua" w:hAnsi="Book Antiqua" w:cs="Book Antiqua"/>
        </w:rPr>
        <w:t xml:space="preserve"> 2014; </w:t>
      </w:r>
      <w:r>
        <w:rPr>
          <w:rFonts w:ascii="Book Antiqua" w:hAnsi="Book Antiqua" w:cs="Book Antiqua"/>
          <w:b/>
        </w:rPr>
        <w:t>3</w:t>
      </w:r>
      <w:r>
        <w:rPr>
          <w:rFonts w:ascii="Book Antiqua" w:hAnsi="Book Antiqua" w:cs="Book Antiqua"/>
        </w:rPr>
        <w:t>: 107-113 [PMID: 25332902 DOI: 10.5527/wjn.v3.i3.107]</w:t>
      </w:r>
    </w:p>
    <w:p w14:paraId="5B65AD44"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el-</w:t>
      </w:r>
      <w:proofErr w:type="spellStart"/>
      <w:r>
        <w:rPr>
          <w:rFonts w:ascii="Book Antiqua" w:hAnsi="Book Antiqua" w:cs="Book Antiqua"/>
          <w:b/>
        </w:rPr>
        <w:t>Dahshan</w:t>
      </w:r>
      <w:proofErr w:type="spellEnd"/>
      <w:r>
        <w:rPr>
          <w:rFonts w:ascii="Book Antiqua" w:hAnsi="Book Antiqua" w:cs="Book Antiqua"/>
          <w:b/>
        </w:rPr>
        <w:t xml:space="preserve"> KF</w:t>
      </w:r>
      <w:r>
        <w:rPr>
          <w:rFonts w:ascii="Book Antiqua" w:hAnsi="Book Antiqua" w:cs="Book Antiqua"/>
        </w:rPr>
        <w:t xml:space="preserve">, Bakr MA, </w:t>
      </w:r>
      <w:proofErr w:type="spellStart"/>
      <w:r>
        <w:rPr>
          <w:rFonts w:ascii="Book Antiqua" w:hAnsi="Book Antiqua" w:cs="Book Antiqua"/>
        </w:rPr>
        <w:t>Donia</w:t>
      </w:r>
      <w:proofErr w:type="spellEnd"/>
      <w:r>
        <w:rPr>
          <w:rFonts w:ascii="Book Antiqua" w:hAnsi="Book Antiqua" w:cs="Book Antiqua"/>
        </w:rPr>
        <w:t xml:space="preserve"> AF, </w:t>
      </w:r>
      <w:proofErr w:type="spellStart"/>
      <w:r>
        <w:rPr>
          <w:rFonts w:ascii="Book Antiqua" w:hAnsi="Book Antiqua" w:cs="Book Antiqua"/>
        </w:rPr>
        <w:t>Badr</w:t>
      </w:r>
      <w:proofErr w:type="spellEnd"/>
      <w:r>
        <w:rPr>
          <w:rFonts w:ascii="Book Antiqua" w:hAnsi="Book Antiqua" w:cs="Book Antiqua"/>
        </w:rPr>
        <w:t xml:space="preserve"> </w:t>
      </w:r>
      <w:proofErr w:type="spellStart"/>
      <w:r>
        <w:rPr>
          <w:rFonts w:ascii="Book Antiqua" w:hAnsi="Book Antiqua" w:cs="Book Antiqua"/>
        </w:rPr>
        <w:t>Ael</w:t>
      </w:r>
      <w:proofErr w:type="spellEnd"/>
      <w:r>
        <w:rPr>
          <w:rFonts w:ascii="Book Antiqua" w:hAnsi="Book Antiqua" w:cs="Book Antiqua"/>
        </w:rPr>
        <w:t xml:space="preserve">-S, </w:t>
      </w:r>
      <w:proofErr w:type="spellStart"/>
      <w:r>
        <w:rPr>
          <w:rFonts w:ascii="Book Antiqua" w:hAnsi="Book Antiqua" w:cs="Book Antiqua"/>
        </w:rPr>
        <w:t>Sobh</w:t>
      </w:r>
      <w:proofErr w:type="spellEnd"/>
      <w:r>
        <w:rPr>
          <w:rFonts w:ascii="Book Antiqua" w:hAnsi="Book Antiqua" w:cs="Book Antiqua"/>
        </w:rPr>
        <w:t xml:space="preserve"> MA. Co-administration of ketoconazole to tacrolimus-treated kidney transplant recipients: a prospective randomized study. </w:t>
      </w:r>
      <w:r>
        <w:rPr>
          <w:rFonts w:ascii="Book Antiqua" w:hAnsi="Book Antiqua" w:cs="Book Antiqua"/>
          <w:i/>
        </w:rPr>
        <w:t>Nephrol Dial Transplant</w:t>
      </w:r>
      <w:r>
        <w:rPr>
          <w:rFonts w:ascii="Book Antiqua" w:hAnsi="Book Antiqua" w:cs="Book Antiqua"/>
        </w:rPr>
        <w:t xml:space="preserve"> 2004; </w:t>
      </w:r>
      <w:r>
        <w:rPr>
          <w:rFonts w:ascii="Book Antiqua" w:hAnsi="Book Antiqua" w:cs="Book Antiqua"/>
          <w:b/>
        </w:rPr>
        <w:t>19</w:t>
      </w:r>
      <w:r>
        <w:rPr>
          <w:rFonts w:ascii="Book Antiqua" w:hAnsi="Book Antiqua" w:cs="Book Antiqua"/>
        </w:rPr>
        <w:t>: 1613-1617 [PMID: 15034161 DOI: 10.1093/</w:t>
      </w:r>
      <w:proofErr w:type="spellStart"/>
      <w:r>
        <w:rPr>
          <w:rFonts w:ascii="Book Antiqua" w:hAnsi="Book Antiqua" w:cs="Book Antiqua"/>
        </w:rPr>
        <w:t>ndt</w:t>
      </w:r>
      <w:proofErr w:type="spellEnd"/>
      <w:r>
        <w:rPr>
          <w:rFonts w:ascii="Book Antiqua" w:hAnsi="Book Antiqua" w:cs="Book Antiqua"/>
        </w:rPr>
        <w:t>/gfh191]</w:t>
      </w:r>
    </w:p>
    <w:p w14:paraId="66B4F346" w14:textId="77777777" w:rsidR="00FC4B6A" w:rsidRPr="006962CD" w:rsidRDefault="005069E0">
      <w:pPr>
        <w:widowControl w:val="0"/>
        <w:spacing w:line="360" w:lineRule="auto"/>
        <w:jc w:val="both"/>
        <w:rPr>
          <w:rFonts w:ascii="Book Antiqua" w:hAnsi="Book Antiqua" w:cs="Book Antiqua"/>
          <w:lang w:val="es-ES"/>
        </w:rPr>
      </w:pPr>
      <w:r>
        <w:rPr>
          <w:rFonts w:ascii="Book Antiqua" w:hAnsi="Book Antiqua" w:cs="Book Antiqua"/>
        </w:rPr>
        <w:t xml:space="preserve">16 </w:t>
      </w:r>
      <w:r>
        <w:rPr>
          <w:rFonts w:ascii="Book Antiqua" w:hAnsi="Book Antiqua" w:cs="Book Antiqua"/>
          <w:b/>
        </w:rPr>
        <w:t>Chandel N</w:t>
      </w:r>
      <w:r>
        <w:rPr>
          <w:rFonts w:ascii="Book Antiqua" w:hAnsi="Book Antiqua" w:cs="Book Antiqua"/>
        </w:rPr>
        <w:t xml:space="preserve">, Aggarwal PK, </w:t>
      </w:r>
      <w:proofErr w:type="spellStart"/>
      <w:r>
        <w:rPr>
          <w:rFonts w:ascii="Book Antiqua" w:hAnsi="Book Antiqua" w:cs="Book Antiqua"/>
        </w:rPr>
        <w:t>Minz</w:t>
      </w:r>
      <w:proofErr w:type="spellEnd"/>
      <w:r>
        <w:rPr>
          <w:rFonts w:ascii="Book Antiqua" w:hAnsi="Book Antiqua" w:cs="Book Antiqua"/>
        </w:rPr>
        <w:t xml:space="preserve"> M, </w:t>
      </w:r>
      <w:proofErr w:type="spellStart"/>
      <w:r>
        <w:rPr>
          <w:rFonts w:ascii="Book Antiqua" w:hAnsi="Book Antiqua" w:cs="Book Antiqua"/>
        </w:rPr>
        <w:t>Sakhuja</w:t>
      </w:r>
      <w:proofErr w:type="spellEnd"/>
      <w:r>
        <w:rPr>
          <w:rFonts w:ascii="Book Antiqua" w:hAnsi="Book Antiqua" w:cs="Book Antiqua"/>
        </w:rPr>
        <w:t xml:space="preserve"> V, Kohli KK, Jha V. CYP3A5*1/*3 genotype influences the blood concentration of tacrolimus in response to metabolic inhibition by ketoconazole. </w:t>
      </w:r>
      <w:r w:rsidRPr="006962CD">
        <w:rPr>
          <w:rFonts w:ascii="Book Antiqua" w:hAnsi="Book Antiqua" w:cs="Book Antiqua"/>
          <w:i/>
          <w:lang w:val="es-ES"/>
        </w:rPr>
        <w:t>Pharmacogenet Genomics</w:t>
      </w:r>
      <w:r w:rsidRPr="006962CD">
        <w:rPr>
          <w:rFonts w:ascii="Book Antiqua" w:hAnsi="Book Antiqua" w:cs="Book Antiqua"/>
          <w:lang w:val="es-ES"/>
        </w:rPr>
        <w:t xml:space="preserve"> 2009; </w:t>
      </w:r>
      <w:r w:rsidRPr="006962CD">
        <w:rPr>
          <w:rFonts w:ascii="Book Antiqua" w:hAnsi="Book Antiqua" w:cs="Book Antiqua"/>
          <w:b/>
          <w:lang w:val="es-ES"/>
        </w:rPr>
        <w:t>19</w:t>
      </w:r>
      <w:r w:rsidRPr="006962CD">
        <w:rPr>
          <w:rFonts w:ascii="Book Antiqua" w:hAnsi="Book Antiqua" w:cs="Book Antiqua"/>
          <w:lang w:val="es-ES"/>
        </w:rPr>
        <w:t>: 458-463 [PMID: 19384264 DOI: 10.1097/FPC.0b013e32832bd085]</w:t>
      </w:r>
    </w:p>
    <w:p w14:paraId="46E5C202" w14:textId="77777777" w:rsidR="00FC4B6A" w:rsidRPr="00FE0A09" w:rsidRDefault="005069E0">
      <w:pPr>
        <w:widowControl w:val="0"/>
        <w:spacing w:line="360" w:lineRule="auto"/>
        <w:jc w:val="both"/>
        <w:rPr>
          <w:rFonts w:ascii="Book Antiqua" w:hAnsi="Book Antiqua" w:cs="Book Antiqua"/>
          <w:highlight w:val="yellow"/>
        </w:rPr>
      </w:pPr>
      <w:r w:rsidRPr="006962CD">
        <w:rPr>
          <w:rFonts w:ascii="Book Antiqua" w:hAnsi="Book Antiqua" w:cs="Book Antiqua"/>
          <w:highlight w:val="yellow"/>
          <w:lang w:val="es-ES"/>
        </w:rPr>
        <w:t>17 Sistema de Información de Contrataciones y adquisiciones del Estado,</w:t>
      </w:r>
      <w:r w:rsidR="00615033" w:rsidRPr="006962CD">
        <w:rPr>
          <w:rFonts w:ascii="Book Antiqua" w:hAnsi="Book Antiqua" w:cs="Book Antiqua"/>
          <w:highlight w:val="yellow"/>
          <w:lang w:val="es-ES"/>
        </w:rPr>
        <w:t xml:space="preserve"> </w:t>
      </w:r>
      <w:r w:rsidRPr="006962CD">
        <w:rPr>
          <w:rFonts w:ascii="Book Antiqua" w:hAnsi="Book Antiqua" w:cs="Book Antiqua"/>
          <w:highlight w:val="yellow"/>
          <w:lang w:val="es-ES"/>
        </w:rPr>
        <w:t xml:space="preserve">Guatecompras. </w:t>
      </w:r>
      <w:r w:rsidRPr="00FE0A09">
        <w:rPr>
          <w:rFonts w:ascii="Book Antiqua" w:hAnsi="Book Antiqua" w:cs="Book Antiqua"/>
          <w:highlight w:val="yellow"/>
        </w:rPr>
        <w:t xml:space="preserve">[Internet] 2018. Available from: http://www.guatecompras.gob.gt/concursos/consultaCon </w:t>
      </w:r>
      <w:proofErr w:type="spellStart"/>
      <w:r w:rsidRPr="00FE0A09">
        <w:rPr>
          <w:rFonts w:ascii="Book Antiqua" w:hAnsi="Book Antiqua" w:cs="Book Antiqua"/>
          <w:highlight w:val="yellow"/>
        </w:rPr>
        <w:t>curso.aspx?nog</w:t>
      </w:r>
      <w:proofErr w:type="spellEnd"/>
      <w:r w:rsidRPr="00FE0A09">
        <w:rPr>
          <w:rFonts w:ascii="Book Antiqua" w:hAnsi="Book Antiqua" w:cs="Book Antiqua"/>
          <w:highlight w:val="yellow"/>
        </w:rPr>
        <w:t>=7876645o=5</w:t>
      </w:r>
    </w:p>
    <w:p w14:paraId="7750B10C" w14:textId="77777777" w:rsidR="00FC4B6A" w:rsidRPr="00FE0A09" w:rsidRDefault="005069E0">
      <w:pPr>
        <w:widowControl w:val="0"/>
        <w:spacing w:line="360" w:lineRule="auto"/>
        <w:jc w:val="both"/>
        <w:rPr>
          <w:rFonts w:ascii="Book Antiqua" w:hAnsi="Book Antiqua" w:cs="Book Antiqua"/>
          <w:highlight w:val="yellow"/>
        </w:rPr>
      </w:pPr>
      <w:r w:rsidRPr="006962CD">
        <w:rPr>
          <w:rFonts w:ascii="Book Antiqua" w:hAnsi="Book Antiqua" w:cs="Book Antiqua"/>
          <w:highlight w:val="yellow"/>
          <w:lang w:val="es-ES"/>
        </w:rPr>
        <w:t>18 Sistema de Información de Contrataciones y adquisiciones del Estado,</w:t>
      </w:r>
      <w:r w:rsidR="00615033" w:rsidRPr="006962CD">
        <w:rPr>
          <w:rFonts w:ascii="Book Antiqua" w:hAnsi="Book Antiqua" w:cs="Book Antiqua"/>
          <w:highlight w:val="yellow"/>
          <w:lang w:val="es-ES"/>
        </w:rPr>
        <w:t xml:space="preserve"> </w:t>
      </w:r>
      <w:r w:rsidRPr="006962CD">
        <w:rPr>
          <w:rFonts w:ascii="Book Antiqua" w:hAnsi="Book Antiqua" w:cs="Book Antiqua"/>
          <w:highlight w:val="yellow"/>
          <w:lang w:val="es-ES"/>
        </w:rPr>
        <w:t xml:space="preserve">Guatecompras. </w:t>
      </w:r>
      <w:r w:rsidRPr="00FE0A09">
        <w:rPr>
          <w:rFonts w:ascii="Book Antiqua" w:hAnsi="Book Antiqua" w:cs="Book Antiqua"/>
          <w:highlight w:val="yellow"/>
        </w:rPr>
        <w:t xml:space="preserve">[Internet] 2018. Available from: http://www.guatecompras.gob.gt/concursos/consultaCon </w:t>
      </w:r>
      <w:proofErr w:type="spellStart"/>
      <w:r w:rsidRPr="00FE0A09">
        <w:rPr>
          <w:rFonts w:ascii="Book Antiqua" w:hAnsi="Book Antiqua" w:cs="Book Antiqua"/>
          <w:highlight w:val="yellow"/>
        </w:rPr>
        <w:t>curso.aspx?nog</w:t>
      </w:r>
      <w:proofErr w:type="spellEnd"/>
      <w:r w:rsidRPr="00FE0A09">
        <w:rPr>
          <w:rFonts w:ascii="Book Antiqua" w:hAnsi="Book Antiqua" w:cs="Book Antiqua"/>
          <w:highlight w:val="yellow"/>
        </w:rPr>
        <w:t>=7889461o=4</w:t>
      </w:r>
    </w:p>
    <w:p w14:paraId="6DA50FE5" w14:textId="77777777" w:rsidR="00FC4B6A" w:rsidRPr="00FE0A09" w:rsidRDefault="005069E0">
      <w:pPr>
        <w:widowControl w:val="0"/>
        <w:spacing w:line="360" w:lineRule="auto"/>
        <w:jc w:val="both"/>
        <w:rPr>
          <w:rFonts w:ascii="Book Antiqua" w:hAnsi="Book Antiqua" w:cs="Book Antiqua"/>
          <w:highlight w:val="yellow"/>
        </w:rPr>
      </w:pPr>
      <w:r w:rsidRPr="006962CD">
        <w:rPr>
          <w:rFonts w:ascii="Book Antiqua" w:hAnsi="Book Antiqua" w:cs="Book Antiqua"/>
          <w:highlight w:val="yellow"/>
          <w:lang w:val="es-ES"/>
        </w:rPr>
        <w:t>19 Sistema de Información de Contrataciones y adquisiciones del Estado,</w:t>
      </w:r>
      <w:r w:rsidR="00532DF8" w:rsidRPr="006962CD">
        <w:rPr>
          <w:rFonts w:ascii="Book Antiqua" w:hAnsi="Book Antiqua" w:cs="Book Antiqua"/>
          <w:highlight w:val="yellow"/>
          <w:lang w:val="es-ES"/>
        </w:rPr>
        <w:t xml:space="preserve"> </w:t>
      </w:r>
      <w:r w:rsidRPr="006962CD">
        <w:rPr>
          <w:rFonts w:ascii="Book Antiqua" w:hAnsi="Book Antiqua" w:cs="Book Antiqua"/>
          <w:highlight w:val="yellow"/>
          <w:lang w:val="es-ES"/>
        </w:rPr>
        <w:t xml:space="preserve">Guatecompras. </w:t>
      </w:r>
      <w:r w:rsidRPr="00FE0A09">
        <w:rPr>
          <w:rFonts w:ascii="Book Antiqua" w:hAnsi="Book Antiqua" w:cs="Book Antiqua"/>
          <w:highlight w:val="yellow"/>
        </w:rPr>
        <w:t xml:space="preserve">[Internet] 2018. Available from: http://www.guatecompras.gob.gt/concursos/consultaCon </w:t>
      </w:r>
      <w:proofErr w:type="spellStart"/>
      <w:r w:rsidRPr="00FE0A09">
        <w:rPr>
          <w:rFonts w:ascii="Book Antiqua" w:hAnsi="Book Antiqua" w:cs="Book Antiqua"/>
          <w:highlight w:val="yellow"/>
        </w:rPr>
        <w:lastRenderedPageBreak/>
        <w:t>curso.aspx?nog</w:t>
      </w:r>
      <w:proofErr w:type="spellEnd"/>
      <w:r w:rsidRPr="00FE0A09">
        <w:rPr>
          <w:rFonts w:ascii="Book Antiqua" w:hAnsi="Book Antiqua" w:cs="Book Antiqua"/>
          <w:highlight w:val="yellow"/>
        </w:rPr>
        <w:t>=7909233o=5</w:t>
      </w:r>
      <w:r w:rsidR="00532DF8" w:rsidRPr="00FE0A09">
        <w:rPr>
          <w:rFonts w:ascii="Book Antiqua" w:hAnsi="Book Antiqua" w:cs="Book Antiqua"/>
          <w:highlight w:val="yellow"/>
        </w:rPr>
        <w:t xml:space="preserve"> </w:t>
      </w:r>
    </w:p>
    <w:p w14:paraId="705FABD1" w14:textId="77777777" w:rsidR="00FC4B6A" w:rsidRDefault="005069E0">
      <w:pPr>
        <w:widowControl w:val="0"/>
        <w:spacing w:line="360" w:lineRule="auto"/>
        <w:jc w:val="both"/>
        <w:rPr>
          <w:rFonts w:ascii="Book Antiqua" w:hAnsi="Book Antiqua" w:cs="Book Antiqua"/>
        </w:rPr>
      </w:pPr>
      <w:r w:rsidRPr="006962CD">
        <w:rPr>
          <w:rFonts w:ascii="Book Antiqua" w:hAnsi="Book Antiqua" w:cs="Book Antiqua"/>
          <w:highlight w:val="yellow"/>
          <w:lang w:val="es-ES"/>
        </w:rPr>
        <w:t>20 Sistema de Información de Contrataciones y adquisiciones del Estado,</w:t>
      </w:r>
      <w:r w:rsidR="00532DF8" w:rsidRPr="006962CD">
        <w:rPr>
          <w:rFonts w:ascii="Book Antiqua" w:hAnsi="Book Antiqua" w:cs="Book Antiqua"/>
          <w:highlight w:val="yellow"/>
          <w:lang w:val="es-ES"/>
        </w:rPr>
        <w:t xml:space="preserve"> </w:t>
      </w:r>
      <w:r w:rsidRPr="006962CD">
        <w:rPr>
          <w:rFonts w:ascii="Book Antiqua" w:hAnsi="Book Antiqua" w:cs="Book Antiqua"/>
          <w:highlight w:val="yellow"/>
          <w:lang w:val="es-ES"/>
        </w:rPr>
        <w:t xml:space="preserve">Guatecompras. </w:t>
      </w:r>
      <w:r w:rsidRPr="00FE0A09">
        <w:rPr>
          <w:rFonts w:ascii="Book Antiqua" w:hAnsi="Book Antiqua" w:cs="Book Antiqua"/>
          <w:highlight w:val="yellow"/>
        </w:rPr>
        <w:t>[Internet] 2018. Available from: http://www.guatecompras.gob.gt/Ofertas/DetalleOferta.a</w:t>
      </w:r>
      <w:r w:rsidR="00615033" w:rsidRPr="00FE0A09">
        <w:rPr>
          <w:rFonts w:ascii="Book Antiqua" w:hAnsi="Book Antiqua" w:cs="Book Antiqua"/>
          <w:highlight w:val="yellow"/>
        </w:rPr>
        <w:t>spx</w:t>
      </w:r>
      <w:r w:rsidRPr="00FE0A09">
        <w:rPr>
          <w:rFonts w:ascii="Book Antiqua" w:hAnsi="Book Antiqua" w:cs="Book Antiqua"/>
          <w:highlight w:val="yellow"/>
        </w:rPr>
        <w:t>?nog=78 63926o=4</w:t>
      </w:r>
      <w:r w:rsidR="00615033">
        <w:rPr>
          <w:rFonts w:ascii="Book Antiqua" w:hAnsi="Book Antiqua" w:cs="Book Antiqua"/>
        </w:rPr>
        <w:t xml:space="preserve"> </w:t>
      </w:r>
    </w:p>
    <w:p w14:paraId="214F52DC"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Yao G</w:t>
      </w:r>
      <w:r>
        <w:rPr>
          <w:rFonts w:ascii="Book Antiqua" w:hAnsi="Book Antiqua" w:cs="Book Antiqua"/>
        </w:rPr>
        <w:t xml:space="preserve">, </w:t>
      </w:r>
      <w:proofErr w:type="spellStart"/>
      <w:r>
        <w:rPr>
          <w:rFonts w:ascii="Book Antiqua" w:hAnsi="Book Antiqua" w:cs="Book Antiqua"/>
        </w:rPr>
        <w:t>Albon</w:t>
      </w:r>
      <w:proofErr w:type="spellEnd"/>
      <w:r>
        <w:rPr>
          <w:rFonts w:ascii="Book Antiqua" w:hAnsi="Book Antiqua" w:cs="Book Antiqua"/>
        </w:rPr>
        <w:t xml:space="preserve"> E, Adi Y, Milford D, Bayliss S, Ready A, Raftery J, Taylor RS. A systematic review and economic model of the clinical and cost-effectiveness of immunosuppressive therapy for renal transplantation in children. </w:t>
      </w:r>
      <w:r>
        <w:rPr>
          <w:rFonts w:ascii="Book Antiqua" w:hAnsi="Book Antiqua" w:cs="Book Antiqua"/>
          <w:i/>
        </w:rPr>
        <w:t>Health Technol Assess</w:t>
      </w:r>
      <w:r>
        <w:rPr>
          <w:rFonts w:ascii="Book Antiqua" w:hAnsi="Book Antiqua" w:cs="Book Antiqua"/>
        </w:rPr>
        <w:t xml:space="preserve"> 2006; </w:t>
      </w:r>
      <w:r>
        <w:rPr>
          <w:rFonts w:ascii="Book Antiqua" w:hAnsi="Book Antiqua" w:cs="Book Antiqua"/>
          <w:b/>
        </w:rPr>
        <w:t>10</w:t>
      </w:r>
      <w:r>
        <w:rPr>
          <w:rFonts w:ascii="Book Antiqua" w:hAnsi="Book Antiqua" w:cs="Book Antiqua"/>
        </w:rPr>
        <w:t>: iii-</w:t>
      </w:r>
      <w:proofErr w:type="spellStart"/>
      <w:r>
        <w:rPr>
          <w:rFonts w:ascii="Book Antiqua" w:hAnsi="Book Antiqua" w:cs="Book Antiqua"/>
        </w:rPr>
        <w:t>iiv</w:t>
      </w:r>
      <w:proofErr w:type="spellEnd"/>
      <w:r>
        <w:rPr>
          <w:rFonts w:ascii="Book Antiqua" w:hAnsi="Book Antiqua" w:cs="Book Antiqua"/>
        </w:rPr>
        <w:t>, ix-xi, 1-157 [PMID: 17134597 DOI: 10.3310/hta10490]</w:t>
      </w:r>
    </w:p>
    <w:p w14:paraId="7B2A84FB"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rPr>
        <w:t>Schwartz GJ</w:t>
      </w:r>
      <w:r>
        <w:rPr>
          <w:rFonts w:ascii="Book Antiqua" w:hAnsi="Book Antiqua" w:cs="Book Antiqua"/>
        </w:rPr>
        <w:t xml:space="preserve">, Work DF. Measurement and estimation of GFR in children and adolescents. </w:t>
      </w:r>
      <w:r>
        <w:rPr>
          <w:rFonts w:ascii="Book Antiqua" w:hAnsi="Book Antiqua" w:cs="Book Antiqua"/>
          <w:i/>
        </w:rPr>
        <w:t>Clin J Am Soc Nephrol</w:t>
      </w:r>
      <w:r>
        <w:rPr>
          <w:rFonts w:ascii="Book Antiqua" w:hAnsi="Book Antiqua" w:cs="Book Antiqua"/>
        </w:rPr>
        <w:t xml:space="preserve"> 2009; </w:t>
      </w:r>
      <w:r>
        <w:rPr>
          <w:rFonts w:ascii="Book Antiqua" w:hAnsi="Book Antiqua" w:cs="Book Antiqua"/>
          <w:b/>
        </w:rPr>
        <w:t>4</w:t>
      </w:r>
      <w:r>
        <w:rPr>
          <w:rFonts w:ascii="Book Antiqua" w:hAnsi="Book Antiqua" w:cs="Book Antiqua"/>
        </w:rPr>
        <w:t>: 1832-1843 [PMID: 19820136 DOI: 10.2215/CJN.01640309]</w:t>
      </w:r>
    </w:p>
    <w:p w14:paraId="293C80D4"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rPr>
        <w:t>Thiese</w:t>
      </w:r>
      <w:proofErr w:type="spellEnd"/>
      <w:r>
        <w:rPr>
          <w:rFonts w:ascii="Book Antiqua" w:hAnsi="Book Antiqua" w:cs="Book Antiqua"/>
          <w:b/>
        </w:rPr>
        <w:t xml:space="preserve"> MS</w:t>
      </w:r>
      <w:r>
        <w:rPr>
          <w:rFonts w:ascii="Book Antiqua" w:hAnsi="Book Antiqua" w:cs="Book Antiqua"/>
        </w:rPr>
        <w:t xml:space="preserve">. Observational and interventional study design types; an overview. </w:t>
      </w:r>
      <w:proofErr w:type="spellStart"/>
      <w:r>
        <w:rPr>
          <w:rFonts w:ascii="Book Antiqua" w:hAnsi="Book Antiqua" w:cs="Book Antiqua"/>
          <w:i/>
        </w:rPr>
        <w:t>Biochem</w:t>
      </w:r>
      <w:proofErr w:type="spellEnd"/>
      <w:r>
        <w:rPr>
          <w:rFonts w:ascii="Book Antiqua" w:hAnsi="Book Antiqua" w:cs="Book Antiqua"/>
          <w:i/>
        </w:rPr>
        <w:t xml:space="preserve"> Med (Zagreb)</w:t>
      </w:r>
      <w:r>
        <w:rPr>
          <w:rFonts w:ascii="Book Antiqua" w:hAnsi="Book Antiqua" w:cs="Book Antiqua"/>
        </w:rPr>
        <w:t xml:space="preserve"> 2014; </w:t>
      </w:r>
      <w:r>
        <w:rPr>
          <w:rFonts w:ascii="Book Antiqua" w:hAnsi="Book Antiqua" w:cs="Book Antiqua"/>
          <w:b/>
        </w:rPr>
        <w:t>24</w:t>
      </w:r>
      <w:r>
        <w:rPr>
          <w:rFonts w:ascii="Book Antiqua" w:hAnsi="Book Antiqua" w:cs="Book Antiqua"/>
        </w:rPr>
        <w:t>: 199-210 [PMID: 24969913 DOI: 10.11613/BM.2014.022]</w:t>
      </w:r>
    </w:p>
    <w:p w14:paraId="1127115F"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rPr>
        <w:t>Floren</w:t>
      </w:r>
      <w:proofErr w:type="spellEnd"/>
      <w:r>
        <w:rPr>
          <w:rFonts w:ascii="Book Antiqua" w:hAnsi="Book Antiqua" w:cs="Book Antiqua"/>
          <w:b/>
        </w:rPr>
        <w:t xml:space="preserve"> LC</w:t>
      </w:r>
      <w:r>
        <w:rPr>
          <w:rFonts w:ascii="Book Antiqua" w:hAnsi="Book Antiqua" w:cs="Book Antiqua"/>
        </w:rPr>
        <w:t xml:space="preserve">, </w:t>
      </w:r>
      <w:proofErr w:type="spellStart"/>
      <w:r>
        <w:rPr>
          <w:rFonts w:ascii="Book Antiqua" w:hAnsi="Book Antiqua" w:cs="Book Antiqua"/>
        </w:rPr>
        <w:t>Bekersky</w:t>
      </w:r>
      <w:proofErr w:type="spellEnd"/>
      <w:r>
        <w:rPr>
          <w:rFonts w:ascii="Book Antiqua" w:hAnsi="Book Antiqua" w:cs="Book Antiqua"/>
        </w:rPr>
        <w:t xml:space="preserve"> I, Benet LZ, </w:t>
      </w:r>
      <w:proofErr w:type="spellStart"/>
      <w:r>
        <w:rPr>
          <w:rFonts w:ascii="Book Antiqua" w:hAnsi="Book Antiqua" w:cs="Book Antiqua"/>
        </w:rPr>
        <w:t>Mekki</w:t>
      </w:r>
      <w:proofErr w:type="spellEnd"/>
      <w:r>
        <w:rPr>
          <w:rFonts w:ascii="Book Antiqua" w:hAnsi="Book Antiqua" w:cs="Book Antiqua"/>
        </w:rPr>
        <w:t xml:space="preserve"> Q, Dressler D, Lee JW, Roberts JP, Hebert MF. Tacrolimus oral bioavailability doubles with coadministration of ketoconazole. </w:t>
      </w:r>
      <w:r>
        <w:rPr>
          <w:rFonts w:ascii="Book Antiqua" w:hAnsi="Book Antiqua" w:cs="Book Antiqua"/>
          <w:i/>
        </w:rPr>
        <w:t xml:space="preserve">Clin </w:t>
      </w:r>
      <w:proofErr w:type="spellStart"/>
      <w:r>
        <w:rPr>
          <w:rFonts w:ascii="Book Antiqua" w:hAnsi="Book Antiqua" w:cs="Book Antiqua"/>
          <w:i/>
        </w:rPr>
        <w:t>Pharmacol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rPr>
        <w:t xml:space="preserve"> 1997; </w:t>
      </w:r>
      <w:r>
        <w:rPr>
          <w:rFonts w:ascii="Book Antiqua" w:hAnsi="Book Antiqua" w:cs="Book Antiqua"/>
          <w:b/>
        </w:rPr>
        <w:t>62</w:t>
      </w:r>
      <w:r>
        <w:rPr>
          <w:rFonts w:ascii="Book Antiqua" w:hAnsi="Book Antiqua" w:cs="Book Antiqua"/>
        </w:rPr>
        <w:t>: 41-49 [PMID: 9246018 DOI: 10.1016/S0009-9236(97)90150-8]</w:t>
      </w:r>
    </w:p>
    <w:p w14:paraId="22D22083"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rPr>
        <w:t>Soltero</w:t>
      </w:r>
      <w:proofErr w:type="spellEnd"/>
      <w:r>
        <w:rPr>
          <w:rFonts w:ascii="Book Antiqua" w:hAnsi="Book Antiqua" w:cs="Book Antiqua"/>
          <w:b/>
        </w:rPr>
        <w:t xml:space="preserve"> L</w:t>
      </w:r>
      <w:r>
        <w:rPr>
          <w:rFonts w:ascii="Book Antiqua" w:hAnsi="Book Antiqua" w:cs="Book Antiqua"/>
        </w:rPr>
        <w:t xml:space="preserve">, Carbajal H, Rodríguez-Montalvo C, Valdés A. Coadministration of tacrolimus and ketoconazole in renal transplant recipients: cost analysis and review of metabolic effects. </w:t>
      </w:r>
      <w:r>
        <w:rPr>
          <w:rFonts w:ascii="Book Antiqua" w:hAnsi="Book Antiqua" w:cs="Book Antiqua"/>
          <w:i/>
        </w:rPr>
        <w:t>Transplant Proc</w:t>
      </w:r>
      <w:r>
        <w:rPr>
          <w:rFonts w:ascii="Book Antiqua" w:hAnsi="Book Antiqua" w:cs="Book Antiqua"/>
        </w:rPr>
        <w:t xml:space="preserve"> 2003; </w:t>
      </w:r>
      <w:r>
        <w:rPr>
          <w:rFonts w:ascii="Book Antiqua" w:hAnsi="Book Antiqua" w:cs="Book Antiqua"/>
          <w:b/>
        </w:rPr>
        <w:t>35</w:t>
      </w:r>
      <w:r>
        <w:rPr>
          <w:rFonts w:ascii="Book Antiqua" w:hAnsi="Book Antiqua" w:cs="Book Antiqua"/>
        </w:rPr>
        <w:t>: 1319-1321 [PMID: 12826147 DOI: 10.1016/S0041-1345(03)00450-0]</w:t>
      </w:r>
    </w:p>
    <w:p w14:paraId="72360180" w14:textId="77777777" w:rsidR="00FC4B6A" w:rsidRDefault="005069E0">
      <w:pPr>
        <w:widowControl w:val="0"/>
        <w:spacing w:line="360" w:lineRule="auto"/>
        <w:jc w:val="both"/>
        <w:rPr>
          <w:rFonts w:ascii="Book Antiqua" w:hAnsi="Book Antiqua" w:cs="Book Antiqua"/>
        </w:rPr>
      </w:pPr>
      <w:r w:rsidRPr="000E306D">
        <w:rPr>
          <w:rFonts w:ascii="Book Antiqua" w:hAnsi="Book Antiqua" w:cs="Book Antiqua"/>
        </w:rPr>
        <w:t xml:space="preserve">26 </w:t>
      </w:r>
      <w:r w:rsidRPr="000E306D">
        <w:rPr>
          <w:rFonts w:ascii="Book Antiqua" w:hAnsi="Book Antiqua" w:cs="Book Antiqua"/>
          <w:b/>
        </w:rPr>
        <w:t>Vivekanand J</w:t>
      </w:r>
      <w:r w:rsidRPr="000E306D">
        <w:rPr>
          <w:rFonts w:ascii="Book Antiqua" w:hAnsi="Book Antiqua" w:cs="Book Antiqua"/>
        </w:rPr>
        <w:t>.</w:t>
      </w:r>
      <w:r>
        <w:rPr>
          <w:rFonts w:ascii="Book Antiqua" w:hAnsi="Book Antiqua" w:cs="Book Antiqua"/>
        </w:rPr>
        <w:t xml:space="preserve"> Current status of end-stage renal disease care in India and Pakistan. </w:t>
      </w:r>
      <w:r>
        <w:rPr>
          <w:rFonts w:ascii="Book Antiqua" w:hAnsi="Book Antiqua" w:cs="Book Antiqua"/>
          <w:i/>
          <w:iCs/>
        </w:rPr>
        <w:t>Kidney Int</w:t>
      </w:r>
      <w:r w:rsidR="00CB14D1">
        <w:rPr>
          <w:rFonts w:ascii="Book Antiqua" w:hAnsi="Book Antiqua" w:cs="Book Antiqua"/>
          <w:i/>
          <w:iCs/>
        </w:rPr>
        <w:t xml:space="preserve"> </w:t>
      </w:r>
      <w:r>
        <w:rPr>
          <w:rFonts w:ascii="Book Antiqua" w:hAnsi="Book Antiqua" w:cs="Book Antiqua"/>
          <w:i/>
          <w:iCs/>
        </w:rPr>
        <w:t>Suppl</w:t>
      </w:r>
      <w:r w:rsidR="00CB14D1">
        <w:rPr>
          <w:rFonts w:ascii="Book Antiqua" w:hAnsi="Book Antiqua" w:cs="Book Antiqua"/>
          <w:i/>
          <w:iCs/>
        </w:rPr>
        <w:t xml:space="preserve"> </w:t>
      </w:r>
      <w:r>
        <w:rPr>
          <w:rFonts w:ascii="Book Antiqua" w:hAnsi="Book Antiqua" w:cs="Book Antiqua"/>
        </w:rPr>
        <w:t>2013;</w:t>
      </w:r>
      <w:r>
        <w:rPr>
          <w:rFonts w:ascii="Book Antiqua" w:eastAsia="宋体" w:hAnsi="Book Antiqua" w:cs="Book Antiqua" w:hint="eastAsia"/>
          <w:lang w:eastAsia="zh-CN"/>
        </w:rPr>
        <w:t xml:space="preserve"> </w:t>
      </w:r>
      <w:r w:rsidR="000E306D" w:rsidRPr="000E306D">
        <w:rPr>
          <w:rFonts w:ascii="Book Antiqua" w:hAnsi="Book Antiqua" w:cs="Book Antiqua"/>
          <w:b/>
        </w:rPr>
        <w:t>3</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157-160 [DOI: 10.1038/kisup.2013.3]</w:t>
      </w:r>
    </w:p>
    <w:p w14:paraId="1CE48962"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rPr>
        <w:t>El-</w:t>
      </w:r>
      <w:proofErr w:type="spellStart"/>
      <w:r>
        <w:rPr>
          <w:rFonts w:ascii="Book Antiqua" w:hAnsi="Book Antiqua" w:cs="Book Antiqua"/>
          <w:b/>
        </w:rPr>
        <w:t>Dahshan</w:t>
      </w:r>
      <w:proofErr w:type="spellEnd"/>
      <w:r>
        <w:rPr>
          <w:rFonts w:ascii="Book Antiqua" w:hAnsi="Book Antiqua" w:cs="Book Antiqua"/>
          <w:b/>
        </w:rPr>
        <w:t xml:space="preserve"> KF</w:t>
      </w:r>
      <w:r>
        <w:rPr>
          <w:rFonts w:ascii="Book Antiqua" w:hAnsi="Book Antiqua" w:cs="Book Antiqua"/>
        </w:rPr>
        <w:t xml:space="preserve">, Bakr MA, </w:t>
      </w:r>
      <w:proofErr w:type="spellStart"/>
      <w:r>
        <w:rPr>
          <w:rFonts w:ascii="Book Antiqua" w:hAnsi="Book Antiqua" w:cs="Book Antiqua"/>
        </w:rPr>
        <w:t>Donia</w:t>
      </w:r>
      <w:proofErr w:type="spellEnd"/>
      <w:r>
        <w:rPr>
          <w:rFonts w:ascii="Book Antiqua" w:hAnsi="Book Antiqua" w:cs="Book Antiqua"/>
        </w:rPr>
        <w:t xml:space="preserve"> AF, </w:t>
      </w:r>
      <w:proofErr w:type="spellStart"/>
      <w:r>
        <w:rPr>
          <w:rFonts w:ascii="Book Antiqua" w:hAnsi="Book Antiqua" w:cs="Book Antiqua"/>
        </w:rPr>
        <w:t>Badr</w:t>
      </w:r>
      <w:proofErr w:type="spellEnd"/>
      <w:r>
        <w:rPr>
          <w:rFonts w:ascii="Book Antiqua" w:hAnsi="Book Antiqua" w:cs="Book Antiqua"/>
        </w:rPr>
        <w:t xml:space="preserve"> </w:t>
      </w:r>
      <w:proofErr w:type="spellStart"/>
      <w:r>
        <w:rPr>
          <w:rFonts w:ascii="Book Antiqua" w:hAnsi="Book Antiqua" w:cs="Book Antiqua"/>
        </w:rPr>
        <w:t>Ael</w:t>
      </w:r>
      <w:proofErr w:type="spellEnd"/>
      <w:r>
        <w:rPr>
          <w:rFonts w:ascii="Book Antiqua" w:hAnsi="Book Antiqua" w:cs="Book Antiqua"/>
        </w:rPr>
        <w:t xml:space="preserve">-S, </w:t>
      </w:r>
      <w:proofErr w:type="spellStart"/>
      <w:r>
        <w:rPr>
          <w:rFonts w:ascii="Book Antiqua" w:hAnsi="Book Antiqua" w:cs="Book Antiqua"/>
        </w:rPr>
        <w:t>Sobh</w:t>
      </w:r>
      <w:proofErr w:type="spellEnd"/>
      <w:r>
        <w:rPr>
          <w:rFonts w:ascii="Book Antiqua" w:hAnsi="Book Antiqua" w:cs="Book Antiqua"/>
        </w:rPr>
        <w:t xml:space="preserve"> MA. Ketoconazole-tacrolimus coadministration in kidney transplant recipients: two-year results of a prospective randomized study. </w:t>
      </w:r>
      <w:r>
        <w:rPr>
          <w:rFonts w:ascii="Book Antiqua" w:hAnsi="Book Antiqua" w:cs="Book Antiqua"/>
          <w:i/>
        </w:rPr>
        <w:t>Am J Nephrol</w:t>
      </w:r>
      <w:r>
        <w:rPr>
          <w:rFonts w:ascii="Book Antiqua" w:hAnsi="Book Antiqua" w:cs="Book Antiqua"/>
        </w:rPr>
        <w:t xml:space="preserve"> 2006; </w:t>
      </w:r>
      <w:r>
        <w:rPr>
          <w:rFonts w:ascii="Book Antiqua" w:hAnsi="Book Antiqua" w:cs="Book Antiqua"/>
          <w:b/>
        </w:rPr>
        <w:t>26</w:t>
      </w:r>
      <w:r>
        <w:rPr>
          <w:rFonts w:ascii="Book Antiqua" w:hAnsi="Book Antiqua" w:cs="Book Antiqua"/>
        </w:rPr>
        <w:t>: 293-298 [PMID: 16804292 DOI: 10.1159/000094133]</w:t>
      </w:r>
    </w:p>
    <w:p w14:paraId="06772E13"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rPr>
        <w:t>Clayton PA</w:t>
      </w:r>
      <w:r>
        <w:rPr>
          <w:rFonts w:ascii="Book Antiqua" w:hAnsi="Book Antiqua" w:cs="Book Antiqua"/>
        </w:rPr>
        <w:t xml:space="preserve">, Lim WH, Wong G, Chadban SJ. Relationship between eGFR Decline and Hard Outcomes after Kidney Transplants. </w:t>
      </w:r>
      <w:r>
        <w:rPr>
          <w:rFonts w:ascii="Book Antiqua" w:hAnsi="Book Antiqua" w:cs="Book Antiqua"/>
          <w:i/>
        </w:rPr>
        <w:t>J Am Soc Nephrol</w:t>
      </w:r>
      <w:r>
        <w:rPr>
          <w:rFonts w:ascii="Book Antiqua" w:hAnsi="Book Antiqua" w:cs="Book Antiqua"/>
        </w:rPr>
        <w:t xml:space="preserve"> 2016; </w:t>
      </w:r>
      <w:r>
        <w:rPr>
          <w:rFonts w:ascii="Book Antiqua" w:hAnsi="Book Antiqua" w:cs="Book Antiqua"/>
          <w:b/>
        </w:rPr>
        <w:t>27</w:t>
      </w:r>
      <w:r>
        <w:rPr>
          <w:rFonts w:ascii="Book Antiqua" w:hAnsi="Book Antiqua" w:cs="Book Antiqua"/>
        </w:rPr>
        <w:t>: 3440-3446 [PMID: 27059513 DOI: 10.1681/ASN.2015050524]</w:t>
      </w:r>
    </w:p>
    <w:p w14:paraId="252F4E98" w14:textId="77777777" w:rsidR="00FC4B6A" w:rsidRDefault="005069E0">
      <w:pPr>
        <w:widowControl w:val="0"/>
        <w:spacing w:line="360" w:lineRule="auto"/>
        <w:jc w:val="both"/>
        <w:rPr>
          <w:rFonts w:ascii="Book Antiqua" w:hAnsi="Book Antiqua" w:cs="Book Antiqua"/>
        </w:rPr>
      </w:pPr>
      <w:r>
        <w:rPr>
          <w:rFonts w:ascii="Book Antiqua" w:hAnsi="Book Antiqua" w:cs="Book Antiqua"/>
        </w:rPr>
        <w:lastRenderedPageBreak/>
        <w:t xml:space="preserve">29 </w:t>
      </w:r>
      <w:r>
        <w:rPr>
          <w:rFonts w:ascii="Book Antiqua" w:hAnsi="Book Antiqua" w:cs="Book Antiqua"/>
          <w:b/>
        </w:rPr>
        <w:t>First MR</w:t>
      </w:r>
      <w:r>
        <w:rPr>
          <w:rFonts w:ascii="Book Antiqua" w:hAnsi="Book Antiqua" w:cs="Book Antiqua"/>
        </w:rPr>
        <w:t xml:space="preserve">. Renal function as a predictor of long-term graft survival in renal transplant patients. </w:t>
      </w:r>
      <w:r>
        <w:rPr>
          <w:rFonts w:ascii="Book Antiqua" w:hAnsi="Book Antiqua" w:cs="Book Antiqua"/>
          <w:i/>
        </w:rPr>
        <w:t>Nephrol Dial Transplant</w:t>
      </w:r>
      <w:r>
        <w:rPr>
          <w:rFonts w:ascii="Book Antiqua" w:hAnsi="Book Antiqua" w:cs="Book Antiqua"/>
        </w:rPr>
        <w:t xml:space="preserve"> 2003; </w:t>
      </w:r>
      <w:r>
        <w:rPr>
          <w:rFonts w:ascii="Book Antiqua" w:hAnsi="Book Antiqua" w:cs="Book Antiqua"/>
          <w:b/>
        </w:rPr>
        <w:t>18 Suppl 1</w:t>
      </w:r>
      <w:r>
        <w:rPr>
          <w:rFonts w:ascii="Book Antiqua" w:hAnsi="Book Antiqua" w:cs="Book Antiqua"/>
        </w:rPr>
        <w:t>: i3-i6 [PMID: 12738756 DOI: 10.1093/</w:t>
      </w:r>
      <w:proofErr w:type="spellStart"/>
      <w:r>
        <w:rPr>
          <w:rFonts w:ascii="Book Antiqua" w:hAnsi="Book Antiqua" w:cs="Book Antiqua"/>
        </w:rPr>
        <w:t>ndt</w:t>
      </w:r>
      <w:proofErr w:type="spellEnd"/>
      <w:r>
        <w:rPr>
          <w:rFonts w:ascii="Book Antiqua" w:hAnsi="Book Antiqua" w:cs="Book Antiqua"/>
        </w:rPr>
        <w:t>/gfg1027]</w:t>
      </w:r>
    </w:p>
    <w:p w14:paraId="22E6DFD5" w14:textId="64A4330F" w:rsidR="00FC4B6A" w:rsidRPr="006962CD" w:rsidRDefault="005069E0">
      <w:pPr>
        <w:widowControl w:val="0"/>
        <w:spacing w:line="360" w:lineRule="auto"/>
        <w:jc w:val="both"/>
        <w:rPr>
          <w:rFonts w:ascii="Book Antiqua" w:hAnsi="Book Antiqua" w:cs="Book Antiqua"/>
          <w:highlight w:val="yellow"/>
          <w:lang w:val="es-ES"/>
        </w:rPr>
      </w:pPr>
      <w:r w:rsidRPr="006962CD">
        <w:rPr>
          <w:rFonts w:ascii="Book Antiqua" w:hAnsi="Book Antiqua" w:cs="Book Antiqua"/>
          <w:highlight w:val="yellow"/>
          <w:lang w:val="es-ES"/>
        </w:rPr>
        <w:t>30</w:t>
      </w:r>
      <w:r w:rsidR="00B822CF" w:rsidRPr="006962CD">
        <w:rPr>
          <w:rFonts w:ascii="Book Antiqua" w:hAnsi="Book Antiqua" w:cs="Book Antiqua"/>
          <w:highlight w:val="yellow"/>
          <w:lang w:val="es-ES"/>
        </w:rPr>
        <w:t xml:space="preserve"> </w:t>
      </w:r>
      <w:r w:rsidRPr="006962CD">
        <w:rPr>
          <w:rFonts w:ascii="Book Antiqua" w:hAnsi="Book Antiqua" w:cs="Book Antiqua"/>
          <w:b/>
          <w:highlight w:val="yellow"/>
          <w:lang w:val="es-ES"/>
        </w:rPr>
        <w:t>Agencia española de medicamentos y productos sanitarios (AEMPS)</w:t>
      </w:r>
      <w:r w:rsidRPr="006962CD">
        <w:rPr>
          <w:rFonts w:ascii="Book Antiqua" w:hAnsi="Book Antiqua" w:cs="Book Antiqua"/>
          <w:highlight w:val="yellow"/>
          <w:lang w:val="es-ES"/>
        </w:rPr>
        <w:t xml:space="preserve">. Ketoconazol de administración sistémica (comprimidos): suspensión de comercialización. [Internet]. 2013. Available from: </w:t>
      </w:r>
      <w:r w:rsidR="00B87EF2">
        <w:fldChar w:fldCharType="begin"/>
      </w:r>
      <w:r w:rsidR="00B87EF2">
        <w:instrText xml:space="preserve"> HYPERLINK "https://www.aemps.gob.es/informa/notasInformativas/medicamentosUso%20Humano/seguridad/2013/NI-MUH_FV_21-2013-ketoconazol.htm" </w:instrText>
      </w:r>
      <w:r w:rsidR="00B87EF2">
        <w:fldChar w:fldCharType="separate"/>
      </w:r>
      <w:r w:rsidR="008B7899" w:rsidRPr="004D1CE9">
        <w:rPr>
          <w:rStyle w:val="a7"/>
          <w:rFonts w:ascii="Book Antiqua" w:hAnsi="Book Antiqua" w:cs="Book Antiqua"/>
          <w:highlight w:val="yellow"/>
          <w:lang w:val="es-ES"/>
        </w:rPr>
        <w:t>https://www.aemps.gob.es/informa/notasInformativas/medicamentosUso Humano/seguridad/2013/NI-MUH_FV_21-2013-ketoconazol.htm</w:t>
      </w:r>
      <w:r w:rsidR="00B87EF2">
        <w:rPr>
          <w:rStyle w:val="a7"/>
          <w:rFonts w:ascii="Book Antiqua" w:hAnsi="Book Antiqua" w:cs="Book Antiqua"/>
          <w:highlight w:val="yellow"/>
          <w:lang w:val="es-ES"/>
        </w:rPr>
        <w:fldChar w:fldCharType="end"/>
      </w:r>
      <w:r w:rsidR="008B7899">
        <w:rPr>
          <w:rFonts w:ascii="Book Antiqua" w:hAnsi="Book Antiqua" w:cs="Book Antiqua"/>
          <w:highlight w:val="yellow"/>
          <w:lang w:val="es-ES"/>
        </w:rPr>
        <w:t xml:space="preserve"> </w:t>
      </w:r>
      <w:r w:rsidR="00B822CF" w:rsidRPr="006962CD">
        <w:rPr>
          <w:rFonts w:ascii="Book Antiqua" w:hAnsi="Book Antiqua" w:cs="Book Antiqua"/>
          <w:highlight w:val="yellow"/>
          <w:lang w:val="es-ES"/>
        </w:rPr>
        <w:t xml:space="preserve"> </w:t>
      </w:r>
    </w:p>
    <w:p w14:paraId="0E25B437" w14:textId="6472A04D" w:rsidR="00FC4B6A" w:rsidRPr="00EB70E9" w:rsidRDefault="005069E0">
      <w:pPr>
        <w:widowControl w:val="0"/>
        <w:spacing w:line="360" w:lineRule="auto"/>
        <w:jc w:val="both"/>
        <w:rPr>
          <w:rFonts w:ascii="Book Antiqua" w:hAnsi="Book Antiqua" w:cs="Book Antiqua"/>
          <w:highlight w:val="yellow"/>
        </w:rPr>
      </w:pPr>
      <w:r w:rsidRPr="00EB70E9">
        <w:rPr>
          <w:rFonts w:ascii="Book Antiqua" w:hAnsi="Book Antiqua" w:cs="Book Antiqua"/>
          <w:highlight w:val="yellow"/>
        </w:rPr>
        <w:t>31</w:t>
      </w:r>
      <w:r w:rsidR="009B4D1B" w:rsidRPr="00EB70E9">
        <w:rPr>
          <w:rFonts w:ascii="Book Antiqua" w:hAnsi="Book Antiqua" w:cs="Book Antiqua"/>
          <w:highlight w:val="yellow"/>
        </w:rPr>
        <w:t xml:space="preserve"> </w:t>
      </w:r>
      <w:r w:rsidRPr="00EB70E9">
        <w:rPr>
          <w:rFonts w:ascii="Book Antiqua" w:hAnsi="Book Antiqua" w:cs="Book Antiqua"/>
          <w:b/>
          <w:highlight w:val="yellow"/>
        </w:rPr>
        <w:t>Janssen Pharmaceuticals Inc. Food and Drug Administration</w:t>
      </w:r>
      <w:r w:rsidRPr="00EB70E9">
        <w:rPr>
          <w:rFonts w:ascii="Book Antiqua" w:hAnsi="Book Antiqua" w:cs="Book Antiqua"/>
          <w:highlight w:val="yellow"/>
        </w:rPr>
        <w:t xml:space="preserve">. Nizoral (Ketoconazole). [Internet] 2014. Available from: </w:t>
      </w:r>
      <w:hyperlink r:id="rId11" w:history="1">
        <w:r w:rsidR="008B7899" w:rsidRPr="004D1CE9">
          <w:rPr>
            <w:rStyle w:val="a7"/>
            <w:rFonts w:ascii="Book Antiqua" w:hAnsi="Book Antiqua" w:cs="Book Antiqua"/>
            <w:highlight w:val="yellow"/>
          </w:rPr>
          <w:t>https://www.fda.gov/downloads/Drugs/DrugSafety/UCM 362592.pdf</w:t>
        </w:r>
      </w:hyperlink>
      <w:r w:rsidR="008B7899">
        <w:rPr>
          <w:rFonts w:ascii="Book Antiqua" w:hAnsi="Book Antiqua" w:cs="Book Antiqua"/>
          <w:highlight w:val="yellow"/>
        </w:rPr>
        <w:t xml:space="preserve"> </w:t>
      </w:r>
      <w:r w:rsidR="00B14259" w:rsidRPr="00EB70E9">
        <w:rPr>
          <w:rFonts w:ascii="Book Antiqua" w:hAnsi="Book Antiqua" w:cs="Book Antiqua"/>
          <w:highlight w:val="yellow"/>
        </w:rPr>
        <w:t xml:space="preserve"> </w:t>
      </w:r>
    </w:p>
    <w:p w14:paraId="577F608B" w14:textId="4F1CA72D" w:rsidR="00FC4B6A" w:rsidRDefault="005069E0">
      <w:pPr>
        <w:widowControl w:val="0"/>
        <w:spacing w:line="360" w:lineRule="auto"/>
        <w:jc w:val="both"/>
        <w:rPr>
          <w:rFonts w:ascii="Book Antiqua" w:hAnsi="Book Antiqua" w:cs="Book Antiqua"/>
        </w:rPr>
      </w:pPr>
      <w:r w:rsidRPr="00EB70E9">
        <w:rPr>
          <w:rFonts w:ascii="Book Antiqua" w:hAnsi="Book Antiqua" w:cs="Book Antiqua"/>
          <w:highlight w:val="yellow"/>
        </w:rPr>
        <w:t>32</w:t>
      </w:r>
      <w:r w:rsidR="00B14259" w:rsidRPr="00EB70E9">
        <w:rPr>
          <w:rFonts w:ascii="Book Antiqua" w:hAnsi="Book Antiqua" w:cs="Book Antiqua"/>
          <w:highlight w:val="yellow"/>
        </w:rPr>
        <w:t xml:space="preserve"> </w:t>
      </w:r>
      <w:proofErr w:type="spellStart"/>
      <w:r w:rsidRPr="00EB70E9">
        <w:rPr>
          <w:rFonts w:ascii="Book Antiqua" w:hAnsi="Book Antiqua" w:cs="Book Antiqua"/>
          <w:b/>
          <w:highlight w:val="yellow"/>
        </w:rPr>
        <w:t>CrossTech</w:t>
      </w:r>
      <w:proofErr w:type="spellEnd"/>
      <w:r w:rsidRPr="00EB70E9">
        <w:rPr>
          <w:rFonts w:ascii="Book Antiqua" w:hAnsi="Book Antiqua" w:cs="Book Antiqua"/>
          <w:b/>
          <w:highlight w:val="yellow"/>
        </w:rPr>
        <w:t xml:space="preserve"> Communications Inc</w:t>
      </w:r>
      <w:r w:rsidRPr="00EB70E9">
        <w:rPr>
          <w:rFonts w:ascii="Book Antiqua" w:hAnsi="Book Antiqua" w:cs="Book Antiqua"/>
          <w:highlight w:val="yellow"/>
        </w:rPr>
        <w:t xml:space="preserve">. Patient information about </w:t>
      </w:r>
      <w:proofErr w:type="spellStart"/>
      <w:r w:rsidRPr="00EB70E9">
        <w:rPr>
          <w:rFonts w:ascii="Book Antiqua" w:hAnsi="Book Antiqua" w:cs="Book Antiqua"/>
          <w:highlight w:val="yellow"/>
        </w:rPr>
        <w:t>Protropic</w:t>
      </w:r>
      <w:proofErr w:type="spellEnd"/>
      <w:r w:rsidRPr="00EB70E9">
        <w:rPr>
          <w:rFonts w:ascii="Book Antiqua" w:hAnsi="Book Antiqua" w:cs="Book Antiqua"/>
          <w:highlight w:val="yellow"/>
        </w:rPr>
        <w:t xml:space="preserve"> (tacrolimus). [Internet]. July 2003. Available from: </w:t>
      </w:r>
      <w:hyperlink r:id="rId12" w:history="1">
        <w:r w:rsidR="008B7899" w:rsidRPr="004D1CE9">
          <w:rPr>
            <w:rStyle w:val="a7"/>
            <w:rFonts w:ascii="Book Antiqua" w:hAnsi="Book Antiqua" w:cs="Book Antiqua"/>
            <w:highlight w:val="yellow"/>
          </w:rPr>
          <w:t>https://www.accessdata.fda.gov/drugsatfda_docs /Lab el/2003/50777scs006_protopic _lbl.pdf</w:t>
        </w:r>
      </w:hyperlink>
      <w:r w:rsidR="008B7899">
        <w:rPr>
          <w:rFonts w:ascii="Book Antiqua" w:hAnsi="Book Antiqua" w:cs="Book Antiqua"/>
        </w:rPr>
        <w:t xml:space="preserve"> </w:t>
      </w:r>
      <w:r w:rsidR="00DF6D57">
        <w:rPr>
          <w:rFonts w:ascii="Book Antiqua" w:hAnsi="Book Antiqua" w:cs="Book Antiqua"/>
        </w:rPr>
        <w:t xml:space="preserve"> </w:t>
      </w:r>
    </w:p>
    <w:p w14:paraId="4CA7A809"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33 </w:t>
      </w:r>
      <w:proofErr w:type="spellStart"/>
      <w:r>
        <w:rPr>
          <w:rFonts w:ascii="Book Antiqua" w:hAnsi="Book Antiqua" w:cs="Book Antiqua"/>
          <w:b/>
        </w:rPr>
        <w:t>Ramay</w:t>
      </w:r>
      <w:proofErr w:type="spellEnd"/>
      <w:r>
        <w:rPr>
          <w:rFonts w:ascii="Book Antiqua" w:hAnsi="Book Antiqua" w:cs="Book Antiqua"/>
          <w:b/>
        </w:rPr>
        <w:t xml:space="preserve"> BM</w:t>
      </w:r>
      <w:r>
        <w:rPr>
          <w:rFonts w:ascii="Book Antiqua" w:hAnsi="Book Antiqua" w:cs="Book Antiqua"/>
        </w:rPr>
        <w:t xml:space="preserve">, </w:t>
      </w:r>
      <w:proofErr w:type="spellStart"/>
      <w:r>
        <w:rPr>
          <w:rFonts w:ascii="Book Antiqua" w:hAnsi="Book Antiqua" w:cs="Book Antiqua"/>
        </w:rPr>
        <w:t>Cerón</w:t>
      </w:r>
      <w:proofErr w:type="spellEnd"/>
      <w:r>
        <w:rPr>
          <w:rFonts w:ascii="Book Antiqua" w:hAnsi="Book Antiqua" w:cs="Book Antiqua"/>
        </w:rPr>
        <w:t xml:space="preserve"> A, Méndez-</w:t>
      </w:r>
      <w:proofErr w:type="spellStart"/>
      <w:r>
        <w:rPr>
          <w:rFonts w:ascii="Book Antiqua" w:hAnsi="Book Antiqua" w:cs="Book Antiqua"/>
        </w:rPr>
        <w:t>Alburez</w:t>
      </w:r>
      <w:proofErr w:type="spellEnd"/>
      <w:r>
        <w:rPr>
          <w:rFonts w:ascii="Book Antiqua" w:hAnsi="Book Antiqua" w:cs="Book Antiqua"/>
        </w:rPr>
        <w:t xml:space="preserve"> LP, Lou-</w:t>
      </w:r>
      <w:proofErr w:type="spellStart"/>
      <w:r>
        <w:rPr>
          <w:rFonts w:ascii="Book Antiqua" w:hAnsi="Book Antiqua" w:cs="Book Antiqua"/>
        </w:rPr>
        <w:t>Meda</w:t>
      </w:r>
      <w:proofErr w:type="spellEnd"/>
      <w:r>
        <w:rPr>
          <w:rFonts w:ascii="Book Antiqua" w:hAnsi="Book Antiqua" w:cs="Book Antiqua"/>
        </w:rPr>
        <w:t xml:space="preserve"> R. Factors associated to acceptable treatment adherence among children with chronic kidney disease in Guatemala.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2017; </w:t>
      </w:r>
      <w:r>
        <w:rPr>
          <w:rFonts w:ascii="Book Antiqua" w:hAnsi="Book Antiqua" w:cs="Book Antiqua"/>
          <w:b/>
        </w:rPr>
        <w:t>12</w:t>
      </w:r>
      <w:r>
        <w:rPr>
          <w:rFonts w:ascii="Book Antiqua" w:hAnsi="Book Antiqua" w:cs="Book Antiqua"/>
        </w:rPr>
        <w:t>: e0186644 [PMID: 29036228 DOI: 10.1371/journal.pone.0186644]</w:t>
      </w:r>
    </w:p>
    <w:p w14:paraId="56E63E8E" w14:textId="77777777" w:rsidR="00FC4B6A" w:rsidRDefault="005069E0">
      <w:pPr>
        <w:spacing w:line="360" w:lineRule="auto"/>
        <w:jc w:val="both"/>
      </w:pPr>
      <w:r>
        <w:br w:type="page"/>
      </w:r>
      <w:r>
        <w:rPr>
          <w:rFonts w:ascii="Book Antiqua" w:eastAsia="Book Antiqua" w:hAnsi="Book Antiqua" w:cs="Book Antiqua"/>
          <w:b/>
          <w:color w:val="000000"/>
        </w:rPr>
        <w:lastRenderedPageBreak/>
        <w:t>Footnotes</w:t>
      </w:r>
    </w:p>
    <w:p w14:paraId="59FAACE5" w14:textId="77777777" w:rsidR="00FC4B6A" w:rsidRDefault="005069E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Research Ethics Committee from the Faculty of Humanities and Science, at the Universidad del Valle de Guatemala</w:t>
      </w:r>
      <w:r>
        <w:rPr>
          <w:rFonts w:ascii="Book Antiqua" w:eastAsia="Book Antiqua" w:hAnsi="Book Antiqua" w:cs="Book Antiqua"/>
          <w:color w:val="000000"/>
        </w:rPr>
        <w:t xml:space="preserve"> reviewed and approved the study protocol and all study documents (QF-010-febrero2015).</w:t>
      </w:r>
    </w:p>
    <w:p w14:paraId="00C7A8D5" w14:textId="77777777" w:rsidR="00FC4B6A" w:rsidRDefault="00FC4B6A">
      <w:pPr>
        <w:spacing w:line="360" w:lineRule="auto"/>
        <w:jc w:val="both"/>
      </w:pPr>
    </w:p>
    <w:p w14:paraId="06A4AC7A" w14:textId="16BB9759" w:rsidR="00FC4B6A" w:rsidRDefault="005069E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Researchers did not collect any personal identifiers to carry out this retrospective chart review. Informed consent was wa</w:t>
      </w:r>
      <w:r w:rsidR="00594ADB">
        <w:rPr>
          <w:rFonts w:ascii="Book Antiqua" w:eastAsia="Book Antiqua" w:hAnsi="Book Antiqua" w:cs="Book Antiqua"/>
          <w:color w:val="000000"/>
        </w:rPr>
        <w:t>i</w:t>
      </w:r>
      <w:r>
        <w:rPr>
          <w:rFonts w:ascii="Book Antiqua" w:eastAsia="Book Antiqua" w:hAnsi="Book Antiqua" w:cs="Book Antiqua"/>
          <w:color w:val="000000"/>
        </w:rPr>
        <w:t xml:space="preserve">ved and approved by the ethics committee. </w:t>
      </w:r>
    </w:p>
    <w:p w14:paraId="76798787" w14:textId="77777777" w:rsidR="00FC4B6A" w:rsidRDefault="00FC4B6A">
      <w:pPr>
        <w:spacing w:line="360" w:lineRule="auto"/>
        <w:jc w:val="both"/>
      </w:pPr>
    </w:p>
    <w:p w14:paraId="2F514F1F" w14:textId="77777777" w:rsidR="00FC4B6A" w:rsidRDefault="005069E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report.</w:t>
      </w:r>
    </w:p>
    <w:p w14:paraId="5D552343" w14:textId="77777777" w:rsidR="00FC4B6A" w:rsidRDefault="00FC4B6A">
      <w:pPr>
        <w:spacing w:line="360" w:lineRule="auto"/>
        <w:jc w:val="both"/>
      </w:pPr>
    </w:p>
    <w:p w14:paraId="2636BABA" w14:textId="77777777" w:rsidR="00FC4B6A" w:rsidRDefault="005069E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CA62EF0" w14:textId="77777777" w:rsidR="00FC4B6A" w:rsidRDefault="00FC4B6A">
      <w:pPr>
        <w:spacing w:line="360" w:lineRule="auto"/>
        <w:jc w:val="both"/>
      </w:pPr>
    </w:p>
    <w:p w14:paraId="2E637DF6" w14:textId="77777777" w:rsidR="00FC4B6A" w:rsidRDefault="005069E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9E418DD" w14:textId="77777777" w:rsidR="00FC4B6A" w:rsidRDefault="00FC4B6A">
      <w:pPr>
        <w:spacing w:line="360" w:lineRule="auto"/>
        <w:jc w:val="both"/>
      </w:pPr>
    </w:p>
    <w:p w14:paraId="7E9AAF99" w14:textId="77777777" w:rsidR="00FC4B6A" w:rsidRDefault="005069E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4F6E35" w14:textId="77777777" w:rsidR="00FC4B6A" w:rsidRDefault="00FC4B6A">
      <w:pPr>
        <w:spacing w:line="360" w:lineRule="auto"/>
        <w:jc w:val="both"/>
      </w:pPr>
    </w:p>
    <w:p w14:paraId="754390D6" w14:textId="77777777" w:rsidR="00FC4B6A" w:rsidRDefault="005069E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B3CD7">
        <w:rPr>
          <w:rFonts w:ascii="Book Antiqua" w:eastAsia="Book Antiqua" w:hAnsi="Book Antiqua" w:cs="Book Antiqua"/>
          <w:color w:val="000000"/>
        </w:rPr>
        <w:t>m</w:t>
      </w:r>
      <w:r>
        <w:rPr>
          <w:rFonts w:ascii="Book Antiqua" w:eastAsia="Book Antiqua" w:hAnsi="Book Antiqua" w:cs="Book Antiqua"/>
          <w:color w:val="000000"/>
        </w:rPr>
        <w:t>anuscript</w:t>
      </w:r>
    </w:p>
    <w:p w14:paraId="3C185AAD" w14:textId="77777777" w:rsidR="00FC4B6A" w:rsidRDefault="00FC4B6A">
      <w:pPr>
        <w:spacing w:line="360" w:lineRule="auto"/>
        <w:jc w:val="both"/>
      </w:pPr>
    </w:p>
    <w:p w14:paraId="0D5B7F49" w14:textId="77777777" w:rsidR="00FC4B6A" w:rsidRDefault="005069E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15, 2020</w:t>
      </w:r>
    </w:p>
    <w:p w14:paraId="0A2EBE3B" w14:textId="77777777" w:rsidR="00FC4B6A" w:rsidRDefault="005069E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2020</w:t>
      </w:r>
    </w:p>
    <w:p w14:paraId="3E44A571" w14:textId="77777777" w:rsidR="00FC4B6A" w:rsidRDefault="005069E0">
      <w:pPr>
        <w:spacing w:line="360" w:lineRule="auto"/>
        <w:jc w:val="both"/>
      </w:pPr>
      <w:r>
        <w:rPr>
          <w:rFonts w:ascii="Book Antiqua" w:eastAsia="Book Antiqua" w:hAnsi="Book Antiqua" w:cs="Book Antiqua"/>
          <w:b/>
          <w:color w:val="000000"/>
        </w:rPr>
        <w:lastRenderedPageBreak/>
        <w:t xml:space="preserve">Article in press: </w:t>
      </w:r>
    </w:p>
    <w:p w14:paraId="6A8BA8E1" w14:textId="77777777" w:rsidR="00FC4B6A" w:rsidRDefault="00FC4B6A">
      <w:pPr>
        <w:spacing w:line="360" w:lineRule="auto"/>
        <w:jc w:val="both"/>
      </w:pPr>
    </w:p>
    <w:p w14:paraId="0ADAAEDC" w14:textId="77777777" w:rsidR="00FC4B6A" w:rsidRDefault="005069E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0272EFB7" w14:textId="77777777" w:rsidR="00FC4B6A" w:rsidRDefault="005069E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Guatemala</w:t>
      </w:r>
    </w:p>
    <w:p w14:paraId="0E62DF07" w14:textId="77777777" w:rsidR="00FC4B6A" w:rsidRDefault="005069E0">
      <w:pPr>
        <w:spacing w:line="360" w:lineRule="auto"/>
        <w:jc w:val="both"/>
      </w:pPr>
      <w:r>
        <w:rPr>
          <w:rFonts w:ascii="Book Antiqua" w:eastAsia="Book Antiqua" w:hAnsi="Book Antiqua" w:cs="Book Antiqua"/>
          <w:b/>
          <w:color w:val="000000"/>
        </w:rPr>
        <w:t>Peer-review report’s scientific quality classification</w:t>
      </w:r>
    </w:p>
    <w:p w14:paraId="0212D515" w14:textId="77777777" w:rsidR="00FC4B6A" w:rsidRDefault="005069E0">
      <w:pPr>
        <w:spacing w:line="360" w:lineRule="auto"/>
        <w:jc w:val="both"/>
      </w:pPr>
      <w:r>
        <w:rPr>
          <w:rFonts w:ascii="Book Antiqua" w:eastAsia="Book Antiqua" w:hAnsi="Book Antiqua" w:cs="Book Antiqua"/>
          <w:color w:val="000000"/>
        </w:rPr>
        <w:t>Grade A (Excellent): 0</w:t>
      </w:r>
    </w:p>
    <w:p w14:paraId="27854053" w14:textId="77777777" w:rsidR="00FC4B6A" w:rsidRDefault="005069E0">
      <w:pPr>
        <w:spacing w:line="360" w:lineRule="auto"/>
        <w:jc w:val="both"/>
      </w:pPr>
      <w:r>
        <w:rPr>
          <w:rFonts w:ascii="Book Antiqua" w:eastAsia="Book Antiqua" w:hAnsi="Book Antiqua" w:cs="Book Antiqua"/>
          <w:color w:val="000000"/>
        </w:rPr>
        <w:t>Grade B (Very good): B</w:t>
      </w:r>
    </w:p>
    <w:p w14:paraId="3E0184C0" w14:textId="77777777" w:rsidR="00FC4B6A" w:rsidRDefault="005069E0">
      <w:pPr>
        <w:spacing w:line="360" w:lineRule="auto"/>
        <w:jc w:val="both"/>
      </w:pPr>
      <w:r>
        <w:rPr>
          <w:rFonts w:ascii="Book Antiqua" w:eastAsia="Book Antiqua" w:hAnsi="Book Antiqua" w:cs="Book Antiqua"/>
          <w:color w:val="000000"/>
        </w:rPr>
        <w:t>Grade C (Good): C, C</w:t>
      </w:r>
    </w:p>
    <w:p w14:paraId="5B4E8700" w14:textId="77777777" w:rsidR="00FC4B6A" w:rsidRDefault="005069E0">
      <w:pPr>
        <w:spacing w:line="360" w:lineRule="auto"/>
        <w:jc w:val="both"/>
      </w:pPr>
      <w:r>
        <w:rPr>
          <w:rFonts w:ascii="Book Antiqua" w:eastAsia="Book Antiqua" w:hAnsi="Book Antiqua" w:cs="Book Antiqua"/>
          <w:color w:val="000000"/>
        </w:rPr>
        <w:t>Grade D (Fair): 0</w:t>
      </w:r>
    </w:p>
    <w:p w14:paraId="6E9DEF40" w14:textId="77777777" w:rsidR="00FC4B6A" w:rsidRDefault="005069E0">
      <w:pPr>
        <w:spacing w:line="360" w:lineRule="auto"/>
        <w:jc w:val="both"/>
      </w:pPr>
      <w:r>
        <w:rPr>
          <w:rFonts w:ascii="Book Antiqua" w:eastAsia="Book Antiqua" w:hAnsi="Book Antiqua" w:cs="Book Antiqua"/>
          <w:color w:val="000000"/>
        </w:rPr>
        <w:t>Grade E (Poor): E</w:t>
      </w:r>
    </w:p>
    <w:p w14:paraId="3BF06BCD" w14:textId="77777777" w:rsidR="00FC4B6A" w:rsidRDefault="00FC4B6A">
      <w:pPr>
        <w:spacing w:line="360" w:lineRule="auto"/>
        <w:jc w:val="both"/>
      </w:pPr>
    </w:p>
    <w:p w14:paraId="11647390" w14:textId="540A0C00" w:rsidR="00FC4B6A" w:rsidRDefault="005069E0">
      <w:pPr>
        <w:numPr>
          <w:ilvl w:val="0"/>
          <w:numId w:val="1"/>
        </w:num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Reviewer: </w:t>
      </w:r>
      <w:proofErr w:type="spellStart"/>
      <w:r>
        <w:rPr>
          <w:rFonts w:ascii="Book Antiqua" w:eastAsia="Book Antiqua" w:hAnsi="Book Antiqua" w:cs="Book Antiqua"/>
          <w:color w:val="000000"/>
        </w:rPr>
        <w:t>Eleftheriadis</w:t>
      </w:r>
      <w:proofErr w:type="spellEnd"/>
      <w:r>
        <w:rPr>
          <w:rFonts w:ascii="Book Antiqua" w:eastAsia="Book Antiqua" w:hAnsi="Book Antiqua" w:cs="Book Antiqua"/>
          <w:color w:val="000000"/>
        </w:rPr>
        <w:t xml:space="preserve"> T, Tanaka H, </w:t>
      </w:r>
      <w:proofErr w:type="spellStart"/>
      <w:r>
        <w:rPr>
          <w:rFonts w:ascii="Book Antiqua" w:eastAsia="Book Antiqua" w:hAnsi="Book Antiqua" w:cs="Book Antiqua"/>
          <w:color w:val="000000"/>
        </w:rPr>
        <w:t>Trkulja</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594AD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55B217DB" w14:textId="77777777" w:rsidR="00FC4B6A" w:rsidRDefault="00FC4B6A">
      <w:pPr>
        <w:spacing w:line="360" w:lineRule="auto"/>
        <w:jc w:val="both"/>
        <w:rPr>
          <w:rFonts w:ascii="Book Antiqua" w:eastAsia="Book Antiqua" w:hAnsi="Book Antiqua" w:cs="Book Antiqua"/>
          <w:b/>
          <w:color w:val="000000"/>
        </w:rPr>
      </w:pPr>
    </w:p>
    <w:p w14:paraId="2C49FD68" w14:textId="4F419392" w:rsidR="00FC4B6A" w:rsidRPr="00485CBB" w:rsidRDefault="005069E0">
      <w:pPr>
        <w:spacing w:line="360" w:lineRule="auto"/>
        <w:jc w:val="both"/>
        <w:rPr>
          <w:rFonts w:ascii="Book Antiqua" w:eastAsiaTheme="minorEastAsia" w:hAnsi="Book Antiqua" w:cs="Book Antiqua"/>
          <w:b/>
          <w:bCs/>
          <w:color w:val="000000"/>
          <w:lang w:eastAsia="zh-CN"/>
        </w:rPr>
      </w:pPr>
      <w:r>
        <w:rPr>
          <w:rFonts w:ascii="Book Antiqua" w:eastAsia="Book Antiqua" w:hAnsi="Book Antiqua" w:cs="Book Antiqua"/>
          <w:b/>
          <w:color w:val="000000"/>
        </w:rPr>
        <w:br w:type="page"/>
      </w:r>
      <w:r>
        <w:rPr>
          <w:rFonts w:ascii="Book Antiqua" w:hAnsi="Book Antiqua"/>
          <w:b/>
          <w:bCs/>
        </w:rPr>
        <w:lastRenderedPageBreak/>
        <w:t>Table 1 Outcome measures</w:t>
      </w:r>
    </w:p>
    <w:tbl>
      <w:tblPr>
        <w:tblW w:w="10497" w:type="dxa"/>
        <w:tblInd w:w="-326" w:type="dxa"/>
        <w:tblBorders>
          <w:top w:val="single" w:sz="4" w:space="0" w:color="auto"/>
          <w:bottom w:val="single" w:sz="4" w:space="0" w:color="auto"/>
        </w:tblBorders>
        <w:tblLayout w:type="fixed"/>
        <w:tblLook w:val="04A0" w:firstRow="1" w:lastRow="0" w:firstColumn="1" w:lastColumn="0" w:noHBand="0" w:noVBand="1"/>
      </w:tblPr>
      <w:tblGrid>
        <w:gridCol w:w="2548"/>
        <w:gridCol w:w="1239"/>
        <w:gridCol w:w="1335"/>
        <w:gridCol w:w="1320"/>
        <w:gridCol w:w="1319"/>
        <w:gridCol w:w="1303"/>
        <w:gridCol w:w="1433"/>
      </w:tblGrid>
      <w:tr w:rsidR="00E4397B" w14:paraId="05B19DB2" w14:textId="77777777" w:rsidTr="00816B68">
        <w:trPr>
          <w:trHeight w:val="875"/>
        </w:trPr>
        <w:tc>
          <w:tcPr>
            <w:tcW w:w="2548" w:type="dxa"/>
            <w:vMerge w:val="restart"/>
            <w:tcBorders>
              <w:top w:val="single" w:sz="4" w:space="0" w:color="auto"/>
              <w:bottom w:val="single" w:sz="4" w:space="0" w:color="auto"/>
            </w:tcBorders>
            <w:tcMar>
              <w:top w:w="100" w:type="dxa"/>
              <w:left w:w="100" w:type="dxa"/>
              <w:bottom w:w="100" w:type="dxa"/>
              <w:right w:w="100" w:type="dxa"/>
            </w:tcMar>
            <w:vAlign w:val="center"/>
          </w:tcPr>
          <w:p w14:paraId="2D8B583F" w14:textId="77777777" w:rsidR="00E4397B" w:rsidRPr="00E4397B" w:rsidRDefault="00E4397B" w:rsidP="005A475C">
            <w:pPr>
              <w:spacing w:line="360" w:lineRule="auto"/>
              <w:ind w:left="-40"/>
              <w:jc w:val="center"/>
              <w:rPr>
                <w:rFonts w:ascii="Book Antiqua" w:hAnsi="Book Antiqua"/>
                <w:b/>
                <w:bCs/>
              </w:rPr>
            </w:pPr>
            <w:r w:rsidRPr="00E4397B">
              <w:rPr>
                <w:rFonts w:ascii="Book Antiqua" w:hAnsi="Book Antiqua"/>
                <w:b/>
              </w:rPr>
              <w:t xml:space="preserve">Outcome measures </w:t>
            </w:r>
          </w:p>
        </w:tc>
        <w:tc>
          <w:tcPr>
            <w:tcW w:w="3894" w:type="dxa"/>
            <w:gridSpan w:val="3"/>
            <w:tcBorders>
              <w:top w:val="single" w:sz="4" w:space="0" w:color="auto"/>
              <w:bottom w:val="single" w:sz="4" w:space="0" w:color="auto"/>
            </w:tcBorders>
            <w:tcMar>
              <w:top w:w="100" w:type="dxa"/>
              <w:left w:w="100" w:type="dxa"/>
              <w:bottom w:w="100" w:type="dxa"/>
              <w:right w:w="100" w:type="dxa"/>
            </w:tcMar>
          </w:tcPr>
          <w:p w14:paraId="55C53E14" w14:textId="77777777" w:rsidR="00E4397B" w:rsidRPr="00E4397B" w:rsidRDefault="00E4397B">
            <w:pPr>
              <w:spacing w:line="360" w:lineRule="auto"/>
              <w:ind w:left="-40"/>
              <w:jc w:val="center"/>
              <w:rPr>
                <w:rFonts w:ascii="Book Antiqua" w:hAnsi="Book Antiqua"/>
                <w:b/>
                <w:bCs/>
              </w:rPr>
            </w:pPr>
            <w:r w:rsidRPr="00E4397B">
              <w:rPr>
                <w:rFonts w:ascii="Book Antiqua" w:hAnsi="Book Antiqua"/>
                <w:b/>
                <w:bCs/>
                <w:highlight w:val="white"/>
              </w:rPr>
              <w:t>Documented visits reviewed</w:t>
            </w:r>
            <w:r w:rsidRPr="00E4397B">
              <w:rPr>
                <w:rFonts w:ascii="Book Antiqua" w:hAnsi="Book Antiqua"/>
                <w:b/>
                <w:bCs/>
              </w:rPr>
              <w:t xml:space="preserve">: </w:t>
            </w:r>
            <w:r w:rsidRPr="009402C1">
              <w:rPr>
                <w:rFonts w:ascii="Book Antiqua" w:hAnsi="Book Antiqua"/>
                <w:b/>
                <w:bCs/>
                <w:caps/>
              </w:rPr>
              <w:t>t</w:t>
            </w:r>
            <w:r w:rsidRPr="00E4397B">
              <w:rPr>
                <w:rFonts w:ascii="Book Antiqua" w:hAnsi="Book Antiqua"/>
                <w:b/>
                <w:bCs/>
              </w:rPr>
              <w:t xml:space="preserve">acrolimus alone </w:t>
            </w:r>
          </w:p>
        </w:tc>
        <w:tc>
          <w:tcPr>
            <w:tcW w:w="4055" w:type="dxa"/>
            <w:gridSpan w:val="3"/>
            <w:tcBorders>
              <w:top w:val="single" w:sz="4" w:space="0" w:color="auto"/>
              <w:bottom w:val="single" w:sz="4" w:space="0" w:color="auto"/>
            </w:tcBorders>
            <w:tcMar>
              <w:top w:w="100" w:type="dxa"/>
              <w:left w:w="100" w:type="dxa"/>
              <w:bottom w:w="100" w:type="dxa"/>
              <w:right w:w="100" w:type="dxa"/>
            </w:tcMar>
          </w:tcPr>
          <w:p w14:paraId="0AEB7344" w14:textId="77777777" w:rsidR="00E4397B" w:rsidRPr="00E4397B" w:rsidRDefault="00E4397B">
            <w:pPr>
              <w:spacing w:line="360" w:lineRule="auto"/>
              <w:ind w:left="-40"/>
              <w:jc w:val="center"/>
              <w:rPr>
                <w:rFonts w:ascii="Book Antiqua" w:hAnsi="Book Antiqua"/>
                <w:b/>
                <w:bCs/>
              </w:rPr>
            </w:pPr>
            <w:r w:rsidRPr="00E4397B">
              <w:rPr>
                <w:rFonts w:ascii="Book Antiqua" w:hAnsi="Book Antiqua"/>
                <w:b/>
                <w:bCs/>
                <w:highlight w:val="white"/>
              </w:rPr>
              <w:t>Documented visits reviewed</w:t>
            </w:r>
            <w:r w:rsidRPr="00E4397B">
              <w:rPr>
                <w:rFonts w:ascii="Book Antiqua" w:hAnsi="Book Antiqua"/>
                <w:b/>
                <w:bCs/>
              </w:rPr>
              <w:t xml:space="preserve">: </w:t>
            </w:r>
            <w:r w:rsidRPr="009402C1">
              <w:rPr>
                <w:rFonts w:ascii="Book Antiqua" w:hAnsi="Book Antiqua"/>
                <w:b/>
                <w:bCs/>
                <w:caps/>
              </w:rPr>
              <w:t>t</w:t>
            </w:r>
            <w:r w:rsidRPr="00E4397B">
              <w:rPr>
                <w:rFonts w:ascii="Book Antiqua" w:hAnsi="Book Antiqua"/>
                <w:b/>
                <w:bCs/>
              </w:rPr>
              <w:t>acrolimus + ketoconazole combination</w:t>
            </w:r>
          </w:p>
        </w:tc>
      </w:tr>
      <w:tr w:rsidR="00E4397B" w14:paraId="5EE2A8BE" w14:textId="77777777" w:rsidTr="00B760E2">
        <w:trPr>
          <w:trHeight w:val="281"/>
        </w:trPr>
        <w:tc>
          <w:tcPr>
            <w:tcW w:w="2548" w:type="dxa"/>
            <w:vMerge/>
            <w:tcBorders>
              <w:top w:val="single" w:sz="4" w:space="0" w:color="auto"/>
              <w:bottom w:val="single" w:sz="4" w:space="0" w:color="auto"/>
            </w:tcBorders>
            <w:tcMar>
              <w:top w:w="100" w:type="dxa"/>
              <w:left w:w="100" w:type="dxa"/>
              <w:bottom w:w="100" w:type="dxa"/>
              <w:right w:w="100" w:type="dxa"/>
            </w:tcMar>
          </w:tcPr>
          <w:p w14:paraId="09FB6CAA" w14:textId="77777777" w:rsidR="00E4397B" w:rsidRPr="00E4397B" w:rsidRDefault="00E4397B">
            <w:pPr>
              <w:spacing w:line="360" w:lineRule="auto"/>
              <w:ind w:left="-40"/>
              <w:jc w:val="center"/>
              <w:rPr>
                <w:rFonts w:ascii="Book Antiqua" w:hAnsi="Book Antiqua"/>
                <w:b/>
              </w:rPr>
            </w:pPr>
          </w:p>
        </w:tc>
        <w:tc>
          <w:tcPr>
            <w:tcW w:w="1239" w:type="dxa"/>
            <w:tcBorders>
              <w:top w:val="single" w:sz="4" w:space="0" w:color="auto"/>
              <w:bottom w:val="single" w:sz="4" w:space="0" w:color="auto"/>
            </w:tcBorders>
            <w:tcMar>
              <w:top w:w="100" w:type="dxa"/>
              <w:left w:w="100" w:type="dxa"/>
              <w:bottom w:w="100" w:type="dxa"/>
              <w:right w:w="100" w:type="dxa"/>
            </w:tcMar>
          </w:tcPr>
          <w:p w14:paraId="0D8475AD" w14:textId="77777777" w:rsidR="00E4397B" w:rsidRPr="00E4397B" w:rsidRDefault="00E4397B" w:rsidP="00BF306B">
            <w:pPr>
              <w:spacing w:line="360" w:lineRule="auto"/>
              <w:ind w:left="-40"/>
              <w:rPr>
                <w:rFonts w:ascii="Book Antiqua" w:hAnsi="Book Antiqua"/>
                <w:b/>
              </w:rPr>
            </w:pPr>
            <w:r w:rsidRPr="00E4397B">
              <w:rPr>
                <w:rFonts w:ascii="Book Antiqua" w:hAnsi="Book Antiqua"/>
                <w:b/>
              </w:rPr>
              <w:t xml:space="preserve">6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c>
          <w:tcPr>
            <w:tcW w:w="1335" w:type="dxa"/>
            <w:tcBorders>
              <w:top w:val="single" w:sz="4" w:space="0" w:color="auto"/>
              <w:bottom w:val="single" w:sz="4" w:space="0" w:color="auto"/>
            </w:tcBorders>
            <w:tcMar>
              <w:top w:w="100" w:type="dxa"/>
              <w:left w:w="100" w:type="dxa"/>
              <w:bottom w:w="100" w:type="dxa"/>
              <w:right w:w="100" w:type="dxa"/>
            </w:tcMar>
          </w:tcPr>
          <w:p w14:paraId="2DA31F01" w14:textId="77777777" w:rsidR="00E4397B" w:rsidRPr="00E4397B" w:rsidRDefault="00E4397B">
            <w:pPr>
              <w:spacing w:line="360" w:lineRule="auto"/>
              <w:ind w:left="-40"/>
              <w:jc w:val="center"/>
              <w:rPr>
                <w:rFonts w:ascii="Book Antiqua" w:hAnsi="Book Antiqua"/>
                <w:b/>
              </w:rPr>
            </w:pPr>
            <w:r w:rsidRPr="00E4397B">
              <w:rPr>
                <w:rFonts w:ascii="Book Antiqua" w:hAnsi="Book Antiqua"/>
                <w:b/>
              </w:rPr>
              <w:t xml:space="preserve">4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c>
          <w:tcPr>
            <w:tcW w:w="1320" w:type="dxa"/>
            <w:tcBorders>
              <w:top w:val="single" w:sz="4" w:space="0" w:color="auto"/>
              <w:bottom w:val="single" w:sz="4" w:space="0" w:color="auto"/>
            </w:tcBorders>
            <w:tcMar>
              <w:top w:w="100" w:type="dxa"/>
              <w:left w:w="100" w:type="dxa"/>
              <w:bottom w:w="100" w:type="dxa"/>
              <w:right w:w="100" w:type="dxa"/>
            </w:tcMar>
          </w:tcPr>
          <w:p w14:paraId="65E922D5" w14:textId="77777777" w:rsidR="00E4397B" w:rsidRPr="00E4397B" w:rsidRDefault="00E4397B">
            <w:pPr>
              <w:spacing w:line="360" w:lineRule="auto"/>
              <w:ind w:left="-40"/>
              <w:jc w:val="center"/>
              <w:rPr>
                <w:rFonts w:ascii="Book Antiqua" w:hAnsi="Book Antiqua"/>
                <w:b/>
              </w:rPr>
            </w:pPr>
            <w:r w:rsidRPr="00E4397B">
              <w:rPr>
                <w:rFonts w:ascii="Book Antiqua" w:hAnsi="Book Antiqua"/>
                <w:b/>
              </w:rPr>
              <w:t xml:space="preserve">2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c>
          <w:tcPr>
            <w:tcW w:w="1319" w:type="dxa"/>
            <w:tcBorders>
              <w:top w:val="single" w:sz="4" w:space="0" w:color="auto"/>
              <w:bottom w:val="single" w:sz="4" w:space="0" w:color="auto"/>
            </w:tcBorders>
            <w:tcMar>
              <w:top w:w="100" w:type="dxa"/>
              <w:left w:w="100" w:type="dxa"/>
              <w:bottom w:w="100" w:type="dxa"/>
              <w:right w:w="100" w:type="dxa"/>
            </w:tcMar>
          </w:tcPr>
          <w:p w14:paraId="3BEA2B6F" w14:textId="77777777" w:rsidR="00E4397B" w:rsidRPr="00E4397B" w:rsidRDefault="00E4397B">
            <w:pPr>
              <w:spacing w:line="360" w:lineRule="auto"/>
              <w:ind w:left="-40"/>
              <w:jc w:val="center"/>
              <w:rPr>
                <w:rFonts w:ascii="Book Antiqua" w:hAnsi="Book Antiqua"/>
                <w:b/>
              </w:rPr>
            </w:pPr>
            <w:r w:rsidRPr="00E4397B">
              <w:rPr>
                <w:rFonts w:ascii="Book Antiqua" w:hAnsi="Book Antiqua"/>
                <w:b/>
              </w:rPr>
              <w:t xml:space="preserve">2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c>
          <w:tcPr>
            <w:tcW w:w="1303" w:type="dxa"/>
            <w:tcBorders>
              <w:top w:val="single" w:sz="4" w:space="0" w:color="auto"/>
              <w:bottom w:val="single" w:sz="4" w:space="0" w:color="auto"/>
            </w:tcBorders>
            <w:tcMar>
              <w:top w:w="100" w:type="dxa"/>
              <w:left w:w="100" w:type="dxa"/>
              <w:bottom w:w="100" w:type="dxa"/>
              <w:right w:w="100" w:type="dxa"/>
            </w:tcMar>
          </w:tcPr>
          <w:p w14:paraId="219103F0" w14:textId="77777777" w:rsidR="00E4397B" w:rsidRPr="00E4397B" w:rsidRDefault="00E4397B">
            <w:pPr>
              <w:spacing w:line="360" w:lineRule="auto"/>
              <w:ind w:left="-40"/>
              <w:jc w:val="center"/>
              <w:rPr>
                <w:rFonts w:ascii="Book Antiqua" w:hAnsi="Book Antiqua"/>
                <w:b/>
              </w:rPr>
            </w:pPr>
            <w:r w:rsidRPr="00E4397B">
              <w:rPr>
                <w:rFonts w:ascii="Book Antiqua" w:hAnsi="Book Antiqua"/>
                <w:b/>
              </w:rPr>
              <w:t xml:space="preserve">4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c>
          <w:tcPr>
            <w:tcW w:w="1433" w:type="dxa"/>
            <w:tcBorders>
              <w:top w:val="single" w:sz="4" w:space="0" w:color="auto"/>
              <w:bottom w:val="single" w:sz="4" w:space="0" w:color="auto"/>
            </w:tcBorders>
            <w:tcMar>
              <w:top w:w="100" w:type="dxa"/>
              <w:left w:w="100" w:type="dxa"/>
              <w:bottom w:w="100" w:type="dxa"/>
              <w:right w:w="100" w:type="dxa"/>
            </w:tcMar>
          </w:tcPr>
          <w:p w14:paraId="5350D405" w14:textId="77777777" w:rsidR="00E4397B" w:rsidRPr="00E4397B" w:rsidRDefault="00E4397B">
            <w:pPr>
              <w:spacing w:line="360" w:lineRule="auto"/>
              <w:ind w:left="-40"/>
              <w:jc w:val="center"/>
              <w:rPr>
                <w:rFonts w:ascii="Book Antiqua" w:hAnsi="Book Antiqua"/>
                <w:b/>
              </w:rPr>
            </w:pPr>
            <w:r w:rsidRPr="00E4397B">
              <w:rPr>
                <w:rFonts w:ascii="Book Antiqua" w:hAnsi="Book Antiqua"/>
                <w:b/>
              </w:rPr>
              <w:t xml:space="preserve">6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r>
      <w:tr w:rsidR="00FC4B6A" w14:paraId="3E4C2BD3" w14:textId="77777777" w:rsidTr="00B760E2">
        <w:trPr>
          <w:trHeight w:val="541"/>
        </w:trPr>
        <w:tc>
          <w:tcPr>
            <w:tcW w:w="2548" w:type="dxa"/>
            <w:tcBorders>
              <w:top w:val="single" w:sz="4" w:space="0" w:color="auto"/>
            </w:tcBorders>
            <w:tcMar>
              <w:top w:w="100" w:type="dxa"/>
              <w:left w:w="100" w:type="dxa"/>
              <w:bottom w:w="100" w:type="dxa"/>
              <w:right w:w="100" w:type="dxa"/>
            </w:tcMar>
          </w:tcPr>
          <w:p w14:paraId="38707490" w14:textId="77777777" w:rsidR="00FC4B6A" w:rsidRPr="006962CD" w:rsidRDefault="005069E0">
            <w:pPr>
              <w:spacing w:line="360" w:lineRule="auto"/>
              <w:ind w:left="-40"/>
              <w:rPr>
                <w:rFonts w:ascii="Book Antiqua" w:hAnsi="Book Antiqua"/>
                <w:lang w:val="es-ES"/>
              </w:rPr>
            </w:pPr>
            <w:r w:rsidRPr="006962CD">
              <w:rPr>
                <w:rFonts w:ascii="Book Antiqua" w:hAnsi="Book Antiqua"/>
                <w:lang w:val="es-ES"/>
              </w:rPr>
              <w:t>Tacrolimus dose (</w:t>
            </w:r>
            <w:r w:rsidR="004D76F3" w:rsidRPr="006962CD">
              <w:rPr>
                <w:rFonts w:ascii="Book Antiqua" w:hAnsi="Book Antiqua"/>
                <w:lang w:val="es-ES"/>
              </w:rPr>
              <w:t>mg/kg/d</w:t>
            </w:r>
            <w:r w:rsidRPr="006962CD">
              <w:rPr>
                <w:rFonts w:ascii="Book Antiqua" w:hAnsi="Book Antiqua"/>
                <w:lang w:val="es-ES"/>
              </w:rPr>
              <w:t>)</w:t>
            </w:r>
          </w:p>
        </w:tc>
        <w:tc>
          <w:tcPr>
            <w:tcW w:w="1239" w:type="dxa"/>
            <w:tcBorders>
              <w:top w:val="single" w:sz="4" w:space="0" w:color="auto"/>
            </w:tcBorders>
            <w:tcMar>
              <w:top w:w="100" w:type="dxa"/>
              <w:left w:w="100" w:type="dxa"/>
              <w:bottom w:w="100" w:type="dxa"/>
              <w:right w:w="100" w:type="dxa"/>
            </w:tcMar>
          </w:tcPr>
          <w:p w14:paraId="4D349599" w14:textId="77777777" w:rsidR="00FC4B6A" w:rsidRDefault="005069E0">
            <w:pPr>
              <w:spacing w:line="360" w:lineRule="auto"/>
              <w:ind w:left="-40"/>
              <w:rPr>
                <w:rFonts w:ascii="Book Antiqua" w:hAnsi="Book Antiqua"/>
              </w:rPr>
            </w:pPr>
            <w:r>
              <w:rPr>
                <w:rFonts w:ascii="Book Antiqua" w:hAnsi="Book Antiqua"/>
              </w:rPr>
              <w:t>0.13 (0.04)</w:t>
            </w:r>
          </w:p>
          <w:p w14:paraId="755BEDE3" w14:textId="77777777" w:rsidR="00FC4B6A" w:rsidRDefault="00FC4B6A">
            <w:pPr>
              <w:spacing w:line="360" w:lineRule="auto"/>
              <w:ind w:left="-40"/>
              <w:rPr>
                <w:rFonts w:ascii="Book Antiqua" w:hAnsi="Book Antiqua"/>
              </w:rPr>
            </w:pPr>
          </w:p>
        </w:tc>
        <w:tc>
          <w:tcPr>
            <w:tcW w:w="1335" w:type="dxa"/>
            <w:tcBorders>
              <w:top w:val="single" w:sz="4" w:space="0" w:color="auto"/>
            </w:tcBorders>
            <w:tcMar>
              <w:top w:w="100" w:type="dxa"/>
              <w:left w:w="100" w:type="dxa"/>
              <w:bottom w:w="100" w:type="dxa"/>
              <w:right w:w="100" w:type="dxa"/>
            </w:tcMar>
          </w:tcPr>
          <w:p w14:paraId="62C21F77" w14:textId="77777777" w:rsidR="00FC4B6A" w:rsidRDefault="005069E0" w:rsidP="00E4397B">
            <w:pPr>
              <w:spacing w:line="360" w:lineRule="auto"/>
              <w:ind w:left="-40"/>
              <w:rPr>
                <w:rFonts w:ascii="Book Antiqua" w:hAnsi="Book Antiqua"/>
              </w:rPr>
            </w:pPr>
            <w:r>
              <w:rPr>
                <w:rFonts w:ascii="Book Antiqua" w:hAnsi="Book Antiqua"/>
              </w:rPr>
              <w:t>0.12 (0.05)</w:t>
            </w:r>
          </w:p>
        </w:tc>
        <w:tc>
          <w:tcPr>
            <w:tcW w:w="1320" w:type="dxa"/>
            <w:tcBorders>
              <w:top w:val="single" w:sz="4" w:space="0" w:color="auto"/>
            </w:tcBorders>
            <w:tcMar>
              <w:top w:w="100" w:type="dxa"/>
              <w:left w:w="100" w:type="dxa"/>
              <w:bottom w:w="100" w:type="dxa"/>
              <w:right w:w="100" w:type="dxa"/>
            </w:tcMar>
          </w:tcPr>
          <w:p w14:paraId="4C3DF7C3" w14:textId="77777777" w:rsidR="00FC4B6A" w:rsidRDefault="005069E0">
            <w:pPr>
              <w:spacing w:line="360" w:lineRule="auto"/>
              <w:ind w:left="-40"/>
              <w:rPr>
                <w:rFonts w:ascii="Book Antiqua" w:hAnsi="Book Antiqua"/>
              </w:rPr>
            </w:pPr>
            <w:r>
              <w:rPr>
                <w:rFonts w:ascii="Book Antiqua" w:hAnsi="Book Antiqua"/>
              </w:rPr>
              <w:t xml:space="preserve"> 0.11 (0.05)</w:t>
            </w:r>
          </w:p>
        </w:tc>
        <w:tc>
          <w:tcPr>
            <w:tcW w:w="1319" w:type="dxa"/>
            <w:tcBorders>
              <w:top w:val="single" w:sz="4" w:space="0" w:color="auto"/>
            </w:tcBorders>
            <w:tcMar>
              <w:top w:w="100" w:type="dxa"/>
              <w:left w:w="100" w:type="dxa"/>
              <w:bottom w:w="100" w:type="dxa"/>
              <w:right w:w="100" w:type="dxa"/>
            </w:tcMar>
          </w:tcPr>
          <w:p w14:paraId="0056E463" w14:textId="35E604C1" w:rsidR="00FC4B6A" w:rsidRDefault="005069E0">
            <w:pPr>
              <w:spacing w:line="360" w:lineRule="auto"/>
              <w:ind w:left="-40"/>
              <w:rPr>
                <w:rFonts w:ascii="Book Antiqua" w:hAnsi="Book Antiqua"/>
              </w:rPr>
            </w:pPr>
            <w:r>
              <w:rPr>
                <w:rFonts w:ascii="Book Antiqua" w:hAnsi="Book Antiqua"/>
              </w:rPr>
              <w:t xml:space="preserve"> 0.09 (0.05)</w:t>
            </w:r>
            <w:r w:rsidR="00FA30F1">
              <w:rPr>
                <w:rFonts w:ascii="Book Antiqua" w:hAnsi="Book Antiqua"/>
                <w:vertAlign w:val="superscript"/>
              </w:rPr>
              <w:t>1</w:t>
            </w:r>
          </w:p>
        </w:tc>
        <w:tc>
          <w:tcPr>
            <w:tcW w:w="1303" w:type="dxa"/>
            <w:tcBorders>
              <w:top w:val="single" w:sz="4" w:space="0" w:color="auto"/>
            </w:tcBorders>
            <w:tcMar>
              <w:top w:w="100" w:type="dxa"/>
              <w:left w:w="100" w:type="dxa"/>
              <w:bottom w:w="100" w:type="dxa"/>
              <w:right w:w="100" w:type="dxa"/>
            </w:tcMar>
          </w:tcPr>
          <w:p w14:paraId="208456B3" w14:textId="4BF80E00" w:rsidR="00FC4B6A" w:rsidRDefault="005069E0">
            <w:pPr>
              <w:spacing w:line="360" w:lineRule="auto"/>
              <w:ind w:left="-40"/>
              <w:rPr>
                <w:rFonts w:ascii="Book Antiqua" w:hAnsi="Book Antiqua"/>
              </w:rPr>
            </w:pPr>
            <w:r>
              <w:rPr>
                <w:rFonts w:ascii="Book Antiqua" w:hAnsi="Book Antiqua"/>
              </w:rPr>
              <w:t xml:space="preserve"> 0.07 (0.03)</w:t>
            </w:r>
            <w:r w:rsidR="00FA30F1">
              <w:rPr>
                <w:rFonts w:ascii="Book Antiqua" w:hAnsi="Book Antiqua"/>
                <w:vertAlign w:val="superscript"/>
              </w:rPr>
              <w:t>1</w:t>
            </w:r>
          </w:p>
        </w:tc>
        <w:tc>
          <w:tcPr>
            <w:tcW w:w="1433" w:type="dxa"/>
            <w:tcBorders>
              <w:top w:val="single" w:sz="4" w:space="0" w:color="auto"/>
            </w:tcBorders>
            <w:tcMar>
              <w:top w:w="100" w:type="dxa"/>
              <w:left w:w="100" w:type="dxa"/>
              <w:bottom w:w="100" w:type="dxa"/>
              <w:right w:w="100" w:type="dxa"/>
            </w:tcMar>
          </w:tcPr>
          <w:p w14:paraId="0FFED55E" w14:textId="129C8BF8" w:rsidR="00FC4B6A" w:rsidRDefault="005069E0">
            <w:pPr>
              <w:spacing w:line="360" w:lineRule="auto"/>
              <w:ind w:left="-40"/>
              <w:rPr>
                <w:rFonts w:ascii="Book Antiqua" w:hAnsi="Book Antiqua"/>
              </w:rPr>
            </w:pPr>
            <w:r>
              <w:rPr>
                <w:rFonts w:ascii="Book Antiqua" w:hAnsi="Book Antiqua"/>
              </w:rPr>
              <w:t xml:space="preserve"> 0.06 (0.03)</w:t>
            </w:r>
            <w:r w:rsidR="00FA30F1">
              <w:rPr>
                <w:rFonts w:ascii="Book Antiqua" w:hAnsi="Book Antiqua"/>
                <w:vertAlign w:val="superscript"/>
              </w:rPr>
              <w:t>1</w:t>
            </w:r>
          </w:p>
        </w:tc>
      </w:tr>
      <w:tr w:rsidR="00FC4B6A" w14:paraId="46B80895" w14:textId="77777777" w:rsidTr="00B760E2">
        <w:trPr>
          <w:trHeight w:val="481"/>
        </w:trPr>
        <w:tc>
          <w:tcPr>
            <w:tcW w:w="2548" w:type="dxa"/>
            <w:tcMar>
              <w:top w:w="100" w:type="dxa"/>
              <w:left w:w="100" w:type="dxa"/>
              <w:bottom w:w="100" w:type="dxa"/>
              <w:right w:w="100" w:type="dxa"/>
            </w:tcMar>
          </w:tcPr>
          <w:p w14:paraId="0B3A0BBB" w14:textId="77777777" w:rsidR="00FC4B6A" w:rsidRDefault="005069E0">
            <w:pPr>
              <w:spacing w:line="360" w:lineRule="auto"/>
              <w:ind w:left="-40"/>
              <w:rPr>
                <w:rFonts w:ascii="Book Antiqua" w:hAnsi="Book Antiqua"/>
              </w:rPr>
            </w:pPr>
            <w:r>
              <w:rPr>
                <w:rFonts w:ascii="Book Antiqua" w:hAnsi="Book Antiqua"/>
              </w:rPr>
              <w:t>Tacrolimus blood levels (ng/m</w:t>
            </w:r>
            <w:r w:rsidRPr="006144BD">
              <w:rPr>
                <w:rFonts w:ascii="Book Antiqua" w:hAnsi="Book Antiqua"/>
                <w:caps/>
              </w:rPr>
              <w:t>l</w:t>
            </w:r>
            <w:r>
              <w:rPr>
                <w:rFonts w:ascii="Book Antiqua" w:hAnsi="Book Antiqua"/>
              </w:rPr>
              <w:t>)</w:t>
            </w:r>
          </w:p>
        </w:tc>
        <w:tc>
          <w:tcPr>
            <w:tcW w:w="1239" w:type="dxa"/>
            <w:tcMar>
              <w:top w:w="100" w:type="dxa"/>
              <w:left w:w="100" w:type="dxa"/>
              <w:bottom w:w="100" w:type="dxa"/>
              <w:right w:w="100" w:type="dxa"/>
            </w:tcMar>
          </w:tcPr>
          <w:p w14:paraId="4CE0C2C0" w14:textId="77777777" w:rsidR="00FC4B6A" w:rsidRDefault="005069E0">
            <w:pPr>
              <w:spacing w:line="360" w:lineRule="auto"/>
              <w:ind w:left="-40"/>
              <w:rPr>
                <w:rFonts w:ascii="Book Antiqua" w:hAnsi="Book Antiqua"/>
              </w:rPr>
            </w:pPr>
            <w:r>
              <w:rPr>
                <w:rFonts w:ascii="Book Antiqua" w:hAnsi="Book Antiqua"/>
              </w:rPr>
              <w:t>7.4 (2.6)</w:t>
            </w:r>
          </w:p>
          <w:p w14:paraId="659C13F8" w14:textId="77777777" w:rsidR="00FC4B6A" w:rsidRDefault="00FC4B6A">
            <w:pPr>
              <w:spacing w:line="360" w:lineRule="auto"/>
              <w:ind w:left="-40"/>
              <w:rPr>
                <w:rFonts w:ascii="Book Antiqua" w:hAnsi="Book Antiqua"/>
              </w:rPr>
            </w:pPr>
          </w:p>
        </w:tc>
        <w:tc>
          <w:tcPr>
            <w:tcW w:w="1335" w:type="dxa"/>
            <w:tcMar>
              <w:top w:w="100" w:type="dxa"/>
              <w:left w:w="100" w:type="dxa"/>
              <w:bottom w:w="100" w:type="dxa"/>
              <w:right w:w="100" w:type="dxa"/>
            </w:tcMar>
          </w:tcPr>
          <w:p w14:paraId="2FB6F13A" w14:textId="77777777" w:rsidR="00FC4B6A" w:rsidRDefault="005069E0">
            <w:pPr>
              <w:spacing w:line="360" w:lineRule="auto"/>
              <w:ind w:left="-40"/>
              <w:rPr>
                <w:rFonts w:ascii="Book Antiqua" w:hAnsi="Book Antiqua"/>
              </w:rPr>
            </w:pPr>
            <w:r>
              <w:rPr>
                <w:rFonts w:ascii="Book Antiqua" w:hAnsi="Book Antiqua"/>
              </w:rPr>
              <w:t>7.4 (2.5)</w:t>
            </w:r>
          </w:p>
          <w:p w14:paraId="185119A3" w14:textId="77777777" w:rsidR="00FC4B6A" w:rsidRDefault="00FC4B6A">
            <w:pPr>
              <w:spacing w:line="360" w:lineRule="auto"/>
              <w:ind w:left="-40"/>
              <w:rPr>
                <w:rFonts w:ascii="Book Antiqua" w:hAnsi="Book Antiqua"/>
              </w:rPr>
            </w:pPr>
          </w:p>
        </w:tc>
        <w:tc>
          <w:tcPr>
            <w:tcW w:w="1320" w:type="dxa"/>
            <w:tcMar>
              <w:top w:w="100" w:type="dxa"/>
              <w:left w:w="100" w:type="dxa"/>
              <w:bottom w:w="100" w:type="dxa"/>
              <w:right w:w="100" w:type="dxa"/>
            </w:tcMar>
          </w:tcPr>
          <w:p w14:paraId="7A513457" w14:textId="77777777" w:rsidR="00FC4B6A" w:rsidRDefault="005069E0">
            <w:pPr>
              <w:spacing w:line="360" w:lineRule="auto"/>
              <w:ind w:left="-40"/>
              <w:rPr>
                <w:rFonts w:ascii="Book Antiqua" w:hAnsi="Book Antiqua"/>
              </w:rPr>
            </w:pPr>
            <w:r>
              <w:rPr>
                <w:rFonts w:ascii="Book Antiqua" w:hAnsi="Book Antiqua"/>
              </w:rPr>
              <w:t>7.4 (2.6)</w:t>
            </w:r>
          </w:p>
          <w:p w14:paraId="1851DB4E" w14:textId="77777777" w:rsidR="00FC4B6A" w:rsidRDefault="00FC4B6A">
            <w:pPr>
              <w:spacing w:line="360" w:lineRule="auto"/>
              <w:ind w:left="-40"/>
              <w:rPr>
                <w:rFonts w:ascii="Book Antiqua" w:hAnsi="Book Antiqua"/>
              </w:rPr>
            </w:pPr>
          </w:p>
        </w:tc>
        <w:tc>
          <w:tcPr>
            <w:tcW w:w="1319" w:type="dxa"/>
            <w:tcMar>
              <w:top w:w="100" w:type="dxa"/>
              <w:left w:w="100" w:type="dxa"/>
              <w:bottom w:w="100" w:type="dxa"/>
              <w:right w:w="100" w:type="dxa"/>
            </w:tcMar>
          </w:tcPr>
          <w:p w14:paraId="1756EFD1" w14:textId="77777777" w:rsidR="00FC4B6A" w:rsidRDefault="005069E0">
            <w:pPr>
              <w:spacing w:line="360" w:lineRule="auto"/>
              <w:ind w:left="-40"/>
              <w:rPr>
                <w:rFonts w:ascii="Book Antiqua" w:hAnsi="Book Antiqua"/>
              </w:rPr>
            </w:pPr>
            <w:r>
              <w:rPr>
                <w:rFonts w:ascii="Book Antiqua" w:hAnsi="Book Antiqua"/>
              </w:rPr>
              <w:t>8.8 (4.9)</w:t>
            </w:r>
          </w:p>
          <w:p w14:paraId="7D3AEC67" w14:textId="77777777" w:rsidR="00FC4B6A" w:rsidRDefault="00FC4B6A">
            <w:pPr>
              <w:spacing w:line="360" w:lineRule="auto"/>
              <w:ind w:left="-40"/>
              <w:rPr>
                <w:rFonts w:ascii="Book Antiqua" w:hAnsi="Book Antiqua"/>
              </w:rPr>
            </w:pPr>
          </w:p>
        </w:tc>
        <w:tc>
          <w:tcPr>
            <w:tcW w:w="1303" w:type="dxa"/>
            <w:tcMar>
              <w:top w:w="100" w:type="dxa"/>
              <w:left w:w="100" w:type="dxa"/>
              <w:bottom w:w="100" w:type="dxa"/>
              <w:right w:w="100" w:type="dxa"/>
            </w:tcMar>
          </w:tcPr>
          <w:p w14:paraId="588C368F" w14:textId="77777777" w:rsidR="00FC4B6A" w:rsidRDefault="005069E0">
            <w:pPr>
              <w:spacing w:line="360" w:lineRule="auto"/>
              <w:ind w:left="-40"/>
              <w:rPr>
                <w:rFonts w:ascii="Book Antiqua" w:hAnsi="Book Antiqua"/>
              </w:rPr>
            </w:pPr>
            <w:r>
              <w:rPr>
                <w:rFonts w:ascii="Book Antiqua" w:hAnsi="Book Antiqua"/>
              </w:rPr>
              <w:t>6.9 (3.6)</w:t>
            </w:r>
          </w:p>
          <w:p w14:paraId="1615F1A1" w14:textId="77777777" w:rsidR="00FC4B6A" w:rsidRDefault="00FC4B6A">
            <w:pPr>
              <w:spacing w:line="360" w:lineRule="auto"/>
              <w:ind w:left="-40"/>
              <w:rPr>
                <w:rFonts w:ascii="Book Antiqua" w:hAnsi="Book Antiqua"/>
              </w:rPr>
            </w:pPr>
          </w:p>
        </w:tc>
        <w:tc>
          <w:tcPr>
            <w:tcW w:w="1433" w:type="dxa"/>
            <w:tcMar>
              <w:top w:w="100" w:type="dxa"/>
              <w:left w:w="100" w:type="dxa"/>
              <w:bottom w:w="100" w:type="dxa"/>
              <w:right w:w="100" w:type="dxa"/>
            </w:tcMar>
          </w:tcPr>
          <w:p w14:paraId="62E3739F" w14:textId="77777777" w:rsidR="00FC4B6A" w:rsidRDefault="005069E0">
            <w:pPr>
              <w:spacing w:line="360" w:lineRule="auto"/>
              <w:ind w:left="-40"/>
              <w:rPr>
                <w:rFonts w:ascii="Book Antiqua" w:hAnsi="Book Antiqua"/>
              </w:rPr>
            </w:pPr>
            <w:r>
              <w:rPr>
                <w:rFonts w:ascii="Book Antiqua" w:hAnsi="Book Antiqua"/>
              </w:rPr>
              <w:t>6.8 (3.2)</w:t>
            </w:r>
          </w:p>
          <w:p w14:paraId="4AD77533" w14:textId="77777777" w:rsidR="00FC4B6A" w:rsidRDefault="00FC4B6A">
            <w:pPr>
              <w:spacing w:line="360" w:lineRule="auto"/>
              <w:ind w:left="-40"/>
              <w:rPr>
                <w:rFonts w:ascii="Book Antiqua" w:hAnsi="Book Antiqua"/>
              </w:rPr>
            </w:pPr>
          </w:p>
        </w:tc>
      </w:tr>
      <w:tr w:rsidR="00FC4B6A" w14:paraId="7A6921F8" w14:textId="77777777" w:rsidTr="00B760E2">
        <w:trPr>
          <w:trHeight w:val="453"/>
        </w:trPr>
        <w:tc>
          <w:tcPr>
            <w:tcW w:w="2548" w:type="dxa"/>
            <w:tcMar>
              <w:top w:w="100" w:type="dxa"/>
              <w:left w:w="100" w:type="dxa"/>
              <w:bottom w:w="100" w:type="dxa"/>
              <w:right w:w="100" w:type="dxa"/>
            </w:tcMar>
          </w:tcPr>
          <w:p w14:paraId="1D2E1AEA" w14:textId="77777777" w:rsidR="00FC4B6A" w:rsidRDefault="005069E0">
            <w:pPr>
              <w:spacing w:line="360" w:lineRule="auto"/>
              <w:ind w:left="-40"/>
              <w:rPr>
                <w:rFonts w:ascii="Book Antiqua" w:hAnsi="Book Antiqua"/>
              </w:rPr>
            </w:pPr>
            <w:r>
              <w:rPr>
                <w:rFonts w:ascii="Book Antiqua" w:hAnsi="Book Antiqua"/>
              </w:rPr>
              <w:t>eGFR (1.73 m</w:t>
            </w:r>
            <w:r w:rsidRPr="006144BD">
              <w:rPr>
                <w:rFonts w:ascii="Book Antiqua" w:hAnsi="Book Antiqua"/>
                <w:caps/>
              </w:rPr>
              <w:t>l</w:t>
            </w:r>
            <w:r>
              <w:rPr>
                <w:rFonts w:ascii="Book Antiqua" w:hAnsi="Book Antiqua"/>
              </w:rPr>
              <w:t>/min/1.73 m</w:t>
            </w:r>
            <w:r>
              <w:rPr>
                <w:rFonts w:ascii="Book Antiqua" w:hAnsi="Book Antiqua"/>
                <w:vertAlign w:val="superscript"/>
              </w:rPr>
              <w:t>2</w:t>
            </w:r>
            <w:r>
              <w:rPr>
                <w:rFonts w:ascii="Book Antiqua" w:hAnsi="Book Antiqua"/>
              </w:rPr>
              <w:t>)</w:t>
            </w:r>
          </w:p>
        </w:tc>
        <w:tc>
          <w:tcPr>
            <w:tcW w:w="1239" w:type="dxa"/>
            <w:tcMar>
              <w:top w:w="100" w:type="dxa"/>
              <w:left w:w="100" w:type="dxa"/>
              <w:bottom w:w="100" w:type="dxa"/>
              <w:right w:w="100" w:type="dxa"/>
            </w:tcMar>
          </w:tcPr>
          <w:p w14:paraId="0CCB543C" w14:textId="77777777" w:rsidR="00FC4B6A" w:rsidRDefault="005069E0">
            <w:pPr>
              <w:spacing w:line="360" w:lineRule="auto"/>
              <w:ind w:left="-40"/>
              <w:rPr>
                <w:rFonts w:ascii="Book Antiqua" w:hAnsi="Book Antiqua"/>
              </w:rPr>
            </w:pPr>
            <w:r>
              <w:rPr>
                <w:rFonts w:ascii="Book Antiqua" w:hAnsi="Book Antiqua"/>
              </w:rPr>
              <w:t>----</w:t>
            </w:r>
          </w:p>
        </w:tc>
        <w:tc>
          <w:tcPr>
            <w:tcW w:w="1335" w:type="dxa"/>
            <w:tcMar>
              <w:top w:w="100" w:type="dxa"/>
              <w:left w:w="100" w:type="dxa"/>
              <w:bottom w:w="100" w:type="dxa"/>
              <w:right w:w="100" w:type="dxa"/>
            </w:tcMar>
          </w:tcPr>
          <w:p w14:paraId="6F6B3160" w14:textId="77777777" w:rsidR="00FC4B6A" w:rsidRDefault="00E4397B">
            <w:pPr>
              <w:spacing w:line="360" w:lineRule="auto"/>
              <w:ind w:left="-40"/>
              <w:rPr>
                <w:rFonts w:ascii="Book Antiqua" w:hAnsi="Book Antiqua"/>
              </w:rPr>
            </w:pPr>
            <w:r>
              <w:rPr>
                <w:rFonts w:ascii="Book Antiqua" w:hAnsi="Book Antiqua"/>
              </w:rPr>
              <w:t>----</w:t>
            </w:r>
          </w:p>
        </w:tc>
        <w:tc>
          <w:tcPr>
            <w:tcW w:w="1320" w:type="dxa"/>
            <w:tcMar>
              <w:top w:w="100" w:type="dxa"/>
              <w:left w:w="100" w:type="dxa"/>
              <w:bottom w:w="100" w:type="dxa"/>
              <w:right w:w="100" w:type="dxa"/>
            </w:tcMar>
          </w:tcPr>
          <w:p w14:paraId="7E5216D3" w14:textId="4046E379" w:rsidR="00FC4B6A" w:rsidRDefault="005069E0">
            <w:pPr>
              <w:spacing w:line="360" w:lineRule="auto"/>
              <w:ind w:left="-40"/>
              <w:rPr>
                <w:rFonts w:ascii="Book Antiqua" w:hAnsi="Book Antiqua"/>
              </w:rPr>
            </w:pPr>
            <w:r>
              <w:rPr>
                <w:rFonts w:ascii="Book Antiqua" w:hAnsi="Book Antiqua"/>
              </w:rPr>
              <w:t>69.2 (29.7)</w:t>
            </w:r>
            <w:r w:rsidR="00FA30F1">
              <w:rPr>
                <w:rFonts w:ascii="Book Antiqua" w:hAnsi="Book Antiqua"/>
                <w:vertAlign w:val="superscript"/>
              </w:rPr>
              <w:t>1</w:t>
            </w:r>
          </w:p>
        </w:tc>
        <w:tc>
          <w:tcPr>
            <w:tcW w:w="1319" w:type="dxa"/>
            <w:tcMar>
              <w:top w:w="100" w:type="dxa"/>
              <w:left w:w="100" w:type="dxa"/>
              <w:bottom w:w="100" w:type="dxa"/>
              <w:right w:w="100" w:type="dxa"/>
            </w:tcMar>
          </w:tcPr>
          <w:p w14:paraId="2E428CAC" w14:textId="77777777" w:rsidR="00FC4B6A" w:rsidRDefault="005069E0" w:rsidP="00E4397B">
            <w:pPr>
              <w:spacing w:line="360" w:lineRule="auto"/>
              <w:ind w:left="-40"/>
              <w:rPr>
                <w:rFonts w:ascii="Book Antiqua" w:hAnsi="Book Antiqua"/>
              </w:rPr>
            </w:pPr>
            <w:r>
              <w:rPr>
                <w:rFonts w:ascii="Book Antiqua" w:hAnsi="Book Antiqua"/>
              </w:rPr>
              <w:t>63.6 (21.4)</w:t>
            </w:r>
          </w:p>
        </w:tc>
        <w:tc>
          <w:tcPr>
            <w:tcW w:w="1303" w:type="dxa"/>
            <w:tcMar>
              <w:top w:w="100" w:type="dxa"/>
              <w:left w:w="100" w:type="dxa"/>
              <w:bottom w:w="100" w:type="dxa"/>
              <w:right w:w="100" w:type="dxa"/>
            </w:tcMar>
          </w:tcPr>
          <w:p w14:paraId="4A1B6B3D" w14:textId="77777777" w:rsidR="00FC4B6A" w:rsidRDefault="005069E0">
            <w:pPr>
              <w:spacing w:line="360" w:lineRule="auto"/>
              <w:ind w:left="-40"/>
              <w:rPr>
                <w:rFonts w:ascii="Book Antiqua" w:hAnsi="Book Antiqua"/>
              </w:rPr>
            </w:pPr>
            <w:r>
              <w:rPr>
                <w:rFonts w:ascii="Book Antiqua" w:hAnsi="Book Antiqua"/>
              </w:rPr>
              <w:t>64.2 (2.10)</w:t>
            </w:r>
          </w:p>
        </w:tc>
        <w:tc>
          <w:tcPr>
            <w:tcW w:w="1433" w:type="dxa"/>
            <w:tcMar>
              <w:top w:w="100" w:type="dxa"/>
              <w:left w:w="100" w:type="dxa"/>
              <w:bottom w:w="100" w:type="dxa"/>
              <w:right w:w="100" w:type="dxa"/>
            </w:tcMar>
          </w:tcPr>
          <w:p w14:paraId="18EDEB50" w14:textId="36E58531" w:rsidR="00FC4B6A" w:rsidRDefault="005069E0">
            <w:pPr>
              <w:spacing w:line="360" w:lineRule="auto"/>
              <w:ind w:left="-40"/>
              <w:rPr>
                <w:rFonts w:ascii="Book Antiqua" w:hAnsi="Book Antiqua"/>
              </w:rPr>
            </w:pPr>
            <w:r>
              <w:rPr>
                <w:rFonts w:ascii="Book Antiqua" w:hAnsi="Book Antiqua"/>
              </w:rPr>
              <w:t>71.2 (27.6)</w:t>
            </w:r>
            <w:r w:rsidR="00FA30F1">
              <w:rPr>
                <w:rFonts w:ascii="Book Antiqua" w:hAnsi="Book Antiqua"/>
                <w:vertAlign w:val="superscript"/>
              </w:rPr>
              <w:t>1</w:t>
            </w:r>
          </w:p>
        </w:tc>
      </w:tr>
    </w:tbl>
    <w:p w14:paraId="2E4912FE" w14:textId="47B89D29" w:rsidR="00FC4B6A" w:rsidRDefault="00FA30F1">
      <w:pPr>
        <w:spacing w:line="360" w:lineRule="auto"/>
        <w:jc w:val="both"/>
        <w:rPr>
          <w:rFonts w:ascii="Book Antiqua" w:eastAsia="Book Antiqua" w:hAnsi="Book Antiqua" w:cs="Book Antiqua"/>
          <w:b/>
          <w:color w:val="000000"/>
        </w:rPr>
      </w:pPr>
      <w:r>
        <w:rPr>
          <w:rFonts w:ascii="Book Antiqua" w:hAnsi="Book Antiqua"/>
          <w:vertAlign w:val="superscript"/>
        </w:rPr>
        <w:t>1</w:t>
      </w:r>
      <w:r w:rsidR="009402C1">
        <w:rPr>
          <w:rFonts w:ascii="Book Antiqua" w:hAnsi="Book Antiqua"/>
          <w:i/>
          <w:iCs/>
        </w:rPr>
        <w:t>t</w:t>
      </w:r>
      <w:r w:rsidR="009402C1">
        <w:rPr>
          <w:rFonts w:ascii="Book Antiqua" w:hAnsi="Book Antiqua"/>
        </w:rPr>
        <w:t xml:space="preserve">-test, statistically significant when </w:t>
      </w:r>
      <w:r w:rsidR="009402C1">
        <w:rPr>
          <w:rFonts w:ascii="Book Antiqua" w:hAnsi="Book Antiqua"/>
          <w:i/>
          <w:iCs/>
        </w:rPr>
        <w:t>P</w:t>
      </w:r>
      <w:r w:rsidR="009402C1">
        <w:rPr>
          <w:rFonts w:ascii="Book Antiqua" w:hAnsi="Book Antiqua"/>
          <w:i/>
        </w:rPr>
        <w:t xml:space="preserve"> &lt; </w:t>
      </w:r>
      <w:r w:rsidR="009402C1">
        <w:rPr>
          <w:rFonts w:ascii="Book Antiqua" w:hAnsi="Book Antiqua"/>
        </w:rPr>
        <w:t xml:space="preserve">0.05. </w:t>
      </w:r>
      <w:r w:rsidR="005069E0">
        <w:rPr>
          <w:rFonts w:ascii="Book Antiqua" w:hAnsi="Book Antiqua"/>
        </w:rPr>
        <w:t>SD: Standard deviation</w:t>
      </w:r>
      <w:r w:rsidR="00421028">
        <w:rPr>
          <w:rFonts w:ascii="Book Antiqua" w:hAnsi="Book Antiqua"/>
        </w:rPr>
        <w:t>; eGFR</w:t>
      </w:r>
      <w:r w:rsidR="00421028">
        <w:rPr>
          <w:rFonts w:ascii="Book Antiqua" w:eastAsia="Book Antiqua" w:hAnsi="Book Antiqua" w:cs="Book Antiqua"/>
          <w:color w:val="000000"/>
          <w:shd w:val="clear" w:color="auto" w:fill="FFFFFF"/>
        </w:rPr>
        <w:t xml:space="preserve">: </w:t>
      </w:r>
      <w:r w:rsidR="00421028" w:rsidRPr="00282C28">
        <w:rPr>
          <w:rFonts w:ascii="Book Antiqua" w:eastAsia="Book Antiqua" w:hAnsi="Book Antiqua" w:cs="Book Antiqua"/>
          <w:color w:val="000000"/>
          <w:shd w:val="clear" w:color="auto" w:fill="FFFFFF"/>
        </w:rPr>
        <w:t>Estimated glomerular filtration rate</w:t>
      </w:r>
      <w:r w:rsidR="00272819">
        <w:rPr>
          <w:rFonts w:ascii="Book Antiqua" w:eastAsia="Book Antiqua" w:hAnsi="Book Antiqua" w:cs="Book Antiqua"/>
          <w:color w:val="000000"/>
          <w:shd w:val="clear" w:color="auto" w:fill="FFFFFF"/>
        </w:rPr>
        <w:t>.</w:t>
      </w:r>
      <w:r w:rsidR="00421028">
        <w:rPr>
          <w:rFonts w:ascii="Book Antiqua" w:hAnsi="Book Antiqua"/>
        </w:rPr>
        <w:t xml:space="preserve"> </w:t>
      </w:r>
    </w:p>
    <w:sectPr w:rsidR="00FC4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62F18" w14:textId="77777777" w:rsidR="00B87EF2" w:rsidRDefault="00B87EF2" w:rsidP="007D1FCE">
      <w:r>
        <w:separator/>
      </w:r>
    </w:p>
  </w:endnote>
  <w:endnote w:type="continuationSeparator" w:id="0">
    <w:p w14:paraId="5F50F525" w14:textId="77777777" w:rsidR="00B87EF2" w:rsidRDefault="00B87EF2" w:rsidP="007D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774018655"/>
      <w:docPartObj>
        <w:docPartGallery w:val="Page Numbers (Bottom of Page)"/>
        <w:docPartUnique/>
      </w:docPartObj>
    </w:sdtPr>
    <w:sdtEndPr>
      <w:rPr>
        <w:rStyle w:val="af"/>
      </w:rPr>
    </w:sdtEndPr>
    <w:sdtContent>
      <w:p w14:paraId="5C54E7FD" w14:textId="0BAF8E34" w:rsidR="006962CD" w:rsidRDefault="006962CD" w:rsidP="00BC28FA">
        <w:pPr>
          <w:pStyle w:val="a5"/>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72485795" w14:textId="77777777" w:rsidR="006962CD" w:rsidRDefault="006962CD" w:rsidP="006962C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003243"/>
      <w:docPartObj>
        <w:docPartGallery w:val="Page Numbers (Bottom of Page)"/>
        <w:docPartUnique/>
      </w:docPartObj>
    </w:sdtPr>
    <w:sdtEndPr/>
    <w:sdtContent>
      <w:sdt>
        <w:sdtPr>
          <w:id w:val="-1705238520"/>
          <w:docPartObj>
            <w:docPartGallery w:val="Page Numbers (Top of Page)"/>
            <w:docPartUnique/>
          </w:docPartObj>
        </w:sdtPr>
        <w:sdtEndPr/>
        <w:sdtContent>
          <w:p w14:paraId="10446C3F" w14:textId="1C98D76E" w:rsidR="00600660" w:rsidRDefault="00600660" w:rsidP="0060066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01365">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01365">
              <w:rPr>
                <w:b/>
                <w:bCs/>
                <w:noProof/>
              </w:rPr>
              <w:t>22</w:t>
            </w:r>
            <w:r>
              <w:rPr>
                <w:b/>
                <w:bCs/>
                <w:sz w:val="24"/>
                <w:szCs w:val="24"/>
              </w:rPr>
              <w:fldChar w:fldCharType="end"/>
            </w:r>
          </w:p>
        </w:sdtContent>
      </w:sdt>
    </w:sdtContent>
  </w:sdt>
  <w:p w14:paraId="70312B50" w14:textId="77777777" w:rsidR="006962CD" w:rsidRDefault="006962CD" w:rsidP="006962C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8C03C" w14:textId="77777777" w:rsidR="00B87EF2" w:rsidRDefault="00B87EF2" w:rsidP="007D1FCE">
      <w:r>
        <w:separator/>
      </w:r>
    </w:p>
  </w:footnote>
  <w:footnote w:type="continuationSeparator" w:id="0">
    <w:p w14:paraId="7E51AAF4" w14:textId="77777777" w:rsidR="00B87EF2" w:rsidRDefault="00B87EF2" w:rsidP="007D1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3F5265"/>
    <w:multiLevelType w:val="singleLevel"/>
    <w:tmpl w:val="DF3F5265"/>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1056"/>
    <w:rsid w:val="00062D0C"/>
    <w:rsid w:val="00066F4F"/>
    <w:rsid w:val="00091C73"/>
    <w:rsid w:val="00092FBB"/>
    <w:rsid w:val="000976F7"/>
    <w:rsid w:val="000C34F6"/>
    <w:rsid w:val="000D1940"/>
    <w:rsid w:val="000E306D"/>
    <w:rsid w:val="000E67F9"/>
    <w:rsid w:val="000F30A4"/>
    <w:rsid w:val="00116AA4"/>
    <w:rsid w:val="00141829"/>
    <w:rsid w:val="001476BC"/>
    <w:rsid w:val="00176B3C"/>
    <w:rsid w:val="001B31B9"/>
    <w:rsid w:val="001C67B7"/>
    <w:rsid w:val="001D65A3"/>
    <w:rsid w:val="001E4FC3"/>
    <w:rsid w:val="001E793A"/>
    <w:rsid w:val="001F3F9A"/>
    <w:rsid w:val="002375DD"/>
    <w:rsid w:val="002400C1"/>
    <w:rsid w:val="00241875"/>
    <w:rsid w:val="00241F9A"/>
    <w:rsid w:val="00272819"/>
    <w:rsid w:val="002800D8"/>
    <w:rsid w:val="00282C28"/>
    <w:rsid w:val="002B4AE4"/>
    <w:rsid w:val="002B55E4"/>
    <w:rsid w:val="002C36F0"/>
    <w:rsid w:val="00303146"/>
    <w:rsid w:val="003269DC"/>
    <w:rsid w:val="0033764E"/>
    <w:rsid w:val="003571E1"/>
    <w:rsid w:val="00357516"/>
    <w:rsid w:val="003A6059"/>
    <w:rsid w:val="00421028"/>
    <w:rsid w:val="00440735"/>
    <w:rsid w:val="00482D64"/>
    <w:rsid w:val="00485CBB"/>
    <w:rsid w:val="004A7638"/>
    <w:rsid w:val="004D76F3"/>
    <w:rsid w:val="005069E0"/>
    <w:rsid w:val="00532991"/>
    <w:rsid w:val="00532DF8"/>
    <w:rsid w:val="005511A2"/>
    <w:rsid w:val="0056408A"/>
    <w:rsid w:val="0058709F"/>
    <w:rsid w:val="00594ADB"/>
    <w:rsid w:val="00600660"/>
    <w:rsid w:val="006137CF"/>
    <w:rsid w:val="006144BD"/>
    <w:rsid w:val="00615033"/>
    <w:rsid w:val="0061598A"/>
    <w:rsid w:val="00676663"/>
    <w:rsid w:val="006962CD"/>
    <w:rsid w:val="006A0839"/>
    <w:rsid w:val="006B4FCA"/>
    <w:rsid w:val="006B5477"/>
    <w:rsid w:val="006F5CFF"/>
    <w:rsid w:val="00743CDB"/>
    <w:rsid w:val="00784923"/>
    <w:rsid w:val="007B356D"/>
    <w:rsid w:val="007D1FCE"/>
    <w:rsid w:val="00816B68"/>
    <w:rsid w:val="008462A8"/>
    <w:rsid w:val="0087066C"/>
    <w:rsid w:val="00896C73"/>
    <w:rsid w:val="008979CE"/>
    <w:rsid w:val="008A39EF"/>
    <w:rsid w:val="008B7899"/>
    <w:rsid w:val="008D7A48"/>
    <w:rsid w:val="008F648D"/>
    <w:rsid w:val="00901365"/>
    <w:rsid w:val="009310D1"/>
    <w:rsid w:val="009402C1"/>
    <w:rsid w:val="00976ACA"/>
    <w:rsid w:val="00985DD5"/>
    <w:rsid w:val="009867CF"/>
    <w:rsid w:val="009B4D1B"/>
    <w:rsid w:val="009C5A12"/>
    <w:rsid w:val="00A212E0"/>
    <w:rsid w:val="00A24E07"/>
    <w:rsid w:val="00A50445"/>
    <w:rsid w:val="00A6378C"/>
    <w:rsid w:val="00A651D6"/>
    <w:rsid w:val="00A6671A"/>
    <w:rsid w:val="00A77B3E"/>
    <w:rsid w:val="00B01660"/>
    <w:rsid w:val="00B0674A"/>
    <w:rsid w:val="00B14259"/>
    <w:rsid w:val="00B25652"/>
    <w:rsid w:val="00B760E2"/>
    <w:rsid w:val="00B822CF"/>
    <w:rsid w:val="00B8516B"/>
    <w:rsid w:val="00B87EF2"/>
    <w:rsid w:val="00B9210E"/>
    <w:rsid w:val="00BE49EC"/>
    <w:rsid w:val="00BF306B"/>
    <w:rsid w:val="00C12274"/>
    <w:rsid w:val="00C2798A"/>
    <w:rsid w:val="00C53E2E"/>
    <w:rsid w:val="00C81F05"/>
    <w:rsid w:val="00CA2A55"/>
    <w:rsid w:val="00CB14D1"/>
    <w:rsid w:val="00CB3CD7"/>
    <w:rsid w:val="00CD7D63"/>
    <w:rsid w:val="00CF04B0"/>
    <w:rsid w:val="00CF6DAB"/>
    <w:rsid w:val="00D524BA"/>
    <w:rsid w:val="00D578DC"/>
    <w:rsid w:val="00D630B5"/>
    <w:rsid w:val="00D86215"/>
    <w:rsid w:val="00DF6D57"/>
    <w:rsid w:val="00E0303E"/>
    <w:rsid w:val="00E03F0F"/>
    <w:rsid w:val="00E22928"/>
    <w:rsid w:val="00E4397B"/>
    <w:rsid w:val="00E6224A"/>
    <w:rsid w:val="00E704BD"/>
    <w:rsid w:val="00E91105"/>
    <w:rsid w:val="00E9370D"/>
    <w:rsid w:val="00EB017A"/>
    <w:rsid w:val="00EB70E9"/>
    <w:rsid w:val="00EC3749"/>
    <w:rsid w:val="00ED1D91"/>
    <w:rsid w:val="00F35F9A"/>
    <w:rsid w:val="00F45C48"/>
    <w:rsid w:val="00F53D20"/>
    <w:rsid w:val="00F75C34"/>
    <w:rsid w:val="00F8250A"/>
    <w:rsid w:val="00F93C1B"/>
    <w:rsid w:val="00F93EC4"/>
    <w:rsid w:val="00F97141"/>
    <w:rsid w:val="00FA30F1"/>
    <w:rsid w:val="00FC4B6A"/>
    <w:rsid w:val="00FE0986"/>
    <w:rsid w:val="00FE0A09"/>
    <w:rsid w:val="00FF6918"/>
    <w:rsid w:val="1A4E4C3F"/>
    <w:rsid w:val="1C671B8E"/>
    <w:rsid w:val="1DE90334"/>
    <w:rsid w:val="3D614BC1"/>
    <w:rsid w:val="52C2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6B764"/>
  <w15:docId w15:val="{FDBDEA5D-6798-4927-BBEB-4A6D067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1F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1FCE"/>
    <w:rPr>
      <w:rFonts w:ascii="Times New Roman" w:eastAsia="Times New Roman" w:hAnsi="Times New Roman"/>
      <w:sz w:val="18"/>
      <w:szCs w:val="18"/>
      <w:lang w:eastAsia="en-US"/>
    </w:rPr>
  </w:style>
  <w:style w:type="paragraph" w:styleId="a5">
    <w:name w:val="footer"/>
    <w:basedOn w:val="a"/>
    <w:link w:val="a6"/>
    <w:uiPriority w:val="99"/>
    <w:rsid w:val="007D1FCE"/>
    <w:pPr>
      <w:tabs>
        <w:tab w:val="center" w:pos="4153"/>
        <w:tab w:val="right" w:pos="8306"/>
      </w:tabs>
      <w:snapToGrid w:val="0"/>
    </w:pPr>
    <w:rPr>
      <w:sz w:val="18"/>
      <w:szCs w:val="18"/>
    </w:rPr>
  </w:style>
  <w:style w:type="character" w:customStyle="1" w:styleId="a6">
    <w:name w:val="页脚 字符"/>
    <w:basedOn w:val="a0"/>
    <w:link w:val="a5"/>
    <w:uiPriority w:val="99"/>
    <w:rsid w:val="007D1FCE"/>
    <w:rPr>
      <w:rFonts w:ascii="Times New Roman" w:eastAsia="Times New Roman" w:hAnsi="Times New Roman"/>
      <w:sz w:val="18"/>
      <w:szCs w:val="18"/>
      <w:lang w:eastAsia="en-US"/>
    </w:rPr>
  </w:style>
  <w:style w:type="character" w:styleId="a7">
    <w:name w:val="Hyperlink"/>
    <w:basedOn w:val="a0"/>
    <w:rsid w:val="007B356D"/>
    <w:rPr>
      <w:color w:val="0000FF" w:themeColor="hyperlink"/>
      <w:u w:val="single"/>
    </w:rPr>
  </w:style>
  <w:style w:type="character" w:styleId="a8">
    <w:name w:val="annotation reference"/>
    <w:basedOn w:val="a0"/>
    <w:rsid w:val="00C12274"/>
    <w:rPr>
      <w:sz w:val="21"/>
      <w:szCs w:val="21"/>
    </w:rPr>
  </w:style>
  <w:style w:type="paragraph" w:styleId="a9">
    <w:name w:val="annotation text"/>
    <w:basedOn w:val="a"/>
    <w:link w:val="aa"/>
    <w:rsid w:val="00C12274"/>
  </w:style>
  <w:style w:type="character" w:customStyle="1" w:styleId="aa">
    <w:name w:val="批注文字 字符"/>
    <w:basedOn w:val="a0"/>
    <w:link w:val="a9"/>
    <w:rsid w:val="00C12274"/>
    <w:rPr>
      <w:rFonts w:ascii="Times New Roman" w:eastAsia="Times New Roman" w:hAnsi="Times New Roman"/>
      <w:sz w:val="24"/>
      <w:szCs w:val="24"/>
      <w:lang w:eastAsia="en-US"/>
    </w:rPr>
  </w:style>
  <w:style w:type="paragraph" w:styleId="ab">
    <w:name w:val="annotation subject"/>
    <w:basedOn w:val="a9"/>
    <w:next w:val="a9"/>
    <w:link w:val="ac"/>
    <w:rsid w:val="00C12274"/>
    <w:rPr>
      <w:b/>
      <w:bCs/>
    </w:rPr>
  </w:style>
  <w:style w:type="character" w:customStyle="1" w:styleId="ac">
    <w:name w:val="批注主题 字符"/>
    <w:basedOn w:val="aa"/>
    <w:link w:val="ab"/>
    <w:rsid w:val="00C12274"/>
    <w:rPr>
      <w:rFonts w:ascii="Times New Roman" w:eastAsia="Times New Roman" w:hAnsi="Times New Roman"/>
      <w:b/>
      <w:bCs/>
      <w:sz w:val="24"/>
      <w:szCs w:val="24"/>
      <w:lang w:eastAsia="en-US"/>
    </w:rPr>
  </w:style>
  <w:style w:type="paragraph" w:styleId="ad">
    <w:name w:val="Balloon Text"/>
    <w:basedOn w:val="a"/>
    <w:link w:val="ae"/>
    <w:rsid w:val="00C12274"/>
    <w:rPr>
      <w:sz w:val="18"/>
      <w:szCs w:val="18"/>
    </w:rPr>
  </w:style>
  <w:style w:type="character" w:customStyle="1" w:styleId="ae">
    <w:name w:val="批注框文本 字符"/>
    <w:basedOn w:val="a0"/>
    <w:link w:val="ad"/>
    <w:rsid w:val="00C12274"/>
    <w:rPr>
      <w:rFonts w:ascii="Times New Roman" w:eastAsia="Times New Roman" w:hAnsi="Times New Roman"/>
      <w:sz w:val="18"/>
      <w:szCs w:val="18"/>
      <w:lang w:eastAsia="en-US"/>
    </w:rPr>
  </w:style>
  <w:style w:type="character" w:styleId="af">
    <w:name w:val="page number"/>
    <w:basedOn w:val="a0"/>
    <w:rsid w:val="0069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data.fda.gov/drugsatfda_docs%20/Lab%20el/2003/50777scs006_protopic%20_lb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downloads/Drugs/DrugSafety/UCM%20362592.pdf" TargetMode="External"/><Relationship Id="rId5" Type="http://schemas.openxmlformats.org/officeDocument/2006/relationships/webSettings" Target="webSettings.xml"/><Relationship Id="rId10" Type="http://schemas.openxmlformats.org/officeDocument/2006/relationships/hyperlink" Target="https://www.ine.gob.gt/sistema/uploads/2014/02/20/jZqeGe1H9WdUDngYXkWt3GIhUUQCukcg.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5518</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5</cp:revision>
  <dcterms:created xsi:type="dcterms:W3CDTF">2020-09-29T12:02:00Z</dcterms:created>
  <dcterms:modified xsi:type="dcterms:W3CDTF">2020-10-12T07:30:00Z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