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C8FE5" w14:textId="070BC1B5" w:rsidR="008A3100" w:rsidRPr="00F64753" w:rsidRDefault="00D70B07" w:rsidP="008E2D51">
      <w:pPr>
        <w:pStyle w:val="Title"/>
        <w:rPr>
          <w:b/>
          <w:bCs/>
        </w:rPr>
      </w:pPr>
      <w:r w:rsidRPr="00F64753">
        <w:rPr>
          <w:b/>
          <w:bCs/>
        </w:rPr>
        <w:t>STROBE Statement—</w:t>
      </w:r>
      <w:r w:rsidR="00F64753">
        <w:rPr>
          <w:b/>
          <w:bCs/>
        </w:rPr>
        <w:t>Th</w:t>
      </w:r>
      <w:r w:rsidR="008E2D51">
        <w:rPr>
          <w:b/>
          <w:bCs/>
        </w:rPr>
        <w:t>e</w:t>
      </w:r>
      <w:r w:rsidR="00F64753">
        <w:rPr>
          <w:b/>
          <w:bCs/>
        </w:rPr>
        <w:t xml:space="preserve"> manuscript </w:t>
      </w:r>
      <w:r w:rsidR="008E2D51">
        <w:rPr>
          <w:b/>
          <w:bCs/>
        </w:rPr>
        <w:t>"A</w:t>
      </w:r>
      <w:r w:rsidR="008E2D51" w:rsidRPr="008E2D51">
        <w:rPr>
          <w:b/>
          <w:bCs/>
        </w:rPr>
        <w:t xml:space="preserve"> comparative study between bowel ultrasound and magnetic resonance enterography </w:t>
      </w:r>
      <w:proofErr w:type="gramStart"/>
      <w:r w:rsidR="008E2D51" w:rsidRPr="008E2D51">
        <w:rPr>
          <w:b/>
          <w:bCs/>
        </w:rPr>
        <w:t>among  Egyptian</w:t>
      </w:r>
      <w:proofErr w:type="gramEnd"/>
      <w:r w:rsidR="008E2D51" w:rsidRPr="008E2D51">
        <w:rPr>
          <w:b/>
          <w:bCs/>
        </w:rPr>
        <w:t xml:space="preserve"> inflammatory bowel disease patients</w:t>
      </w:r>
      <w:r w:rsidR="008E2D51">
        <w:rPr>
          <w:b/>
          <w:bCs/>
        </w:rPr>
        <w:t xml:space="preserve"> " </w:t>
      </w:r>
      <w:r w:rsidR="00F64753">
        <w:rPr>
          <w:b/>
          <w:bCs/>
        </w:rPr>
        <w:t>was prepared</w:t>
      </w:r>
      <w:r w:rsidR="00F64753" w:rsidRPr="00F64753">
        <w:rPr>
          <w:b/>
          <w:bCs/>
        </w:rPr>
        <w:t xml:space="preserve"> by authors </w:t>
      </w:r>
      <w:r w:rsidR="00F64753">
        <w:rPr>
          <w:b/>
          <w:bCs/>
        </w:rPr>
        <w:t>according to</w:t>
      </w:r>
      <w:r w:rsidR="00F64753" w:rsidRPr="00F64753">
        <w:rPr>
          <w:b/>
          <w:bCs/>
        </w:rPr>
        <w:t xml:space="preserve"> </w:t>
      </w:r>
      <w:r w:rsidR="00F64753">
        <w:rPr>
          <w:b/>
          <w:bCs/>
        </w:rPr>
        <w:t xml:space="preserve">the following </w:t>
      </w:r>
      <w:r w:rsidR="00F64753" w:rsidRPr="00F64753">
        <w:rPr>
          <w:b/>
          <w:bCs/>
        </w:rPr>
        <w:t xml:space="preserve">checklist of items </w:t>
      </w:r>
      <w:r w:rsidR="008E2D51">
        <w:rPr>
          <w:b/>
          <w:bCs/>
        </w:rPr>
        <w:t>for</w:t>
      </w:r>
      <w:r w:rsidR="00F64753" w:rsidRPr="00F64753">
        <w:rPr>
          <w:b/>
          <w:bCs/>
        </w:rPr>
        <w:t xml:space="preserve"> observational stud</w:t>
      </w:r>
      <w:r w:rsidR="008E2D51">
        <w:rPr>
          <w:b/>
          <w:bCs/>
        </w:rPr>
        <w:t>ies</w:t>
      </w:r>
      <w:r w:rsidR="00F64753">
        <w:rPr>
          <w:b/>
          <w:bCs/>
        </w:rPr>
        <w:t>.</w:t>
      </w:r>
    </w:p>
    <w:p w14:paraId="3D594272" w14:textId="77777777" w:rsidR="008A3100" w:rsidRPr="00E50C5F" w:rsidRDefault="008A3100">
      <w:pPr>
        <w:pStyle w:val="BodyText"/>
        <w:rPr>
          <w:sz w:val="2"/>
          <w:szCs w:val="2"/>
        </w:rPr>
      </w:pPr>
    </w:p>
    <w:p w14:paraId="2456EBCD" w14:textId="77777777" w:rsidR="008A3100" w:rsidRDefault="008A3100">
      <w:pPr>
        <w:pStyle w:val="BodyText"/>
        <w:spacing w:before="10"/>
        <w:rPr>
          <w:sz w:val="17"/>
        </w:rPr>
      </w:pPr>
    </w:p>
    <w:tbl>
      <w:tblPr>
        <w:tblW w:w="10094" w:type="dxa"/>
        <w:tblInd w:w="112" w:type="dxa"/>
        <w:tblLayout w:type="fixed"/>
        <w:tblCellMar>
          <w:left w:w="0" w:type="dxa"/>
          <w:right w:w="0" w:type="dxa"/>
        </w:tblCellMar>
        <w:tblLook w:val="01E0" w:firstRow="1" w:lastRow="1" w:firstColumn="1" w:lastColumn="1" w:noHBand="0" w:noVBand="0"/>
      </w:tblPr>
      <w:tblGrid>
        <w:gridCol w:w="1873"/>
        <w:gridCol w:w="709"/>
        <w:gridCol w:w="6804"/>
        <w:gridCol w:w="708"/>
      </w:tblGrid>
      <w:tr w:rsidR="00896DA0" w14:paraId="05E7F8A1" w14:textId="46AAE23C" w:rsidTr="003A58DA">
        <w:trPr>
          <w:trHeight w:val="453"/>
        </w:trPr>
        <w:tc>
          <w:tcPr>
            <w:tcW w:w="1873" w:type="dxa"/>
            <w:tcBorders>
              <w:bottom w:val="single" w:sz="4" w:space="0" w:color="000000"/>
            </w:tcBorders>
          </w:tcPr>
          <w:p w14:paraId="35A0EFE4" w14:textId="77777777" w:rsidR="00896DA0" w:rsidRDefault="00896DA0" w:rsidP="00896DA0">
            <w:pPr>
              <w:pStyle w:val="TableParagraph"/>
              <w:spacing w:before="0"/>
              <w:rPr>
                <w:sz w:val="20"/>
              </w:rPr>
            </w:pPr>
          </w:p>
        </w:tc>
        <w:tc>
          <w:tcPr>
            <w:tcW w:w="709" w:type="dxa"/>
            <w:tcBorders>
              <w:bottom w:val="single" w:sz="4" w:space="0" w:color="000000"/>
            </w:tcBorders>
          </w:tcPr>
          <w:p w14:paraId="0CD2D959" w14:textId="77777777" w:rsidR="00896DA0" w:rsidRDefault="00896DA0" w:rsidP="00896DA0">
            <w:pPr>
              <w:pStyle w:val="TableParagraph"/>
              <w:spacing w:before="0" w:line="221" w:lineRule="exact"/>
              <w:ind w:left="149" w:right="147"/>
              <w:jc w:val="center"/>
              <w:rPr>
                <w:b/>
                <w:sz w:val="20"/>
              </w:rPr>
            </w:pPr>
            <w:r>
              <w:rPr>
                <w:b/>
                <w:sz w:val="20"/>
              </w:rPr>
              <w:t>Item</w:t>
            </w:r>
          </w:p>
          <w:p w14:paraId="41C6CFA4" w14:textId="0FE8D8D1" w:rsidR="00896DA0" w:rsidRDefault="00896DA0" w:rsidP="00896DA0">
            <w:pPr>
              <w:pStyle w:val="TableParagraph"/>
              <w:spacing w:before="0" w:line="221" w:lineRule="exact"/>
              <w:ind w:left="149" w:right="147"/>
              <w:jc w:val="center"/>
              <w:rPr>
                <w:b/>
                <w:sz w:val="20"/>
              </w:rPr>
            </w:pPr>
            <w:r>
              <w:rPr>
                <w:b/>
                <w:sz w:val="20"/>
              </w:rPr>
              <w:t>No</w:t>
            </w:r>
          </w:p>
        </w:tc>
        <w:tc>
          <w:tcPr>
            <w:tcW w:w="6804" w:type="dxa"/>
            <w:tcBorders>
              <w:bottom w:val="single" w:sz="4" w:space="0" w:color="000000"/>
            </w:tcBorders>
          </w:tcPr>
          <w:p w14:paraId="051E7E77" w14:textId="77777777" w:rsidR="00896DA0" w:rsidRDefault="00896DA0" w:rsidP="00896DA0">
            <w:pPr>
              <w:pStyle w:val="TableParagraph"/>
              <w:spacing w:before="2"/>
              <w:rPr>
                <w:sz w:val="19"/>
              </w:rPr>
            </w:pPr>
          </w:p>
          <w:p w14:paraId="7DE644BD" w14:textId="77777777" w:rsidR="00896DA0" w:rsidRDefault="00896DA0" w:rsidP="00896DA0">
            <w:pPr>
              <w:pStyle w:val="TableParagraph"/>
              <w:spacing w:before="0" w:line="212" w:lineRule="exact"/>
              <w:ind w:left="2272" w:right="1982"/>
              <w:jc w:val="center"/>
              <w:rPr>
                <w:b/>
                <w:sz w:val="20"/>
              </w:rPr>
            </w:pPr>
            <w:r>
              <w:rPr>
                <w:b/>
                <w:sz w:val="20"/>
              </w:rPr>
              <w:t>Recommendation</w:t>
            </w:r>
          </w:p>
        </w:tc>
        <w:tc>
          <w:tcPr>
            <w:tcW w:w="708" w:type="dxa"/>
            <w:tcBorders>
              <w:bottom w:val="single" w:sz="4" w:space="0" w:color="000000"/>
            </w:tcBorders>
          </w:tcPr>
          <w:p w14:paraId="6BB5A1B7" w14:textId="77777777" w:rsidR="003A58DA" w:rsidRDefault="00896DA0" w:rsidP="00896DA0">
            <w:pPr>
              <w:pStyle w:val="TableParagraph"/>
              <w:spacing w:before="2"/>
              <w:jc w:val="center"/>
              <w:rPr>
                <w:b/>
                <w:sz w:val="20"/>
              </w:rPr>
            </w:pPr>
            <w:r>
              <w:rPr>
                <w:b/>
                <w:sz w:val="20"/>
              </w:rPr>
              <w:t xml:space="preserve">Page </w:t>
            </w:r>
          </w:p>
          <w:p w14:paraId="02B283C0" w14:textId="73D92036" w:rsidR="00896DA0" w:rsidRDefault="00896DA0" w:rsidP="00896DA0">
            <w:pPr>
              <w:pStyle w:val="TableParagraph"/>
              <w:spacing w:before="2"/>
              <w:jc w:val="center"/>
              <w:rPr>
                <w:sz w:val="19"/>
              </w:rPr>
            </w:pPr>
            <w:r>
              <w:rPr>
                <w:b/>
                <w:sz w:val="20"/>
              </w:rPr>
              <w:t>No</w:t>
            </w:r>
          </w:p>
        </w:tc>
      </w:tr>
      <w:tr w:rsidR="00896DA0" w14:paraId="67914C37" w14:textId="7077493E" w:rsidTr="003A58DA">
        <w:trPr>
          <w:trHeight w:val="299"/>
        </w:trPr>
        <w:tc>
          <w:tcPr>
            <w:tcW w:w="1873" w:type="dxa"/>
            <w:tcBorders>
              <w:top w:val="single" w:sz="4" w:space="0" w:color="000000"/>
            </w:tcBorders>
          </w:tcPr>
          <w:p w14:paraId="2F39F69B" w14:textId="77777777" w:rsidR="00896DA0" w:rsidRDefault="00896DA0" w:rsidP="00896DA0">
            <w:pPr>
              <w:pStyle w:val="TableParagraph"/>
              <w:spacing w:line="227" w:lineRule="exact"/>
              <w:ind w:left="107"/>
              <w:rPr>
                <w:b/>
                <w:sz w:val="20"/>
              </w:rPr>
            </w:pPr>
            <w:r>
              <w:rPr>
                <w:b/>
                <w:sz w:val="20"/>
              </w:rPr>
              <w:t>Title and abstract</w:t>
            </w:r>
          </w:p>
        </w:tc>
        <w:tc>
          <w:tcPr>
            <w:tcW w:w="709" w:type="dxa"/>
            <w:tcBorders>
              <w:top w:val="single" w:sz="4" w:space="0" w:color="000000"/>
            </w:tcBorders>
          </w:tcPr>
          <w:p w14:paraId="649DC5B8" w14:textId="72D28737" w:rsidR="00896DA0" w:rsidRDefault="00896DA0" w:rsidP="00896DA0">
            <w:pPr>
              <w:pStyle w:val="TableParagraph"/>
              <w:spacing w:line="227" w:lineRule="exact"/>
              <w:jc w:val="center"/>
              <w:rPr>
                <w:w w:val="99"/>
                <w:sz w:val="20"/>
              </w:rPr>
            </w:pPr>
            <w:r>
              <w:rPr>
                <w:w w:val="99"/>
                <w:sz w:val="20"/>
              </w:rPr>
              <w:t>1</w:t>
            </w:r>
          </w:p>
        </w:tc>
        <w:tc>
          <w:tcPr>
            <w:tcW w:w="6804" w:type="dxa"/>
            <w:tcBorders>
              <w:top w:val="single" w:sz="4" w:space="0" w:color="000000"/>
              <w:bottom w:val="single" w:sz="4" w:space="0" w:color="000000"/>
            </w:tcBorders>
          </w:tcPr>
          <w:p w14:paraId="38DBE948" w14:textId="370EDA4A" w:rsidR="00896DA0" w:rsidRDefault="00896DA0" w:rsidP="006F019B">
            <w:pPr>
              <w:pStyle w:val="TableParagraph"/>
              <w:spacing w:line="227" w:lineRule="exact"/>
              <w:ind w:left="109" w:right="208"/>
              <w:jc w:val="both"/>
              <w:rPr>
                <w:sz w:val="20"/>
                <w:rtl/>
              </w:rPr>
            </w:pPr>
            <w:r w:rsidRPr="00FD310A">
              <w:rPr>
                <w:sz w:val="20"/>
              </w:rPr>
              <w:t>A comparative study between bowel ultrasound and magnetic resonance enterography among Egyptian inflammatory bowel disease patients</w:t>
            </w:r>
          </w:p>
        </w:tc>
        <w:tc>
          <w:tcPr>
            <w:tcW w:w="708" w:type="dxa"/>
            <w:tcBorders>
              <w:top w:val="single" w:sz="4" w:space="0" w:color="000000"/>
              <w:bottom w:val="single" w:sz="4" w:space="0" w:color="000000"/>
            </w:tcBorders>
          </w:tcPr>
          <w:p w14:paraId="48412421" w14:textId="6571853D" w:rsidR="00896DA0" w:rsidRPr="00FD310A" w:rsidRDefault="00896DA0" w:rsidP="00896DA0">
            <w:pPr>
              <w:pStyle w:val="TableParagraph"/>
              <w:spacing w:line="227" w:lineRule="exact"/>
              <w:ind w:left="109"/>
              <w:jc w:val="center"/>
              <w:rPr>
                <w:sz w:val="20"/>
              </w:rPr>
            </w:pPr>
            <w:r>
              <w:rPr>
                <w:w w:val="99"/>
                <w:sz w:val="20"/>
              </w:rPr>
              <w:t>Title</w:t>
            </w:r>
          </w:p>
        </w:tc>
      </w:tr>
      <w:tr w:rsidR="00896DA0" w14:paraId="75F70A0E" w14:textId="13302DE9" w:rsidTr="003A58DA">
        <w:trPr>
          <w:trHeight w:val="599"/>
        </w:trPr>
        <w:tc>
          <w:tcPr>
            <w:tcW w:w="1873" w:type="dxa"/>
            <w:tcBorders>
              <w:bottom w:val="single" w:sz="4" w:space="0" w:color="000000"/>
            </w:tcBorders>
          </w:tcPr>
          <w:p w14:paraId="4C25CABF" w14:textId="77777777" w:rsidR="00896DA0" w:rsidRDefault="00896DA0" w:rsidP="00896DA0">
            <w:pPr>
              <w:pStyle w:val="TableParagraph"/>
              <w:spacing w:before="0"/>
              <w:rPr>
                <w:sz w:val="20"/>
              </w:rPr>
            </w:pPr>
          </w:p>
        </w:tc>
        <w:tc>
          <w:tcPr>
            <w:tcW w:w="709" w:type="dxa"/>
            <w:tcBorders>
              <w:bottom w:val="single" w:sz="4" w:space="0" w:color="000000"/>
            </w:tcBorders>
          </w:tcPr>
          <w:p w14:paraId="722B7D56" w14:textId="77777777" w:rsidR="00896DA0" w:rsidRDefault="00896DA0" w:rsidP="00896DA0">
            <w:pPr>
              <w:pStyle w:val="TableParagraph"/>
              <w:spacing w:before="0"/>
              <w:rPr>
                <w:sz w:val="20"/>
              </w:rPr>
            </w:pPr>
          </w:p>
        </w:tc>
        <w:tc>
          <w:tcPr>
            <w:tcW w:w="6804" w:type="dxa"/>
            <w:tcBorders>
              <w:top w:val="single" w:sz="4" w:space="0" w:color="000000"/>
              <w:bottom w:val="single" w:sz="4" w:space="0" w:color="000000"/>
            </w:tcBorders>
          </w:tcPr>
          <w:p w14:paraId="46B3ACC0" w14:textId="56CB53C0" w:rsidR="00896DA0" w:rsidRDefault="00896DA0" w:rsidP="006F019B">
            <w:pPr>
              <w:pStyle w:val="TableParagraph"/>
              <w:spacing w:before="70" w:line="227" w:lineRule="exact"/>
              <w:ind w:left="109" w:right="208"/>
              <w:jc w:val="both"/>
              <w:rPr>
                <w:sz w:val="20"/>
              </w:rPr>
            </w:pPr>
            <w:r w:rsidRPr="00FD310A">
              <w:rPr>
                <w:sz w:val="20"/>
              </w:rPr>
              <w:t>The study was conducted on 40 patients with IBD</w:t>
            </w:r>
            <w:r>
              <w:rPr>
                <w:sz w:val="20"/>
              </w:rPr>
              <w:t xml:space="preserve">. </w:t>
            </w:r>
            <w:r w:rsidRPr="00FD310A">
              <w:rPr>
                <w:sz w:val="20"/>
              </w:rPr>
              <w:t>In comparison to MRE, bowel ultrasound is a useful, non-invasive, and feasible bedside imaging tool</w:t>
            </w:r>
          </w:p>
        </w:tc>
        <w:tc>
          <w:tcPr>
            <w:tcW w:w="708" w:type="dxa"/>
            <w:tcBorders>
              <w:top w:val="single" w:sz="4" w:space="0" w:color="000000"/>
              <w:bottom w:val="single" w:sz="4" w:space="0" w:color="000000"/>
            </w:tcBorders>
          </w:tcPr>
          <w:p w14:paraId="4613BBF1" w14:textId="57A9BF46" w:rsidR="00896DA0" w:rsidRPr="00FD310A" w:rsidRDefault="00896DA0" w:rsidP="003A58DA">
            <w:pPr>
              <w:pStyle w:val="TableParagraph"/>
              <w:spacing w:before="70" w:line="227" w:lineRule="exact"/>
              <w:jc w:val="center"/>
              <w:rPr>
                <w:sz w:val="20"/>
              </w:rPr>
            </w:pPr>
            <w:r>
              <w:rPr>
                <w:sz w:val="20"/>
              </w:rPr>
              <w:t>Abstract</w:t>
            </w:r>
          </w:p>
        </w:tc>
      </w:tr>
      <w:tr w:rsidR="00896DA0" w14:paraId="3286B9A2" w14:textId="40E9DCED" w:rsidTr="003A58DA">
        <w:trPr>
          <w:trHeight w:val="350"/>
        </w:trPr>
        <w:tc>
          <w:tcPr>
            <w:tcW w:w="1873" w:type="dxa"/>
            <w:tcBorders>
              <w:top w:val="single" w:sz="4" w:space="0" w:color="000000"/>
              <w:bottom w:val="single" w:sz="4" w:space="0" w:color="000000"/>
            </w:tcBorders>
          </w:tcPr>
          <w:p w14:paraId="21499FCB" w14:textId="77777777" w:rsidR="00896DA0" w:rsidRDefault="00896DA0" w:rsidP="00896DA0">
            <w:pPr>
              <w:pStyle w:val="TableParagraph"/>
              <w:spacing w:before="120" w:line="210" w:lineRule="exact"/>
              <w:ind w:left="107"/>
              <w:rPr>
                <w:b/>
                <w:sz w:val="20"/>
              </w:rPr>
            </w:pPr>
            <w:r>
              <w:rPr>
                <w:b/>
                <w:sz w:val="20"/>
              </w:rPr>
              <w:t>Introduction</w:t>
            </w:r>
          </w:p>
        </w:tc>
        <w:tc>
          <w:tcPr>
            <w:tcW w:w="709" w:type="dxa"/>
            <w:tcBorders>
              <w:top w:val="single" w:sz="4" w:space="0" w:color="000000"/>
              <w:bottom w:val="single" w:sz="4" w:space="0" w:color="000000"/>
            </w:tcBorders>
          </w:tcPr>
          <w:p w14:paraId="4B721C82" w14:textId="77777777" w:rsidR="00896DA0" w:rsidRDefault="00896DA0" w:rsidP="00896DA0">
            <w:pPr>
              <w:pStyle w:val="TableParagraph"/>
              <w:spacing w:before="0"/>
              <w:rPr>
                <w:sz w:val="20"/>
              </w:rPr>
            </w:pPr>
          </w:p>
        </w:tc>
        <w:tc>
          <w:tcPr>
            <w:tcW w:w="6804" w:type="dxa"/>
            <w:tcBorders>
              <w:top w:val="single" w:sz="4" w:space="0" w:color="000000"/>
              <w:bottom w:val="single" w:sz="4" w:space="0" w:color="000000"/>
            </w:tcBorders>
          </w:tcPr>
          <w:p w14:paraId="7F426E19" w14:textId="77777777" w:rsidR="00896DA0" w:rsidRDefault="00896DA0" w:rsidP="006F019B">
            <w:pPr>
              <w:pStyle w:val="TableParagraph"/>
              <w:spacing w:before="0"/>
              <w:ind w:right="208"/>
              <w:jc w:val="both"/>
              <w:rPr>
                <w:sz w:val="20"/>
              </w:rPr>
            </w:pPr>
          </w:p>
        </w:tc>
        <w:tc>
          <w:tcPr>
            <w:tcW w:w="708" w:type="dxa"/>
            <w:tcBorders>
              <w:top w:val="single" w:sz="4" w:space="0" w:color="000000"/>
              <w:bottom w:val="single" w:sz="4" w:space="0" w:color="000000"/>
            </w:tcBorders>
          </w:tcPr>
          <w:p w14:paraId="5DBA4960" w14:textId="77777777" w:rsidR="00896DA0" w:rsidRDefault="00896DA0" w:rsidP="00896DA0">
            <w:pPr>
              <w:pStyle w:val="TableParagraph"/>
              <w:spacing w:before="0"/>
              <w:jc w:val="center"/>
              <w:rPr>
                <w:sz w:val="20"/>
              </w:rPr>
            </w:pPr>
          </w:p>
        </w:tc>
      </w:tr>
      <w:tr w:rsidR="00896DA0" w14:paraId="3C9BC9E7" w14:textId="6D49A5F8" w:rsidTr="003A58DA">
        <w:trPr>
          <w:trHeight w:val="301"/>
        </w:trPr>
        <w:tc>
          <w:tcPr>
            <w:tcW w:w="1873" w:type="dxa"/>
            <w:tcBorders>
              <w:top w:val="single" w:sz="4" w:space="0" w:color="000000"/>
              <w:bottom w:val="single" w:sz="4" w:space="0" w:color="000000"/>
            </w:tcBorders>
          </w:tcPr>
          <w:p w14:paraId="758C3BC3" w14:textId="77777777" w:rsidR="00896DA0" w:rsidRDefault="00896DA0" w:rsidP="00896DA0">
            <w:pPr>
              <w:pStyle w:val="TableParagraph"/>
              <w:spacing w:before="55" w:line="227" w:lineRule="exact"/>
              <w:ind w:left="107"/>
              <w:rPr>
                <w:sz w:val="20"/>
              </w:rPr>
            </w:pPr>
            <w:r>
              <w:rPr>
                <w:sz w:val="20"/>
              </w:rPr>
              <w:t>Background/rationale</w:t>
            </w:r>
          </w:p>
        </w:tc>
        <w:tc>
          <w:tcPr>
            <w:tcW w:w="709" w:type="dxa"/>
            <w:tcBorders>
              <w:top w:val="single" w:sz="4" w:space="0" w:color="000000"/>
              <w:bottom w:val="single" w:sz="4" w:space="0" w:color="000000"/>
            </w:tcBorders>
          </w:tcPr>
          <w:p w14:paraId="22FACBFA" w14:textId="119A3927" w:rsidR="00896DA0" w:rsidRDefault="00896DA0" w:rsidP="00896DA0">
            <w:pPr>
              <w:pStyle w:val="TableParagraph"/>
              <w:spacing w:before="55" w:line="227" w:lineRule="exact"/>
              <w:jc w:val="center"/>
              <w:rPr>
                <w:w w:val="99"/>
                <w:sz w:val="20"/>
              </w:rPr>
            </w:pPr>
            <w:r>
              <w:rPr>
                <w:w w:val="99"/>
                <w:sz w:val="20"/>
              </w:rPr>
              <w:t>2</w:t>
            </w:r>
          </w:p>
        </w:tc>
        <w:tc>
          <w:tcPr>
            <w:tcW w:w="6804" w:type="dxa"/>
            <w:tcBorders>
              <w:top w:val="single" w:sz="4" w:space="0" w:color="000000"/>
              <w:bottom w:val="single" w:sz="4" w:space="0" w:color="000000"/>
            </w:tcBorders>
          </w:tcPr>
          <w:p w14:paraId="152B63AE" w14:textId="70959381" w:rsidR="00896DA0" w:rsidRDefault="00896DA0" w:rsidP="006F019B">
            <w:pPr>
              <w:pStyle w:val="TableParagraph"/>
              <w:spacing w:before="55" w:line="227" w:lineRule="exact"/>
              <w:ind w:left="109" w:right="208"/>
              <w:jc w:val="both"/>
              <w:rPr>
                <w:sz w:val="20"/>
              </w:rPr>
            </w:pPr>
            <w:r w:rsidRPr="00B1457C">
              <w:rPr>
                <w:sz w:val="20"/>
              </w:rPr>
              <w:t>Up until now, no previous comparative studies between bowel ultrasound and MRE for Egyptian patients who suffered/are suffering from IBD, either ulcerative colitis or Crohn’s disease, have been published.</w:t>
            </w:r>
          </w:p>
        </w:tc>
        <w:tc>
          <w:tcPr>
            <w:tcW w:w="708" w:type="dxa"/>
            <w:tcBorders>
              <w:top w:val="single" w:sz="4" w:space="0" w:color="000000"/>
              <w:bottom w:val="single" w:sz="4" w:space="0" w:color="000000"/>
            </w:tcBorders>
          </w:tcPr>
          <w:p w14:paraId="181FB87F" w14:textId="6A3AF4B1" w:rsidR="00896DA0" w:rsidRPr="00B1457C" w:rsidRDefault="00896DA0" w:rsidP="001E1D10">
            <w:pPr>
              <w:pStyle w:val="TableParagraph"/>
              <w:spacing w:before="55" w:line="227" w:lineRule="exact"/>
              <w:ind w:left="-2"/>
              <w:jc w:val="center"/>
              <w:rPr>
                <w:sz w:val="20"/>
              </w:rPr>
            </w:pPr>
            <w:r>
              <w:rPr>
                <w:w w:val="99"/>
                <w:sz w:val="20"/>
              </w:rPr>
              <w:t>1</w:t>
            </w:r>
          </w:p>
        </w:tc>
      </w:tr>
      <w:tr w:rsidR="00896DA0" w14:paraId="0B351C89" w14:textId="33F249CF" w:rsidTr="003A58DA">
        <w:trPr>
          <w:trHeight w:val="299"/>
        </w:trPr>
        <w:tc>
          <w:tcPr>
            <w:tcW w:w="1873" w:type="dxa"/>
            <w:tcBorders>
              <w:top w:val="single" w:sz="4" w:space="0" w:color="000000"/>
              <w:bottom w:val="single" w:sz="4" w:space="0" w:color="000000"/>
            </w:tcBorders>
          </w:tcPr>
          <w:p w14:paraId="3F9D6588" w14:textId="77777777" w:rsidR="00896DA0" w:rsidRDefault="00896DA0" w:rsidP="00896DA0">
            <w:pPr>
              <w:pStyle w:val="TableParagraph"/>
              <w:spacing w:line="227" w:lineRule="exact"/>
              <w:ind w:left="107"/>
              <w:rPr>
                <w:sz w:val="20"/>
              </w:rPr>
            </w:pPr>
            <w:r>
              <w:rPr>
                <w:sz w:val="20"/>
              </w:rPr>
              <w:t>Objectives</w:t>
            </w:r>
          </w:p>
        </w:tc>
        <w:tc>
          <w:tcPr>
            <w:tcW w:w="709" w:type="dxa"/>
            <w:tcBorders>
              <w:top w:val="single" w:sz="4" w:space="0" w:color="000000"/>
              <w:bottom w:val="single" w:sz="4" w:space="0" w:color="000000"/>
            </w:tcBorders>
          </w:tcPr>
          <w:p w14:paraId="05FEF020" w14:textId="648F3D7F" w:rsidR="00896DA0" w:rsidRDefault="00896DA0" w:rsidP="00896DA0">
            <w:pPr>
              <w:pStyle w:val="TableParagraph"/>
              <w:spacing w:line="227" w:lineRule="exact"/>
              <w:jc w:val="center"/>
              <w:rPr>
                <w:w w:val="99"/>
                <w:sz w:val="20"/>
              </w:rPr>
            </w:pPr>
            <w:r>
              <w:rPr>
                <w:w w:val="99"/>
                <w:sz w:val="20"/>
              </w:rPr>
              <w:t>3</w:t>
            </w:r>
          </w:p>
        </w:tc>
        <w:tc>
          <w:tcPr>
            <w:tcW w:w="6804" w:type="dxa"/>
            <w:tcBorders>
              <w:top w:val="single" w:sz="4" w:space="0" w:color="000000"/>
              <w:bottom w:val="single" w:sz="4" w:space="0" w:color="000000"/>
            </w:tcBorders>
          </w:tcPr>
          <w:p w14:paraId="63108116" w14:textId="7891CC1F" w:rsidR="00896DA0" w:rsidRDefault="00896DA0" w:rsidP="006F019B">
            <w:pPr>
              <w:pStyle w:val="TableParagraph"/>
              <w:spacing w:line="227" w:lineRule="exact"/>
              <w:ind w:left="109" w:right="208"/>
              <w:jc w:val="both"/>
              <w:rPr>
                <w:sz w:val="20"/>
              </w:rPr>
            </w:pPr>
            <w:r w:rsidRPr="00FD310A">
              <w:rPr>
                <w:sz w:val="20"/>
              </w:rPr>
              <w:t>The aim of this study was to compare the role of MRE and bowel ultrasound in diagnosis and follow-up of Egyptian IBD patients.</w:t>
            </w:r>
          </w:p>
        </w:tc>
        <w:tc>
          <w:tcPr>
            <w:tcW w:w="708" w:type="dxa"/>
            <w:tcBorders>
              <w:top w:val="single" w:sz="4" w:space="0" w:color="000000"/>
              <w:bottom w:val="single" w:sz="4" w:space="0" w:color="000000"/>
            </w:tcBorders>
          </w:tcPr>
          <w:p w14:paraId="5051F284" w14:textId="72CA094F" w:rsidR="00896DA0" w:rsidRPr="00FD310A" w:rsidRDefault="00896DA0" w:rsidP="001E1D10">
            <w:pPr>
              <w:pStyle w:val="TableParagraph"/>
              <w:spacing w:line="227" w:lineRule="exact"/>
              <w:ind w:left="-2"/>
              <w:jc w:val="center"/>
              <w:rPr>
                <w:sz w:val="20"/>
              </w:rPr>
            </w:pPr>
            <w:r>
              <w:rPr>
                <w:w w:val="99"/>
                <w:sz w:val="20"/>
              </w:rPr>
              <w:t>1</w:t>
            </w:r>
          </w:p>
        </w:tc>
      </w:tr>
      <w:tr w:rsidR="00896DA0" w14:paraId="395FE129" w14:textId="19C06D45" w:rsidTr="003A58DA">
        <w:trPr>
          <w:trHeight w:val="350"/>
        </w:trPr>
        <w:tc>
          <w:tcPr>
            <w:tcW w:w="1873" w:type="dxa"/>
            <w:tcBorders>
              <w:top w:val="single" w:sz="4" w:space="0" w:color="000000"/>
              <w:bottom w:val="single" w:sz="4" w:space="0" w:color="000000"/>
            </w:tcBorders>
          </w:tcPr>
          <w:p w14:paraId="0F946AB2" w14:textId="77777777" w:rsidR="00896DA0" w:rsidRDefault="00896DA0" w:rsidP="00896DA0">
            <w:pPr>
              <w:pStyle w:val="TableParagraph"/>
              <w:spacing w:before="118" w:line="212" w:lineRule="exact"/>
              <w:ind w:left="107"/>
              <w:rPr>
                <w:b/>
                <w:sz w:val="20"/>
              </w:rPr>
            </w:pPr>
            <w:r>
              <w:rPr>
                <w:b/>
                <w:sz w:val="20"/>
              </w:rPr>
              <w:t>Methods</w:t>
            </w:r>
          </w:p>
        </w:tc>
        <w:tc>
          <w:tcPr>
            <w:tcW w:w="709" w:type="dxa"/>
            <w:tcBorders>
              <w:top w:val="single" w:sz="4" w:space="0" w:color="000000"/>
              <w:bottom w:val="single" w:sz="4" w:space="0" w:color="000000"/>
            </w:tcBorders>
          </w:tcPr>
          <w:p w14:paraId="05724C31" w14:textId="77777777" w:rsidR="00896DA0" w:rsidRDefault="00896DA0" w:rsidP="00896DA0">
            <w:pPr>
              <w:pStyle w:val="TableParagraph"/>
              <w:spacing w:before="0"/>
              <w:rPr>
                <w:sz w:val="20"/>
              </w:rPr>
            </w:pPr>
          </w:p>
        </w:tc>
        <w:tc>
          <w:tcPr>
            <w:tcW w:w="6804" w:type="dxa"/>
            <w:tcBorders>
              <w:top w:val="single" w:sz="4" w:space="0" w:color="000000"/>
              <w:bottom w:val="single" w:sz="4" w:space="0" w:color="000000"/>
            </w:tcBorders>
          </w:tcPr>
          <w:p w14:paraId="353B274F" w14:textId="77777777" w:rsidR="00896DA0" w:rsidRDefault="00896DA0" w:rsidP="006F019B">
            <w:pPr>
              <w:pStyle w:val="TableParagraph"/>
              <w:spacing w:before="0"/>
              <w:ind w:right="208"/>
              <w:jc w:val="both"/>
              <w:rPr>
                <w:sz w:val="20"/>
              </w:rPr>
            </w:pPr>
          </w:p>
        </w:tc>
        <w:tc>
          <w:tcPr>
            <w:tcW w:w="708" w:type="dxa"/>
            <w:tcBorders>
              <w:top w:val="single" w:sz="4" w:space="0" w:color="000000"/>
              <w:bottom w:val="single" w:sz="4" w:space="0" w:color="000000"/>
            </w:tcBorders>
          </w:tcPr>
          <w:p w14:paraId="6C1ABA59" w14:textId="77777777" w:rsidR="00896DA0" w:rsidRDefault="00896DA0" w:rsidP="001E1D10">
            <w:pPr>
              <w:pStyle w:val="TableParagraph"/>
              <w:spacing w:before="0"/>
              <w:ind w:left="-2"/>
              <w:jc w:val="center"/>
              <w:rPr>
                <w:sz w:val="20"/>
              </w:rPr>
            </w:pPr>
          </w:p>
        </w:tc>
      </w:tr>
      <w:tr w:rsidR="00896DA0" w14:paraId="204A291D" w14:textId="7A991102" w:rsidTr="003A58DA">
        <w:trPr>
          <w:trHeight w:val="299"/>
        </w:trPr>
        <w:tc>
          <w:tcPr>
            <w:tcW w:w="1873" w:type="dxa"/>
            <w:tcBorders>
              <w:top w:val="single" w:sz="4" w:space="0" w:color="000000"/>
              <w:bottom w:val="single" w:sz="4" w:space="0" w:color="000000"/>
            </w:tcBorders>
          </w:tcPr>
          <w:p w14:paraId="2E4DA51B" w14:textId="77777777" w:rsidR="00896DA0" w:rsidRDefault="00896DA0" w:rsidP="00896DA0">
            <w:pPr>
              <w:pStyle w:val="TableParagraph"/>
              <w:spacing w:line="227" w:lineRule="exact"/>
              <w:ind w:left="107"/>
              <w:rPr>
                <w:sz w:val="20"/>
              </w:rPr>
            </w:pPr>
            <w:r>
              <w:rPr>
                <w:sz w:val="20"/>
              </w:rPr>
              <w:t>Study design</w:t>
            </w:r>
          </w:p>
        </w:tc>
        <w:tc>
          <w:tcPr>
            <w:tcW w:w="709" w:type="dxa"/>
            <w:tcBorders>
              <w:top w:val="single" w:sz="4" w:space="0" w:color="000000"/>
              <w:bottom w:val="single" w:sz="4" w:space="0" w:color="000000"/>
            </w:tcBorders>
          </w:tcPr>
          <w:p w14:paraId="462BF3DD" w14:textId="6637110B" w:rsidR="00896DA0" w:rsidRDefault="00896DA0" w:rsidP="00896DA0">
            <w:pPr>
              <w:pStyle w:val="TableParagraph"/>
              <w:spacing w:line="227" w:lineRule="exact"/>
              <w:jc w:val="center"/>
              <w:rPr>
                <w:w w:val="99"/>
                <w:sz w:val="20"/>
              </w:rPr>
            </w:pPr>
            <w:r>
              <w:rPr>
                <w:w w:val="99"/>
                <w:sz w:val="20"/>
              </w:rPr>
              <w:t>4</w:t>
            </w:r>
          </w:p>
        </w:tc>
        <w:tc>
          <w:tcPr>
            <w:tcW w:w="6804" w:type="dxa"/>
            <w:tcBorders>
              <w:top w:val="single" w:sz="4" w:space="0" w:color="000000"/>
              <w:bottom w:val="single" w:sz="4" w:space="0" w:color="000000"/>
            </w:tcBorders>
          </w:tcPr>
          <w:p w14:paraId="3AA9D481" w14:textId="0DE550F2" w:rsidR="00896DA0" w:rsidRDefault="00896DA0" w:rsidP="006F019B">
            <w:pPr>
              <w:pStyle w:val="TableParagraph"/>
              <w:spacing w:line="227" w:lineRule="exact"/>
              <w:ind w:left="109" w:right="208"/>
              <w:jc w:val="both"/>
              <w:rPr>
                <w:sz w:val="20"/>
              </w:rPr>
            </w:pPr>
            <w:r w:rsidRPr="00A67639">
              <w:rPr>
                <w:sz w:val="20"/>
              </w:rPr>
              <w:t>All patients reported a complete medical history, underwent thorough clinical examinations and laboratory investigations, including complete blood count, liver profile tests, renal profile tests, C-reactive protein, erythrocyte sedimentation rate, MRE, bowel ultrasound, and colonoscopy up to the terminal ileum with biopsies for histopathological examination.</w:t>
            </w:r>
          </w:p>
        </w:tc>
        <w:tc>
          <w:tcPr>
            <w:tcW w:w="708" w:type="dxa"/>
            <w:tcBorders>
              <w:top w:val="single" w:sz="4" w:space="0" w:color="000000"/>
              <w:bottom w:val="single" w:sz="4" w:space="0" w:color="000000"/>
            </w:tcBorders>
          </w:tcPr>
          <w:p w14:paraId="3A9751A0" w14:textId="4BD401D3" w:rsidR="00896DA0" w:rsidRPr="00A67639" w:rsidRDefault="00896DA0" w:rsidP="001E1D10">
            <w:pPr>
              <w:pStyle w:val="TableParagraph"/>
              <w:spacing w:line="227" w:lineRule="exact"/>
              <w:ind w:left="-2"/>
              <w:jc w:val="center"/>
              <w:rPr>
                <w:sz w:val="20"/>
              </w:rPr>
            </w:pPr>
            <w:r>
              <w:rPr>
                <w:w w:val="99"/>
                <w:sz w:val="20"/>
              </w:rPr>
              <w:t>2</w:t>
            </w:r>
          </w:p>
        </w:tc>
      </w:tr>
      <w:tr w:rsidR="00896DA0" w14:paraId="1762706C" w14:textId="5A677873" w:rsidTr="003A58DA">
        <w:trPr>
          <w:trHeight w:val="599"/>
        </w:trPr>
        <w:tc>
          <w:tcPr>
            <w:tcW w:w="1873" w:type="dxa"/>
            <w:tcBorders>
              <w:top w:val="single" w:sz="4" w:space="0" w:color="000000"/>
              <w:bottom w:val="single" w:sz="4" w:space="0" w:color="000000"/>
            </w:tcBorders>
          </w:tcPr>
          <w:p w14:paraId="5818059D" w14:textId="77777777" w:rsidR="00896DA0" w:rsidRDefault="00896DA0" w:rsidP="00896DA0">
            <w:pPr>
              <w:pStyle w:val="TableParagraph"/>
              <w:ind w:left="107"/>
              <w:rPr>
                <w:sz w:val="20"/>
              </w:rPr>
            </w:pPr>
            <w:r>
              <w:rPr>
                <w:sz w:val="20"/>
              </w:rPr>
              <w:t>Setting</w:t>
            </w:r>
          </w:p>
        </w:tc>
        <w:tc>
          <w:tcPr>
            <w:tcW w:w="709" w:type="dxa"/>
            <w:tcBorders>
              <w:top w:val="single" w:sz="4" w:space="0" w:color="000000"/>
              <w:bottom w:val="single" w:sz="4" w:space="0" w:color="000000"/>
            </w:tcBorders>
          </w:tcPr>
          <w:p w14:paraId="2612F993" w14:textId="6995C004" w:rsidR="00896DA0" w:rsidRDefault="00896DA0" w:rsidP="00896DA0">
            <w:pPr>
              <w:pStyle w:val="TableParagraph"/>
              <w:jc w:val="center"/>
              <w:rPr>
                <w:w w:val="99"/>
                <w:sz w:val="20"/>
              </w:rPr>
            </w:pPr>
            <w:r>
              <w:rPr>
                <w:w w:val="99"/>
                <w:sz w:val="20"/>
              </w:rPr>
              <w:t>5</w:t>
            </w:r>
          </w:p>
        </w:tc>
        <w:tc>
          <w:tcPr>
            <w:tcW w:w="6804" w:type="dxa"/>
            <w:tcBorders>
              <w:top w:val="single" w:sz="4" w:space="0" w:color="000000"/>
              <w:bottom w:val="single" w:sz="4" w:space="0" w:color="000000"/>
            </w:tcBorders>
          </w:tcPr>
          <w:p w14:paraId="0370BF2A" w14:textId="5CB262E0" w:rsidR="00896DA0" w:rsidRDefault="00896DA0" w:rsidP="006F019B">
            <w:pPr>
              <w:pStyle w:val="TableParagraph"/>
              <w:spacing w:before="0" w:line="300" w:lineRule="exact"/>
              <w:ind w:left="109" w:right="208"/>
              <w:jc w:val="both"/>
              <w:rPr>
                <w:sz w:val="20"/>
              </w:rPr>
            </w:pPr>
            <w:r w:rsidRPr="00A67639">
              <w:rPr>
                <w:sz w:val="20"/>
              </w:rPr>
              <w:t>Our study enrolled 40 patients who presented to our IBD center at Ain Shams University Hospital during the period from September 2017 to September 2018.</w:t>
            </w:r>
          </w:p>
        </w:tc>
        <w:tc>
          <w:tcPr>
            <w:tcW w:w="708" w:type="dxa"/>
            <w:tcBorders>
              <w:top w:val="single" w:sz="4" w:space="0" w:color="000000"/>
              <w:bottom w:val="single" w:sz="4" w:space="0" w:color="000000"/>
            </w:tcBorders>
          </w:tcPr>
          <w:p w14:paraId="1640ACBE" w14:textId="1F56EBAC" w:rsidR="00896DA0" w:rsidRPr="00A67639" w:rsidRDefault="00896DA0" w:rsidP="001E1D10">
            <w:pPr>
              <w:pStyle w:val="TableParagraph"/>
              <w:spacing w:before="0" w:line="300" w:lineRule="exact"/>
              <w:ind w:left="-2"/>
              <w:jc w:val="center"/>
              <w:rPr>
                <w:sz w:val="20"/>
              </w:rPr>
            </w:pPr>
            <w:r>
              <w:rPr>
                <w:w w:val="99"/>
                <w:sz w:val="20"/>
              </w:rPr>
              <w:t>2</w:t>
            </w:r>
          </w:p>
        </w:tc>
      </w:tr>
      <w:tr w:rsidR="00896DA0" w14:paraId="132B9AC2" w14:textId="54166BC9" w:rsidTr="003A58DA">
        <w:trPr>
          <w:trHeight w:val="1221"/>
        </w:trPr>
        <w:tc>
          <w:tcPr>
            <w:tcW w:w="1873" w:type="dxa"/>
            <w:tcBorders>
              <w:top w:val="single" w:sz="4" w:space="0" w:color="000000"/>
            </w:tcBorders>
          </w:tcPr>
          <w:p w14:paraId="367FA19F" w14:textId="77777777" w:rsidR="00896DA0" w:rsidRDefault="00896DA0" w:rsidP="00896DA0">
            <w:pPr>
              <w:pStyle w:val="TableParagraph"/>
              <w:ind w:left="107"/>
              <w:rPr>
                <w:sz w:val="20"/>
              </w:rPr>
            </w:pPr>
            <w:r>
              <w:rPr>
                <w:sz w:val="20"/>
              </w:rPr>
              <w:t>Participants</w:t>
            </w:r>
          </w:p>
        </w:tc>
        <w:tc>
          <w:tcPr>
            <w:tcW w:w="709" w:type="dxa"/>
            <w:tcBorders>
              <w:top w:val="single" w:sz="4" w:space="0" w:color="000000"/>
            </w:tcBorders>
          </w:tcPr>
          <w:p w14:paraId="4E72C1C5" w14:textId="30F43E4F" w:rsidR="00896DA0" w:rsidRDefault="00896DA0" w:rsidP="00896DA0">
            <w:pPr>
              <w:pStyle w:val="TableParagraph"/>
              <w:jc w:val="center"/>
              <w:rPr>
                <w:w w:val="99"/>
                <w:sz w:val="20"/>
              </w:rPr>
            </w:pPr>
            <w:r>
              <w:rPr>
                <w:w w:val="99"/>
                <w:sz w:val="20"/>
              </w:rPr>
              <w:t>6</w:t>
            </w:r>
          </w:p>
        </w:tc>
        <w:tc>
          <w:tcPr>
            <w:tcW w:w="6804" w:type="dxa"/>
            <w:tcBorders>
              <w:top w:val="single" w:sz="4" w:space="0" w:color="000000"/>
              <w:bottom w:val="single" w:sz="4" w:space="0" w:color="000000"/>
            </w:tcBorders>
          </w:tcPr>
          <w:p w14:paraId="366671E1" w14:textId="0E9860D9" w:rsidR="00896DA0" w:rsidRDefault="00896DA0" w:rsidP="006F019B">
            <w:pPr>
              <w:pStyle w:val="TableParagraph"/>
              <w:spacing w:before="70" w:line="227" w:lineRule="exact"/>
              <w:ind w:left="109" w:right="208"/>
              <w:jc w:val="both"/>
              <w:rPr>
                <w:sz w:val="20"/>
              </w:rPr>
            </w:pPr>
            <w:r w:rsidRPr="00A67639">
              <w:rPr>
                <w:sz w:val="20"/>
              </w:rPr>
              <w:t>The study population included adolescents who were over 18 years old. All patients provided written informed consent before enrollment. Patients were excluded if they had severe or uncontrolled comorbidities, such as cardio-respiratory, neurological, metabolic, liver, kidney diseases, claustrophobia, cardiac pacemaker, or implanted metal objects that prohibited use of MRE.</w:t>
            </w:r>
          </w:p>
        </w:tc>
        <w:tc>
          <w:tcPr>
            <w:tcW w:w="708" w:type="dxa"/>
            <w:tcBorders>
              <w:top w:val="single" w:sz="4" w:space="0" w:color="000000"/>
              <w:bottom w:val="single" w:sz="4" w:space="0" w:color="000000"/>
            </w:tcBorders>
          </w:tcPr>
          <w:p w14:paraId="202C7603" w14:textId="649BEE2A" w:rsidR="00896DA0" w:rsidRPr="00A67639" w:rsidRDefault="00896DA0" w:rsidP="001E1D10">
            <w:pPr>
              <w:pStyle w:val="TableParagraph"/>
              <w:spacing w:before="70" w:line="227" w:lineRule="exact"/>
              <w:ind w:left="-2"/>
              <w:jc w:val="center"/>
              <w:rPr>
                <w:sz w:val="20"/>
              </w:rPr>
            </w:pPr>
            <w:r>
              <w:rPr>
                <w:w w:val="99"/>
                <w:sz w:val="20"/>
              </w:rPr>
              <w:t>2</w:t>
            </w:r>
          </w:p>
        </w:tc>
      </w:tr>
      <w:tr w:rsidR="00896DA0" w14:paraId="4C56CD8A" w14:textId="40F3D2F3" w:rsidTr="003A58DA">
        <w:trPr>
          <w:trHeight w:val="602"/>
        </w:trPr>
        <w:tc>
          <w:tcPr>
            <w:tcW w:w="1873" w:type="dxa"/>
            <w:tcBorders>
              <w:top w:val="single" w:sz="4" w:space="0" w:color="000000"/>
              <w:bottom w:val="single" w:sz="4" w:space="0" w:color="000000"/>
            </w:tcBorders>
          </w:tcPr>
          <w:p w14:paraId="6C574856" w14:textId="77777777" w:rsidR="00896DA0" w:rsidRDefault="00896DA0" w:rsidP="00896DA0">
            <w:pPr>
              <w:pStyle w:val="TableParagraph"/>
              <w:spacing w:before="55"/>
              <w:ind w:left="107"/>
              <w:rPr>
                <w:sz w:val="20"/>
              </w:rPr>
            </w:pPr>
            <w:r>
              <w:rPr>
                <w:sz w:val="20"/>
              </w:rPr>
              <w:t>Variables</w:t>
            </w:r>
          </w:p>
        </w:tc>
        <w:tc>
          <w:tcPr>
            <w:tcW w:w="709" w:type="dxa"/>
            <w:tcBorders>
              <w:top w:val="single" w:sz="4" w:space="0" w:color="000000"/>
              <w:bottom w:val="single" w:sz="4" w:space="0" w:color="000000"/>
            </w:tcBorders>
          </w:tcPr>
          <w:p w14:paraId="65225B08" w14:textId="250722E9" w:rsidR="00896DA0" w:rsidRDefault="00896DA0" w:rsidP="00896DA0">
            <w:pPr>
              <w:pStyle w:val="TableParagraph"/>
              <w:spacing w:before="55"/>
              <w:jc w:val="center"/>
              <w:rPr>
                <w:w w:val="99"/>
                <w:sz w:val="20"/>
              </w:rPr>
            </w:pPr>
            <w:r>
              <w:rPr>
                <w:w w:val="99"/>
                <w:sz w:val="20"/>
              </w:rPr>
              <w:t>7</w:t>
            </w:r>
          </w:p>
        </w:tc>
        <w:tc>
          <w:tcPr>
            <w:tcW w:w="6804" w:type="dxa"/>
            <w:tcBorders>
              <w:top w:val="single" w:sz="4" w:space="0" w:color="000000"/>
              <w:bottom w:val="single" w:sz="4" w:space="0" w:color="000000"/>
            </w:tcBorders>
          </w:tcPr>
          <w:p w14:paraId="027136FA" w14:textId="59ACF9A6" w:rsidR="00896DA0" w:rsidRDefault="00896DA0" w:rsidP="006F019B">
            <w:pPr>
              <w:pStyle w:val="TableParagraph"/>
              <w:spacing w:before="2" w:line="300" w:lineRule="exact"/>
              <w:ind w:left="109" w:right="208"/>
              <w:jc w:val="both"/>
              <w:rPr>
                <w:sz w:val="20"/>
              </w:rPr>
            </w:pPr>
            <w:r w:rsidRPr="008565AE">
              <w:rPr>
                <w:sz w:val="20"/>
              </w:rPr>
              <w:t>Clinical activity score for Crohn's disease was assessed by The Crohn’s Disease Activity Index (CDAI). Clinical remission was determined if CDAI was &lt; 150 points or no fistula drainage was found as assessed by the Fistula Drainage Assessment index. Ulcerative colitis activity was assessed using the Truelove and Witts classification</w:t>
            </w:r>
          </w:p>
        </w:tc>
        <w:tc>
          <w:tcPr>
            <w:tcW w:w="708" w:type="dxa"/>
            <w:tcBorders>
              <w:top w:val="single" w:sz="4" w:space="0" w:color="000000"/>
              <w:bottom w:val="single" w:sz="4" w:space="0" w:color="000000"/>
            </w:tcBorders>
          </w:tcPr>
          <w:p w14:paraId="055A0068" w14:textId="4D0CA270" w:rsidR="00896DA0" w:rsidRPr="008565AE" w:rsidRDefault="00896DA0" w:rsidP="001E1D10">
            <w:pPr>
              <w:pStyle w:val="TableParagraph"/>
              <w:spacing w:before="2" w:line="300" w:lineRule="exact"/>
              <w:ind w:left="-2"/>
              <w:jc w:val="center"/>
              <w:rPr>
                <w:sz w:val="20"/>
              </w:rPr>
            </w:pPr>
            <w:r>
              <w:rPr>
                <w:w w:val="99"/>
                <w:sz w:val="20"/>
              </w:rPr>
              <w:t>2</w:t>
            </w:r>
          </w:p>
        </w:tc>
      </w:tr>
      <w:tr w:rsidR="00896DA0" w14:paraId="74F08CEF" w14:textId="7B0A6C42" w:rsidTr="003A58DA">
        <w:trPr>
          <w:trHeight w:val="585"/>
        </w:trPr>
        <w:tc>
          <w:tcPr>
            <w:tcW w:w="1873" w:type="dxa"/>
            <w:tcBorders>
              <w:top w:val="single" w:sz="4" w:space="0" w:color="000000"/>
              <w:bottom w:val="single" w:sz="4" w:space="0" w:color="000000"/>
            </w:tcBorders>
          </w:tcPr>
          <w:p w14:paraId="3918143B" w14:textId="77777777" w:rsidR="00896DA0" w:rsidRDefault="00896DA0" w:rsidP="006F019B">
            <w:pPr>
              <w:pStyle w:val="TableParagraph"/>
              <w:spacing w:line="312" w:lineRule="auto"/>
              <w:ind w:left="107" w:right="-58"/>
              <w:rPr>
                <w:sz w:val="20"/>
              </w:rPr>
            </w:pPr>
            <w:r>
              <w:rPr>
                <w:sz w:val="20"/>
              </w:rPr>
              <w:t>Data sources/ measurement</w:t>
            </w:r>
          </w:p>
        </w:tc>
        <w:tc>
          <w:tcPr>
            <w:tcW w:w="709" w:type="dxa"/>
            <w:tcBorders>
              <w:top w:val="single" w:sz="4" w:space="0" w:color="000000"/>
              <w:bottom w:val="single" w:sz="4" w:space="0" w:color="000000"/>
            </w:tcBorders>
          </w:tcPr>
          <w:p w14:paraId="3098B006" w14:textId="1DD2FFB1" w:rsidR="00896DA0" w:rsidRDefault="00896DA0" w:rsidP="00896DA0">
            <w:pPr>
              <w:pStyle w:val="TableParagraph"/>
              <w:ind w:left="147" w:right="147"/>
              <w:jc w:val="center"/>
              <w:rPr>
                <w:sz w:val="20"/>
              </w:rPr>
            </w:pPr>
            <w:r>
              <w:rPr>
                <w:sz w:val="20"/>
              </w:rPr>
              <w:t>8*</w:t>
            </w:r>
          </w:p>
        </w:tc>
        <w:tc>
          <w:tcPr>
            <w:tcW w:w="6804" w:type="dxa"/>
            <w:tcBorders>
              <w:top w:val="single" w:sz="4" w:space="0" w:color="000000"/>
              <w:bottom w:val="single" w:sz="4" w:space="0" w:color="000000"/>
            </w:tcBorders>
          </w:tcPr>
          <w:p w14:paraId="3BB04915" w14:textId="3889FAD1" w:rsidR="00896DA0" w:rsidRDefault="00896DA0" w:rsidP="006F019B">
            <w:pPr>
              <w:pStyle w:val="TableParagraph"/>
              <w:spacing w:before="2" w:line="227" w:lineRule="exact"/>
              <w:ind w:left="109" w:right="208"/>
              <w:jc w:val="both"/>
              <w:rPr>
                <w:sz w:val="20"/>
              </w:rPr>
            </w:pPr>
            <w:r w:rsidRPr="008565AE">
              <w:rPr>
                <w:sz w:val="20"/>
              </w:rPr>
              <w:t>Colonoscopies were performed with a videoscope system</w:t>
            </w:r>
            <w:r>
              <w:rPr>
                <w:sz w:val="20"/>
              </w:rPr>
              <w:t xml:space="preserve"> as a gold standard test</w:t>
            </w:r>
          </w:p>
        </w:tc>
        <w:tc>
          <w:tcPr>
            <w:tcW w:w="708" w:type="dxa"/>
            <w:tcBorders>
              <w:top w:val="single" w:sz="4" w:space="0" w:color="000000"/>
              <w:bottom w:val="single" w:sz="4" w:space="0" w:color="000000"/>
            </w:tcBorders>
          </w:tcPr>
          <w:p w14:paraId="4F7AFC84" w14:textId="78C09314" w:rsidR="00896DA0" w:rsidRPr="008565AE" w:rsidRDefault="00896DA0" w:rsidP="001E1D10">
            <w:pPr>
              <w:pStyle w:val="TableParagraph"/>
              <w:spacing w:before="2" w:line="227" w:lineRule="exact"/>
              <w:ind w:left="-2"/>
              <w:jc w:val="center"/>
              <w:rPr>
                <w:sz w:val="20"/>
              </w:rPr>
            </w:pPr>
            <w:r>
              <w:rPr>
                <w:sz w:val="20"/>
              </w:rPr>
              <w:t>2</w:t>
            </w:r>
          </w:p>
        </w:tc>
      </w:tr>
      <w:tr w:rsidR="00896DA0" w14:paraId="44423741" w14:textId="3783A957" w:rsidTr="003A58DA">
        <w:trPr>
          <w:trHeight w:val="299"/>
        </w:trPr>
        <w:tc>
          <w:tcPr>
            <w:tcW w:w="1873" w:type="dxa"/>
            <w:tcBorders>
              <w:top w:val="single" w:sz="4" w:space="0" w:color="000000"/>
              <w:bottom w:val="single" w:sz="4" w:space="0" w:color="000000"/>
            </w:tcBorders>
          </w:tcPr>
          <w:p w14:paraId="4B5B92A7" w14:textId="77777777" w:rsidR="00896DA0" w:rsidRDefault="00896DA0" w:rsidP="00896DA0">
            <w:pPr>
              <w:pStyle w:val="TableParagraph"/>
              <w:spacing w:line="227" w:lineRule="exact"/>
              <w:ind w:left="107"/>
              <w:rPr>
                <w:sz w:val="20"/>
              </w:rPr>
            </w:pPr>
            <w:r>
              <w:rPr>
                <w:sz w:val="20"/>
              </w:rPr>
              <w:t>Bias</w:t>
            </w:r>
          </w:p>
        </w:tc>
        <w:tc>
          <w:tcPr>
            <w:tcW w:w="709" w:type="dxa"/>
            <w:tcBorders>
              <w:top w:val="single" w:sz="4" w:space="0" w:color="000000"/>
              <w:bottom w:val="single" w:sz="4" w:space="0" w:color="000000"/>
            </w:tcBorders>
          </w:tcPr>
          <w:p w14:paraId="297B9737" w14:textId="42A7E1DF" w:rsidR="00896DA0" w:rsidRDefault="00896DA0" w:rsidP="00896DA0">
            <w:pPr>
              <w:pStyle w:val="TableParagraph"/>
              <w:spacing w:line="227" w:lineRule="exact"/>
              <w:jc w:val="center"/>
              <w:rPr>
                <w:w w:val="99"/>
                <w:sz w:val="20"/>
              </w:rPr>
            </w:pPr>
            <w:r>
              <w:rPr>
                <w:w w:val="99"/>
                <w:sz w:val="20"/>
              </w:rPr>
              <w:t>9</w:t>
            </w:r>
          </w:p>
        </w:tc>
        <w:tc>
          <w:tcPr>
            <w:tcW w:w="6804" w:type="dxa"/>
            <w:tcBorders>
              <w:top w:val="single" w:sz="4" w:space="0" w:color="000000"/>
              <w:bottom w:val="single" w:sz="4" w:space="0" w:color="000000"/>
            </w:tcBorders>
          </w:tcPr>
          <w:p w14:paraId="49F7D8BA" w14:textId="24010647" w:rsidR="00896DA0" w:rsidRDefault="00896DA0" w:rsidP="006F019B">
            <w:pPr>
              <w:pStyle w:val="TableParagraph"/>
              <w:spacing w:line="227" w:lineRule="exact"/>
              <w:ind w:left="109" w:right="208"/>
              <w:jc w:val="both"/>
              <w:rPr>
                <w:sz w:val="20"/>
              </w:rPr>
            </w:pPr>
            <w:r w:rsidRPr="00C95454">
              <w:rPr>
                <w:sz w:val="20"/>
              </w:rPr>
              <w:t>The study was approved by the medical ethics committee of Ain Shams University</w:t>
            </w:r>
          </w:p>
        </w:tc>
        <w:tc>
          <w:tcPr>
            <w:tcW w:w="708" w:type="dxa"/>
            <w:tcBorders>
              <w:top w:val="single" w:sz="4" w:space="0" w:color="000000"/>
              <w:bottom w:val="single" w:sz="4" w:space="0" w:color="000000"/>
            </w:tcBorders>
          </w:tcPr>
          <w:p w14:paraId="054B3923" w14:textId="0ED751CB" w:rsidR="00896DA0" w:rsidRPr="00C95454" w:rsidRDefault="00896DA0" w:rsidP="001E1D10">
            <w:pPr>
              <w:pStyle w:val="TableParagraph"/>
              <w:spacing w:line="227" w:lineRule="exact"/>
              <w:ind w:left="-2"/>
              <w:jc w:val="center"/>
              <w:rPr>
                <w:sz w:val="20"/>
              </w:rPr>
            </w:pPr>
            <w:r>
              <w:rPr>
                <w:w w:val="99"/>
                <w:sz w:val="20"/>
              </w:rPr>
              <w:t>2</w:t>
            </w:r>
          </w:p>
        </w:tc>
      </w:tr>
      <w:tr w:rsidR="00896DA0" w14:paraId="3AE18334" w14:textId="2B8478C9" w:rsidTr="003A58DA">
        <w:trPr>
          <w:trHeight w:val="299"/>
        </w:trPr>
        <w:tc>
          <w:tcPr>
            <w:tcW w:w="1873" w:type="dxa"/>
            <w:tcBorders>
              <w:top w:val="single" w:sz="4" w:space="0" w:color="000000"/>
              <w:bottom w:val="single" w:sz="4" w:space="0" w:color="000000"/>
            </w:tcBorders>
          </w:tcPr>
          <w:p w14:paraId="3B4E90BB" w14:textId="77777777" w:rsidR="00896DA0" w:rsidRDefault="00896DA0" w:rsidP="00896DA0">
            <w:pPr>
              <w:pStyle w:val="TableParagraph"/>
              <w:spacing w:line="227" w:lineRule="exact"/>
              <w:ind w:left="107"/>
              <w:rPr>
                <w:sz w:val="20"/>
              </w:rPr>
            </w:pPr>
            <w:r>
              <w:rPr>
                <w:sz w:val="20"/>
              </w:rPr>
              <w:t>Study size</w:t>
            </w:r>
          </w:p>
        </w:tc>
        <w:tc>
          <w:tcPr>
            <w:tcW w:w="709" w:type="dxa"/>
            <w:tcBorders>
              <w:top w:val="single" w:sz="4" w:space="0" w:color="000000"/>
              <w:bottom w:val="single" w:sz="4" w:space="0" w:color="000000"/>
            </w:tcBorders>
          </w:tcPr>
          <w:p w14:paraId="0CFDB161" w14:textId="3D91072C" w:rsidR="00896DA0" w:rsidRDefault="00896DA0" w:rsidP="00896DA0">
            <w:pPr>
              <w:pStyle w:val="TableParagraph"/>
              <w:spacing w:line="227" w:lineRule="exact"/>
              <w:ind w:left="147" w:right="147"/>
              <w:jc w:val="center"/>
              <w:rPr>
                <w:sz w:val="20"/>
              </w:rPr>
            </w:pPr>
            <w:r>
              <w:rPr>
                <w:sz w:val="20"/>
              </w:rPr>
              <w:t>10</w:t>
            </w:r>
          </w:p>
        </w:tc>
        <w:tc>
          <w:tcPr>
            <w:tcW w:w="6804" w:type="dxa"/>
            <w:tcBorders>
              <w:top w:val="single" w:sz="4" w:space="0" w:color="000000"/>
              <w:bottom w:val="single" w:sz="4" w:space="0" w:color="000000"/>
            </w:tcBorders>
          </w:tcPr>
          <w:p w14:paraId="08DDAA78" w14:textId="13B7B1E7" w:rsidR="00896DA0" w:rsidRDefault="00896DA0" w:rsidP="006F019B">
            <w:pPr>
              <w:pStyle w:val="TableParagraph"/>
              <w:spacing w:line="227" w:lineRule="exact"/>
              <w:ind w:left="109" w:right="208"/>
              <w:jc w:val="both"/>
              <w:rPr>
                <w:sz w:val="20"/>
              </w:rPr>
            </w:pPr>
            <w:r w:rsidRPr="00C95454">
              <w:rPr>
                <w:sz w:val="20"/>
              </w:rPr>
              <w:t xml:space="preserve">The study </w:t>
            </w:r>
            <w:r>
              <w:rPr>
                <w:sz w:val="20"/>
              </w:rPr>
              <w:t xml:space="preserve">sample size </w:t>
            </w:r>
            <w:r w:rsidRPr="00C95454">
              <w:rPr>
                <w:sz w:val="20"/>
              </w:rPr>
              <w:t>was approved by the medical ethics committee of Ain Shams University</w:t>
            </w:r>
          </w:p>
        </w:tc>
        <w:tc>
          <w:tcPr>
            <w:tcW w:w="708" w:type="dxa"/>
            <w:tcBorders>
              <w:top w:val="single" w:sz="4" w:space="0" w:color="000000"/>
              <w:bottom w:val="single" w:sz="4" w:space="0" w:color="000000"/>
            </w:tcBorders>
          </w:tcPr>
          <w:p w14:paraId="5411244E" w14:textId="75697F08" w:rsidR="00896DA0" w:rsidRPr="00C95454" w:rsidRDefault="00896DA0" w:rsidP="001E1D10">
            <w:pPr>
              <w:pStyle w:val="TableParagraph"/>
              <w:spacing w:line="227" w:lineRule="exact"/>
              <w:ind w:left="-2"/>
              <w:jc w:val="center"/>
              <w:rPr>
                <w:sz w:val="20"/>
              </w:rPr>
            </w:pPr>
            <w:r>
              <w:rPr>
                <w:sz w:val="20"/>
              </w:rPr>
              <w:t>2</w:t>
            </w:r>
          </w:p>
        </w:tc>
      </w:tr>
      <w:tr w:rsidR="00896DA0" w14:paraId="3A4B63CA" w14:textId="5A76369E" w:rsidTr="003A58DA">
        <w:trPr>
          <w:trHeight w:val="599"/>
        </w:trPr>
        <w:tc>
          <w:tcPr>
            <w:tcW w:w="1873" w:type="dxa"/>
            <w:tcBorders>
              <w:top w:val="single" w:sz="4" w:space="0" w:color="000000"/>
              <w:bottom w:val="single" w:sz="4" w:space="0" w:color="000000"/>
            </w:tcBorders>
          </w:tcPr>
          <w:p w14:paraId="787331E9" w14:textId="77777777" w:rsidR="00896DA0" w:rsidRDefault="00896DA0" w:rsidP="00896DA0">
            <w:pPr>
              <w:pStyle w:val="TableParagraph"/>
              <w:ind w:left="107"/>
              <w:rPr>
                <w:sz w:val="20"/>
              </w:rPr>
            </w:pPr>
            <w:r>
              <w:rPr>
                <w:sz w:val="20"/>
              </w:rPr>
              <w:t>Quantitative variables</w:t>
            </w:r>
          </w:p>
        </w:tc>
        <w:tc>
          <w:tcPr>
            <w:tcW w:w="709" w:type="dxa"/>
            <w:tcBorders>
              <w:top w:val="single" w:sz="4" w:space="0" w:color="000000"/>
              <w:bottom w:val="single" w:sz="4" w:space="0" w:color="000000"/>
            </w:tcBorders>
          </w:tcPr>
          <w:p w14:paraId="0BE64DC3" w14:textId="7FCCF0AE" w:rsidR="00896DA0" w:rsidRDefault="00896DA0" w:rsidP="00896DA0">
            <w:pPr>
              <w:pStyle w:val="TableParagraph"/>
              <w:ind w:left="147" w:right="147"/>
              <w:jc w:val="center"/>
              <w:rPr>
                <w:sz w:val="20"/>
              </w:rPr>
            </w:pPr>
            <w:r>
              <w:rPr>
                <w:sz w:val="20"/>
              </w:rPr>
              <w:t>11</w:t>
            </w:r>
          </w:p>
        </w:tc>
        <w:tc>
          <w:tcPr>
            <w:tcW w:w="6804" w:type="dxa"/>
            <w:tcBorders>
              <w:top w:val="single" w:sz="4" w:space="0" w:color="000000"/>
              <w:bottom w:val="single" w:sz="4" w:space="0" w:color="000000"/>
            </w:tcBorders>
          </w:tcPr>
          <w:p w14:paraId="062E53A4" w14:textId="6AB736B6" w:rsidR="00896DA0" w:rsidRDefault="00896DA0" w:rsidP="006F019B">
            <w:pPr>
              <w:pStyle w:val="TableParagraph"/>
              <w:spacing w:before="70" w:line="227" w:lineRule="exact"/>
              <w:ind w:left="109" w:right="208"/>
              <w:jc w:val="both"/>
              <w:rPr>
                <w:sz w:val="20"/>
              </w:rPr>
            </w:pPr>
            <w:r w:rsidRPr="00C95454">
              <w:rPr>
                <w:sz w:val="20"/>
              </w:rPr>
              <w:t xml:space="preserve">Description of quantitative variables was expressed in the form of mean ± standard deviation (mean ± SD) or median and inter-quartile range (IQR). </w:t>
            </w:r>
            <w:r>
              <w:rPr>
                <w:sz w:val="20"/>
              </w:rPr>
              <w:t>why</w:t>
            </w:r>
          </w:p>
        </w:tc>
        <w:tc>
          <w:tcPr>
            <w:tcW w:w="708" w:type="dxa"/>
            <w:tcBorders>
              <w:top w:val="single" w:sz="4" w:space="0" w:color="000000"/>
              <w:bottom w:val="single" w:sz="4" w:space="0" w:color="000000"/>
            </w:tcBorders>
          </w:tcPr>
          <w:p w14:paraId="1FBBF0E8" w14:textId="6B3B4F23" w:rsidR="00896DA0" w:rsidRPr="00C95454" w:rsidRDefault="00896DA0" w:rsidP="001E1D10">
            <w:pPr>
              <w:pStyle w:val="TableParagraph"/>
              <w:spacing w:before="70" w:line="227" w:lineRule="exact"/>
              <w:ind w:left="-2"/>
              <w:jc w:val="center"/>
              <w:rPr>
                <w:sz w:val="20"/>
              </w:rPr>
            </w:pPr>
            <w:r>
              <w:rPr>
                <w:sz w:val="20"/>
              </w:rPr>
              <w:t>4</w:t>
            </w:r>
          </w:p>
        </w:tc>
      </w:tr>
      <w:tr w:rsidR="00896DA0" w14:paraId="1DDD8894" w14:textId="7D0D248F" w:rsidTr="003A58DA">
        <w:trPr>
          <w:trHeight w:val="299"/>
        </w:trPr>
        <w:tc>
          <w:tcPr>
            <w:tcW w:w="1873" w:type="dxa"/>
            <w:tcBorders>
              <w:top w:val="single" w:sz="4" w:space="0" w:color="000000"/>
            </w:tcBorders>
          </w:tcPr>
          <w:p w14:paraId="79401279" w14:textId="77777777" w:rsidR="00896DA0" w:rsidRDefault="00896DA0" w:rsidP="00896DA0">
            <w:pPr>
              <w:pStyle w:val="TableParagraph"/>
              <w:spacing w:line="227" w:lineRule="exact"/>
              <w:ind w:left="107"/>
              <w:rPr>
                <w:sz w:val="20"/>
              </w:rPr>
            </w:pPr>
            <w:r>
              <w:rPr>
                <w:sz w:val="20"/>
              </w:rPr>
              <w:t>Statistical methods</w:t>
            </w:r>
          </w:p>
        </w:tc>
        <w:tc>
          <w:tcPr>
            <w:tcW w:w="709" w:type="dxa"/>
            <w:tcBorders>
              <w:top w:val="single" w:sz="4" w:space="0" w:color="000000"/>
            </w:tcBorders>
          </w:tcPr>
          <w:p w14:paraId="02DC338D" w14:textId="743A5146" w:rsidR="00896DA0" w:rsidRDefault="00896DA0" w:rsidP="00896DA0">
            <w:pPr>
              <w:pStyle w:val="TableParagraph"/>
              <w:spacing w:line="227" w:lineRule="exact"/>
              <w:ind w:left="147" w:right="147"/>
              <w:jc w:val="center"/>
              <w:rPr>
                <w:sz w:val="20"/>
              </w:rPr>
            </w:pPr>
            <w:r>
              <w:rPr>
                <w:sz w:val="20"/>
              </w:rPr>
              <w:t>12</w:t>
            </w:r>
          </w:p>
        </w:tc>
        <w:tc>
          <w:tcPr>
            <w:tcW w:w="6804" w:type="dxa"/>
            <w:tcBorders>
              <w:top w:val="single" w:sz="4" w:space="0" w:color="000000"/>
              <w:bottom w:val="single" w:sz="4" w:space="0" w:color="000000"/>
            </w:tcBorders>
          </w:tcPr>
          <w:p w14:paraId="01546619" w14:textId="4329EE86" w:rsidR="00896DA0" w:rsidRDefault="003A58DA" w:rsidP="006F019B">
            <w:pPr>
              <w:pStyle w:val="TableParagraph"/>
              <w:spacing w:line="227" w:lineRule="exact"/>
              <w:ind w:left="109" w:right="208"/>
              <w:jc w:val="both"/>
              <w:rPr>
                <w:sz w:val="20"/>
              </w:rPr>
            </w:pPr>
            <w:r w:rsidRPr="003A58DA">
              <w:rPr>
                <w:sz w:val="20"/>
              </w:rPr>
              <w:t>Statistical analysis was performed using the SPSS software (22.0 version: SSPS Inc., Chicago, IL. USA). Description of quantitative variables was expressed in the form of mean ± standard deviation (mean ± SD) or median and inter-quartile range (IQR). A description of qualitative variables was expressed by frequency and percentage. Comparison of qualitative variables was carried out using the chi-square test. P &lt; 0.05 was taken as significant. The sensitivity, specificity, overall correctness of prediction, and positive and negative predictive values were calculated. Correlations were calculated using Pearson’s correlation coefficient. The receiver operating characteristic (ROC) curves and areas under the ROC curves (AUROC) were applied to evaluate the prognostic values (specificity and sensitivity).</w:t>
            </w:r>
          </w:p>
        </w:tc>
        <w:tc>
          <w:tcPr>
            <w:tcW w:w="708" w:type="dxa"/>
            <w:tcBorders>
              <w:top w:val="single" w:sz="4" w:space="0" w:color="000000"/>
              <w:bottom w:val="single" w:sz="4" w:space="0" w:color="000000"/>
            </w:tcBorders>
          </w:tcPr>
          <w:p w14:paraId="42BA64AC" w14:textId="5D57EE05" w:rsidR="00896DA0" w:rsidRPr="0052072A" w:rsidRDefault="00896DA0" w:rsidP="001E1D10">
            <w:pPr>
              <w:pStyle w:val="TableParagraph"/>
              <w:spacing w:line="227" w:lineRule="exact"/>
              <w:ind w:left="-2"/>
              <w:jc w:val="center"/>
              <w:rPr>
                <w:sz w:val="20"/>
              </w:rPr>
            </w:pPr>
            <w:r>
              <w:rPr>
                <w:sz w:val="20"/>
              </w:rPr>
              <w:t>4</w:t>
            </w:r>
          </w:p>
        </w:tc>
      </w:tr>
    </w:tbl>
    <w:p w14:paraId="2F71E437" w14:textId="77777777" w:rsidR="008A3100" w:rsidRDefault="00D70B07">
      <w:pPr>
        <w:spacing w:before="107"/>
        <w:ind w:left="212"/>
        <w:rPr>
          <w:sz w:val="16"/>
        </w:rPr>
      </w:pPr>
      <w:proofErr w:type="gramStart"/>
      <w:r>
        <w:rPr>
          <w:sz w:val="16"/>
        </w:rPr>
        <w:t>Continued on</w:t>
      </w:r>
      <w:proofErr w:type="gramEnd"/>
      <w:r>
        <w:rPr>
          <w:sz w:val="16"/>
        </w:rPr>
        <w:t xml:space="preserve"> next page</w:t>
      </w:r>
    </w:p>
    <w:p w14:paraId="3F4CD1D2" w14:textId="77777777" w:rsidR="008A3100" w:rsidRDefault="008A3100">
      <w:pPr>
        <w:rPr>
          <w:sz w:val="16"/>
        </w:rPr>
        <w:sectPr w:rsidR="008A3100">
          <w:footerReference w:type="default" r:id="rId6"/>
          <w:type w:val="continuous"/>
          <w:pgSz w:w="11910" w:h="16840"/>
          <w:pgMar w:top="1060" w:right="920" w:bottom="920" w:left="920" w:header="720" w:footer="734" w:gutter="0"/>
          <w:pgNumType w:start="1"/>
          <w:cols w:space="720"/>
        </w:sectPr>
      </w:pPr>
    </w:p>
    <w:tbl>
      <w:tblPr>
        <w:tblW w:w="10094" w:type="dxa"/>
        <w:tblInd w:w="112" w:type="dxa"/>
        <w:tblLayout w:type="fixed"/>
        <w:tblCellMar>
          <w:left w:w="0" w:type="dxa"/>
          <w:right w:w="0" w:type="dxa"/>
        </w:tblCellMar>
        <w:tblLook w:val="01E0" w:firstRow="1" w:lastRow="1" w:firstColumn="1" w:lastColumn="1" w:noHBand="0" w:noVBand="0"/>
      </w:tblPr>
      <w:tblGrid>
        <w:gridCol w:w="27"/>
        <w:gridCol w:w="1846"/>
        <w:gridCol w:w="709"/>
        <w:gridCol w:w="303"/>
        <w:gridCol w:w="6501"/>
        <w:gridCol w:w="708"/>
      </w:tblGrid>
      <w:tr w:rsidR="003A58DA" w14:paraId="583E7191" w14:textId="26D1F54C" w:rsidTr="003A58DA">
        <w:trPr>
          <w:trHeight w:val="231"/>
        </w:trPr>
        <w:tc>
          <w:tcPr>
            <w:tcW w:w="1873" w:type="dxa"/>
            <w:gridSpan w:val="2"/>
            <w:tcBorders>
              <w:bottom w:val="single" w:sz="4" w:space="0" w:color="000000"/>
            </w:tcBorders>
          </w:tcPr>
          <w:p w14:paraId="011A35D7" w14:textId="77777777" w:rsidR="00E370F7" w:rsidRDefault="00E370F7" w:rsidP="00506B72">
            <w:pPr>
              <w:pStyle w:val="TableParagraph"/>
              <w:spacing w:before="0" w:line="203" w:lineRule="exact"/>
              <w:ind w:left="107"/>
              <w:rPr>
                <w:b/>
                <w:sz w:val="20"/>
              </w:rPr>
            </w:pPr>
            <w:r>
              <w:rPr>
                <w:b/>
                <w:sz w:val="20"/>
              </w:rPr>
              <w:lastRenderedPageBreak/>
              <w:t>Results</w:t>
            </w:r>
          </w:p>
        </w:tc>
        <w:tc>
          <w:tcPr>
            <w:tcW w:w="709" w:type="dxa"/>
            <w:tcBorders>
              <w:bottom w:val="single" w:sz="4" w:space="0" w:color="000000"/>
            </w:tcBorders>
          </w:tcPr>
          <w:p w14:paraId="02E488F0" w14:textId="77777777" w:rsidR="00E370F7" w:rsidRDefault="00E370F7" w:rsidP="00506B72">
            <w:pPr>
              <w:pStyle w:val="TableParagraph"/>
              <w:spacing w:before="0"/>
              <w:rPr>
                <w:sz w:val="14"/>
              </w:rPr>
            </w:pPr>
          </w:p>
        </w:tc>
        <w:tc>
          <w:tcPr>
            <w:tcW w:w="303" w:type="dxa"/>
            <w:tcBorders>
              <w:bottom w:val="single" w:sz="4" w:space="0" w:color="000000"/>
            </w:tcBorders>
          </w:tcPr>
          <w:p w14:paraId="6EBB85A3" w14:textId="2D7F2CC0" w:rsidR="00E370F7" w:rsidRDefault="00E370F7" w:rsidP="00506B72">
            <w:pPr>
              <w:pStyle w:val="TableParagraph"/>
              <w:spacing w:before="0"/>
              <w:rPr>
                <w:sz w:val="14"/>
              </w:rPr>
            </w:pPr>
          </w:p>
        </w:tc>
        <w:tc>
          <w:tcPr>
            <w:tcW w:w="6501" w:type="dxa"/>
            <w:tcBorders>
              <w:bottom w:val="single" w:sz="4" w:space="0" w:color="000000"/>
            </w:tcBorders>
          </w:tcPr>
          <w:p w14:paraId="688F3057" w14:textId="77777777" w:rsidR="00E370F7" w:rsidRDefault="00E370F7" w:rsidP="00E50C5F">
            <w:pPr>
              <w:pStyle w:val="TableParagraph"/>
              <w:spacing w:before="0"/>
              <w:jc w:val="both"/>
              <w:rPr>
                <w:sz w:val="14"/>
              </w:rPr>
            </w:pPr>
          </w:p>
        </w:tc>
        <w:tc>
          <w:tcPr>
            <w:tcW w:w="708" w:type="dxa"/>
            <w:tcBorders>
              <w:bottom w:val="single" w:sz="4" w:space="0" w:color="000000"/>
            </w:tcBorders>
          </w:tcPr>
          <w:p w14:paraId="5FBC2B7D" w14:textId="77777777" w:rsidR="00E370F7" w:rsidRDefault="00E370F7" w:rsidP="00B67E72">
            <w:pPr>
              <w:pStyle w:val="TableParagraph"/>
              <w:spacing w:before="0"/>
              <w:jc w:val="center"/>
              <w:rPr>
                <w:sz w:val="14"/>
              </w:rPr>
            </w:pPr>
          </w:p>
        </w:tc>
      </w:tr>
      <w:tr w:rsidR="00E370F7" w14:paraId="7E9E5EF9" w14:textId="50DD542B" w:rsidTr="002E4DF7">
        <w:trPr>
          <w:trHeight w:val="615"/>
        </w:trPr>
        <w:tc>
          <w:tcPr>
            <w:tcW w:w="1873" w:type="dxa"/>
            <w:gridSpan w:val="2"/>
            <w:tcBorders>
              <w:top w:val="single" w:sz="4" w:space="0" w:color="000000"/>
            </w:tcBorders>
          </w:tcPr>
          <w:p w14:paraId="6E979A18" w14:textId="77777777" w:rsidR="00E370F7" w:rsidRDefault="00E370F7" w:rsidP="00506B72">
            <w:pPr>
              <w:pStyle w:val="TableParagraph"/>
              <w:ind w:left="107"/>
              <w:rPr>
                <w:sz w:val="20"/>
              </w:rPr>
            </w:pPr>
            <w:r>
              <w:rPr>
                <w:sz w:val="20"/>
              </w:rPr>
              <w:t>Participants</w:t>
            </w:r>
          </w:p>
        </w:tc>
        <w:tc>
          <w:tcPr>
            <w:tcW w:w="709" w:type="dxa"/>
            <w:tcBorders>
              <w:top w:val="single" w:sz="4" w:space="0" w:color="000000"/>
            </w:tcBorders>
          </w:tcPr>
          <w:p w14:paraId="285D32A9" w14:textId="2A5091C3" w:rsidR="00E370F7" w:rsidRDefault="00E370F7" w:rsidP="00506B72">
            <w:pPr>
              <w:pStyle w:val="TableParagraph"/>
              <w:ind w:left="115"/>
              <w:rPr>
                <w:sz w:val="20"/>
              </w:rPr>
            </w:pPr>
            <w:r>
              <w:rPr>
                <w:sz w:val="20"/>
              </w:rPr>
              <w:t>13*</w:t>
            </w:r>
          </w:p>
        </w:tc>
        <w:tc>
          <w:tcPr>
            <w:tcW w:w="6804" w:type="dxa"/>
            <w:gridSpan w:val="2"/>
            <w:tcBorders>
              <w:top w:val="single" w:sz="4" w:space="0" w:color="000000"/>
              <w:bottom w:val="single" w:sz="4" w:space="0" w:color="000000"/>
            </w:tcBorders>
          </w:tcPr>
          <w:p w14:paraId="0D61DE6B" w14:textId="7036EBFA" w:rsidR="00E370F7" w:rsidRDefault="002E4DF7" w:rsidP="00E50C5F">
            <w:pPr>
              <w:pStyle w:val="TableParagraph"/>
              <w:spacing w:before="0" w:line="300" w:lineRule="exact"/>
              <w:ind w:left="111" w:right="246"/>
              <w:jc w:val="both"/>
              <w:rPr>
                <w:sz w:val="20"/>
              </w:rPr>
            </w:pPr>
            <w:r w:rsidRPr="002E4DF7">
              <w:rPr>
                <w:sz w:val="20"/>
              </w:rPr>
              <w:t xml:space="preserve">Most of the patients were middle-age females who usually presented with abdominal pain and diarrhea. </w:t>
            </w:r>
          </w:p>
        </w:tc>
        <w:tc>
          <w:tcPr>
            <w:tcW w:w="708" w:type="dxa"/>
            <w:tcBorders>
              <w:top w:val="single" w:sz="4" w:space="0" w:color="000000"/>
              <w:bottom w:val="single" w:sz="4" w:space="0" w:color="000000"/>
            </w:tcBorders>
          </w:tcPr>
          <w:p w14:paraId="55F2D5D4" w14:textId="5D0E966E" w:rsidR="00E370F7" w:rsidRDefault="002D7816" w:rsidP="00B67E72">
            <w:pPr>
              <w:pStyle w:val="TableParagraph"/>
              <w:spacing w:before="0" w:line="300" w:lineRule="exact"/>
              <w:ind w:left="111" w:right="246"/>
              <w:jc w:val="center"/>
              <w:rPr>
                <w:sz w:val="20"/>
              </w:rPr>
            </w:pPr>
            <w:r>
              <w:rPr>
                <w:sz w:val="20"/>
              </w:rPr>
              <w:t>5</w:t>
            </w:r>
          </w:p>
        </w:tc>
      </w:tr>
      <w:tr w:rsidR="00E370F7" w14:paraId="28CFDB1F" w14:textId="41A8E44B" w:rsidTr="003A58DA">
        <w:trPr>
          <w:trHeight w:val="624"/>
        </w:trPr>
        <w:tc>
          <w:tcPr>
            <w:tcW w:w="1873" w:type="dxa"/>
            <w:gridSpan w:val="2"/>
            <w:tcBorders>
              <w:top w:val="single" w:sz="4" w:space="0" w:color="000000"/>
            </w:tcBorders>
          </w:tcPr>
          <w:p w14:paraId="56D8EDA9" w14:textId="77777777" w:rsidR="00E370F7" w:rsidRDefault="00E370F7" w:rsidP="00506B72">
            <w:pPr>
              <w:pStyle w:val="TableParagraph"/>
              <w:ind w:left="107"/>
              <w:rPr>
                <w:sz w:val="20"/>
              </w:rPr>
            </w:pPr>
            <w:r>
              <w:rPr>
                <w:sz w:val="20"/>
              </w:rPr>
              <w:t>Descriptive</w:t>
            </w:r>
          </w:p>
          <w:p w14:paraId="5B225CDC" w14:textId="77777777" w:rsidR="00E370F7" w:rsidRDefault="00E370F7" w:rsidP="00506B72">
            <w:pPr>
              <w:pStyle w:val="TableParagraph"/>
              <w:spacing w:before="70" w:line="227" w:lineRule="exact"/>
              <w:ind w:left="107"/>
              <w:rPr>
                <w:sz w:val="20"/>
              </w:rPr>
            </w:pPr>
            <w:r>
              <w:rPr>
                <w:sz w:val="20"/>
              </w:rPr>
              <w:t>data</w:t>
            </w:r>
          </w:p>
        </w:tc>
        <w:tc>
          <w:tcPr>
            <w:tcW w:w="709" w:type="dxa"/>
            <w:tcBorders>
              <w:top w:val="single" w:sz="4" w:space="0" w:color="000000"/>
            </w:tcBorders>
          </w:tcPr>
          <w:p w14:paraId="23DDBF02" w14:textId="6FF4A65A" w:rsidR="00E370F7" w:rsidRDefault="00E370F7" w:rsidP="00506B72">
            <w:pPr>
              <w:pStyle w:val="TableParagraph"/>
              <w:ind w:left="115"/>
              <w:rPr>
                <w:sz w:val="20"/>
              </w:rPr>
            </w:pPr>
            <w:r>
              <w:rPr>
                <w:sz w:val="20"/>
              </w:rPr>
              <w:t>14*</w:t>
            </w:r>
          </w:p>
        </w:tc>
        <w:tc>
          <w:tcPr>
            <w:tcW w:w="6804" w:type="dxa"/>
            <w:gridSpan w:val="2"/>
            <w:tcBorders>
              <w:top w:val="single" w:sz="4" w:space="0" w:color="000000"/>
              <w:bottom w:val="single" w:sz="4" w:space="0" w:color="000000"/>
            </w:tcBorders>
          </w:tcPr>
          <w:p w14:paraId="7C321801" w14:textId="10FE90C2" w:rsidR="00E370F7" w:rsidRDefault="002E4DF7" w:rsidP="00B67E72">
            <w:pPr>
              <w:pStyle w:val="TableParagraph"/>
              <w:spacing w:before="70" w:line="227" w:lineRule="exact"/>
              <w:ind w:left="111" w:right="144"/>
              <w:jc w:val="both"/>
              <w:rPr>
                <w:sz w:val="20"/>
              </w:rPr>
            </w:pPr>
            <w:r w:rsidRPr="002E4DF7">
              <w:rPr>
                <w:sz w:val="20"/>
              </w:rPr>
              <w:t>The result indicated that 14 (35%) of our patients had ulcerative colitis, and 26 (65%) had Crohn's disease while 34 (85%) of them were inactive. Four (4%) of studied patients had pancolitis, and 18 (45%) of the studied cases had ileal lesions.</w:t>
            </w:r>
          </w:p>
        </w:tc>
        <w:tc>
          <w:tcPr>
            <w:tcW w:w="708" w:type="dxa"/>
            <w:tcBorders>
              <w:top w:val="single" w:sz="4" w:space="0" w:color="000000"/>
              <w:bottom w:val="single" w:sz="4" w:space="0" w:color="000000"/>
            </w:tcBorders>
          </w:tcPr>
          <w:p w14:paraId="074AF7E7" w14:textId="56205ECE" w:rsidR="00E370F7" w:rsidRDefault="00B67E72" w:rsidP="00B67E72">
            <w:pPr>
              <w:pStyle w:val="TableParagraph"/>
              <w:ind w:left="111"/>
              <w:rPr>
                <w:sz w:val="20"/>
              </w:rPr>
            </w:pPr>
            <w:r>
              <w:rPr>
                <w:sz w:val="20"/>
              </w:rPr>
              <w:t xml:space="preserve">   </w:t>
            </w:r>
            <w:r w:rsidR="002D7816">
              <w:rPr>
                <w:sz w:val="20"/>
              </w:rPr>
              <w:t>5</w:t>
            </w:r>
          </w:p>
        </w:tc>
      </w:tr>
      <w:tr w:rsidR="00E370F7" w14:paraId="614772E6" w14:textId="5D9E715F" w:rsidTr="003A58DA">
        <w:trPr>
          <w:trHeight w:val="311"/>
        </w:trPr>
        <w:tc>
          <w:tcPr>
            <w:tcW w:w="1873" w:type="dxa"/>
            <w:gridSpan w:val="2"/>
            <w:tcBorders>
              <w:top w:val="single" w:sz="4" w:space="0" w:color="000000"/>
            </w:tcBorders>
          </w:tcPr>
          <w:p w14:paraId="3D038450" w14:textId="77777777" w:rsidR="00E370F7" w:rsidRDefault="00E370F7" w:rsidP="00506B72">
            <w:pPr>
              <w:pStyle w:val="TableParagraph"/>
              <w:spacing w:line="227" w:lineRule="exact"/>
              <w:ind w:left="107"/>
              <w:rPr>
                <w:sz w:val="20"/>
              </w:rPr>
            </w:pPr>
            <w:r>
              <w:rPr>
                <w:sz w:val="20"/>
              </w:rPr>
              <w:t>Outcome data</w:t>
            </w:r>
          </w:p>
        </w:tc>
        <w:tc>
          <w:tcPr>
            <w:tcW w:w="709" w:type="dxa"/>
            <w:tcBorders>
              <w:top w:val="single" w:sz="4" w:space="0" w:color="000000"/>
            </w:tcBorders>
          </w:tcPr>
          <w:p w14:paraId="214DF822" w14:textId="179EB399" w:rsidR="00E370F7" w:rsidRDefault="00E370F7" w:rsidP="00506B72">
            <w:pPr>
              <w:pStyle w:val="TableParagraph"/>
              <w:spacing w:line="227" w:lineRule="exact"/>
              <w:ind w:left="115"/>
              <w:rPr>
                <w:sz w:val="20"/>
              </w:rPr>
            </w:pPr>
            <w:r>
              <w:rPr>
                <w:sz w:val="20"/>
              </w:rPr>
              <w:t>15*</w:t>
            </w:r>
          </w:p>
        </w:tc>
        <w:tc>
          <w:tcPr>
            <w:tcW w:w="6804" w:type="dxa"/>
            <w:gridSpan w:val="2"/>
            <w:tcBorders>
              <w:top w:val="single" w:sz="4" w:space="0" w:color="000000"/>
              <w:bottom w:val="single" w:sz="4" w:space="0" w:color="000000"/>
            </w:tcBorders>
          </w:tcPr>
          <w:p w14:paraId="1E669AA5" w14:textId="3FC64660" w:rsidR="00E370F7" w:rsidRDefault="002E4DF7" w:rsidP="00B67E72">
            <w:pPr>
              <w:pStyle w:val="TableParagraph"/>
              <w:spacing w:before="70" w:line="227" w:lineRule="exact"/>
              <w:ind w:left="111" w:right="144"/>
              <w:jc w:val="both"/>
              <w:rPr>
                <w:sz w:val="20"/>
              </w:rPr>
            </w:pPr>
            <w:r>
              <w:rPr>
                <w:sz w:val="20"/>
              </w:rPr>
              <w:t>B</w:t>
            </w:r>
            <w:r w:rsidRPr="002E4DF7">
              <w:rPr>
                <w:sz w:val="20"/>
              </w:rPr>
              <w:t>owel ultrasound appeared to be a good predictor for detection of ileal affection with sensitivity, specificity, and diagnostic accuracy of 93.8%, 50%, and 85%, respectively. With respect to the large bowel, bowel ultrasound detected large bowel affection with sensitivity, specificity, and accuracy of 37.5%, 91.7%, and 70%, respectively. Also, bowel ultrasound was a good predictor for detection of thickness of affected segment with sensitivity, specificity, and accuracy of 83.3%, 50%, and 60% respectively. Also, bowel ultrasound was a good predictor for detection of fistulous track with sensitivity, specificity, and accuracy of 85.7%, 100%, and 95%, respectively, while sensitivity, specificity, and accuracy of 100%, 94.4%, and 95%, respectively, for detection of stricture and proximal dilatation were found. Abscess was detected by bowel ultrasound in six patients with high specificity, sensitivity, and accuracy (100%). Also, bowel ultrasound showed that no statistically significant differences between bowel ultrasound and disease activity index, which indicates that bowel ultrasound can differentiate between remission and active disease.</w:t>
            </w:r>
          </w:p>
        </w:tc>
        <w:tc>
          <w:tcPr>
            <w:tcW w:w="708" w:type="dxa"/>
            <w:tcBorders>
              <w:top w:val="single" w:sz="4" w:space="0" w:color="000000"/>
              <w:bottom w:val="single" w:sz="4" w:space="0" w:color="000000"/>
            </w:tcBorders>
          </w:tcPr>
          <w:p w14:paraId="2270434F" w14:textId="2E2B62B1" w:rsidR="00E370F7" w:rsidRDefault="00B67E72" w:rsidP="00B67E72">
            <w:pPr>
              <w:pStyle w:val="TableParagraph"/>
              <w:spacing w:line="227" w:lineRule="exact"/>
              <w:ind w:left="111"/>
              <w:rPr>
                <w:i/>
                <w:sz w:val="20"/>
              </w:rPr>
            </w:pPr>
            <w:r>
              <w:rPr>
                <w:i/>
                <w:sz w:val="20"/>
              </w:rPr>
              <w:t xml:space="preserve">   </w:t>
            </w:r>
            <w:r w:rsidR="002D7816">
              <w:rPr>
                <w:i/>
                <w:sz w:val="20"/>
              </w:rPr>
              <w:t>5</w:t>
            </w:r>
          </w:p>
        </w:tc>
      </w:tr>
      <w:tr w:rsidR="00E370F7" w14:paraId="2A5009A7" w14:textId="155CD33E" w:rsidTr="00B67E72">
        <w:trPr>
          <w:trHeight w:val="758"/>
        </w:trPr>
        <w:tc>
          <w:tcPr>
            <w:tcW w:w="1873" w:type="dxa"/>
            <w:gridSpan w:val="2"/>
            <w:tcBorders>
              <w:top w:val="single" w:sz="4" w:space="0" w:color="000000"/>
            </w:tcBorders>
          </w:tcPr>
          <w:p w14:paraId="6B385951" w14:textId="77777777" w:rsidR="00E370F7" w:rsidRDefault="00E370F7" w:rsidP="00506B72">
            <w:pPr>
              <w:pStyle w:val="TableParagraph"/>
              <w:ind w:left="107"/>
              <w:rPr>
                <w:sz w:val="20"/>
              </w:rPr>
            </w:pPr>
            <w:r>
              <w:rPr>
                <w:sz w:val="20"/>
              </w:rPr>
              <w:t>Main results</w:t>
            </w:r>
          </w:p>
        </w:tc>
        <w:tc>
          <w:tcPr>
            <w:tcW w:w="709" w:type="dxa"/>
            <w:tcBorders>
              <w:top w:val="single" w:sz="4" w:space="0" w:color="000000"/>
            </w:tcBorders>
          </w:tcPr>
          <w:p w14:paraId="362D7B2B" w14:textId="3E5CB373" w:rsidR="00E370F7" w:rsidRDefault="00E370F7" w:rsidP="00506B72">
            <w:pPr>
              <w:pStyle w:val="TableParagraph"/>
              <w:ind w:left="165"/>
              <w:rPr>
                <w:sz w:val="20"/>
              </w:rPr>
            </w:pPr>
            <w:r>
              <w:rPr>
                <w:sz w:val="20"/>
              </w:rPr>
              <w:t>16</w:t>
            </w:r>
          </w:p>
        </w:tc>
        <w:tc>
          <w:tcPr>
            <w:tcW w:w="6804" w:type="dxa"/>
            <w:gridSpan w:val="2"/>
            <w:tcBorders>
              <w:top w:val="single" w:sz="4" w:space="0" w:color="000000"/>
              <w:bottom w:val="single" w:sz="4" w:space="0" w:color="000000"/>
            </w:tcBorders>
          </w:tcPr>
          <w:p w14:paraId="595844B0" w14:textId="7F6B7ACB" w:rsidR="00E370F7" w:rsidRDefault="002E4DF7" w:rsidP="00B67E72">
            <w:pPr>
              <w:pStyle w:val="TableParagraph"/>
              <w:spacing w:before="70" w:line="227" w:lineRule="exact"/>
              <w:ind w:left="111" w:right="144"/>
              <w:jc w:val="both"/>
              <w:rPr>
                <w:sz w:val="20"/>
              </w:rPr>
            </w:pPr>
            <w:r>
              <w:rPr>
                <w:sz w:val="20"/>
              </w:rPr>
              <w:t>N</w:t>
            </w:r>
            <w:r w:rsidRPr="002E4DF7">
              <w:rPr>
                <w:sz w:val="20"/>
              </w:rPr>
              <w:t>o statistically significant difference among bowel ultrasound, MRE, and colonoscopy for detection of activity of the disease was noted, indicating that bowel ultrasound and MRE can differentiate between remission and active IBD.</w:t>
            </w:r>
          </w:p>
        </w:tc>
        <w:tc>
          <w:tcPr>
            <w:tcW w:w="708" w:type="dxa"/>
            <w:tcBorders>
              <w:top w:val="single" w:sz="4" w:space="0" w:color="000000"/>
              <w:bottom w:val="single" w:sz="4" w:space="0" w:color="000000"/>
            </w:tcBorders>
          </w:tcPr>
          <w:p w14:paraId="2520A7F6" w14:textId="2221C04B" w:rsidR="00E370F7" w:rsidRDefault="00B67E72" w:rsidP="00B67E72">
            <w:pPr>
              <w:pStyle w:val="TableParagraph"/>
              <w:spacing w:before="0" w:line="300" w:lineRule="exact"/>
              <w:ind w:left="111"/>
              <w:rPr>
                <w:sz w:val="20"/>
              </w:rPr>
            </w:pPr>
            <w:r>
              <w:rPr>
                <w:sz w:val="20"/>
              </w:rPr>
              <w:t xml:space="preserve">   </w:t>
            </w:r>
            <w:r w:rsidR="002D7816">
              <w:rPr>
                <w:sz w:val="20"/>
              </w:rPr>
              <w:t>5</w:t>
            </w:r>
          </w:p>
        </w:tc>
      </w:tr>
      <w:tr w:rsidR="00E370F7" w14:paraId="62DD0988" w14:textId="2CF1A7A6" w:rsidTr="003A58DA">
        <w:trPr>
          <w:trHeight w:val="624"/>
        </w:trPr>
        <w:tc>
          <w:tcPr>
            <w:tcW w:w="1873" w:type="dxa"/>
            <w:gridSpan w:val="2"/>
            <w:tcBorders>
              <w:top w:val="single" w:sz="4" w:space="0" w:color="000000"/>
              <w:bottom w:val="single" w:sz="4" w:space="0" w:color="000000"/>
            </w:tcBorders>
          </w:tcPr>
          <w:p w14:paraId="4385B7B2" w14:textId="77777777" w:rsidR="00E370F7" w:rsidRDefault="00E370F7" w:rsidP="00506B72">
            <w:pPr>
              <w:pStyle w:val="TableParagraph"/>
              <w:spacing w:before="52"/>
              <w:ind w:left="107"/>
              <w:rPr>
                <w:sz w:val="20"/>
              </w:rPr>
            </w:pPr>
            <w:r>
              <w:rPr>
                <w:sz w:val="20"/>
              </w:rPr>
              <w:t>Other analyses</w:t>
            </w:r>
          </w:p>
        </w:tc>
        <w:tc>
          <w:tcPr>
            <w:tcW w:w="709" w:type="dxa"/>
            <w:tcBorders>
              <w:top w:val="single" w:sz="4" w:space="0" w:color="000000"/>
              <w:bottom w:val="single" w:sz="4" w:space="0" w:color="000000"/>
            </w:tcBorders>
          </w:tcPr>
          <w:p w14:paraId="7FAC9C81" w14:textId="055D0578" w:rsidR="00E370F7" w:rsidRDefault="00E370F7" w:rsidP="00506B72">
            <w:pPr>
              <w:pStyle w:val="TableParagraph"/>
              <w:spacing w:before="52"/>
              <w:ind w:left="165"/>
              <w:rPr>
                <w:sz w:val="20"/>
              </w:rPr>
            </w:pPr>
            <w:r>
              <w:rPr>
                <w:sz w:val="20"/>
              </w:rPr>
              <w:t>17</w:t>
            </w:r>
          </w:p>
        </w:tc>
        <w:tc>
          <w:tcPr>
            <w:tcW w:w="6804" w:type="dxa"/>
            <w:gridSpan w:val="2"/>
            <w:tcBorders>
              <w:top w:val="single" w:sz="4" w:space="0" w:color="000000"/>
              <w:bottom w:val="single" w:sz="4" w:space="0" w:color="000000"/>
            </w:tcBorders>
          </w:tcPr>
          <w:p w14:paraId="704003C1" w14:textId="1E2CC1FE" w:rsidR="00E370F7" w:rsidRDefault="002D7816" w:rsidP="00B67E72">
            <w:pPr>
              <w:pStyle w:val="TableParagraph"/>
              <w:spacing w:before="70" w:line="227" w:lineRule="exact"/>
              <w:ind w:left="111" w:right="144"/>
              <w:jc w:val="both"/>
              <w:rPr>
                <w:sz w:val="20"/>
              </w:rPr>
            </w:pPr>
            <w:r>
              <w:rPr>
                <w:sz w:val="20"/>
              </w:rPr>
              <w:t>Comparison</w:t>
            </w:r>
            <w:r w:rsidRPr="002D7816">
              <w:rPr>
                <w:sz w:val="20"/>
              </w:rPr>
              <w:t xml:space="preserve"> between clinical symptoms and imaging modalities bowel ultrasound and MRE</w:t>
            </w:r>
            <w:r w:rsidR="007A3E28">
              <w:rPr>
                <w:sz w:val="20"/>
              </w:rPr>
              <w:t xml:space="preserve"> revealed</w:t>
            </w:r>
            <w:r w:rsidRPr="002D7816">
              <w:rPr>
                <w:sz w:val="20"/>
              </w:rPr>
              <w:t xml:space="preserve"> that bleeding per rectum is statistically significant in patients with strictures and proximal dilatation during assessment by bowel ultrasound, while diarrhea is statistically significant to the extent of the lesions when assessed by MRE.</w:t>
            </w:r>
          </w:p>
        </w:tc>
        <w:tc>
          <w:tcPr>
            <w:tcW w:w="708" w:type="dxa"/>
            <w:tcBorders>
              <w:top w:val="single" w:sz="4" w:space="0" w:color="000000"/>
              <w:bottom w:val="single" w:sz="4" w:space="0" w:color="000000"/>
            </w:tcBorders>
          </w:tcPr>
          <w:p w14:paraId="4DB943A6" w14:textId="228FB5BE" w:rsidR="00E370F7" w:rsidRDefault="00B67E72" w:rsidP="00B67E72">
            <w:pPr>
              <w:pStyle w:val="TableParagraph"/>
              <w:spacing w:before="52"/>
              <w:ind w:left="111"/>
              <w:rPr>
                <w:sz w:val="20"/>
              </w:rPr>
            </w:pPr>
            <w:r>
              <w:rPr>
                <w:sz w:val="20"/>
              </w:rPr>
              <w:t xml:space="preserve">   </w:t>
            </w:r>
            <w:r w:rsidR="002D7816">
              <w:rPr>
                <w:sz w:val="20"/>
              </w:rPr>
              <w:t>6</w:t>
            </w:r>
          </w:p>
        </w:tc>
      </w:tr>
      <w:tr w:rsidR="00E370F7" w14:paraId="1A780EF0" w14:textId="576527EC" w:rsidTr="00B67E72">
        <w:trPr>
          <w:trHeight w:val="191"/>
        </w:trPr>
        <w:tc>
          <w:tcPr>
            <w:tcW w:w="1873" w:type="dxa"/>
            <w:gridSpan w:val="2"/>
            <w:tcBorders>
              <w:top w:val="single" w:sz="4" w:space="0" w:color="000000"/>
              <w:bottom w:val="single" w:sz="4" w:space="0" w:color="000000"/>
            </w:tcBorders>
          </w:tcPr>
          <w:p w14:paraId="54C3A183" w14:textId="77777777" w:rsidR="00E370F7" w:rsidRDefault="00E370F7" w:rsidP="00506B72">
            <w:pPr>
              <w:pStyle w:val="TableParagraph"/>
              <w:spacing w:before="120" w:line="210" w:lineRule="exact"/>
              <w:ind w:left="107"/>
              <w:rPr>
                <w:b/>
                <w:sz w:val="20"/>
              </w:rPr>
            </w:pPr>
            <w:r>
              <w:rPr>
                <w:b/>
                <w:sz w:val="20"/>
              </w:rPr>
              <w:t>Discussion</w:t>
            </w:r>
          </w:p>
        </w:tc>
        <w:tc>
          <w:tcPr>
            <w:tcW w:w="709" w:type="dxa"/>
            <w:tcBorders>
              <w:top w:val="single" w:sz="4" w:space="0" w:color="000000"/>
              <w:bottom w:val="single" w:sz="4" w:space="0" w:color="000000"/>
            </w:tcBorders>
          </w:tcPr>
          <w:p w14:paraId="562143D9" w14:textId="77777777" w:rsidR="00E370F7" w:rsidRDefault="00E370F7" w:rsidP="00506B72">
            <w:pPr>
              <w:pStyle w:val="TableParagraph"/>
              <w:spacing w:before="0"/>
              <w:rPr>
                <w:sz w:val="18"/>
              </w:rPr>
            </w:pPr>
          </w:p>
        </w:tc>
        <w:tc>
          <w:tcPr>
            <w:tcW w:w="6804" w:type="dxa"/>
            <w:gridSpan w:val="2"/>
            <w:tcBorders>
              <w:top w:val="single" w:sz="4" w:space="0" w:color="000000"/>
              <w:bottom w:val="single" w:sz="4" w:space="0" w:color="000000"/>
            </w:tcBorders>
          </w:tcPr>
          <w:p w14:paraId="652368CB" w14:textId="77777777" w:rsidR="00E370F7" w:rsidRDefault="00E370F7" w:rsidP="00E50C5F">
            <w:pPr>
              <w:pStyle w:val="TableParagraph"/>
              <w:spacing w:before="0"/>
              <w:jc w:val="both"/>
              <w:rPr>
                <w:sz w:val="18"/>
              </w:rPr>
            </w:pPr>
          </w:p>
        </w:tc>
        <w:tc>
          <w:tcPr>
            <w:tcW w:w="708" w:type="dxa"/>
            <w:tcBorders>
              <w:top w:val="single" w:sz="4" w:space="0" w:color="000000"/>
              <w:bottom w:val="single" w:sz="4" w:space="0" w:color="000000"/>
            </w:tcBorders>
          </w:tcPr>
          <w:p w14:paraId="5EB962CC" w14:textId="77777777" w:rsidR="00E370F7" w:rsidRDefault="00E370F7" w:rsidP="00B67E72">
            <w:pPr>
              <w:pStyle w:val="TableParagraph"/>
              <w:spacing w:before="0"/>
              <w:jc w:val="center"/>
              <w:rPr>
                <w:sz w:val="18"/>
              </w:rPr>
            </w:pPr>
          </w:p>
        </w:tc>
      </w:tr>
      <w:tr w:rsidR="00E370F7" w14:paraId="0EDDE4CE" w14:textId="091012B1" w:rsidTr="003A58DA">
        <w:trPr>
          <w:trHeight w:val="313"/>
        </w:trPr>
        <w:tc>
          <w:tcPr>
            <w:tcW w:w="1873" w:type="dxa"/>
            <w:gridSpan w:val="2"/>
            <w:tcBorders>
              <w:top w:val="single" w:sz="4" w:space="0" w:color="000000"/>
              <w:bottom w:val="single" w:sz="4" w:space="0" w:color="000000"/>
            </w:tcBorders>
          </w:tcPr>
          <w:p w14:paraId="0AE1C2D7" w14:textId="77777777" w:rsidR="00E370F7" w:rsidRDefault="00E370F7" w:rsidP="00506B72">
            <w:pPr>
              <w:pStyle w:val="TableParagraph"/>
              <w:spacing w:before="55" w:line="227" w:lineRule="exact"/>
              <w:ind w:left="107"/>
              <w:rPr>
                <w:sz w:val="20"/>
              </w:rPr>
            </w:pPr>
            <w:r>
              <w:rPr>
                <w:sz w:val="20"/>
              </w:rPr>
              <w:t>Key results</w:t>
            </w:r>
          </w:p>
        </w:tc>
        <w:tc>
          <w:tcPr>
            <w:tcW w:w="709" w:type="dxa"/>
            <w:tcBorders>
              <w:top w:val="single" w:sz="4" w:space="0" w:color="000000"/>
              <w:bottom w:val="single" w:sz="4" w:space="0" w:color="000000"/>
            </w:tcBorders>
          </w:tcPr>
          <w:p w14:paraId="62DF7102" w14:textId="5CA77308" w:rsidR="00E370F7" w:rsidRDefault="00E370F7" w:rsidP="00506B72">
            <w:pPr>
              <w:pStyle w:val="TableParagraph"/>
              <w:spacing w:before="55" w:line="227" w:lineRule="exact"/>
              <w:ind w:left="165"/>
              <w:rPr>
                <w:sz w:val="20"/>
              </w:rPr>
            </w:pPr>
            <w:r>
              <w:rPr>
                <w:sz w:val="20"/>
              </w:rPr>
              <w:t>18</w:t>
            </w:r>
          </w:p>
        </w:tc>
        <w:tc>
          <w:tcPr>
            <w:tcW w:w="6804" w:type="dxa"/>
            <w:gridSpan w:val="2"/>
            <w:tcBorders>
              <w:top w:val="single" w:sz="4" w:space="0" w:color="000000"/>
              <w:bottom w:val="single" w:sz="4" w:space="0" w:color="000000"/>
            </w:tcBorders>
          </w:tcPr>
          <w:p w14:paraId="1B22532F" w14:textId="653B2859" w:rsidR="00E370F7" w:rsidRDefault="00657728" w:rsidP="00B67E72">
            <w:pPr>
              <w:pStyle w:val="TableParagraph"/>
              <w:spacing w:before="70" w:line="227" w:lineRule="exact"/>
              <w:ind w:left="111" w:right="144"/>
              <w:jc w:val="both"/>
              <w:rPr>
                <w:sz w:val="20"/>
              </w:rPr>
            </w:pPr>
            <w:r w:rsidRPr="00657728">
              <w:rPr>
                <w:sz w:val="20"/>
              </w:rPr>
              <w:t>Our results showed similar sensitivity for detection of ileal IBD. Regarding colonic IBD, our results showed lower sensitivity than observed in this previous study (81.8%) but with similar specificity (95.3%)</w:t>
            </w:r>
            <w:r>
              <w:rPr>
                <w:sz w:val="20"/>
              </w:rPr>
              <w:t xml:space="preserve">. </w:t>
            </w:r>
            <w:r w:rsidRPr="00657728">
              <w:rPr>
                <w:sz w:val="20"/>
              </w:rPr>
              <w:t>A bowel wall thickness cutoff value of 3 mm in our study showed sensitivity (83.3%), specificity (50%), and accuracy (60%) in comparison to other studies</w:t>
            </w:r>
            <w:r>
              <w:rPr>
                <w:sz w:val="20"/>
              </w:rPr>
              <w:t xml:space="preserve">. </w:t>
            </w:r>
            <w:r w:rsidRPr="00657728">
              <w:rPr>
                <w:sz w:val="20"/>
              </w:rPr>
              <w:t>Mesenteric lymph nodes detected by bowel ultrasound in our study were non-sensitive and non-</w:t>
            </w:r>
            <w:proofErr w:type="gramStart"/>
            <w:r w:rsidRPr="00657728">
              <w:rPr>
                <w:sz w:val="20"/>
              </w:rPr>
              <w:t xml:space="preserve">specific </w:t>
            </w:r>
            <w:r>
              <w:rPr>
                <w:sz w:val="20"/>
              </w:rPr>
              <w:t>.</w:t>
            </w:r>
            <w:proofErr w:type="gramEnd"/>
            <w:r>
              <w:rPr>
                <w:sz w:val="20"/>
              </w:rPr>
              <w:t xml:space="preserve"> </w:t>
            </w:r>
            <w:r w:rsidRPr="00657728">
              <w:rPr>
                <w:sz w:val="20"/>
              </w:rPr>
              <w:t>Our study agreed with different trials in which it was shown that detection rate of fistulas, depending on their localization, had sensitivity between 67% and 82% and specificity between 90% and 100</w:t>
            </w:r>
            <w:proofErr w:type="gramStart"/>
            <w:r w:rsidRPr="00657728">
              <w:rPr>
                <w:sz w:val="20"/>
              </w:rPr>
              <w:t xml:space="preserve">% </w:t>
            </w:r>
            <w:r>
              <w:rPr>
                <w:sz w:val="20"/>
              </w:rPr>
              <w:t>.</w:t>
            </w:r>
            <w:proofErr w:type="gramEnd"/>
            <w:r>
              <w:rPr>
                <w:sz w:val="20"/>
              </w:rPr>
              <w:t xml:space="preserve"> </w:t>
            </w:r>
            <w:r w:rsidRPr="00657728">
              <w:rPr>
                <w:sz w:val="20"/>
              </w:rPr>
              <w:t>Stricture in our study as detected by bowel ultrasound showed sensitivity, specificity, and accuracy (100%, 94.4%, and 95%, respectively)</w:t>
            </w:r>
            <w:r w:rsidR="00B67E72">
              <w:rPr>
                <w:sz w:val="20"/>
              </w:rPr>
              <w:t xml:space="preserve">. </w:t>
            </w:r>
            <w:r w:rsidRPr="00657728">
              <w:rPr>
                <w:sz w:val="20"/>
              </w:rPr>
              <w:t>The sensitivity for detecting abscesses in different studies varied between 80% and 100%, and specificity varied between 92% and 94%, which were similar results to ours.</w:t>
            </w:r>
          </w:p>
        </w:tc>
        <w:tc>
          <w:tcPr>
            <w:tcW w:w="708" w:type="dxa"/>
            <w:tcBorders>
              <w:top w:val="single" w:sz="4" w:space="0" w:color="000000"/>
              <w:bottom w:val="single" w:sz="4" w:space="0" w:color="000000"/>
            </w:tcBorders>
          </w:tcPr>
          <w:p w14:paraId="48A9B6F7" w14:textId="5F6A9ED7" w:rsidR="00E370F7" w:rsidRDefault="00B67E72" w:rsidP="00B67E72">
            <w:pPr>
              <w:pStyle w:val="TableParagraph"/>
              <w:spacing w:before="55" w:line="227" w:lineRule="exact"/>
              <w:ind w:left="111"/>
              <w:rPr>
                <w:sz w:val="20"/>
              </w:rPr>
            </w:pPr>
            <w:r>
              <w:rPr>
                <w:sz w:val="20"/>
              </w:rPr>
              <w:t xml:space="preserve">    </w:t>
            </w:r>
            <w:r w:rsidR="00F436E6">
              <w:rPr>
                <w:sz w:val="20"/>
              </w:rPr>
              <w:t>7</w:t>
            </w:r>
          </w:p>
        </w:tc>
      </w:tr>
      <w:tr w:rsidR="00E370F7" w14:paraId="027AD15F" w14:textId="31DCF115" w:rsidTr="003A58DA">
        <w:trPr>
          <w:trHeight w:val="625"/>
        </w:trPr>
        <w:tc>
          <w:tcPr>
            <w:tcW w:w="1873" w:type="dxa"/>
            <w:gridSpan w:val="2"/>
            <w:tcBorders>
              <w:top w:val="single" w:sz="4" w:space="0" w:color="000000"/>
              <w:bottom w:val="single" w:sz="4" w:space="0" w:color="000000"/>
            </w:tcBorders>
          </w:tcPr>
          <w:p w14:paraId="719F652F" w14:textId="77777777" w:rsidR="00E370F7" w:rsidRDefault="00E370F7" w:rsidP="00506B72">
            <w:pPr>
              <w:pStyle w:val="TableParagraph"/>
              <w:ind w:left="107"/>
              <w:rPr>
                <w:sz w:val="20"/>
              </w:rPr>
            </w:pPr>
            <w:r>
              <w:rPr>
                <w:sz w:val="20"/>
              </w:rPr>
              <w:t>Limitations</w:t>
            </w:r>
          </w:p>
        </w:tc>
        <w:tc>
          <w:tcPr>
            <w:tcW w:w="709" w:type="dxa"/>
            <w:tcBorders>
              <w:top w:val="single" w:sz="4" w:space="0" w:color="000000"/>
              <w:bottom w:val="single" w:sz="4" w:space="0" w:color="000000"/>
            </w:tcBorders>
          </w:tcPr>
          <w:p w14:paraId="4AAEE4BC" w14:textId="1EF4DAB7" w:rsidR="00E370F7" w:rsidRDefault="00E370F7" w:rsidP="00506B72">
            <w:pPr>
              <w:pStyle w:val="TableParagraph"/>
              <w:ind w:left="165"/>
              <w:rPr>
                <w:sz w:val="20"/>
              </w:rPr>
            </w:pPr>
            <w:r>
              <w:rPr>
                <w:sz w:val="20"/>
              </w:rPr>
              <w:t>19</w:t>
            </w:r>
          </w:p>
        </w:tc>
        <w:tc>
          <w:tcPr>
            <w:tcW w:w="6804" w:type="dxa"/>
            <w:gridSpan w:val="2"/>
            <w:tcBorders>
              <w:top w:val="single" w:sz="4" w:space="0" w:color="000000"/>
              <w:bottom w:val="single" w:sz="4" w:space="0" w:color="000000"/>
            </w:tcBorders>
          </w:tcPr>
          <w:p w14:paraId="78B2E7FD" w14:textId="5FBA6F7A" w:rsidR="00E370F7" w:rsidRDefault="007A3E28" w:rsidP="00B67E72">
            <w:pPr>
              <w:pStyle w:val="TableParagraph"/>
              <w:spacing w:before="70" w:line="227" w:lineRule="exact"/>
              <w:ind w:left="111" w:right="144"/>
              <w:jc w:val="both"/>
              <w:rPr>
                <w:sz w:val="20"/>
              </w:rPr>
            </w:pPr>
            <w:r w:rsidRPr="007A3E28">
              <w:rPr>
                <w:sz w:val="20"/>
              </w:rPr>
              <w:t>Limitations of our study were the relatively small number of included patients, and comparative assessments of clinical decisions with and without bowel ultrasound were not available.</w:t>
            </w:r>
          </w:p>
        </w:tc>
        <w:tc>
          <w:tcPr>
            <w:tcW w:w="708" w:type="dxa"/>
            <w:tcBorders>
              <w:top w:val="single" w:sz="4" w:space="0" w:color="000000"/>
              <w:bottom w:val="single" w:sz="4" w:space="0" w:color="000000"/>
            </w:tcBorders>
          </w:tcPr>
          <w:p w14:paraId="041973D2" w14:textId="03F1AEB9" w:rsidR="00E370F7" w:rsidRDefault="00B67E72" w:rsidP="00B67E72">
            <w:pPr>
              <w:pStyle w:val="TableParagraph"/>
              <w:ind w:left="111"/>
              <w:rPr>
                <w:sz w:val="20"/>
              </w:rPr>
            </w:pPr>
            <w:r>
              <w:rPr>
                <w:sz w:val="20"/>
              </w:rPr>
              <w:t xml:space="preserve">    </w:t>
            </w:r>
            <w:r w:rsidR="007A3E28">
              <w:rPr>
                <w:sz w:val="20"/>
              </w:rPr>
              <w:t>8</w:t>
            </w:r>
          </w:p>
        </w:tc>
      </w:tr>
      <w:tr w:rsidR="00E370F7" w14:paraId="37CFAE93" w14:textId="5F7CF3D0" w:rsidTr="003A58DA">
        <w:trPr>
          <w:trHeight w:val="624"/>
        </w:trPr>
        <w:tc>
          <w:tcPr>
            <w:tcW w:w="1873" w:type="dxa"/>
            <w:gridSpan w:val="2"/>
            <w:tcBorders>
              <w:top w:val="single" w:sz="4" w:space="0" w:color="000000"/>
              <w:bottom w:val="single" w:sz="4" w:space="0" w:color="000000"/>
            </w:tcBorders>
          </w:tcPr>
          <w:p w14:paraId="3CBED1C0" w14:textId="77777777" w:rsidR="00E370F7" w:rsidRDefault="00E370F7" w:rsidP="00506B72">
            <w:pPr>
              <w:pStyle w:val="TableParagraph"/>
              <w:ind w:left="107"/>
              <w:rPr>
                <w:sz w:val="20"/>
              </w:rPr>
            </w:pPr>
            <w:r>
              <w:rPr>
                <w:sz w:val="20"/>
              </w:rPr>
              <w:t>Interpretation</w:t>
            </w:r>
          </w:p>
        </w:tc>
        <w:tc>
          <w:tcPr>
            <w:tcW w:w="709" w:type="dxa"/>
            <w:tcBorders>
              <w:top w:val="single" w:sz="4" w:space="0" w:color="000000"/>
              <w:bottom w:val="single" w:sz="4" w:space="0" w:color="000000"/>
            </w:tcBorders>
          </w:tcPr>
          <w:p w14:paraId="6CA4EC58" w14:textId="32776C08" w:rsidR="00E370F7" w:rsidRDefault="00E370F7" w:rsidP="00506B72">
            <w:pPr>
              <w:pStyle w:val="TableParagraph"/>
              <w:ind w:left="165"/>
              <w:rPr>
                <w:sz w:val="20"/>
              </w:rPr>
            </w:pPr>
            <w:r>
              <w:rPr>
                <w:sz w:val="20"/>
              </w:rPr>
              <w:t>20</w:t>
            </w:r>
          </w:p>
        </w:tc>
        <w:tc>
          <w:tcPr>
            <w:tcW w:w="6804" w:type="dxa"/>
            <w:gridSpan w:val="2"/>
            <w:tcBorders>
              <w:top w:val="single" w:sz="4" w:space="0" w:color="000000"/>
              <w:bottom w:val="single" w:sz="4" w:space="0" w:color="000000"/>
            </w:tcBorders>
          </w:tcPr>
          <w:p w14:paraId="2557E3ED" w14:textId="12214ABD" w:rsidR="00E370F7" w:rsidRDefault="00F436E6" w:rsidP="00B67E72">
            <w:pPr>
              <w:pStyle w:val="TableParagraph"/>
              <w:spacing w:before="70" w:line="227" w:lineRule="exact"/>
              <w:ind w:left="111" w:right="144"/>
              <w:jc w:val="both"/>
              <w:rPr>
                <w:sz w:val="20"/>
              </w:rPr>
            </w:pPr>
            <w:r w:rsidRPr="00F436E6">
              <w:rPr>
                <w:sz w:val="20"/>
              </w:rPr>
              <w:t>In comparison to MRE and colonoscopy, bowel ultrasound is a useful non-invasive and feasible bedside imaging tool for the detection of inflammation, complications, as screening tool and follow-up of IBD patients when performed by the attending physician.</w:t>
            </w:r>
          </w:p>
        </w:tc>
        <w:tc>
          <w:tcPr>
            <w:tcW w:w="708" w:type="dxa"/>
            <w:tcBorders>
              <w:top w:val="single" w:sz="4" w:space="0" w:color="000000"/>
              <w:bottom w:val="single" w:sz="4" w:space="0" w:color="000000"/>
            </w:tcBorders>
          </w:tcPr>
          <w:p w14:paraId="57A25910" w14:textId="42CE714F" w:rsidR="00E370F7" w:rsidRDefault="00F436E6" w:rsidP="00B67E72">
            <w:pPr>
              <w:pStyle w:val="TableParagraph"/>
              <w:spacing w:before="0" w:line="300" w:lineRule="exact"/>
              <w:ind w:left="111" w:right="107"/>
              <w:jc w:val="center"/>
              <w:rPr>
                <w:sz w:val="20"/>
              </w:rPr>
            </w:pPr>
            <w:r>
              <w:rPr>
                <w:sz w:val="20"/>
              </w:rPr>
              <w:t>8</w:t>
            </w:r>
          </w:p>
        </w:tc>
      </w:tr>
      <w:tr w:rsidR="00E370F7" w14:paraId="23FEF9B6" w14:textId="0A3FA73D" w:rsidTr="003A58DA">
        <w:trPr>
          <w:trHeight w:val="311"/>
        </w:trPr>
        <w:tc>
          <w:tcPr>
            <w:tcW w:w="1873" w:type="dxa"/>
            <w:gridSpan w:val="2"/>
            <w:tcBorders>
              <w:top w:val="single" w:sz="4" w:space="0" w:color="000000"/>
              <w:bottom w:val="single" w:sz="4" w:space="0" w:color="000000"/>
            </w:tcBorders>
          </w:tcPr>
          <w:p w14:paraId="35690F13" w14:textId="77777777" w:rsidR="00E370F7" w:rsidRDefault="00E370F7" w:rsidP="00506B72">
            <w:pPr>
              <w:pStyle w:val="TableParagraph"/>
              <w:spacing w:before="52" w:line="227" w:lineRule="exact"/>
              <w:ind w:left="107"/>
              <w:rPr>
                <w:sz w:val="20"/>
              </w:rPr>
            </w:pPr>
            <w:proofErr w:type="spellStart"/>
            <w:r>
              <w:rPr>
                <w:sz w:val="20"/>
              </w:rPr>
              <w:t>Generalisability</w:t>
            </w:r>
            <w:proofErr w:type="spellEnd"/>
          </w:p>
        </w:tc>
        <w:tc>
          <w:tcPr>
            <w:tcW w:w="709" w:type="dxa"/>
            <w:tcBorders>
              <w:top w:val="single" w:sz="4" w:space="0" w:color="000000"/>
              <w:bottom w:val="single" w:sz="4" w:space="0" w:color="000000"/>
            </w:tcBorders>
          </w:tcPr>
          <w:p w14:paraId="762EB6AB" w14:textId="2A7848AC" w:rsidR="00E370F7" w:rsidRDefault="00E370F7" w:rsidP="00506B72">
            <w:pPr>
              <w:pStyle w:val="TableParagraph"/>
              <w:spacing w:before="52" w:line="227" w:lineRule="exact"/>
              <w:ind w:left="165"/>
              <w:rPr>
                <w:sz w:val="20"/>
              </w:rPr>
            </w:pPr>
            <w:r>
              <w:rPr>
                <w:sz w:val="20"/>
              </w:rPr>
              <w:t>21</w:t>
            </w:r>
          </w:p>
        </w:tc>
        <w:tc>
          <w:tcPr>
            <w:tcW w:w="6804" w:type="dxa"/>
            <w:gridSpan w:val="2"/>
            <w:tcBorders>
              <w:top w:val="single" w:sz="4" w:space="0" w:color="000000"/>
              <w:bottom w:val="single" w:sz="4" w:space="0" w:color="000000"/>
            </w:tcBorders>
          </w:tcPr>
          <w:p w14:paraId="66243446" w14:textId="77777777" w:rsidR="00E370F7" w:rsidRDefault="00E50C5F" w:rsidP="00B67E72">
            <w:pPr>
              <w:pStyle w:val="TableParagraph"/>
              <w:spacing w:before="70" w:line="227" w:lineRule="exact"/>
              <w:ind w:left="111" w:right="144"/>
              <w:jc w:val="both"/>
              <w:rPr>
                <w:sz w:val="20"/>
              </w:rPr>
            </w:pPr>
            <w:r w:rsidRPr="00E50C5F">
              <w:rPr>
                <w:sz w:val="20"/>
              </w:rPr>
              <w:t xml:space="preserve">This indicates that there is no clear gold standard for IBD diagnosis and any types of diagnostic modality, including endoscopy, MRE or bowel </w:t>
            </w:r>
            <w:proofErr w:type="gramStart"/>
            <w:r w:rsidRPr="00E50C5F">
              <w:rPr>
                <w:sz w:val="20"/>
              </w:rPr>
              <w:t>ultrasound  could</w:t>
            </w:r>
            <w:proofErr w:type="gramEnd"/>
            <w:r w:rsidRPr="00E50C5F">
              <w:rPr>
                <w:sz w:val="20"/>
              </w:rPr>
              <w:t xml:space="preserve"> be used besides clinical  history and biomarkers for diagnosis of IBD as agreed with previous studies</w:t>
            </w:r>
          </w:p>
          <w:p w14:paraId="22695672" w14:textId="77777777" w:rsidR="004A0E5E" w:rsidRDefault="004A0E5E" w:rsidP="00B67E72">
            <w:pPr>
              <w:pStyle w:val="TableParagraph"/>
              <w:spacing w:before="70" w:line="227" w:lineRule="exact"/>
              <w:ind w:left="111" w:right="144"/>
              <w:jc w:val="both"/>
              <w:rPr>
                <w:sz w:val="20"/>
              </w:rPr>
            </w:pPr>
          </w:p>
          <w:p w14:paraId="74C77C78" w14:textId="15F63C05" w:rsidR="004A0E5E" w:rsidRDefault="004A0E5E" w:rsidP="00B67E72">
            <w:pPr>
              <w:pStyle w:val="TableParagraph"/>
              <w:spacing w:before="70" w:line="227" w:lineRule="exact"/>
              <w:ind w:left="111" w:right="144"/>
              <w:jc w:val="both"/>
              <w:rPr>
                <w:sz w:val="20"/>
              </w:rPr>
            </w:pPr>
          </w:p>
        </w:tc>
        <w:tc>
          <w:tcPr>
            <w:tcW w:w="708" w:type="dxa"/>
            <w:tcBorders>
              <w:top w:val="single" w:sz="4" w:space="0" w:color="000000"/>
              <w:bottom w:val="single" w:sz="4" w:space="0" w:color="000000"/>
            </w:tcBorders>
          </w:tcPr>
          <w:p w14:paraId="46FF7C44" w14:textId="5CA43FCD" w:rsidR="00E370F7" w:rsidRDefault="00B67E72" w:rsidP="00B67E72">
            <w:pPr>
              <w:pStyle w:val="TableParagraph"/>
              <w:spacing w:before="52" w:line="227" w:lineRule="exact"/>
              <w:ind w:left="111"/>
              <w:rPr>
                <w:sz w:val="20"/>
              </w:rPr>
            </w:pPr>
            <w:r>
              <w:rPr>
                <w:sz w:val="20"/>
              </w:rPr>
              <w:t xml:space="preserve">    </w:t>
            </w:r>
            <w:r w:rsidR="00E50C5F">
              <w:rPr>
                <w:sz w:val="20"/>
              </w:rPr>
              <w:t>8</w:t>
            </w:r>
          </w:p>
        </w:tc>
      </w:tr>
      <w:tr w:rsidR="00E370F7" w14:paraId="33546479" w14:textId="524F23E1" w:rsidTr="003A58DA">
        <w:trPr>
          <w:trHeight w:val="364"/>
        </w:trPr>
        <w:tc>
          <w:tcPr>
            <w:tcW w:w="27" w:type="dxa"/>
            <w:tcBorders>
              <w:top w:val="single" w:sz="4" w:space="0" w:color="000000"/>
              <w:bottom w:val="single" w:sz="4" w:space="0" w:color="000000"/>
            </w:tcBorders>
          </w:tcPr>
          <w:p w14:paraId="30C7FD56" w14:textId="77777777" w:rsidR="00E370F7" w:rsidRDefault="00E370F7" w:rsidP="00506B72">
            <w:pPr>
              <w:pStyle w:val="TableParagraph"/>
              <w:spacing w:before="118" w:line="212" w:lineRule="exact"/>
              <w:ind w:left="107"/>
              <w:rPr>
                <w:b/>
                <w:sz w:val="20"/>
              </w:rPr>
            </w:pPr>
          </w:p>
        </w:tc>
        <w:tc>
          <w:tcPr>
            <w:tcW w:w="1846" w:type="dxa"/>
            <w:tcBorders>
              <w:top w:val="single" w:sz="4" w:space="0" w:color="000000"/>
              <w:bottom w:val="single" w:sz="4" w:space="0" w:color="000000"/>
            </w:tcBorders>
          </w:tcPr>
          <w:p w14:paraId="43347BC3" w14:textId="6388B930" w:rsidR="00E370F7" w:rsidRDefault="00E370F7" w:rsidP="00506B72">
            <w:pPr>
              <w:pStyle w:val="TableParagraph"/>
              <w:spacing w:before="118" w:line="212" w:lineRule="exact"/>
              <w:ind w:left="107"/>
              <w:rPr>
                <w:b/>
                <w:sz w:val="20"/>
              </w:rPr>
            </w:pPr>
            <w:r>
              <w:rPr>
                <w:b/>
                <w:sz w:val="20"/>
              </w:rPr>
              <w:t>Other information</w:t>
            </w:r>
          </w:p>
        </w:tc>
        <w:tc>
          <w:tcPr>
            <w:tcW w:w="8221" w:type="dxa"/>
            <w:gridSpan w:val="4"/>
            <w:tcBorders>
              <w:top w:val="single" w:sz="4" w:space="0" w:color="000000"/>
              <w:bottom w:val="single" w:sz="4" w:space="0" w:color="000000"/>
            </w:tcBorders>
          </w:tcPr>
          <w:p w14:paraId="41204D26" w14:textId="77777777" w:rsidR="00E370F7" w:rsidRDefault="00E370F7" w:rsidP="00B67E72">
            <w:pPr>
              <w:pStyle w:val="TableParagraph"/>
              <w:spacing w:before="118" w:line="212" w:lineRule="exact"/>
              <w:ind w:left="107"/>
              <w:jc w:val="center"/>
              <w:rPr>
                <w:b/>
                <w:sz w:val="20"/>
              </w:rPr>
            </w:pPr>
          </w:p>
        </w:tc>
      </w:tr>
      <w:tr w:rsidR="003A58DA" w14:paraId="6ED587E6" w14:textId="0F3C7F8D" w:rsidTr="003A58DA">
        <w:trPr>
          <w:trHeight w:val="607"/>
        </w:trPr>
        <w:tc>
          <w:tcPr>
            <w:tcW w:w="1873" w:type="dxa"/>
            <w:gridSpan w:val="2"/>
            <w:tcBorders>
              <w:top w:val="single" w:sz="4" w:space="0" w:color="000000"/>
            </w:tcBorders>
          </w:tcPr>
          <w:p w14:paraId="479F465B" w14:textId="77777777" w:rsidR="00E370F7" w:rsidRDefault="00E370F7" w:rsidP="00506B72">
            <w:pPr>
              <w:pStyle w:val="TableParagraph"/>
              <w:ind w:left="107"/>
              <w:rPr>
                <w:sz w:val="20"/>
              </w:rPr>
            </w:pPr>
            <w:r>
              <w:rPr>
                <w:sz w:val="20"/>
              </w:rPr>
              <w:t>Funding</w:t>
            </w:r>
          </w:p>
        </w:tc>
        <w:tc>
          <w:tcPr>
            <w:tcW w:w="709" w:type="dxa"/>
            <w:tcBorders>
              <w:top w:val="single" w:sz="4" w:space="0" w:color="000000"/>
            </w:tcBorders>
          </w:tcPr>
          <w:p w14:paraId="7EE88FD9" w14:textId="0F3543F4" w:rsidR="00E370F7" w:rsidRDefault="00E370F7" w:rsidP="00506B72">
            <w:pPr>
              <w:pStyle w:val="TableParagraph"/>
              <w:ind w:left="165"/>
              <w:rPr>
                <w:sz w:val="20"/>
              </w:rPr>
            </w:pPr>
            <w:r>
              <w:rPr>
                <w:sz w:val="20"/>
              </w:rPr>
              <w:t>22</w:t>
            </w:r>
          </w:p>
        </w:tc>
        <w:tc>
          <w:tcPr>
            <w:tcW w:w="303" w:type="dxa"/>
            <w:tcBorders>
              <w:top w:val="single" w:sz="4" w:space="0" w:color="000000"/>
            </w:tcBorders>
          </w:tcPr>
          <w:p w14:paraId="7BE73E0E" w14:textId="4F7CB996" w:rsidR="00E370F7" w:rsidRDefault="00E370F7" w:rsidP="00506B72">
            <w:pPr>
              <w:pStyle w:val="TableParagraph"/>
              <w:ind w:left="165"/>
              <w:rPr>
                <w:sz w:val="20"/>
              </w:rPr>
            </w:pPr>
          </w:p>
        </w:tc>
        <w:tc>
          <w:tcPr>
            <w:tcW w:w="6501" w:type="dxa"/>
            <w:tcBorders>
              <w:top w:val="single" w:sz="4" w:space="0" w:color="000000"/>
            </w:tcBorders>
          </w:tcPr>
          <w:p w14:paraId="6835B109" w14:textId="1E1DCCBA" w:rsidR="00E370F7" w:rsidRDefault="00E50C5F" w:rsidP="00E50C5F">
            <w:pPr>
              <w:pStyle w:val="TableParagraph"/>
              <w:spacing w:before="70" w:line="210" w:lineRule="exact"/>
              <w:ind w:left="111"/>
              <w:jc w:val="both"/>
              <w:rPr>
                <w:sz w:val="20"/>
              </w:rPr>
            </w:pPr>
            <w:r>
              <w:rPr>
                <w:sz w:val="20"/>
              </w:rPr>
              <w:t xml:space="preserve">No funding </w:t>
            </w:r>
          </w:p>
        </w:tc>
        <w:tc>
          <w:tcPr>
            <w:tcW w:w="708" w:type="dxa"/>
            <w:tcBorders>
              <w:top w:val="single" w:sz="4" w:space="0" w:color="000000"/>
            </w:tcBorders>
          </w:tcPr>
          <w:p w14:paraId="1EF60869" w14:textId="77777777" w:rsidR="00E370F7" w:rsidRDefault="00E370F7" w:rsidP="00B67E72">
            <w:pPr>
              <w:pStyle w:val="TableParagraph"/>
              <w:ind w:left="111"/>
              <w:jc w:val="center"/>
              <w:rPr>
                <w:sz w:val="20"/>
              </w:rPr>
            </w:pPr>
          </w:p>
        </w:tc>
      </w:tr>
    </w:tbl>
    <w:p w14:paraId="6889D3A3" w14:textId="77777777" w:rsidR="008A3100" w:rsidRDefault="00D70B07">
      <w:pPr>
        <w:pStyle w:val="BodyText"/>
        <w:spacing w:before="91" w:line="312" w:lineRule="auto"/>
        <w:ind w:left="212" w:right="1057"/>
      </w:pPr>
      <w:r>
        <w:t>*Give information separately for cases and controls in case-control studies and, if applicable, for exposed and unexposed groups in cohort and cross-sectional studies.</w:t>
      </w:r>
    </w:p>
    <w:p w14:paraId="42917BB7" w14:textId="77777777" w:rsidR="008A3100" w:rsidRDefault="00D70B07">
      <w:pPr>
        <w:pStyle w:val="BodyText"/>
        <w:spacing w:line="314" w:lineRule="auto"/>
        <w:ind w:left="212" w:right="279"/>
      </w:pPr>
      <w:r>
        <w:rPr>
          <w:b/>
        </w:rPr>
        <w:t xml:space="preserve">Note: </w:t>
      </w:r>
      <w:r>
        <w:t xml:space="preserve">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t>PLoS</w:t>
      </w:r>
      <w:proofErr w:type="spellEnd"/>
      <w:r>
        <w:t xml:space="preserve"> Medicine at </w:t>
      </w:r>
      <w:hyperlink r:id="rId7">
        <w:r>
          <w:t xml:space="preserve">http://www.plosmedicine.org/, </w:t>
        </w:r>
      </w:hyperlink>
      <w:r>
        <w:t xml:space="preserve">Annals of Internal Medicine at </w:t>
      </w:r>
      <w:hyperlink r:id="rId8">
        <w:r>
          <w:t xml:space="preserve">http://www.annals.org/, </w:t>
        </w:r>
      </w:hyperlink>
      <w:r>
        <w:t xml:space="preserve">and Epidemiology at </w:t>
      </w:r>
      <w:hyperlink r:id="rId9">
        <w:r>
          <w:t xml:space="preserve">http://www.epidem.com/). </w:t>
        </w:r>
      </w:hyperlink>
      <w:r>
        <w:t xml:space="preserve">Information on the STROBE Initiative is available at </w:t>
      </w:r>
      <w:hyperlink r:id="rId10">
        <w:r>
          <w:t>www.strobe-statement.org.</w:t>
        </w:r>
      </w:hyperlink>
    </w:p>
    <w:sectPr w:rsidR="008A3100">
      <w:pgSz w:w="11910" w:h="16840"/>
      <w:pgMar w:top="1540" w:right="920" w:bottom="920" w:left="9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6EFF7" w14:textId="77777777" w:rsidR="00AE4189" w:rsidRDefault="00AE4189">
      <w:r>
        <w:separator/>
      </w:r>
    </w:p>
  </w:endnote>
  <w:endnote w:type="continuationSeparator" w:id="0">
    <w:p w14:paraId="305215C8" w14:textId="77777777" w:rsidR="00AE4189" w:rsidRDefault="00AE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9F31" w14:textId="77777777" w:rsidR="008A3100" w:rsidRDefault="00AE4189">
    <w:pPr>
      <w:pStyle w:val="BodyText"/>
      <w:spacing w:line="14" w:lineRule="auto"/>
    </w:pPr>
    <w:r>
      <w:pict w14:anchorId="1A61F458">
        <v:shapetype id="_x0000_t202" coordsize="21600,21600" o:spt="202" path="m,l,21600r21600,l21600,xe">
          <v:stroke joinstyle="miter"/>
          <v:path gradientshapeok="t" o:connecttype="rect"/>
        </v:shapetype>
        <v:shape id="_x0000_s2049" type="#_x0000_t202" style="position:absolute;margin-left:292pt;margin-top:793.95pt;width:11.55pt;height:13.15pt;z-index:-251658752;mso-position-horizontal-relative:page;mso-position-vertical-relative:page" filled="f" stroked="f">
          <v:textbox inset="0,0,0,0">
            <w:txbxContent>
              <w:p w14:paraId="3AE78C64" w14:textId="77777777" w:rsidR="008A3100" w:rsidRDefault="00D70B07">
                <w:pPr>
                  <w:pStyle w:val="BodyText"/>
                  <w:spacing w:before="12"/>
                  <w:ind w:left="60"/>
                  <w:rPr>
                    <w:rFonts w:ascii="Arial"/>
                  </w:rPr>
                </w:pPr>
                <w:r>
                  <w:fldChar w:fldCharType="begin"/>
                </w:r>
                <w:r>
                  <w:rPr>
                    <w:rFonts w:ascii="Arial"/>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3CF2" w14:textId="77777777" w:rsidR="00AE4189" w:rsidRDefault="00AE4189">
      <w:r>
        <w:separator/>
      </w:r>
    </w:p>
  </w:footnote>
  <w:footnote w:type="continuationSeparator" w:id="0">
    <w:p w14:paraId="016A66FC" w14:textId="77777777" w:rsidR="00AE4189" w:rsidRDefault="00AE4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3100"/>
    <w:rsid w:val="00105C63"/>
    <w:rsid w:val="001E09B5"/>
    <w:rsid w:val="001E1D10"/>
    <w:rsid w:val="002D7816"/>
    <w:rsid w:val="002E4DF7"/>
    <w:rsid w:val="003A58DA"/>
    <w:rsid w:val="00454D79"/>
    <w:rsid w:val="004A0E5E"/>
    <w:rsid w:val="004A7C15"/>
    <w:rsid w:val="00506B72"/>
    <w:rsid w:val="0052072A"/>
    <w:rsid w:val="00657728"/>
    <w:rsid w:val="006F019B"/>
    <w:rsid w:val="007A3E28"/>
    <w:rsid w:val="008565AE"/>
    <w:rsid w:val="00896DA0"/>
    <w:rsid w:val="008A3100"/>
    <w:rsid w:val="008E2D51"/>
    <w:rsid w:val="00966742"/>
    <w:rsid w:val="00A67639"/>
    <w:rsid w:val="00AE4189"/>
    <w:rsid w:val="00B1457C"/>
    <w:rsid w:val="00B67E72"/>
    <w:rsid w:val="00B93D0D"/>
    <w:rsid w:val="00C95454"/>
    <w:rsid w:val="00D70B07"/>
    <w:rsid w:val="00E370F7"/>
    <w:rsid w:val="00E50C5F"/>
    <w:rsid w:val="00ED12C6"/>
    <w:rsid w:val="00F436E6"/>
    <w:rsid w:val="00F57FC4"/>
    <w:rsid w:val="00F64753"/>
    <w:rsid w:val="00FD310A"/>
    <w:rsid w:val="00FD4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90471F"/>
  <w15:docId w15:val="{070B1716-6D3E-43CC-A0D5-09BED84D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5"/>
      <w:ind w:left="21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0871">
      <w:bodyDiv w:val="1"/>
      <w:marLeft w:val="0"/>
      <w:marRight w:val="0"/>
      <w:marTop w:val="0"/>
      <w:marBottom w:val="0"/>
      <w:divBdr>
        <w:top w:val="none" w:sz="0" w:space="0" w:color="auto"/>
        <w:left w:val="none" w:sz="0" w:space="0" w:color="auto"/>
        <w:bottom w:val="none" w:sz="0" w:space="0" w:color="auto"/>
        <w:right w:val="none" w:sz="0" w:space="0" w:color="auto"/>
      </w:divBdr>
    </w:div>
    <w:div w:id="257979950">
      <w:bodyDiv w:val="1"/>
      <w:marLeft w:val="0"/>
      <w:marRight w:val="0"/>
      <w:marTop w:val="0"/>
      <w:marBottom w:val="0"/>
      <w:divBdr>
        <w:top w:val="none" w:sz="0" w:space="0" w:color="auto"/>
        <w:left w:val="none" w:sz="0" w:space="0" w:color="auto"/>
        <w:bottom w:val="none" w:sz="0" w:space="0" w:color="auto"/>
        <w:right w:val="none" w:sz="0" w:space="0" w:color="auto"/>
      </w:divBdr>
    </w:div>
    <w:div w:id="1463620163">
      <w:bodyDiv w:val="1"/>
      <w:marLeft w:val="0"/>
      <w:marRight w:val="0"/>
      <w:marTop w:val="0"/>
      <w:marBottom w:val="0"/>
      <w:divBdr>
        <w:top w:val="none" w:sz="0" w:space="0" w:color="auto"/>
        <w:left w:val="none" w:sz="0" w:space="0" w:color="auto"/>
        <w:bottom w:val="none" w:sz="0" w:space="0" w:color="auto"/>
        <w:right w:val="none" w:sz="0" w:space="0" w:color="auto"/>
      </w:divBdr>
    </w:div>
    <w:div w:id="1846937333">
      <w:bodyDiv w:val="1"/>
      <w:marLeft w:val="0"/>
      <w:marRight w:val="0"/>
      <w:marTop w:val="0"/>
      <w:marBottom w:val="0"/>
      <w:divBdr>
        <w:top w:val="none" w:sz="0" w:space="0" w:color="auto"/>
        <w:left w:val="none" w:sz="0" w:space="0" w:color="auto"/>
        <w:bottom w:val="none" w:sz="0" w:space="0" w:color="auto"/>
        <w:right w:val="none" w:sz="0" w:space="0" w:color="auto"/>
      </w:divBdr>
    </w:div>
    <w:div w:id="2039351284">
      <w:bodyDiv w:val="1"/>
      <w:marLeft w:val="0"/>
      <w:marRight w:val="0"/>
      <w:marTop w:val="0"/>
      <w:marBottom w:val="0"/>
      <w:divBdr>
        <w:top w:val="none" w:sz="0" w:space="0" w:color="auto"/>
        <w:left w:val="none" w:sz="0" w:space="0" w:color="auto"/>
        <w:bottom w:val="none" w:sz="0" w:space="0" w:color="auto"/>
        <w:right w:val="none" w:sz="0" w:space="0" w:color="auto"/>
      </w:divBdr>
    </w:div>
    <w:div w:id="212503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nals.org/" TargetMode="External"/><Relationship Id="rId3" Type="http://schemas.openxmlformats.org/officeDocument/2006/relationships/webSettings" Target="webSettings.xml"/><Relationship Id="rId7" Type="http://schemas.openxmlformats.org/officeDocument/2006/relationships/hyperlink" Target="http://www.plosmedicin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trobe-statement.org/" TargetMode="External"/><Relationship Id="rId4" Type="http://schemas.openxmlformats.org/officeDocument/2006/relationships/footnotes" Target="footnotes.xml"/><Relationship Id="rId9" Type="http://schemas.openxmlformats.org/officeDocument/2006/relationships/hyperlink" Target="http://www.epid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ahmed elbaz</cp:lastModifiedBy>
  <cp:revision>21</cp:revision>
  <dcterms:created xsi:type="dcterms:W3CDTF">2020-05-26T19:55:00Z</dcterms:created>
  <dcterms:modified xsi:type="dcterms:W3CDTF">2020-08-11T08:10:00Z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Creator">
    <vt:lpwstr>Microsoft® Word 2013</vt:lpwstr>
  </property>
  <property fmtid="{D5CDD505-2E9C-101B-9397-08002B2CF9AE}" pid="4" name="LastSaved">
    <vt:filetime>2020-05-26T00:00:00Z</vt:filetime>
  </property>
</Properties>
</file>