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590AD" w14:textId="77777777" w:rsidR="00A77B3E" w:rsidRDefault="000D6A5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485C0AC6" w14:textId="77777777" w:rsidR="00A77B3E" w:rsidRDefault="000D6A5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56866</w:t>
      </w:r>
    </w:p>
    <w:p w14:paraId="0E16242D" w14:textId="77777777" w:rsidR="00A77B3E" w:rsidRDefault="000D6A5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14:paraId="02768873" w14:textId="77777777" w:rsidR="00A77B3E" w:rsidRDefault="00A77B3E">
      <w:pPr>
        <w:spacing w:line="360" w:lineRule="auto"/>
        <w:jc w:val="both"/>
      </w:pPr>
    </w:p>
    <w:p w14:paraId="185D5CCD" w14:textId="77777777" w:rsidR="00A77B3E" w:rsidRDefault="000D6A55">
      <w:pPr>
        <w:spacing w:line="360" w:lineRule="auto"/>
        <w:jc w:val="both"/>
      </w:pPr>
      <w:r>
        <w:rPr>
          <w:rFonts w:ascii="Book Antiqua" w:eastAsia="Book Antiqua" w:hAnsi="Book Antiqua" w:cs="Book Antiqua"/>
          <w:b/>
          <w:color w:val="000000"/>
        </w:rPr>
        <w:t>Tacrolimus and mycophenolate mofetil as second-line treatment in autoimmune hepatitis: Is the evidence of sufficient quality to develop recommendations?</w:t>
      </w:r>
    </w:p>
    <w:p w14:paraId="50BDE0B7" w14:textId="77777777" w:rsidR="00A77B3E" w:rsidRDefault="00A77B3E">
      <w:pPr>
        <w:spacing w:line="360" w:lineRule="auto"/>
        <w:jc w:val="both"/>
      </w:pPr>
    </w:p>
    <w:p w14:paraId="1F62BED3" w14:textId="164D36DC" w:rsidR="00A77B3E" w:rsidRDefault="008C1E95">
      <w:pPr>
        <w:spacing w:line="360" w:lineRule="auto"/>
        <w:jc w:val="both"/>
      </w:pPr>
      <w:proofErr w:type="spellStart"/>
      <w:r>
        <w:rPr>
          <w:rFonts w:ascii="Book Antiqua" w:eastAsia="Book Antiqua" w:hAnsi="Book Antiqua" w:cs="Book Antiqua"/>
          <w:color w:val="000000"/>
        </w:rPr>
        <w:t>Abdollahi</w:t>
      </w:r>
      <w:proofErr w:type="spellEnd"/>
      <w:r>
        <w:rPr>
          <w:rFonts w:ascii="Book Antiqua" w:eastAsia="Book Antiqua" w:hAnsi="Book Antiqua" w:cs="Book Antiqua"/>
          <w:color w:val="000000"/>
        </w:rPr>
        <w:t xml:space="preserve"> M</w:t>
      </w:r>
      <w:r w:rsidRPr="008C1E95">
        <w:rPr>
          <w:rFonts w:ascii="Book Antiqua" w:eastAsia="Book Antiqua" w:hAnsi="Book Antiqua" w:cs="Book Antiqua"/>
          <w:color w:val="000000"/>
        </w:rPr>
        <w:t xml:space="preserve"> </w:t>
      </w:r>
      <w:r w:rsidRPr="008C1E95">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Pr="008C1E95">
        <w:rPr>
          <w:rFonts w:ascii="Book Antiqua" w:eastAsia="Book Antiqua" w:hAnsi="Book Antiqua" w:cs="Book Antiqua"/>
          <w:color w:val="000000"/>
        </w:rPr>
        <w:t>Efficacy of second-line treatments in AIH</w:t>
      </w:r>
    </w:p>
    <w:p w14:paraId="2A3F5F2C" w14:textId="77777777" w:rsidR="00A77B3E" w:rsidRDefault="00A77B3E">
      <w:pPr>
        <w:spacing w:line="360" w:lineRule="auto"/>
        <w:jc w:val="both"/>
      </w:pPr>
    </w:p>
    <w:p w14:paraId="5C32EF81" w14:textId="77777777" w:rsidR="00A77B3E" w:rsidRDefault="000D6A55">
      <w:pPr>
        <w:spacing w:line="360" w:lineRule="auto"/>
        <w:jc w:val="both"/>
      </w:pPr>
      <w:r>
        <w:rPr>
          <w:rFonts w:ascii="Book Antiqua" w:eastAsia="Book Antiqua" w:hAnsi="Book Antiqua" w:cs="Book Antiqua"/>
          <w:color w:val="000000"/>
        </w:rPr>
        <w:t xml:space="preserve">Mohammadreza </w:t>
      </w:r>
      <w:proofErr w:type="spellStart"/>
      <w:r>
        <w:rPr>
          <w:rFonts w:ascii="Book Antiqua" w:eastAsia="Book Antiqua" w:hAnsi="Book Antiqua" w:cs="Book Antiqua"/>
          <w:color w:val="000000"/>
        </w:rPr>
        <w:t>Abdollahi</w:t>
      </w:r>
      <w:proofErr w:type="spellEnd"/>
      <w:r>
        <w:rPr>
          <w:rFonts w:ascii="Book Antiqua" w:eastAsia="Book Antiqua" w:hAnsi="Book Antiqua" w:cs="Book Antiqua"/>
          <w:color w:val="000000"/>
        </w:rPr>
        <w:t xml:space="preserve">, Neda </w:t>
      </w:r>
      <w:proofErr w:type="spellStart"/>
      <w:r>
        <w:rPr>
          <w:rFonts w:ascii="Book Antiqua" w:eastAsia="Book Antiqua" w:hAnsi="Book Antiqua" w:cs="Book Antiqua"/>
          <w:color w:val="000000"/>
        </w:rPr>
        <w:t>Khalilian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Ekrami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Morteza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Ghojazadeh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Marike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Boezen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Mohammadhossein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Somi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Behrooz</w:t>
      </w:r>
      <w:proofErr w:type="spellEnd"/>
      <w:r>
        <w:rPr>
          <w:rFonts w:ascii="Book Antiqua" w:eastAsia="Book Antiqua" w:hAnsi="Book Antiqua" w:cs="Book Antiqua"/>
          <w:color w:val="000000"/>
        </w:rPr>
        <w:t xml:space="preserve"> Z Alizadeh</w:t>
      </w:r>
    </w:p>
    <w:p w14:paraId="291AFD82" w14:textId="77777777" w:rsidR="00A77B3E" w:rsidRDefault="00A77B3E">
      <w:pPr>
        <w:spacing w:line="360" w:lineRule="auto"/>
        <w:jc w:val="both"/>
      </w:pPr>
    </w:p>
    <w:p w14:paraId="0B7C2F4F" w14:textId="4E8E0FC3" w:rsidR="00A77B3E" w:rsidRDefault="000D6A55">
      <w:pPr>
        <w:spacing w:line="360" w:lineRule="auto"/>
        <w:jc w:val="both"/>
      </w:pPr>
      <w:r>
        <w:rPr>
          <w:rFonts w:ascii="Book Antiqua" w:eastAsia="Book Antiqua" w:hAnsi="Book Antiqua" w:cs="Book Antiqua"/>
          <w:b/>
          <w:bCs/>
          <w:color w:val="000000"/>
        </w:rPr>
        <w:t xml:space="preserve">Mohammadreza </w:t>
      </w:r>
      <w:proofErr w:type="spellStart"/>
      <w:r>
        <w:rPr>
          <w:rFonts w:ascii="Book Antiqua" w:eastAsia="Book Antiqua" w:hAnsi="Book Antiqua" w:cs="Book Antiqua"/>
          <w:b/>
          <w:bCs/>
          <w:color w:val="000000"/>
        </w:rPr>
        <w:t>Abdollahi</w:t>
      </w:r>
      <w:proofErr w:type="spellEnd"/>
      <w:r>
        <w:rPr>
          <w:rFonts w:ascii="Book Antiqua" w:eastAsia="Book Antiqua" w:hAnsi="Book Antiqua" w:cs="Book Antiqua"/>
          <w:b/>
          <w:bCs/>
          <w:color w:val="000000"/>
        </w:rPr>
        <w:t xml:space="preserve">, </w:t>
      </w:r>
      <w:r w:rsidR="00FB61FF">
        <w:rPr>
          <w:rFonts w:ascii="Book Antiqua" w:eastAsia="Book Antiqua" w:hAnsi="Book Antiqua" w:cs="Book Antiqua"/>
          <w:b/>
          <w:bCs/>
          <w:color w:val="000000"/>
        </w:rPr>
        <w:t xml:space="preserve">Neda </w:t>
      </w:r>
      <w:proofErr w:type="spellStart"/>
      <w:r w:rsidR="00FB61FF">
        <w:rPr>
          <w:rFonts w:ascii="Book Antiqua" w:eastAsia="Book Antiqua" w:hAnsi="Book Antiqua" w:cs="Book Antiqua"/>
          <w:b/>
          <w:bCs/>
          <w:color w:val="000000"/>
        </w:rPr>
        <w:t>Khalilian</w:t>
      </w:r>
      <w:proofErr w:type="spellEnd"/>
      <w:r w:rsidR="00FB61FF">
        <w:rPr>
          <w:rFonts w:ascii="Book Antiqua" w:eastAsia="Book Antiqua" w:hAnsi="Book Antiqua" w:cs="Book Antiqua"/>
          <w:b/>
          <w:bCs/>
          <w:color w:val="000000"/>
        </w:rPr>
        <w:t xml:space="preserve"> </w:t>
      </w:r>
      <w:proofErr w:type="spellStart"/>
      <w:r w:rsidR="00FB61FF">
        <w:rPr>
          <w:rFonts w:ascii="Book Antiqua" w:eastAsia="Book Antiqua" w:hAnsi="Book Antiqua" w:cs="Book Antiqua"/>
          <w:b/>
          <w:bCs/>
          <w:color w:val="000000"/>
        </w:rPr>
        <w:t>Ekrami</w:t>
      </w:r>
      <w:proofErr w:type="spellEnd"/>
      <w:r w:rsidR="00FB61FF">
        <w:rPr>
          <w:rFonts w:ascii="Book Antiqua" w:eastAsia="Book Antiqua" w:hAnsi="Book Antiqua" w:cs="Book Antiqua"/>
          <w:b/>
          <w:bCs/>
          <w:color w:val="000000"/>
        </w:rPr>
        <w:t xml:space="preserve">, </w:t>
      </w:r>
      <w:r w:rsidR="009E21C1">
        <w:rPr>
          <w:rFonts w:ascii="Book Antiqua" w:eastAsia="Book Antiqua" w:hAnsi="Book Antiqua" w:cs="Book Antiqua"/>
          <w:b/>
          <w:bCs/>
          <w:color w:val="000000"/>
        </w:rPr>
        <w:t xml:space="preserve">H. </w:t>
      </w:r>
      <w:proofErr w:type="spellStart"/>
      <w:r w:rsidR="009E21C1">
        <w:rPr>
          <w:rFonts w:ascii="Book Antiqua" w:eastAsia="Book Antiqua" w:hAnsi="Book Antiqua" w:cs="Book Antiqua"/>
          <w:b/>
          <w:bCs/>
          <w:color w:val="000000"/>
        </w:rPr>
        <w:t>Marike</w:t>
      </w:r>
      <w:proofErr w:type="spellEnd"/>
      <w:r w:rsidR="009E21C1">
        <w:rPr>
          <w:rFonts w:ascii="Book Antiqua" w:eastAsia="Book Antiqua" w:hAnsi="Book Antiqua" w:cs="Book Antiqua"/>
          <w:b/>
          <w:bCs/>
          <w:color w:val="000000"/>
        </w:rPr>
        <w:t xml:space="preserve"> </w:t>
      </w:r>
      <w:proofErr w:type="spellStart"/>
      <w:r w:rsidR="009E21C1">
        <w:rPr>
          <w:rFonts w:ascii="Book Antiqua" w:eastAsia="Book Antiqua" w:hAnsi="Book Antiqua" w:cs="Book Antiqua"/>
          <w:b/>
          <w:bCs/>
          <w:color w:val="000000"/>
        </w:rPr>
        <w:t>Boezen</w:t>
      </w:r>
      <w:proofErr w:type="spellEnd"/>
      <w:r w:rsidR="009E21C1">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Behrooz</w:t>
      </w:r>
      <w:proofErr w:type="spellEnd"/>
      <w:r>
        <w:rPr>
          <w:rFonts w:ascii="Book Antiqua" w:eastAsia="Book Antiqua" w:hAnsi="Book Antiqua" w:cs="Book Antiqua"/>
          <w:b/>
          <w:bCs/>
          <w:color w:val="000000"/>
        </w:rPr>
        <w:t xml:space="preserve"> Z Alizadeh, </w:t>
      </w:r>
      <w:r w:rsidR="00FB61FF">
        <w:rPr>
          <w:rFonts w:ascii="Book Antiqua" w:eastAsia="Book Antiqua" w:hAnsi="Book Antiqua" w:cs="Book Antiqua"/>
          <w:color w:val="000000"/>
        </w:rPr>
        <w:t xml:space="preserve">Department of </w:t>
      </w:r>
      <w:r>
        <w:rPr>
          <w:rFonts w:ascii="Book Antiqua" w:eastAsia="Book Antiqua" w:hAnsi="Book Antiqua" w:cs="Book Antiqua"/>
          <w:color w:val="000000"/>
        </w:rPr>
        <w:t>Epidemiology, University of Groningen, Groningen 9700 RB, Netherlands</w:t>
      </w:r>
    </w:p>
    <w:p w14:paraId="362F9D53" w14:textId="77777777" w:rsidR="00A77B3E" w:rsidRDefault="00A77B3E">
      <w:pPr>
        <w:spacing w:line="360" w:lineRule="auto"/>
        <w:jc w:val="both"/>
      </w:pPr>
    </w:p>
    <w:p w14:paraId="469615E2" w14:textId="77777777" w:rsidR="00A77B3E" w:rsidRDefault="000D6A55">
      <w:pPr>
        <w:spacing w:line="360" w:lineRule="auto"/>
        <w:jc w:val="both"/>
      </w:pPr>
      <w:proofErr w:type="spellStart"/>
      <w:r>
        <w:rPr>
          <w:rFonts w:ascii="Book Antiqua" w:eastAsia="Book Antiqua" w:hAnsi="Book Antiqua" w:cs="Book Antiqua"/>
          <w:b/>
          <w:bCs/>
          <w:color w:val="000000"/>
        </w:rPr>
        <w:t>Morteza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Ghojazadeh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Research Center for Evidence Based Medicine, Tabriz University of Medical Sciences, Tabriz 5166614766, Iran</w:t>
      </w:r>
    </w:p>
    <w:p w14:paraId="06D26A2E" w14:textId="77777777" w:rsidR="00A77B3E" w:rsidRDefault="00A77B3E">
      <w:pPr>
        <w:spacing w:line="360" w:lineRule="auto"/>
        <w:jc w:val="both"/>
      </w:pPr>
    </w:p>
    <w:p w14:paraId="5140097A" w14:textId="77777777" w:rsidR="00A77B3E" w:rsidRDefault="000D6A55">
      <w:pPr>
        <w:spacing w:line="360" w:lineRule="auto"/>
        <w:jc w:val="both"/>
      </w:pPr>
      <w:proofErr w:type="spellStart"/>
      <w:r>
        <w:rPr>
          <w:rFonts w:ascii="Book Antiqua" w:eastAsia="Book Antiqua" w:hAnsi="Book Antiqua" w:cs="Book Antiqua"/>
          <w:b/>
          <w:bCs/>
          <w:color w:val="000000"/>
        </w:rPr>
        <w:t>Mohammadhossein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Somi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Liver and Gastrointestinal Diseases Research Center, Tabriz University of Medical Sciences, Tabriz 5166614766, Iran</w:t>
      </w:r>
    </w:p>
    <w:p w14:paraId="20B871F4" w14:textId="77777777" w:rsidR="00A77B3E" w:rsidRDefault="00A77B3E">
      <w:pPr>
        <w:spacing w:line="360" w:lineRule="auto"/>
        <w:jc w:val="both"/>
      </w:pPr>
    </w:p>
    <w:p w14:paraId="5EF84EF1" w14:textId="5CF0C3F5" w:rsidR="00A77B3E" w:rsidRDefault="000D6A55">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Abdollahi</w:t>
      </w:r>
      <w:proofErr w:type="spellEnd"/>
      <w:r>
        <w:rPr>
          <w:rFonts w:ascii="Book Antiqua" w:eastAsia="Book Antiqua" w:hAnsi="Book Antiqua" w:cs="Book Antiqua"/>
          <w:color w:val="000000"/>
        </w:rPr>
        <w:t xml:space="preserve"> M </w:t>
      </w:r>
      <w:r w:rsidR="00F96515" w:rsidRPr="00F96515">
        <w:rPr>
          <w:rFonts w:ascii="Book Antiqua" w:eastAsia="Book Antiqua" w:hAnsi="Book Antiqua" w:cs="Book Antiqua"/>
          <w:bCs/>
          <w:color w:val="000000"/>
        </w:rPr>
        <w:t>contributed to</w:t>
      </w:r>
      <w:r w:rsidR="00F96515">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acquisition of data, analysis and interpretation of data, drafting the article, final approval; </w:t>
      </w:r>
      <w:proofErr w:type="spellStart"/>
      <w:r>
        <w:rPr>
          <w:rFonts w:ascii="Book Antiqua" w:eastAsia="Book Antiqua" w:hAnsi="Book Antiqua" w:cs="Book Antiqua"/>
          <w:color w:val="000000"/>
        </w:rPr>
        <w:t>Khalilian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Ekrami</w:t>
      </w:r>
      <w:proofErr w:type="spellEnd"/>
      <w:r>
        <w:rPr>
          <w:rFonts w:ascii="Book Antiqua" w:eastAsia="Book Antiqua" w:hAnsi="Book Antiqua" w:cs="Book Antiqua"/>
          <w:color w:val="000000"/>
        </w:rPr>
        <w:t xml:space="preserve"> N </w:t>
      </w:r>
      <w:r w:rsidR="00F96515" w:rsidRPr="00F96515">
        <w:rPr>
          <w:rFonts w:ascii="Book Antiqua" w:eastAsia="Book Antiqua" w:hAnsi="Book Antiqua" w:cs="Book Antiqua"/>
          <w:bCs/>
          <w:color w:val="000000"/>
        </w:rPr>
        <w:t>contributed to</w:t>
      </w:r>
      <w:r w:rsidR="00F96515">
        <w:rPr>
          <w:rFonts w:ascii="Book Antiqua" w:eastAsia="Book Antiqua" w:hAnsi="Book Antiqua" w:cs="Book Antiqua"/>
          <w:color w:val="000000"/>
        </w:rPr>
        <w:t xml:space="preserve"> </w:t>
      </w:r>
      <w:r>
        <w:rPr>
          <w:rFonts w:ascii="Book Antiqua" w:eastAsia="Book Antiqua" w:hAnsi="Book Antiqua" w:cs="Book Antiqua"/>
          <w:color w:val="000000"/>
        </w:rPr>
        <w:t xml:space="preserve">acquisition of data, analysis and interpretation of data, drafting the article, final approval; </w:t>
      </w:r>
      <w:proofErr w:type="spellStart"/>
      <w:r>
        <w:rPr>
          <w:rFonts w:ascii="Book Antiqua" w:eastAsia="Book Antiqua" w:hAnsi="Book Antiqua" w:cs="Book Antiqua"/>
          <w:color w:val="000000"/>
        </w:rPr>
        <w:t>Ghojazadeh</w:t>
      </w:r>
      <w:proofErr w:type="spellEnd"/>
      <w:r>
        <w:rPr>
          <w:rFonts w:ascii="Book Antiqua" w:eastAsia="Book Antiqua" w:hAnsi="Book Antiqua" w:cs="Book Antiqua"/>
          <w:color w:val="000000"/>
        </w:rPr>
        <w:t xml:space="preserve"> M </w:t>
      </w:r>
      <w:r w:rsidR="00F96515" w:rsidRPr="00F96515">
        <w:rPr>
          <w:rFonts w:ascii="Book Antiqua" w:eastAsia="Book Antiqua" w:hAnsi="Book Antiqua" w:cs="Book Antiqua"/>
          <w:bCs/>
          <w:color w:val="000000"/>
        </w:rPr>
        <w:t>contributed to</w:t>
      </w:r>
      <w:r w:rsidR="00F96515">
        <w:rPr>
          <w:rFonts w:ascii="Book Antiqua" w:eastAsia="Book Antiqua" w:hAnsi="Book Antiqua" w:cs="Book Antiqua"/>
          <w:color w:val="000000"/>
        </w:rPr>
        <w:t xml:space="preserve"> </w:t>
      </w:r>
      <w:r>
        <w:rPr>
          <w:rFonts w:ascii="Book Antiqua" w:eastAsia="Book Antiqua" w:hAnsi="Book Antiqua" w:cs="Book Antiqua"/>
          <w:color w:val="000000"/>
        </w:rPr>
        <w:t xml:space="preserve">interpretation of data, revising the article, final approval; </w:t>
      </w:r>
      <w:proofErr w:type="spellStart"/>
      <w:r>
        <w:rPr>
          <w:rFonts w:ascii="Book Antiqua" w:eastAsia="Book Antiqua" w:hAnsi="Book Antiqua" w:cs="Book Antiqua"/>
          <w:color w:val="000000"/>
        </w:rPr>
        <w:t>Boezen</w:t>
      </w:r>
      <w:proofErr w:type="spellEnd"/>
      <w:r>
        <w:rPr>
          <w:rFonts w:ascii="Book Antiqua" w:eastAsia="Book Antiqua" w:hAnsi="Book Antiqua" w:cs="Book Antiqua"/>
          <w:color w:val="000000"/>
        </w:rPr>
        <w:t xml:space="preserve"> HM </w:t>
      </w:r>
      <w:r w:rsidR="00F96515" w:rsidRPr="00F96515">
        <w:rPr>
          <w:rFonts w:ascii="Book Antiqua" w:eastAsia="Book Antiqua" w:hAnsi="Book Antiqua" w:cs="Book Antiqua"/>
          <w:bCs/>
          <w:color w:val="000000"/>
        </w:rPr>
        <w:t>contributed to</w:t>
      </w:r>
      <w:r w:rsidR="00F96515">
        <w:rPr>
          <w:rFonts w:ascii="Book Antiqua" w:eastAsia="Book Antiqua" w:hAnsi="Book Antiqua" w:cs="Book Antiqua"/>
          <w:color w:val="000000"/>
        </w:rPr>
        <w:t xml:space="preserve"> </w:t>
      </w:r>
      <w:r>
        <w:rPr>
          <w:rFonts w:ascii="Book Antiqua" w:eastAsia="Book Antiqua" w:hAnsi="Book Antiqua" w:cs="Book Antiqua"/>
          <w:color w:val="000000"/>
        </w:rPr>
        <w:t xml:space="preserve">critical revision, final approval; </w:t>
      </w:r>
      <w:proofErr w:type="spellStart"/>
      <w:r>
        <w:rPr>
          <w:rFonts w:ascii="Book Antiqua" w:eastAsia="Book Antiqua" w:hAnsi="Book Antiqua" w:cs="Book Antiqua"/>
          <w:color w:val="000000"/>
        </w:rPr>
        <w:t>Somi</w:t>
      </w:r>
      <w:proofErr w:type="spellEnd"/>
      <w:r>
        <w:rPr>
          <w:rFonts w:ascii="Book Antiqua" w:eastAsia="Book Antiqua" w:hAnsi="Book Antiqua" w:cs="Book Antiqua"/>
          <w:color w:val="000000"/>
        </w:rPr>
        <w:t xml:space="preserve"> M and Alizadeh BZ </w:t>
      </w:r>
      <w:r w:rsidR="00F96515" w:rsidRPr="00F96515">
        <w:rPr>
          <w:rFonts w:ascii="Book Antiqua" w:eastAsia="Book Antiqua" w:hAnsi="Book Antiqua" w:cs="Book Antiqua"/>
          <w:bCs/>
          <w:color w:val="000000"/>
        </w:rPr>
        <w:t>contributed to</w:t>
      </w:r>
      <w:r w:rsidR="00F96515">
        <w:rPr>
          <w:rFonts w:ascii="Book Antiqua" w:eastAsia="Book Antiqua" w:hAnsi="Book Antiqua" w:cs="Book Antiqua"/>
          <w:color w:val="000000"/>
        </w:rPr>
        <w:t xml:space="preserve"> </w:t>
      </w:r>
      <w:r>
        <w:rPr>
          <w:rFonts w:ascii="Book Antiqua" w:eastAsia="Book Antiqua" w:hAnsi="Book Antiqua" w:cs="Book Antiqua"/>
          <w:color w:val="000000"/>
        </w:rPr>
        <w:t>conception and design of the study, critical revision, final approval.</w:t>
      </w:r>
    </w:p>
    <w:p w14:paraId="147B2B4F" w14:textId="77777777" w:rsidR="00A77B3E" w:rsidRDefault="00A77B3E">
      <w:pPr>
        <w:spacing w:line="360" w:lineRule="auto"/>
        <w:jc w:val="both"/>
      </w:pPr>
    </w:p>
    <w:p w14:paraId="5439347D" w14:textId="6FFE356F" w:rsidR="00A77B3E" w:rsidRDefault="000D6A55">
      <w:pPr>
        <w:spacing w:line="360" w:lineRule="auto"/>
        <w:jc w:val="both"/>
      </w:pPr>
      <w:r>
        <w:rPr>
          <w:rFonts w:ascii="Book Antiqua" w:eastAsia="Book Antiqua" w:hAnsi="Book Antiqua" w:cs="Book Antiqua"/>
          <w:b/>
          <w:bCs/>
          <w:color w:val="000000"/>
        </w:rPr>
        <w:t xml:space="preserve">Corresponding author: Mohammadreza </w:t>
      </w:r>
      <w:proofErr w:type="spellStart"/>
      <w:r>
        <w:rPr>
          <w:rFonts w:ascii="Book Antiqua" w:eastAsia="Book Antiqua" w:hAnsi="Book Antiqua" w:cs="Book Antiqua"/>
          <w:b/>
          <w:bCs/>
          <w:color w:val="000000"/>
        </w:rPr>
        <w:t>Abdollahi</w:t>
      </w:r>
      <w:proofErr w:type="spellEnd"/>
      <w:r>
        <w:rPr>
          <w:rFonts w:ascii="Book Antiqua" w:eastAsia="Book Antiqua" w:hAnsi="Book Antiqua" w:cs="Book Antiqua"/>
          <w:b/>
          <w:bCs/>
          <w:color w:val="000000"/>
        </w:rPr>
        <w:t xml:space="preserve">, MD, PhD, Doctor, </w:t>
      </w:r>
      <w:r w:rsidR="007064A2">
        <w:rPr>
          <w:rFonts w:ascii="Book Antiqua" w:eastAsia="Book Antiqua" w:hAnsi="Book Antiqua" w:cs="Book Antiqua"/>
          <w:color w:val="000000"/>
        </w:rPr>
        <w:t xml:space="preserve">Department of </w:t>
      </w:r>
      <w:r>
        <w:rPr>
          <w:rFonts w:ascii="Book Antiqua" w:eastAsia="Book Antiqua" w:hAnsi="Book Antiqua" w:cs="Book Antiqua"/>
          <w:color w:val="000000"/>
        </w:rPr>
        <w:t>Epidemiology, University of Groningen, Hanzeplein1, Groningen 9700 RB, Netherlands. m.abdollahi@umcg.nl</w:t>
      </w:r>
    </w:p>
    <w:p w14:paraId="319F817E" w14:textId="77777777" w:rsidR="00A77B3E" w:rsidRDefault="00A77B3E">
      <w:pPr>
        <w:spacing w:line="360" w:lineRule="auto"/>
        <w:jc w:val="both"/>
      </w:pPr>
    </w:p>
    <w:p w14:paraId="4F378FB2" w14:textId="77777777" w:rsidR="00A77B3E" w:rsidRDefault="000D6A5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28, 2020</w:t>
      </w:r>
    </w:p>
    <w:p w14:paraId="21908019" w14:textId="77777777" w:rsidR="00A77B3E" w:rsidRDefault="000D6A5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11, 2020</w:t>
      </w:r>
    </w:p>
    <w:p w14:paraId="3F8F1028" w14:textId="069E86C9" w:rsidR="00A77B3E" w:rsidRDefault="000D6A55">
      <w:pPr>
        <w:spacing w:line="360" w:lineRule="auto"/>
        <w:jc w:val="both"/>
      </w:pPr>
      <w:r>
        <w:rPr>
          <w:rFonts w:ascii="Book Antiqua" w:eastAsia="Book Antiqua" w:hAnsi="Book Antiqua" w:cs="Book Antiqua"/>
          <w:b/>
          <w:bCs/>
          <w:color w:val="000000"/>
        </w:rPr>
        <w:t xml:space="preserve">Accepted: </w:t>
      </w:r>
      <w:r w:rsidR="002E17FC" w:rsidRPr="002E17FC">
        <w:rPr>
          <w:rFonts w:ascii="Book Antiqua" w:eastAsia="Book Antiqua" w:hAnsi="Book Antiqua" w:cs="Book Antiqua"/>
          <w:color w:val="000000"/>
        </w:rPr>
        <w:t>September 17, 2020</w:t>
      </w:r>
    </w:p>
    <w:p w14:paraId="6E6B9689" w14:textId="77777777" w:rsidR="00A77B3E" w:rsidRDefault="000D6A55">
      <w:pPr>
        <w:spacing w:line="360" w:lineRule="auto"/>
        <w:jc w:val="both"/>
      </w:pPr>
      <w:r>
        <w:rPr>
          <w:rFonts w:ascii="Book Antiqua" w:eastAsia="Book Antiqua" w:hAnsi="Book Antiqua" w:cs="Book Antiqua"/>
          <w:b/>
          <w:bCs/>
          <w:color w:val="000000"/>
        </w:rPr>
        <w:t xml:space="preserve">Published online: </w:t>
      </w:r>
    </w:p>
    <w:p w14:paraId="307AF4F7"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814707C" w14:textId="77777777" w:rsidR="00A77B3E" w:rsidRDefault="000D6A55">
      <w:pPr>
        <w:spacing w:line="360" w:lineRule="auto"/>
        <w:jc w:val="both"/>
      </w:pPr>
      <w:r>
        <w:rPr>
          <w:rFonts w:ascii="Book Antiqua" w:eastAsia="Book Antiqua" w:hAnsi="Book Antiqua" w:cs="Book Antiqua"/>
          <w:b/>
          <w:color w:val="000000"/>
        </w:rPr>
        <w:lastRenderedPageBreak/>
        <w:t>Abstract</w:t>
      </w:r>
    </w:p>
    <w:p w14:paraId="432C2D33" w14:textId="77777777" w:rsidR="00A77B3E" w:rsidRDefault="000D6A55">
      <w:pPr>
        <w:spacing w:line="360" w:lineRule="auto"/>
        <w:jc w:val="both"/>
      </w:pPr>
      <w:r>
        <w:rPr>
          <w:rFonts w:ascii="Book Antiqua" w:eastAsia="Book Antiqua" w:hAnsi="Book Antiqua" w:cs="Book Antiqua"/>
          <w:color w:val="000000"/>
        </w:rPr>
        <w:t>BACKGROUND</w:t>
      </w:r>
    </w:p>
    <w:p w14:paraId="10CEC397" w14:textId="77777777" w:rsidR="00A77B3E" w:rsidRDefault="000D6A55">
      <w:pPr>
        <w:spacing w:line="360" w:lineRule="auto"/>
        <w:jc w:val="both"/>
      </w:pPr>
      <w:r>
        <w:rPr>
          <w:rFonts w:ascii="Book Antiqua" w:eastAsia="Book Antiqua" w:hAnsi="Book Antiqua" w:cs="Book Antiqua"/>
          <w:color w:val="000000"/>
        </w:rPr>
        <w:t>The standard management of autoimmune hepatitis (AIH) is based on corticosteroids, alone or in combination with azathioprine. Second-line treatments are needed for patients who have refractory disease. However, high-quality data on the alternative management of AIH are scarce.</w:t>
      </w:r>
    </w:p>
    <w:p w14:paraId="673224F6" w14:textId="77777777" w:rsidR="00A77B3E" w:rsidRDefault="00A77B3E">
      <w:pPr>
        <w:spacing w:line="360" w:lineRule="auto"/>
        <w:jc w:val="both"/>
      </w:pPr>
    </w:p>
    <w:p w14:paraId="09C0D88C" w14:textId="77777777" w:rsidR="00A77B3E" w:rsidRDefault="000D6A55">
      <w:pPr>
        <w:spacing w:line="360" w:lineRule="auto"/>
        <w:jc w:val="both"/>
      </w:pPr>
      <w:r>
        <w:rPr>
          <w:rFonts w:ascii="Book Antiqua" w:eastAsia="Book Antiqua" w:hAnsi="Book Antiqua" w:cs="Book Antiqua"/>
          <w:color w:val="000000"/>
        </w:rPr>
        <w:t>AIM</w:t>
      </w:r>
    </w:p>
    <w:p w14:paraId="46402AE8" w14:textId="77777777" w:rsidR="00A77B3E" w:rsidRDefault="000D6A55">
      <w:pPr>
        <w:spacing w:line="360" w:lineRule="auto"/>
        <w:jc w:val="both"/>
      </w:pPr>
      <w:r>
        <w:rPr>
          <w:rFonts w:ascii="Book Antiqua" w:eastAsia="Book Antiqua" w:hAnsi="Book Antiqua" w:cs="Book Antiqua"/>
          <w:color w:val="000000"/>
        </w:rPr>
        <w:t xml:space="preserve">To evaluate the efficacy and safety of tacrolimus and mycophenolate mofetil (MMF) and the quality of evidence by using the </w:t>
      </w:r>
      <w:bookmarkStart w:id="0" w:name="_Hlk50665080"/>
      <w:r>
        <w:rPr>
          <w:rFonts w:ascii="Book Antiqua" w:eastAsia="Book Antiqua" w:hAnsi="Book Antiqua" w:cs="Book Antiqua"/>
          <w:color w:val="000000"/>
        </w:rPr>
        <w:t>Grading of Recommendations Assessment, Development and Evaluation approach</w:t>
      </w:r>
      <w:bookmarkEnd w:id="0"/>
      <w:r>
        <w:rPr>
          <w:rFonts w:ascii="Book Antiqua" w:eastAsia="Book Antiqua" w:hAnsi="Book Antiqua" w:cs="Book Antiqua"/>
          <w:color w:val="000000"/>
        </w:rPr>
        <w:t xml:space="preserve"> (GRADE).</w:t>
      </w:r>
    </w:p>
    <w:p w14:paraId="26BADB07" w14:textId="77777777" w:rsidR="00A77B3E" w:rsidRDefault="00A77B3E">
      <w:pPr>
        <w:spacing w:line="360" w:lineRule="auto"/>
        <w:jc w:val="both"/>
      </w:pPr>
    </w:p>
    <w:p w14:paraId="69715FBA" w14:textId="77777777" w:rsidR="00A77B3E" w:rsidRDefault="000D6A55">
      <w:pPr>
        <w:spacing w:line="360" w:lineRule="auto"/>
        <w:jc w:val="both"/>
      </w:pPr>
      <w:r>
        <w:rPr>
          <w:rFonts w:ascii="Book Antiqua" w:eastAsia="Book Antiqua" w:hAnsi="Book Antiqua" w:cs="Book Antiqua"/>
          <w:color w:val="000000"/>
        </w:rPr>
        <w:t>METHODS</w:t>
      </w:r>
    </w:p>
    <w:p w14:paraId="3D7247A6" w14:textId="7E499FE4" w:rsidR="00A77B3E" w:rsidRDefault="000D6A55">
      <w:pPr>
        <w:spacing w:line="360" w:lineRule="auto"/>
        <w:jc w:val="both"/>
      </w:pPr>
      <w:r>
        <w:rPr>
          <w:rFonts w:ascii="Book Antiqua" w:eastAsia="Book Antiqua" w:hAnsi="Book Antiqua" w:cs="Book Antiqua"/>
          <w:color w:val="000000"/>
        </w:rPr>
        <w:t xml:space="preserve">A systematic review and meta-analysis of the available data were performed. We calculated pooled event rates for three outcome measures: </w:t>
      </w:r>
      <w:r w:rsidR="001F367C">
        <w:rPr>
          <w:rFonts w:ascii="Book Antiqua" w:eastAsia="Book Antiqua" w:hAnsi="Book Antiqua" w:cs="Book Antiqua"/>
          <w:color w:val="000000"/>
        </w:rPr>
        <w:t>B</w:t>
      </w:r>
      <w:r>
        <w:rPr>
          <w:rFonts w:ascii="Book Antiqua" w:eastAsia="Book Antiqua" w:hAnsi="Book Antiqua" w:cs="Book Antiqua"/>
          <w:color w:val="000000"/>
        </w:rPr>
        <w:t>iochemical remission, adverse events, and mortality, with their corresponding 95% confidence intervals</w:t>
      </w:r>
      <w:r w:rsidR="001F367C">
        <w:rPr>
          <w:rFonts w:ascii="Book Antiqua" w:eastAsia="Book Antiqua" w:hAnsi="Book Antiqua" w:cs="Book Antiqua"/>
          <w:color w:val="000000"/>
        </w:rPr>
        <w:t xml:space="preserve"> (CI)</w:t>
      </w:r>
      <w:r>
        <w:rPr>
          <w:rFonts w:ascii="Book Antiqua" w:eastAsia="Book Antiqua" w:hAnsi="Book Antiqua" w:cs="Book Antiqua"/>
          <w:color w:val="000000"/>
        </w:rPr>
        <w:t>.</w:t>
      </w:r>
    </w:p>
    <w:p w14:paraId="6433866A" w14:textId="77777777" w:rsidR="00A77B3E" w:rsidRDefault="00A77B3E">
      <w:pPr>
        <w:spacing w:line="360" w:lineRule="auto"/>
        <w:jc w:val="both"/>
      </w:pPr>
    </w:p>
    <w:p w14:paraId="27B88BEB" w14:textId="77777777" w:rsidR="00A77B3E" w:rsidRDefault="000D6A55">
      <w:pPr>
        <w:spacing w:line="360" w:lineRule="auto"/>
        <w:jc w:val="both"/>
      </w:pPr>
      <w:r>
        <w:rPr>
          <w:rFonts w:ascii="Book Antiqua" w:eastAsia="Book Antiqua" w:hAnsi="Book Antiqua" w:cs="Book Antiqua"/>
          <w:color w:val="000000"/>
        </w:rPr>
        <w:t>RESULTS</w:t>
      </w:r>
    </w:p>
    <w:p w14:paraId="6DDC7010" w14:textId="2F6D95F7" w:rsidR="00A77B3E" w:rsidRDefault="000D6A55">
      <w:pPr>
        <w:spacing w:line="360" w:lineRule="auto"/>
        <w:jc w:val="both"/>
      </w:pPr>
      <w:r>
        <w:rPr>
          <w:rFonts w:ascii="Book Antiqua" w:eastAsia="Book Antiqua" w:hAnsi="Book Antiqua" w:cs="Book Antiqua"/>
          <w:color w:val="000000"/>
        </w:rPr>
        <w:t>The pooled biochemical remission rate was 68.9% (95%CI:</w:t>
      </w:r>
      <w:r w:rsidR="00C721A5">
        <w:rPr>
          <w:rFonts w:ascii="Book Antiqua" w:eastAsia="Book Antiqua" w:hAnsi="Book Antiqua" w:cs="Book Antiqua"/>
          <w:color w:val="000000"/>
        </w:rPr>
        <w:t xml:space="preserve"> </w:t>
      </w:r>
      <w:r>
        <w:rPr>
          <w:rFonts w:ascii="Book Antiqua" w:eastAsia="Book Antiqua" w:hAnsi="Book Antiqua" w:cs="Book Antiqua"/>
          <w:color w:val="000000"/>
        </w:rPr>
        <w:t>60.4</w:t>
      </w:r>
      <w:r w:rsidR="00C721A5">
        <w:rPr>
          <w:rFonts w:ascii="Book Antiqua" w:eastAsia="Book Antiqua" w:hAnsi="Book Antiqua" w:cs="Book Antiqua"/>
          <w:color w:val="000000"/>
        </w:rPr>
        <w:t>-</w:t>
      </w:r>
      <w:r>
        <w:rPr>
          <w:rFonts w:ascii="Book Antiqua" w:eastAsia="Book Antiqua" w:hAnsi="Book Antiqua" w:cs="Book Antiqua"/>
          <w:color w:val="000000"/>
        </w:rPr>
        <w:t>76.2) for tacrolimus, and 59.6% (95%CI:</w:t>
      </w:r>
      <w:r w:rsidR="00C721A5">
        <w:rPr>
          <w:rFonts w:ascii="Book Antiqua" w:eastAsia="Book Antiqua" w:hAnsi="Book Antiqua" w:cs="Book Antiqua"/>
          <w:color w:val="000000"/>
        </w:rPr>
        <w:t xml:space="preserve"> </w:t>
      </w:r>
      <w:r>
        <w:rPr>
          <w:rFonts w:ascii="Book Antiqua" w:eastAsia="Book Antiqua" w:hAnsi="Book Antiqua" w:cs="Book Antiqua"/>
          <w:color w:val="000000"/>
        </w:rPr>
        <w:t>54.8-64.2) for MMF, and rates of adverse events were 25.5% (95%CI: 12.4-45.3) for tacrolimus and 24.1% (95%CI:</w:t>
      </w:r>
      <w:r w:rsidR="00C721A5">
        <w:rPr>
          <w:rFonts w:ascii="Book Antiqua" w:eastAsia="Book Antiqua" w:hAnsi="Book Antiqua" w:cs="Book Antiqua"/>
          <w:color w:val="000000"/>
        </w:rPr>
        <w:t xml:space="preserve"> </w:t>
      </w:r>
      <w:r>
        <w:rPr>
          <w:rFonts w:ascii="Book Antiqua" w:eastAsia="Book Antiqua" w:hAnsi="Book Antiqua" w:cs="Book Antiqua"/>
          <w:color w:val="000000"/>
        </w:rPr>
        <w:t xml:space="preserve">15.4-35.7) for MMF. The pooled mortality rate was estimated at 11.5% (95%CI: 7.1-18.1) for tacrolimus and 9.01% (95%CI: 6.2-12.8) for MMF. </w:t>
      </w:r>
      <w:r>
        <w:rPr>
          <w:rFonts w:ascii="Book Antiqua" w:eastAsia="Book Antiqua" w:hAnsi="Book Antiqua" w:cs="Book Antiqua"/>
          <w:color w:val="000000"/>
          <w:shd w:val="clear" w:color="auto" w:fill="FFFFFF"/>
        </w:rPr>
        <w:t xml:space="preserve">Pooled biochemical remission rates for tacrolimus and </w:t>
      </w:r>
      <w:r>
        <w:rPr>
          <w:rFonts w:ascii="Book Antiqua" w:eastAsia="Book Antiqua" w:hAnsi="Book Antiqua" w:cs="Book Antiqua"/>
          <w:color w:val="000000"/>
        </w:rPr>
        <w:t xml:space="preserve">MMF </w:t>
      </w:r>
      <w:r>
        <w:rPr>
          <w:rFonts w:ascii="Book Antiqua" w:eastAsia="Book Antiqua" w:hAnsi="Book Antiqua" w:cs="Book Antiqua"/>
          <w:color w:val="000000"/>
          <w:shd w:val="clear" w:color="auto" w:fill="FFFFFF"/>
        </w:rPr>
        <w:t>in patients with intolerance to standard therapy were 56.6% (CI:</w:t>
      </w:r>
      <w:r w:rsidR="00C721A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43.4-56.6) </w:t>
      </w:r>
      <w:r w:rsidRPr="00C721A5">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73.5% (CI: 58.1-84.7), and among non-responders were 59.1% (</w:t>
      </w:r>
      <w:r w:rsidR="00C721A5">
        <w:rPr>
          <w:rFonts w:ascii="Book Antiqua" w:eastAsia="Book Antiqua" w:hAnsi="Book Antiqua" w:cs="Book Antiqua"/>
          <w:color w:val="000000"/>
          <w:shd w:val="clear" w:color="auto" w:fill="FFFFFF"/>
        </w:rPr>
        <w:t xml:space="preserve">CI: </w:t>
      </w:r>
      <w:r>
        <w:rPr>
          <w:rFonts w:ascii="Book Antiqua" w:eastAsia="Book Antiqua" w:hAnsi="Book Antiqua" w:cs="Book Antiqua"/>
          <w:color w:val="000000"/>
          <w:shd w:val="clear" w:color="auto" w:fill="FFFFFF"/>
        </w:rPr>
        <w:t xml:space="preserve">48.7-68.8) </w:t>
      </w:r>
      <w:r w:rsidRPr="00C721A5">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40.8% (CI: 32.3-50.0), respectively.</w:t>
      </w:r>
      <w:r>
        <w:rPr>
          <w:rFonts w:ascii="Book Antiqua" w:eastAsia="Book Antiqua" w:hAnsi="Book Antiqua" w:cs="Book Antiqua"/>
          <w:color w:val="000000"/>
        </w:rPr>
        <w:t xml:space="preserve"> Moreover, the o</w:t>
      </w:r>
      <w:r>
        <w:rPr>
          <w:rFonts w:ascii="Book Antiqua" w:eastAsia="Book Antiqua" w:hAnsi="Book Antiqua" w:cs="Book Antiqua"/>
          <w:color w:val="000000"/>
          <w:shd w:val="clear" w:color="auto" w:fill="FFFFFF"/>
        </w:rPr>
        <w:t>verall quality assessments using GRADE proved to be very low for all our outcomes in both treatment groups.</w:t>
      </w:r>
    </w:p>
    <w:p w14:paraId="3CC410C5" w14:textId="77777777" w:rsidR="00A77B3E" w:rsidRDefault="00A77B3E">
      <w:pPr>
        <w:spacing w:line="360" w:lineRule="auto"/>
        <w:jc w:val="both"/>
      </w:pPr>
    </w:p>
    <w:p w14:paraId="48C43241" w14:textId="77777777" w:rsidR="00A77B3E" w:rsidRDefault="000D6A55">
      <w:pPr>
        <w:spacing w:line="360" w:lineRule="auto"/>
        <w:jc w:val="both"/>
      </w:pPr>
      <w:r>
        <w:rPr>
          <w:rFonts w:ascii="Book Antiqua" w:eastAsia="Book Antiqua" w:hAnsi="Book Antiqua" w:cs="Book Antiqua"/>
          <w:color w:val="000000"/>
        </w:rPr>
        <w:t>CONCLUSION</w:t>
      </w:r>
    </w:p>
    <w:p w14:paraId="29C8B58A" w14:textId="40695765" w:rsidR="00A77B3E" w:rsidRDefault="000D6A55">
      <w:pPr>
        <w:spacing w:line="360" w:lineRule="auto"/>
        <w:jc w:val="both"/>
      </w:pPr>
      <w:r>
        <w:rPr>
          <w:rFonts w:ascii="Book Antiqua" w:eastAsia="Book Antiqua" w:hAnsi="Book Antiqua" w:cs="Book Antiqua"/>
          <w:color w:val="000000"/>
          <w:shd w:val="clear" w:color="auto" w:fill="FFFFFF"/>
        </w:rPr>
        <w:lastRenderedPageBreak/>
        <w:t xml:space="preserve">Tacrolimus and </w:t>
      </w:r>
      <w:r>
        <w:rPr>
          <w:rFonts w:ascii="Book Antiqua" w:eastAsia="Book Antiqua" w:hAnsi="Book Antiqua" w:cs="Book Antiqua"/>
          <w:color w:val="000000"/>
        </w:rPr>
        <w:t xml:space="preserve">MMF </w:t>
      </w:r>
      <w:r>
        <w:rPr>
          <w:rFonts w:ascii="Book Antiqua" w:eastAsia="Book Antiqua" w:hAnsi="Book Antiqua" w:cs="Book Antiqua"/>
          <w:color w:val="000000"/>
          <w:shd w:val="clear" w:color="auto" w:fill="FFFFFF"/>
        </w:rPr>
        <w:t>are in practice considered effective for patients with AIH who are non-responders or intolerant to first-line treatment, but we found no high</w:t>
      </w:r>
      <w:r w:rsidR="00E25E1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quality evidence to support</w:t>
      </w:r>
      <w:r>
        <w:rPr>
          <w:rFonts w:ascii="Book Antiqua" w:eastAsia="Book Antiqua" w:hAnsi="Book Antiqua" w:cs="Book Antiqua"/>
          <w:color w:val="000000"/>
        </w:rPr>
        <w:t xml:space="preserve"> this statement.</w:t>
      </w:r>
    </w:p>
    <w:p w14:paraId="13E94561" w14:textId="77777777" w:rsidR="00A77B3E" w:rsidRDefault="00A77B3E">
      <w:pPr>
        <w:spacing w:line="360" w:lineRule="auto"/>
        <w:jc w:val="both"/>
      </w:pPr>
    </w:p>
    <w:p w14:paraId="77175055" w14:textId="4E098189" w:rsidR="00A77B3E" w:rsidRDefault="000D6A55">
      <w:pPr>
        <w:spacing w:line="360" w:lineRule="auto"/>
        <w:jc w:val="both"/>
      </w:pPr>
      <w:r>
        <w:rPr>
          <w:rFonts w:ascii="Book Antiqua" w:eastAsia="Book Antiqua" w:hAnsi="Book Antiqua" w:cs="Book Antiqua"/>
          <w:b/>
          <w:bCs/>
          <w:color w:val="000000"/>
        </w:rPr>
        <w:t xml:space="preserve">Key Words: </w:t>
      </w:r>
      <w:r w:rsidR="00D32E2A">
        <w:rPr>
          <w:rFonts w:ascii="Book Antiqua" w:eastAsia="Book Antiqua" w:hAnsi="Book Antiqua" w:cs="Book Antiqua"/>
          <w:color w:val="000000"/>
        </w:rPr>
        <w:t>A</w:t>
      </w:r>
      <w:r w:rsidR="00D32E2A" w:rsidRPr="00D32E2A">
        <w:rPr>
          <w:rFonts w:ascii="Book Antiqua" w:eastAsia="Book Antiqua" w:hAnsi="Book Antiqua" w:cs="Book Antiqua"/>
          <w:color w:val="000000"/>
        </w:rPr>
        <w:t>utoimmune hepatitis</w:t>
      </w:r>
      <w:r>
        <w:rPr>
          <w:rFonts w:ascii="Book Antiqua" w:eastAsia="Book Antiqua" w:hAnsi="Book Antiqua" w:cs="Book Antiqua"/>
          <w:color w:val="000000"/>
        </w:rPr>
        <w:t xml:space="preserve">; Efficacy; </w:t>
      </w:r>
      <w:r w:rsidR="00D32E2A" w:rsidRPr="00D32E2A">
        <w:rPr>
          <w:rFonts w:ascii="Book Antiqua" w:eastAsia="Book Antiqua" w:hAnsi="Book Antiqua" w:cs="Book Antiqua"/>
          <w:color w:val="000000"/>
        </w:rPr>
        <w:t>Grading of Recommendations Assessment, Development and Evaluation approach</w:t>
      </w:r>
      <w:r>
        <w:rPr>
          <w:rFonts w:ascii="Book Antiqua" w:eastAsia="Book Antiqua" w:hAnsi="Book Antiqua" w:cs="Book Antiqua"/>
          <w:color w:val="000000"/>
        </w:rPr>
        <w:t>; Systematic review; Meta-analysis; Second-line</w:t>
      </w:r>
    </w:p>
    <w:p w14:paraId="5471D2A0" w14:textId="77777777" w:rsidR="00A77B3E" w:rsidRDefault="00A77B3E">
      <w:pPr>
        <w:spacing w:line="360" w:lineRule="auto"/>
        <w:jc w:val="both"/>
      </w:pPr>
    </w:p>
    <w:p w14:paraId="2DAA26CF" w14:textId="77777777" w:rsidR="00A77B3E" w:rsidRDefault="000D6A55">
      <w:pPr>
        <w:spacing w:line="360" w:lineRule="auto"/>
        <w:jc w:val="both"/>
      </w:pPr>
      <w:proofErr w:type="spellStart"/>
      <w:r>
        <w:rPr>
          <w:rFonts w:ascii="Book Antiqua" w:eastAsia="Book Antiqua" w:hAnsi="Book Antiqua" w:cs="Book Antiqua"/>
          <w:color w:val="000000"/>
        </w:rPr>
        <w:t>Abdollahi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Khalilian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Ekrami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Ghojazadeh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Boezen</w:t>
      </w:r>
      <w:proofErr w:type="spellEnd"/>
      <w:r>
        <w:rPr>
          <w:rFonts w:ascii="Book Antiqua" w:eastAsia="Book Antiqua" w:hAnsi="Book Antiqua" w:cs="Book Antiqua"/>
          <w:color w:val="000000"/>
        </w:rPr>
        <w:t xml:space="preserve"> HM, </w:t>
      </w:r>
      <w:proofErr w:type="spellStart"/>
      <w:r>
        <w:rPr>
          <w:rFonts w:ascii="Book Antiqua" w:eastAsia="Book Antiqua" w:hAnsi="Book Antiqua" w:cs="Book Antiqua"/>
          <w:color w:val="000000"/>
        </w:rPr>
        <w:t>Somi</w:t>
      </w:r>
      <w:proofErr w:type="spellEnd"/>
      <w:r>
        <w:rPr>
          <w:rFonts w:ascii="Book Antiqua" w:eastAsia="Book Antiqua" w:hAnsi="Book Antiqua" w:cs="Book Antiqua"/>
          <w:color w:val="000000"/>
        </w:rPr>
        <w:t xml:space="preserve"> M, Alizadeh BZ. Tacrolimus and mycophenolate mofetil as second-line treatment in autoimmune hepatitis: Is the evidence of sufficient quality to develop recommendations?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p w14:paraId="739F8F24" w14:textId="77777777" w:rsidR="00A77B3E" w:rsidRDefault="00A77B3E">
      <w:pPr>
        <w:spacing w:line="360" w:lineRule="auto"/>
        <w:jc w:val="both"/>
      </w:pPr>
    </w:p>
    <w:p w14:paraId="6DAAC16C" w14:textId="19E50C08" w:rsidR="00A77B3E" w:rsidRDefault="000D6A55">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There is no consensus in the literature on which second-line treatment is superior in autoimmune hepatitis (AIH). This is the first systematic review and meta-analysis to compare the efficacy and safety of tacrolimus and mycophenolate mofetil </w:t>
      </w:r>
      <w:r w:rsidR="00D6304E">
        <w:rPr>
          <w:rFonts w:ascii="Book Antiqua" w:eastAsia="Book Antiqua" w:hAnsi="Book Antiqua" w:cs="Book Antiqua"/>
          <w:color w:val="000000"/>
        </w:rPr>
        <w:t xml:space="preserve">(MMF) </w:t>
      </w:r>
      <w:r>
        <w:rPr>
          <w:rFonts w:ascii="Book Antiqua" w:eastAsia="Book Antiqua" w:hAnsi="Book Antiqua" w:cs="Book Antiqua"/>
          <w:color w:val="000000"/>
        </w:rPr>
        <w:t>as second-line treatments in AIH. We also evaluated the quality of evidence for adding to the clinical guidelines for routine practice. We conclude that tacrolimus and MMF are considered effective for patients who are non-responders or intolerant to first-line treatment, but the quality of evidence is not high and it is questionable if these results should be added to clinical guidelines for AIH.</w:t>
      </w:r>
    </w:p>
    <w:p w14:paraId="4ACB4BC3" w14:textId="62CAD1F2" w:rsidR="00A77B3E" w:rsidRDefault="00D6304E">
      <w:pPr>
        <w:spacing w:line="360" w:lineRule="auto"/>
        <w:jc w:val="both"/>
      </w:pPr>
      <w:r>
        <w:rPr>
          <w:rFonts w:ascii="Book Antiqua" w:eastAsia="Book Antiqua" w:hAnsi="Book Antiqua" w:cs="Book Antiqua"/>
          <w:b/>
          <w:caps/>
          <w:color w:val="000000"/>
          <w:u w:val="single"/>
        </w:rPr>
        <w:br w:type="page"/>
      </w:r>
      <w:r w:rsidR="000D6A55">
        <w:rPr>
          <w:rFonts w:ascii="Book Antiqua" w:eastAsia="Book Antiqua" w:hAnsi="Book Antiqua" w:cs="Book Antiqua"/>
          <w:b/>
          <w:caps/>
          <w:color w:val="000000"/>
          <w:u w:val="single"/>
        </w:rPr>
        <w:lastRenderedPageBreak/>
        <w:t>INTRODUCTION</w:t>
      </w:r>
    </w:p>
    <w:p w14:paraId="742657AC" w14:textId="621A482E" w:rsidR="00A77B3E" w:rsidRDefault="000D6A55">
      <w:pPr>
        <w:spacing w:line="360" w:lineRule="auto"/>
        <w:jc w:val="both"/>
      </w:pPr>
      <w:r>
        <w:rPr>
          <w:rFonts w:ascii="Book Antiqua" w:eastAsia="Book Antiqua" w:hAnsi="Book Antiqua" w:cs="Book Antiqua"/>
          <w:color w:val="000000"/>
        </w:rPr>
        <w:t>Autoimmune hepatitis (AIH) is a rare, chronic, inflammatory liver disease, characterized by elevated transaminase and immunoglobulin G levels, positive autoantibodies and interface hepatitis at liver histology</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It affects people of all ages and can lead to cirrhosis, hepatic failure, liver transplantation, and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Despite the availability of effective treatment and an evident good response to therapy, patients have a poor prognosis if the disease is left untreated or is treated </w:t>
      </w:r>
      <w:proofErr w:type="spellStart"/>
      <w:proofErr w:type="gramStart"/>
      <w:r>
        <w:rPr>
          <w:rFonts w:ascii="Book Antiqua" w:eastAsia="Book Antiqua" w:hAnsi="Book Antiqua" w:cs="Book Antiqua"/>
          <w:color w:val="000000"/>
        </w:rPr>
        <w:t>suboptimally</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p>
    <w:p w14:paraId="7DFE4789" w14:textId="02DF2BC3" w:rsidR="00A77B3E" w:rsidRDefault="000D6A55" w:rsidP="00B71904">
      <w:pPr>
        <w:spacing w:line="360" w:lineRule="auto"/>
        <w:ind w:firstLineChars="100" w:firstLine="240"/>
        <w:jc w:val="both"/>
      </w:pPr>
      <w:r>
        <w:rPr>
          <w:rFonts w:ascii="Book Antiqua" w:eastAsia="Book Antiqua" w:hAnsi="Book Antiqua" w:cs="Book Antiqua"/>
          <w:color w:val="000000"/>
        </w:rPr>
        <w:t>Standard first-line treatment of AIH is based on prednisolone, either given alone or in combination with azathioprine (AZA</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these treatments lead to remission in 80% of patients</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However, about 20% of patients are refractory to standard treatment; this could be a result of suboptimal response, including treatment failure or incomplete response, or because patients are intolerant to standard treatment due to side-</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Thus, several second-line treatment modalities have been introduced for refractory AIH patients, including tacrolimus, mycophenolate mofetil (MMF), cyclosporine and </w:t>
      </w:r>
      <w:proofErr w:type="gramStart"/>
      <w:r>
        <w:rPr>
          <w:rFonts w:ascii="Book Antiqua" w:eastAsia="Book Antiqua" w:hAnsi="Book Antiqua" w:cs="Book Antiqua"/>
          <w:color w:val="000000"/>
        </w:rPr>
        <w:t>budesonide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Tacrolimus is a calcineurin inhibitor, which exerts more potent immunosuppressive effects on CD4+ T</w:t>
      </w:r>
      <w:r w:rsidR="00B71904">
        <w:rPr>
          <w:rFonts w:ascii="Book Antiqua" w:eastAsia="Book Antiqua" w:hAnsi="Book Antiqua" w:cs="Book Antiqua"/>
          <w:color w:val="000000"/>
        </w:rPr>
        <w:t xml:space="preserve"> </w:t>
      </w:r>
      <w:r>
        <w:rPr>
          <w:rFonts w:ascii="Book Antiqua" w:eastAsia="Book Antiqua" w:hAnsi="Book Antiqua" w:cs="Book Antiqua"/>
          <w:color w:val="000000"/>
        </w:rPr>
        <w:t xml:space="preserve">helper cells with fewer cosmetic side-effects. MMF is a purine antagonist similar to AZA, but it has more potent immunosuppressive properties and is better tolerated than </w:t>
      </w:r>
      <w:proofErr w:type="gramStart"/>
      <w:r>
        <w:rPr>
          <w:rFonts w:ascii="Book Antiqua" w:eastAsia="Book Antiqua" w:hAnsi="Book Antiqua" w:cs="Book Antiqua"/>
          <w:color w:val="000000"/>
        </w:rPr>
        <w:t>AZA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sidR="00B71904">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Tacrolimus and MMF have empirically been used the most, as alternative medications based on the American Association for the Study of Liver Diseases (AASLD) </w:t>
      </w:r>
      <w:proofErr w:type="gramStart"/>
      <w:r>
        <w:rPr>
          <w:rFonts w:ascii="Book Antiqua" w:eastAsia="Book Antiqua" w:hAnsi="Book Antiqua" w:cs="Book Antiqua"/>
          <w:color w:val="000000"/>
        </w:rPr>
        <w:t>practice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They are the most used drugs based on expert </w:t>
      </w:r>
      <w:proofErr w:type="gramStart"/>
      <w:r>
        <w:rPr>
          <w:rFonts w:ascii="Book Antiqua" w:eastAsia="Book Antiqua" w:hAnsi="Book Antiqua" w:cs="Book Antiqua"/>
          <w:color w:val="000000"/>
        </w:rPr>
        <w:t>opinions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Nevertheless, the efficacy and superiority of these interventions compared to using high-dose prednisolone and AZA has not been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Furthermore, there is a lack of primary consensus on overall drug side-effects and disease mortality, at least for tacrolimus.</w:t>
      </w:r>
    </w:p>
    <w:p w14:paraId="1F0B3BE5" w14:textId="580B6FC9" w:rsidR="00A77B3E" w:rsidRDefault="000D6A55" w:rsidP="00C741B7">
      <w:pPr>
        <w:spacing w:line="360" w:lineRule="auto"/>
        <w:ind w:firstLineChars="100" w:firstLine="240"/>
        <w:jc w:val="both"/>
      </w:pPr>
      <w:r>
        <w:rPr>
          <w:rFonts w:ascii="Book Antiqua" w:eastAsia="Book Antiqua" w:hAnsi="Book Antiqua" w:cs="Book Antiqua"/>
          <w:color w:val="000000"/>
        </w:rPr>
        <w:t xml:space="preserve">The accumulating but still sparse data indicate that refractory AIH patients do respond to these alternative </w:t>
      </w:r>
      <w:proofErr w:type="gramStart"/>
      <w:r>
        <w:rPr>
          <w:rFonts w:ascii="Book Antiqua" w:eastAsia="Book Antiqua" w:hAnsi="Book Antiqua" w:cs="Book Antiqua"/>
          <w:color w:val="000000"/>
        </w:rPr>
        <w:t>treatments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However, there is no firm evidence of their effectiveness. First, there has been no randomized clinical trial (RCT) directly comparing these two medications to each other. Second, the available data are mainly based on small series of patients or case reports, from only a few centers, and little </w:t>
      </w:r>
      <w:r>
        <w:rPr>
          <w:rFonts w:ascii="Book Antiqua" w:eastAsia="Book Antiqua" w:hAnsi="Book Antiqua" w:cs="Book Antiqua"/>
          <w:color w:val="000000"/>
        </w:rPr>
        <w:lastRenderedPageBreak/>
        <w:t xml:space="preserve">quality assessment has been performed. Thus, the translation of these findings to a guideline is </w:t>
      </w:r>
      <w:proofErr w:type="gramStart"/>
      <w:r>
        <w:rPr>
          <w:rFonts w:ascii="Book Antiqua" w:eastAsia="Book Antiqua" w:hAnsi="Book Antiqua" w:cs="Book Antiqua"/>
          <w:color w:val="000000"/>
        </w:rPr>
        <w:t>questionable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Third, two recent meta-analyses, which summarized the effect of the two medications in AIH, had a number of shortcomings. One study focused on improvement of aminotransferases rather than biochemical remission</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while the second study included some (</w:t>
      </w:r>
      <w:r>
        <w:rPr>
          <w:rFonts w:ascii="Book Antiqua" w:eastAsia="Book Antiqua" w:hAnsi="Book Antiqua" w:cs="Book Antiqua"/>
          <w:i/>
          <w:iCs/>
          <w:color w:val="000000"/>
        </w:rPr>
        <w:t>n</w:t>
      </w:r>
      <w:r>
        <w:rPr>
          <w:rFonts w:ascii="Book Antiqua" w:eastAsia="Book Antiqua" w:hAnsi="Book Antiqua" w:cs="Book Antiqua"/>
          <w:color w:val="000000"/>
        </w:rPr>
        <w:t xml:space="preserve"> = 12), but not all of the previously published studies related to MMF, and had analytical issues, such as reporting incorrect heterogeneity, ignoring existing publication bias, and reporting an incorrect overall mortality rate</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Therefore, their conclusions did not appear to be well supported by their results.</w:t>
      </w:r>
    </w:p>
    <w:p w14:paraId="0D05940A" w14:textId="49CC68B5" w:rsidR="00A77B3E" w:rsidRDefault="000D6A55" w:rsidP="00C741B7">
      <w:pPr>
        <w:spacing w:line="360" w:lineRule="auto"/>
        <w:ind w:firstLineChars="100" w:firstLine="240"/>
        <w:jc w:val="both"/>
      </w:pPr>
      <w:r>
        <w:rPr>
          <w:rFonts w:ascii="Book Antiqua" w:eastAsia="Book Antiqua" w:hAnsi="Book Antiqua" w:cs="Book Antiqua"/>
          <w:color w:val="000000"/>
        </w:rPr>
        <w:t xml:space="preserve">Furthermore, there is no systematic review or meta-analysis to compare tacrolimus with MMF as a second-line treatment in refractory AIH, or to evaluate the adverse effects, safety profile, and mortality rate of tacrolimus as a second-line treatment in refractory AIH. Recently two studies reported on the efficacy of </w:t>
      </w:r>
      <w:proofErr w:type="gramStart"/>
      <w:r>
        <w:rPr>
          <w:rFonts w:ascii="Book Antiqua" w:eastAsia="Book Antiqua" w:hAnsi="Book Antiqua" w:cs="Book Antiqua"/>
          <w:color w:val="000000"/>
        </w:rPr>
        <w:t>tacrolimus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and MMF</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as second-line treatment in AIH; these both need to be added to the overall assessment of the efficacy of these two medications in refractory AIH. In the absence of classical RCTs, and the shortcomings of previous investigations, there were still no comprehensive studies to evaluate the superiority of these two drugs for refractory AIH patients. The main question is whether there is sufficient high-quality scientific evidence to adapt the clinical guidelines.</w:t>
      </w:r>
    </w:p>
    <w:p w14:paraId="2A0D00ED" w14:textId="07140A55" w:rsidR="00A77B3E" w:rsidRDefault="000D6A55" w:rsidP="00C741B7">
      <w:pPr>
        <w:spacing w:line="360" w:lineRule="auto"/>
        <w:ind w:firstLineChars="100" w:firstLine="240"/>
        <w:jc w:val="both"/>
      </w:pPr>
      <w:r>
        <w:rPr>
          <w:rFonts w:ascii="Book Antiqua" w:eastAsia="Book Antiqua" w:hAnsi="Book Antiqua" w:cs="Book Antiqua"/>
          <w:color w:val="000000"/>
        </w:rPr>
        <w:t>Therefore, to study whether tacrolimus and MMF are superior alternative treatments, we firstly performed a systematic review and meta-analysis on the efficacy and safety of these treatments as second-line treatment in AIH patients. We also critically checked whether the quality of evidence, assessed by the Grading of Recommendations Assessment, Development and Evaluation (GRADE) approach</w:t>
      </w:r>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 was sufficient to support adapting the clinical guidelines for routine practice.</w:t>
      </w:r>
    </w:p>
    <w:p w14:paraId="4FE94DE7" w14:textId="77777777" w:rsidR="00A77B3E" w:rsidRDefault="00A77B3E" w:rsidP="009E4B2F">
      <w:pPr>
        <w:spacing w:line="360" w:lineRule="auto"/>
        <w:jc w:val="both"/>
      </w:pPr>
    </w:p>
    <w:p w14:paraId="445E6D89" w14:textId="77777777" w:rsidR="00A77B3E" w:rsidRDefault="000D6A55">
      <w:pPr>
        <w:spacing w:line="360" w:lineRule="auto"/>
        <w:jc w:val="both"/>
      </w:pPr>
      <w:r>
        <w:rPr>
          <w:rFonts w:ascii="Book Antiqua" w:eastAsia="Book Antiqua" w:hAnsi="Book Antiqua" w:cs="Book Antiqua"/>
          <w:b/>
          <w:caps/>
          <w:color w:val="000000"/>
          <w:u w:val="single"/>
        </w:rPr>
        <w:t>MATERIALS AND METHODS</w:t>
      </w:r>
    </w:p>
    <w:p w14:paraId="10FD9D78" w14:textId="77777777" w:rsidR="00C53AA4" w:rsidRPr="00C53AA4" w:rsidRDefault="000D6A55">
      <w:pPr>
        <w:spacing w:line="360" w:lineRule="auto"/>
        <w:jc w:val="both"/>
        <w:rPr>
          <w:rFonts w:ascii="Book Antiqua" w:eastAsia="Book Antiqua" w:hAnsi="Book Antiqua" w:cs="Book Antiqua"/>
          <w:b/>
          <w:bCs/>
          <w:i/>
          <w:iCs/>
          <w:color w:val="000000"/>
        </w:rPr>
      </w:pPr>
      <w:r w:rsidRPr="00C53AA4">
        <w:rPr>
          <w:rFonts w:ascii="Book Antiqua" w:eastAsia="Book Antiqua" w:hAnsi="Book Antiqua" w:cs="Book Antiqua"/>
          <w:b/>
          <w:bCs/>
          <w:i/>
          <w:iCs/>
          <w:color w:val="000000"/>
        </w:rPr>
        <w:t xml:space="preserve">Protocol and registration </w:t>
      </w:r>
    </w:p>
    <w:p w14:paraId="759CF9B5" w14:textId="39DD84B3" w:rsidR="00A77B3E" w:rsidRDefault="000D6A5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This study was conducted according to the guidelines in Meta-analysis of Observational Studies in Epidemiology (MOOSE</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14:paraId="023899AD" w14:textId="77777777" w:rsidR="00C53AA4" w:rsidRDefault="00C53AA4">
      <w:pPr>
        <w:spacing w:line="360" w:lineRule="auto"/>
        <w:jc w:val="both"/>
      </w:pPr>
    </w:p>
    <w:p w14:paraId="7D0EF488" w14:textId="7FEE30F0" w:rsidR="00C53AA4" w:rsidRPr="00C53AA4" w:rsidRDefault="000D6A55">
      <w:pPr>
        <w:spacing w:line="360" w:lineRule="auto"/>
        <w:jc w:val="both"/>
        <w:rPr>
          <w:rFonts w:ascii="Book Antiqua" w:eastAsia="Book Antiqua" w:hAnsi="Book Antiqua" w:cs="Book Antiqua"/>
          <w:b/>
          <w:bCs/>
          <w:i/>
          <w:iCs/>
          <w:color w:val="000000"/>
        </w:rPr>
      </w:pPr>
      <w:r w:rsidRPr="00C53AA4">
        <w:rPr>
          <w:rFonts w:ascii="Book Antiqua" w:eastAsia="Book Antiqua" w:hAnsi="Book Antiqua" w:cs="Book Antiqua"/>
          <w:b/>
          <w:bCs/>
          <w:i/>
          <w:iCs/>
          <w:color w:val="000000"/>
        </w:rPr>
        <w:t>Information sources and search strategies</w:t>
      </w:r>
    </w:p>
    <w:p w14:paraId="222485E6" w14:textId="25ED7044" w:rsidR="00A77B3E" w:rsidRPr="00C653A4" w:rsidRDefault="000D6A55">
      <w:pPr>
        <w:spacing w:line="360" w:lineRule="auto"/>
        <w:jc w:val="both"/>
        <w:rPr>
          <w:rFonts w:ascii="Book Antiqua" w:eastAsia="Book Antiqua" w:hAnsi="Book Antiqua" w:cs="Book Antiqua"/>
          <w:color w:val="000000"/>
        </w:rPr>
      </w:pPr>
      <w:r w:rsidRPr="00C653A4">
        <w:rPr>
          <w:rFonts w:ascii="Book Antiqua" w:eastAsia="Book Antiqua" w:hAnsi="Book Antiqua" w:cs="Book Antiqua"/>
          <w:color w:val="000000"/>
        </w:rPr>
        <w:t xml:space="preserve">We reviewed the </w:t>
      </w:r>
      <w:hyperlink r:id="rId7" w:tooltip="Literature review" w:history="1">
        <w:r w:rsidRPr="00C653A4">
          <w:rPr>
            <w:rFonts w:ascii="Book Antiqua" w:eastAsia="Book Antiqua" w:hAnsi="Book Antiqua" w:cs="Book Antiqua"/>
            <w:color w:val="000000"/>
          </w:rPr>
          <w:t xml:space="preserve">literature, </w:t>
        </w:r>
      </w:hyperlink>
      <w:r w:rsidRPr="00C653A4">
        <w:rPr>
          <w:rFonts w:ascii="Book Antiqua" w:eastAsia="Book Antiqua" w:hAnsi="Book Antiqua" w:cs="Book Antiqua"/>
          <w:color w:val="000000"/>
        </w:rPr>
        <w:t>focusing on our aim to identify, appraise, select and synthesize all the high-quality evidence available. To identify published articles and ongoing studies, we conducted a comprehensive search of electronic databases, including PubMed, EMBASE and Cochrane Central Register, with additional searching of the clinical trials website at www.clinicaltrials.gov. All databases were searched from their inception through October 2019, with no language restrictions. The search strategy was designed with the help of an experienced medical librarian and with input from investigators. Search terms were selected using Medical Subject Headings (Mesh) terms, including (but not limited to) "Hepatitis, Autoimmune", "Tacrolimus", "Mycophenolic Acid</w:t>
      </w:r>
      <w:r w:rsidR="00C653A4">
        <w:rPr>
          <w:rFonts w:ascii="Book Antiqua" w:eastAsia="Book Antiqua" w:hAnsi="Book Antiqua" w:cs="Book Antiqua"/>
          <w:color w:val="000000"/>
        </w:rPr>
        <w:t>”</w:t>
      </w:r>
      <w:r w:rsidRPr="00C653A4">
        <w:rPr>
          <w:rFonts w:ascii="Book Antiqua" w:eastAsia="Book Antiqua" w:hAnsi="Book Antiqua" w:cs="Book Antiqua"/>
          <w:color w:val="000000"/>
        </w:rPr>
        <w:t xml:space="preserve"> and "Drug Resistance". In addition, to minimize the chance of missing any study, the reference lists of the included articles were searched individually for additional studies.</w:t>
      </w:r>
    </w:p>
    <w:p w14:paraId="3BBAAC5D" w14:textId="77777777" w:rsidR="00945330" w:rsidRDefault="00945330">
      <w:pPr>
        <w:spacing w:line="360" w:lineRule="auto"/>
        <w:jc w:val="both"/>
      </w:pPr>
    </w:p>
    <w:p w14:paraId="783A3D2F" w14:textId="1AA36F75" w:rsidR="00945330" w:rsidRPr="00945330" w:rsidRDefault="000D6A55">
      <w:pPr>
        <w:spacing w:line="360" w:lineRule="auto"/>
        <w:jc w:val="both"/>
        <w:rPr>
          <w:rFonts w:ascii="Book Antiqua" w:eastAsia="Book Antiqua" w:hAnsi="Book Antiqua" w:cs="Book Antiqua"/>
          <w:b/>
          <w:bCs/>
          <w:i/>
          <w:iCs/>
          <w:color w:val="000000"/>
        </w:rPr>
      </w:pPr>
      <w:r w:rsidRPr="00945330">
        <w:rPr>
          <w:rFonts w:ascii="Book Antiqua" w:eastAsia="Book Antiqua" w:hAnsi="Book Antiqua" w:cs="Book Antiqua"/>
          <w:b/>
          <w:bCs/>
          <w:i/>
          <w:iCs/>
          <w:color w:val="000000"/>
        </w:rPr>
        <w:t>Eligibility criteria</w:t>
      </w:r>
    </w:p>
    <w:p w14:paraId="6E3186D1" w14:textId="3A8E276D" w:rsidR="00A77B3E" w:rsidRDefault="000D6A5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 included studies which met the following criteria:</w:t>
      </w:r>
      <w:r>
        <w:rPr>
          <w:rFonts w:ascii="Book Antiqua" w:eastAsia="Book Antiqua" w:hAnsi="Book Antiqua" w:cs="Book Antiqua"/>
          <w:b/>
          <w:bCs/>
          <w:i/>
          <w:iCs/>
          <w:color w:val="000000"/>
        </w:rPr>
        <w:t xml:space="preserve"> </w:t>
      </w:r>
      <w:r>
        <w:rPr>
          <w:rFonts w:ascii="Book Antiqua" w:eastAsia="Book Antiqua" w:hAnsi="Book Antiqua" w:cs="Book Antiqua"/>
          <w:color w:val="000000"/>
        </w:rPr>
        <w:t>randomized or non-randomized controlled trials, case series of any duration, cohort studies, and reports that provided data on patients over 18 years with AIH who failed or were unable to tolerate first-line therapy prior to liver transplantation.</w:t>
      </w:r>
      <w:r>
        <w:rPr>
          <w:rFonts w:ascii="Book Antiqua" w:eastAsia="Book Antiqua" w:hAnsi="Book Antiqua" w:cs="Book Antiqua"/>
          <w:b/>
          <w:bCs/>
          <w:color w:val="000000"/>
        </w:rPr>
        <w:t xml:space="preserve"> </w:t>
      </w:r>
      <w:r>
        <w:rPr>
          <w:rFonts w:ascii="Book Antiqua" w:eastAsia="Book Antiqua" w:hAnsi="Book Antiqua" w:cs="Book Antiqua"/>
          <w:color w:val="000000"/>
        </w:rPr>
        <w:t>Studies that used tacrolimus and/or MMF had to report on the disease outcomes studied. We excluded studies that reported data for AIH in children or adolescents aged ≤</w:t>
      </w:r>
      <w:r w:rsidR="00945330">
        <w:rPr>
          <w:rFonts w:ascii="Book Antiqua" w:eastAsia="Book Antiqua" w:hAnsi="Book Antiqua" w:cs="Book Antiqua"/>
          <w:color w:val="000000"/>
        </w:rPr>
        <w:t xml:space="preserve"> </w:t>
      </w:r>
      <w:r>
        <w:rPr>
          <w:rFonts w:ascii="Book Antiqua" w:eastAsia="Book Antiqua" w:hAnsi="Book Antiqua" w:cs="Book Antiqua"/>
          <w:color w:val="000000"/>
        </w:rPr>
        <w:t xml:space="preserve">18 years, because they have a more aggressive disease, often with a more acute </w:t>
      </w:r>
      <w:proofErr w:type="gramStart"/>
      <w:r>
        <w:rPr>
          <w:rFonts w:ascii="Book Antiqua" w:eastAsia="Book Antiqua" w:hAnsi="Book Antiqua" w:cs="Book Antiqua"/>
          <w:color w:val="000000"/>
        </w:rPr>
        <w:t>presentation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and they therefore need a different management</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or that reported data on patients who had had a liver transplantation.</w:t>
      </w:r>
    </w:p>
    <w:p w14:paraId="7A8B61DA" w14:textId="77777777" w:rsidR="00945330" w:rsidRDefault="00945330">
      <w:pPr>
        <w:spacing w:line="360" w:lineRule="auto"/>
        <w:jc w:val="both"/>
      </w:pPr>
    </w:p>
    <w:p w14:paraId="3DCE3210" w14:textId="20C6CF06" w:rsidR="00945330" w:rsidRPr="00945330" w:rsidRDefault="000D6A55">
      <w:pPr>
        <w:spacing w:line="360" w:lineRule="auto"/>
        <w:jc w:val="both"/>
        <w:rPr>
          <w:rFonts w:ascii="Book Antiqua" w:eastAsia="Book Antiqua" w:hAnsi="Book Antiqua" w:cs="Book Antiqua"/>
          <w:b/>
          <w:bCs/>
          <w:i/>
          <w:iCs/>
          <w:color w:val="000000"/>
        </w:rPr>
      </w:pPr>
      <w:r w:rsidRPr="00945330">
        <w:rPr>
          <w:rFonts w:ascii="Book Antiqua" w:eastAsia="Book Antiqua" w:hAnsi="Book Antiqua" w:cs="Book Antiqua"/>
          <w:b/>
          <w:bCs/>
          <w:i/>
          <w:iCs/>
          <w:color w:val="000000"/>
        </w:rPr>
        <w:t>Outcomes</w:t>
      </w:r>
    </w:p>
    <w:p w14:paraId="7D0DFDF4" w14:textId="5035DF8E" w:rsidR="00A77B3E" w:rsidRDefault="000D6A55">
      <w:pPr>
        <w:spacing w:line="360" w:lineRule="auto"/>
        <w:jc w:val="both"/>
      </w:pPr>
      <w:r>
        <w:rPr>
          <w:rFonts w:ascii="Book Antiqua" w:eastAsia="Book Antiqua" w:hAnsi="Book Antiqua" w:cs="Book Antiqua"/>
          <w:color w:val="000000"/>
        </w:rPr>
        <w:t xml:space="preserve">Biochemical remission was the primary outcome for our study. This was defined as the disappearance of symptoms, normal serum bilirubin, γ-globulin and serum aminotransferase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Secondary outcomes were the occurrence of adverse events </w:t>
      </w:r>
      <w:r>
        <w:rPr>
          <w:rFonts w:ascii="Book Antiqua" w:eastAsia="Book Antiqua" w:hAnsi="Book Antiqua" w:cs="Book Antiqua"/>
          <w:color w:val="000000"/>
        </w:rPr>
        <w:lastRenderedPageBreak/>
        <w:t>and mortality</w:t>
      </w:r>
      <w:r>
        <w:rPr>
          <w:rFonts w:ascii="Book Antiqua" w:eastAsia="Book Antiqua" w:hAnsi="Book Antiqua" w:cs="Book Antiqua"/>
          <w:i/>
          <w:iCs/>
          <w:color w:val="000000"/>
        </w:rPr>
        <w:t>.</w:t>
      </w:r>
      <w:r>
        <w:rPr>
          <w:rFonts w:ascii="Book Antiqua" w:eastAsia="Book Antiqua" w:hAnsi="Book Antiqua" w:cs="Book Antiqua"/>
          <w:color w:val="000000"/>
        </w:rPr>
        <w:t xml:space="preserve"> We evaluated the available data for these outcomes per individual in the studies included in our analysis. For example, if γ-globulin levels were not described in a certain study, we used the variables available, such as clinical and biochemical variables, to reach the most likely definition of remission for that study.</w:t>
      </w:r>
    </w:p>
    <w:p w14:paraId="1CD46790" w14:textId="710BA9DB" w:rsidR="00A77B3E" w:rsidRDefault="000D6A55" w:rsidP="0094533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Some studies reported biochemical remission depending on the reason for using second-line therapy (intolerance </w:t>
      </w:r>
      <w:r w:rsidRPr="00C721A5">
        <w:rPr>
          <w:rFonts w:ascii="Book Antiqua" w:eastAsia="Book Antiqua" w:hAnsi="Book Antiqua" w:cs="Book Antiqua"/>
          <w:i/>
          <w:iCs/>
          <w:color w:val="000000"/>
        </w:rPr>
        <w:t>vs</w:t>
      </w:r>
      <w:r>
        <w:rPr>
          <w:rFonts w:ascii="Book Antiqua" w:eastAsia="Book Antiqua" w:hAnsi="Book Antiqua" w:cs="Book Antiqua"/>
          <w:color w:val="000000"/>
        </w:rPr>
        <w:t xml:space="preserve"> non-response). Thus, we performed a subgroup analysis in non-responders and those intolerant to standard therapy to compare the effect of tacrolimus and MMF in the two different groups that used the drug as second-line therapy.</w:t>
      </w:r>
    </w:p>
    <w:p w14:paraId="678036C2" w14:textId="77777777" w:rsidR="00945330" w:rsidRDefault="00945330" w:rsidP="00945330">
      <w:pPr>
        <w:spacing w:line="360" w:lineRule="auto"/>
        <w:jc w:val="both"/>
      </w:pPr>
    </w:p>
    <w:p w14:paraId="6C6D62D9" w14:textId="266D02FF" w:rsidR="00945330" w:rsidRPr="00945330" w:rsidRDefault="000D6A55">
      <w:pPr>
        <w:spacing w:line="360" w:lineRule="auto"/>
        <w:jc w:val="both"/>
        <w:rPr>
          <w:rFonts w:ascii="Book Antiqua" w:eastAsia="Book Antiqua" w:hAnsi="Book Antiqua" w:cs="Book Antiqua"/>
          <w:b/>
          <w:bCs/>
          <w:i/>
          <w:iCs/>
          <w:color w:val="000000"/>
        </w:rPr>
      </w:pPr>
      <w:r w:rsidRPr="00945330">
        <w:rPr>
          <w:rFonts w:ascii="Book Antiqua" w:eastAsia="Book Antiqua" w:hAnsi="Book Antiqua" w:cs="Book Antiqua"/>
          <w:b/>
          <w:bCs/>
          <w:i/>
          <w:iCs/>
          <w:color w:val="000000"/>
        </w:rPr>
        <w:t>Study selection and data extraction</w:t>
      </w:r>
    </w:p>
    <w:p w14:paraId="1B95C4C6" w14:textId="3CC1A896" w:rsidR="00A77B3E" w:rsidRDefault="000D6A55">
      <w:pPr>
        <w:spacing w:line="360" w:lineRule="auto"/>
        <w:jc w:val="both"/>
      </w:pPr>
      <w:r>
        <w:rPr>
          <w:rFonts w:ascii="Book Antiqua" w:eastAsia="Book Antiqua" w:hAnsi="Book Antiqua" w:cs="Book Antiqua"/>
          <w:color w:val="000000"/>
        </w:rPr>
        <w:t>After excluding duplicated reports, the reports included in our analysis were reviewed on the basis of their title and abstract by two independent reviewers (MA, MG). Thereafter, the full texts of selected reports were retrieved and independently assessed by both reviewers to identify which studies satisfied our inclusion criteria. Discrepancies between the two reviewers regarding eligibility were solved by jointly looking at the study in question. If no consensus was reached, a third reviewer (BZA) was consulted. Agreement was measured using inter-rater reliability (Cohen's Kappa).</w:t>
      </w:r>
    </w:p>
    <w:p w14:paraId="5BAAA204" w14:textId="12C9AA12" w:rsidR="00A77B3E" w:rsidRDefault="000D6A55" w:rsidP="00EF1ABE">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Next, we extracted data on each study: </w:t>
      </w:r>
      <w:r w:rsidR="004954E7">
        <w:rPr>
          <w:rFonts w:ascii="Book Antiqua" w:eastAsia="Book Antiqua" w:hAnsi="Book Antiqua" w:cs="Book Antiqua"/>
          <w:color w:val="000000"/>
        </w:rPr>
        <w:t>S</w:t>
      </w:r>
      <w:r>
        <w:rPr>
          <w:rFonts w:ascii="Book Antiqua" w:eastAsia="Book Antiqua" w:hAnsi="Book Antiqua" w:cs="Book Antiqua"/>
          <w:color w:val="000000"/>
        </w:rPr>
        <w:t>tudy characteristics (including the surname of the first author and year of publication), patients’ characteristics (including mean age and number of patients), intervention characteristics (including duration of applied therapy and length of follow-up), as well as data on our primary and secondary outcome measures.</w:t>
      </w:r>
    </w:p>
    <w:p w14:paraId="023A8B40" w14:textId="77777777" w:rsidR="00EF1ABE" w:rsidRDefault="00EF1ABE" w:rsidP="00EF1ABE">
      <w:pPr>
        <w:spacing w:line="360" w:lineRule="auto"/>
        <w:jc w:val="both"/>
      </w:pPr>
    </w:p>
    <w:p w14:paraId="1D687BC4" w14:textId="7DA2AD22" w:rsidR="00EF1ABE" w:rsidRPr="00EF1ABE" w:rsidRDefault="000D6A55">
      <w:pPr>
        <w:spacing w:line="360" w:lineRule="auto"/>
        <w:jc w:val="both"/>
        <w:rPr>
          <w:rFonts w:ascii="Book Antiqua" w:eastAsia="Book Antiqua" w:hAnsi="Book Antiqua" w:cs="Book Antiqua"/>
          <w:b/>
          <w:bCs/>
          <w:i/>
          <w:iCs/>
          <w:color w:val="000000"/>
        </w:rPr>
      </w:pPr>
      <w:r w:rsidRPr="00EF1ABE">
        <w:rPr>
          <w:rFonts w:ascii="Book Antiqua" w:eastAsia="Book Antiqua" w:hAnsi="Book Antiqua" w:cs="Book Antiqua"/>
          <w:b/>
          <w:bCs/>
          <w:i/>
          <w:iCs/>
          <w:color w:val="000000"/>
        </w:rPr>
        <w:t>Methodological quality</w:t>
      </w:r>
    </w:p>
    <w:p w14:paraId="3C16553C" w14:textId="21D16F18" w:rsidR="00A77B3E" w:rsidRDefault="000D6A5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two reviewers independently rated the methodological quality of each study using</w:t>
      </w:r>
      <w:r>
        <w:rPr>
          <w:rFonts w:ascii="Book Antiqua" w:eastAsia="Book Antiqua" w:hAnsi="Book Antiqua" w:cs="Book Antiqua"/>
          <w:color w:val="000000"/>
          <w:shd w:val="clear" w:color="auto" w:fill="FFFFFF"/>
        </w:rPr>
        <w:t xml:space="preserve"> the </w:t>
      </w:r>
      <w:r>
        <w:rPr>
          <w:rFonts w:ascii="Book Antiqua" w:eastAsia="Book Antiqua" w:hAnsi="Book Antiqua" w:cs="Book Antiqua"/>
          <w:color w:val="000000"/>
        </w:rPr>
        <w:t xml:space="preserve">GRADE </w:t>
      </w:r>
      <w:r>
        <w:rPr>
          <w:rFonts w:ascii="Book Antiqua" w:eastAsia="Book Antiqua" w:hAnsi="Book Antiqua" w:cs="Book Antiqua"/>
          <w:color w:val="000000"/>
          <w:shd w:val="clear" w:color="auto" w:fill="FFFFFF"/>
        </w:rPr>
        <w:t xml:space="preserve">tool for study-level assessments of risk of </w:t>
      </w:r>
      <w:proofErr w:type="gramStart"/>
      <w:r>
        <w:rPr>
          <w:rFonts w:ascii="Book Antiqua" w:eastAsia="Book Antiqua" w:hAnsi="Book Antiqua" w:cs="Book Antiqua"/>
          <w:color w:val="000000"/>
          <w:shd w:val="clear" w:color="auto" w:fill="FFFFFF"/>
        </w:rPr>
        <w:t>bias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vertAlign w:val="superscript"/>
        </w:rPr>
        <w:t>19,20]</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Specifically, the domains assessed for risk of bias included: </w:t>
      </w:r>
      <w:r w:rsidR="00EF1ABE">
        <w:rPr>
          <w:rFonts w:ascii="Book Antiqua" w:eastAsia="Book Antiqua" w:hAnsi="Book Antiqua" w:cs="Book Antiqua"/>
          <w:color w:val="000000"/>
        </w:rPr>
        <w:t>F</w:t>
      </w:r>
      <w:r>
        <w:rPr>
          <w:rFonts w:ascii="Book Antiqua" w:eastAsia="Book Antiqua" w:hAnsi="Book Antiqua" w:cs="Book Antiqua"/>
          <w:color w:val="000000"/>
        </w:rPr>
        <w:t xml:space="preserve">ailure to develop and apply appropriate eligibility criteria (inclusion of control population), flawed measurement of either </w:t>
      </w:r>
      <w:r>
        <w:rPr>
          <w:rFonts w:ascii="Book Antiqua" w:eastAsia="Book Antiqua" w:hAnsi="Book Antiqua" w:cs="Book Antiqua"/>
          <w:color w:val="000000"/>
        </w:rPr>
        <w:lastRenderedPageBreak/>
        <w:t>intervention or outcome, failure to adequately control confounding, and incomplete follow-up.</w:t>
      </w:r>
    </w:p>
    <w:p w14:paraId="7A9F9DB1" w14:textId="77777777" w:rsidR="00EF1ABE" w:rsidRDefault="00EF1ABE">
      <w:pPr>
        <w:spacing w:line="360" w:lineRule="auto"/>
        <w:jc w:val="both"/>
      </w:pPr>
    </w:p>
    <w:p w14:paraId="33FA75A5" w14:textId="55B7B294" w:rsidR="00EF1ABE" w:rsidRPr="00EF1ABE" w:rsidRDefault="000D6A55">
      <w:pPr>
        <w:spacing w:line="360" w:lineRule="auto"/>
        <w:jc w:val="both"/>
        <w:rPr>
          <w:rFonts w:ascii="Book Antiqua" w:eastAsia="Book Antiqua" w:hAnsi="Book Antiqua" w:cs="Book Antiqua"/>
          <w:b/>
          <w:bCs/>
          <w:i/>
          <w:iCs/>
          <w:color w:val="000000"/>
        </w:rPr>
      </w:pPr>
      <w:r w:rsidRPr="00EF1ABE">
        <w:rPr>
          <w:rFonts w:ascii="Book Antiqua" w:eastAsia="Book Antiqua" w:hAnsi="Book Antiqua" w:cs="Book Antiqua"/>
          <w:b/>
          <w:bCs/>
          <w:i/>
          <w:iCs/>
          <w:color w:val="000000"/>
        </w:rPr>
        <w:t>GRADE quality assessment</w:t>
      </w:r>
    </w:p>
    <w:p w14:paraId="05698B90" w14:textId="7025FAF5" w:rsidR="00A77B3E" w:rsidRDefault="000D6A5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GRADE approach </w:t>
      </w:r>
      <w:r>
        <w:rPr>
          <w:rFonts w:ascii="Book Antiqua" w:eastAsia="Book Antiqua" w:hAnsi="Book Antiqua" w:cs="Book Antiqua"/>
          <w:color w:val="000000"/>
          <w:shd w:val="clear" w:color="auto" w:fill="FFFFFF"/>
        </w:rPr>
        <w:t xml:space="preserve">was used to assess the quality of evidence for primary and secondary </w:t>
      </w:r>
      <w:proofErr w:type="gramStart"/>
      <w:r>
        <w:rPr>
          <w:rFonts w:ascii="Book Antiqua" w:eastAsia="Book Antiqua" w:hAnsi="Book Antiqua" w:cs="Book Antiqua"/>
          <w:color w:val="000000"/>
          <w:shd w:val="clear" w:color="auto" w:fill="FFFFFF"/>
        </w:rPr>
        <w:t>outcomes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vertAlign w:val="superscript"/>
        </w:rPr>
        <w:t>20,21]</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It provides guidance for rating the quality of evidence and grading the strength of recommendations by asking a clear question for each outcome. The level of evidence was graded as high or moderate when it was derived from RCTs, and as low or very low if it was derived from observational studies. The level of evidence could be upgraded or downgraded depending on the quality of the study. The criteria provided for possibly downgrading the quality of evidence include: </w:t>
      </w:r>
      <w:r w:rsidR="00EF1ABE">
        <w:rPr>
          <w:rFonts w:ascii="Book Antiqua" w:eastAsia="Book Antiqua" w:hAnsi="Book Antiqua" w:cs="Book Antiqua"/>
          <w:color w:val="000000"/>
        </w:rPr>
        <w:t>R</w:t>
      </w:r>
      <w:r>
        <w:rPr>
          <w:rFonts w:ascii="Book Antiqua" w:eastAsia="Book Antiqua" w:hAnsi="Book Antiqua" w:cs="Book Antiqua"/>
          <w:color w:val="000000"/>
        </w:rPr>
        <w:t xml:space="preserve">isk of bias, publication bias, indirectness, imprecision and inconsistency. The three main reasons for upgrading the quality of evidence include: </w:t>
      </w:r>
      <w:r w:rsidR="00EF1ABE">
        <w:rPr>
          <w:rFonts w:ascii="Book Antiqua" w:eastAsia="Book Antiqua" w:hAnsi="Book Antiqua" w:cs="Book Antiqua"/>
          <w:color w:val="000000"/>
        </w:rPr>
        <w:t>L</w:t>
      </w:r>
      <w:r>
        <w:rPr>
          <w:rFonts w:ascii="Book Antiqua" w:eastAsia="Book Antiqua" w:hAnsi="Book Antiqua" w:cs="Book Antiqua"/>
          <w:color w:val="000000"/>
        </w:rPr>
        <w:t xml:space="preserve">arge effect size, dose response gradient, and all plausible residual confounders increase confidence in the estimated effect. Each study can be given up to two points for every domain that begins with a high rating that is later downgraded one level (judged to have serious concerns) and two levels (if concerns are very serious). These evaluations result in one of four quality ratings – high, moderate, low and very low – that reveal the degree of confidence one can have in the available evidence correctly reflecting the theoretical true effect of the intervention. GRADE ratings are given as described by </w:t>
      </w:r>
      <w:proofErr w:type="spellStart"/>
      <w:r>
        <w:rPr>
          <w:rFonts w:ascii="Book Antiqua" w:eastAsia="Book Antiqua" w:hAnsi="Book Antiqua" w:cs="Book Antiqua"/>
          <w:color w:val="000000"/>
        </w:rPr>
        <w:t>Balshem</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w:t>
      </w:r>
      <w:r w:rsidR="001C7495">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are adjudicated as high (we are very confident that the true effect lies close to that of the estimate of the effect), moderate (the true effect is likely to be close to the estimate of the effect, but there is a possibility that it could be substantially different), low (our confidence in the effect estimate is limited, </w:t>
      </w:r>
      <w:r w:rsidRPr="001C7495">
        <w:rPr>
          <w:rFonts w:ascii="Book Antiqua" w:eastAsia="Book Antiqua" w:hAnsi="Book Antiqua" w:cs="Book Antiqua"/>
          <w:i/>
          <w:iCs/>
          <w:color w:val="000000"/>
        </w:rPr>
        <w:t>i.e.</w:t>
      </w:r>
      <w:r w:rsidR="001C7495">
        <w:rPr>
          <w:rFonts w:ascii="Book Antiqua" w:eastAsia="Book Antiqua" w:hAnsi="Book Antiqua" w:cs="Book Antiqua"/>
          <w:color w:val="000000"/>
        </w:rPr>
        <w:t>,</w:t>
      </w:r>
      <w:r>
        <w:rPr>
          <w:rFonts w:ascii="Book Antiqua" w:eastAsia="Book Antiqua" w:hAnsi="Book Antiqua" w:cs="Book Antiqua"/>
          <w:color w:val="000000"/>
        </w:rPr>
        <w:t xml:space="preserve"> the true effect may be substantially different from the estimate of the effect), or very low (we have very little confidence in the effect estimate, </w:t>
      </w:r>
      <w:r w:rsidRPr="001C7495">
        <w:rPr>
          <w:rFonts w:ascii="Book Antiqua" w:eastAsia="Book Antiqua" w:hAnsi="Book Antiqua" w:cs="Book Antiqua"/>
          <w:i/>
          <w:iCs/>
          <w:color w:val="000000"/>
        </w:rPr>
        <w:t>i.e.</w:t>
      </w:r>
      <w:r w:rsidR="001C7495">
        <w:rPr>
          <w:rFonts w:ascii="Book Antiqua" w:eastAsia="Book Antiqua" w:hAnsi="Book Antiqua" w:cs="Book Antiqua"/>
          <w:color w:val="000000"/>
        </w:rPr>
        <w:t>,</w:t>
      </w:r>
      <w:r>
        <w:rPr>
          <w:rFonts w:ascii="Book Antiqua" w:eastAsia="Book Antiqua" w:hAnsi="Book Antiqua" w:cs="Book Antiqua"/>
          <w:color w:val="000000"/>
        </w:rPr>
        <w:t xml:space="preserve"> the true effect is likely to be substantially different from the estimate of effect).</w:t>
      </w:r>
    </w:p>
    <w:p w14:paraId="70916849" w14:textId="155A9908" w:rsidR="00EF1ABE" w:rsidRDefault="00EF1ABE">
      <w:pPr>
        <w:spacing w:line="360" w:lineRule="auto"/>
        <w:jc w:val="both"/>
        <w:rPr>
          <w:rFonts w:ascii="Book Antiqua" w:eastAsia="Book Antiqua" w:hAnsi="Book Antiqua" w:cs="Book Antiqua"/>
          <w:color w:val="000000"/>
        </w:rPr>
      </w:pPr>
    </w:p>
    <w:p w14:paraId="43BD4C8F" w14:textId="48CAF7B3" w:rsidR="00EF1ABE" w:rsidRPr="00EF1ABE" w:rsidRDefault="001C7495" w:rsidP="00EF1ABE">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S</w:t>
      </w:r>
      <w:r w:rsidR="00EF1ABE" w:rsidRPr="00EF1ABE">
        <w:rPr>
          <w:rFonts w:ascii="Book Antiqua" w:eastAsia="Book Antiqua" w:hAnsi="Book Antiqua" w:cs="Book Antiqua"/>
          <w:b/>
          <w:bCs/>
          <w:i/>
          <w:iCs/>
          <w:color w:val="000000"/>
        </w:rPr>
        <w:t>tatistical analysis</w:t>
      </w:r>
    </w:p>
    <w:p w14:paraId="502EE669" w14:textId="7FA3D54C" w:rsidR="00EF1ABE" w:rsidRDefault="00EF1ABE" w:rsidP="00EF1ABE">
      <w:pPr>
        <w:spacing w:line="360" w:lineRule="auto"/>
        <w:jc w:val="both"/>
      </w:pPr>
      <w:r>
        <w:rPr>
          <w:rFonts w:ascii="Book Antiqua" w:eastAsia="Book Antiqua" w:hAnsi="Book Antiqua" w:cs="Book Antiqua"/>
          <w:color w:val="000000"/>
        </w:rPr>
        <w:lastRenderedPageBreak/>
        <w:t>Several studies reported the median, minimum and maximum values. Hence, in order to be able to combine the results, we deducted the sample mean and standard deviation</w:t>
      </w:r>
      <w:r w:rsidR="001C7495">
        <w:rPr>
          <w:rFonts w:ascii="Book Antiqua" w:eastAsia="Book Antiqua" w:hAnsi="Book Antiqua" w:cs="Book Antiqua"/>
          <w:color w:val="000000"/>
        </w:rPr>
        <w:t xml:space="preserve"> </w:t>
      </w:r>
      <w:r>
        <w:rPr>
          <w:rFonts w:ascii="Book Antiqua" w:eastAsia="Book Antiqua" w:hAnsi="Book Antiqua" w:cs="Book Antiqua"/>
          <w:color w:val="000000"/>
        </w:rPr>
        <w:t>(SD) using Wan</w:t>
      </w:r>
      <w:r w:rsidR="001C7495">
        <w:rPr>
          <w:rFonts w:ascii="Book Antiqua" w:eastAsia="Book Antiqua" w:hAnsi="Book Antiqua" w:cs="Book Antiqua"/>
          <w:color w:val="000000"/>
        </w:rPr>
        <w:t xml:space="preserve"> </w:t>
      </w:r>
      <w:r w:rsidR="001C7495" w:rsidRPr="001C7495">
        <w:rPr>
          <w:rFonts w:ascii="Book Antiqua" w:eastAsia="Book Antiqua" w:hAnsi="Book Antiqua" w:cs="Book Antiqua"/>
          <w:i/>
          <w:iCs/>
          <w:color w:val="000000"/>
        </w:rPr>
        <w:t xml:space="preserve">et </w:t>
      </w:r>
      <w:proofErr w:type="spellStart"/>
      <w:r w:rsidR="001C7495" w:rsidRPr="001C7495">
        <w:rPr>
          <w:rFonts w:ascii="Book Antiqua" w:eastAsia="Book Antiqua" w:hAnsi="Book Antiqua" w:cs="Book Antiqua"/>
          <w:i/>
          <w:iCs/>
          <w:color w:val="000000"/>
        </w:rPr>
        <w:t>al</w:t>
      </w:r>
      <w:r w:rsidR="001C7495">
        <w:rPr>
          <w:rFonts w:ascii="Book Antiqua" w:eastAsia="Book Antiqua" w:hAnsi="Book Antiqua" w:cs="Book Antiqua"/>
          <w:color w:val="000000"/>
        </w:rPr>
        <w:t>′</w:t>
      </w:r>
      <w:proofErr w:type="gramStart"/>
      <w:r>
        <w:rPr>
          <w:rFonts w:ascii="Book Antiqua" w:eastAsia="Book Antiqua" w:hAnsi="Book Antiqua" w:cs="Book Antiqua"/>
          <w:color w:val="000000"/>
        </w:rPr>
        <w:t>s</w:t>
      </w:r>
      <w:proofErr w:type="spellEnd"/>
      <w:r w:rsidR="001C7495">
        <w:rPr>
          <w:rFonts w:ascii="Book Antiqua" w:eastAsia="Book Antiqua" w:hAnsi="Book Antiqua" w:cs="Book Antiqua"/>
          <w:color w:val="000000"/>
          <w:szCs w:val="30"/>
          <w:vertAlign w:val="superscript"/>
        </w:rPr>
        <w:t>[</w:t>
      </w:r>
      <w:proofErr w:type="gramEnd"/>
      <w:r w:rsidR="001C7495">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method for those studies. We estimated pooled event rates with corresponding 95% confidence intervals (CI) using the inverse variance method per analyzed outcome. We applied random effects models whenever there was significant heterogeneity between studies.</w:t>
      </w:r>
    </w:p>
    <w:p w14:paraId="324A2988" w14:textId="39EA9561" w:rsidR="00EF1ABE" w:rsidRDefault="00EF1ABE" w:rsidP="001C7495">
      <w:pPr>
        <w:spacing w:line="360" w:lineRule="auto"/>
        <w:ind w:firstLineChars="100" w:firstLine="240"/>
        <w:jc w:val="both"/>
      </w:pPr>
      <w:r w:rsidRPr="00A469EC">
        <w:rPr>
          <w:rFonts w:ascii="Book Antiqua" w:eastAsia="Book Antiqua" w:hAnsi="Book Antiqua" w:cs="Book Antiqua"/>
          <w:i/>
          <w:iCs/>
          <w:color w:val="000000"/>
        </w:rPr>
        <w:t>Q</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test, the associated </w:t>
      </w:r>
      <w:r w:rsidR="001C7495" w:rsidRPr="001C7495">
        <w:rPr>
          <w:rFonts w:ascii="Book Antiqua" w:eastAsia="Book Antiqua" w:hAnsi="Book Antiqua" w:cs="Book Antiqua"/>
          <w:i/>
          <w:iCs/>
          <w:color w:val="000000"/>
        </w:rPr>
        <w:t>P</w:t>
      </w:r>
      <w:r w:rsidR="001C7495">
        <w:rPr>
          <w:rFonts w:ascii="Book Antiqua" w:eastAsia="Book Antiqua" w:hAnsi="Book Antiqua" w:cs="Book Antiqua"/>
          <w:color w:val="000000"/>
        </w:rPr>
        <w:t xml:space="preserve"> </w:t>
      </w:r>
      <w:r>
        <w:rPr>
          <w:rFonts w:ascii="Book Antiqua" w:eastAsia="Book Antiqua" w:hAnsi="Book Antiqua" w:cs="Book Antiqua"/>
          <w:color w:val="000000"/>
        </w:rPr>
        <w:t>value (</w:t>
      </w:r>
      <w:r w:rsidR="001C7495">
        <w:rPr>
          <w:rFonts w:ascii="Book Antiqua" w:eastAsia="Book Antiqua" w:hAnsi="Book Antiqua" w:cs="Book Antiqua"/>
          <w:i/>
          <w:iCs/>
          <w:color w:val="000000"/>
        </w:rPr>
        <w:t>P</w:t>
      </w:r>
      <w:r w:rsidR="001C7495">
        <w:rPr>
          <w:rFonts w:ascii="Book Antiqua" w:eastAsia="Book Antiqua" w:hAnsi="Book Antiqua" w:cs="Book Antiqua"/>
          <w:color w:val="000000"/>
        </w:rPr>
        <w:t xml:space="preserve"> </w:t>
      </w:r>
      <w:r>
        <w:rPr>
          <w:rFonts w:ascii="Book Antiqua" w:eastAsia="Book Antiqua" w:hAnsi="Book Antiqua" w:cs="Book Antiqua"/>
          <w:color w:val="000000"/>
        </w:rPr>
        <w:t>&lt;</w:t>
      </w:r>
      <w:r w:rsidR="001C7495">
        <w:rPr>
          <w:rFonts w:ascii="Book Antiqua" w:eastAsia="Book Antiqua" w:hAnsi="Book Antiqua" w:cs="Book Antiqua"/>
          <w:color w:val="000000"/>
        </w:rPr>
        <w:t xml:space="preserve"> </w:t>
      </w:r>
      <w:r>
        <w:rPr>
          <w:rFonts w:ascii="Book Antiqua" w:eastAsia="Book Antiqua" w:hAnsi="Book Antiqua" w:cs="Book Antiqua"/>
          <w:color w:val="000000"/>
        </w:rPr>
        <w:t xml:space="preserve">0.10) and also the </w:t>
      </w:r>
      <w:r w:rsidRPr="001C7495">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test were used to assess heterogeneity among the included studies. According to Higgins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1C7495">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Pr="001C7495">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sidR="001C7495">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&lt;</w:t>
      </w:r>
      <w:r w:rsidR="001C7495">
        <w:rPr>
          <w:rFonts w:ascii="Book Antiqua" w:eastAsia="Book Antiqua" w:hAnsi="Book Antiqua" w:cs="Book Antiqua"/>
          <w:color w:val="000000"/>
        </w:rPr>
        <w:t xml:space="preserve"> </w:t>
      </w:r>
      <w:r>
        <w:rPr>
          <w:rFonts w:ascii="Book Antiqua" w:eastAsia="Book Antiqua" w:hAnsi="Book Antiqua" w:cs="Book Antiqua"/>
          <w:color w:val="000000"/>
        </w:rPr>
        <w:t>40% indicates low heterogeneity, 30%</w:t>
      </w:r>
      <w:r w:rsidR="001C7495">
        <w:rPr>
          <w:rFonts w:ascii="Book Antiqua" w:eastAsia="Book Antiqua" w:hAnsi="Book Antiqua" w:cs="Book Antiqua"/>
          <w:color w:val="000000"/>
        </w:rPr>
        <w:t xml:space="preserve"> </w:t>
      </w:r>
      <w:r>
        <w:rPr>
          <w:rFonts w:ascii="Book Antiqua" w:eastAsia="Book Antiqua" w:hAnsi="Book Antiqua" w:cs="Book Antiqua"/>
          <w:color w:val="000000"/>
        </w:rPr>
        <w:t>&lt;</w:t>
      </w:r>
      <w:r w:rsidR="001C7495">
        <w:rPr>
          <w:rFonts w:ascii="Book Antiqua" w:eastAsia="Book Antiqua" w:hAnsi="Book Antiqua" w:cs="Book Antiqua"/>
          <w:color w:val="000000"/>
        </w:rPr>
        <w:t xml:space="preserve"> </w:t>
      </w:r>
      <w:r w:rsidRPr="001C7495">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sidR="001C7495">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&lt;</w:t>
      </w:r>
      <w:r w:rsidR="001C7495">
        <w:rPr>
          <w:rFonts w:ascii="Book Antiqua" w:eastAsia="Book Antiqua" w:hAnsi="Book Antiqua" w:cs="Book Antiqua"/>
          <w:color w:val="000000"/>
        </w:rPr>
        <w:t xml:space="preserve"> </w:t>
      </w:r>
      <w:r>
        <w:rPr>
          <w:rFonts w:ascii="Book Antiqua" w:eastAsia="Book Antiqua" w:hAnsi="Book Antiqua" w:cs="Book Antiqua"/>
          <w:color w:val="000000"/>
        </w:rPr>
        <w:t>60% indicates moderate heterogeneity, while 50%</w:t>
      </w:r>
      <w:r w:rsidR="001C7495">
        <w:rPr>
          <w:rFonts w:ascii="Book Antiqua" w:eastAsia="Book Antiqua" w:hAnsi="Book Antiqua" w:cs="Book Antiqua"/>
          <w:color w:val="000000"/>
        </w:rPr>
        <w:t xml:space="preserve"> </w:t>
      </w:r>
      <w:r>
        <w:rPr>
          <w:rFonts w:ascii="Book Antiqua" w:eastAsia="Book Antiqua" w:hAnsi="Book Antiqua" w:cs="Book Antiqua"/>
          <w:color w:val="000000"/>
        </w:rPr>
        <w:t>&lt;</w:t>
      </w:r>
      <w:r w:rsidR="001C7495">
        <w:rPr>
          <w:rFonts w:ascii="Book Antiqua" w:eastAsia="Book Antiqua" w:hAnsi="Book Antiqua" w:cs="Book Antiqua"/>
          <w:color w:val="000000"/>
        </w:rPr>
        <w:t xml:space="preserve"> </w:t>
      </w:r>
      <w:r w:rsidRPr="001C7495">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sidR="001C7495">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&lt; 90% may represent substantial heterogeneity, and &gt;</w:t>
      </w:r>
      <w:r w:rsidR="001C7495">
        <w:rPr>
          <w:rFonts w:ascii="Book Antiqua" w:eastAsia="Book Antiqua" w:hAnsi="Book Antiqua" w:cs="Book Antiqua"/>
          <w:color w:val="000000"/>
        </w:rPr>
        <w:t xml:space="preserve"> </w:t>
      </w:r>
      <w:r>
        <w:rPr>
          <w:rFonts w:ascii="Book Antiqua" w:eastAsia="Book Antiqua" w:hAnsi="Book Antiqua" w:cs="Book Antiqua"/>
          <w:color w:val="000000"/>
        </w:rPr>
        <w:t xml:space="preserve">75% considerable heterogeneity. Publication bias was evaluated using funnel plots and Egger’s test for asymmetry with 95%CI, with the results considered to indicate potential small study effects when </w:t>
      </w:r>
      <w:r w:rsidR="001C7495" w:rsidRPr="001C7495">
        <w:rPr>
          <w:rFonts w:ascii="Book Antiqua" w:eastAsia="Book Antiqua" w:hAnsi="Book Antiqua" w:cs="Book Antiqua"/>
          <w:i/>
          <w:iCs/>
          <w:color w:val="000000"/>
        </w:rPr>
        <w:t>P</w:t>
      </w:r>
      <w:r w:rsidR="001C7495">
        <w:rPr>
          <w:rFonts w:ascii="Book Antiqua" w:eastAsia="Book Antiqua" w:hAnsi="Book Antiqua" w:cs="Book Antiqua"/>
          <w:color w:val="000000"/>
        </w:rPr>
        <w:t xml:space="preserve"> </w:t>
      </w:r>
      <w:r>
        <w:rPr>
          <w:rFonts w:ascii="Book Antiqua" w:eastAsia="Book Antiqua" w:hAnsi="Book Antiqua" w:cs="Book Antiqua"/>
          <w:color w:val="000000"/>
        </w:rPr>
        <w:t>&lt;</w:t>
      </w:r>
      <w:r w:rsidR="001C7495">
        <w:rPr>
          <w:rFonts w:ascii="Book Antiqua" w:eastAsia="Book Antiqua" w:hAnsi="Book Antiqua" w:cs="Book Antiqua"/>
          <w:color w:val="000000"/>
        </w:rPr>
        <w:t xml:space="preserve"> </w:t>
      </w:r>
      <w:r>
        <w:rPr>
          <w:rFonts w:ascii="Book Antiqua" w:eastAsia="Book Antiqua" w:hAnsi="Book Antiqua" w:cs="Book Antiqua"/>
          <w:color w:val="000000"/>
        </w:rPr>
        <w:t>0.10</w:t>
      </w:r>
      <w:r>
        <w:rPr>
          <w:rFonts w:ascii="Book Antiqua" w:eastAsia="Book Antiqua" w:hAnsi="Book Antiqua" w:cs="Book Antiqua"/>
          <w:color w:val="000000"/>
          <w:szCs w:val="30"/>
          <w:vertAlign w:val="superscript"/>
        </w:rPr>
        <w:t>[2</w:t>
      </w:r>
      <w:r w:rsidR="001C7495">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hyperlink r:id="rId8" w:history="1">
        <w:r w:rsidRPr="001C7495">
          <w:rPr>
            <w:rFonts w:ascii="Book Antiqua" w:eastAsia="Book Antiqua" w:hAnsi="Book Antiqua" w:cs="Book Antiqua"/>
            <w:color w:val="000000"/>
          </w:rPr>
          <w:t>Comprehensive meta-analysis software</w:t>
        </w:r>
      </w:hyperlink>
      <w:r>
        <w:rPr>
          <w:rFonts w:ascii="Book Antiqua" w:eastAsia="Book Antiqua" w:hAnsi="Book Antiqua" w:cs="Book Antiqua"/>
          <w:color w:val="000000"/>
        </w:rPr>
        <w:t xml:space="preserve"> version 3.0 was used for our statistical </w:t>
      </w:r>
      <w:proofErr w:type="gramStart"/>
      <w:r>
        <w:rPr>
          <w:rFonts w:ascii="Book Antiqua" w:eastAsia="Book Antiqua" w:hAnsi="Book Antiqua" w:cs="Book Antiqua"/>
          <w:color w:val="000000"/>
        </w:rPr>
        <w:t>analyses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1C7495">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statistical methods of this study were reviewed by Dr. </w:t>
      </w:r>
      <w:proofErr w:type="spellStart"/>
      <w:r>
        <w:rPr>
          <w:rFonts w:ascii="Book Antiqua" w:eastAsia="Book Antiqua" w:hAnsi="Book Antiqua" w:cs="Book Antiqua"/>
          <w:color w:val="000000"/>
        </w:rPr>
        <w:t>Milada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Småstuen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Cvancarova</w:t>
      </w:r>
      <w:proofErr w:type="spellEnd"/>
      <w:r>
        <w:rPr>
          <w:rFonts w:ascii="Book Antiqua" w:eastAsia="Book Antiqua" w:hAnsi="Book Antiqua" w:cs="Book Antiqua"/>
          <w:color w:val="000000"/>
        </w:rPr>
        <w:t xml:space="preserve"> from Oslo Metropolitan University, Oslo, Norway.</w:t>
      </w:r>
    </w:p>
    <w:p w14:paraId="3D1BC30B" w14:textId="77777777" w:rsidR="00A77B3E" w:rsidRDefault="00A77B3E">
      <w:pPr>
        <w:spacing w:line="360" w:lineRule="auto"/>
        <w:jc w:val="both"/>
      </w:pPr>
    </w:p>
    <w:p w14:paraId="6D164B85" w14:textId="77777777" w:rsidR="00A77B3E" w:rsidRDefault="000D6A55">
      <w:pPr>
        <w:spacing w:line="360" w:lineRule="auto"/>
        <w:jc w:val="both"/>
      </w:pPr>
      <w:r>
        <w:rPr>
          <w:rFonts w:ascii="Book Antiqua" w:eastAsia="Book Antiqua" w:hAnsi="Book Antiqua" w:cs="Book Antiqua"/>
          <w:b/>
          <w:caps/>
          <w:color w:val="000000"/>
          <w:u w:val="single"/>
        </w:rPr>
        <w:t>RESULTS</w:t>
      </w:r>
    </w:p>
    <w:p w14:paraId="7BADBBA7" w14:textId="789A3ACA" w:rsidR="00585AA4" w:rsidRPr="00585AA4" w:rsidRDefault="000D6A55">
      <w:pPr>
        <w:spacing w:line="360" w:lineRule="auto"/>
        <w:jc w:val="both"/>
        <w:rPr>
          <w:rFonts w:ascii="Book Antiqua" w:eastAsia="Book Antiqua" w:hAnsi="Book Antiqua" w:cs="Book Antiqua"/>
          <w:b/>
          <w:bCs/>
          <w:i/>
          <w:iCs/>
          <w:color w:val="000000"/>
        </w:rPr>
      </w:pPr>
      <w:r w:rsidRPr="00585AA4">
        <w:rPr>
          <w:rFonts w:ascii="Book Antiqua" w:eastAsia="Book Antiqua" w:hAnsi="Book Antiqua" w:cs="Book Antiqua"/>
          <w:b/>
          <w:bCs/>
          <w:i/>
          <w:iCs/>
          <w:color w:val="000000"/>
        </w:rPr>
        <w:t>Study selection</w:t>
      </w:r>
    </w:p>
    <w:p w14:paraId="0B5C14F2" w14:textId="49B0FAD5" w:rsidR="00A77B3E" w:rsidRDefault="000D6A5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initial database search yielded 243 valid hits, of which 71 were duplicates and removed (Figure 1). The titles and abstracts of the remaining 172 citations were screened, leading to exclusion of a further 87 </w:t>
      </w:r>
      <w:r>
        <w:rPr>
          <w:rFonts w:ascii="Book Antiqua" w:eastAsia="Book Antiqua" w:hAnsi="Book Antiqua" w:cs="Book Antiqua"/>
          <w:color w:val="000000"/>
          <w:shd w:val="clear" w:color="auto" w:fill="FFFFFF"/>
        </w:rPr>
        <w:t>citations. The remaining 85 articles were</w:t>
      </w:r>
      <w:r>
        <w:rPr>
          <w:rFonts w:ascii="Book Antiqua" w:eastAsia="Book Antiqua" w:hAnsi="Book Antiqua" w:cs="Book Antiqua"/>
          <w:color w:val="000000"/>
        </w:rPr>
        <w:t xml:space="preserve"> assessed for relevance to our outcomes of interest. A full text review led to </w:t>
      </w:r>
      <w:r>
        <w:rPr>
          <w:rFonts w:ascii="Book Antiqua" w:eastAsia="Book Antiqua" w:hAnsi="Book Antiqua" w:cs="Book Antiqua"/>
          <w:color w:val="000000"/>
          <w:shd w:val="clear" w:color="auto" w:fill="FFFFFF"/>
        </w:rPr>
        <w:t>64 articles</w:t>
      </w:r>
      <w:r>
        <w:rPr>
          <w:rFonts w:ascii="Book Antiqua" w:eastAsia="Book Antiqua" w:hAnsi="Book Antiqua" w:cs="Book Antiqua"/>
          <w:color w:val="000000"/>
        </w:rPr>
        <w:t xml:space="preserve"> being excluded. </w:t>
      </w:r>
      <w:r>
        <w:rPr>
          <w:rFonts w:ascii="Book Antiqua" w:eastAsia="Book Antiqua" w:hAnsi="Book Antiqua" w:cs="Book Antiqua"/>
          <w:color w:val="000000"/>
          <w:shd w:val="clear" w:color="auto" w:fill="FFFFFF"/>
        </w:rPr>
        <w:t>Overall</w:t>
      </w:r>
      <w:r w:rsidR="009929A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21 studies met our eligibility criteria</w:t>
      </w:r>
      <w:r>
        <w:rPr>
          <w:rFonts w:ascii="Book Antiqua" w:eastAsia="Book Antiqua" w:hAnsi="Book Antiqua" w:cs="Book Antiqua"/>
          <w:color w:val="000000"/>
        </w:rPr>
        <w:t xml:space="preserve">. Cohen's Kappa for inter-rater reliability between the two reviewers was 0.88. Thus, 21 unique observational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17,18,29-47]</w:t>
      </w:r>
      <w:r>
        <w:rPr>
          <w:rFonts w:ascii="Book Antiqua" w:eastAsia="Book Antiqua" w:hAnsi="Book Antiqua" w:cs="Book Antiqua"/>
          <w:color w:val="000000"/>
        </w:rPr>
        <w:t xml:space="preserve"> were eligible to be included in the meta-analysis and to be evaluated on the scientific quality of data using GRADE. The search results are summarized in Figure 1.</w:t>
      </w:r>
    </w:p>
    <w:p w14:paraId="6AC11462" w14:textId="77777777" w:rsidR="00F12F73" w:rsidRDefault="00F12F73">
      <w:pPr>
        <w:spacing w:line="360" w:lineRule="auto"/>
        <w:jc w:val="both"/>
      </w:pPr>
    </w:p>
    <w:p w14:paraId="5AD309D1" w14:textId="77777777" w:rsidR="00F12F73" w:rsidRPr="00F12F73" w:rsidRDefault="000D6A55">
      <w:pPr>
        <w:spacing w:line="360" w:lineRule="auto"/>
        <w:jc w:val="both"/>
        <w:rPr>
          <w:rFonts w:ascii="Book Antiqua" w:eastAsia="Book Antiqua" w:hAnsi="Book Antiqua" w:cs="Book Antiqua"/>
          <w:b/>
          <w:bCs/>
          <w:i/>
          <w:iCs/>
          <w:color w:val="000000"/>
        </w:rPr>
      </w:pPr>
      <w:r w:rsidRPr="00F12F73">
        <w:rPr>
          <w:rFonts w:ascii="Book Antiqua" w:eastAsia="Book Antiqua" w:hAnsi="Book Antiqua" w:cs="Book Antiqua"/>
          <w:b/>
          <w:bCs/>
          <w:i/>
          <w:iCs/>
          <w:color w:val="000000"/>
        </w:rPr>
        <w:t>Study characteristics</w:t>
      </w:r>
    </w:p>
    <w:p w14:paraId="669C437B" w14:textId="0ED9EA8C" w:rsidR="00A77B3E" w:rsidRDefault="000D6A5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Nine studies reported data on tacrolimus and 16 on MMF. Their geographical distribution was diverse, with studies carried out in the United States, Canada, United Kingdom, Denmark, Germany, the Netherlands, Belgium, Sweden, China, India and Australia. Most studies included middle-aged subjects who were predominantly female. In the tacrolimus studies, the average follow-up time was longer than in the MMF studies (51</w:t>
      </w:r>
      <w:r w:rsidRPr="00C721A5">
        <w:rPr>
          <w:rFonts w:ascii="Book Antiqua" w:eastAsia="Book Antiqua" w:hAnsi="Book Antiqua" w:cs="Book Antiqua"/>
          <w:i/>
          <w:iCs/>
          <w:color w:val="000000"/>
        </w:rPr>
        <w:t xml:space="preserve"> </w:t>
      </w:r>
      <w:proofErr w:type="spellStart"/>
      <w:r w:rsidR="00FB087B">
        <w:rPr>
          <w:rFonts w:ascii="Book Antiqua" w:eastAsia="Book Antiqua" w:hAnsi="Book Antiqua" w:cs="Book Antiqua"/>
          <w:color w:val="000000"/>
        </w:rPr>
        <w:t>mo</w:t>
      </w:r>
      <w:proofErr w:type="spellEnd"/>
      <w:r w:rsidR="00FB087B" w:rsidRPr="00C721A5">
        <w:rPr>
          <w:rFonts w:ascii="Book Antiqua" w:eastAsia="Book Antiqua" w:hAnsi="Book Antiqua" w:cs="Book Antiqua"/>
          <w:i/>
          <w:iCs/>
          <w:color w:val="000000"/>
        </w:rPr>
        <w:t xml:space="preserve"> </w:t>
      </w:r>
      <w:r w:rsidRPr="00C721A5">
        <w:rPr>
          <w:rFonts w:ascii="Book Antiqua" w:eastAsia="Book Antiqua" w:hAnsi="Book Antiqua" w:cs="Book Antiqua"/>
          <w:i/>
          <w:iCs/>
          <w:color w:val="000000"/>
        </w:rPr>
        <w:t>vs</w:t>
      </w:r>
      <w:r>
        <w:rPr>
          <w:rFonts w:ascii="Book Antiqua" w:eastAsia="Book Antiqua" w:hAnsi="Book Antiqua" w:cs="Book Antiqua"/>
          <w:color w:val="000000"/>
        </w:rPr>
        <w:t xml:space="preserve"> 38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patients were younger (mean age 37.8 </w:t>
      </w:r>
      <w:r w:rsidR="00C569ED">
        <w:rPr>
          <w:rFonts w:ascii="Book Antiqua" w:eastAsia="Book Antiqua" w:hAnsi="Book Antiqua" w:cs="Book Antiqua"/>
          <w:color w:val="000000"/>
        </w:rPr>
        <w:t>years</w:t>
      </w:r>
      <w:r w:rsidR="00C569ED" w:rsidRPr="00C721A5">
        <w:rPr>
          <w:rFonts w:ascii="Book Antiqua" w:eastAsia="Book Antiqua" w:hAnsi="Book Antiqua" w:cs="Book Antiqua"/>
          <w:i/>
          <w:iCs/>
          <w:color w:val="000000"/>
        </w:rPr>
        <w:t xml:space="preserve"> </w:t>
      </w:r>
      <w:r w:rsidRPr="00C721A5">
        <w:rPr>
          <w:rFonts w:ascii="Book Antiqua" w:eastAsia="Book Antiqua" w:hAnsi="Book Antiqua" w:cs="Book Antiqua"/>
          <w:i/>
          <w:iCs/>
          <w:color w:val="000000"/>
        </w:rPr>
        <w:t>vs</w:t>
      </w:r>
      <w:r>
        <w:rPr>
          <w:rFonts w:ascii="Book Antiqua" w:eastAsia="Book Antiqua" w:hAnsi="Book Antiqua" w:cs="Book Antiqua"/>
          <w:color w:val="000000"/>
        </w:rPr>
        <w:t xml:space="preserve"> 42.8 years) and more females (73.3% </w:t>
      </w:r>
      <w:r w:rsidRPr="00C721A5">
        <w:rPr>
          <w:rFonts w:ascii="Book Antiqua" w:eastAsia="Book Antiqua" w:hAnsi="Book Antiqua" w:cs="Book Antiqua"/>
          <w:i/>
          <w:iCs/>
          <w:color w:val="000000"/>
        </w:rPr>
        <w:t>vs</w:t>
      </w:r>
      <w:r>
        <w:rPr>
          <w:rFonts w:ascii="Book Antiqua" w:eastAsia="Book Antiqua" w:hAnsi="Book Antiqua" w:cs="Book Antiqua"/>
          <w:color w:val="000000"/>
        </w:rPr>
        <w:t xml:space="preserve"> 71.2%) were observed. Applied dosages varied between 2.0 and 6.0 mg daily of tacrolimus, and between 0.5 </w:t>
      </w:r>
      <w:r w:rsidR="009929A1">
        <w:rPr>
          <w:rFonts w:ascii="Book Antiqua" w:eastAsia="Book Antiqua" w:hAnsi="Book Antiqua" w:cs="Book Antiqua"/>
          <w:color w:val="000000"/>
        </w:rPr>
        <w:t xml:space="preserve">g </w:t>
      </w:r>
      <w:r>
        <w:rPr>
          <w:rFonts w:ascii="Book Antiqua" w:eastAsia="Book Antiqua" w:hAnsi="Book Antiqua" w:cs="Book Antiqua"/>
          <w:color w:val="000000"/>
        </w:rPr>
        <w:t>and 2.0 g daily of MMF. The basic characteristics of the studies are presented in Table 1.</w:t>
      </w:r>
    </w:p>
    <w:p w14:paraId="6FFB11A0" w14:textId="77777777" w:rsidR="006C1177" w:rsidRDefault="006C1177">
      <w:pPr>
        <w:spacing w:line="360" w:lineRule="auto"/>
        <w:jc w:val="both"/>
      </w:pPr>
    </w:p>
    <w:p w14:paraId="68E4AF32" w14:textId="77EB9112" w:rsidR="006C1177" w:rsidRPr="006C1177" w:rsidRDefault="000D6A55">
      <w:pPr>
        <w:spacing w:line="360" w:lineRule="auto"/>
        <w:jc w:val="both"/>
        <w:rPr>
          <w:rFonts w:ascii="Book Antiqua" w:eastAsia="Book Antiqua" w:hAnsi="Book Antiqua" w:cs="Book Antiqua"/>
          <w:b/>
          <w:bCs/>
          <w:i/>
          <w:iCs/>
          <w:color w:val="000000"/>
        </w:rPr>
      </w:pPr>
      <w:r w:rsidRPr="006C1177">
        <w:rPr>
          <w:rFonts w:ascii="Book Antiqua" w:eastAsia="Book Antiqua" w:hAnsi="Book Antiqua" w:cs="Book Antiqua"/>
          <w:b/>
          <w:bCs/>
          <w:i/>
          <w:iCs/>
          <w:color w:val="000000"/>
        </w:rPr>
        <w:t>Methodological quality of the studies</w:t>
      </w:r>
    </w:p>
    <w:p w14:paraId="13D5AF09" w14:textId="65851D65" w:rsidR="00A77B3E" w:rsidRDefault="000D6A5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For each of the 21 included studies, the methodological quality (risk of bias) was assessed and downgraded for the presence of bias using the GRADE risk of bias tool on a scale of 0 to -2. Four studies were rated as having no risk of bias (scored as 0), 16 studies had a serious risk of bias (scored as -1) and the remaining two had a very serious risk of bias (scored as -2). The details of the assessment of the methodological quality of the studies is reported in Table 2 and Figures 2</w:t>
      </w:r>
      <w:r w:rsidR="000A7B2E">
        <w:rPr>
          <w:rFonts w:ascii="Book Antiqua" w:eastAsia="Book Antiqua" w:hAnsi="Book Antiqua" w:cs="Book Antiqua"/>
          <w:color w:val="000000"/>
        </w:rPr>
        <w:t>-</w:t>
      </w:r>
      <w:r>
        <w:rPr>
          <w:rFonts w:ascii="Book Antiqua" w:eastAsia="Book Antiqua" w:hAnsi="Book Antiqua" w:cs="Book Antiqua"/>
          <w:color w:val="000000"/>
        </w:rPr>
        <w:t>4.</w:t>
      </w:r>
    </w:p>
    <w:p w14:paraId="2A1A41C3" w14:textId="77777777" w:rsidR="006C1177" w:rsidRDefault="006C1177">
      <w:pPr>
        <w:spacing w:line="360" w:lineRule="auto"/>
        <w:jc w:val="both"/>
      </w:pPr>
    </w:p>
    <w:p w14:paraId="23BEC589" w14:textId="6DA9E110" w:rsidR="006C1177" w:rsidRPr="006C1177" w:rsidRDefault="000D6A55">
      <w:pPr>
        <w:spacing w:line="360" w:lineRule="auto"/>
        <w:jc w:val="both"/>
        <w:rPr>
          <w:rFonts w:ascii="Book Antiqua" w:eastAsia="Book Antiqua" w:hAnsi="Book Antiqua" w:cs="Book Antiqua"/>
          <w:b/>
          <w:bCs/>
          <w:i/>
          <w:iCs/>
          <w:color w:val="000000"/>
        </w:rPr>
      </w:pPr>
      <w:r w:rsidRPr="006C1177">
        <w:rPr>
          <w:rFonts w:ascii="Book Antiqua" w:eastAsia="Book Antiqua" w:hAnsi="Book Antiqua" w:cs="Book Antiqua"/>
          <w:b/>
          <w:bCs/>
          <w:i/>
          <w:iCs/>
          <w:color w:val="000000"/>
        </w:rPr>
        <w:t>Pooled prevalence of biochemical remission</w:t>
      </w:r>
    </w:p>
    <w:p w14:paraId="07A8AE96" w14:textId="633A4F78" w:rsidR="00A77B3E" w:rsidRDefault="000D6A55">
      <w:pPr>
        <w:spacing w:line="360" w:lineRule="auto"/>
        <w:jc w:val="both"/>
      </w:pPr>
      <w:r>
        <w:rPr>
          <w:rFonts w:ascii="Book Antiqua" w:eastAsia="Book Antiqua" w:hAnsi="Book Antiqua" w:cs="Book Antiqua"/>
          <w:color w:val="000000"/>
        </w:rPr>
        <w:t>In total, we included 584 patients with AIH who were unable to tolerate or respond to first-line therapy. In 157 patients treated with tacrolimus, the overall pooled prevalence of biochemical remission was 68.9% (95%CI: 60.4-76.2), and in 427 patients with MMF 59.6% (95%CI: 54.8-64.2) (Figures 3 and 4).</w:t>
      </w:r>
    </w:p>
    <w:p w14:paraId="6D3E5A73" w14:textId="664DFE9B" w:rsidR="00A77B3E" w:rsidRDefault="000D6A55" w:rsidP="006C1177">
      <w:pPr>
        <w:spacing w:line="360" w:lineRule="auto"/>
        <w:ind w:firstLineChars="100" w:firstLine="240"/>
        <w:jc w:val="both"/>
      </w:pPr>
      <w:r>
        <w:rPr>
          <w:rFonts w:ascii="Book Antiqua" w:eastAsia="Book Antiqua" w:hAnsi="Book Antiqua" w:cs="Book Antiqua"/>
          <w:color w:val="000000"/>
        </w:rPr>
        <w:t>Significant moderate heterogeneity was found among the 21 studies in the meta-analysis for tacrolimus and MMF (</w:t>
      </w:r>
      <w:r w:rsidRPr="00821849">
        <w:rPr>
          <w:rFonts w:ascii="Book Antiqua" w:eastAsia="Book Antiqua" w:hAnsi="Book Antiqua" w:cs="Book Antiqua"/>
          <w:i/>
          <w:iCs/>
          <w:color w:val="000000"/>
        </w:rPr>
        <w:t>Q</w:t>
      </w:r>
      <w:r>
        <w:rPr>
          <w:rFonts w:ascii="Book Antiqua" w:eastAsia="Book Antiqua" w:hAnsi="Book Antiqua" w:cs="Book Antiqua"/>
          <w:color w:val="000000"/>
        </w:rPr>
        <w:t xml:space="preserve"> =</w:t>
      </w:r>
      <w:r w:rsidR="00821849">
        <w:rPr>
          <w:rFonts w:ascii="Book Antiqua" w:eastAsia="Book Antiqua" w:hAnsi="Book Antiqua" w:cs="Book Antiqua"/>
          <w:color w:val="000000"/>
        </w:rPr>
        <w:t xml:space="preserve"> </w:t>
      </w:r>
      <w:r>
        <w:rPr>
          <w:rFonts w:ascii="Book Antiqua" w:eastAsia="Book Antiqua" w:hAnsi="Book Antiqua" w:cs="Book Antiqua"/>
          <w:color w:val="000000"/>
        </w:rPr>
        <w:t xml:space="preserve">16.25 </w:t>
      </w:r>
      <w:r w:rsidRPr="00C721A5">
        <w:rPr>
          <w:rFonts w:ascii="Book Antiqua" w:eastAsia="Book Antiqua" w:hAnsi="Book Antiqua" w:cs="Book Antiqua"/>
          <w:i/>
          <w:iCs/>
          <w:color w:val="000000"/>
        </w:rPr>
        <w:t>vs</w:t>
      </w:r>
      <w:r>
        <w:rPr>
          <w:rFonts w:ascii="Book Antiqua" w:eastAsia="Book Antiqua" w:hAnsi="Book Antiqua" w:cs="Book Antiqua"/>
          <w:color w:val="000000"/>
        </w:rPr>
        <w:t xml:space="preserve"> 29.72, df</w:t>
      </w:r>
      <w:r w:rsidR="006C1177">
        <w:rPr>
          <w:rFonts w:ascii="Book Antiqua" w:eastAsia="Book Antiqua" w:hAnsi="Book Antiqua" w:cs="Book Antiqua"/>
          <w:color w:val="000000"/>
        </w:rPr>
        <w:t xml:space="preserve"> </w:t>
      </w:r>
      <w:r>
        <w:rPr>
          <w:rFonts w:ascii="Book Antiqua" w:eastAsia="Book Antiqua" w:hAnsi="Book Antiqua" w:cs="Book Antiqua"/>
          <w:color w:val="000000"/>
        </w:rPr>
        <w:t>=</w:t>
      </w:r>
      <w:r w:rsidR="006C1177">
        <w:rPr>
          <w:rFonts w:ascii="Book Antiqua" w:eastAsia="Book Antiqua" w:hAnsi="Book Antiqua" w:cs="Book Antiqua"/>
          <w:color w:val="000000"/>
        </w:rPr>
        <w:t xml:space="preserve"> </w:t>
      </w:r>
      <w:r>
        <w:rPr>
          <w:rFonts w:ascii="Book Antiqua" w:eastAsia="Book Antiqua" w:hAnsi="Book Antiqua" w:cs="Book Antiqua"/>
          <w:color w:val="000000"/>
        </w:rPr>
        <w:t xml:space="preserve">8 </w:t>
      </w:r>
      <w:r w:rsidRPr="00C721A5">
        <w:rPr>
          <w:rFonts w:ascii="Book Antiqua" w:eastAsia="Book Antiqua" w:hAnsi="Book Antiqua" w:cs="Book Antiqua"/>
          <w:i/>
          <w:iCs/>
          <w:color w:val="000000"/>
        </w:rPr>
        <w:t>vs</w:t>
      </w:r>
      <w:r>
        <w:rPr>
          <w:rFonts w:ascii="Book Antiqua" w:eastAsia="Book Antiqua" w:hAnsi="Book Antiqua" w:cs="Book Antiqua"/>
          <w:color w:val="000000"/>
        </w:rPr>
        <w:t xml:space="preserve"> 15, </w:t>
      </w:r>
      <w:r w:rsidR="006C1177" w:rsidRPr="006C1177">
        <w:rPr>
          <w:rFonts w:ascii="Book Antiqua" w:eastAsia="Book Antiqua" w:hAnsi="Book Antiqua" w:cs="Book Antiqua"/>
          <w:i/>
          <w:iCs/>
          <w:color w:val="000000"/>
        </w:rPr>
        <w:t>P</w:t>
      </w:r>
      <w:r w:rsidR="006C1177">
        <w:rPr>
          <w:rFonts w:ascii="Book Antiqua" w:eastAsia="Book Antiqua" w:hAnsi="Book Antiqua" w:cs="Book Antiqua"/>
          <w:color w:val="000000"/>
        </w:rPr>
        <w:t xml:space="preserve"> </w:t>
      </w:r>
      <w:r>
        <w:rPr>
          <w:rFonts w:ascii="Book Antiqua" w:eastAsia="Book Antiqua" w:hAnsi="Book Antiqua" w:cs="Book Antiqua"/>
          <w:color w:val="000000"/>
        </w:rPr>
        <w:t>&lt;</w:t>
      </w:r>
      <w:r w:rsidR="006C1177">
        <w:rPr>
          <w:rFonts w:ascii="Book Antiqua" w:eastAsia="Book Antiqua" w:hAnsi="Book Antiqua" w:cs="Book Antiqua"/>
          <w:color w:val="000000"/>
        </w:rPr>
        <w:t xml:space="preserve"> </w:t>
      </w:r>
      <w:r>
        <w:rPr>
          <w:rFonts w:ascii="Book Antiqua" w:eastAsia="Book Antiqua" w:hAnsi="Book Antiqua" w:cs="Book Antiqua"/>
          <w:color w:val="000000"/>
        </w:rPr>
        <w:t xml:space="preserve">0.0001), respectively. According to </w:t>
      </w:r>
      <w:r w:rsidRPr="006C1177">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values for the tacrolimus and MMF groups, </w:t>
      </w:r>
      <w:r w:rsidR="006C1177">
        <w:rPr>
          <w:rFonts w:ascii="Book Antiqua" w:eastAsia="Book Antiqua" w:hAnsi="Book Antiqua" w:cs="Book Antiqua"/>
          <w:color w:val="000000"/>
        </w:rPr>
        <w:t xml:space="preserve">approximately </w:t>
      </w:r>
      <w:r>
        <w:rPr>
          <w:rFonts w:ascii="Book Antiqua" w:eastAsia="Book Antiqua" w:hAnsi="Book Antiqua" w:cs="Book Antiqua"/>
          <w:color w:val="000000"/>
        </w:rPr>
        <w:t xml:space="preserve">50.8% </w:t>
      </w:r>
      <w:r w:rsidRPr="00C721A5">
        <w:rPr>
          <w:rFonts w:ascii="Book Antiqua" w:eastAsia="Book Antiqua" w:hAnsi="Book Antiqua" w:cs="Book Antiqua"/>
          <w:i/>
          <w:iCs/>
          <w:color w:val="000000"/>
        </w:rPr>
        <w:t>vs</w:t>
      </w:r>
      <w:r>
        <w:rPr>
          <w:rFonts w:ascii="Book Antiqua" w:eastAsia="Book Antiqua" w:hAnsi="Book Antiqua" w:cs="Book Antiqua"/>
          <w:color w:val="000000"/>
        </w:rPr>
        <w:t xml:space="preserve"> 49.5% respectively, the variability in effect estimates was due to the heterogeneity between the studies rather than a sampling error or chance. Overall </w:t>
      </w:r>
      <w:r>
        <w:rPr>
          <w:rFonts w:ascii="Book Antiqua" w:eastAsia="Book Antiqua" w:hAnsi="Book Antiqua" w:cs="Book Antiqua"/>
          <w:color w:val="000000"/>
        </w:rPr>
        <w:lastRenderedPageBreak/>
        <w:t>quality assessments using GRADE were very low for biochemical remission in both intervention groups (Table 2).</w:t>
      </w:r>
    </w:p>
    <w:p w14:paraId="0C20E332" w14:textId="34950EEB" w:rsidR="00A77B3E" w:rsidRDefault="000D6A55" w:rsidP="00D11A71">
      <w:pPr>
        <w:spacing w:line="360" w:lineRule="auto"/>
        <w:ind w:firstLineChars="100" w:firstLine="240"/>
        <w:jc w:val="both"/>
      </w:pPr>
      <w:r>
        <w:rPr>
          <w:rFonts w:ascii="Book Antiqua" w:eastAsia="Book Antiqua" w:hAnsi="Book Antiqua" w:cs="Book Antiqua"/>
          <w:color w:val="000000"/>
        </w:rPr>
        <w:t>Egger’s regression test for tacrolimus (intercept</w:t>
      </w:r>
      <w:r w:rsidR="00D11A71">
        <w:rPr>
          <w:rFonts w:ascii="Book Antiqua" w:eastAsia="Book Antiqua" w:hAnsi="Book Antiqua" w:cs="Book Antiqua"/>
          <w:color w:val="000000"/>
        </w:rPr>
        <w:t xml:space="preserve"> </w:t>
      </w:r>
      <w:r>
        <w:rPr>
          <w:rFonts w:ascii="Book Antiqua" w:eastAsia="Book Antiqua" w:hAnsi="Book Antiqua" w:cs="Book Antiqua"/>
          <w:color w:val="000000"/>
        </w:rPr>
        <w:t>=</w:t>
      </w:r>
      <w:r w:rsidR="00D11A71">
        <w:rPr>
          <w:rFonts w:ascii="Book Antiqua" w:eastAsia="Book Antiqua" w:hAnsi="Book Antiqua" w:cs="Book Antiqua"/>
          <w:color w:val="000000"/>
        </w:rPr>
        <w:t xml:space="preserve"> </w:t>
      </w:r>
      <w:r>
        <w:rPr>
          <w:rFonts w:ascii="Book Antiqua" w:eastAsia="Book Antiqua" w:hAnsi="Book Antiqua" w:cs="Book Antiqua"/>
          <w:color w:val="000000"/>
        </w:rPr>
        <w:t xml:space="preserve">0.02, 95%CI: -2.14 to 2.18; </w:t>
      </w:r>
      <w:r>
        <w:rPr>
          <w:rFonts w:ascii="Book Antiqua" w:eastAsia="Book Antiqua" w:hAnsi="Book Antiqua" w:cs="Book Antiqua"/>
          <w:i/>
          <w:iCs/>
          <w:color w:val="000000"/>
        </w:rPr>
        <w:t>P</w:t>
      </w:r>
      <w:r>
        <w:rPr>
          <w:rFonts w:ascii="Book Antiqua" w:eastAsia="Book Antiqua" w:hAnsi="Book Antiqua" w:cs="Book Antiqua"/>
          <w:color w:val="000000"/>
        </w:rPr>
        <w:t xml:space="preserve"> = 0.98) and for MMF (intercept</w:t>
      </w:r>
      <w:r w:rsidR="00D11A71">
        <w:rPr>
          <w:rFonts w:ascii="Book Antiqua" w:eastAsia="Book Antiqua" w:hAnsi="Book Antiqua" w:cs="Book Antiqua"/>
          <w:color w:val="000000"/>
        </w:rPr>
        <w:t xml:space="preserve"> </w:t>
      </w:r>
      <w:r>
        <w:rPr>
          <w:rFonts w:ascii="Book Antiqua" w:eastAsia="Book Antiqua" w:hAnsi="Book Antiqua" w:cs="Book Antiqua"/>
          <w:color w:val="000000"/>
        </w:rPr>
        <w:t>=</w:t>
      </w:r>
      <w:r w:rsidR="00D11A71">
        <w:rPr>
          <w:rFonts w:ascii="Book Antiqua" w:eastAsia="Book Antiqua" w:hAnsi="Book Antiqua" w:cs="Book Antiqua"/>
          <w:color w:val="000000"/>
        </w:rPr>
        <w:t xml:space="preserve"> </w:t>
      </w:r>
      <w:r>
        <w:rPr>
          <w:rFonts w:ascii="Book Antiqua" w:eastAsia="Book Antiqua" w:hAnsi="Book Antiqua" w:cs="Book Antiqua"/>
          <w:color w:val="000000"/>
        </w:rPr>
        <w:t xml:space="preserve">-0.36, 95%CI: -1.77 to 1.06; </w:t>
      </w:r>
      <w:r>
        <w:rPr>
          <w:rFonts w:ascii="Book Antiqua" w:eastAsia="Book Antiqua" w:hAnsi="Book Antiqua" w:cs="Book Antiqua"/>
          <w:i/>
          <w:iCs/>
          <w:color w:val="000000"/>
        </w:rPr>
        <w:t>P</w:t>
      </w:r>
      <w:r>
        <w:rPr>
          <w:rFonts w:ascii="Book Antiqua" w:eastAsia="Book Antiqua" w:hAnsi="Book Antiqua" w:cs="Book Antiqua"/>
          <w:color w:val="000000"/>
        </w:rPr>
        <w:t xml:space="preserve"> = 0.59) did not show statistically significant asymmetry of the funnel plots, suggesting that publication bias was unlikely in both intervention groups (Figure 5).</w:t>
      </w:r>
    </w:p>
    <w:p w14:paraId="64B89A8D" w14:textId="432A997C" w:rsidR="00A77B3E" w:rsidRDefault="000D6A55" w:rsidP="00D11A7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Overall, 15 studies specified response rates according to the reason for using tacrolimus or MMF. In patients with intolerance to standard therapy, the pooled biochemical remission rate for tacrolimus was 56.6% </w:t>
      </w:r>
      <w:r>
        <w:rPr>
          <w:rFonts w:ascii="Book Antiqua" w:eastAsia="Book Antiqua" w:hAnsi="Book Antiqua" w:cs="Book Antiqua"/>
          <w:color w:val="000000"/>
          <w:shd w:val="clear" w:color="auto" w:fill="FFFFFF"/>
        </w:rPr>
        <w:t>(CI:</w:t>
      </w:r>
      <w:r w:rsidR="00D11A7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43.4-56.6), and</w:t>
      </w:r>
      <w:r>
        <w:rPr>
          <w:rFonts w:ascii="Book Antiqua" w:eastAsia="Book Antiqua" w:hAnsi="Book Antiqua" w:cs="Book Antiqua"/>
          <w:color w:val="000000"/>
        </w:rPr>
        <w:t xml:space="preserve"> 73.5% </w:t>
      </w:r>
      <w:r>
        <w:rPr>
          <w:rFonts w:ascii="Book Antiqua" w:eastAsia="Book Antiqua" w:hAnsi="Book Antiqua" w:cs="Book Antiqua"/>
          <w:color w:val="000000"/>
          <w:shd w:val="clear" w:color="auto" w:fill="FFFFFF"/>
        </w:rPr>
        <w:t>(CI: 58.1-84.7)</w:t>
      </w:r>
      <w:r>
        <w:rPr>
          <w:rFonts w:ascii="Book Antiqua" w:eastAsia="Book Antiqua" w:hAnsi="Book Antiqua" w:cs="Book Antiqua"/>
          <w:color w:val="000000"/>
        </w:rPr>
        <w:t xml:space="preserve"> for MMF. Among non-responders 59.1% </w:t>
      </w:r>
      <w:r>
        <w:rPr>
          <w:rFonts w:ascii="Book Antiqua" w:eastAsia="Book Antiqua" w:hAnsi="Book Antiqua" w:cs="Book Antiqua"/>
          <w:color w:val="000000"/>
          <w:shd w:val="clear" w:color="auto" w:fill="FFFFFF"/>
        </w:rPr>
        <w:t>(</w:t>
      </w:r>
      <w:r w:rsidR="00D11A71">
        <w:rPr>
          <w:rFonts w:ascii="Book Antiqua" w:eastAsia="Book Antiqua" w:hAnsi="Book Antiqua" w:cs="Book Antiqua"/>
          <w:color w:val="000000"/>
          <w:shd w:val="clear" w:color="auto" w:fill="FFFFFF"/>
        </w:rPr>
        <w:t xml:space="preserve">CI: </w:t>
      </w:r>
      <w:r>
        <w:rPr>
          <w:rFonts w:ascii="Book Antiqua" w:eastAsia="Book Antiqua" w:hAnsi="Book Antiqua" w:cs="Book Antiqua"/>
          <w:color w:val="000000"/>
          <w:shd w:val="clear" w:color="auto" w:fill="FFFFFF"/>
        </w:rPr>
        <w:t xml:space="preserve">48.7-68.8) </w:t>
      </w:r>
      <w:r>
        <w:rPr>
          <w:rFonts w:ascii="Book Antiqua" w:eastAsia="Book Antiqua" w:hAnsi="Book Antiqua" w:cs="Book Antiqua"/>
          <w:color w:val="000000"/>
        </w:rPr>
        <w:t xml:space="preserve">did respond to tacrolimus, while 40.8% </w:t>
      </w:r>
      <w:r>
        <w:rPr>
          <w:rFonts w:ascii="Book Antiqua" w:eastAsia="Book Antiqua" w:hAnsi="Book Antiqua" w:cs="Book Antiqua"/>
          <w:color w:val="000000"/>
          <w:shd w:val="clear" w:color="auto" w:fill="FFFFFF"/>
        </w:rPr>
        <w:t xml:space="preserve">(CI: 32.3-50.0) responded </w:t>
      </w:r>
      <w:r>
        <w:rPr>
          <w:rFonts w:ascii="Book Antiqua" w:eastAsia="Book Antiqua" w:hAnsi="Book Antiqua" w:cs="Book Antiqua"/>
          <w:color w:val="000000"/>
        </w:rPr>
        <w:t>to MMF.</w:t>
      </w:r>
    </w:p>
    <w:p w14:paraId="544F12CC" w14:textId="77777777" w:rsidR="00D11A71" w:rsidRDefault="00D11A71" w:rsidP="00D11A71">
      <w:pPr>
        <w:spacing w:line="360" w:lineRule="auto"/>
        <w:jc w:val="both"/>
      </w:pPr>
    </w:p>
    <w:p w14:paraId="6BD68158" w14:textId="1F2CFF63" w:rsidR="00D11A71" w:rsidRPr="00D11A71" w:rsidRDefault="000D6A55">
      <w:pPr>
        <w:spacing w:line="360" w:lineRule="auto"/>
        <w:jc w:val="both"/>
        <w:rPr>
          <w:rFonts w:ascii="Book Antiqua" w:eastAsia="Book Antiqua" w:hAnsi="Book Antiqua" w:cs="Book Antiqua"/>
          <w:b/>
          <w:bCs/>
          <w:i/>
          <w:iCs/>
          <w:color w:val="000000"/>
        </w:rPr>
      </w:pPr>
      <w:r w:rsidRPr="00D11A71">
        <w:rPr>
          <w:rFonts w:ascii="Book Antiqua" w:eastAsia="Book Antiqua" w:hAnsi="Book Antiqua" w:cs="Book Antiqua"/>
          <w:b/>
          <w:bCs/>
          <w:i/>
          <w:iCs/>
          <w:color w:val="000000"/>
        </w:rPr>
        <w:t>Pooled event rate of adverse events</w:t>
      </w:r>
    </w:p>
    <w:p w14:paraId="190E0591" w14:textId="7890F366" w:rsidR="00A77B3E" w:rsidRDefault="000D6A55">
      <w:pPr>
        <w:spacing w:line="360" w:lineRule="auto"/>
        <w:jc w:val="both"/>
      </w:pPr>
      <w:r>
        <w:rPr>
          <w:rFonts w:ascii="Book Antiqua" w:eastAsia="Book Antiqua" w:hAnsi="Book Antiqua" w:cs="Book Antiqua"/>
          <w:color w:val="000000"/>
        </w:rPr>
        <w:t xml:space="preserve">Frequencies and percentages of reported adverse events were not adequately mentioned in five studies (two studies in </w:t>
      </w:r>
      <w:proofErr w:type="gramStart"/>
      <w:r>
        <w:rPr>
          <w:rFonts w:ascii="Book Antiqua" w:eastAsia="Book Antiqua" w:hAnsi="Book Antiqua" w:cs="Book Antiqua"/>
          <w:color w:val="000000"/>
        </w:rPr>
        <w:t>tacrolimus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29,33]</w:t>
      </w:r>
      <w:r>
        <w:rPr>
          <w:rFonts w:ascii="Book Antiqua" w:eastAsia="Book Antiqua" w:hAnsi="Book Antiqua" w:cs="Book Antiqua"/>
          <w:color w:val="000000"/>
        </w:rPr>
        <w:t xml:space="preserve"> and three studies in MMF</w:t>
      </w:r>
      <w:r>
        <w:rPr>
          <w:rFonts w:ascii="Book Antiqua" w:eastAsia="Book Antiqua" w:hAnsi="Book Antiqua" w:cs="Book Antiqua"/>
          <w:color w:val="000000"/>
          <w:szCs w:val="30"/>
          <w:vertAlign w:val="superscript"/>
        </w:rPr>
        <w:t>[29,33,39]</w:t>
      </w:r>
      <w:r>
        <w:rPr>
          <w:rFonts w:ascii="Book Antiqua" w:eastAsia="Book Antiqua" w:hAnsi="Book Antiqua" w:cs="Book Antiqua"/>
          <w:color w:val="000000"/>
        </w:rPr>
        <w:t>). Patients given tacrolimus had a number of adverse events, in which neurologic symptoms and gastrointestinal side-effects were the most common; 22 patients had to discontinue the drug due to adverse events. The most common adverse events associated with MMF were gastrointestinal side-effects and leukopenia, which led to 46 patients discontinuing the drug.</w:t>
      </w:r>
    </w:p>
    <w:p w14:paraId="49F84632" w14:textId="046E3A6B" w:rsidR="00A77B3E" w:rsidRDefault="000D6A55" w:rsidP="00D11A71">
      <w:pPr>
        <w:spacing w:line="360" w:lineRule="auto"/>
        <w:ind w:firstLineChars="100" w:firstLine="240"/>
        <w:jc w:val="both"/>
      </w:pPr>
      <w:r>
        <w:rPr>
          <w:rFonts w:ascii="Book Antiqua" w:eastAsia="Book Antiqua" w:hAnsi="Book Antiqua" w:cs="Book Antiqua"/>
          <w:color w:val="000000"/>
        </w:rPr>
        <w:t>The pooled adverse event rate for tacrolimus was 25.5% (95%CI: 12.4-45.3) and for MMF was 24.1% (95%CI:</w:t>
      </w:r>
      <w:r w:rsidR="00D11A71">
        <w:rPr>
          <w:rFonts w:ascii="Book Antiqua" w:eastAsia="Book Antiqua" w:hAnsi="Book Antiqua" w:cs="Book Antiqua"/>
          <w:color w:val="000000"/>
        </w:rPr>
        <w:t xml:space="preserve"> </w:t>
      </w:r>
      <w:r>
        <w:rPr>
          <w:rFonts w:ascii="Book Antiqua" w:eastAsia="Book Antiqua" w:hAnsi="Book Antiqua" w:cs="Book Antiqua"/>
          <w:color w:val="000000"/>
        </w:rPr>
        <w:t>15.4-35.7) (</w:t>
      </w:r>
      <w:r w:rsidR="00D85A67">
        <w:rPr>
          <w:rFonts w:ascii="Book Antiqua" w:eastAsia="Book Antiqua" w:hAnsi="Book Antiqua" w:cs="Book Antiqua"/>
          <w:color w:val="000000"/>
        </w:rPr>
        <w:t xml:space="preserve">Supplementary </w:t>
      </w:r>
      <w:r>
        <w:rPr>
          <w:rFonts w:ascii="Book Antiqua" w:eastAsia="Book Antiqua" w:hAnsi="Book Antiqua" w:cs="Book Antiqua"/>
          <w:color w:val="000000"/>
        </w:rPr>
        <w:t>Figures 1</w:t>
      </w:r>
      <w:r w:rsidR="00D85A67">
        <w:rPr>
          <w:rFonts w:ascii="Book Antiqua" w:eastAsia="Book Antiqua" w:hAnsi="Book Antiqua" w:cs="Book Antiqua"/>
          <w:color w:val="000000"/>
        </w:rPr>
        <w:t xml:space="preserve"> and</w:t>
      </w:r>
      <w:r>
        <w:rPr>
          <w:rFonts w:ascii="Book Antiqua" w:eastAsia="Book Antiqua" w:hAnsi="Book Antiqua" w:cs="Book Antiqua"/>
          <w:color w:val="000000"/>
        </w:rPr>
        <w:t xml:space="preserve"> 5). There was substantial significant heterogeneity among the studies in both intervention groups yield an </w:t>
      </w:r>
      <w:r w:rsidRPr="00B63B71">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sidR="00B63B71">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w:t>
      </w:r>
      <w:r w:rsidR="00B63B71">
        <w:rPr>
          <w:rFonts w:ascii="Book Antiqua" w:eastAsia="Book Antiqua" w:hAnsi="Book Antiqua" w:cs="Book Antiqua"/>
          <w:color w:val="000000"/>
        </w:rPr>
        <w:t xml:space="preserve"> </w:t>
      </w:r>
      <w:r>
        <w:rPr>
          <w:rFonts w:ascii="Book Antiqua" w:eastAsia="Book Antiqua" w:hAnsi="Book Antiqua" w:cs="Book Antiqua"/>
          <w:color w:val="000000"/>
        </w:rPr>
        <w:t>66.73% (</w:t>
      </w:r>
      <w:proofErr w:type="spellStart"/>
      <w:r w:rsidRPr="007B2F17">
        <w:rPr>
          <w:rFonts w:ascii="Book Antiqua" w:eastAsia="Book Antiqua" w:hAnsi="Book Antiqua" w:cs="Book Antiqua"/>
          <w:i/>
          <w:iCs/>
          <w:color w:val="000000"/>
        </w:rPr>
        <w:t>P</w:t>
      </w:r>
      <w:r>
        <w:rPr>
          <w:rFonts w:ascii="Book Antiqua" w:eastAsia="Book Antiqua" w:hAnsi="Book Antiqua" w:cs="Book Antiqua"/>
          <w:color w:val="000000"/>
          <w:szCs w:val="30"/>
          <w:vertAlign w:val="subscript"/>
        </w:rPr>
        <w:t>het</w:t>
      </w:r>
      <w:proofErr w:type="spellEnd"/>
      <w:r w:rsidR="00B63B71" w:rsidRPr="00B63B71">
        <w:rPr>
          <w:rFonts w:ascii="Book Antiqua" w:eastAsia="Book Antiqua" w:hAnsi="Book Antiqua" w:cs="Book Antiqua"/>
          <w:color w:val="000000"/>
          <w:szCs w:val="30"/>
        </w:rPr>
        <w:t xml:space="preserve"> </w:t>
      </w:r>
      <w:r>
        <w:rPr>
          <w:rFonts w:ascii="Book Antiqua" w:eastAsia="Book Antiqua" w:hAnsi="Book Antiqua" w:cs="Book Antiqua"/>
          <w:color w:val="000000"/>
        </w:rPr>
        <w:t>=</w:t>
      </w:r>
      <w:r w:rsidR="00B63B71">
        <w:rPr>
          <w:rFonts w:ascii="Book Antiqua" w:eastAsia="Book Antiqua" w:hAnsi="Book Antiqua" w:cs="Book Antiqua"/>
          <w:color w:val="000000"/>
        </w:rPr>
        <w:t xml:space="preserve"> </w:t>
      </w:r>
      <w:r>
        <w:rPr>
          <w:rFonts w:ascii="Book Antiqua" w:eastAsia="Book Antiqua" w:hAnsi="Book Antiqua" w:cs="Book Antiqua"/>
          <w:color w:val="000000"/>
        </w:rPr>
        <w:t>0.006) for tacrolimus and 74.24% (</w:t>
      </w:r>
      <w:proofErr w:type="spellStart"/>
      <w:r w:rsidRPr="007B2F17">
        <w:rPr>
          <w:rFonts w:ascii="Book Antiqua" w:eastAsia="Book Antiqua" w:hAnsi="Book Antiqua" w:cs="Book Antiqua"/>
          <w:i/>
          <w:iCs/>
          <w:color w:val="000000"/>
        </w:rPr>
        <w:t>P</w:t>
      </w:r>
      <w:r>
        <w:rPr>
          <w:rFonts w:ascii="Book Antiqua" w:eastAsia="Book Antiqua" w:hAnsi="Book Antiqua" w:cs="Book Antiqua"/>
          <w:color w:val="000000"/>
          <w:szCs w:val="30"/>
          <w:vertAlign w:val="subscript"/>
        </w:rPr>
        <w:t>het</w:t>
      </w:r>
      <w:proofErr w:type="spellEnd"/>
      <w:r w:rsidR="00B63B71" w:rsidRPr="00B63B71">
        <w:rPr>
          <w:rFonts w:ascii="Book Antiqua" w:eastAsia="Book Antiqua" w:hAnsi="Book Antiqua" w:cs="Book Antiqua"/>
          <w:color w:val="000000"/>
          <w:szCs w:val="30"/>
        </w:rPr>
        <w:t xml:space="preserve"> </w:t>
      </w:r>
      <w:r>
        <w:rPr>
          <w:rFonts w:ascii="Book Antiqua" w:eastAsia="Book Antiqua" w:hAnsi="Book Antiqua" w:cs="Book Antiqua"/>
          <w:color w:val="000000"/>
        </w:rPr>
        <w:t>=</w:t>
      </w:r>
      <w:r w:rsidR="00B63B71">
        <w:rPr>
          <w:rFonts w:ascii="Book Antiqua" w:eastAsia="Book Antiqua" w:hAnsi="Book Antiqua" w:cs="Book Antiqua"/>
          <w:color w:val="000000"/>
        </w:rPr>
        <w:t xml:space="preserve"> </w:t>
      </w:r>
      <w:r>
        <w:rPr>
          <w:rFonts w:ascii="Book Antiqua" w:eastAsia="Book Antiqua" w:hAnsi="Book Antiqua" w:cs="Book Antiqua"/>
          <w:color w:val="000000"/>
        </w:rPr>
        <w:t>0.001) for MMF. Overall quality assessments using GRADE were very low for adverse events in both intervention groups (Table 2).</w:t>
      </w:r>
    </w:p>
    <w:p w14:paraId="54A9C0AF" w14:textId="34336F83" w:rsidR="00A77B3E" w:rsidRDefault="000D6A55" w:rsidP="00B63B7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Egger’s regression test for tacrolimus (intercept</w:t>
      </w:r>
      <w:r w:rsidR="00B63B71">
        <w:rPr>
          <w:rFonts w:ascii="Book Antiqua" w:eastAsia="Book Antiqua" w:hAnsi="Book Antiqua" w:cs="Book Antiqua"/>
          <w:color w:val="000000"/>
        </w:rPr>
        <w:t xml:space="preserve"> </w:t>
      </w:r>
      <w:r>
        <w:rPr>
          <w:rFonts w:ascii="Book Antiqua" w:eastAsia="Book Antiqua" w:hAnsi="Book Antiqua" w:cs="Book Antiqua"/>
          <w:color w:val="000000"/>
        </w:rPr>
        <w:t>=</w:t>
      </w:r>
      <w:r w:rsidR="00B63B71">
        <w:rPr>
          <w:rFonts w:ascii="Book Antiqua" w:eastAsia="Book Antiqua" w:hAnsi="Book Antiqua" w:cs="Book Antiqua"/>
          <w:color w:val="000000"/>
        </w:rPr>
        <w:t xml:space="preserve"> </w:t>
      </w:r>
      <w:r>
        <w:rPr>
          <w:rFonts w:ascii="Book Antiqua" w:eastAsia="Book Antiqua" w:hAnsi="Book Antiqua" w:cs="Book Antiqua"/>
          <w:color w:val="000000"/>
        </w:rPr>
        <w:t>0.87, 95%CI: -3.35 to 5.09;</w:t>
      </w:r>
      <w:r>
        <w:rPr>
          <w:rFonts w:ascii="Book Antiqua" w:eastAsia="Book Antiqua" w:hAnsi="Book Antiqua" w:cs="Book Antiqua"/>
          <w:i/>
          <w:iCs/>
          <w:color w:val="000000"/>
        </w:rPr>
        <w:t xml:space="preserve"> </w:t>
      </w:r>
      <w:r w:rsidR="00B63B71" w:rsidRPr="00B63B71">
        <w:rPr>
          <w:rFonts w:ascii="Book Antiqua" w:eastAsia="Book Antiqua" w:hAnsi="Book Antiqua" w:cs="Book Antiqua"/>
          <w:i/>
          <w:iCs/>
          <w:color w:val="000000"/>
        </w:rPr>
        <w:t>P</w:t>
      </w:r>
      <w:r w:rsidR="00B63B71">
        <w:rPr>
          <w:rFonts w:ascii="Book Antiqua" w:eastAsia="Book Antiqua" w:hAnsi="Book Antiqua" w:cs="Book Antiqua"/>
          <w:color w:val="000000"/>
        </w:rPr>
        <w:t xml:space="preserve"> </w:t>
      </w:r>
      <w:r>
        <w:rPr>
          <w:rFonts w:ascii="Book Antiqua" w:eastAsia="Book Antiqua" w:hAnsi="Book Antiqua" w:cs="Book Antiqua"/>
          <w:color w:val="000000"/>
        </w:rPr>
        <w:t>=</w:t>
      </w:r>
      <w:r w:rsidR="00B63B71">
        <w:rPr>
          <w:rFonts w:ascii="Book Antiqua" w:eastAsia="Book Antiqua" w:hAnsi="Book Antiqua" w:cs="Book Antiqua"/>
          <w:color w:val="000000"/>
        </w:rPr>
        <w:t xml:space="preserve"> </w:t>
      </w:r>
      <w:r>
        <w:rPr>
          <w:rFonts w:ascii="Book Antiqua" w:eastAsia="Book Antiqua" w:hAnsi="Book Antiqua" w:cs="Book Antiqua"/>
          <w:color w:val="000000"/>
        </w:rPr>
        <w:t>0.62) and for MMF (intercept</w:t>
      </w:r>
      <w:r w:rsidR="00B63B71">
        <w:rPr>
          <w:rFonts w:ascii="Book Antiqua" w:eastAsia="Book Antiqua" w:hAnsi="Book Antiqua" w:cs="Book Antiqua"/>
          <w:color w:val="000000"/>
        </w:rPr>
        <w:t xml:space="preserve"> </w:t>
      </w:r>
      <w:r>
        <w:rPr>
          <w:rFonts w:ascii="Book Antiqua" w:eastAsia="Book Antiqua" w:hAnsi="Book Antiqua" w:cs="Book Antiqua"/>
          <w:color w:val="000000"/>
        </w:rPr>
        <w:t>=</w:t>
      </w:r>
      <w:r w:rsidR="00B63B71">
        <w:rPr>
          <w:rFonts w:ascii="Book Antiqua" w:eastAsia="Book Antiqua" w:hAnsi="Book Antiqua" w:cs="Book Antiqua"/>
          <w:color w:val="000000"/>
        </w:rPr>
        <w:t xml:space="preserve"> </w:t>
      </w:r>
      <w:r>
        <w:rPr>
          <w:rFonts w:ascii="Book Antiqua" w:eastAsia="Book Antiqua" w:hAnsi="Book Antiqua" w:cs="Book Antiqua"/>
          <w:color w:val="000000"/>
        </w:rPr>
        <w:t>-0.36, 95%CI: -2.93 to 2.22,</w:t>
      </w:r>
      <w:r>
        <w:rPr>
          <w:rFonts w:ascii="Book Antiqua" w:eastAsia="Book Antiqua" w:hAnsi="Book Antiqua" w:cs="Book Antiqua"/>
          <w:i/>
          <w:iCs/>
          <w:color w:val="000000"/>
        </w:rPr>
        <w:t xml:space="preserve"> </w:t>
      </w:r>
      <w:r w:rsidR="00B63B71" w:rsidRPr="00B63B71">
        <w:rPr>
          <w:rFonts w:ascii="Book Antiqua" w:eastAsia="Book Antiqua" w:hAnsi="Book Antiqua" w:cs="Book Antiqua"/>
          <w:i/>
          <w:iCs/>
          <w:color w:val="000000"/>
        </w:rPr>
        <w:t>P</w:t>
      </w:r>
      <w:r w:rsidR="00B63B71">
        <w:rPr>
          <w:rFonts w:ascii="Book Antiqua" w:eastAsia="Book Antiqua" w:hAnsi="Book Antiqua" w:cs="Book Antiqua"/>
          <w:color w:val="000000"/>
        </w:rPr>
        <w:t xml:space="preserve"> </w:t>
      </w:r>
      <w:r>
        <w:rPr>
          <w:rFonts w:ascii="Book Antiqua" w:eastAsia="Book Antiqua" w:hAnsi="Book Antiqua" w:cs="Book Antiqua"/>
          <w:color w:val="000000"/>
        </w:rPr>
        <w:t>=</w:t>
      </w:r>
      <w:r w:rsidR="00B63B71">
        <w:rPr>
          <w:rFonts w:ascii="Book Antiqua" w:eastAsia="Book Antiqua" w:hAnsi="Book Antiqua" w:cs="Book Antiqua"/>
          <w:color w:val="000000"/>
        </w:rPr>
        <w:t xml:space="preserve"> </w:t>
      </w:r>
      <w:r>
        <w:rPr>
          <w:rFonts w:ascii="Book Antiqua" w:eastAsia="Book Antiqua" w:hAnsi="Book Antiqua" w:cs="Book Antiqua"/>
          <w:color w:val="000000"/>
        </w:rPr>
        <w:t xml:space="preserve">0.77) did not show statistically </w:t>
      </w:r>
      <w:r>
        <w:rPr>
          <w:rFonts w:ascii="Book Antiqua" w:eastAsia="Book Antiqua" w:hAnsi="Book Antiqua" w:cs="Book Antiqua"/>
          <w:color w:val="000000"/>
        </w:rPr>
        <w:lastRenderedPageBreak/>
        <w:t>significant asymmetry of the funnel plot, suggesting that publication bias was unlikely (</w:t>
      </w:r>
      <w:r w:rsidR="0097061E">
        <w:rPr>
          <w:rFonts w:ascii="Book Antiqua" w:eastAsia="Book Antiqua" w:hAnsi="Book Antiqua" w:cs="Book Antiqua"/>
          <w:color w:val="000000"/>
        </w:rPr>
        <w:t xml:space="preserve">Supplementary </w:t>
      </w:r>
      <w:r>
        <w:rPr>
          <w:rFonts w:ascii="Book Antiqua" w:eastAsia="Book Antiqua" w:hAnsi="Book Antiqua" w:cs="Book Antiqua"/>
          <w:color w:val="000000"/>
        </w:rPr>
        <w:t>Figures 2</w:t>
      </w:r>
      <w:r w:rsidR="0097061E">
        <w:rPr>
          <w:rFonts w:ascii="Book Antiqua" w:eastAsia="Book Antiqua" w:hAnsi="Book Antiqua" w:cs="Book Antiqua"/>
          <w:color w:val="000000"/>
        </w:rPr>
        <w:t xml:space="preserve"> and </w:t>
      </w:r>
      <w:r>
        <w:rPr>
          <w:rFonts w:ascii="Book Antiqua" w:eastAsia="Book Antiqua" w:hAnsi="Book Antiqua" w:cs="Book Antiqua"/>
          <w:color w:val="000000"/>
        </w:rPr>
        <w:t>6).</w:t>
      </w:r>
    </w:p>
    <w:p w14:paraId="3449CE94" w14:textId="77777777" w:rsidR="0097061E" w:rsidRDefault="0097061E" w:rsidP="0097061E">
      <w:pPr>
        <w:spacing w:line="360" w:lineRule="auto"/>
        <w:jc w:val="both"/>
      </w:pPr>
    </w:p>
    <w:p w14:paraId="67CDAB05" w14:textId="5826D427" w:rsidR="0097061E" w:rsidRPr="00A378BA" w:rsidRDefault="000D6A55">
      <w:pPr>
        <w:spacing w:line="360" w:lineRule="auto"/>
        <w:jc w:val="both"/>
        <w:rPr>
          <w:rFonts w:ascii="Book Antiqua" w:eastAsia="Book Antiqua" w:hAnsi="Book Antiqua" w:cs="Book Antiqua"/>
          <w:b/>
          <w:bCs/>
          <w:i/>
          <w:iCs/>
          <w:color w:val="000000"/>
        </w:rPr>
      </w:pPr>
      <w:r w:rsidRPr="00A378BA">
        <w:rPr>
          <w:rFonts w:ascii="Book Antiqua" w:eastAsia="Book Antiqua" w:hAnsi="Book Antiqua" w:cs="Book Antiqua"/>
          <w:b/>
          <w:bCs/>
          <w:i/>
          <w:iCs/>
          <w:color w:val="000000"/>
        </w:rPr>
        <w:t>Pooled mortality</w:t>
      </w:r>
      <w:r w:rsidRPr="00A378BA">
        <w:rPr>
          <w:rFonts w:ascii="Book Antiqua" w:eastAsia="Book Antiqua" w:hAnsi="Book Antiqua" w:cs="Book Antiqua"/>
          <w:i/>
          <w:iCs/>
          <w:color w:val="000000"/>
        </w:rPr>
        <w:t xml:space="preserve"> </w:t>
      </w:r>
      <w:r w:rsidRPr="00A378BA">
        <w:rPr>
          <w:rFonts w:ascii="Book Antiqua" w:eastAsia="Book Antiqua" w:hAnsi="Book Antiqua" w:cs="Book Antiqua"/>
          <w:b/>
          <w:bCs/>
          <w:i/>
          <w:iCs/>
          <w:color w:val="000000"/>
        </w:rPr>
        <w:t>rate</w:t>
      </w:r>
    </w:p>
    <w:p w14:paraId="0F51CF38" w14:textId="4D84DE71" w:rsidR="00A77B3E" w:rsidRDefault="000D6A55">
      <w:pPr>
        <w:spacing w:line="360" w:lineRule="auto"/>
        <w:jc w:val="both"/>
      </w:pPr>
      <w:r>
        <w:rPr>
          <w:rFonts w:ascii="Book Antiqua" w:eastAsia="Book Antiqua" w:hAnsi="Book Antiqua" w:cs="Book Antiqua"/>
          <w:color w:val="000000"/>
        </w:rPr>
        <w:t>The studies reported 14 deaths occurring in a total of 157 patients (8.9%) treated with tacrolimus and 22 deaths in 427 patients (5.2%) treated with MMF. The pooled mortality rate was 11.5% (95%CI: 7.1-18.1) in the tacrolimus group and 9% (95%CI: 6.2-12.8) in the MMF group (</w:t>
      </w:r>
      <w:r w:rsidR="0073087A">
        <w:rPr>
          <w:rFonts w:ascii="Book Antiqua" w:eastAsia="Book Antiqua" w:hAnsi="Book Antiqua" w:cs="Book Antiqua"/>
          <w:color w:val="000000"/>
        </w:rPr>
        <w:t xml:space="preserve">Supplementary </w:t>
      </w:r>
      <w:r>
        <w:rPr>
          <w:rFonts w:ascii="Book Antiqua" w:eastAsia="Book Antiqua" w:hAnsi="Book Antiqua" w:cs="Book Antiqua"/>
          <w:color w:val="000000"/>
        </w:rPr>
        <w:t>Figures 3</w:t>
      </w:r>
      <w:r w:rsidR="0073087A">
        <w:rPr>
          <w:rFonts w:ascii="Book Antiqua" w:eastAsia="Book Antiqua" w:hAnsi="Book Antiqua" w:cs="Book Antiqua"/>
          <w:color w:val="000000"/>
        </w:rPr>
        <w:t xml:space="preserve"> and</w:t>
      </w:r>
      <w:r>
        <w:rPr>
          <w:rFonts w:ascii="Book Antiqua" w:eastAsia="Book Antiqua" w:hAnsi="Book Antiqua" w:cs="Book Antiqua"/>
          <w:color w:val="000000"/>
        </w:rPr>
        <w:t xml:space="preserve"> 7). There was no significant heterogeneity between studies for all-cause mortality in either intervention group, yielding an </w:t>
      </w:r>
      <w:r w:rsidRPr="0073087A">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sidR="0073087A" w:rsidRPr="0073087A">
        <w:rPr>
          <w:rFonts w:ascii="Book Antiqua" w:eastAsia="Book Antiqua" w:hAnsi="Book Antiqua" w:cs="Book Antiqua"/>
          <w:color w:val="000000"/>
          <w:szCs w:val="30"/>
        </w:rPr>
        <w:t xml:space="preserve"> </w:t>
      </w:r>
      <w:r>
        <w:rPr>
          <w:rFonts w:ascii="Book Antiqua" w:eastAsia="Book Antiqua" w:hAnsi="Book Antiqua" w:cs="Book Antiqua"/>
          <w:color w:val="000000"/>
        </w:rPr>
        <w:t>=</w:t>
      </w:r>
      <w:r w:rsidR="0073087A">
        <w:rPr>
          <w:rFonts w:ascii="Book Antiqua" w:eastAsia="Book Antiqua" w:hAnsi="Book Antiqua" w:cs="Book Antiqua"/>
          <w:color w:val="000000"/>
        </w:rPr>
        <w:t xml:space="preserve"> </w:t>
      </w:r>
      <w:r>
        <w:rPr>
          <w:rFonts w:ascii="Book Antiqua" w:eastAsia="Book Antiqua" w:hAnsi="Book Antiqua" w:cs="Book Antiqua"/>
          <w:color w:val="000000"/>
        </w:rPr>
        <w:t>0% (</w:t>
      </w:r>
      <w:proofErr w:type="spellStart"/>
      <w:r w:rsidRPr="008D1919">
        <w:rPr>
          <w:rFonts w:ascii="Book Antiqua" w:eastAsia="Book Antiqua" w:hAnsi="Book Antiqua" w:cs="Book Antiqua"/>
          <w:i/>
          <w:iCs/>
          <w:color w:val="000000"/>
        </w:rPr>
        <w:t>P</w:t>
      </w:r>
      <w:r>
        <w:rPr>
          <w:rFonts w:ascii="Book Antiqua" w:eastAsia="Book Antiqua" w:hAnsi="Book Antiqua" w:cs="Book Antiqua"/>
          <w:color w:val="000000"/>
          <w:szCs w:val="30"/>
          <w:vertAlign w:val="subscript"/>
        </w:rPr>
        <w:t>het</w:t>
      </w:r>
      <w:proofErr w:type="spellEnd"/>
      <w:r w:rsidR="0073087A" w:rsidRPr="0073087A">
        <w:rPr>
          <w:rFonts w:ascii="Book Antiqua" w:eastAsia="Book Antiqua" w:hAnsi="Book Antiqua" w:cs="Book Antiqua"/>
          <w:color w:val="000000"/>
          <w:szCs w:val="30"/>
        </w:rPr>
        <w:t xml:space="preserve"> </w:t>
      </w:r>
      <w:r>
        <w:rPr>
          <w:rFonts w:ascii="Book Antiqua" w:eastAsia="Book Antiqua" w:hAnsi="Book Antiqua" w:cs="Book Antiqua"/>
          <w:color w:val="000000"/>
        </w:rPr>
        <w:t>=</w:t>
      </w:r>
      <w:r w:rsidR="0073087A">
        <w:rPr>
          <w:rFonts w:ascii="Book Antiqua" w:eastAsia="Book Antiqua" w:hAnsi="Book Antiqua" w:cs="Book Antiqua"/>
          <w:color w:val="000000"/>
        </w:rPr>
        <w:t xml:space="preserve"> </w:t>
      </w:r>
      <w:r>
        <w:rPr>
          <w:rFonts w:ascii="Book Antiqua" w:eastAsia="Book Antiqua" w:hAnsi="Book Antiqua" w:cs="Book Antiqua"/>
          <w:color w:val="000000"/>
        </w:rPr>
        <w:t>0.71) for tacrolimus and 12.46% (</w:t>
      </w:r>
      <w:proofErr w:type="spellStart"/>
      <w:r w:rsidRPr="008D1919">
        <w:rPr>
          <w:rFonts w:ascii="Book Antiqua" w:eastAsia="Book Antiqua" w:hAnsi="Book Antiqua" w:cs="Book Antiqua"/>
          <w:i/>
          <w:iCs/>
          <w:color w:val="000000"/>
        </w:rPr>
        <w:t>P</w:t>
      </w:r>
      <w:r>
        <w:rPr>
          <w:rFonts w:ascii="Book Antiqua" w:eastAsia="Book Antiqua" w:hAnsi="Book Antiqua" w:cs="Book Antiqua"/>
          <w:color w:val="000000"/>
          <w:szCs w:val="30"/>
          <w:vertAlign w:val="subscript"/>
        </w:rPr>
        <w:t>het</w:t>
      </w:r>
      <w:proofErr w:type="spellEnd"/>
      <w:r w:rsidR="0073087A" w:rsidRPr="0073087A">
        <w:rPr>
          <w:rFonts w:ascii="Book Antiqua" w:eastAsia="Book Antiqua" w:hAnsi="Book Antiqua" w:cs="Book Antiqua"/>
          <w:color w:val="000000"/>
          <w:szCs w:val="30"/>
        </w:rPr>
        <w:t xml:space="preserve"> </w:t>
      </w:r>
      <w:r>
        <w:rPr>
          <w:rFonts w:ascii="Book Antiqua" w:eastAsia="Book Antiqua" w:hAnsi="Book Antiqua" w:cs="Book Antiqua"/>
          <w:color w:val="000000"/>
        </w:rPr>
        <w:t>=</w:t>
      </w:r>
      <w:r w:rsidR="0073087A">
        <w:rPr>
          <w:rFonts w:ascii="Book Antiqua" w:eastAsia="Book Antiqua" w:hAnsi="Book Antiqua" w:cs="Book Antiqua"/>
          <w:color w:val="000000"/>
        </w:rPr>
        <w:t xml:space="preserve"> </w:t>
      </w:r>
      <w:r>
        <w:rPr>
          <w:rFonts w:ascii="Book Antiqua" w:eastAsia="Book Antiqua" w:hAnsi="Book Antiqua" w:cs="Book Antiqua"/>
          <w:color w:val="000000"/>
        </w:rPr>
        <w:t>0.31) for MMF. Overall quality assessments using GRADE were very low for mortality in both intervention groups (Table 2).</w:t>
      </w:r>
    </w:p>
    <w:p w14:paraId="5087626C" w14:textId="1AAA273B" w:rsidR="00A77B3E" w:rsidRDefault="000D6A55" w:rsidP="0073087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Egger’s regression test for tacrolimus (intercept</w:t>
      </w:r>
      <w:r w:rsidR="0073087A">
        <w:rPr>
          <w:rFonts w:ascii="Book Antiqua" w:eastAsia="Book Antiqua" w:hAnsi="Book Antiqua" w:cs="Book Antiqua"/>
          <w:color w:val="000000"/>
        </w:rPr>
        <w:t xml:space="preserve"> </w:t>
      </w:r>
      <w:r>
        <w:rPr>
          <w:rFonts w:ascii="Book Antiqua" w:eastAsia="Book Antiqua" w:hAnsi="Book Antiqua" w:cs="Book Antiqua"/>
          <w:color w:val="000000"/>
        </w:rPr>
        <w:t>=</w:t>
      </w:r>
      <w:r w:rsidR="0073087A">
        <w:rPr>
          <w:rFonts w:ascii="Book Antiqua" w:eastAsia="Book Antiqua" w:hAnsi="Book Antiqua" w:cs="Book Antiqua"/>
          <w:color w:val="000000"/>
        </w:rPr>
        <w:t xml:space="preserve"> </w:t>
      </w:r>
      <w:r>
        <w:rPr>
          <w:rFonts w:ascii="Book Antiqua" w:eastAsia="Book Antiqua" w:hAnsi="Book Antiqua" w:cs="Book Antiqua"/>
          <w:color w:val="000000"/>
        </w:rPr>
        <w:t>-0.35, 95%CI: -1.63 to 0.93,</w:t>
      </w:r>
      <w:r>
        <w:rPr>
          <w:rFonts w:ascii="Book Antiqua" w:eastAsia="Book Antiqua" w:hAnsi="Book Antiqua" w:cs="Book Antiqua"/>
          <w:i/>
          <w:iCs/>
          <w:color w:val="000000"/>
        </w:rPr>
        <w:t xml:space="preserve"> P</w:t>
      </w:r>
      <w:r w:rsidR="0073087A">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73087A">
        <w:rPr>
          <w:rFonts w:ascii="Book Antiqua" w:eastAsia="Book Antiqua" w:hAnsi="Book Antiqua" w:cs="Book Antiqua"/>
          <w:color w:val="000000"/>
        </w:rPr>
        <w:t xml:space="preserve"> </w:t>
      </w:r>
      <w:r>
        <w:rPr>
          <w:rFonts w:ascii="Book Antiqua" w:eastAsia="Book Antiqua" w:hAnsi="Book Antiqua" w:cs="Book Antiqua"/>
          <w:color w:val="000000"/>
        </w:rPr>
        <w:t>0.54) did not show statistically significant asymmetry of the funnel plot, suggesting that publication bias was unlikely. In the MMF group (intercept</w:t>
      </w:r>
      <w:r w:rsidR="0073087A">
        <w:rPr>
          <w:rFonts w:ascii="Book Antiqua" w:eastAsia="Book Antiqua" w:hAnsi="Book Antiqua" w:cs="Book Antiqua"/>
          <w:color w:val="000000"/>
        </w:rPr>
        <w:t xml:space="preserve"> </w:t>
      </w:r>
      <w:r>
        <w:rPr>
          <w:rFonts w:ascii="Book Antiqua" w:eastAsia="Book Antiqua" w:hAnsi="Book Antiqua" w:cs="Book Antiqua"/>
          <w:color w:val="000000"/>
        </w:rPr>
        <w:t>=</w:t>
      </w:r>
      <w:r w:rsidR="0073087A">
        <w:rPr>
          <w:rFonts w:ascii="Book Antiqua" w:eastAsia="Book Antiqua" w:hAnsi="Book Antiqua" w:cs="Book Antiqua"/>
          <w:color w:val="000000"/>
        </w:rPr>
        <w:t xml:space="preserve"> </w:t>
      </w:r>
      <w:r>
        <w:rPr>
          <w:rFonts w:ascii="Book Antiqua" w:eastAsia="Book Antiqua" w:hAnsi="Book Antiqua" w:cs="Book Antiqua"/>
          <w:color w:val="000000"/>
        </w:rPr>
        <w:t xml:space="preserve">-1.08, 95%CI: -1.86 to -0.30, </w:t>
      </w:r>
      <w:r>
        <w:rPr>
          <w:rFonts w:ascii="Book Antiqua" w:eastAsia="Book Antiqua" w:hAnsi="Book Antiqua" w:cs="Book Antiqua"/>
          <w:i/>
          <w:iCs/>
          <w:color w:val="000000"/>
        </w:rPr>
        <w:t>P</w:t>
      </w:r>
      <w:r w:rsidR="0073087A">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73087A">
        <w:rPr>
          <w:rFonts w:ascii="Book Antiqua" w:eastAsia="Book Antiqua" w:hAnsi="Book Antiqua" w:cs="Book Antiqua"/>
          <w:color w:val="000000"/>
        </w:rPr>
        <w:t xml:space="preserve"> </w:t>
      </w:r>
      <w:r>
        <w:rPr>
          <w:rFonts w:ascii="Book Antiqua" w:eastAsia="Book Antiqua" w:hAnsi="Book Antiqua" w:cs="Book Antiqua"/>
          <w:color w:val="000000"/>
        </w:rPr>
        <w:t>0.01) there was statistically significant asymmetry of the funnel plot, suggesting there was a publication bias here (</w:t>
      </w:r>
      <w:r w:rsidR="0073087A">
        <w:rPr>
          <w:rFonts w:ascii="Book Antiqua" w:eastAsia="Book Antiqua" w:hAnsi="Book Antiqua" w:cs="Book Antiqua"/>
          <w:color w:val="000000"/>
        </w:rPr>
        <w:t xml:space="preserve">Supplementary </w:t>
      </w:r>
      <w:r>
        <w:rPr>
          <w:rFonts w:ascii="Book Antiqua" w:eastAsia="Book Antiqua" w:hAnsi="Book Antiqua" w:cs="Book Antiqua"/>
          <w:color w:val="000000"/>
        </w:rPr>
        <w:t>Figures 4</w:t>
      </w:r>
      <w:r w:rsidR="0073087A">
        <w:rPr>
          <w:rFonts w:ascii="Book Antiqua" w:eastAsia="Book Antiqua" w:hAnsi="Book Antiqua" w:cs="Book Antiqua"/>
          <w:color w:val="000000"/>
        </w:rPr>
        <w:t xml:space="preserve"> and</w:t>
      </w:r>
      <w:r>
        <w:rPr>
          <w:rFonts w:ascii="Book Antiqua" w:eastAsia="Book Antiqua" w:hAnsi="Book Antiqua" w:cs="Book Antiqua"/>
          <w:color w:val="000000"/>
        </w:rPr>
        <w:t xml:space="preserve"> 8).</w:t>
      </w:r>
    </w:p>
    <w:p w14:paraId="0CAFD562" w14:textId="77777777" w:rsidR="0073087A" w:rsidRDefault="0073087A" w:rsidP="0073087A">
      <w:pPr>
        <w:spacing w:line="360" w:lineRule="auto"/>
        <w:jc w:val="both"/>
      </w:pPr>
    </w:p>
    <w:p w14:paraId="1FF86651" w14:textId="77777777" w:rsidR="0073087A" w:rsidRPr="0073087A" w:rsidRDefault="000D6A55">
      <w:pPr>
        <w:spacing w:line="360" w:lineRule="auto"/>
        <w:jc w:val="both"/>
        <w:rPr>
          <w:rFonts w:ascii="Book Antiqua" w:eastAsia="Book Antiqua" w:hAnsi="Book Antiqua" w:cs="Book Antiqua"/>
          <w:b/>
          <w:bCs/>
          <w:i/>
          <w:iCs/>
          <w:color w:val="000000"/>
        </w:rPr>
      </w:pPr>
      <w:r w:rsidRPr="0073087A">
        <w:rPr>
          <w:rFonts w:ascii="Book Antiqua" w:eastAsia="Book Antiqua" w:hAnsi="Book Antiqua" w:cs="Book Antiqua"/>
          <w:b/>
          <w:bCs/>
          <w:i/>
          <w:iCs/>
          <w:color w:val="000000"/>
        </w:rPr>
        <w:t>GRADE quality assessment of evidence</w:t>
      </w:r>
    </w:p>
    <w:p w14:paraId="74D7A338" w14:textId="36741FE5" w:rsidR="00A77B3E" w:rsidRDefault="000D6A55">
      <w:pPr>
        <w:spacing w:line="360" w:lineRule="auto"/>
        <w:jc w:val="both"/>
      </w:pPr>
      <w:r>
        <w:rPr>
          <w:rFonts w:ascii="Book Antiqua" w:eastAsia="Book Antiqua" w:hAnsi="Book Antiqua" w:cs="Book Antiqua"/>
          <w:color w:val="000000"/>
        </w:rPr>
        <w:t>The GRADE quality scoring across the studies per outcome is summarized in Table 2. We rated the overall quality of the evidence to be very low for biochemical remission, due to inconsistency (statistically significant heterogeneity) and study limitations (risk of bias in 17 studies); as very low for adverse events due to inconsistency (statistically significant heterogeneity) and study limitations (risk of bias in 14 studies); and as very low for mortality owing to study limitations (risk of bias in 17 studies).</w:t>
      </w:r>
    </w:p>
    <w:p w14:paraId="0F9DA152" w14:textId="77777777" w:rsidR="00A77B3E" w:rsidRDefault="00A77B3E">
      <w:pPr>
        <w:spacing w:line="360" w:lineRule="auto"/>
        <w:jc w:val="both"/>
      </w:pPr>
    </w:p>
    <w:p w14:paraId="2D427193" w14:textId="77777777" w:rsidR="00A77B3E" w:rsidRDefault="000D6A55">
      <w:pPr>
        <w:spacing w:line="360" w:lineRule="auto"/>
        <w:jc w:val="both"/>
      </w:pPr>
      <w:r>
        <w:rPr>
          <w:rFonts w:ascii="Book Antiqua" w:eastAsia="Book Antiqua" w:hAnsi="Book Antiqua" w:cs="Book Antiqua"/>
          <w:b/>
          <w:caps/>
          <w:color w:val="000000"/>
          <w:u w:val="single"/>
        </w:rPr>
        <w:t>DISCUSSION</w:t>
      </w:r>
    </w:p>
    <w:p w14:paraId="690BE360" w14:textId="13ACB048" w:rsidR="00A77B3E" w:rsidRDefault="000D6A55">
      <w:pPr>
        <w:spacing w:line="360" w:lineRule="auto"/>
        <w:jc w:val="both"/>
      </w:pPr>
      <w:r>
        <w:rPr>
          <w:rFonts w:ascii="Book Antiqua" w:eastAsia="Book Antiqua" w:hAnsi="Book Antiqua" w:cs="Book Antiqua"/>
          <w:color w:val="000000"/>
        </w:rPr>
        <w:t>In our comprehensive analysis of 21 observational studies, comprising a total of 584 patients, we first evaluated the efficacy and safety of tacrolimus and MMF as a second-</w:t>
      </w:r>
      <w:r>
        <w:rPr>
          <w:rFonts w:ascii="Book Antiqua" w:eastAsia="Book Antiqua" w:hAnsi="Book Antiqua" w:cs="Book Antiqua"/>
          <w:color w:val="000000"/>
        </w:rPr>
        <w:lastRenderedPageBreak/>
        <w:t>line treatment for patients with AIH. Two of our key findings are that tacrolimus is efficient in treating patients who did not respond to first-line treatments, yielding a biochemical remission rate of 59.1%, while MMF is considered effective for patients who are intolerant to the first-line therapy, yielding a biochemical remission rate of 73.5%.</w:t>
      </w:r>
    </w:p>
    <w:p w14:paraId="081EC4F4" w14:textId="1C1C8CE8" w:rsidR="00A77B3E" w:rsidRDefault="000D6A55" w:rsidP="004E25CB">
      <w:pPr>
        <w:spacing w:line="360" w:lineRule="auto"/>
        <w:ind w:firstLineChars="100" w:firstLine="240"/>
        <w:jc w:val="both"/>
      </w:pPr>
      <w:r>
        <w:rPr>
          <w:rFonts w:ascii="Book Antiqua" w:eastAsia="Book Antiqua" w:hAnsi="Book Antiqua" w:cs="Book Antiqua"/>
          <w:color w:val="000000"/>
        </w:rPr>
        <w:t xml:space="preserve">In our critical assessment of the quality of the evidence using the GRADE approach, and in the absence of RCTs, we graded the quality of the observational studies as poor both for tacrolimus and MMF. Using the current evidence to develop therapeutic guidelines for these two medicines is therefore questionable. The three major strengths of our study are: </w:t>
      </w:r>
      <w:r w:rsidR="004E25CB">
        <w:rPr>
          <w:rFonts w:ascii="Book Antiqua" w:eastAsia="Book Antiqua" w:hAnsi="Book Antiqua" w:cs="Book Antiqua"/>
          <w:color w:val="000000"/>
        </w:rPr>
        <w:t>T</w:t>
      </w:r>
      <w:r>
        <w:rPr>
          <w:rFonts w:ascii="Book Antiqua" w:eastAsia="Book Antiqua" w:hAnsi="Book Antiqua" w:cs="Book Antiqua"/>
          <w:color w:val="000000"/>
        </w:rPr>
        <w:t>he comprehensive search performed to trace all the eligible studies, our use of the rigorous methods given by the Cochrane Collaboration for data extraction, analysis and synthesis, and our assessment of risk of bias and the quality of evidence using the GRADE approach.</w:t>
      </w:r>
    </w:p>
    <w:p w14:paraId="1F766769" w14:textId="18714F89" w:rsidR="00A77B3E" w:rsidRDefault="000D6A55" w:rsidP="004E25CB">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One of the important aspects of an unbiased meta-analysis should be the performance of a comprehensive search for published studies. Previous meta-</w:t>
      </w:r>
      <w:proofErr w:type="gramStart"/>
      <w:r>
        <w:rPr>
          <w:rFonts w:ascii="Book Antiqua" w:eastAsia="Book Antiqua" w:hAnsi="Book Antiqua" w:cs="Book Antiqua"/>
          <w:color w:val="000000"/>
        </w:rPr>
        <w:t>analyses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 xml:space="preserve"> had several methodological problems, such as including studies on the treatment of na</w:t>
      </w:r>
      <w:r w:rsidR="004E25CB">
        <w:rPr>
          <w:rFonts w:ascii="Book Antiqua" w:eastAsia="Book Antiqua" w:hAnsi="Book Antiqua" w:cs="Book Antiqua"/>
          <w:color w:val="000000"/>
        </w:rPr>
        <w:t>i</w:t>
      </w:r>
      <w:r>
        <w:rPr>
          <w:rFonts w:ascii="Book Antiqua" w:eastAsia="Book Antiqua" w:hAnsi="Book Antiqua" w:cs="Book Antiqua"/>
          <w:color w:val="000000"/>
        </w:rPr>
        <w:t>ve AIH patients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not including all previously published studies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statistical errors such as reporting incorrect heterogeneity, not reporting on publication bias, and incorrect mortality rate</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Thus, their estimates on the efficacy of tacrolimus and MMF as second-line treatment modalities for AIH may not be accurate, and their conclusions on the superiority of these drugs may not be truly supported by their results. In the light of these shortcomings, we decided to perform a systematic review and meta-analysis of all the reported studies to date.</w:t>
      </w:r>
    </w:p>
    <w:p w14:paraId="4E04E82D" w14:textId="77777777" w:rsidR="00401C64" w:rsidRDefault="00401C64" w:rsidP="00401C64">
      <w:pPr>
        <w:spacing w:line="360" w:lineRule="auto"/>
        <w:jc w:val="both"/>
      </w:pPr>
    </w:p>
    <w:p w14:paraId="1C69E56A" w14:textId="77777777" w:rsidR="00A77B3E" w:rsidRPr="00401C64" w:rsidRDefault="000D6A55">
      <w:pPr>
        <w:spacing w:line="360" w:lineRule="auto"/>
        <w:jc w:val="both"/>
        <w:rPr>
          <w:b/>
          <w:bCs/>
        </w:rPr>
      </w:pPr>
      <w:r w:rsidRPr="00401C64">
        <w:rPr>
          <w:rFonts w:ascii="Book Antiqua" w:eastAsia="Book Antiqua" w:hAnsi="Book Antiqua" w:cs="Book Antiqua"/>
          <w:b/>
          <w:bCs/>
          <w:i/>
          <w:iCs/>
          <w:color w:val="000000"/>
        </w:rPr>
        <w:t>Biochemical remission</w:t>
      </w:r>
    </w:p>
    <w:p w14:paraId="2592C4D0" w14:textId="7D2EBA67" w:rsidR="00A77B3E" w:rsidRDefault="000D6A55">
      <w:pPr>
        <w:spacing w:line="360" w:lineRule="auto"/>
        <w:jc w:val="both"/>
      </w:pPr>
      <w:r>
        <w:rPr>
          <w:rFonts w:ascii="Book Antiqua" w:eastAsia="Book Antiqua" w:hAnsi="Book Antiqua" w:cs="Book Antiqua"/>
          <w:color w:val="000000"/>
        </w:rPr>
        <w:t xml:space="preserve">We found tacrolimus and MMF to be efficient interventions in treating patients who were non-responders or intolerant to first-line treatment. In our meta-analysis, we found a 59.1% biochemical remission rate in patients who were non-responsive to first-line therapy. The results from previous studies varied widely: </w:t>
      </w:r>
      <w:r w:rsidR="00401C64">
        <w:rPr>
          <w:rFonts w:ascii="Book Antiqua" w:eastAsia="Book Antiqua" w:hAnsi="Book Antiqua" w:cs="Book Antiqua"/>
          <w:color w:val="000000"/>
        </w:rPr>
        <w:t>S</w:t>
      </w:r>
      <w:r>
        <w:rPr>
          <w:rFonts w:ascii="Book Antiqua" w:eastAsia="Book Antiqua" w:hAnsi="Book Antiqua" w:cs="Book Antiqua"/>
          <w:color w:val="000000"/>
        </w:rPr>
        <w:t xml:space="preserve">ome found tacrolimus </w:t>
      </w:r>
      <w:r>
        <w:rPr>
          <w:rFonts w:ascii="Book Antiqua" w:eastAsia="Book Antiqua" w:hAnsi="Book Antiqua" w:cs="Book Antiqua"/>
          <w:color w:val="000000"/>
        </w:rPr>
        <w:lastRenderedPageBreak/>
        <w:t xml:space="preserve">to be completely effective on biochemical </w:t>
      </w:r>
      <w:proofErr w:type="gramStart"/>
      <w:r>
        <w:rPr>
          <w:rFonts w:ascii="Book Antiqua" w:eastAsia="Book Antiqua" w:hAnsi="Book Antiqua" w:cs="Book Antiqua"/>
          <w:color w:val="000000"/>
        </w:rPr>
        <w:t>remission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30,32,34]</w:t>
      </w:r>
      <w:r>
        <w:rPr>
          <w:rFonts w:ascii="Book Antiqua" w:eastAsia="Book Antiqua" w:hAnsi="Book Antiqua" w:cs="Book Antiqua"/>
          <w:color w:val="000000"/>
        </w:rPr>
        <w:t>, whereas others reported low remission rates</w:t>
      </w:r>
      <w:r>
        <w:rPr>
          <w:rFonts w:ascii="Book Antiqua" w:eastAsia="Book Antiqua" w:hAnsi="Book Antiqua" w:cs="Book Antiqua"/>
          <w:color w:val="000000"/>
          <w:szCs w:val="30"/>
          <w:vertAlign w:val="superscript"/>
        </w:rPr>
        <w:t>[29,31]</w:t>
      </w:r>
      <w:r>
        <w:rPr>
          <w:rFonts w:ascii="Book Antiqua" w:eastAsia="Book Antiqua" w:hAnsi="Book Antiqua" w:cs="Book Antiqua"/>
          <w:color w:val="000000"/>
        </w:rPr>
        <w:t xml:space="preserve">. In three studies, tacrolimus had a biochemical remission rate of more than 90% in refractory AIH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30,32,34]</w:t>
      </w:r>
      <w:r>
        <w:rPr>
          <w:rFonts w:ascii="Book Antiqua" w:eastAsia="Book Antiqua" w:hAnsi="Book Antiqua" w:cs="Book Antiqua"/>
          <w:color w:val="000000"/>
        </w:rPr>
        <w:t>, while another study reported a remission rate of 77% in refractory AIH patients</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More recently, Than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reported that 53% of refractory AIH patients responded to tacrolimus.</w:t>
      </w:r>
    </w:p>
    <w:p w14:paraId="0A9526F9" w14:textId="20E71F0F" w:rsidR="00A77B3E" w:rsidRDefault="000D6A55" w:rsidP="00401C64">
      <w:pPr>
        <w:spacing w:line="360" w:lineRule="auto"/>
        <w:ind w:firstLineChars="100" w:firstLine="240"/>
        <w:jc w:val="both"/>
      </w:pPr>
      <w:r>
        <w:rPr>
          <w:rFonts w:ascii="Book Antiqua" w:eastAsia="Book Antiqua" w:hAnsi="Book Antiqua" w:cs="Book Antiqua"/>
          <w:color w:val="000000"/>
        </w:rPr>
        <w:t>Similarly, previous meta-analysis has focused on the improvement of aminotransferases rather than biochemical remission, and reported an average rate of improvement of 78.7</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Our study suggests tacrolimus can improve biochemical remission in 68.9% of patients</w:t>
      </w:r>
      <w:r>
        <w:rPr>
          <w:rFonts w:ascii="Book Antiqua" w:eastAsia="Book Antiqua" w:hAnsi="Book Antiqua" w:cs="Book Antiqua"/>
          <w:color w:val="000000"/>
          <w:szCs w:val="22"/>
        </w:rPr>
        <w:t xml:space="preserve"> </w:t>
      </w:r>
      <w:r>
        <w:rPr>
          <w:rFonts w:ascii="Book Antiqua" w:eastAsia="Book Antiqua" w:hAnsi="Book Antiqua" w:cs="Book Antiqua"/>
          <w:color w:val="000000"/>
        </w:rPr>
        <w:t>with refractory AIH who responded to tacrolimus as second-line therapy.</w:t>
      </w:r>
    </w:p>
    <w:p w14:paraId="1704D5E8" w14:textId="168A2F25" w:rsidR="00A77B3E" w:rsidRDefault="000D6A55" w:rsidP="00401C64">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However, current data concerning the efficacy of MMF in patients intolerant to first-line therapy are inconclusive. We found a 73.5% biochemical remission rate for MMF taken by patients intolerant to first-line treatment. Our findings agree with those of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38,44,45]</w:t>
      </w:r>
      <w:r>
        <w:rPr>
          <w:rFonts w:ascii="Book Antiqua" w:eastAsia="Book Antiqua" w:hAnsi="Book Antiqua" w:cs="Book Antiqua"/>
          <w:color w:val="000000"/>
        </w:rPr>
        <w:t xml:space="preserve"> that state that biochemical remission is significantly more common in intolerant AIH patients compared to those who were non-responsive. Some studies found MMF to be effective in intolerant patients, whereas other studies reported biochemical remission rates of less than 25% in non-</w:t>
      </w:r>
      <w:proofErr w:type="gramStart"/>
      <w:r>
        <w:rPr>
          <w:rFonts w:ascii="Book Antiqua" w:eastAsia="Book Antiqua" w:hAnsi="Book Antiqua" w:cs="Book Antiqua"/>
          <w:color w:val="000000"/>
        </w:rPr>
        <w:t>responders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39,42,44-46]</w:t>
      </w:r>
      <w:r>
        <w:rPr>
          <w:rFonts w:ascii="Book Antiqua" w:eastAsia="Book Antiqua" w:hAnsi="Book Antiqua" w:cs="Book Antiqua"/>
          <w:color w:val="000000"/>
        </w:rPr>
        <w:t>. Likewise, a recent meta-</w:t>
      </w:r>
      <w:proofErr w:type="gramStart"/>
      <w:r>
        <w:rPr>
          <w:rFonts w:ascii="Book Antiqua" w:eastAsia="Book Antiqua" w:hAnsi="Book Antiqua" w:cs="Book Antiqua"/>
          <w:color w:val="000000"/>
        </w:rPr>
        <w:t>analysis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although it had various limitations, found a pooled remission rate much greater (82%) in patients intolerant to standard therapy compared to non-responders (32%). The difference in MMF biochemical remission rates in patients intolerant to first-line treatment in our study compared to a previous meta-</w:t>
      </w:r>
      <w:proofErr w:type="gramStart"/>
      <w:r>
        <w:rPr>
          <w:rFonts w:ascii="Book Antiqua" w:eastAsia="Book Antiqua" w:hAnsi="Book Antiqua" w:cs="Book Antiqua"/>
          <w:color w:val="000000"/>
        </w:rPr>
        <w:t>analysis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(73.5% </w:t>
      </w:r>
      <w:r w:rsidRPr="00C721A5">
        <w:rPr>
          <w:rFonts w:ascii="Book Antiqua" w:eastAsia="Book Antiqua" w:hAnsi="Book Antiqua" w:cs="Book Antiqua"/>
          <w:i/>
          <w:iCs/>
          <w:color w:val="000000"/>
        </w:rPr>
        <w:t>vs</w:t>
      </w:r>
      <w:r>
        <w:rPr>
          <w:rFonts w:ascii="Book Antiqua" w:eastAsia="Book Antiqua" w:hAnsi="Book Antiqua" w:cs="Book Antiqua"/>
          <w:color w:val="000000"/>
        </w:rPr>
        <w:t xml:space="preserve"> 82%) is likely due to their incomplete or selective inclusion of published studies. Given these data, MMF does seem to be a useful alternative therapy for AIH patients who are intolerant to first-line treatment.</w:t>
      </w:r>
    </w:p>
    <w:p w14:paraId="4E3F6B51" w14:textId="77777777" w:rsidR="00401C64" w:rsidRDefault="00401C64" w:rsidP="00401C64">
      <w:pPr>
        <w:spacing w:line="360" w:lineRule="auto"/>
        <w:jc w:val="both"/>
      </w:pPr>
    </w:p>
    <w:p w14:paraId="2F8EE8A5" w14:textId="77777777" w:rsidR="00A77B3E" w:rsidRPr="00401C64" w:rsidRDefault="000D6A55">
      <w:pPr>
        <w:spacing w:line="360" w:lineRule="auto"/>
        <w:jc w:val="both"/>
        <w:rPr>
          <w:b/>
          <w:bCs/>
        </w:rPr>
      </w:pPr>
      <w:r w:rsidRPr="00401C64">
        <w:rPr>
          <w:rFonts w:ascii="Book Antiqua" w:eastAsia="Book Antiqua" w:hAnsi="Book Antiqua" w:cs="Book Antiqua"/>
          <w:b/>
          <w:bCs/>
          <w:i/>
          <w:iCs/>
          <w:color w:val="000000"/>
        </w:rPr>
        <w:t>Safety and side-effects</w:t>
      </w:r>
    </w:p>
    <w:p w14:paraId="187FC0BC" w14:textId="765F78B5" w:rsidR="00A77B3E" w:rsidRDefault="000D6A55">
      <w:pPr>
        <w:spacing w:line="360" w:lineRule="auto"/>
        <w:jc w:val="both"/>
        <w:rPr>
          <w:rFonts w:ascii="Book Antiqua" w:eastAsia="Book Antiqua" w:hAnsi="Book Antiqua" w:cs="Book Antiqua"/>
          <w:color w:val="000000"/>
        </w:rPr>
      </w:pPr>
      <w:r w:rsidRPr="00F549AA">
        <w:rPr>
          <w:rFonts w:ascii="Book Antiqua" w:eastAsia="Book Antiqua" w:hAnsi="Book Antiqua" w:cs="Book Antiqua"/>
          <w:b/>
          <w:bCs/>
          <w:color w:val="000000"/>
        </w:rPr>
        <w:t>Tacrolimus</w:t>
      </w:r>
      <w:r w:rsidR="00F549AA" w:rsidRPr="00F549AA">
        <w:rPr>
          <w:rFonts w:ascii="Book Antiqua" w:eastAsia="Book Antiqua" w:hAnsi="Book Antiqua" w:cs="Book Antiqua"/>
          <w:b/>
          <w:bCs/>
          <w:color w:val="000000"/>
        </w:rPr>
        <w:t>:</w:t>
      </w:r>
      <w:r w:rsidR="00F549AA">
        <w:rPr>
          <w:rFonts w:ascii="Book Antiqua" w:eastAsia="Book Antiqua" w:hAnsi="Book Antiqua" w:cs="Book Antiqua"/>
          <w:color w:val="000000"/>
        </w:rPr>
        <w:t xml:space="preserve"> </w:t>
      </w:r>
      <w:r>
        <w:rPr>
          <w:rFonts w:ascii="Book Antiqua" w:eastAsia="Book Antiqua" w:hAnsi="Book Antiqua" w:cs="Book Antiqua"/>
          <w:color w:val="000000"/>
        </w:rPr>
        <w:t xml:space="preserve">There are few reports of side-effects of tacrolimus in AIH patients. To date, our study is the first to evaluate the pooled adverse event rate and safety profile of tacrolimus as a second-line treatment for refractory AIH. The pooled adverse event rate </w:t>
      </w:r>
      <w:r>
        <w:rPr>
          <w:rFonts w:ascii="Book Antiqua" w:eastAsia="Book Antiqua" w:hAnsi="Book Antiqua" w:cs="Book Antiqua"/>
          <w:color w:val="000000"/>
        </w:rPr>
        <w:lastRenderedPageBreak/>
        <w:t xml:space="preserve">for tacrolimus was 25.5% in our study. Overall, neurotoxicity and gastrointestinal issues are the most common side-effects, while diabetes mellitus, nephrotoxicity, pruritus and alopecia may also </w:t>
      </w:r>
      <w:proofErr w:type="gramStart"/>
      <w:r>
        <w:rPr>
          <w:rFonts w:ascii="Book Antiqua" w:eastAsia="Book Antiqua" w:hAnsi="Book Antiqua" w:cs="Book Antiqua"/>
          <w:color w:val="000000"/>
        </w:rPr>
        <w:t>occur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Previous studies showed that the high serum tacrolimus levels may have led to the rise in creatinine level and subsequent nephrotoxicity. The latest studies suggest using a lower dose of tacrolimus to maintain blood levels below 6 ng/dL, to prevent probable renal complications or significant changes in creatinine </w:t>
      </w:r>
      <w:proofErr w:type="gramStart"/>
      <w:r>
        <w:rPr>
          <w:rFonts w:ascii="Book Antiqua" w:eastAsia="Book Antiqua" w:hAnsi="Book Antiqua" w:cs="Book Antiqua"/>
          <w:color w:val="000000"/>
        </w:rPr>
        <w:t>level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Monitoring the drug level to maintain a satisfactory dose and prevent nephrotoxicity is a crucial aspect. Thus, physicians must remain cautious when prescribing tacrolimus at a high dosage. Other reasons for withdrawing tacrolimus treatment include hemolytic uremic syndrome, development of squamous cell carcinoma, intense abdominal pain, non-compliance, overlap with primary sclerosing cholangitis and/or primary biliary cirrhosis, and orthotopic liver transplantation. To date, tacrolimus seems to be a reasonable alternative drug for non-responders, but there is no uniform guideline to explain the dosing schedule and an acceptable safety profile, nor an established monitoring protocol for AIH.</w:t>
      </w:r>
    </w:p>
    <w:p w14:paraId="47A6A2FA" w14:textId="77777777" w:rsidR="00F549AA" w:rsidRDefault="00F549AA">
      <w:pPr>
        <w:spacing w:line="360" w:lineRule="auto"/>
        <w:jc w:val="both"/>
      </w:pPr>
    </w:p>
    <w:p w14:paraId="7811A803" w14:textId="672EDC42" w:rsidR="00A77B3E" w:rsidRDefault="000D6A55">
      <w:pPr>
        <w:spacing w:line="360" w:lineRule="auto"/>
        <w:jc w:val="both"/>
      </w:pPr>
      <w:r w:rsidRPr="00F549AA">
        <w:rPr>
          <w:rFonts w:ascii="Book Antiqua" w:eastAsia="Book Antiqua" w:hAnsi="Book Antiqua" w:cs="Book Antiqua"/>
          <w:b/>
          <w:bCs/>
          <w:color w:val="000000"/>
        </w:rPr>
        <w:t>MMF</w:t>
      </w:r>
      <w:r w:rsidR="00F549AA" w:rsidRPr="00F549AA">
        <w:rPr>
          <w:rFonts w:ascii="Book Antiqua" w:eastAsia="Book Antiqua" w:hAnsi="Book Antiqua" w:cs="Book Antiqua"/>
          <w:b/>
          <w:bCs/>
          <w:color w:val="000000"/>
        </w:rPr>
        <w:t>:</w:t>
      </w:r>
      <w:r w:rsidR="00F549AA">
        <w:rPr>
          <w:rFonts w:ascii="Book Antiqua" w:eastAsia="Book Antiqua" w:hAnsi="Book Antiqua" w:cs="Book Antiqua"/>
          <w:color w:val="000000"/>
        </w:rPr>
        <w:t xml:space="preserve"> </w:t>
      </w:r>
      <w:r>
        <w:rPr>
          <w:rFonts w:ascii="Book Antiqua" w:eastAsia="Book Antiqua" w:hAnsi="Book Antiqua" w:cs="Book Antiqua"/>
          <w:color w:val="000000"/>
        </w:rPr>
        <w:t xml:space="preserve">The use of MMF for AIH is safe in most patients except during pregnancy. It is, however, associated with a large number of side-effects, which vary from mild, to tolerable to toxicity severe enough to necessitate discontinuation of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We found a 24.1% pooled adverse event rate for MMF. Previous meta-analysis estimated a much lower pooled adverse event rate at 14</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Similar to our findings, the most common side-effects of MMF in AIH patients include leukopenia, which can be relieved by reducing the dose, and gastrointestinal issues, in the form of nausea, vomiting and </w:t>
      </w:r>
      <w:proofErr w:type="gramStart"/>
      <w:r>
        <w:rPr>
          <w:rFonts w:ascii="Book Antiqua" w:eastAsia="Book Antiqua" w:hAnsi="Book Antiqua" w:cs="Book Antiqua"/>
          <w:color w:val="000000"/>
        </w:rPr>
        <w:t>diarrhea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34,37,40-43]</w:t>
      </w:r>
      <w:r>
        <w:rPr>
          <w:rFonts w:ascii="Book Antiqua" w:eastAsia="Book Antiqua" w:hAnsi="Book Antiqua" w:cs="Book Antiqua"/>
          <w:color w:val="000000"/>
        </w:rPr>
        <w:t xml:space="preserve">. Other, less commonly reported side-effects include severe neutropenia, sepsis, myalgia, pancreatitis, headache, hair loss, and sore gums/sensitive teeth, as well as facial and upper extremity </w:t>
      </w:r>
      <w:proofErr w:type="gramStart"/>
      <w:r>
        <w:rPr>
          <w:rFonts w:ascii="Book Antiqua" w:eastAsia="Book Antiqua" w:hAnsi="Book Antiqua" w:cs="Book Antiqua"/>
          <w:color w:val="000000"/>
          <w:shd w:val="clear" w:color="auto" w:fill="FFFFFF"/>
        </w:rPr>
        <w:t>paresthesia</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vertAlign w:val="superscript"/>
        </w:rPr>
        <w:t>38,40-43]</w:t>
      </w:r>
      <w:r>
        <w:rPr>
          <w:rFonts w:ascii="Book Antiqua" w:eastAsia="Book Antiqua" w:hAnsi="Book Antiqua" w:cs="Book Antiqua"/>
          <w:color w:val="000000"/>
        </w:rPr>
        <w:t xml:space="preserve">. MMF has major disadvantages in that it is more expensive than AZA and, most importantly, it is teratogenic, which is a major concern in female patients of reproductive age (since AIH affects mainly young females). MMF is contra-indicated during pregnancy, as the </w:t>
      </w:r>
      <w:r>
        <w:rPr>
          <w:rFonts w:ascii="Book Antiqua" w:eastAsia="Book Antiqua" w:hAnsi="Book Antiqua" w:cs="Book Antiqua"/>
          <w:color w:val="000000"/>
        </w:rPr>
        <w:lastRenderedPageBreak/>
        <w:t>U</w:t>
      </w:r>
      <w:r w:rsidR="00F549AA">
        <w:rPr>
          <w:rFonts w:ascii="Book Antiqua" w:eastAsia="Book Antiqua" w:hAnsi="Book Antiqua" w:cs="Book Antiqua"/>
          <w:color w:val="000000"/>
        </w:rPr>
        <w:t>nited State</w:t>
      </w:r>
      <w:r>
        <w:rPr>
          <w:rFonts w:ascii="Book Antiqua" w:eastAsia="Book Antiqua" w:hAnsi="Book Antiqua" w:cs="Book Antiqua"/>
          <w:color w:val="000000"/>
        </w:rPr>
        <w:t xml:space="preserve"> Food and Drug Administration (FDA) labels it as pregnancy category D. The safety of MMF during pregnancy was not addressed by any of the studies in our meta-analysis.</w:t>
      </w:r>
    </w:p>
    <w:p w14:paraId="58677260" w14:textId="2FE96F6C" w:rsidR="00A77B3E" w:rsidRDefault="000D6A55" w:rsidP="00F549A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 note of caution should be added on the retrospective nature of the included studies, which may over- or underestimate the safety profiles of tacrolimus and MMF. Given the long follow-up periods reported and the observed data, both agents appear to be relatively safe alternatives for treating refractory AIH.</w:t>
      </w:r>
    </w:p>
    <w:p w14:paraId="29644B37" w14:textId="77777777" w:rsidR="00B63C30" w:rsidRDefault="00B63C30" w:rsidP="00B63C30">
      <w:pPr>
        <w:spacing w:line="360" w:lineRule="auto"/>
        <w:jc w:val="both"/>
      </w:pPr>
    </w:p>
    <w:p w14:paraId="139BAD50" w14:textId="77777777" w:rsidR="00A77B3E" w:rsidRPr="00B63C30" w:rsidRDefault="000D6A55">
      <w:pPr>
        <w:spacing w:line="360" w:lineRule="auto"/>
        <w:jc w:val="both"/>
        <w:rPr>
          <w:b/>
          <w:bCs/>
        </w:rPr>
      </w:pPr>
      <w:r w:rsidRPr="00B63C30">
        <w:rPr>
          <w:rFonts w:ascii="Book Antiqua" w:eastAsia="Book Antiqua" w:hAnsi="Book Antiqua" w:cs="Book Antiqua"/>
          <w:b/>
          <w:bCs/>
          <w:i/>
          <w:iCs/>
          <w:color w:val="000000"/>
        </w:rPr>
        <w:t>Mortality</w:t>
      </w:r>
    </w:p>
    <w:p w14:paraId="565480C5" w14:textId="12E4CD65" w:rsidR="00A77B3E" w:rsidRDefault="000D6A55">
      <w:pPr>
        <w:spacing w:line="360" w:lineRule="auto"/>
        <w:jc w:val="both"/>
        <w:rPr>
          <w:rFonts w:ascii="Book Antiqua" w:eastAsia="Book Antiqua" w:hAnsi="Book Antiqua" w:cs="Book Antiqua"/>
          <w:color w:val="000000"/>
          <w:szCs w:val="30"/>
          <w:vertAlign w:val="superscript"/>
        </w:rPr>
      </w:pPr>
      <w:r>
        <w:rPr>
          <w:rFonts w:ascii="Book Antiqua" w:eastAsia="Book Antiqua" w:hAnsi="Book Antiqua" w:cs="Book Antiqua"/>
          <w:color w:val="000000"/>
        </w:rPr>
        <w:t xml:space="preserve">Despite a good response to first-line treatment, the long-term mortality rate of AIH patients is greater than that of the general population. Untreated AIH can lead to a mortality rate as high as 40% within 6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8,49]</w:t>
      </w:r>
      <w:r>
        <w:rPr>
          <w:rFonts w:ascii="Book Antiqua" w:eastAsia="Book Antiqua" w:hAnsi="Book Antiqua" w:cs="Book Antiqua"/>
          <w:color w:val="000000"/>
        </w:rPr>
        <w:t xml:space="preserve">. We found a pooled mortality rate of 11.5% for tacrolimus and of 9% for MMF. So far, our study is the first to evaluate the rate for tacrolimus as a second-line therapy in refractory AIH patients. Most of the included studies reported no deaths or only one dead during tacrolimus or MMF therapy. A previous meta-analysis underestimated the pooled mortality rate, which was reported as 7.2% for </w:t>
      </w:r>
      <w:proofErr w:type="gramStart"/>
      <w:r>
        <w:rPr>
          <w:rFonts w:ascii="Book Antiqua" w:eastAsia="Book Antiqua" w:hAnsi="Book Antiqua" w:cs="Book Antiqua"/>
          <w:color w:val="000000"/>
        </w:rPr>
        <w:t>MMF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Similar to our findings, the largest cohort to date related to second-line treatments in </w:t>
      </w:r>
      <w:proofErr w:type="gramStart"/>
      <w:r>
        <w:rPr>
          <w:rFonts w:ascii="Book Antiqua" w:eastAsia="Book Antiqua" w:hAnsi="Book Antiqua" w:cs="Book Antiqua"/>
          <w:color w:val="000000"/>
        </w:rPr>
        <w:t>AIH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evaluated both tacrolimus and MMF; they reported the highest mortality rate of 11.2% for tacrolimus and 12.4% for MMF. Variation in mortality rates across individual studies may be due to a pre-selection of patients by referral to tertiary centers or to the exclusion of some high-risk patient </w:t>
      </w:r>
      <w:proofErr w:type="gramStart"/>
      <w:r>
        <w:rPr>
          <w:rFonts w:ascii="Book Antiqua" w:eastAsia="Book Antiqua" w:hAnsi="Book Antiqua" w:cs="Book Antiqua"/>
          <w:color w:val="000000"/>
        </w:rPr>
        <w:t>categories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50,51]</w:t>
      </w:r>
      <w:r>
        <w:rPr>
          <w:rFonts w:ascii="Book Antiqua" w:eastAsia="Book Antiqua" w:hAnsi="Book Antiqua" w:cs="Book Antiqua"/>
          <w:color w:val="000000"/>
        </w:rPr>
        <w:t xml:space="preserve">. Cohorts showing higher mortality rates have been larger, from multiple centers or from non-tertiary centers, and tended to report on patients who were younger at </w:t>
      </w:r>
      <w:proofErr w:type="gramStart"/>
      <w:r>
        <w:rPr>
          <w:rFonts w:ascii="Book Antiqua" w:eastAsia="Book Antiqua" w:hAnsi="Book Antiqua" w:cs="Book Antiqua"/>
          <w:color w:val="000000"/>
        </w:rPr>
        <w:t>presentation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w:t>
      </w:r>
    </w:p>
    <w:p w14:paraId="6EA86259" w14:textId="77777777" w:rsidR="00B63C30" w:rsidRDefault="00B63C30">
      <w:pPr>
        <w:spacing w:line="360" w:lineRule="auto"/>
        <w:jc w:val="both"/>
      </w:pPr>
    </w:p>
    <w:p w14:paraId="02DCF3F1" w14:textId="4CD1D52F" w:rsidR="00A77B3E" w:rsidRPr="00B63C30" w:rsidRDefault="000D6A55">
      <w:pPr>
        <w:spacing w:line="360" w:lineRule="auto"/>
        <w:jc w:val="both"/>
        <w:rPr>
          <w:b/>
          <w:bCs/>
        </w:rPr>
      </w:pPr>
      <w:r w:rsidRPr="00B63C30">
        <w:rPr>
          <w:rFonts w:ascii="Book Antiqua" w:eastAsia="Book Antiqua" w:hAnsi="Book Antiqua" w:cs="Book Antiqua"/>
          <w:b/>
          <w:bCs/>
          <w:i/>
          <w:iCs/>
          <w:color w:val="000000"/>
        </w:rPr>
        <w:t>Grading of evidence</w:t>
      </w:r>
    </w:p>
    <w:p w14:paraId="71870704" w14:textId="77777777" w:rsidR="00A77B3E" w:rsidRDefault="000D6A55">
      <w:pPr>
        <w:spacing w:line="360" w:lineRule="auto"/>
        <w:jc w:val="both"/>
      </w:pPr>
      <w:r>
        <w:rPr>
          <w:rFonts w:ascii="Book Antiqua" w:eastAsia="Book Antiqua" w:hAnsi="Book Antiqua" w:cs="Book Antiqua"/>
          <w:color w:val="000000"/>
        </w:rPr>
        <w:t xml:space="preserve">Rating the quality of evidence by using GRADE is now becoming a recommended step in evidence-based synthesis and it is the most widely adopted tool for grading the quality of evidence and for making </w:t>
      </w:r>
      <w:proofErr w:type="gramStart"/>
      <w:r>
        <w:rPr>
          <w:rFonts w:ascii="Book Antiqua" w:eastAsia="Book Antiqua" w:hAnsi="Book Antiqua" w:cs="Book Antiqua"/>
          <w:color w:val="000000"/>
        </w:rPr>
        <w:t>recommendations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Previous meta-analyses that </w:t>
      </w:r>
      <w:r>
        <w:rPr>
          <w:rFonts w:ascii="Book Antiqua" w:eastAsia="Book Antiqua" w:hAnsi="Book Antiqua" w:cs="Book Antiqua"/>
          <w:color w:val="000000"/>
        </w:rPr>
        <w:lastRenderedPageBreak/>
        <w:t xml:space="preserve">addressed the efficacy of tacrolimus and MMF did not include effect estimates for biochemical </w:t>
      </w:r>
      <w:proofErr w:type="gramStart"/>
      <w:r>
        <w:rPr>
          <w:rFonts w:ascii="Book Antiqua" w:eastAsia="Book Antiqua" w:hAnsi="Book Antiqua" w:cs="Book Antiqua"/>
          <w:color w:val="000000"/>
        </w:rPr>
        <w:t>remission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or only provided inconclusive analysis of the effect of MMF as a second-line treatment</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Thus, they could not make comprehensive or reliable recommendations. Here we have assessed the evidence using GRADE, which proved to be of very low quality for our primary and secondary outcomes due to the risk of bias and inconsistency. Our analysis therefore offers a starting point for understanding the comprehensive evidence for using tacrolimus and MMF in refractory AIH patients, and our results can provide information for decision-makers, with the ultimate goal of improving clinical outcomes and enhancing patient care.</w:t>
      </w:r>
    </w:p>
    <w:p w14:paraId="64251392" w14:textId="3298176D" w:rsidR="00A77B3E" w:rsidRDefault="000D6A55" w:rsidP="00B63C30">
      <w:pPr>
        <w:spacing w:line="360" w:lineRule="auto"/>
        <w:ind w:firstLineChars="100" w:firstLine="240"/>
        <w:jc w:val="both"/>
      </w:pPr>
      <w:r>
        <w:rPr>
          <w:rFonts w:ascii="Book Antiqua" w:eastAsia="Book Antiqua" w:hAnsi="Book Antiqua" w:cs="Book Antiqua"/>
          <w:color w:val="000000"/>
        </w:rPr>
        <w:t>The natural course of AIH has been clearly outlined and the efficacy of first-line treatment has been well established in naive AIH, although little was known about second-line treatments in refractory AIH. Collectively, our results, along with earlier results, suggest that tacrolimus may be superior to MMF as a therapy in patients not responding to first-line therapy, while MMF is considered a suitable second-line therapy for patients who are intolerant to the standard treatment. However, these results have been based on observational studies. So far, there have been no clinical trials comparing these treatments directly. In the absence of randomized controlled trials, the existing data on the efficacy of tacrolimus and MMF as second-line treatment modalities for AIH patients remain inconclusive; the current evidence has been mainly derived from several retrospective, mostly single-center, case series or reports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17,18,29-47]</w:t>
      </w:r>
      <w:r>
        <w:rPr>
          <w:rFonts w:ascii="Book Antiqua" w:eastAsia="Book Antiqua" w:hAnsi="Book Antiqua" w:cs="Book Antiqua"/>
          <w:color w:val="000000"/>
        </w:rPr>
        <w:t xml:space="preserve">, or based on expert opinion. This means the evidence is of poor quality due to significant levels of bias. Thus, the reproducibility of results may vary considerably across studies. As a consequence, the recently published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8,49]</w:t>
      </w:r>
      <w:r>
        <w:rPr>
          <w:rFonts w:ascii="Book Antiqua" w:eastAsia="Book Antiqua" w:hAnsi="Book Antiqua" w:cs="Book Antiqua"/>
          <w:color w:val="000000"/>
        </w:rPr>
        <w:t xml:space="preserve">, have led to great differences in the management of refractory AIH patients. The AASLD guideline states that patients with treatment failure should be managed with higher dose first-line therapy before considering second-line </w:t>
      </w:r>
      <w:proofErr w:type="gramStart"/>
      <w:r>
        <w:rPr>
          <w:rFonts w:ascii="Book Antiqua" w:eastAsia="Book Antiqua" w:hAnsi="Book Antiqua" w:cs="Book Antiqua"/>
          <w:color w:val="000000"/>
        </w:rPr>
        <w:t>treatments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Whereas the European Association for the Study of the Liver</w:t>
      </w:r>
      <w:r w:rsidR="001E254D">
        <w:rPr>
          <w:rFonts w:ascii="Book Antiqua" w:eastAsia="Book Antiqua" w:hAnsi="Book Antiqua" w:cs="Book Antiqua"/>
          <w:color w:val="000000"/>
        </w:rPr>
        <w:t xml:space="preserve"> </w:t>
      </w:r>
      <w:r>
        <w:rPr>
          <w:rFonts w:ascii="Book Antiqua" w:eastAsia="Book Antiqua" w:hAnsi="Book Antiqua" w:cs="Book Antiqua"/>
          <w:color w:val="000000"/>
        </w:rPr>
        <w:t>guideline suggests using high dose first-line treatment or alternative medications such as MMF, 6-</w:t>
      </w:r>
      <w:r w:rsidR="00B63C30">
        <w:rPr>
          <w:rFonts w:ascii="Book Antiqua" w:eastAsia="Book Antiqua" w:hAnsi="Book Antiqua" w:cs="Book Antiqua"/>
          <w:color w:val="000000"/>
        </w:rPr>
        <w:t>m</w:t>
      </w:r>
      <w:r>
        <w:rPr>
          <w:rFonts w:ascii="Book Antiqua" w:eastAsia="Book Antiqua" w:hAnsi="Book Antiqua" w:cs="Book Antiqua"/>
          <w:color w:val="000000"/>
        </w:rPr>
        <w:t>ercaptopurine</w:t>
      </w:r>
      <w:r w:rsidR="00B63C30">
        <w:rPr>
          <w:rFonts w:ascii="Book Antiqua" w:eastAsia="Book Antiqua" w:hAnsi="Book Antiqua" w:cs="Book Antiqua"/>
          <w:color w:val="000000"/>
        </w:rPr>
        <w:t xml:space="preserve"> </w:t>
      </w:r>
      <w:r>
        <w:rPr>
          <w:rFonts w:ascii="Book Antiqua" w:eastAsia="Book Antiqua" w:hAnsi="Book Antiqua" w:cs="Book Antiqua"/>
          <w:color w:val="000000"/>
        </w:rPr>
        <w:t>or 6-</w:t>
      </w:r>
      <w:r w:rsidR="00B63C30">
        <w:rPr>
          <w:rFonts w:ascii="Book Antiqua" w:eastAsia="Book Antiqua" w:hAnsi="Book Antiqua" w:cs="Book Antiqua"/>
          <w:color w:val="000000"/>
        </w:rPr>
        <w:t>t</w:t>
      </w:r>
      <w:r>
        <w:rPr>
          <w:rFonts w:ascii="Book Antiqua" w:eastAsia="Book Antiqua" w:hAnsi="Book Antiqua" w:cs="Book Antiqua"/>
          <w:color w:val="000000"/>
        </w:rPr>
        <w:t>ioguanine, despite reconfirmation of diagnosis and adherence</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These differences do not provide any insight into which </w:t>
      </w:r>
      <w:r>
        <w:rPr>
          <w:rFonts w:ascii="Book Antiqua" w:eastAsia="Book Antiqua" w:hAnsi="Book Antiqua" w:cs="Book Antiqua"/>
          <w:color w:val="000000"/>
        </w:rPr>
        <w:lastRenderedPageBreak/>
        <w:t xml:space="preserve">second-line therapy to consider first for these patients, and emphasize the need to conduct standardized, prospective, and preferably randomized studies, with standardized definitions of therapeutic </w:t>
      </w:r>
      <w:proofErr w:type="gramStart"/>
      <w:r>
        <w:rPr>
          <w:rFonts w:ascii="Book Antiqua" w:eastAsia="Book Antiqua" w:hAnsi="Book Antiqua" w:cs="Book Antiqua"/>
          <w:color w:val="000000"/>
        </w:rPr>
        <w:t>endpoints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w:t>
      </w:r>
    </w:p>
    <w:p w14:paraId="7D6CC730" w14:textId="482A66B9" w:rsidR="00A77B3E" w:rsidRDefault="000D6A55" w:rsidP="00B63C3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 summary, we found most of the evidence was of low-quality. Given the reported side-effects and mortality rates, we do not feel able to offer recommendations for future research on second-line treatment modalities for refractory AIH. More larger, controlled and prospective studies are required to compare alternative drugs with first-line treatments in patients with AIH.</w:t>
      </w:r>
    </w:p>
    <w:p w14:paraId="1DB3B0C9" w14:textId="77777777" w:rsidR="00B63C30" w:rsidRDefault="00B63C30" w:rsidP="00B63C30">
      <w:pPr>
        <w:spacing w:line="360" w:lineRule="auto"/>
        <w:jc w:val="both"/>
      </w:pPr>
    </w:p>
    <w:p w14:paraId="51228601" w14:textId="37A9EA2F" w:rsidR="00A77B3E" w:rsidRPr="00B63C30" w:rsidRDefault="000D6A55">
      <w:pPr>
        <w:spacing w:line="360" w:lineRule="auto"/>
        <w:jc w:val="both"/>
        <w:rPr>
          <w:b/>
          <w:bCs/>
        </w:rPr>
      </w:pPr>
      <w:r w:rsidRPr="00B63C30">
        <w:rPr>
          <w:rFonts w:ascii="Book Antiqua" w:eastAsia="Book Antiqua" w:hAnsi="Book Antiqua" w:cs="Book Antiqua"/>
          <w:b/>
          <w:bCs/>
          <w:i/>
          <w:iCs/>
          <w:color w:val="000000"/>
        </w:rPr>
        <w:t xml:space="preserve">Study </w:t>
      </w:r>
      <w:r w:rsidR="001E254D" w:rsidRPr="00B63C30">
        <w:rPr>
          <w:rFonts w:ascii="Book Antiqua" w:eastAsia="Book Antiqua" w:hAnsi="Book Antiqua" w:cs="Book Antiqua"/>
          <w:b/>
          <w:bCs/>
          <w:i/>
          <w:iCs/>
          <w:color w:val="000000"/>
        </w:rPr>
        <w:t>l</w:t>
      </w:r>
      <w:r w:rsidRPr="00B63C30">
        <w:rPr>
          <w:rFonts w:ascii="Book Antiqua" w:eastAsia="Book Antiqua" w:hAnsi="Book Antiqua" w:cs="Book Antiqua"/>
          <w:b/>
          <w:bCs/>
          <w:i/>
          <w:iCs/>
          <w:color w:val="000000"/>
        </w:rPr>
        <w:t>imitations</w:t>
      </w:r>
    </w:p>
    <w:p w14:paraId="347BC116" w14:textId="1191BFE0" w:rsidR="00A77B3E" w:rsidRDefault="000D6A55">
      <w:pPr>
        <w:spacing w:line="360" w:lineRule="auto"/>
        <w:jc w:val="both"/>
      </w:pPr>
      <w:r>
        <w:rPr>
          <w:rFonts w:ascii="Book Antiqua" w:eastAsia="Book Antiqua" w:hAnsi="Book Antiqua" w:cs="Book Antiqua"/>
          <w:color w:val="000000"/>
        </w:rPr>
        <w:t>Our study was limited by the low methodological quality and small numbers of patients in the studies covered by our meta-analysis.</w:t>
      </w:r>
    </w:p>
    <w:p w14:paraId="0AAB31FA" w14:textId="77777777" w:rsidR="00A77B3E" w:rsidRDefault="00A77B3E">
      <w:pPr>
        <w:spacing w:line="360" w:lineRule="auto"/>
        <w:jc w:val="both"/>
      </w:pPr>
    </w:p>
    <w:p w14:paraId="64A8F426" w14:textId="77777777" w:rsidR="00A77B3E" w:rsidRDefault="000D6A55">
      <w:pPr>
        <w:spacing w:line="360" w:lineRule="auto"/>
        <w:jc w:val="both"/>
      </w:pPr>
      <w:r>
        <w:rPr>
          <w:rFonts w:ascii="Book Antiqua" w:eastAsia="Book Antiqua" w:hAnsi="Book Antiqua" w:cs="Book Antiqua"/>
          <w:b/>
          <w:caps/>
          <w:color w:val="000000"/>
          <w:u w:val="single"/>
        </w:rPr>
        <w:t>CONCLUSION</w:t>
      </w:r>
    </w:p>
    <w:p w14:paraId="40AB35B7" w14:textId="77777777" w:rsidR="00A77B3E" w:rsidRDefault="000D6A55">
      <w:pPr>
        <w:spacing w:line="360" w:lineRule="auto"/>
        <w:jc w:val="both"/>
      </w:pPr>
      <w:r>
        <w:rPr>
          <w:rFonts w:ascii="Book Antiqua" w:eastAsia="Book Antiqua" w:hAnsi="Book Antiqua" w:cs="Book Antiqua"/>
          <w:color w:val="000000"/>
        </w:rPr>
        <w:t>Tacrolimus might be a promising alternative drug in the efficient treatment of AIH patients who did not respond to first-line treatments (it was effective in 59.1% of those non-responders treated as second-line), while MMF is considered effective in 73.5% of patients who proved to be intolerant to first-line therapy. However, we found that the quality of evidence is not high, and it is thus questionable whether these results should be worked into a clinical guideline. Well-planned, prospective, multicenter studies of second-line treatments for patients with AIH would help to define the optimal dose, treatment schedule, required duration, and treatment endpoints. In addition, such studies should perform close monitoring of the side-effects. Future prospects in AIH treatments, especially in refractory patients, will be establishing individualized approaches to develop more effective and better tolerated novel therapies.</w:t>
      </w:r>
    </w:p>
    <w:p w14:paraId="03387424" w14:textId="77777777" w:rsidR="00A77B3E" w:rsidRDefault="00A77B3E">
      <w:pPr>
        <w:spacing w:line="360" w:lineRule="auto"/>
        <w:jc w:val="both"/>
      </w:pPr>
    </w:p>
    <w:p w14:paraId="27CC4792" w14:textId="77777777" w:rsidR="00A77B3E" w:rsidRDefault="000D6A55">
      <w:pPr>
        <w:spacing w:line="360" w:lineRule="auto"/>
        <w:jc w:val="both"/>
      </w:pPr>
      <w:r>
        <w:rPr>
          <w:rFonts w:ascii="Book Antiqua" w:eastAsia="Book Antiqua" w:hAnsi="Book Antiqua" w:cs="Book Antiqua"/>
          <w:b/>
          <w:caps/>
          <w:color w:val="000000"/>
          <w:u w:val="single"/>
        </w:rPr>
        <w:t>ARTICLE HIGHLIGHTS</w:t>
      </w:r>
    </w:p>
    <w:p w14:paraId="62E2723F" w14:textId="77777777" w:rsidR="00A77B3E" w:rsidRDefault="000D6A55">
      <w:pPr>
        <w:spacing w:line="360" w:lineRule="auto"/>
        <w:jc w:val="both"/>
      </w:pPr>
      <w:r>
        <w:rPr>
          <w:rFonts w:ascii="Book Antiqua" w:eastAsia="Book Antiqua" w:hAnsi="Book Antiqua" w:cs="Book Antiqua"/>
          <w:b/>
          <w:i/>
          <w:color w:val="000000"/>
        </w:rPr>
        <w:t>Research background</w:t>
      </w:r>
    </w:p>
    <w:p w14:paraId="2445D34C" w14:textId="77777777" w:rsidR="00A77B3E" w:rsidRDefault="000D6A55">
      <w:pPr>
        <w:spacing w:line="360" w:lineRule="auto"/>
        <w:jc w:val="both"/>
      </w:pPr>
      <w:r>
        <w:rPr>
          <w:rFonts w:ascii="Book Antiqua" w:eastAsia="Book Antiqua" w:hAnsi="Book Antiqua" w:cs="Book Antiqua"/>
          <w:color w:val="000000"/>
        </w:rPr>
        <w:lastRenderedPageBreak/>
        <w:t>The standard treatment of autoimmune hepatitis (AIH) is based on corticosteroids, either given alone or in combination with azathioprine, which both lead to remission in 80% of patients. Second-line treatments are needed for patients who have refractory disease. Tacrolimus and mycophenolate mofetil (MMF) have empirically been used the most, as second line treatments for AIH. However, high-quality data on the alternative management of AIH are scarce.</w:t>
      </w:r>
    </w:p>
    <w:p w14:paraId="25C7E07B" w14:textId="77777777" w:rsidR="00A77B3E" w:rsidRDefault="00A77B3E">
      <w:pPr>
        <w:spacing w:line="360" w:lineRule="auto"/>
        <w:jc w:val="both"/>
      </w:pPr>
    </w:p>
    <w:p w14:paraId="7FFB884D" w14:textId="77777777" w:rsidR="00A77B3E" w:rsidRDefault="000D6A55">
      <w:pPr>
        <w:spacing w:line="360" w:lineRule="auto"/>
        <w:jc w:val="both"/>
      </w:pPr>
      <w:r>
        <w:rPr>
          <w:rFonts w:ascii="Book Antiqua" w:eastAsia="Book Antiqua" w:hAnsi="Book Antiqua" w:cs="Book Antiqua"/>
          <w:b/>
          <w:i/>
          <w:color w:val="000000"/>
        </w:rPr>
        <w:t>Research motivation</w:t>
      </w:r>
    </w:p>
    <w:p w14:paraId="6FA8E5F6" w14:textId="2B33613D" w:rsidR="00A77B3E" w:rsidRDefault="000D6A55">
      <w:pPr>
        <w:spacing w:line="360" w:lineRule="auto"/>
        <w:jc w:val="both"/>
      </w:pPr>
      <w:r>
        <w:rPr>
          <w:rFonts w:ascii="Book Antiqua" w:eastAsia="Book Antiqua" w:hAnsi="Book Antiqua" w:cs="Book Antiqua"/>
          <w:color w:val="000000"/>
        </w:rPr>
        <w:t>The accumulating but still sparse data indicate that refractory AIH patients do respond to these second-line treatments. However, there is no firm evidence of their effectiveness.</w:t>
      </w:r>
    </w:p>
    <w:p w14:paraId="3D8AEF1A" w14:textId="77777777" w:rsidR="00A77B3E" w:rsidRDefault="00A77B3E">
      <w:pPr>
        <w:spacing w:line="360" w:lineRule="auto"/>
        <w:jc w:val="both"/>
      </w:pPr>
    </w:p>
    <w:p w14:paraId="16037F1B" w14:textId="77777777" w:rsidR="00A77B3E" w:rsidRDefault="000D6A55">
      <w:pPr>
        <w:spacing w:line="360" w:lineRule="auto"/>
        <w:jc w:val="both"/>
      </w:pPr>
      <w:r>
        <w:rPr>
          <w:rFonts w:ascii="Book Antiqua" w:eastAsia="Book Antiqua" w:hAnsi="Book Antiqua" w:cs="Book Antiqua"/>
          <w:b/>
          <w:i/>
          <w:color w:val="000000"/>
        </w:rPr>
        <w:t>Research objectives</w:t>
      </w:r>
    </w:p>
    <w:p w14:paraId="1F2FED4D" w14:textId="77777777" w:rsidR="00A77B3E" w:rsidRDefault="000D6A55">
      <w:pPr>
        <w:spacing w:line="360" w:lineRule="auto"/>
        <w:jc w:val="both"/>
      </w:pPr>
      <w:r>
        <w:rPr>
          <w:rFonts w:ascii="Book Antiqua" w:eastAsia="Book Antiqua" w:hAnsi="Book Antiqua" w:cs="Book Antiqua"/>
          <w:color w:val="000000"/>
        </w:rPr>
        <w:t>The aims of this study were to evaluate the efficacy and safety of tacrolimus and MMF and the quality of evidence by using the Grading of Recommendations Assessment, Development and Evaluation approach (GRADE).</w:t>
      </w:r>
    </w:p>
    <w:p w14:paraId="0CAF692F" w14:textId="77777777" w:rsidR="00A77B3E" w:rsidRDefault="00A77B3E">
      <w:pPr>
        <w:spacing w:line="360" w:lineRule="auto"/>
        <w:jc w:val="both"/>
      </w:pPr>
    </w:p>
    <w:p w14:paraId="4062EB1E" w14:textId="77777777" w:rsidR="00A77B3E" w:rsidRDefault="000D6A55">
      <w:pPr>
        <w:spacing w:line="360" w:lineRule="auto"/>
        <w:jc w:val="both"/>
      </w:pPr>
      <w:r>
        <w:rPr>
          <w:rFonts w:ascii="Book Antiqua" w:eastAsia="Book Antiqua" w:hAnsi="Book Antiqua" w:cs="Book Antiqua"/>
          <w:b/>
          <w:i/>
          <w:color w:val="000000"/>
        </w:rPr>
        <w:t>Research methods</w:t>
      </w:r>
    </w:p>
    <w:p w14:paraId="2DE2BCD6" w14:textId="77777777" w:rsidR="00A77B3E" w:rsidRDefault="000D6A55">
      <w:pPr>
        <w:spacing w:line="360" w:lineRule="auto"/>
        <w:jc w:val="both"/>
      </w:pPr>
      <w:r>
        <w:rPr>
          <w:rFonts w:ascii="Book Antiqua" w:eastAsia="Book Antiqua" w:hAnsi="Book Antiqua" w:cs="Book Antiqua"/>
          <w:color w:val="000000"/>
        </w:rPr>
        <w:t>A systematic review and meta-analysis of the available data were performed. We reviewed the literature, focusing on our aim to identify, appraise, select and synthesize all the high-quality evidence available. We calculated pooled event rates for three outcome measures, defined as biochemical remission, adverse events, and mortality, with their corresponding 95% confidence intervals. Random effects model was applied whenever there was significant heterogeneity between studies. The GRADE approach was used to assess the quality of evidence for primary and secondary outcomes.</w:t>
      </w:r>
    </w:p>
    <w:p w14:paraId="6E731689" w14:textId="77777777" w:rsidR="00A77B3E" w:rsidRDefault="00A77B3E">
      <w:pPr>
        <w:spacing w:line="360" w:lineRule="auto"/>
        <w:jc w:val="both"/>
      </w:pPr>
    </w:p>
    <w:p w14:paraId="503479D5" w14:textId="77777777" w:rsidR="00A77B3E" w:rsidRDefault="000D6A55">
      <w:pPr>
        <w:spacing w:line="360" w:lineRule="auto"/>
        <w:jc w:val="both"/>
      </w:pPr>
      <w:r>
        <w:rPr>
          <w:rFonts w:ascii="Book Antiqua" w:eastAsia="Book Antiqua" w:hAnsi="Book Antiqua" w:cs="Book Antiqua"/>
          <w:b/>
          <w:i/>
          <w:color w:val="000000"/>
        </w:rPr>
        <w:t>Research results</w:t>
      </w:r>
    </w:p>
    <w:p w14:paraId="0832C829" w14:textId="3C0F1A7C" w:rsidR="00A77B3E" w:rsidRDefault="000D6A55">
      <w:pPr>
        <w:spacing w:line="360" w:lineRule="auto"/>
        <w:jc w:val="both"/>
      </w:pPr>
      <w:r>
        <w:rPr>
          <w:rFonts w:ascii="Book Antiqua" w:eastAsia="Book Antiqua" w:hAnsi="Book Antiqua" w:cs="Book Antiqua"/>
          <w:color w:val="000000"/>
          <w:shd w:val="clear" w:color="auto" w:fill="FFFFFF"/>
        </w:rPr>
        <w:t>Overall</w:t>
      </w:r>
      <w:r w:rsidR="0090199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21 </w:t>
      </w:r>
      <w:r>
        <w:rPr>
          <w:rFonts w:ascii="Book Antiqua" w:eastAsia="Book Antiqua" w:hAnsi="Book Antiqua" w:cs="Book Antiqua"/>
          <w:color w:val="000000"/>
        </w:rPr>
        <w:t xml:space="preserve">observational </w:t>
      </w:r>
      <w:r>
        <w:rPr>
          <w:rFonts w:ascii="Book Antiqua" w:eastAsia="Book Antiqua" w:hAnsi="Book Antiqua" w:cs="Book Antiqua"/>
          <w:color w:val="000000"/>
          <w:shd w:val="clear" w:color="auto" w:fill="FFFFFF"/>
        </w:rPr>
        <w:t>studies,</w:t>
      </w:r>
      <w:r>
        <w:rPr>
          <w:rFonts w:ascii="Book Antiqua" w:eastAsia="Book Antiqua" w:hAnsi="Book Antiqua" w:cs="Book Antiqua"/>
          <w:color w:val="000000"/>
        </w:rPr>
        <w:t xml:space="preserve"> comprising 584 patients with AIH who were unable to tolerate or respond to first-line treatment,</w:t>
      </w:r>
      <w:r>
        <w:rPr>
          <w:rFonts w:ascii="Book Antiqua" w:eastAsia="Book Antiqua" w:hAnsi="Book Antiqua" w:cs="Book Antiqua"/>
          <w:color w:val="000000"/>
          <w:shd w:val="clear" w:color="auto" w:fill="FFFFFF"/>
        </w:rPr>
        <w:t xml:space="preserve"> met our eligibility criteria</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Tacrolimus is </w:t>
      </w:r>
      <w:r>
        <w:rPr>
          <w:rFonts w:ascii="Book Antiqua" w:eastAsia="Book Antiqua" w:hAnsi="Book Antiqua" w:cs="Book Antiqua"/>
          <w:color w:val="000000"/>
          <w:shd w:val="clear" w:color="auto" w:fill="FFFFFF"/>
        </w:rPr>
        <w:lastRenderedPageBreak/>
        <w:t xml:space="preserve">efficient in treating patients who did not respond to first-line treatments, yielding a biochemical remission rate of 59.1%, while MMF is considered effective for patients who are intolerant to the first-line therapy, yielding a biochemical remission rate of 73.5%. </w:t>
      </w:r>
      <w:r>
        <w:rPr>
          <w:rFonts w:ascii="Book Antiqua" w:eastAsia="Book Antiqua" w:hAnsi="Book Antiqua" w:cs="Book Antiqua"/>
          <w:color w:val="000000"/>
        </w:rPr>
        <w:t>Moreover, the overall quality assessments using GRADE proved to be very low for all our outcomes in both treatment groups.</w:t>
      </w:r>
    </w:p>
    <w:p w14:paraId="1F356FF7" w14:textId="77777777" w:rsidR="00A77B3E" w:rsidRDefault="00A77B3E">
      <w:pPr>
        <w:spacing w:line="360" w:lineRule="auto"/>
        <w:jc w:val="both"/>
      </w:pPr>
    </w:p>
    <w:p w14:paraId="60150A81" w14:textId="77777777" w:rsidR="00A77B3E" w:rsidRDefault="000D6A55">
      <w:pPr>
        <w:spacing w:line="360" w:lineRule="auto"/>
        <w:jc w:val="both"/>
      </w:pPr>
      <w:r>
        <w:rPr>
          <w:rFonts w:ascii="Book Antiqua" w:eastAsia="Book Antiqua" w:hAnsi="Book Antiqua" w:cs="Book Antiqua"/>
          <w:b/>
          <w:i/>
          <w:color w:val="000000"/>
        </w:rPr>
        <w:t>Research conclusions</w:t>
      </w:r>
    </w:p>
    <w:p w14:paraId="2240E469" w14:textId="538DFB0D" w:rsidR="00A77B3E" w:rsidRDefault="000D6A55">
      <w:pPr>
        <w:spacing w:line="360" w:lineRule="auto"/>
        <w:jc w:val="both"/>
      </w:pPr>
      <w:r>
        <w:rPr>
          <w:rFonts w:ascii="Book Antiqua" w:eastAsia="Book Antiqua" w:hAnsi="Book Antiqua" w:cs="Book Antiqua"/>
          <w:color w:val="000000"/>
        </w:rPr>
        <w:t xml:space="preserve">The available evidence shows tacrolimus and MMF are </w:t>
      </w:r>
      <w:r>
        <w:rPr>
          <w:rFonts w:ascii="Book Antiqua" w:eastAsia="Book Antiqua" w:hAnsi="Book Antiqua" w:cs="Book Antiqua"/>
          <w:color w:val="000000"/>
          <w:shd w:val="clear" w:color="auto" w:fill="FFFFFF"/>
        </w:rPr>
        <w:t xml:space="preserve">in practice </w:t>
      </w:r>
      <w:r>
        <w:rPr>
          <w:rFonts w:ascii="Book Antiqua" w:eastAsia="Book Antiqua" w:hAnsi="Book Antiqua" w:cs="Book Antiqua"/>
          <w:color w:val="000000"/>
        </w:rPr>
        <w:t>considered effective for AIH patients who are non-responder or intolerant to first-line treatment, but we found no high</w:t>
      </w:r>
      <w:r w:rsidR="0090199C">
        <w:rPr>
          <w:rFonts w:ascii="Book Antiqua" w:eastAsia="Book Antiqua" w:hAnsi="Book Antiqua" w:cs="Book Antiqua"/>
          <w:color w:val="000000"/>
        </w:rPr>
        <w:t>-</w:t>
      </w:r>
      <w:r>
        <w:rPr>
          <w:rFonts w:ascii="Book Antiqua" w:eastAsia="Book Antiqua" w:hAnsi="Book Antiqua" w:cs="Book Antiqua"/>
          <w:color w:val="000000"/>
        </w:rPr>
        <w:t>quality evidence to support this statement and the translation of these findings to AIH clinical guidelines is questionable.</w:t>
      </w:r>
    </w:p>
    <w:p w14:paraId="2E87590D" w14:textId="77777777" w:rsidR="00A77B3E" w:rsidRDefault="00A77B3E">
      <w:pPr>
        <w:spacing w:line="360" w:lineRule="auto"/>
        <w:jc w:val="both"/>
      </w:pPr>
    </w:p>
    <w:p w14:paraId="19701773" w14:textId="77777777" w:rsidR="00A77B3E" w:rsidRDefault="000D6A55">
      <w:pPr>
        <w:spacing w:line="360" w:lineRule="auto"/>
        <w:jc w:val="both"/>
      </w:pPr>
      <w:r>
        <w:rPr>
          <w:rFonts w:ascii="Book Antiqua" w:eastAsia="Book Antiqua" w:hAnsi="Book Antiqua" w:cs="Book Antiqua"/>
          <w:b/>
          <w:i/>
          <w:color w:val="000000"/>
        </w:rPr>
        <w:t>Research perspectives</w:t>
      </w:r>
    </w:p>
    <w:p w14:paraId="7C405471" w14:textId="77777777" w:rsidR="00A77B3E" w:rsidRDefault="000D6A55">
      <w:pPr>
        <w:spacing w:line="360" w:lineRule="auto"/>
        <w:jc w:val="both"/>
      </w:pPr>
      <w:r>
        <w:rPr>
          <w:rFonts w:ascii="Book Antiqua" w:eastAsia="Book Antiqua" w:hAnsi="Book Antiqua" w:cs="Book Antiqua"/>
          <w:color w:val="000000"/>
        </w:rPr>
        <w:t>Well-planned, prospective, multicenter studies of second-line treatments for patients with AIH would help to define the optimal dose, treatment schedule, required duration, and treatment endpoints. In addition, such studies should perform close monitoring of the side-effects.</w:t>
      </w:r>
    </w:p>
    <w:p w14:paraId="4AF45FB2" w14:textId="77777777" w:rsidR="00A77B3E" w:rsidRDefault="00A77B3E">
      <w:pPr>
        <w:spacing w:line="360" w:lineRule="auto"/>
        <w:jc w:val="both"/>
      </w:pPr>
    </w:p>
    <w:p w14:paraId="1C081831" w14:textId="77777777" w:rsidR="00A77B3E" w:rsidRDefault="000D6A55">
      <w:pPr>
        <w:spacing w:line="360" w:lineRule="auto"/>
        <w:jc w:val="both"/>
      </w:pPr>
      <w:r>
        <w:rPr>
          <w:rFonts w:ascii="Book Antiqua" w:eastAsia="Book Antiqua" w:hAnsi="Book Antiqua" w:cs="Book Antiqua"/>
          <w:b/>
          <w:caps/>
          <w:color w:val="000000"/>
          <w:u w:val="single"/>
        </w:rPr>
        <w:t>ACKNOWLEDGEMENTS</w:t>
      </w:r>
    </w:p>
    <w:p w14:paraId="7D94D22F" w14:textId="4EE9AAD8" w:rsidR="00A77B3E" w:rsidRDefault="000D6A55">
      <w:pPr>
        <w:spacing w:line="360" w:lineRule="auto"/>
        <w:jc w:val="both"/>
      </w:pPr>
      <w:r>
        <w:rPr>
          <w:rFonts w:ascii="Book Antiqua" w:eastAsia="Book Antiqua" w:hAnsi="Book Antiqua" w:cs="Book Antiqua"/>
          <w:color w:val="000000"/>
        </w:rPr>
        <w:t xml:space="preserve">We specially thank </w:t>
      </w:r>
      <w:proofErr w:type="spellStart"/>
      <w:r>
        <w:rPr>
          <w:rFonts w:ascii="Book Antiqua" w:eastAsia="Book Antiqua" w:hAnsi="Book Antiqua" w:cs="Book Antiqua"/>
          <w:color w:val="000000"/>
        </w:rPr>
        <w:t>Sijtsma</w:t>
      </w:r>
      <w:proofErr w:type="spellEnd"/>
      <w:r w:rsidR="008A4FB9" w:rsidRPr="008A4FB9">
        <w:rPr>
          <w:rFonts w:ascii="Book Antiqua" w:eastAsia="Book Antiqua" w:hAnsi="Book Antiqua" w:cs="Book Antiqua"/>
          <w:color w:val="000000"/>
        </w:rPr>
        <w:t xml:space="preserve"> </w:t>
      </w:r>
      <w:r w:rsidR="008A4FB9">
        <w:rPr>
          <w:rFonts w:ascii="Book Antiqua" w:eastAsia="Book Antiqua" w:hAnsi="Book Antiqua" w:cs="Book Antiqua"/>
          <w:color w:val="000000"/>
        </w:rPr>
        <w:t>K</w:t>
      </w:r>
      <w:r>
        <w:rPr>
          <w:rFonts w:ascii="Book Antiqua" w:eastAsia="Book Antiqua" w:hAnsi="Book Antiqua" w:cs="Book Antiqua"/>
          <w:color w:val="000000"/>
        </w:rPr>
        <w:t xml:space="preserve">, medical information specialist at the University Medical Center Groningen, for help in designing the literature search strategy. We thank Senior </w:t>
      </w:r>
      <w:r w:rsidR="008A4FB9">
        <w:rPr>
          <w:rFonts w:ascii="Book Antiqua" w:eastAsia="Book Antiqua" w:hAnsi="Book Antiqua" w:cs="Book Antiqua"/>
          <w:color w:val="000000"/>
        </w:rPr>
        <w:t xml:space="preserve">J </w:t>
      </w:r>
      <w:r>
        <w:rPr>
          <w:rFonts w:ascii="Book Antiqua" w:eastAsia="Book Antiqua" w:hAnsi="Book Antiqua" w:cs="Book Antiqua"/>
          <w:color w:val="000000"/>
        </w:rPr>
        <w:t>for editing the text.</w:t>
      </w:r>
    </w:p>
    <w:p w14:paraId="515052BA" w14:textId="77777777" w:rsidR="00A77B3E" w:rsidRDefault="00A77B3E">
      <w:pPr>
        <w:spacing w:line="360" w:lineRule="auto"/>
        <w:jc w:val="both"/>
      </w:pPr>
    </w:p>
    <w:p w14:paraId="11829AF1" w14:textId="77777777" w:rsidR="00A77B3E" w:rsidRDefault="000D6A55">
      <w:pPr>
        <w:spacing w:line="360" w:lineRule="auto"/>
        <w:jc w:val="both"/>
      </w:pPr>
      <w:r>
        <w:rPr>
          <w:rFonts w:ascii="Book Antiqua" w:eastAsia="Book Antiqua" w:hAnsi="Book Antiqua" w:cs="Book Antiqua"/>
          <w:b/>
          <w:color w:val="000000"/>
        </w:rPr>
        <w:t>REFERENCES</w:t>
      </w:r>
    </w:p>
    <w:p w14:paraId="5A7EBC35" w14:textId="77777777" w:rsidR="00A77B3E" w:rsidRDefault="000D6A55">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Ngu</w:t>
      </w:r>
      <w:proofErr w:type="spellEnd"/>
      <w:r>
        <w:rPr>
          <w:rFonts w:ascii="Book Antiqua" w:eastAsia="Book Antiqua" w:hAnsi="Book Antiqua" w:cs="Book Antiqua"/>
          <w:b/>
          <w:bCs/>
          <w:color w:val="000000"/>
        </w:rPr>
        <w:t xml:space="preserve">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Gearry</w:t>
      </w:r>
      <w:proofErr w:type="spellEnd"/>
      <w:r>
        <w:rPr>
          <w:rFonts w:ascii="Book Antiqua" w:eastAsia="Book Antiqua" w:hAnsi="Book Antiqua" w:cs="Book Antiqua"/>
          <w:color w:val="000000"/>
        </w:rPr>
        <w:t xml:space="preserve"> RB, Frampton CM, Stedman CA. Mortality and the risk of malignancy in autoimmune liver diseases: a population-based study in Canterbury, New Zealand.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55</w:t>
      </w:r>
      <w:r>
        <w:rPr>
          <w:rFonts w:ascii="Book Antiqua" w:eastAsia="Book Antiqua" w:hAnsi="Book Antiqua" w:cs="Book Antiqua"/>
          <w:color w:val="000000"/>
        </w:rPr>
        <w:t>: 522-529 [PMID: 21994151 DOI: 10.1002/hep.24743]</w:t>
      </w:r>
    </w:p>
    <w:p w14:paraId="4B0720FC" w14:textId="77777777" w:rsidR="00A77B3E" w:rsidRDefault="000D6A55">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Hoeroldt</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McFarlane E, Dube A, </w:t>
      </w:r>
      <w:proofErr w:type="spellStart"/>
      <w:r>
        <w:rPr>
          <w:rFonts w:ascii="Book Antiqua" w:eastAsia="Book Antiqua" w:hAnsi="Book Antiqua" w:cs="Book Antiqua"/>
          <w:color w:val="000000"/>
        </w:rPr>
        <w:t>Basumani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Karajeh</w:t>
      </w:r>
      <w:proofErr w:type="spellEnd"/>
      <w:r>
        <w:rPr>
          <w:rFonts w:ascii="Book Antiqua" w:eastAsia="Book Antiqua" w:hAnsi="Book Antiqua" w:cs="Book Antiqua"/>
          <w:color w:val="000000"/>
        </w:rPr>
        <w:t xml:space="preserve"> M, Campbell MJ, Gleeson D. Long-term outcomes of patients with autoimmune hepatitis managed at a </w:t>
      </w:r>
      <w:r>
        <w:rPr>
          <w:rFonts w:ascii="Book Antiqua" w:eastAsia="Book Antiqua" w:hAnsi="Book Antiqua" w:cs="Book Antiqua"/>
          <w:color w:val="000000"/>
        </w:rPr>
        <w:lastRenderedPageBreak/>
        <w:t xml:space="preserve">nontransplant center.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140</w:t>
      </w:r>
      <w:r>
        <w:rPr>
          <w:rFonts w:ascii="Book Antiqua" w:eastAsia="Book Antiqua" w:hAnsi="Book Antiqua" w:cs="Book Antiqua"/>
          <w:color w:val="000000"/>
        </w:rPr>
        <w:t>: 1980-1989 [PMID: 21396370 DOI: 10.1053/j.gastro.2011.02.065]</w:t>
      </w:r>
    </w:p>
    <w:p w14:paraId="6B893451" w14:textId="77777777" w:rsidR="00A77B3E" w:rsidRDefault="000D6A5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Liberal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Krawitt</w:t>
      </w:r>
      <w:proofErr w:type="spellEnd"/>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Vierling</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Mieli-Vergani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Vergani</w:t>
      </w:r>
      <w:proofErr w:type="spellEnd"/>
      <w:r>
        <w:rPr>
          <w:rFonts w:ascii="Book Antiqua" w:eastAsia="Book Antiqua" w:hAnsi="Book Antiqua" w:cs="Book Antiqua"/>
          <w:color w:val="000000"/>
        </w:rPr>
        <w:t xml:space="preserve"> D. Cutting edge issues in autoimmune hepatitis.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75</w:t>
      </w:r>
      <w:r>
        <w:rPr>
          <w:rFonts w:ascii="Book Antiqua" w:eastAsia="Book Antiqua" w:hAnsi="Book Antiqua" w:cs="Book Antiqua"/>
          <w:color w:val="000000"/>
        </w:rPr>
        <w:t>: 6-19 [PMID: 27502148 DOI: 10.1016/j.jaut.2016.07.005]</w:t>
      </w:r>
    </w:p>
    <w:p w14:paraId="09A9004A" w14:textId="77777777" w:rsidR="00A77B3E" w:rsidRDefault="000D6A55">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Krawitt</w:t>
      </w:r>
      <w:proofErr w:type="spellEnd"/>
      <w:r>
        <w:rPr>
          <w:rFonts w:ascii="Book Antiqua" w:eastAsia="Book Antiqua" w:hAnsi="Book Antiqua" w:cs="Book Antiqua"/>
          <w:b/>
          <w:bCs/>
          <w:color w:val="000000"/>
        </w:rPr>
        <w:t xml:space="preserve"> EL</w:t>
      </w:r>
      <w:r>
        <w:rPr>
          <w:rFonts w:ascii="Book Antiqua" w:eastAsia="Book Antiqua" w:hAnsi="Book Antiqua" w:cs="Book Antiqua"/>
          <w:color w:val="000000"/>
        </w:rPr>
        <w:t xml:space="preserve">. Autoimmune hepatitis.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354</w:t>
      </w:r>
      <w:r>
        <w:rPr>
          <w:rFonts w:ascii="Book Antiqua" w:eastAsia="Book Antiqua" w:hAnsi="Book Antiqua" w:cs="Book Antiqua"/>
          <w:color w:val="000000"/>
        </w:rPr>
        <w:t>: 54-66 [PMID: 16394302 DOI: 10.1056/NEJMra050408]</w:t>
      </w:r>
    </w:p>
    <w:p w14:paraId="337CC9E9" w14:textId="77777777" w:rsidR="00A77B3E" w:rsidRDefault="000D6A55">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Abdollahi</w:t>
      </w:r>
      <w:proofErr w:type="spellEnd"/>
      <w:r>
        <w:rPr>
          <w:rFonts w:ascii="Book Antiqua" w:eastAsia="Book Antiqua" w:hAnsi="Book Antiqua" w:cs="Book Antiqua"/>
          <w:b/>
          <w:bCs/>
          <w:color w:val="000000"/>
        </w:rPr>
        <w:t xml:space="preserve"> MR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Somi</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Faraji</w:t>
      </w:r>
      <w:proofErr w:type="spellEnd"/>
      <w:r>
        <w:rPr>
          <w:rFonts w:ascii="Book Antiqua" w:eastAsia="Book Antiqua" w:hAnsi="Book Antiqua" w:cs="Book Antiqua"/>
          <w:color w:val="000000"/>
        </w:rPr>
        <w:t xml:space="preserve"> E. Role of international criteria in the diagnosis of autoimmune hepatitis.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3629-3633 [PMID: 23801865 DOI: 10.3748/wjg.v19.i23.3629]</w:t>
      </w:r>
    </w:p>
    <w:p w14:paraId="555ABDDE" w14:textId="77777777" w:rsidR="00A77B3E" w:rsidRDefault="000D6A55">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Czaja</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Current and future treatments of autoimmune hepatitis. </w:t>
      </w:r>
      <w:r>
        <w:rPr>
          <w:rFonts w:ascii="Book Antiqua" w:eastAsia="Book Antiqua" w:hAnsi="Book Antiqua" w:cs="Book Antiqua"/>
          <w:i/>
          <w:iCs/>
          <w:color w:val="000000"/>
        </w:rPr>
        <w:t>Expert Rev Gastroenterol Hepatol</w:t>
      </w:r>
      <w:r>
        <w:rPr>
          <w:rFonts w:ascii="Book Antiqua" w:eastAsia="Book Antiqua" w:hAnsi="Book Antiqua" w:cs="Book Antiqua"/>
          <w:color w:val="000000"/>
        </w:rPr>
        <w:t xml:space="preserve"> 2009; </w:t>
      </w:r>
      <w:r>
        <w:rPr>
          <w:rFonts w:ascii="Book Antiqua" w:eastAsia="Book Antiqua" w:hAnsi="Book Antiqua" w:cs="Book Antiqua"/>
          <w:b/>
          <w:bCs/>
          <w:color w:val="000000"/>
        </w:rPr>
        <w:t>3</w:t>
      </w:r>
      <w:r>
        <w:rPr>
          <w:rFonts w:ascii="Book Antiqua" w:eastAsia="Book Antiqua" w:hAnsi="Book Antiqua" w:cs="Book Antiqua"/>
          <w:color w:val="000000"/>
        </w:rPr>
        <w:t>: 269-291 [PMID: 19485809 DOI: 10.1586/egh.09.15]</w:t>
      </w:r>
    </w:p>
    <w:p w14:paraId="1532DFC4" w14:textId="77777777" w:rsidR="00A77B3E" w:rsidRDefault="000D6A55">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Manns</w:t>
      </w:r>
      <w:proofErr w:type="spellEnd"/>
      <w:r>
        <w:rPr>
          <w:rFonts w:ascii="Book Antiqua" w:eastAsia="Book Antiqua" w:hAnsi="Book Antiqua" w:cs="Book Antiqua"/>
          <w:b/>
          <w:bCs/>
          <w:color w:val="000000"/>
        </w:rPr>
        <w:t xml:space="preserve"> MP</w:t>
      </w:r>
      <w:r>
        <w:rPr>
          <w:rFonts w:ascii="Book Antiqua" w:eastAsia="Book Antiqua" w:hAnsi="Book Antiqua" w:cs="Book Antiqua"/>
          <w:color w:val="000000"/>
        </w:rPr>
        <w:t xml:space="preserve">, Lohse AW, </w:t>
      </w:r>
      <w:proofErr w:type="spellStart"/>
      <w:r>
        <w:rPr>
          <w:rFonts w:ascii="Book Antiqua" w:eastAsia="Book Antiqua" w:hAnsi="Book Antiqua" w:cs="Book Antiqua"/>
          <w:color w:val="000000"/>
        </w:rPr>
        <w:t>Vergani</w:t>
      </w:r>
      <w:proofErr w:type="spellEnd"/>
      <w:r>
        <w:rPr>
          <w:rFonts w:ascii="Book Antiqua" w:eastAsia="Book Antiqua" w:hAnsi="Book Antiqua" w:cs="Book Antiqua"/>
          <w:color w:val="000000"/>
        </w:rPr>
        <w:t xml:space="preserve"> D. Autoimmune hepatitis--Update 2015.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S100-S111 [PMID: 25920079 DOI: 10.1016/j.jhep.2015.03.005]</w:t>
      </w:r>
    </w:p>
    <w:p w14:paraId="5BBF2E2E" w14:textId="77777777" w:rsidR="00A77B3E" w:rsidRDefault="000D6A55">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Manns</w:t>
      </w:r>
      <w:proofErr w:type="spellEnd"/>
      <w:r>
        <w:rPr>
          <w:rFonts w:ascii="Book Antiqua" w:eastAsia="Book Antiqua" w:hAnsi="Book Antiqua" w:cs="Book Antiqua"/>
          <w:b/>
          <w:bCs/>
          <w:color w:val="000000"/>
        </w:rPr>
        <w:t xml:space="preserve"> MP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Czaja</w:t>
      </w:r>
      <w:proofErr w:type="spellEnd"/>
      <w:r>
        <w:rPr>
          <w:rFonts w:ascii="Book Antiqua" w:eastAsia="Book Antiqua" w:hAnsi="Book Antiqua" w:cs="Book Antiqua"/>
          <w:color w:val="000000"/>
        </w:rPr>
        <w:t xml:space="preserve"> AJ, Gorham JD, </w:t>
      </w:r>
      <w:proofErr w:type="spellStart"/>
      <w:r>
        <w:rPr>
          <w:rFonts w:ascii="Book Antiqua" w:eastAsia="Book Antiqua" w:hAnsi="Book Antiqua" w:cs="Book Antiqua"/>
          <w:color w:val="000000"/>
        </w:rPr>
        <w:t>Krawitt</w:t>
      </w:r>
      <w:proofErr w:type="spellEnd"/>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Mieli-Vergani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Vergani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Vierling</w:t>
      </w:r>
      <w:proofErr w:type="spellEnd"/>
      <w:r>
        <w:rPr>
          <w:rFonts w:ascii="Book Antiqua" w:eastAsia="Book Antiqua" w:hAnsi="Book Antiqua" w:cs="Book Antiqua"/>
          <w:color w:val="000000"/>
        </w:rPr>
        <w:t xml:space="preserve"> JM; American Association for the Study of Liver Diseases. Diagnosis and management of autoimmune hepatitis.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51</w:t>
      </w:r>
      <w:r>
        <w:rPr>
          <w:rFonts w:ascii="Book Antiqua" w:eastAsia="Book Antiqua" w:hAnsi="Book Antiqua" w:cs="Book Antiqua"/>
          <w:color w:val="000000"/>
        </w:rPr>
        <w:t>: 2193-2213 [PMID: 20513004 DOI: 10.1002/hep.23584]</w:t>
      </w:r>
    </w:p>
    <w:p w14:paraId="505B7B98" w14:textId="77777777" w:rsidR="00A77B3E" w:rsidRDefault="000D6A55">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Peiseler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Liebscher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Sebode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Zenouzi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Hartl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Ehlken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Pannicke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Weiler-Normann</w:t>
      </w:r>
      <w:proofErr w:type="spellEnd"/>
      <w:r>
        <w:rPr>
          <w:rFonts w:ascii="Book Antiqua" w:eastAsia="Book Antiqua" w:hAnsi="Book Antiqua" w:cs="Book Antiqua"/>
          <w:color w:val="000000"/>
        </w:rPr>
        <w:t xml:space="preserve"> C, Lohse AW, Schramm C. Efficacy and Limitations of Budesonide as a Second-Line Treatment for Patients With Autoimmune Hepatitis.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260-267.e1 [PMID: 28126427 DOI: 10.1016/j.cgh.2016.12.040]</w:t>
      </w:r>
    </w:p>
    <w:p w14:paraId="60A14ABC" w14:textId="77777777" w:rsidR="00A77B3E" w:rsidRDefault="000D6A55">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Dhawan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Mieli-Vergani</w:t>
      </w:r>
      <w:proofErr w:type="spellEnd"/>
      <w:r>
        <w:rPr>
          <w:rFonts w:ascii="Book Antiqua" w:eastAsia="Book Antiqua" w:hAnsi="Book Antiqua" w:cs="Book Antiqua"/>
          <w:color w:val="000000"/>
        </w:rPr>
        <w:t xml:space="preserve"> G. Mycophenolate mofetil--a new treatment for autoimmune hepatitis?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2000; </w:t>
      </w:r>
      <w:r>
        <w:rPr>
          <w:rFonts w:ascii="Book Antiqua" w:eastAsia="Book Antiqua" w:hAnsi="Book Antiqua" w:cs="Book Antiqua"/>
          <w:b/>
          <w:bCs/>
          <w:color w:val="000000"/>
        </w:rPr>
        <w:t>33</w:t>
      </w:r>
      <w:r>
        <w:rPr>
          <w:rFonts w:ascii="Book Antiqua" w:eastAsia="Book Antiqua" w:hAnsi="Book Antiqua" w:cs="Book Antiqua"/>
          <w:color w:val="000000"/>
        </w:rPr>
        <w:t>: 480-481 [PMID: 11020006 DOI: 10.1016/s0168-8278(00)80286-x]</w:t>
      </w:r>
    </w:p>
    <w:p w14:paraId="26BD0A4E" w14:textId="77777777" w:rsidR="00A77B3E" w:rsidRDefault="000D6A55">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Jothimani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Cramp ME, Mitchell JD, Cross TJ. Treatment of autoimmune hepatitis: a review of current and evolving therapies.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619-627 [PMID: 21073674 DOI: 10.1111/j.1440-1746.2010.06579.x]</w:t>
      </w:r>
    </w:p>
    <w:p w14:paraId="3D411D6A" w14:textId="77777777" w:rsidR="00A77B3E" w:rsidRDefault="000D6A55">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Liberal R</w:t>
      </w:r>
      <w:r>
        <w:rPr>
          <w:rFonts w:ascii="Book Antiqua" w:eastAsia="Book Antiqua" w:hAnsi="Book Antiqua" w:cs="Book Antiqua"/>
          <w:color w:val="000000"/>
        </w:rPr>
        <w:t xml:space="preserve">, de Boer YS, Andrade RJ, Bouma G, </w:t>
      </w:r>
      <w:proofErr w:type="spellStart"/>
      <w:r>
        <w:rPr>
          <w:rFonts w:ascii="Book Antiqua" w:eastAsia="Book Antiqua" w:hAnsi="Book Antiqua" w:cs="Book Antiqua"/>
          <w:color w:val="000000"/>
        </w:rPr>
        <w:t>Dalekos</w:t>
      </w:r>
      <w:proofErr w:type="spellEnd"/>
      <w:r>
        <w:rPr>
          <w:rFonts w:ascii="Book Antiqua" w:eastAsia="Book Antiqua" w:hAnsi="Book Antiqua" w:cs="Book Antiqua"/>
          <w:color w:val="000000"/>
        </w:rPr>
        <w:t xml:space="preserve"> GN, </w:t>
      </w:r>
      <w:proofErr w:type="spellStart"/>
      <w:r>
        <w:rPr>
          <w:rFonts w:ascii="Book Antiqua" w:eastAsia="Book Antiqua" w:hAnsi="Book Antiqua" w:cs="Book Antiqua"/>
          <w:color w:val="000000"/>
        </w:rPr>
        <w:t>Floreani</w:t>
      </w:r>
      <w:proofErr w:type="spellEnd"/>
      <w:r>
        <w:rPr>
          <w:rFonts w:ascii="Book Antiqua" w:eastAsia="Book Antiqua" w:hAnsi="Book Antiqua" w:cs="Book Antiqua"/>
          <w:color w:val="000000"/>
        </w:rPr>
        <w:t xml:space="preserve"> A, Gleeson D, Hirschfield GM, </w:t>
      </w:r>
      <w:proofErr w:type="spellStart"/>
      <w:r>
        <w:rPr>
          <w:rFonts w:ascii="Book Antiqua" w:eastAsia="Book Antiqua" w:hAnsi="Book Antiqua" w:cs="Book Antiqua"/>
          <w:color w:val="000000"/>
        </w:rPr>
        <w:t>Invernizzi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Lenzi</w:t>
      </w:r>
      <w:proofErr w:type="spellEnd"/>
      <w:r>
        <w:rPr>
          <w:rFonts w:ascii="Book Antiqua" w:eastAsia="Book Antiqua" w:hAnsi="Book Antiqua" w:cs="Book Antiqua"/>
          <w:color w:val="000000"/>
        </w:rPr>
        <w:t xml:space="preserve"> M, Lohse AW, Macedo G, </w:t>
      </w:r>
      <w:proofErr w:type="spellStart"/>
      <w:r>
        <w:rPr>
          <w:rFonts w:ascii="Book Antiqua" w:eastAsia="Book Antiqua" w:hAnsi="Book Antiqua" w:cs="Book Antiqua"/>
          <w:color w:val="000000"/>
        </w:rPr>
        <w:t>Milkiewicz</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Terziroli</w:t>
      </w:r>
      <w:proofErr w:type="spellEnd"/>
      <w:r>
        <w:rPr>
          <w:rFonts w:ascii="Book Antiqua" w:eastAsia="Book Antiqua" w:hAnsi="Book Antiqua" w:cs="Book Antiqua"/>
          <w:color w:val="000000"/>
        </w:rPr>
        <w:t xml:space="preserve"> B, van Hoek B, </w:t>
      </w:r>
      <w:proofErr w:type="spellStart"/>
      <w:r>
        <w:rPr>
          <w:rFonts w:ascii="Book Antiqua" w:eastAsia="Book Antiqua" w:hAnsi="Book Antiqua" w:cs="Book Antiqua"/>
          <w:color w:val="000000"/>
        </w:rPr>
        <w:t>Vierling</w:t>
      </w:r>
      <w:proofErr w:type="spellEnd"/>
      <w:r>
        <w:rPr>
          <w:rFonts w:ascii="Book Antiqua" w:eastAsia="Book Antiqua" w:hAnsi="Book Antiqua" w:cs="Book Antiqua"/>
          <w:color w:val="000000"/>
        </w:rPr>
        <w:t xml:space="preserve"> JM, Heneghan MA; International Autoimmune Hepatitis Group (IAIHG). Expert clinical management of autoimmune hepatitis in the real world.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45</w:t>
      </w:r>
      <w:r>
        <w:rPr>
          <w:rFonts w:ascii="Book Antiqua" w:eastAsia="Book Antiqua" w:hAnsi="Book Antiqua" w:cs="Book Antiqua"/>
          <w:color w:val="000000"/>
        </w:rPr>
        <w:t>: 723-732 [PMID: 28004405 DOI: 10.1111/apt.13907]</w:t>
      </w:r>
    </w:p>
    <w:p w14:paraId="06124580" w14:textId="77777777" w:rsidR="00A77B3E" w:rsidRDefault="000D6A55">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Fallatah</w:t>
      </w:r>
      <w:proofErr w:type="spellEnd"/>
      <w:r>
        <w:rPr>
          <w:rFonts w:ascii="Book Antiqua" w:eastAsia="Book Antiqua" w:hAnsi="Book Antiqua" w:cs="Book Antiqua"/>
          <w:b/>
          <w:bCs/>
          <w:color w:val="000000"/>
        </w:rPr>
        <w:t xml:space="preserve"> HI</w:t>
      </w:r>
      <w:r>
        <w:rPr>
          <w:rFonts w:ascii="Book Antiqua" w:eastAsia="Book Antiqua" w:hAnsi="Book Antiqua" w:cs="Book Antiqua"/>
          <w:color w:val="000000"/>
        </w:rPr>
        <w:t xml:space="preserve">, Akbar HO. Mycophenolate mofetil as a rescue therapy for autoimmune hepatitis patients who are not responsive to standard therapy. </w:t>
      </w:r>
      <w:r>
        <w:rPr>
          <w:rFonts w:ascii="Book Antiqua" w:eastAsia="Book Antiqua" w:hAnsi="Book Antiqua" w:cs="Book Antiqua"/>
          <w:i/>
          <w:iCs/>
          <w:color w:val="000000"/>
        </w:rPr>
        <w:t>Expert Rev Gastroenterol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5</w:t>
      </w:r>
      <w:r>
        <w:rPr>
          <w:rFonts w:ascii="Book Antiqua" w:eastAsia="Book Antiqua" w:hAnsi="Book Antiqua" w:cs="Book Antiqua"/>
          <w:color w:val="000000"/>
        </w:rPr>
        <w:t>: 517-522 [PMID: 21780898 DOI: 10.1586/egh.11.45]</w:t>
      </w:r>
    </w:p>
    <w:p w14:paraId="0600F8C0" w14:textId="77777777" w:rsidR="00A77B3E" w:rsidRDefault="000D6A55">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Vierling</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Autoimmune Hepatitis and Overlap Syndromes: Diagnosis and Management.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2088-2108 [PMID: 26284592 DOI: 10.1016/j.cgh.2015.08.012]</w:t>
      </w:r>
    </w:p>
    <w:p w14:paraId="6E538888" w14:textId="77777777" w:rsidR="00A77B3E" w:rsidRDefault="000D6A55">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Lemos-Bonotto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Valle-</w:t>
      </w:r>
      <w:proofErr w:type="spellStart"/>
      <w:r>
        <w:rPr>
          <w:rFonts w:ascii="Book Antiqua" w:eastAsia="Book Antiqua" w:hAnsi="Book Antiqua" w:cs="Book Antiqua"/>
          <w:color w:val="000000"/>
        </w:rPr>
        <w:t>Tovo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Costabeber</w:t>
      </w:r>
      <w:proofErr w:type="spellEnd"/>
      <w:r>
        <w:rPr>
          <w:rFonts w:ascii="Book Antiqua" w:eastAsia="Book Antiqua" w:hAnsi="Book Antiqua" w:cs="Book Antiqua"/>
          <w:color w:val="000000"/>
        </w:rPr>
        <w:t xml:space="preserve"> AM, Mattos AA, </w:t>
      </w:r>
      <w:proofErr w:type="spellStart"/>
      <w:r>
        <w:rPr>
          <w:rFonts w:ascii="Book Antiqua" w:eastAsia="Book Antiqua" w:hAnsi="Book Antiqua" w:cs="Book Antiqua"/>
          <w:color w:val="000000"/>
        </w:rPr>
        <w:t>Azeredo</w:t>
      </w:r>
      <w:proofErr w:type="spellEnd"/>
      <w:r>
        <w:rPr>
          <w:rFonts w:ascii="Book Antiqua" w:eastAsia="Book Antiqua" w:hAnsi="Book Antiqua" w:cs="Book Antiqua"/>
          <w:color w:val="000000"/>
        </w:rPr>
        <w:t xml:space="preserve">-da-Silva ALF. A systematic review and meta-analysis of second-line immunosuppressants for autoimmune hepatitis treatment.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212-216 [PMID: 29227329 DOI: 10.1097/MEG.0000000000001019]</w:t>
      </w:r>
    </w:p>
    <w:p w14:paraId="15A9BEBF" w14:textId="77777777" w:rsidR="00A77B3E" w:rsidRDefault="000D6A55">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Santiago P</w:t>
      </w:r>
      <w:r>
        <w:rPr>
          <w:rFonts w:ascii="Book Antiqua" w:eastAsia="Book Antiqua" w:hAnsi="Book Antiqua" w:cs="Book Antiqua"/>
          <w:color w:val="000000"/>
        </w:rPr>
        <w:t xml:space="preserve">, Schwartz I, </w:t>
      </w:r>
      <w:proofErr w:type="spellStart"/>
      <w:r>
        <w:rPr>
          <w:rFonts w:ascii="Book Antiqua" w:eastAsia="Book Antiqua" w:hAnsi="Book Antiqua" w:cs="Book Antiqua"/>
          <w:color w:val="000000"/>
        </w:rPr>
        <w:t>Tamariz</w:t>
      </w:r>
      <w:proofErr w:type="spellEnd"/>
      <w:r>
        <w:rPr>
          <w:rFonts w:ascii="Book Antiqua" w:eastAsia="Book Antiqua" w:hAnsi="Book Antiqua" w:cs="Book Antiqua"/>
          <w:color w:val="000000"/>
        </w:rPr>
        <w:t xml:space="preserve"> L, Levy C. Systematic review with meta-analysis: mycophenolate mofetil as a second-line therapy for autoimmune hepatitis.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830-839 [PMID: 30761563 DOI: 10.1111/apt.15157]</w:t>
      </w:r>
    </w:p>
    <w:p w14:paraId="2C076A3F" w14:textId="77777777" w:rsidR="00A77B3E" w:rsidRDefault="000D6A55">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Pape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Nevens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Verslype</w:t>
      </w:r>
      <w:proofErr w:type="spellEnd"/>
      <w:r>
        <w:rPr>
          <w:rFonts w:ascii="Book Antiqua" w:eastAsia="Book Antiqua" w:hAnsi="Book Antiqua" w:cs="Book Antiqua"/>
          <w:color w:val="000000"/>
        </w:rPr>
        <w:t xml:space="preserve"> C, Mertens C, </w:t>
      </w:r>
      <w:proofErr w:type="spellStart"/>
      <w:r>
        <w:rPr>
          <w:rFonts w:ascii="Book Antiqua" w:eastAsia="Book Antiqua" w:hAnsi="Book Antiqua" w:cs="Book Antiqua"/>
          <w:color w:val="000000"/>
        </w:rPr>
        <w:t>Drenth</w:t>
      </w:r>
      <w:proofErr w:type="spellEnd"/>
      <w:r>
        <w:rPr>
          <w:rFonts w:ascii="Book Antiqua" w:eastAsia="Book Antiqua" w:hAnsi="Book Antiqua" w:cs="Book Antiqua"/>
          <w:color w:val="000000"/>
        </w:rPr>
        <w:t xml:space="preserve"> JPH, </w:t>
      </w:r>
      <w:proofErr w:type="spellStart"/>
      <w:r>
        <w:rPr>
          <w:rFonts w:ascii="Book Antiqua" w:eastAsia="Book Antiqua" w:hAnsi="Book Antiqua" w:cs="Book Antiqua"/>
          <w:color w:val="000000"/>
        </w:rPr>
        <w:t>Tjwa</w:t>
      </w:r>
      <w:proofErr w:type="spellEnd"/>
      <w:r>
        <w:rPr>
          <w:rFonts w:ascii="Book Antiqua" w:eastAsia="Book Antiqua" w:hAnsi="Book Antiqua" w:cs="Book Antiqua"/>
          <w:color w:val="000000"/>
        </w:rPr>
        <w:t xml:space="preserve"> ETTL. Profiling the patient with autoimmune hepatitis on calcineurin inhibitors: a real-world-experience.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727-732 [PMID: 31658173 DOI: 10.1097/MEG.0000000000001580]</w:t>
      </w:r>
    </w:p>
    <w:p w14:paraId="3383C9F4" w14:textId="77777777" w:rsidR="00A77B3E" w:rsidRDefault="000D6A55">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Giannakopoulos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Verbaan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Friis-Liby</w:t>
      </w:r>
      <w:proofErr w:type="spellEnd"/>
      <w:r>
        <w:rPr>
          <w:rFonts w:ascii="Book Antiqua" w:eastAsia="Book Antiqua" w:hAnsi="Book Antiqua" w:cs="Book Antiqua"/>
          <w:color w:val="000000"/>
        </w:rPr>
        <w:t xml:space="preserve"> IL, </w:t>
      </w:r>
      <w:proofErr w:type="spellStart"/>
      <w:r>
        <w:rPr>
          <w:rFonts w:ascii="Book Antiqua" w:eastAsia="Book Antiqua" w:hAnsi="Book Antiqua" w:cs="Book Antiqua"/>
          <w:color w:val="000000"/>
        </w:rPr>
        <w:t>Sangfelt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Nyhlin</w:t>
      </w:r>
      <w:proofErr w:type="spellEnd"/>
      <w:r>
        <w:rPr>
          <w:rFonts w:ascii="Book Antiqua" w:eastAsia="Book Antiqua" w:hAnsi="Book Antiqua" w:cs="Book Antiqua"/>
          <w:color w:val="000000"/>
        </w:rPr>
        <w:t xml:space="preserve"> N, Almer S; Swedish Hepatology study group, </w:t>
      </w:r>
      <w:proofErr w:type="spellStart"/>
      <w:r>
        <w:rPr>
          <w:rFonts w:ascii="Book Antiqua" w:eastAsia="Book Antiqua" w:hAnsi="Book Antiqua" w:cs="Book Antiqua"/>
          <w:color w:val="000000"/>
        </w:rPr>
        <w:t>SweHep</w:t>
      </w:r>
      <w:proofErr w:type="spellEnd"/>
      <w:r>
        <w:rPr>
          <w:rFonts w:ascii="Book Antiqua" w:eastAsia="Book Antiqua" w:hAnsi="Book Antiqua" w:cs="Book Antiqua"/>
          <w:color w:val="000000"/>
        </w:rPr>
        <w:t xml:space="preserve">. Mycophenolate mofetil treatment in patients with autoimmune hepatitis failing standard therapy with prednisolone and azathioprine.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253-257 [PMID: 30389427 DOI: 10.1016/j.dld.2018.10.004]</w:t>
      </w:r>
    </w:p>
    <w:p w14:paraId="61E77207" w14:textId="77777777" w:rsidR="00A77B3E" w:rsidRDefault="000D6A55">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Guyatt</w:t>
      </w:r>
      <w:proofErr w:type="spellEnd"/>
      <w:r>
        <w:rPr>
          <w:rFonts w:ascii="Book Antiqua" w:eastAsia="Book Antiqua" w:hAnsi="Book Antiqua" w:cs="Book Antiqua"/>
          <w:b/>
          <w:bCs/>
          <w:color w:val="000000"/>
        </w:rPr>
        <w:t xml:space="preserve"> GH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Oxman</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Vist</w:t>
      </w:r>
      <w:proofErr w:type="spellEnd"/>
      <w:r>
        <w:rPr>
          <w:rFonts w:ascii="Book Antiqua" w:eastAsia="Book Antiqua" w:hAnsi="Book Antiqua" w:cs="Book Antiqua"/>
          <w:color w:val="000000"/>
        </w:rPr>
        <w:t xml:space="preserve"> GE, Kunz R, Falck-</w:t>
      </w:r>
      <w:proofErr w:type="spellStart"/>
      <w:r>
        <w:rPr>
          <w:rFonts w:ascii="Book Antiqua" w:eastAsia="Book Antiqua" w:hAnsi="Book Antiqua" w:cs="Book Antiqua"/>
          <w:color w:val="000000"/>
        </w:rPr>
        <w:t>Ytter</w:t>
      </w:r>
      <w:proofErr w:type="spellEnd"/>
      <w:r>
        <w:rPr>
          <w:rFonts w:ascii="Book Antiqua" w:eastAsia="Book Antiqua" w:hAnsi="Book Antiqua" w:cs="Book Antiqua"/>
          <w:color w:val="000000"/>
        </w:rPr>
        <w:t xml:space="preserve"> Y, Alonso-</w:t>
      </w:r>
      <w:proofErr w:type="spellStart"/>
      <w:r>
        <w:rPr>
          <w:rFonts w:ascii="Book Antiqua" w:eastAsia="Book Antiqua" w:hAnsi="Book Antiqua" w:cs="Book Antiqua"/>
          <w:color w:val="000000"/>
        </w:rPr>
        <w:t>Coello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Schünemann</w:t>
      </w:r>
      <w:proofErr w:type="spellEnd"/>
      <w:r>
        <w:rPr>
          <w:rFonts w:ascii="Book Antiqua" w:eastAsia="Book Antiqua" w:hAnsi="Book Antiqua" w:cs="Book Antiqua"/>
          <w:color w:val="000000"/>
        </w:rPr>
        <w:t xml:space="preserve"> HJ; GRADE Working Group. GRADE: an emerging consensus on rating </w:t>
      </w:r>
      <w:r>
        <w:rPr>
          <w:rFonts w:ascii="Book Antiqua" w:eastAsia="Book Antiqua" w:hAnsi="Book Antiqua" w:cs="Book Antiqua"/>
          <w:color w:val="000000"/>
        </w:rPr>
        <w:lastRenderedPageBreak/>
        <w:t xml:space="preserve">quality of evidence and strength of recommendations. </w:t>
      </w:r>
      <w:r>
        <w:rPr>
          <w:rFonts w:ascii="Book Antiqua" w:eastAsia="Book Antiqua" w:hAnsi="Book Antiqua" w:cs="Book Antiqua"/>
          <w:i/>
          <w:iCs/>
          <w:color w:val="000000"/>
        </w:rPr>
        <w:t>BMJ</w:t>
      </w:r>
      <w:r>
        <w:rPr>
          <w:rFonts w:ascii="Book Antiqua" w:eastAsia="Book Antiqua" w:hAnsi="Book Antiqua" w:cs="Book Antiqua"/>
          <w:color w:val="000000"/>
        </w:rPr>
        <w:t xml:space="preserve"> 2008; </w:t>
      </w:r>
      <w:r>
        <w:rPr>
          <w:rFonts w:ascii="Book Antiqua" w:eastAsia="Book Antiqua" w:hAnsi="Book Antiqua" w:cs="Book Antiqua"/>
          <w:b/>
          <w:bCs/>
          <w:color w:val="000000"/>
        </w:rPr>
        <w:t>336</w:t>
      </w:r>
      <w:r>
        <w:rPr>
          <w:rFonts w:ascii="Book Antiqua" w:eastAsia="Book Antiqua" w:hAnsi="Book Antiqua" w:cs="Book Antiqua"/>
          <w:color w:val="000000"/>
        </w:rPr>
        <w:t>: 924-926 [PMID: 18436948 DOI: 10.1136/bmj.39489.470347.AD]</w:t>
      </w:r>
    </w:p>
    <w:p w14:paraId="070E4EF6" w14:textId="77777777" w:rsidR="00A77B3E" w:rsidRDefault="000D6A55">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Guyatt</w:t>
      </w:r>
      <w:proofErr w:type="spellEnd"/>
      <w:r>
        <w:rPr>
          <w:rFonts w:ascii="Book Antiqua" w:eastAsia="Book Antiqua" w:hAnsi="Book Antiqua" w:cs="Book Antiqua"/>
          <w:b/>
          <w:bCs/>
          <w:color w:val="000000"/>
        </w:rPr>
        <w:t xml:space="preserve"> GH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Oxman</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Vist</w:t>
      </w:r>
      <w:proofErr w:type="spellEnd"/>
      <w:r>
        <w:rPr>
          <w:rFonts w:ascii="Book Antiqua" w:eastAsia="Book Antiqua" w:hAnsi="Book Antiqua" w:cs="Book Antiqua"/>
          <w:color w:val="000000"/>
        </w:rPr>
        <w:t xml:space="preserve"> G, Kunz R, </w:t>
      </w:r>
      <w:proofErr w:type="spellStart"/>
      <w:r>
        <w:rPr>
          <w:rFonts w:ascii="Book Antiqua" w:eastAsia="Book Antiqua" w:hAnsi="Book Antiqua" w:cs="Book Antiqua"/>
          <w:color w:val="000000"/>
        </w:rPr>
        <w:t>Brozek</w:t>
      </w:r>
      <w:proofErr w:type="spellEnd"/>
      <w:r>
        <w:rPr>
          <w:rFonts w:ascii="Book Antiqua" w:eastAsia="Book Antiqua" w:hAnsi="Book Antiqua" w:cs="Book Antiqua"/>
          <w:color w:val="000000"/>
        </w:rPr>
        <w:t xml:space="preserve"> J, Alonso-</w:t>
      </w:r>
      <w:proofErr w:type="spellStart"/>
      <w:r>
        <w:rPr>
          <w:rFonts w:ascii="Book Antiqua" w:eastAsia="Book Antiqua" w:hAnsi="Book Antiqua" w:cs="Book Antiqua"/>
          <w:color w:val="000000"/>
        </w:rPr>
        <w:t>Coello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Montori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Akl</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Djulbegovic</w:t>
      </w:r>
      <w:proofErr w:type="spellEnd"/>
      <w:r>
        <w:rPr>
          <w:rFonts w:ascii="Book Antiqua" w:eastAsia="Book Antiqua" w:hAnsi="Book Antiqua" w:cs="Book Antiqua"/>
          <w:color w:val="000000"/>
        </w:rPr>
        <w:t xml:space="preserve"> B, Falck-</w:t>
      </w:r>
      <w:proofErr w:type="spellStart"/>
      <w:r>
        <w:rPr>
          <w:rFonts w:ascii="Book Antiqua" w:eastAsia="Book Antiqua" w:hAnsi="Book Antiqua" w:cs="Book Antiqua"/>
          <w:color w:val="000000"/>
        </w:rPr>
        <w:t>Ytter</w:t>
      </w:r>
      <w:proofErr w:type="spellEnd"/>
      <w:r>
        <w:rPr>
          <w:rFonts w:ascii="Book Antiqua" w:eastAsia="Book Antiqua" w:hAnsi="Book Antiqua" w:cs="Book Antiqua"/>
          <w:color w:val="000000"/>
        </w:rPr>
        <w:t xml:space="preserve"> Y, Norris SL, Williams JW Jr, Atkins D, </w:t>
      </w:r>
      <w:proofErr w:type="spellStart"/>
      <w:r>
        <w:rPr>
          <w:rFonts w:ascii="Book Antiqua" w:eastAsia="Book Antiqua" w:hAnsi="Book Antiqua" w:cs="Book Antiqua"/>
          <w:color w:val="000000"/>
        </w:rPr>
        <w:t>Meerpohl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Schünemann</w:t>
      </w:r>
      <w:proofErr w:type="spellEnd"/>
      <w:r>
        <w:rPr>
          <w:rFonts w:ascii="Book Antiqua" w:eastAsia="Book Antiqua" w:hAnsi="Book Antiqua" w:cs="Book Antiqua"/>
          <w:color w:val="000000"/>
        </w:rPr>
        <w:t xml:space="preserve"> HJ. GRADE guidelines: 4. Rating the quality of evidence--study limitations (risk of bias). </w:t>
      </w:r>
      <w:r>
        <w:rPr>
          <w:rFonts w:ascii="Book Antiqua" w:eastAsia="Book Antiqua" w:hAnsi="Book Antiqua" w:cs="Book Antiqua"/>
          <w:i/>
          <w:iCs/>
          <w:color w:val="000000"/>
        </w:rPr>
        <w:t>J Clin Epidemiol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64</w:t>
      </w:r>
      <w:r>
        <w:rPr>
          <w:rFonts w:ascii="Book Antiqua" w:eastAsia="Book Antiqua" w:hAnsi="Book Antiqua" w:cs="Book Antiqua"/>
          <w:color w:val="000000"/>
        </w:rPr>
        <w:t>: 407-415 [PMID: 21247734 DOI: 10.1016/j.jclinepi.2010.07.017]</w:t>
      </w:r>
    </w:p>
    <w:p w14:paraId="4AF7F3BB" w14:textId="77777777" w:rsidR="00A77B3E" w:rsidRDefault="000D6A55">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Stroup DF</w:t>
      </w:r>
      <w:r>
        <w:rPr>
          <w:rFonts w:ascii="Book Antiqua" w:eastAsia="Book Antiqua" w:hAnsi="Book Antiqua" w:cs="Book Antiqua"/>
          <w:color w:val="000000"/>
        </w:rPr>
        <w:t xml:space="preserve">, Berlin JA, Morton SC, Olkin I, Williamson GD, Rennie D, Moher D, Becker BJ, Sipe TA, Thacker SB. Meta-analysis of observational studies in epidemiology: a proposal for reporting. Meta-analysis Of Observational Studies in Epidemiology (MOOSE) group.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2000; </w:t>
      </w:r>
      <w:r>
        <w:rPr>
          <w:rFonts w:ascii="Book Antiqua" w:eastAsia="Book Antiqua" w:hAnsi="Book Antiqua" w:cs="Book Antiqua"/>
          <w:b/>
          <w:bCs/>
          <w:color w:val="000000"/>
        </w:rPr>
        <w:t>283</w:t>
      </w:r>
      <w:r>
        <w:rPr>
          <w:rFonts w:ascii="Book Antiqua" w:eastAsia="Book Antiqua" w:hAnsi="Book Antiqua" w:cs="Book Antiqua"/>
          <w:color w:val="000000"/>
        </w:rPr>
        <w:t>: 2008-2012 [PMID: 10789670 DOI: 10.1001/jama.283.15.2008]</w:t>
      </w:r>
    </w:p>
    <w:p w14:paraId="254E27E6" w14:textId="77777777" w:rsidR="00A77B3E" w:rsidRDefault="000D6A55">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Gregorio GV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Portmann</w:t>
      </w:r>
      <w:proofErr w:type="spellEnd"/>
      <w:r>
        <w:rPr>
          <w:rFonts w:ascii="Book Antiqua" w:eastAsia="Book Antiqua" w:hAnsi="Book Antiqua" w:cs="Book Antiqua"/>
          <w:color w:val="000000"/>
        </w:rPr>
        <w:t xml:space="preserve"> B, Reid F, Donaldson PT, Doherty DG, McCartney M, Mowat AP, </w:t>
      </w:r>
      <w:proofErr w:type="spellStart"/>
      <w:r>
        <w:rPr>
          <w:rFonts w:ascii="Book Antiqua" w:eastAsia="Book Antiqua" w:hAnsi="Book Antiqua" w:cs="Book Antiqua"/>
          <w:color w:val="000000"/>
        </w:rPr>
        <w:t>Vergani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Mieli-Vergani</w:t>
      </w:r>
      <w:proofErr w:type="spellEnd"/>
      <w:r>
        <w:rPr>
          <w:rFonts w:ascii="Book Antiqua" w:eastAsia="Book Antiqua" w:hAnsi="Book Antiqua" w:cs="Book Antiqua"/>
          <w:color w:val="000000"/>
        </w:rPr>
        <w:t xml:space="preserve"> G. Autoimmune hepatitis in childhood: a 20-year experience.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1997; </w:t>
      </w:r>
      <w:r>
        <w:rPr>
          <w:rFonts w:ascii="Book Antiqua" w:eastAsia="Book Antiqua" w:hAnsi="Book Antiqua" w:cs="Book Antiqua"/>
          <w:b/>
          <w:bCs/>
          <w:color w:val="000000"/>
        </w:rPr>
        <w:t>25</w:t>
      </w:r>
      <w:r>
        <w:rPr>
          <w:rFonts w:ascii="Book Antiqua" w:eastAsia="Book Antiqua" w:hAnsi="Book Antiqua" w:cs="Book Antiqua"/>
          <w:color w:val="000000"/>
        </w:rPr>
        <w:t>: 541-547 [PMID: 9049195 DOI: 10.1002/hep.510250308]</w:t>
      </w:r>
    </w:p>
    <w:p w14:paraId="425D69A9" w14:textId="77777777" w:rsidR="00A77B3E" w:rsidRDefault="000D6A55">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Floreani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Liberal R, </w:t>
      </w:r>
      <w:proofErr w:type="spellStart"/>
      <w:r>
        <w:rPr>
          <w:rFonts w:ascii="Book Antiqua" w:eastAsia="Book Antiqua" w:hAnsi="Book Antiqua" w:cs="Book Antiqua"/>
          <w:color w:val="000000"/>
        </w:rPr>
        <w:t>Vergani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Mieli-Vergani</w:t>
      </w:r>
      <w:proofErr w:type="spellEnd"/>
      <w:r>
        <w:rPr>
          <w:rFonts w:ascii="Book Antiqua" w:eastAsia="Book Antiqua" w:hAnsi="Book Antiqua" w:cs="Book Antiqua"/>
          <w:color w:val="000000"/>
        </w:rPr>
        <w:t xml:space="preserve"> G. Autoimmune hepatitis: Contrasts and comparisons in children and adults - a comprehensive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46</w:t>
      </w:r>
      <w:r>
        <w:rPr>
          <w:rFonts w:ascii="Book Antiqua" w:eastAsia="Book Antiqua" w:hAnsi="Book Antiqua" w:cs="Book Antiqua"/>
          <w:color w:val="000000"/>
        </w:rPr>
        <w:t>: 7-16 [PMID: 24035197 DOI: 10.1016/j.jaut.2013.08.004]</w:t>
      </w:r>
    </w:p>
    <w:p w14:paraId="34F9A9E1" w14:textId="63B210B5" w:rsidR="001C7495" w:rsidRPr="001C7495" w:rsidRDefault="001C7495">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Balshem</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Helfand M, </w:t>
      </w:r>
      <w:proofErr w:type="spellStart"/>
      <w:r>
        <w:rPr>
          <w:rFonts w:ascii="Book Antiqua" w:eastAsia="Book Antiqua" w:hAnsi="Book Antiqua" w:cs="Book Antiqua"/>
          <w:color w:val="000000"/>
        </w:rPr>
        <w:t>Schünemann</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Oxman</w:t>
      </w:r>
      <w:proofErr w:type="spellEnd"/>
      <w:r>
        <w:rPr>
          <w:rFonts w:ascii="Book Antiqua" w:eastAsia="Book Antiqua" w:hAnsi="Book Antiqua" w:cs="Book Antiqua"/>
          <w:color w:val="000000"/>
        </w:rPr>
        <w:t xml:space="preserve"> AD, Kunz R, </w:t>
      </w:r>
      <w:proofErr w:type="spellStart"/>
      <w:r>
        <w:rPr>
          <w:rFonts w:ascii="Book Antiqua" w:eastAsia="Book Antiqua" w:hAnsi="Book Antiqua" w:cs="Book Antiqua"/>
          <w:color w:val="000000"/>
        </w:rPr>
        <w:t>Brozek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Vist</w:t>
      </w:r>
      <w:proofErr w:type="spellEnd"/>
      <w:r>
        <w:rPr>
          <w:rFonts w:ascii="Book Antiqua" w:eastAsia="Book Antiqua" w:hAnsi="Book Antiqua" w:cs="Book Antiqua"/>
          <w:color w:val="000000"/>
        </w:rPr>
        <w:t xml:space="preserve"> GE, Falck-</w:t>
      </w:r>
      <w:proofErr w:type="spellStart"/>
      <w:r>
        <w:rPr>
          <w:rFonts w:ascii="Book Antiqua" w:eastAsia="Book Antiqua" w:hAnsi="Book Antiqua" w:cs="Book Antiqua"/>
          <w:color w:val="000000"/>
        </w:rPr>
        <w:t>Ytter</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Meerpohl</w:t>
      </w:r>
      <w:proofErr w:type="spellEnd"/>
      <w:r>
        <w:rPr>
          <w:rFonts w:ascii="Book Antiqua" w:eastAsia="Book Antiqua" w:hAnsi="Book Antiqua" w:cs="Book Antiqua"/>
          <w:color w:val="000000"/>
        </w:rPr>
        <w:t xml:space="preserve"> J, Norris S, </w:t>
      </w:r>
      <w:proofErr w:type="spellStart"/>
      <w:r>
        <w:rPr>
          <w:rFonts w:ascii="Book Antiqua" w:eastAsia="Book Antiqua" w:hAnsi="Book Antiqua" w:cs="Book Antiqua"/>
          <w:color w:val="000000"/>
        </w:rPr>
        <w:t>Guyatt</w:t>
      </w:r>
      <w:proofErr w:type="spellEnd"/>
      <w:r>
        <w:rPr>
          <w:rFonts w:ascii="Book Antiqua" w:eastAsia="Book Antiqua" w:hAnsi="Book Antiqua" w:cs="Book Antiqua"/>
          <w:color w:val="000000"/>
        </w:rPr>
        <w:t xml:space="preserve"> GH. GRADE guidelines: 3. Rating the quality of evidence. </w:t>
      </w:r>
      <w:r>
        <w:rPr>
          <w:rFonts w:ascii="Book Antiqua" w:eastAsia="Book Antiqua" w:hAnsi="Book Antiqua" w:cs="Book Antiqua"/>
          <w:i/>
          <w:iCs/>
          <w:color w:val="000000"/>
        </w:rPr>
        <w:t>J Clin Epidemiol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64</w:t>
      </w:r>
      <w:r>
        <w:rPr>
          <w:rFonts w:ascii="Book Antiqua" w:eastAsia="Book Antiqua" w:hAnsi="Book Antiqua" w:cs="Book Antiqua"/>
          <w:color w:val="000000"/>
        </w:rPr>
        <w:t>: 401-406 [PMID: 21208779 DOI: 10.1016/j.jclinepi.2010.07.015]</w:t>
      </w:r>
    </w:p>
    <w:p w14:paraId="14AB60B3" w14:textId="5778163B" w:rsidR="00A77B3E" w:rsidRDefault="000D6A55">
      <w:pPr>
        <w:spacing w:line="360" w:lineRule="auto"/>
        <w:jc w:val="both"/>
      </w:pPr>
      <w:r>
        <w:rPr>
          <w:rFonts w:ascii="Book Antiqua" w:eastAsia="Book Antiqua" w:hAnsi="Book Antiqua" w:cs="Book Antiqua"/>
          <w:color w:val="000000"/>
        </w:rPr>
        <w:t>2</w:t>
      </w:r>
      <w:r w:rsidR="001C7495">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Wan X</w:t>
      </w:r>
      <w:r>
        <w:rPr>
          <w:rFonts w:ascii="Book Antiqua" w:eastAsia="Book Antiqua" w:hAnsi="Book Antiqua" w:cs="Book Antiqua"/>
          <w:color w:val="000000"/>
        </w:rPr>
        <w:t xml:space="preserve">, Wang W, Liu J, Tong T. Estimating the sample mean and standard deviation from the sample size, median, range and/or interquartile range. </w:t>
      </w:r>
      <w:r>
        <w:rPr>
          <w:rFonts w:ascii="Book Antiqua" w:eastAsia="Book Antiqua" w:hAnsi="Book Antiqua" w:cs="Book Antiqua"/>
          <w:i/>
          <w:iCs/>
          <w:color w:val="000000"/>
        </w:rPr>
        <w:t xml:space="preserve">BMC Med Res </w:t>
      </w:r>
      <w:proofErr w:type="spellStart"/>
      <w:r>
        <w:rPr>
          <w:rFonts w:ascii="Book Antiqua" w:eastAsia="Book Antiqua" w:hAnsi="Book Antiqua" w:cs="Book Antiqua"/>
          <w:i/>
          <w:iCs/>
          <w:color w:val="000000"/>
        </w:rPr>
        <w:t>Methodol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135 [PMID: 25524443 DOI: 10.1186/1471-2288-14-135]</w:t>
      </w:r>
    </w:p>
    <w:p w14:paraId="0DA96083" w14:textId="29955B16" w:rsidR="00A77B3E" w:rsidRDefault="000D6A55">
      <w:pPr>
        <w:spacing w:line="360" w:lineRule="auto"/>
        <w:jc w:val="both"/>
      </w:pPr>
      <w:r>
        <w:rPr>
          <w:rFonts w:ascii="Book Antiqua" w:eastAsia="Book Antiqua" w:hAnsi="Book Antiqua" w:cs="Book Antiqua"/>
          <w:color w:val="000000"/>
        </w:rPr>
        <w:t>2</w:t>
      </w:r>
      <w:r w:rsidR="001C7495">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Higgins JP</w:t>
      </w:r>
      <w:r>
        <w:rPr>
          <w:rFonts w:ascii="Book Antiqua" w:eastAsia="Book Antiqua" w:hAnsi="Book Antiqua" w:cs="Book Antiqua"/>
          <w:color w:val="000000"/>
        </w:rPr>
        <w:t xml:space="preserve">, Thompson SG. Quantifying heterogeneity in a meta-analysis. </w:t>
      </w:r>
      <w:r>
        <w:rPr>
          <w:rFonts w:ascii="Book Antiqua" w:eastAsia="Book Antiqua" w:hAnsi="Book Antiqua" w:cs="Book Antiqua"/>
          <w:i/>
          <w:iCs/>
          <w:color w:val="000000"/>
        </w:rPr>
        <w:t>Stat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21</w:t>
      </w:r>
      <w:r>
        <w:rPr>
          <w:rFonts w:ascii="Book Antiqua" w:eastAsia="Book Antiqua" w:hAnsi="Book Antiqua" w:cs="Book Antiqua"/>
          <w:color w:val="000000"/>
        </w:rPr>
        <w:t>: 1539-1558 [PMID: 12111919 DOI: 10.1002/sim.1186]</w:t>
      </w:r>
    </w:p>
    <w:p w14:paraId="35E83EE2" w14:textId="234C7474" w:rsidR="00A77B3E" w:rsidRDefault="000D6A55">
      <w:pPr>
        <w:spacing w:line="360" w:lineRule="auto"/>
        <w:jc w:val="both"/>
      </w:pPr>
      <w:r>
        <w:rPr>
          <w:rFonts w:ascii="Book Antiqua" w:eastAsia="Book Antiqua" w:hAnsi="Book Antiqua" w:cs="Book Antiqua"/>
          <w:color w:val="000000"/>
        </w:rPr>
        <w:t>2</w:t>
      </w:r>
      <w:r w:rsidR="001C7495">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Egger M</w:t>
      </w:r>
      <w:r>
        <w:rPr>
          <w:rFonts w:ascii="Book Antiqua" w:eastAsia="Book Antiqua" w:hAnsi="Book Antiqua" w:cs="Book Antiqua"/>
          <w:color w:val="000000"/>
        </w:rPr>
        <w:t xml:space="preserve">, Smith GD. Misleading meta-analysis. </w:t>
      </w:r>
      <w:r>
        <w:rPr>
          <w:rFonts w:ascii="Book Antiqua" w:eastAsia="Book Antiqua" w:hAnsi="Book Antiqua" w:cs="Book Antiqua"/>
          <w:i/>
          <w:iCs/>
          <w:color w:val="000000"/>
        </w:rPr>
        <w:t>BMJ</w:t>
      </w:r>
      <w:r>
        <w:rPr>
          <w:rFonts w:ascii="Book Antiqua" w:eastAsia="Book Antiqua" w:hAnsi="Book Antiqua" w:cs="Book Antiqua"/>
          <w:color w:val="000000"/>
        </w:rPr>
        <w:t xml:space="preserve"> 1995; </w:t>
      </w:r>
      <w:r>
        <w:rPr>
          <w:rFonts w:ascii="Book Antiqua" w:eastAsia="Book Antiqua" w:hAnsi="Book Antiqua" w:cs="Book Antiqua"/>
          <w:b/>
          <w:bCs/>
          <w:color w:val="000000"/>
        </w:rPr>
        <w:t>311</w:t>
      </w:r>
      <w:r>
        <w:rPr>
          <w:rFonts w:ascii="Book Antiqua" w:eastAsia="Book Antiqua" w:hAnsi="Book Antiqua" w:cs="Book Antiqua"/>
          <w:color w:val="000000"/>
        </w:rPr>
        <w:t>: 753-754 [PMID: 7549720 DOI: 10.1136/bmj.311.7007.753c]</w:t>
      </w:r>
    </w:p>
    <w:p w14:paraId="29C12DE8" w14:textId="33F04060" w:rsidR="00A77B3E" w:rsidRDefault="000D6A55">
      <w:pPr>
        <w:spacing w:line="360" w:lineRule="auto"/>
        <w:jc w:val="both"/>
      </w:pPr>
      <w:r w:rsidRPr="00922DFA">
        <w:rPr>
          <w:rFonts w:ascii="Book Antiqua" w:eastAsia="Book Antiqua" w:hAnsi="Book Antiqua" w:cs="Book Antiqua"/>
          <w:color w:val="000000"/>
          <w:highlight w:val="yellow"/>
        </w:rPr>
        <w:lastRenderedPageBreak/>
        <w:t>2</w:t>
      </w:r>
      <w:r w:rsidR="001C7495" w:rsidRPr="00922DFA">
        <w:rPr>
          <w:rFonts w:ascii="Book Antiqua" w:eastAsia="Book Antiqua" w:hAnsi="Book Antiqua" w:cs="Book Antiqua"/>
          <w:color w:val="000000"/>
          <w:highlight w:val="yellow"/>
        </w:rPr>
        <w:t>8</w:t>
      </w:r>
      <w:r w:rsidRPr="00922DFA">
        <w:rPr>
          <w:rFonts w:ascii="Book Antiqua" w:eastAsia="Book Antiqua" w:hAnsi="Book Antiqua" w:cs="Book Antiqua"/>
          <w:color w:val="000000"/>
          <w:highlight w:val="yellow"/>
        </w:rPr>
        <w:t xml:space="preserve"> </w:t>
      </w:r>
      <w:proofErr w:type="spellStart"/>
      <w:r w:rsidRPr="00922DFA">
        <w:rPr>
          <w:rFonts w:ascii="Book Antiqua" w:eastAsia="Book Antiqua" w:hAnsi="Book Antiqua" w:cs="Book Antiqua"/>
          <w:b/>
          <w:bCs/>
          <w:color w:val="000000"/>
          <w:highlight w:val="yellow"/>
        </w:rPr>
        <w:t>Borenstein</w:t>
      </w:r>
      <w:proofErr w:type="spellEnd"/>
      <w:r w:rsidRPr="00922DFA">
        <w:rPr>
          <w:rFonts w:ascii="Book Antiqua" w:eastAsia="Book Antiqua" w:hAnsi="Book Antiqua" w:cs="Book Antiqua"/>
          <w:b/>
          <w:bCs/>
          <w:color w:val="000000"/>
          <w:highlight w:val="yellow"/>
        </w:rPr>
        <w:t xml:space="preserve"> M,</w:t>
      </w:r>
      <w:r w:rsidRPr="00922DFA">
        <w:rPr>
          <w:rFonts w:ascii="Book Antiqua" w:eastAsia="Book Antiqua" w:hAnsi="Book Antiqua" w:cs="Book Antiqua"/>
          <w:color w:val="000000"/>
          <w:highlight w:val="yellow"/>
        </w:rPr>
        <w:t xml:space="preserve"> Hedges L, Higgins J, Rothstein H. Comprehensive meta-analysis version 3. Englewood, NJ, USA: </w:t>
      </w:r>
      <w:proofErr w:type="spellStart"/>
      <w:r w:rsidRPr="00922DFA">
        <w:rPr>
          <w:rFonts w:ascii="Book Antiqua" w:eastAsia="Book Antiqua" w:hAnsi="Book Antiqua" w:cs="Book Antiqua"/>
          <w:color w:val="000000"/>
          <w:highlight w:val="yellow"/>
        </w:rPr>
        <w:t>Biostat</w:t>
      </w:r>
      <w:proofErr w:type="spellEnd"/>
      <w:r w:rsidRPr="00922DFA">
        <w:rPr>
          <w:rFonts w:ascii="Book Antiqua" w:eastAsia="Book Antiqua" w:hAnsi="Book Antiqua" w:cs="Book Antiqua"/>
          <w:color w:val="000000"/>
          <w:highlight w:val="yellow"/>
        </w:rPr>
        <w:t xml:space="preserve"> Inc., 2013;</w:t>
      </w:r>
      <w:r w:rsidR="00FB61FF" w:rsidRPr="00922DFA">
        <w:rPr>
          <w:rFonts w:ascii="Book Antiqua" w:eastAsia="Book Antiqua" w:hAnsi="Book Antiqua" w:cs="Book Antiqua"/>
          <w:color w:val="000000"/>
          <w:highlight w:val="yellow"/>
        </w:rPr>
        <w:t xml:space="preserve"> </w:t>
      </w:r>
      <w:r w:rsidRPr="00922DFA">
        <w:rPr>
          <w:rFonts w:ascii="Book Antiqua" w:eastAsia="Book Antiqua" w:hAnsi="Book Antiqua" w:cs="Book Antiqua"/>
          <w:color w:val="000000"/>
          <w:highlight w:val="yellow"/>
        </w:rPr>
        <w:t>104.</w:t>
      </w:r>
      <w:r w:rsidR="00FB61FF" w:rsidRPr="00922DFA">
        <w:rPr>
          <w:rFonts w:ascii="Book Antiqua" w:eastAsia="Book Antiqua" w:hAnsi="Book Antiqua" w:cs="Book Antiqua"/>
          <w:color w:val="000000"/>
          <w:highlight w:val="yellow"/>
        </w:rPr>
        <w:t xml:space="preserve"> </w:t>
      </w:r>
      <w:r w:rsidR="00FB61FF" w:rsidRPr="00922DFA">
        <w:rPr>
          <w:rFonts w:ascii="Book Antiqua" w:eastAsia="宋体" w:hAnsi="Book Antiqua" w:cs="Arial"/>
          <w:bCs/>
          <w:highlight w:val="yellow"/>
        </w:rPr>
        <w:t xml:space="preserve">Available from: </w:t>
      </w:r>
      <w:hyperlink r:id="rId9" w:history="1">
        <w:r w:rsidR="000A7A04" w:rsidRPr="00D356F4">
          <w:rPr>
            <w:rStyle w:val="aa"/>
            <w:rFonts w:ascii="Book Antiqua" w:eastAsia="宋体" w:hAnsi="Book Antiqua" w:cs="Arial"/>
            <w:bCs/>
            <w:highlight w:val="yellow"/>
          </w:rPr>
          <w:t>https://www.meta-analysis.com/downloads/Meta-Analysis Manual V3.pdf</w:t>
        </w:r>
      </w:hyperlink>
      <w:r w:rsidR="000A7A04">
        <w:rPr>
          <w:rFonts w:ascii="Book Antiqua" w:eastAsia="宋体" w:hAnsi="Book Antiqua" w:cs="Arial"/>
          <w:bCs/>
        </w:rPr>
        <w:t xml:space="preserve"> </w:t>
      </w:r>
    </w:p>
    <w:p w14:paraId="063B9780" w14:textId="77777777" w:rsidR="00A77B3E" w:rsidRDefault="000D6A55">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Zolfino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Heneghan MA, Norris S, Harrison PM, </w:t>
      </w:r>
      <w:proofErr w:type="spellStart"/>
      <w:r>
        <w:rPr>
          <w:rFonts w:ascii="Book Antiqua" w:eastAsia="Book Antiqua" w:hAnsi="Book Antiqua" w:cs="Book Antiqua"/>
          <w:color w:val="000000"/>
        </w:rPr>
        <w:t>Portmann</w:t>
      </w:r>
      <w:proofErr w:type="spellEnd"/>
      <w:r>
        <w:rPr>
          <w:rFonts w:ascii="Book Antiqua" w:eastAsia="Book Antiqua" w:hAnsi="Book Antiqua" w:cs="Book Antiqua"/>
          <w:color w:val="000000"/>
        </w:rPr>
        <w:t xml:space="preserve"> BC, McFarlane IG. Characteristics of autoimmune hepatitis in patients who are not of European Caucasoid ethnic origin. </w:t>
      </w:r>
      <w:r>
        <w:rPr>
          <w:rFonts w:ascii="Book Antiqua" w:eastAsia="Book Antiqua" w:hAnsi="Book Antiqua" w:cs="Book Antiqua"/>
          <w:i/>
          <w:iCs/>
          <w:color w:val="000000"/>
        </w:rPr>
        <w:t>Gut</w:t>
      </w:r>
      <w:r>
        <w:rPr>
          <w:rFonts w:ascii="Book Antiqua" w:eastAsia="Book Antiqua" w:hAnsi="Book Antiqua" w:cs="Book Antiqua"/>
          <w:color w:val="000000"/>
        </w:rPr>
        <w:t xml:space="preserve"> 2002; </w:t>
      </w:r>
      <w:r>
        <w:rPr>
          <w:rFonts w:ascii="Book Antiqua" w:eastAsia="Book Antiqua" w:hAnsi="Book Antiqua" w:cs="Book Antiqua"/>
          <w:b/>
          <w:bCs/>
          <w:color w:val="000000"/>
        </w:rPr>
        <w:t>50</w:t>
      </w:r>
      <w:r>
        <w:rPr>
          <w:rFonts w:ascii="Book Antiqua" w:eastAsia="Book Antiqua" w:hAnsi="Book Antiqua" w:cs="Book Antiqua"/>
          <w:color w:val="000000"/>
        </w:rPr>
        <w:t>: 713-717 [PMID: 11950822 DOI: 10.1136/gut.50.5.713]</w:t>
      </w:r>
    </w:p>
    <w:p w14:paraId="372FADFE" w14:textId="77777777" w:rsidR="00A77B3E" w:rsidRDefault="000D6A55">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Aqel</w:t>
      </w:r>
      <w:proofErr w:type="spellEnd"/>
      <w:r>
        <w:rPr>
          <w:rFonts w:ascii="Book Antiqua" w:eastAsia="Book Antiqua" w:hAnsi="Book Antiqua" w:cs="Book Antiqua"/>
          <w:b/>
          <w:bCs/>
          <w:color w:val="000000"/>
        </w:rPr>
        <w:t xml:space="preserve"> BA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Machicao</w:t>
      </w:r>
      <w:proofErr w:type="spellEnd"/>
      <w:r>
        <w:rPr>
          <w:rFonts w:ascii="Book Antiqua" w:eastAsia="Book Antiqua" w:hAnsi="Book Antiqua" w:cs="Book Antiqua"/>
          <w:color w:val="000000"/>
        </w:rPr>
        <w:t xml:space="preserve"> V, Rosser B, Satyanarayana R, </w:t>
      </w:r>
      <w:proofErr w:type="spellStart"/>
      <w:r>
        <w:rPr>
          <w:rFonts w:ascii="Book Antiqua" w:eastAsia="Book Antiqua" w:hAnsi="Book Antiqua" w:cs="Book Antiqua"/>
          <w:color w:val="000000"/>
        </w:rPr>
        <w:t>Harnois</w:t>
      </w:r>
      <w:proofErr w:type="spellEnd"/>
      <w:r>
        <w:rPr>
          <w:rFonts w:ascii="Book Antiqua" w:eastAsia="Book Antiqua" w:hAnsi="Book Antiqua" w:cs="Book Antiqua"/>
          <w:color w:val="000000"/>
        </w:rPr>
        <w:t xml:space="preserve"> DM, Dickson RC. Efficacy of tacrolimus in the treatment of steroid refractory autoimmune hepatitis.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2004; </w:t>
      </w:r>
      <w:r>
        <w:rPr>
          <w:rFonts w:ascii="Book Antiqua" w:eastAsia="Book Antiqua" w:hAnsi="Book Antiqua" w:cs="Book Antiqua"/>
          <w:b/>
          <w:bCs/>
          <w:color w:val="000000"/>
        </w:rPr>
        <w:t>38</w:t>
      </w:r>
      <w:r>
        <w:rPr>
          <w:rFonts w:ascii="Book Antiqua" w:eastAsia="Book Antiqua" w:hAnsi="Book Antiqua" w:cs="Book Antiqua"/>
          <w:color w:val="000000"/>
        </w:rPr>
        <w:t>: 805-809 [PMID: 15365410 DOI: 10.1097/01.mcg.0000139050.67178.be]</w:t>
      </w:r>
    </w:p>
    <w:p w14:paraId="3B32AE5C" w14:textId="77777777" w:rsidR="00A77B3E" w:rsidRDefault="000D6A55">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Chatur</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Ramji A, Bain VG, Ma MM, Marotta PJ, Ghent CN, Lilly LB, Heathcote EJ, Deschenes M, Lee SS, </w:t>
      </w:r>
      <w:proofErr w:type="spellStart"/>
      <w:r>
        <w:rPr>
          <w:rFonts w:ascii="Book Antiqua" w:eastAsia="Book Antiqua" w:hAnsi="Book Antiqua" w:cs="Book Antiqua"/>
          <w:color w:val="000000"/>
        </w:rPr>
        <w:t>Steinbrecher</w:t>
      </w:r>
      <w:proofErr w:type="spellEnd"/>
      <w:r>
        <w:rPr>
          <w:rFonts w:ascii="Book Antiqua" w:eastAsia="Book Antiqua" w:hAnsi="Book Antiqua" w:cs="Book Antiqua"/>
          <w:color w:val="000000"/>
        </w:rPr>
        <w:t xml:space="preserve"> UP, Yoshida EM. Transplant immunosuppressive agents in non-transplant chronic autoimmune hepatitis: the Canadian association for the study of liver (CASL) experience with mycophenolate mofetil and tacrolimus.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2005; </w:t>
      </w:r>
      <w:r>
        <w:rPr>
          <w:rFonts w:ascii="Book Antiqua" w:eastAsia="Book Antiqua" w:hAnsi="Book Antiqua" w:cs="Book Antiqua"/>
          <w:b/>
          <w:bCs/>
          <w:color w:val="000000"/>
        </w:rPr>
        <w:t>25</w:t>
      </w:r>
      <w:r>
        <w:rPr>
          <w:rFonts w:ascii="Book Antiqua" w:eastAsia="Book Antiqua" w:hAnsi="Book Antiqua" w:cs="Book Antiqua"/>
          <w:color w:val="000000"/>
        </w:rPr>
        <w:t>: 723-727 [PMID: 15998421 DOI: 10.1111/j.1478-3231.2005.01107.x]</w:t>
      </w:r>
    </w:p>
    <w:p w14:paraId="2257C508" w14:textId="77777777" w:rsidR="00A77B3E" w:rsidRDefault="000D6A55">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Larsen FS</w:t>
      </w:r>
      <w:r>
        <w:rPr>
          <w:rFonts w:ascii="Book Antiqua" w:eastAsia="Book Antiqua" w:hAnsi="Book Antiqua" w:cs="Book Antiqua"/>
          <w:color w:val="000000"/>
        </w:rPr>
        <w:t xml:space="preserve">, Vainer B, </w:t>
      </w:r>
      <w:proofErr w:type="spellStart"/>
      <w:r>
        <w:rPr>
          <w:rFonts w:ascii="Book Antiqua" w:eastAsia="Book Antiqua" w:hAnsi="Book Antiqua" w:cs="Book Antiqua"/>
          <w:color w:val="000000"/>
        </w:rPr>
        <w:t>Eefsen</w:t>
      </w:r>
      <w:proofErr w:type="spellEnd"/>
      <w:r>
        <w:rPr>
          <w:rFonts w:ascii="Book Antiqua" w:eastAsia="Book Antiqua" w:hAnsi="Book Antiqua" w:cs="Book Antiqua"/>
          <w:color w:val="000000"/>
        </w:rPr>
        <w:t xml:space="preserve"> M, Bjerring PN, Adel Hansen B. Low-dose tacrolimus ameliorates liver inflammation and fibrosis in steroid refractory autoimmune hepatitis.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3232-3236 [PMID: 17589903 DOI: 10.3748/wjg.v13.i23.3232]</w:t>
      </w:r>
    </w:p>
    <w:p w14:paraId="1C2E93EF" w14:textId="77777777" w:rsidR="00A77B3E" w:rsidRDefault="000D6A55">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Yeoman AD</w:t>
      </w:r>
      <w:r>
        <w:rPr>
          <w:rFonts w:ascii="Book Antiqua" w:eastAsia="Book Antiqua" w:hAnsi="Book Antiqua" w:cs="Book Antiqua"/>
          <w:color w:val="000000"/>
        </w:rPr>
        <w:t xml:space="preserve">, Westbrook RH, Zen Y, </w:t>
      </w:r>
      <w:proofErr w:type="spellStart"/>
      <w:r>
        <w:rPr>
          <w:rFonts w:ascii="Book Antiqua" w:eastAsia="Book Antiqua" w:hAnsi="Book Antiqua" w:cs="Book Antiqua"/>
          <w:color w:val="000000"/>
        </w:rPr>
        <w:t>Maninchedda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Portmann</w:t>
      </w:r>
      <w:proofErr w:type="spellEnd"/>
      <w:r>
        <w:rPr>
          <w:rFonts w:ascii="Book Antiqua" w:eastAsia="Book Antiqua" w:hAnsi="Book Antiqua" w:cs="Book Antiqua"/>
          <w:color w:val="000000"/>
        </w:rPr>
        <w:t xml:space="preserve"> BC, Devlin J, O'Grady JG, Harrison PM, Heneghan MA. Early predictors of corticosteroid treatment failure in icteric presentations of autoimmune hepatitis.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53</w:t>
      </w:r>
      <w:r>
        <w:rPr>
          <w:rFonts w:ascii="Book Antiqua" w:eastAsia="Book Antiqua" w:hAnsi="Book Antiqua" w:cs="Book Antiqua"/>
          <w:color w:val="000000"/>
        </w:rPr>
        <w:t>: 926-934 [PMID: 21374663 DOI: 10.1002/hep.24141]</w:t>
      </w:r>
    </w:p>
    <w:p w14:paraId="41EDEB00" w14:textId="77777777" w:rsidR="00A77B3E" w:rsidRDefault="000D6A55">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Tannous</w:t>
      </w:r>
      <w:proofErr w:type="spellEnd"/>
      <w:r>
        <w:rPr>
          <w:rFonts w:ascii="Book Antiqua" w:eastAsia="Book Antiqua" w:hAnsi="Book Antiqua" w:cs="Book Antiqua"/>
          <w:b/>
          <w:bCs/>
          <w:color w:val="000000"/>
        </w:rPr>
        <w:t xml:space="preserve"> MM</w:t>
      </w:r>
      <w:r>
        <w:rPr>
          <w:rFonts w:ascii="Book Antiqua" w:eastAsia="Book Antiqua" w:hAnsi="Book Antiqua" w:cs="Book Antiqua"/>
          <w:color w:val="000000"/>
        </w:rPr>
        <w:t xml:space="preserve">, Cheng J, </w:t>
      </w:r>
      <w:proofErr w:type="spellStart"/>
      <w:r>
        <w:rPr>
          <w:rFonts w:ascii="Book Antiqua" w:eastAsia="Book Antiqua" w:hAnsi="Book Antiqua" w:cs="Book Antiqua"/>
          <w:color w:val="000000"/>
        </w:rPr>
        <w:t>Muniyappa</w:t>
      </w:r>
      <w:proofErr w:type="spellEnd"/>
      <w:r>
        <w:rPr>
          <w:rFonts w:ascii="Book Antiqua" w:eastAsia="Book Antiqua" w:hAnsi="Book Antiqua" w:cs="Book Antiqua"/>
          <w:color w:val="000000"/>
        </w:rPr>
        <w:t xml:space="preserve"> K, Farooq I, Bharara A, </w:t>
      </w:r>
      <w:proofErr w:type="spellStart"/>
      <w:r>
        <w:rPr>
          <w:rFonts w:ascii="Book Antiqua" w:eastAsia="Book Antiqua" w:hAnsi="Book Antiqua" w:cs="Book Antiqua"/>
          <w:color w:val="000000"/>
        </w:rPr>
        <w:t>Kappus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Luketic</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Stravtiz</w:t>
      </w:r>
      <w:proofErr w:type="spellEnd"/>
      <w:r>
        <w:rPr>
          <w:rFonts w:ascii="Book Antiqua" w:eastAsia="Book Antiqua" w:hAnsi="Book Antiqua" w:cs="Book Antiqua"/>
          <w:color w:val="000000"/>
        </w:rPr>
        <w:t xml:space="preserve"> RT, Fuchs M, </w:t>
      </w:r>
      <w:proofErr w:type="spellStart"/>
      <w:r>
        <w:rPr>
          <w:rFonts w:ascii="Book Antiqua" w:eastAsia="Book Antiqua" w:hAnsi="Book Antiqua" w:cs="Book Antiqua"/>
          <w:color w:val="000000"/>
        </w:rPr>
        <w:t>Puri</w:t>
      </w:r>
      <w:proofErr w:type="spellEnd"/>
      <w:r>
        <w:rPr>
          <w:rFonts w:ascii="Book Antiqua" w:eastAsia="Book Antiqua" w:hAnsi="Book Antiqua" w:cs="Book Antiqua"/>
          <w:color w:val="000000"/>
        </w:rPr>
        <w:t xml:space="preserve"> P, Sanyal A, Sterling R. Use of tacrolimus in the treatment of autoimmune hepatitis: a single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experience.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34</w:t>
      </w:r>
      <w:r>
        <w:rPr>
          <w:rFonts w:ascii="Book Antiqua" w:eastAsia="Book Antiqua" w:hAnsi="Book Antiqua" w:cs="Book Antiqua"/>
          <w:color w:val="000000"/>
        </w:rPr>
        <w:t>: 405-407 [PMID: 21726256 DOI: 10.1111/j.1365-2036.2011.04749.x]</w:t>
      </w:r>
    </w:p>
    <w:p w14:paraId="5F5D3B29" w14:textId="77777777" w:rsidR="00A77B3E" w:rsidRDefault="000D6A55">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Than NN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Wiegard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Weiler-Normann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Füssel</w:t>
      </w:r>
      <w:proofErr w:type="spellEnd"/>
      <w:r>
        <w:rPr>
          <w:rFonts w:ascii="Book Antiqua" w:eastAsia="Book Antiqua" w:hAnsi="Book Antiqua" w:cs="Book Antiqua"/>
          <w:color w:val="000000"/>
        </w:rPr>
        <w:t xml:space="preserve"> K, Mann J, Hodson J, Hirschfield GM, Lohse AW, Adams DH, Schramm C, </w:t>
      </w:r>
      <w:proofErr w:type="spellStart"/>
      <w:r>
        <w:rPr>
          <w:rFonts w:ascii="Book Antiqua" w:eastAsia="Book Antiqua" w:hAnsi="Book Antiqua" w:cs="Book Antiqua"/>
          <w:color w:val="000000"/>
        </w:rPr>
        <w:t>Oo</w:t>
      </w:r>
      <w:proofErr w:type="spellEnd"/>
      <w:r>
        <w:rPr>
          <w:rFonts w:ascii="Book Antiqua" w:eastAsia="Book Antiqua" w:hAnsi="Book Antiqua" w:cs="Book Antiqua"/>
          <w:color w:val="000000"/>
        </w:rPr>
        <w:t xml:space="preserve"> YH. Long-term follow-up of patients with </w:t>
      </w:r>
      <w:r>
        <w:rPr>
          <w:rFonts w:ascii="Book Antiqua" w:eastAsia="Book Antiqua" w:hAnsi="Book Antiqua" w:cs="Book Antiqua"/>
          <w:color w:val="000000"/>
        </w:rPr>
        <w:lastRenderedPageBreak/>
        <w:t xml:space="preserve">difficult to treat type 1 autoimmune hepatitis on Tacrolimus therapy.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51</w:t>
      </w:r>
      <w:r>
        <w:rPr>
          <w:rFonts w:ascii="Book Antiqua" w:eastAsia="Book Antiqua" w:hAnsi="Book Antiqua" w:cs="Book Antiqua"/>
          <w:color w:val="000000"/>
        </w:rPr>
        <w:t>: 329-336 [PMID: 26458216 DOI: 10.3109/00365521.2015.1095351]</w:t>
      </w:r>
    </w:p>
    <w:p w14:paraId="16B37DC5" w14:textId="6D8BB887" w:rsidR="00A77B3E" w:rsidRDefault="000D6A55">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Efe</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Hagström</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Ytting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Bhanji</w:t>
      </w:r>
      <w:proofErr w:type="spellEnd"/>
      <w:r>
        <w:rPr>
          <w:rFonts w:ascii="Book Antiqua" w:eastAsia="Book Antiqua" w:hAnsi="Book Antiqua" w:cs="Book Antiqua"/>
          <w:color w:val="000000"/>
        </w:rPr>
        <w:t xml:space="preserve"> RA, Müller NF, Wang Q, </w:t>
      </w:r>
      <w:proofErr w:type="spellStart"/>
      <w:r>
        <w:rPr>
          <w:rFonts w:ascii="Book Antiqua" w:eastAsia="Book Antiqua" w:hAnsi="Book Antiqua" w:cs="Book Antiqua"/>
          <w:color w:val="000000"/>
        </w:rPr>
        <w:t>Purnak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Muratori</w:t>
      </w:r>
      <w:proofErr w:type="spellEnd"/>
      <w:r>
        <w:rPr>
          <w:rFonts w:ascii="Book Antiqua" w:eastAsia="Book Antiqua" w:hAnsi="Book Antiqua" w:cs="Book Antiqua"/>
          <w:color w:val="000000"/>
        </w:rPr>
        <w:t xml:space="preserve"> L, Werner M, </w:t>
      </w:r>
      <w:proofErr w:type="spellStart"/>
      <w:r>
        <w:rPr>
          <w:rFonts w:ascii="Book Antiqua" w:eastAsia="Book Antiqua" w:hAnsi="Book Antiqua" w:cs="Book Antiqua"/>
          <w:color w:val="000000"/>
        </w:rPr>
        <w:t>Marschall</w:t>
      </w:r>
      <w:proofErr w:type="spellEnd"/>
      <w:r>
        <w:rPr>
          <w:rFonts w:ascii="Book Antiqua" w:eastAsia="Book Antiqua" w:hAnsi="Book Antiqua" w:cs="Book Antiqua"/>
          <w:color w:val="000000"/>
        </w:rPr>
        <w:t xml:space="preserve"> HU, </w:t>
      </w:r>
      <w:proofErr w:type="spellStart"/>
      <w:r>
        <w:rPr>
          <w:rFonts w:ascii="Book Antiqua" w:eastAsia="Book Antiqua" w:hAnsi="Book Antiqua" w:cs="Book Antiqua"/>
          <w:color w:val="000000"/>
        </w:rPr>
        <w:t>Muratori</w:t>
      </w:r>
      <w:proofErr w:type="spellEnd"/>
      <w:r>
        <w:rPr>
          <w:rFonts w:ascii="Book Antiqua" w:eastAsia="Book Antiqua" w:hAnsi="Book Antiqua" w:cs="Book Antiqua"/>
          <w:color w:val="000000"/>
        </w:rPr>
        <w:t xml:space="preserve"> P, </w:t>
      </w:r>
      <w:proofErr w:type="spellStart"/>
      <w:r w:rsidR="00857EC2" w:rsidRPr="00857EC2">
        <w:rPr>
          <w:rFonts w:ascii="Book Antiqua" w:eastAsia="Book Antiqua" w:hAnsi="Book Antiqua" w:cs="Book Antiqua"/>
          <w:color w:val="000000"/>
        </w:rPr>
        <w:t>Gunşar</w:t>
      </w:r>
      <w:proofErr w:type="spellEnd"/>
      <w:r w:rsidR="00857EC2" w:rsidRPr="00857EC2">
        <w:rPr>
          <w:rFonts w:ascii="Book Antiqua" w:eastAsia="Book Antiqua" w:hAnsi="Book Antiqua" w:cs="Book Antiqua"/>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Klintman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Parés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Heurgué-Berlot</w:t>
      </w:r>
      <w:proofErr w:type="spellEnd"/>
      <w:r>
        <w:rPr>
          <w:rFonts w:ascii="Book Antiqua" w:eastAsia="Book Antiqua" w:hAnsi="Book Antiqua" w:cs="Book Antiqua"/>
          <w:color w:val="000000"/>
        </w:rPr>
        <w:t xml:space="preserve"> A, Schiano TD, Cengiz M, May-</w:t>
      </w:r>
      <w:proofErr w:type="spellStart"/>
      <w:r>
        <w:rPr>
          <w:rFonts w:ascii="Book Antiqua" w:eastAsia="Book Antiqua" w:hAnsi="Book Antiqua" w:cs="Book Antiqua"/>
          <w:color w:val="000000"/>
        </w:rPr>
        <w:t>Sien</w:t>
      </w:r>
      <w:proofErr w:type="spellEnd"/>
      <w:r>
        <w:rPr>
          <w:rFonts w:ascii="Book Antiqua" w:eastAsia="Book Antiqua" w:hAnsi="Book Antiqua" w:cs="Book Antiqua"/>
          <w:color w:val="000000"/>
        </w:rPr>
        <w:t xml:space="preserve"> Tana M, Ma X, Montano-</w:t>
      </w:r>
      <w:proofErr w:type="spellStart"/>
      <w:r>
        <w:rPr>
          <w:rFonts w:ascii="Book Antiqua" w:eastAsia="Book Antiqua" w:hAnsi="Book Antiqua" w:cs="Book Antiqua"/>
          <w:color w:val="000000"/>
        </w:rPr>
        <w:t>Loza</w:t>
      </w:r>
      <w:proofErr w:type="spellEnd"/>
      <w:r>
        <w:rPr>
          <w:rFonts w:ascii="Book Antiqua" w:eastAsia="Book Antiqua" w:hAnsi="Book Antiqua" w:cs="Book Antiqua"/>
          <w:color w:val="000000"/>
        </w:rPr>
        <w:t xml:space="preserve"> AJ, Berg T, Verma S, Larsen FS, </w:t>
      </w:r>
      <w:proofErr w:type="spellStart"/>
      <w:r>
        <w:rPr>
          <w:rFonts w:ascii="Book Antiqua" w:eastAsia="Book Antiqua" w:hAnsi="Book Antiqua" w:cs="Book Antiqua"/>
          <w:color w:val="000000"/>
        </w:rPr>
        <w:t>Ozaslan</w:t>
      </w:r>
      <w:proofErr w:type="spellEnd"/>
      <w:r>
        <w:rPr>
          <w:rFonts w:ascii="Book Antiqua" w:eastAsia="Book Antiqua" w:hAnsi="Book Antiqua" w:cs="Book Antiqua"/>
          <w:color w:val="000000"/>
        </w:rPr>
        <w:t xml:space="preserve"> E, Heneghan MA, Yoshida EM, </w:t>
      </w:r>
      <w:proofErr w:type="spellStart"/>
      <w:r>
        <w:rPr>
          <w:rFonts w:ascii="Book Antiqua" w:eastAsia="Book Antiqua" w:hAnsi="Book Antiqua" w:cs="Book Antiqua"/>
          <w:color w:val="000000"/>
        </w:rPr>
        <w:t>Wahlin</w:t>
      </w:r>
      <w:proofErr w:type="spellEnd"/>
      <w:r>
        <w:rPr>
          <w:rFonts w:ascii="Book Antiqua" w:eastAsia="Book Antiqua" w:hAnsi="Book Antiqua" w:cs="Book Antiqua"/>
          <w:color w:val="000000"/>
        </w:rPr>
        <w:t xml:space="preserve"> S. Efficacy and Safety of Mycophenolate Mofetil and Tacrolimus as Second-line Therapy for Patients With Autoimmune Hepatitis.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1950-1956.e1 [PMID: 28603052 DOI: 10.1016/j.cgh.2017.06.001]</w:t>
      </w:r>
    </w:p>
    <w:p w14:paraId="7EECBB4A" w14:textId="77777777" w:rsidR="00A77B3E" w:rsidRDefault="000D6A55">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Richardson PD</w:t>
      </w:r>
      <w:r>
        <w:rPr>
          <w:rFonts w:ascii="Book Antiqua" w:eastAsia="Book Antiqua" w:hAnsi="Book Antiqua" w:cs="Book Antiqua"/>
          <w:color w:val="000000"/>
        </w:rPr>
        <w:t xml:space="preserve">, James PD, Ryder SD. Mycophenolate mofetil for maintenance of remission in autoimmune hepatitis in patients resistant to or intolerant of azathioprine.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2000; </w:t>
      </w:r>
      <w:r>
        <w:rPr>
          <w:rFonts w:ascii="Book Antiqua" w:eastAsia="Book Antiqua" w:hAnsi="Book Antiqua" w:cs="Book Antiqua"/>
          <w:b/>
          <w:bCs/>
          <w:color w:val="000000"/>
        </w:rPr>
        <w:t>33</w:t>
      </w:r>
      <w:r>
        <w:rPr>
          <w:rFonts w:ascii="Book Antiqua" w:eastAsia="Book Antiqua" w:hAnsi="Book Antiqua" w:cs="Book Antiqua"/>
          <w:color w:val="000000"/>
        </w:rPr>
        <w:t>: 371-375 [PMID: 11019991 DOI: 10.1016/s0168-8278(00)80271-8]</w:t>
      </w:r>
    </w:p>
    <w:p w14:paraId="5ADA0615" w14:textId="15D78D64" w:rsidR="00A77B3E" w:rsidRDefault="000D6A55">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Devlin SM</w:t>
      </w:r>
      <w:r>
        <w:rPr>
          <w:rFonts w:ascii="Book Antiqua" w:eastAsia="Book Antiqua" w:hAnsi="Book Antiqua" w:cs="Book Antiqua"/>
          <w:color w:val="000000"/>
        </w:rPr>
        <w:t xml:space="preserve">, Swain MG, Urbanski SJ, </w:t>
      </w:r>
      <w:proofErr w:type="spellStart"/>
      <w:r>
        <w:rPr>
          <w:rFonts w:ascii="Book Antiqua" w:eastAsia="Book Antiqua" w:hAnsi="Book Antiqua" w:cs="Book Antiqua"/>
          <w:color w:val="000000"/>
        </w:rPr>
        <w:t>Burak</w:t>
      </w:r>
      <w:proofErr w:type="spellEnd"/>
      <w:r>
        <w:rPr>
          <w:rFonts w:ascii="Book Antiqua" w:eastAsia="Book Antiqua" w:hAnsi="Book Antiqua" w:cs="Book Antiqua"/>
          <w:color w:val="000000"/>
        </w:rPr>
        <w:t xml:space="preserve"> KW. Mycophenolate mofetil for the treatment of autoimmune hepatitis in </w:t>
      </w:r>
      <w:proofErr w:type="gramStart"/>
      <w:r>
        <w:rPr>
          <w:rFonts w:ascii="Book Antiqua" w:eastAsia="Book Antiqua" w:hAnsi="Book Antiqua" w:cs="Book Antiqua"/>
          <w:color w:val="000000"/>
        </w:rPr>
        <w:t>patients</w:t>
      </w:r>
      <w:proofErr w:type="gramEnd"/>
      <w:r>
        <w:rPr>
          <w:rFonts w:ascii="Book Antiqua" w:eastAsia="Book Antiqua" w:hAnsi="Book Antiqua" w:cs="Book Antiqua"/>
          <w:color w:val="000000"/>
        </w:rPr>
        <w:t xml:space="preserve"> refractory to standard therapy. </w:t>
      </w:r>
      <w:r>
        <w:rPr>
          <w:rFonts w:ascii="Book Antiqua" w:eastAsia="Book Antiqua" w:hAnsi="Book Antiqua" w:cs="Book Antiqua"/>
          <w:i/>
          <w:iCs/>
          <w:color w:val="000000"/>
        </w:rPr>
        <w:t>Can J Gastroenterol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18</w:t>
      </w:r>
      <w:r>
        <w:rPr>
          <w:rFonts w:ascii="Book Antiqua" w:eastAsia="Book Antiqua" w:hAnsi="Book Antiqua" w:cs="Book Antiqua"/>
          <w:color w:val="000000"/>
        </w:rPr>
        <w:t>: 321-326 [PMID: 15152283 DOI: 10.1155/2004/504591]</w:t>
      </w:r>
    </w:p>
    <w:p w14:paraId="79284BBC" w14:textId="77777777" w:rsidR="00A77B3E" w:rsidRDefault="000D6A55">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Czaja</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Carpenter HA. Empiric therapy of autoimmune hepatitis with mycophenolate mofetil: comparison with conventional treatment for refractory disease.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39</w:t>
      </w:r>
      <w:r>
        <w:rPr>
          <w:rFonts w:ascii="Book Antiqua" w:eastAsia="Book Antiqua" w:hAnsi="Book Antiqua" w:cs="Book Antiqua"/>
          <w:color w:val="000000"/>
        </w:rPr>
        <w:t>: 819-825 [PMID: 16145346 DOI: 10.1097/01.mcg.0000177260.72692.e8]</w:t>
      </w:r>
    </w:p>
    <w:p w14:paraId="19EE7205" w14:textId="77777777" w:rsidR="00A77B3E" w:rsidRDefault="000D6A55">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Inductivo</w:t>
      </w:r>
      <w:proofErr w:type="spellEnd"/>
      <w:r>
        <w:rPr>
          <w:rFonts w:ascii="Book Antiqua" w:eastAsia="Book Antiqua" w:hAnsi="Book Antiqua" w:cs="Book Antiqua"/>
          <w:b/>
          <w:bCs/>
          <w:color w:val="000000"/>
        </w:rPr>
        <w:t>-Yu I</w:t>
      </w:r>
      <w:r>
        <w:rPr>
          <w:rFonts w:ascii="Book Antiqua" w:eastAsia="Book Antiqua" w:hAnsi="Book Antiqua" w:cs="Book Antiqua"/>
          <w:color w:val="000000"/>
        </w:rPr>
        <w:t xml:space="preserve">, Adams A, Gish RG, Wakil A, </w:t>
      </w:r>
      <w:proofErr w:type="spellStart"/>
      <w:r>
        <w:rPr>
          <w:rFonts w:ascii="Book Antiqua" w:eastAsia="Book Antiqua" w:hAnsi="Book Antiqua" w:cs="Book Antiqua"/>
          <w:color w:val="000000"/>
        </w:rPr>
        <w:t>Bzowej</w:t>
      </w:r>
      <w:proofErr w:type="spellEnd"/>
      <w:r>
        <w:rPr>
          <w:rFonts w:ascii="Book Antiqua" w:eastAsia="Book Antiqua" w:hAnsi="Book Antiqua" w:cs="Book Antiqua"/>
          <w:color w:val="000000"/>
        </w:rPr>
        <w:t xml:space="preserve"> NH, Frederick RT, </w:t>
      </w:r>
      <w:proofErr w:type="spellStart"/>
      <w:r>
        <w:rPr>
          <w:rFonts w:ascii="Book Antiqua" w:eastAsia="Book Antiqua" w:hAnsi="Book Antiqua" w:cs="Book Antiqua"/>
          <w:color w:val="000000"/>
        </w:rPr>
        <w:t>Bonacini</w:t>
      </w:r>
      <w:proofErr w:type="spellEnd"/>
      <w:r>
        <w:rPr>
          <w:rFonts w:ascii="Book Antiqua" w:eastAsia="Book Antiqua" w:hAnsi="Book Antiqua" w:cs="Book Antiqua"/>
          <w:color w:val="000000"/>
        </w:rPr>
        <w:t xml:space="preserve"> M. Mycophenolate mofetil in autoimmune hepatitis patients not responsive or intolerant to standard immunosuppressive therapy.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2007; </w:t>
      </w:r>
      <w:r>
        <w:rPr>
          <w:rFonts w:ascii="Book Antiqua" w:eastAsia="Book Antiqua" w:hAnsi="Book Antiqua" w:cs="Book Antiqua"/>
          <w:b/>
          <w:bCs/>
          <w:color w:val="000000"/>
        </w:rPr>
        <w:t>5</w:t>
      </w:r>
      <w:r>
        <w:rPr>
          <w:rFonts w:ascii="Book Antiqua" w:eastAsia="Book Antiqua" w:hAnsi="Book Antiqua" w:cs="Book Antiqua"/>
          <w:color w:val="000000"/>
        </w:rPr>
        <w:t>: 799-802 [PMID: 17509945 DOI: 10.1016/j.cgh.2007.02.030]</w:t>
      </w:r>
    </w:p>
    <w:p w14:paraId="6B98F411" w14:textId="77777777" w:rsidR="00A77B3E" w:rsidRDefault="000D6A55">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Hlivko</w:t>
      </w:r>
      <w:proofErr w:type="spellEnd"/>
      <w:r>
        <w:rPr>
          <w:rFonts w:ascii="Book Antiqua" w:eastAsia="Book Antiqua" w:hAnsi="Book Antiqua" w:cs="Book Antiqua"/>
          <w:b/>
          <w:bCs/>
          <w:color w:val="000000"/>
        </w:rPr>
        <w:t xml:space="preserve"> JT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Shiffman</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Stravitz</w:t>
      </w:r>
      <w:proofErr w:type="spellEnd"/>
      <w:r>
        <w:rPr>
          <w:rFonts w:ascii="Book Antiqua" w:eastAsia="Book Antiqua" w:hAnsi="Book Antiqua" w:cs="Book Antiqua"/>
          <w:color w:val="000000"/>
        </w:rPr>
        <w:t xml:space="preserve"> RT, </w:t>
      </w:r>
      <w:proofErr w:type="spellStart"/>
      <w:r>
        <w:rPr>
          <w:rFonts w:ascii="Book Antiqua" w:eastAsia="Book Antiqua" w:hAnsi="Book Antiqua" w:cs="Book Antiqua"/>
          <w:color w:val="000000"/>
        </w:rPr>
        <w:t>Luketic</w:t>
      </w:r>
      <w:proofErr w:type="spellEnd"/>
      <w:r>
        <w:rPr>
          <w:rFonts w:ascii="Book Antiqua" w:eastAsia="Book Antiqua" w:hAnsi="Book Antiqua" w:cs="Book Antiqua"/>
          <w:color w:val="000000"/>
        </w:rPr>
        <w:t xml:space="preserve"> VA, Sanyal AJ, Fuchs M, Sterling RK. A single center review of the use of mycophenolate mofetil in the treatment of autoimmune hepatitis.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6</w:t>
      </w:r>
      <w:r>
        <w:rPr>
          <w:rFonts w:ascii="Book Antiqua" w:eastAsia="Book Antiqua" w:hAnsi="Book Antiqua" w:cs="Book Antiqua"/>
          <w:color w:val="000000"/>
        </w:rPr>
        <w:t>: 1036-1040 [PMID: 18586559 DOI: 10.1016/j.cgh.2008.04.006]</w:t>
      </w:r>
    </w:p>
    <w:p w14:paraId="65D8309A" w14:textId="77777777" w:rsidR="00A77B3E" w:rsidRDefault="000D6A55">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Hennes EM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Oo</w:t>
      </w:r>
      <w:proofErr w:type="spellEnd"/>
      <w:r>
        <w:rPr>
          <w:rFonts w:ascii="Book Antiqua" w:eastAsia="Book Antiqua" w:hAnsi="Book Antiqua" w:cs="Book Antiqua"/>
          <w:color w:val="000000"/>
        </w:rPr>
        <w:t xml:space="preserve"> YH, Schramm C, </w:t>
      </w:r>
      <w:proofErr w:type="spellStart"/>
      <w:r>
        <w:rPr>
          <w:rFonts w:ascii="Book Antiqua" w:eastAsia="Book Antiqua" w:hAnsi="Book Antiqua" w:cs="Book Antiqua"/>
          <w:color w:val="000000"/>
        </w:rPr>
        <w:t>Denzer</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Buggisch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Wiegard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Kanzler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Schuchmann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Boecher</w:t>
      </w:r>
      <w:proofErr w:type="spellEnd"/>
      <w:r>
        <w:rPr>
          <w:rFonts w:ascii="Book Antiqua" w:eastAsia="Book Antiqua" w:hAnsi="Book Antiqua" w:cs="Book Antiqua"/>
          <w:color w:val="000000"/>
        </w:rPr>
        <w:t xml:space="preserve"> W, Galle PR, Adams DH, Lohse AW. Mycophenolate mofetil </w:t>
      </w:r>
      <w:r>
        <w:rPr>
          <w:rFonts w:ascii="Book Antiqua" w:eastAsia="Book Antiqua" w:hAnsi="Book Antiqua" w:cs="Book Antiqua"/>
          <w:color w:val="000000"/>
        </w:rPr>
        <w:lastRenderedPageBreak/>
        <w:t xml:space="preserve">as second line therapy in autoimmune hepatitis?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103</w:t>
      </w:r>
      <w:r>
        <w:rPr>
          <w:rFonts w:ascii="Book Antiqua" w:eastAsia="Book Antiqua" w:hAnsi="Book Antiqua" w:cs="Book Antiqua"/>
          <w:color w:val="000000"/>
        </w:rPr>
        <w:t>: 3063-3070 [PMID: 18853972 DOI: 10.1111/j.1572-0241.2008.02180.x]</w:t>
      </w:r>
    </w:p>
    <w:p w14:paraId="31CD6AAC" w14:textId="77777777" w:rsidR="00A77B3E" w:rsidRDefault="000D6A55">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Wolf DC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Bojito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Facciuto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Lebovics</w:t>
      </w:r>
      <w:proofErr w:type="spellEnd"/>
      <w:r>
        <w:rPr>
          <w:rFonts w:ascii="Book Antiqua" w:eastAsia="Book Antiqua" w:hAnsi="Book Antiqua" w:cs="Book Antiqua"/>
          <w:color w:val="000000"/>
        </w:rPr>
        <w:t xml:space="preserve"> E. Mycophenolate mofetil for autoimmune hepatitis: a single practice experience.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2009; </w:t>
      </w:r>
      <w:r>
        <w:rPr>
          <w:rFonts w:ascii="Book Antiqua" w:eastAsia="Book Antiqua" w:hAnsi="Book Antiqua" w:cs="Book Antiqua"/>
          <w:b/>
          <w:bCs/>
          <w:color w:val="000000"/>
        </w:rPr>
        <w:t>54</w:t>
      </w:r>
      <w:r>
        <w:rPr>
          <w:rFonts w:ascii="Book Antiqua" w:eastAsia="Book Antiqua" w:hAnsi="Book Antiqua" w:cs="Book Antiqua"/>
          <w:color w:val="000000"/>
        </w:rPr>
        <w:t>: 2519-2522 [PMID: 19082888 DOI: 10.1007/s10620-008-0632-0]</w:t>
      </w:r>
    </w:p>
    <w:p w14:paraId="30822373" w14:textId="77777777" w:rsidR="00A77B3E" w:rsidRDefault="000D6A55">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Sharzehi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Huang MA, Schreibman IR, Brown KA. Mycophenolate mofetil for the treatment of autoimmune hepatitis in patients refractory or intolerant to conventional therapy. </w:t>
      </w:r>
      <w:r>
        <w:rPr>
          <w:rFonts w:ascii="Book Antiqua" w:eastAsia="Book Antiqua" w:hAnsi="Book Antiqua" w:cs="Book Antiqua"/>
          <w:i/>
          <w:iCs/>
          <w:color w:val="000000"/>
        </w:rPr>
        <w:t>Can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24</w:t>
      </w:r>
      <w:r>
        <w:rPr>
          <w:rFonts w:ascii="Book Antiqua" w:eastAsia="Book Antiqua" w:hAnsi="Book Antiqua" w:cs="Book Antiqua"/>
          <w:color w:val="000000"/>
        </w:rPr>
        <w:t>: 588-592 [PMID: 21037986 DOI: 10.1155/2010/891252]</w:t>
      </w:r>
    </w:p>
    <w:p w14:paraId="0B96B9E3" w14:textId="77777777" w:rsidR="00A77B3E" w:rsidRDefault="000D6A55">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Baven</w:t>
      </w:r>
      <w:proofErr w:type="spellEnd"/>
      <w:r>
        <w:rPr>
          <w:rFonts w:ascii="Book Antiqua" w:eastAsia="Book Antiqua" w:hAnsi="Book Antiqua" w:cs="Book Antiqua"/>
          <w:b/>
          <w:bCs/>
          <w:color w:val="000000"/>
        </w:rPr>
        <w:t>-Pronk AM</w:t>
      </w:r>
      <w:r>
        <w:rPr>
          <w:rFonts w:ascii="Book Antiqua" w:eastAsia="Book Antiqua" w:hAnsi="Book Antiqua" w:cs="Book Antiqua"/>
          <w:color w:val="000000"/>
        </w:rPr>
        <w:t xml:space="preserve">, Coenraad MJ, van </w:t>
      </w:r>
      <w:proofErr w:type="spellStart"/>
      <w:r>
        <w:rPr>
          <w:rFonts w:ascii="Book Antiqua" w:eastAsia="Book Antiqua" w:hAnsi="Book Antiqua" w:cs="Book Antiqua"/>
          <w:color w:val="000000"/>
        </w:rPr>
        <w:t>Buuren</w:t>
      </w:r>
      <w:proofErr w:type="spellEnd"/>
      <w:r>
        <w:rPr>
          <w:rFonts w:ascii="Book Antiqua" w:eastAsia="Book Antiqua" w:hAnsi="Book Antiqua" w:cs="Book Antiqua"/>
          <w:color w:val="000000"/>
        </w:rPr>
        <w:t xml:space="preserve"> HR, de Man RA, van </w:t>
      </w:r>
      <w:proofErr w:type="spellStart"/>
      <w:r>
        <w:rPr>
          <w:rFonts w:ascii="Book Antiqua" w:eastAsia="Book Antiqua" w:hAnsi="Book Antiqua" w:cs="Book Antiqua"/>
          <w:color w:val="000000"/>
        </w:rPr>
        <w:t>Erpecum</w:t>
      </w:r>
      <w:proofErr w:type="spellEnd"/>
      <w:r>
        <w:rPr>
          <w:rFonts w:ascii="Book Antiqua" w:eastAsia="Book Antiqua" w:hAnsi="Book Antiqua" w:cs="Book Antiqua"/>
          <w:color w:val="000000"/>
        </w:rPr>
        <w:t xml:space="preserve"> KJ, </w:t>
      </w:r>
      <w:proofErr w:type="spellStart"/>
      <w:r>
        <w:rPr>
          <w:rFonts w:ascii="Book Antiqua" w:eastAsia="Book Antiqua" w:hAnsi="Book Antiqua" w:cs="Book Antiqua"/>
          <w:color w:val="000000"/>
        </w:rPr>
        <w:t>Lamers</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Drenth</w:t>
      </w:r>
      <w:proofErr w:type="spellEnd"/>
      <w:r>
        <w:rPr>
          <w:rFonts w:ascii="Book Antiqua" w:eastAsia="Book Antiqua" w:hAnsi="Book Antiqua" w:cs="Book Antiqua"/>
          <w:color w:val="000000"/>
        </w:rPr>
        <w:t xml:space="preserve"> JP, van den Berg AP, </w:t>
      </w:r>
      <w:proofErr w:type="spellStart"/>
      <w:r>
        <w:rPr>
          <w:rFonts w:ascii="Book Antiqua" w:eastAsia="Book Antiqua" w:hAnsi="Book Antiqua" w:cs="Book Antiqua"/>
          <w:color w:val="000000"/>
        </w:rPr>
        <w:t>Beuers</w:t>
      </w:r>
      <w:proofErr w:type="spellEnd"/>
      <w:r>
        <w:rPr>
          <w:rFonts w:ascii="Book Antiqua" w:eastAsia="Book Antiqua" w:hAnsi="Book Antiqua" w:cs="Book Antiqua"/>
          <w:color w:val="000000"/>
        </w:rPr>
        <w:t xml:space="preserve"> UH, den </w:t>
      </w:r>
      <w:proofErr w:type="spellStart"/>
      <w:r>
        <w:rPr>
          <w:rFonts w:ascii="Book Antiqua" w:eastAsia="Book Antiqua" w:hAnsi="Book Antiqua" w:cs="Book Antiqua"/>
          <w:color w:val="000000"/>
        </w:rPr>
        <w:t>Ouden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Koek</w:t>
      </w:r>
      <w:proofErr w:type="spellEnd"/>
      <w:r>
        <w:rPr>
          <w:rFonts w:ascii="Book Antiqua" w:eastAsia="Book Antiqua" w:hAnsi="Book Antiqua" w:cs="Book Antiqua"/>
          <w:color w:val="000000"/>
        </w:rPr>
        <w:t xml:space="preserve"> GH, van </w:t>
      </w:r>
      <w:proofErr w:type="spellStart"/>
      <w:r>
        <w:rPr>
          <w:rFonts w:ascii="Book Antiqua" w:eastAsia="Book Antiqua" w:hAnsi="Book Antiqua" w:cs="Book Antiqua"/>
          <w:color w:val="000000"/>
        </w:rPr>
        <w:t>Nieuwkerk</w:t>
      </w:r>
      <w:proofErr w:type="spellEnd"/>
      <w:r>
        <w:rPr>
          <w:rFonts w:ascii="Book Antiqua" w:eastAsia="Book Antiqua" w:hAnsi="Book Antiqua" w:cs="Book Antiqua"/>
          <w:color w:val="000000"/>
        </w:rPr>
        <w:t xml:space="preserve"> CM, Bouma G, Brouwer JT, van Hoek B. The role of mycophenolate mofetil in the management of autoimmune hepatitis and overlap syndromes.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34</w:t>
      </w:r>
      <w:r>
        <w:rPr>
          <w:rFonts w:ascii="Book Antiqua" w:eastAsia="Book Antiqua" w:hAnsi="Book Antiqua" w:cs="Book Antiqua"/>
          <w:color w:val="000000"/>
        </w:rPr>
        <w:t>: 335-343 [PMID: 21668459 DOI: 10.1111/j.1365-2036.2011.04727.x]</w:t>
      </w:r>
    </w:p>
    <w:p w14:paraId="3065FB67" w14:textId="77777777" w:rsidR="00A77B3E" w:rsidRDefault="000D6A55">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Jothimani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Cramp ME, Cross TJ. Role of mycophenolate mofetil for the treatment of autoimmune hepatitis-an observational study. </w:t>
      </w:r>
      <w:r>
        <w:rPr>
          <w:rFonts w:ascii="Book Antiqua" w:eastAsia="Book Antiqua" w:hAnsi="Book Antiqua" w:cs="Book Antiqua"/>
          <w:i/>
          <w:iCs/>
          <w:color w:val="000000"/>
        </w:rPr>
        <w:t>J Clin Exp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w:t>
      </w:r>
      <w:r>
        <w:rPr>
          <w:rFonts w:ascii="Book Antiqua" w:eastAsia="Book Antiqua" w:hAnsi="Book Antiqua" w:cs="Book Antiqua"/>
          <w:color w:val="000000"/>
        </w:rPr>
        <w:t>: 221-225 [PMID: 25755564 DOI: 10.1016/j.jceh.2014.05.003]</w:t>
      </w:r>
    </w:p>
    <w:p w14:paraId="536A7243" w14:textId="1838F1ED" w:rsidR="00A77B3E" w:rsidRDefault="000D6A55">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Roberts SK</w:t>
      </w:r>
      <w:r>
        <w:rPr>
          <w:rFonts w:ascii="Book Antiqua" w:eastAsia="Book Antiqua" w:hAnsi="Book Antiqua" w:cs="Book Antiqua"/>
          <w:color w:val="000000"/>
        </w:rPr>
        <w:t xml:space="preserve">, Lim R, Strasser S, Nicoll A, </w:t>
      </w:r>
      <w:proofErr w:type="spellStart"/>
      <w:r>
        <w:rPr>
          <w:rFonts w:ascii="Book Antiqua" w:eastAsia="Book Antiqua" w:hAnsi="Book Antiqua" w:cs="Book Antiqua"/>
          <w:color w:val="000000"/>
        </w:rPr>
        <w:t>Gazzola</w:t>
      </w:r>
      <w:proofErr w:type="spellEnd"/>
      <w:r>
        <w:rPr>
          <w:rFonts w:ascii="Book Antiqua" w:eastAsia="Book Antiqua" w:hAnsi="Book Antiqua" w:cs="Book Antiqua"/>
          <w:color w:val="000000"/>
        </w:rPr>
        <w:t xml:space="preserve"> A, Mitchell J, </w:t>
      </w:r>
      <w:proofErr w:type="spellStart"/>
      <w:r>
        <w:rPr>
          <w:rFonts w:ascii="Book Antiqua" w:eastAsia="Book Antiqua" w:hAnsi="Book Antiqua" w:cs="Book Antiqua"/>
          <w:color w:val="000000"/>
        </w:rPr>
        <w:t>Siow</w:t>
      </w:r>
      <w:proofErr w:type="spellEnd"/>
      <w:r>
        <w:rPr>
          <w:rFonts w:ascii="Book Antiqua" w:eastAsia="Book Antiqua" w:hAnsi="Book Antiqua" w:cs="Book Antiqua"/>
          <w:color w:val="000000"/>
        </w:rPr>
        <w:t xml:space="preserve"> W, Khoo T, </w:t>
      </w:r>
      <w:proofErr w:type="spellStart"/>
      <w:r>
        <w:rPr>
          <w:rFonts w:ascii="Book Antiqua" w:eastAsia="Book Antiqua" w:hAnsi="Book Antiqua" w:cs="Book Antiqua"/>
          <w:color w:val="000000"/>
        </w:rPr>
        <w:t>Hamarneh</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Weltman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Gow</w:t>
      </w:r>
      <w:proofErr w:type="spellEnd"/>
      <w:r>
        <w:rPr>
          <w:rFonts w:ascii="Book Antiqua" w:eastAsia="Book Antiqua" w:hAnsi="Book Antiqua" w:cs="Book Antiqua"/>
          <w:color w:val="000000"/>
        </w:rPr>
        <w:t xml:space="preserve"> P, Janko N, </w:t>
      </w:r>
      <w:proofErr w:type="spellStart"/>
      <w:r>
        <w:rPr>
          <w:rFonts w:ascii="Book Antiqua" w:eastAsia="Book Antiqua" w:hAnsi="Book Antiqua" w:cs="Book Antiqua"/>
          <w:color w:val="000000"/>
        </w:rPr>
        <w:t>Tse</w:t>
      </w:r>
      <w:proofErr w:type="spellEnd"/>
      <w:r>
        <w:rPr>
          <w:rFonts w:ascii="Book Antiqua" w:eastAsia="Book Antiqua" w:hAnsi="Book Antiqua" w:cs="Book Antiqua"/>
          <w:color w:val="000000"/>
        </w:rPr>
        <w:t xml:space="preserve"> E, Mishra G, Cheng EH, Levy M, Cheng W, </w:t>
      </w:r>
      <w:proofErr w:type="spellStart"/>
      <w:r>
        <w:rPr>
          <w:rFonts w:ascii="Book Antiqua" w:eastAsia="Book Antiqua" w:hAnsi="Book Antiqua" w:cs="Book Antiqua"/>
          <w:color w:val="000000"/>
        </w:rPr>
        <w:t>Sood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Skoien</w:t>
      </w:r>
      <w:proofErr w:type="spellEnd"/>
      <w:r>
        <w:rPr>
          <w:rFonts w:ascii="Book Antiqua" w:eastAsia="Book Antiqua" w:hAnsi="Book Antiqua" w:cs="Book Antiqua"/>
          <w:color w:val="000000"/>
        </w:rPr>
        <w:t xml:space="preserve"> R, Mitchell J, </w:t>
      </w:r>
      <w:proofErr w:type="spellStart"/>
      <w:r>
        <w:rPr>
          <w:rFonts w:ascii="Book Antiqua" w:eastAsia="Book Antiqua" w:hAnsi="Book Antiqua" w:cs="Book Antiqua"/>
          <w:color w:val="000000"/>
        </w:rPr>
        <w:t>Zekry</w:t>
      </w:r>
      <w:proofErr w:type="spellEnd"/>
      <w:r>
        <w:rPr>
          <w:rFonts w:ascii="Book Antiqua" w:eastAsia="Book Antiqua" w:hAnsi="Book Antiqua" w:cs="Book Antiqua"/>
          <w:color w:val="000000"/>
        </w:rPr>
        <w:t xml:space="preserve"> A, George J, </w:t>
      </w:r>
      <w:proofErr w:type="spellStart"/>
      <w:r>
        <w:rPr>
          <w:rFonts w:ascii="Book Antiqua" w:eastAsia="Book Antiqua" w:hAnsi="Book Antiqua" w:cs="Book Antiqua"/>
          <w:color w:val="000000"/>
        </w:rPr>
        <w:t>MacQuillan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Wigg</w:t>
      </w:r>
      <w:proofErr w:type="spellEnd"/>
      <w:r>
        <w:rPr>
          <w:rFonts w:ascii="Book Antiqua" w:eastAsia="Book Antiqua" w:hAnsi="Book Antiqua" w:cs="Book Antiqua"/>
          <w:color w:val="000000"/>
        </w:rPr>
        <w:t xml:space="preserve"> A, Stuart K, Sievert W, McCaughan G; ALA Clinical Research Network. Efficacy and Safety of Mycophenolate Mofetil in Patients </w:t>
      </w:r>
      <w:proofErr w:type="gramStart"/>
      <w:r>
        <w:rPr>
          <w:rFonts w:ascii="Book Antiqua" w:eastAsia="Book Antiqua" w:hAnsi="Book Antiqua" w:cs="Book Antiqua"/>
          <w:color w:val="000000"/>
        </w:rPr>
        <w:t>With</w:t>
      </w:r>
      <w:proofErr w:type="gramEnd"/>
      <w:r w:rsidR="00011A51">
        <w:rPr>
          <w:rFonts w:ascii="Book Antiqua" w:eastAsia="Book Antiqua" w:hAnsi="Book Antiqua" w:cs="Book Antiqua"/>
          <w:color w:val="000000"/>
        </w:rPr>
        <w:t xml:space="preserve"> </w:t>
      </w:r>
      <w:r>
        <w:rPr>
          <w:rFonts w:ascii="Book Antiqua" w:eastAsia="Book Antiqua" w:hAnsi="Book Antiqua" w:cs="Book Antiqua"/>
          <w:color w:val="000000"/>
        </w:rPr>
        <w:t xml:space="preserve">Autoimmune Hepatitis and Suboptimal Outcomes After Standard Therapy.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268-277 [PMID: 29050991 DOI: 10.1016/j.cgh.2017.09.063]</w:t>
      </w:r>
    </w:p>
    <w:p w14:paraId="35AE57FF" w14:textId="77777777" w:rsidR="00A77B3E" w:rsidRDefault="000D6A55">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Scott LJ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McKeage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Keam</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Plosker</w:t>
      </w:r>
      <w:proofErr w:type="spellEnd"/>
      <w:r>
        <w:rPr>
          <w:rFonts w:ascii="Book Antiqua" w:eastAsia="Book Antiqua" w:hAnsi="Book Antiqua" w:cs="Book Antiqua"/>
          <w:color w:val="000000"/>
        </w:rPr>
        <w:t xml:space="preserve"> GL. Tacrolimus: a further update of its use in the management of organ transplantation. </w:t>
      </w:r>
      <w:r>
        <w:rPr>
          <w:rFonts w:ascii="Book Antiqua" w:eastAsia="Book Antiqua" w:hAnsi="Book Antiqua" w:cs="Book Antiqua"/>
          <w:i/>
          <w:iCs/>
          <w:color w:val="000000"/>
        </w:rPr>
        <w:t>Drugs</w:t>
      </w:r>
      <w:r>
        <w:rPr>
          <w:rFonts w:ascii="Book Antiqua" w:eastAsia="Book Antiqua" w:hAnsi="Book Antiqua" w:cs="Book Antiqua"/>
          <w:color w:val="000000"/>
        </w:rPr>
        <w:t xml:space="preserve"> 2003; </w:t>
      </w:r>
      <w:r>
        <w:rPr>
          <w:rFonts w:ascii="Book Antiqua" w:eastAsia="Book Antiqua" w:hAnsi="Book Antiqua" w:cs="Book Antiqua"/>
          <w:b/>
          <w:bCs/>
          <w:color w:val="000000"/>
        </w:rPr>
        <w:t>63</w:t>
      </w:r>
      <w:r>
        <w:rPr>
          <w:rFonts w:ascii="Book Antiqua" w:eastAsia="Book Antiqua" w:hAnsi="Book Antiqua" w:cs="Book Antiqua"/>
          <w:color w:val="000000"/>
        </w:rPr>
        <w:t>: 1247-1297 [PMID: 12790696 DOI: 10.2165/00003495-200363120-00006]</w:t>
      </w:r>
    </w:p>
    <w:p w14:paraId="7C729B70" w14:textId="0FC782A6" w:rsidR="00A77B3E" w:rsidRDefault="000D6A55">
      <w:pPr>
        <w:spacing w:line="360" w:lineRule="auto"/>
        <w:jc w:val="both"/>
      </w:pPr>
      <w:r>
        <w:rPr>
          <w:rFonts w:ascii="Book Antiqua" w:eastAsia="Book Antiqua" w:hAnsi="Book Antiqua" w:cs="Book Antiqua"/>
          <w:color w:val="000000"/>
        </w:rPr>
        <w:lastRenderedPageBreak/>
        <w:t xml:space="preserve">49 </w:t>
      </w:r>
      <w:r>
        <w:rPr>
          <w:rFonts w:ascii="Book Antiqua" w:eastAsia="Book Antiqua" w:hAnsi="Book Antiqua" w:cs="Book Antiqua"/>
          <w:b/>
          <w:bCs/>
          <w:color w:val="000000"/>
        </w:rPr>
        <w:t>European Association for the Study of the Liver</w:t>
      </w:r>
      <w:r>
        <w:rPr>
          <w:rFonts w:ascii="Book Antiqua" w:eastAsia="Book Antiqua" w:hAnsi="Book Antiqua" w:cs="Book Antiqua"/>
          <w:color w:val="000000"/>
        </w:rPr>
        <w:t xml:space="preserve">. EASL Clinical Practice Guidelines: Autoimmune hepatitis.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63</w:t>
      </w:r>
      <w:r>
        <w:rPr>
          <w:rFonts w:ascii="Book Antiqua" w:eastAsia="Book Antiqua" w:hAnsi="Book Antiqua" w:cs="Book Antiqua"/>
          <w:color w:val="000000"/>
        </w:rPr>
        <w:t>: 971-1004 [PMID: 26341719 DOI: 10.1016/j.jhep.2015.06.030]</w:t>
      </w:r>
    </w:p>
    <w:p w14:paraId="53C214AB" w14:textId="77777777" w:rsidR="00A77B3E" w:rsidRDefault="000D6A55">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Roberts SK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Therneau</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Czaja</w:t>
      </w:r>
      <w:proofErr w:type="spellEnd"/>
      <w:r>
        <w:rPr>
          <w:rFonts w:ascii="Book Antiqua" w:eastAsia="Book Antiqua" w:hAnsi="Book Antiqua" w:cs="Book Antiqua"/>
          <w:color w:val="000000"/>
        </w:rPr>
        <w:t xml:space="preserve"> AJ. Prognosis of histological cirrhosis in type 1 autoimmune hepatitis.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1996; </w:t>
      </w:r>
      <w:r>
        <w:rPr>
          <w:rFonts w:ascii="Book Antiqua" w:eastAsia="Book Antiqua" w:hAnsi="Book Antiqua" w:cs="Book Antiqua"/>
          <w:b/>
          <w:bCs/>
          <w:color w:val="000000"/>
        </w:rPr>
        <w:t>110</w:t>
      </w:r>
      <w:r>
        <w:rPr>
          <w:rFonts w:ascii="Book Antiqua" w:eastAsia="Book Antiqua" w:hAnsi="Book Antiqua" w:cs="Book Antiqua"/>
          <w:color w:val="000000"/>
        </w:rPr>
        <w:t>: 848-857 [PMID: 8608895 DOI: 10.1053/gast.1996.v110.pm8608895]</w:t>
      </w:r>
    </w:p>
    <w:p w14:paraId="579FBD0F" w14:textId="77777777" w:rsidR="00A77B3E" w:rsidRDefault="000D6A55">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Yoshizawa K</w:t>
      </w:r>
      <w:r>
        <w:rPr>
          <w:rFonts w:ascii="Book Antiqua" w:eastAsia="Book Antiqua" w:hAnsi="Book Antiqua" w:cs="Book Antiqua"/>
          <w:color w:val="000000"/>
        </w:rPr>
        <w:t xml:space="preserve">, Matsumoto A, </w:t>
      </w:r>
      <w:proofErr w:type="spellStart"/>
      <w:r>
        <w:rPr>
          <w:rFonts w:ascii="Book Antiqua" w:eastAsia="Book Antiqua" w:hAnsi="Book Antiqua" w:cs="Book Antiqua"/>
          <w:color w:val="000000"/>
        </w:rPr>
        <w:t>Ichijo</w:t>
      </w:r>
      <w:proofErr w:type="spellEnd"/>
      <w:r>
        <w:rPr>
          <w:rFonts w:ascii="Book Antiqua" w:eastAsia="Book Antiqua" w:hAnsi="Book Antiqua" w:cs="Book Antiqua"/>
          <w:color w:val="000000"/>
        </w:rPr>
        <w:t xml:space="preserve"> T, Umemura T, </w:t>
      </w:r>
      <w:proofErr w:type="spellStart"/>
      <w:r>
        <w:rPr>
          <w:rFonts w:ascii="Book Antiqua" w:eastAsia="Book Antiqua" w:hAnsi="Book Antiqua" w:cs="Book Antiqua"/>
          <w:color w:val="000000"/>
        </w:rPr>
        <w:t>Joshita</w:t>
      </w:r>
      <w:proofErr w:type="spellEnd"/>
      <w:r>
        <w:rPr>
          <w:rFonts w:ascii="Book Antiqua" w:eastAsia="Book Antiqua" w:hAnsi="Book Antiqua" w:cs="Book Antiqua"/>
          <w:color w:val="000000"/>
        </w:rPr>
        <w:t xml:space="preserve"> S, Komatsu M, Tanaka N, Tanaka E, Ota M, </w:t>
      </w:r>
      <w:proofErr w:type="spellStart"/>
      <w:r>
        <w:rPr>
          <w:rFonts w:ascii="Book Antiqua" w:eastAsia="Book Antiqua" w:hAnsi="Book Antiqua" w:cs="Book Antiqua"/>
          <w:color w:val="000000"/>
        </w:rPr>
        <w:t>Katsuyama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Kiyosawa</w:t>
      </w:r>
      <w:proofErr w:type="spellEnd"/>
      <w:r>
        <w:rPr>
          <w:rFonts w:ascii="Book Antiqua" w:eastAsia="Book Antiqua" w:hAnsi="Book Antiqua" w:cs="Book Antiqua"/>
          <w:color w:val="000000"/>
        </w:rPr>
        <w:t xml:space="preserve"> K, Abe M, </w:t>
      </w:r>
      <w:proofErr w:type="spellStart"/>
      <w:r>
        <w:rPr>
          <w:rFonts w:ascii="Book Antiqua" w:eastAsia="Book Antiqua" w:hAnsi="Book Antiqua" w:cs="Book Antiqua"/>
          <w:color w:val="000000"/>
        </w:rPr>
        <w:t>Onji</w:t>
      </w:r>
      <w:proofErr w:type="spellEnd"/>
      <w:r>
        <w:rPr>
          <w:rFonts w:ascii="Book Antiqua" w:eastAsia="Book Antiqua" w:hAnsi="Book Antiqua" w:cs="Book Antiqua"/>
          <w:color w:val="000000"/>
        </w:rPr>
        <w:t xml:space="preserve"> M. Long-term outcome of Japanese patients with type 1 autoimmune hepatitis.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56</w:t>
      </w:r>
      <w:r>
        <w:rPr>
          <w:rFonts w:ascii="Book Antiqua" w:eastAsia="Book Antiqua" w:hAnsi="Book Antiqua" w:cs="Book Antiqua"/>
          <w:color w:val="000000"/>
        </w:rPr>
        <w:t>: 668-676 [PMID: 22334246 DOI: 10.1002/hep.25658]</w:t>
      </w:r>
    </w:p>
    <w:p w14:paraId="2624D998" w14:textId="77777777" w:rsidR="00A77B3E" w:rsidRDefault="000D6A55">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Alonso-</w:t>
      </w:r>
      <w:proofErr w:type="spellStart"/>
      <w:r>
        <w:rPr>
          <w:rFonts w:ascii="Book Antiqua" w:eastAsia="Book Antiqua" w:hAnsi="Book Antiqua" w:cs="Book Antiqua"/>
          <w:b/>
          <w:bCs/>
          <w:color w:val="000000"/>
        </w:rPr>
        <w:t>Coello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Schünemann</w:t>
      </w:r>
      <w:proofErr w:type="spellEnd"/>
      <w:r>
        <w:rPr>
          <w:rFonts w:ascii="Book Antiqua" w:eastAsia="Book Antiqua" w:hAnsi="Book Antiqua" w:cs="Book Antiqua"/>
          <w:color w:val="000000"/>
        </w:rPr>
        <w:t xml:space="preserve"> HJ, Moberg J, </w:t>
      </w:r>
      <w:proofErr w:type="spellStart"/>
      <w:r>
        <w:rPr>
          <w:rFonts w:ascii="Book Antiqua" w:eastAsia="Book Antiqua" w:hAnsi="Book Antiqua" w:cs="Book Antiqua"/>
          <w:color w:val="000000"/>
        </w:rPr>
        <w:t>Brignardello</w:t>
      </w:r>
      <w:proofErr w:type="spellEnd"/>
      <w:r>
        <w:rPr>
          <w:rFonts w:ascii="Book Antiqua" w:eastAsia="Book Antiqua" w:hAnsi="Book Antiqua" w:cs="Book Antiqua"/>
          <w:color w:val="000000"/>
        </w:rPr>
        <w:t xml:space="preserve">-Petersen R, </w:t>
      </w:r>
      <w:proofErr w:type="spellStart"/>
      <w:r>
        <w:rPr>
          <w:rFonts w:ascii="Book Antiqua" w:eastAsia="Book Antiqua" w:hAnsi="Book Antiqua" w:cs="Book Antiqua"/>
          <w:color w:val="000000"/>
        </w:rPr>
        <w:t>Akl</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Davoli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Treweek</w:t>
      </w:r>
      <w:proofErr w:type="spellEnd"/>
      <w:r>
        <w:rPr>
          <w:rFonts w:ascii="Book Antiqua" w:eastAsia="Book Antiqua" w:hAnsi="Book Antiqua" w:cs="Book Antiqua"/>
          <w:color w:val="000000"/>
        </w:rPr>
        <w:t xml:space="preserve"> S, Mustafa RA, Rada G, Rosenbaum S, Morelli A, </w:t>
      </w:r>
      <w:proofErr w:type="spellStart"/>
      <w:r>
        <w:rPr>
          <w:rFonts w:ascii="Book Antiqua" w:eastAsia="Book Antiqua" w:hAnsi="Book Antiqua" w:cs="Book Antiqua"/>
          <w:color w:val="000000"/>
        </w:rPr>
        <w:t>Guyatt</w:t>
      </w:r>
      <w:proofErr w:type="spellEnd"/>
      <w:r>
        <w:rPr>
          <w:rFonts w:ascii="Book Antiqua" w:eastAsia="Book Antiqua" w:hAnsi="Book Antiqua" w:cs="Book Antiqua"/>
          <w:color w:val="000000"/>
        </w:rPr>
        <w:t xml:space="preserve"> GH, </w:t>
      </w:r>
      <w:proofErr w:type="spellStart"/>
      <w:r>
        <w:rPr>
          <w:rFonts w:ascii="Book Antiqua" w:eastAsia="Book Antiqua" w:hAnsi="Book Antiqua" w:cs="Book Antiqua"/>
          <w:color w:val="000000"/>
        </w:rPr>
        <w:t>Oxman</w:t>
      </w:r>
      <w:proofErr w:type="spellEnd"/>
      <w:r>
        <w:rPr>
          <w:rFonts w:ascii="Book Antiqua" w:eastAsia="Book Antiqua" w:hAnsi="Book Antiqua" w:cs="Book Antiqua"/>
          <w:color w:val="000000"/>
        </w:rPr>
        <w:t xml:space="preserve"> AD; GRADE Working Group. GRADE Evidence to Decision (</w:t>
      </w:r>
      <w:proofErr w:type="spellStart"/>
      <w:r>
        <w:rPr>
          <w:rFonts w:ascii="Book Antiqua" w:eastAsia="Book Antiqua" w:hAnsi="Book Antiqua" w:cs="Book Antiqua"/>
          <w:color w:val="000000"/>
        </w:rPr>
        <w:t>EtD</w:t>
      </w:r>
      <w:proofErr w:type="spellEnd"/>
      <w:r>
        <w:rPr>
          <w:rFonts w:ascii="Book Antiqua" w:eastAsia="Book Antiqua" w:hAnsi="Book Antiqua" w:cs="Book Antiqua"/>
          <w:color w:val="000000"/>
        </w:rPr>
        <w:t xml:space="preserve">) frameworks: a systematic and transparent approach to making well informed healthcare choices. 1: Introduction. </w:t>
      </w:r>
      <w:r>
        <w:rPr>
          <w:rFonts w:ascii="Book Antiqua" w:eastAsia="Book Antiqua" w:hAnsi="Book Antiqua" w:cs="Book Antiqua"/>
          <w:i/>
          <w:iCs/>
          <w:color w:val="000000"/>
        </w:rPr>
        <w:t>BMJ</w:t>
      </w:r>
      <w:r>
        <w:rPr>
          <w:rFonts w:ascii="Book Antiqua" w:eastAsia="Book Antiqua" w:hAnsi="Book Antiqua" w:cs="Book Antiqua"/>
          <w:color w:val="000000"/>
        </w:rPr>
        <w:t xml:space="preserve"> 2016; </w:t>
      </w:r>
      <w:r>
        <w:rPr>
          <w:rFonts w:ascii="Book Antiqua" w:eastAsia="Book Antiqua" w:hAnsi="Book Antiqua" w:cs="Book Antiqua"/>
          <w:b/>
          <w:bCs/>
          <w:color w:val="000000"/>
        </w:rPr>
        <w:t>353</w:t>
      </w:r>
      <w:r>
        <w:rPr>
          <w:rFonts w:ascii="Book Antiqua" w:eastAsia="Book Antiqua" w:hAnsi="Book Antiqua" w:cs="Book Antiqua"/>
          <w:color w:val="000000"/>
        </w:rPr>
        <w:t>: i2016 [PMID: 27353417 DOI: 10.1136/bmj.i2016]</w:t>
      </w:r>
    </w:p>
    <w:p w14:paraId="6EBC5A55" w14:textId="77777777" w:rsidR="00A77B3E" w:rsidRDefault="000D6A55">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Czaja</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Review article: the management of autoimmune hepatitis beyond consensus guidelines.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38</w:t>
      </w:r>
      <w:r>
        <w:rPr>
          <w:rFonts w:ascii="Book Antiqua" w:eastAsia="Book Antiqua" w:hAnsi="Book Antiqua" w:cs="Book Antiqua"/>
          <w:color w:val="000000"/>
        </w:rPr>
        <w:t>: 343-364 [PMID: 23808490 DOI: 10.1111/apt.12381]</w:t>
      </w:r>
    </w:p>
    <w:p w14:paraId="4AE25EF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962461B" w14:textId="77777777" w:rsidR="00A77B3E" w:rsidRDefault="000D6A55">
      <w:pPr>
        <w:spacing w:line="360" w:lineRule="auto"/>
        <w:jc w:val="both"/>
      </w:pPr>
      <w:r>
        <w:rPr>
          <w:rFonts w:ascii="Book Antiqua" w:eastAsia="Book Antiqua" w:hAnsi="Book Antiqua" w:cs="Book Antiqua"/>
          <w:b/>
          <w:color w:val="000000"/>
        </w:rPr>
        <w:lastRenderedPageBreak/>
        <w:t>Footnotes</w:t>
      </w:r>
    </w:p>
    <w:p w14:paraId="7A2856DE" w14:textId="7F15225F" w:rsidR="00A77B3E" w:rsidRDefault="000D6A55">
      <w:pPr>
        <w:spacing w:line="360" w:lineRule="auto"/>
        <w:jc w:val="both"/>
      </w:pPr>
      <w:r>
        <w:rPr>
          <w:rFonts w:ascii="Book Antiqua" w:eastAsia="Book Antiqua" w:hAnsi="Book Antiqua" w:cs="Book Antiqua"/>
          <w:b/>
          <w:bCs/>
          <w:color w:val="000000"/>
        </w:rPr>
        <w:t xml:space="preserve">Conflict-of-interest statement: </w:t>
      </w:r>
      <w:r w:rsidR="0021398D">
        <w:rPr>
          <w:rFonts w:ascii="Book Antiqua" w:eastAsia="Book Antiqua" w:hAnsi="Book Antiqua" w:cs="Book Antiqua"/>
          <w:color w:val="000000"/>
        </w:rPr>
        <w:t>The authors</w:t>
      </w:r>
      <w:r>
        <w:rPr>
          <w:rFonts w:ascii="Book Antiqua" w:eastAsia="Book Antiqua" w:hAnsi="Book Antiqua" w:cs="Book Antiqua"/>
          <w:color w:val="000000"/>
        </w:rPr>
        <w:t xml:space="preserve"> declare that they have no conflict of interest.</w:t>
      </w:r>
    </w:p>
    <w:p w14:paraId="7899736A" w14:textId="77777777" w:rsidR="00A77B3E" w:rsidRDefault="00A77B3E">
      <w:pPr>
        <w:spacing w:line="360" w:lineRule="auto"/>
        <w:jc w:val="both"/>
      </w:pPr>
    </w:p>
    <w:p w14:paraId="01F6E683" w14:textId="3D452C0F" w:rsidR="00A77B3E" w:rsidRDefault="000D6A55">
      <w:pPr>
        <w:spacing w:line="360" w:lineRule="auto"/>
        <w:jc w:val="both"/>
      </w:pPr>
      <w:r>
        <w:rPr>
          <w:rFonts w:ascii="Book Antiqua" w:eastAsia="Book Antiqua" w:hAnsi="Book Antiqua" w:cs="Book Antiqua"/>
          <w:b/>
          <w:bCs/>
          <w:color w:val="000000"/>
          <w:szCs w:val="22"/>
        </w:rPr>
        <w:t xml:space="preserve">PRISMA 2009 Checklist statement: </w:t>
      </w:r>
      <w:r>
        <w:rPr>
          <w:rFonts w:ascii="Book Antiqua" w:eastAsia="Book Antiqua" w:hAnsi="Book Antiqua" w:cs="Book Antiqua"/>
          <w:color w:val="000000"/>
        </w:rPr>
        <w:t>The authors have read the PRISMA 2009 Checklist, and the</w:t>
      </w:r>
      <w:r w:rsidR="0021398D">
        <w:rPr>
          <w:rFonts w:hint="eastAsia"/>
          <w:lang w:eastAsia="zh-CN"/>
        </w:rPr>
        <w:t xml:space="preserve"> </w:t>
      </w:r>
      <w:r>
        <w:rPr>
          <w:rFonts w:ascii="Book Antiqua" w:eastAsia="Book Antiqua" w:hAnsi="Book Antiqua" w:cs="Book Antiqua"/>
          <w:color w:val="000000"/>
        </w:rPr>
        <w:t>manuscript was prepared and revised according to the PRISMA 2009 Checklist.</w:t>
      </w:r>
    </w:p>
    <w:p w14:paraId="77F5D9D9" w14:textId="77777777" w:rsidR="00A77B3E" w:rsidRDefault="00A77B3E">
      <w:pPr>
        <w:spacing w:line="360" w:lineRule="auto"/>
        <w:jc w:val="both"/>
      </w:pPr>
    </w:p>
    <w:p w14:paraId="2DB344C2" w14:textId="77777777" w:rsidR="00A77B3E" w:rsidRDefault="000D6A5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16198AC" w14:textId="77777777" w:rsidR="00A77B3E" w:rsidRDefault="00A77B3E">
      <w:pPr>
        <w:spacing w:line="360" w:lineRule="auto"/>
        <w:jc w:val="both"/>
      </w:pPr>
    </w:p>
    <w:p w14:paraId="282AE24A" w14:textId="134FEE38" w:rsidR="00A77B3E" w:rsidRDefault="000D6A55">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357B4E">
        <w:rPr>
          <w:rFonts w:ascii="Book Antiqua" w:eastAsia="Book Antiqua" w:hAnsi="Book Antiqua" w:cs="Book Antiqua"/>
          <w:color w:val="000000"/>
        </w:rPr>
        <w:t>m</w:t>
      </w:r>
      <w:r>
        <w:rPr>
          <w:rFonts w:ascii="Book Antiqua" w:eastAsia="Book Antiqua" w:hAnsi="Book Antiqua" w:cs="Book Antiqua"/>
          <w:color w:val="000000"/>
        </w:rPr>
        <w:t>anuscript</w:t>
      </w:r>
    </w:p>
    <w:p w14:paraId="22E265DD" w14:textId="77777777" w:rsidR="000A7A04" w:rsidRDefault="000A7A04">
      <w:pPr>
        <w:spacing w:line="360" w:lineRule="auto"/>
        <w:jc w:val="both"/>
      </w:pPr>
    </w:p>
    <w:p w14:paraId="103808A1" w14:textId="1736609E" w:rsidR="00A77B3E" w:rsidRDefault="000D6A55">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European Association for the Study of the Liver,</w:t>
      </w:r>
      <w:r w:rsidR="00C550F2">
        <w:rPr>
          <w:rFonts w:ascii="Book Antiqua" w:eastAsia="Book Antiqua" w:hAnsi="Book Antiqua" w:cs="Book Antiqua"/>
          <w:color w:val="000000"/>
        </w:rPr>
        <w:t xml:space="preserve"> No. </w:t>
      </w:r>
      <w:r>
        <w:rPr>
          <w:rFonts w:ascii="Book Antiqua" w:eastAsia="Book Antiqua" w:hAnsi="Book Antiqua" w:cs="Book Antiqua"/>
          <w:color w:val="000000"/>
        </w:rPr>
        <w:t>61079.</w:t>
      </w:r>
    </w:p>
    <w:p w14:paraId="50AFB080" w14:textId="77777777" w:rsidR="00A77B3E" w:rsidRDefault="00A77B3E">
      <w:pPr>
        <w:spacing w:line="360" w:lineRule="auto"/>
        <w:jc w:val="both"/>
      </w:pPr>
    </w:p>
    <w:p w14:paraId="7F12F830" w14:textId="77777777" w:rsidR="00A77B3E" w:rsidRDefault="000D6A5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28, 2020</w:t>
      </w:r>
    </w:p>
    <w:p w14:paraId="15C8338A" w14:textId="77777777" w:rsidR="00A77B3E" w:rsidRDefault="000D6A5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9, 2020</w:t>
      </w:r>
    </w:p>
    <w:p w14:paraId="3C6DF067" w14:textId="77777777" w:rsidR="00A77B3E" w:rsidRDefault="000D6A55">
      <w:pPr>
        <w:spacing w:line="360" w:lineRule="auto"/>
        <w:jc w:val="both"/>
      </w:pPr>
      <w:r>
        <w:rPr>
          <w:rFonts w:ascii="Book Antiqua" w:eastAsia="Book Antiqua" w:hAnsi="Book Antiqua" w:cs="Book Antiqua"/>
          <w:b/>
          <w:color w:val="000000"/>
        </w:rPr>
        <w:t xml:space="preserve">Article in press: </w:t>
      </w:r>
    </w:p>
    <w:p w14:paraId="60AC6CE4" w14:textId="77777777" w:rsidR="00A77B3E" w:rsidRDefault="00A77B3E">
      <w:pPr>
        <w:spacing w:line="360" w:lineRule="auto"/>
        <w:jc w:val="both"/>
      </w:pPr>
    </w:p>
    <w:p w14:paraId="51DA5FFD" w14:textId="3EE31ABF" w:rsidR="00A77B3E" w:rsidRDefault="000D6A5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357B4E">
        <w:rPr>
          <w:rFonts w:ascii="Book Antiqua" w:eastAsia="Book Antiqua" w:hAnsi="Book Antiqua" w:cs="Book Antiqua"/>
          <w:color w:val="000000"/>
        </w:rPr>
        <w:t>h</w:t>
      </w:r>
      <w:r>
        <w:rPr>
          <w:rFonts w:ascii="Book Antiqua" w:eastAsia="Book Antiqua" w:hAnsi="Book Antiqua" w:cs="Book Antiqua"/>
          <w:color w:val="000000"/>
        </w:rPr>
        <w:t>epatology</w:t>
      </w:r>
    </w:p>
    <w:p w14:paraId="41A13BBC" w14:textId="77777777" w:rsidR="00A77B3E" w:rsidRDefault="000D6A5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Netherlands</w:t>
      </w:r>
    </w:p>
    <w:p w14:paraId="617D786E" w14:textId="77777777" w:rsidR="00A77B3E" w:rsidRDefault="000D6A55">
      <w:pPr>
        <w:spacing w:line="360" w:lineRule="auto"/>
        <w:jc w:val="both"/>
      </w:pPr>
      <w:r>
        <w:rPr>
          <w:rFonts w:ascii="Book Antiqua" w:eastAsia="Book Antiqua" w:hAnsi="Book Antiqua" w:cs="Book Antiqua"/>
          <w:b/>
          <w:color w:val="000000"/>
        </w:rPr>
        <w:t>Peer-review report’s scientific quality classification</w:t>
      </w:r>
    </w:p>
    <w:p w14:paraId="25820BB3" w14:textId="77777777" w:rsidR="00A77B3E" w:rsidRDefault="000D6A55">
      <w:pPr>
        <w:spacing w:line="360" w:lineRule="auto"/>
        <w:jc w:val="both"/>
      </w:pPr>
      <w:r>
        <w:rPr>
          <w:rFonts w:ascii="Book Antiqua" w:eastAsia="Book Antiqua" w:hAnsi="Book Antiqua" w:cs="Book Antiqua"/>
          <w:color w:val="000000"/>
        </w:rPr>
        <w:t>Grade A (Excellent): 0</w:t>
      </w:r>
    </w:p>
    <w:p w14:paraId="09078F8C" w14:textId="77777777" w:rsidR="00A77B3E" w:rsidRDefault="000D6A55">
      <w:pPr>
        <w:spacing w:line="360" w:lineRule="auto"/>
        <w:jc w:val="both"/>
      </w:pPr>
      <w:r>
        <w:rPr>
          <w:rFonts w:ascii="Book Antiqua" w:eastAsia="Book Antiqua" w:hAnsi="Book Antiqua" w:cs="Book Antiqua"/>
          <w:color w:val="000000"/>
        </w:rPr>
        <w:t>Grade B (Very good): B, B</w:t>
      </w:r>
    </w:p>
    <w:p w14:paraId="021AA636" w14:textId="77777777" w:rsidR="00A77B3E" w:rsidRDefault="000D6A55">
      <w:pPr>
        <w:spacing w:line="360" w:lineRule="auto"/>
        <w:jc w:val="both"/>
      </w:pPr>
      <w:r>
        <w:rPr>
          <w:rFonts w:ascii="Book Antiqua" w:eastAsia="Book Antiqua" w:hAnsi="Book Antiqua" w:cs="Book Antiqua"/>
          <w:color w:val="000000"/>
        </w:rPr>
        <w:t>Grade C (Good): C</w:t>
      </w:r>
    </w:p>
    <w:p w14:paraId="53670982" w14:textId="77777777" w:rsidR="00A77B3E" w:rsidRDefault="000D6A55">
      <w:pPr>
        <w:spacing w:line="360" w:lineRule="auto"/>
        <w:jc w:val="both"/>
      </w:pPr>
      <w:r>
        <w:rPr>
          <w:rFonts w:ascii="Book Antiqua" w:eastAsia="Book Antiqua" w:hAnsi="Book Antiqua" w:cs="Book Antiqua"/>
          <w:color w:val="000000"/>
        </w:rPr>
        <w:lastRenderedPageBreak/>
        <w:t>Grade D (Fair): 0</w:t>
      </w:r>
    </w:p>
    <w:p w14:paraId="32E49A4B" w14:textId="77777777" w:rsidR="00A77B3E" w:rsidRDefault="000D6A55">
      <w:pPr>
        <w:spacing w:line="360" w:lineRule="auto"/>
        <w:jc w:val="both"/>
      </w:pPr>
      <w:r>
        <w:rPr>
          <w:rFonts w:ascii="Book Antiqua" w:eastAsia="Book Antiqua" w:hAnsi="Book Antiqua" w:cs="Book Antiqua"/>
          <w:color w:val="000000"/>
        </w:rPr>
        <w:t>Grade E (Poor): 0</w:t>
      </w:r>
    </w:p>
    <w:p w14:paraId="07000677" w14:textId="77777777" w:rsidR="00A77B3E" w:rsidRDefault="00A77B3E">
      <w:pPr>
        <w:spacing w:line="360" w:lineRule="auto"/>
        <w:jc w:val="both"/>
      </w:pPr>
    </w:p>
    <w:p w14:paraId="2704C731" w14:textId="77777777" w:rsidR="00A77B3E" w:rsidRDefault="000D6A55">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Biondi A, </w:t>
      </w:r>
      <w:proofErr w:type="spellStart"/>
      <w:r>
        <w:rPr>
          <w:rFonts w:ascii="Book Antiqua" w:eastAsia="Book Antiqua" w:hAnsi="Book Antiqua" w:cs="Book Antiqua"/>
          <w:color w:val="000000"/>
        </w:rPr>
        <w:t>Esmat</w:t>
      </w:r>
      <w:proofErr w:type="spellEnd"/>
      <w:r>
        <w:rPr>
          <w:rFonts w:ascii="Book Antiqua" w:eastAsia="Book Antiqua" w:hAnsi="Book Antiqua" w:cs="Book Antiqua"/>
          <w:color w:val="000000"/>
        </w:rPr>
        <w:t xml:space="preserve"> S, Zhu YY</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P-Editor: </w:t>
      </w:r>
    </w:p>
    <w:p w14:paraId="7D5A72F8" w14:textId="77777777" w:rsidR="00A77B3E" w:rsidRDefault="000D6A55">
      <w:pPr>
        <w:spacing w:line="360" w:lineRule="auto"/>
        <w:jc w:val="both"/>
      </w:pPr>
      <w:r>
        <w:rPr>
          <w:rFonts w:ascii="Book Antiqua" w:eastAsia="Book Antiqua" w:hAnsi="Book Antiqua" w:cs="Book Antiqua"/>
          <w:b/>
          <w:color w:val="000000"/>
        </w:rPr>
        <w:lastRenderedPageBreak/>
        <w:t>Figure Legends</w:t>
      </w:r>
    </w:p>
    <w:p w14:paraId="4B6E92A8" w14:textId="2396E38F" w:rsidR="000600B4" w:rsidRDefault="000600B4">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lang w:eastAsia="zh-CN"/>
        </w:rPr>
        <w:drawing>
          <wp:inline distT="0" distB="0" distL="0" distR="0" wp14:anchorId="6EA49FEA" wp14:editId="1E2571C0">
            <wp:extent cx="5943600" cy="35858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585845"/>
                    </a:xfrm>
                    <a:prstGeom prst="rect">
                      <a:avLst/>
                    </a:prstGeom>
                  </pic:spPr>
                </pic:pic>
              </a:graphicData>
            </a:graphic>
          </wp:inline>
        </w:drawing>
      </w:r>
    </w:p>
    <w:p w14:paraId="11F9A1F0" w14:textId="057F7804" w:rsidR="00A77B3E" w:rsidRDefault="000D6A55">
      <w:pPr>
        <w:spacing w:line="360" w:lineRule="auto"/>
        <w:jc w:val="both"/>
      </w:pPr>
      <w:r w:rsidRPr="000600B4">
        <w:rPr>
          <w:rFonts w:ascii="Book Antiqua" w:eastAsia="Book Antiqua" w:hAnsi="Book Antiqua" w:cs="Book Antiqua"/>
          <w:b/>
          <w:bCs/>
          <w:color w:val="000000"/>
        </w:rPr>
        <w:t>Figure 1 PRISMA flow diagram of the articles retrieved by systematic literature search.</w:t>
      </w:r>
      <w:r w:rsidR="000600B4" w:rsidRPr="000600B4">
        <w:rPr>
          <w:rFonts w:ascii="Book Antiqua" w:eastAsia="Book Antiqua" w:hAnsi="Book Antiqua" w:cs="Book Antiqua"/>
          <w:b/>
          <w:bCs/>
          <w:color w:val="000000"/>
        </w:rPr>
        <w:t xml:space="preserve"> </w:t>
      </w:r>
      <w:r w:rsidR="000600B4">
        <w:rPr>
          <w:rFonts w:ascii="Book Antiqua" w:eastAsia="Book Antiqua" w:hAnsi="Book Antiqua" w:cs="Book Antiqua"/>
          <w:color w:val="000000"/>
        </w:rPr>
        <w:t>AIH: A</w:t>
      </w:r>
      <w:r w:rsidR="000600B4" w:rsidRPr="000600B4">
        <w:rPr>
          <w:rFonts w:ascii="Book Antiqua" w:eastAsia="Book Antiqua" w:hAnsi="Book Antiqua" w:cs="Book Antiqua"/>
          <w:color w:val="000000"/>
        </w:rPr>
        <w:t>utoimmune hepatitis</w:t>
      </w:r>
      <w:r w:rsidR="000600B4">
        <w:rPr>
          <w:rFonts w:ascii="Book Antiqua" w:eastAsia="Book Antiqua" w:hAnsi="Book Antiqua" w:cs="Book Antiqua"/>
          <w:color w:val="000000"/>
        </w:rPr>
        <w:t>.</w:t>
      </w:r>
    </w:p>
    <w:p w14:paraId="3EB46AA0" w14:textId="58C3E788" w:rsidR="00673692" w:rsidRDefault="000600B4">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0D77FF">
        <w:rPr>
          <w:rFonts w:ascii="Book Antiqua" w:eastAsia="Book Antiqua" w:hAnsi="Book Antiqua" w:cs="Book Antiqua"/>
          <w:b/>
          <w:bCs/>
          <w:noProof/>
          <w:color w:val="000000"/>
          <w:lang w:eastAsia="zh-CN"/>
        </w:rPr>
        <w:lastRenderedPageBreak/>
        <w:drawing>
          <wp:inline distT="0" distB="0" distL="0" distR="0" wp14:anchorId="6E96408B" wp14:editId="4C8F09DF">
            <wp:extent cx="5943600" cy="1933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933575"/>
                    </a:xfrm>
                    <a:prstGeom prst="rect">
                      <a:avLst/>
                    </a:prstGeom>
                  </pic:spPr>
                </pic:pic>
              </a:graphicData>
            </a:graphic>
          </wp:inline>
        </w:drawing>
      </w:r>
    </w:p>
    <w:p w14:paraId="30C621D2" w14:textId="7A18CD3C" w:rsidR="00A77B3E" w:rsidRPr="000D77FF" w:rsidRDefault="000D6A55">
      <w:pPr>
        <w:spacing w:line="360" w:lineRule="auto"/>
        <w:jc w:val="both"/>
        <w:rPr>
          <w:b/>
          <w:bCs/>
        </w:rPr>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sidRPr="000D77FF">
        <w:rPr>
          <w:rFonts w:ascii="Book Antiqua" w:eastAsia="Book Antiqua" w:hAnsi="Book Antiqua" w:cs="Book Antiqua"/>
          <w:b/>
          <w:bCs/>
          <w:color w:val="000000"/>
        </w:rPr>
        <w:t>Assessment of methodological quality (risk of bias) of articles identified in the systematic literature search and included in our meta-analysis.</w:t>
      </w:r>
    </w:p>
    <w:p w14:paraId="1B0009C1" w14:textId="7B5AB8C2" w:rsidR="00302726" w:rsidRDefault="000D77FF">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112EF6">
        <w:rPr>
          <w:rFonts w:ascii="Book Antiqua" w:eastAsia="Book Antiqua" w:hAnsi="Book Antiqua" w:cs="Book Antiqua"/>
          <w:b/>
          <w:bCs/>
          <w:noProof/>
          <w:color w:val="000000"/>
          <w:lang w:eastAsia="zh-CN"/>
        </w:rPr>
        <w:lastRenderedPageBreak/>
        <w:drawing>
          <wp:inline distT="0" distB="0" distL="0" distR="0" wp14:anchorId="626EE090" wp14:editId="6609A7E6">
            <wp:extent cx="5983268" cy="300228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2">
                      <a:extLst>
                        <a:ext uri="{28A0092B-C50C-407E-A947-70E740481C1C}">
                          <a14:useLocalDpi xmlns:a14="http://schemas.microsoft.com/office/drawing/2010/main" val="0"/>
                        </a:ext>
                      </a:extLst>
                    </a:blip>
                    <a:stretch>
                      <a:fillRect/>
                    </a:stretch>
                  </pic:blipFill>
                  <pic:spPr>
                    <a:xfrm>
                      <a:off x="0" y="0"/>
                      <a:ext cx="5990620" cy="3005969"/>
                    </a:xfrm>
                    <a:prstGeom prst="rect">
                      <a:avLst/>
                    </a:prstGeom>
                  </pic:spPr>
                </pic:pic>
              </a:graphicData>
            </a:graphic>
          </wp:inline>
        </w:drawing>
      </w:r>
    </w:p>
    <w:p w14:paraId="3C0C4085" w14:textId="4641D89C" w:rsidR="00A77B3E" w:rsidRPr="00205E78" w:rsidRDefault="000D6A55" w:rsidP="00205E7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w:t>
      </w:r>
      <w:r>
        <w:rPr>
          <w:rFonts w:ascii="Book Antiqua" w:eastAsia="Book Antiqua" w:hAnsi="Book Antiqua" w:cs="Book Antiqua"/>
          <w:color w:val="000000"/>
        </w:rPr>
        <w:t xml:space="preserve"> </w:t>
      </w:r>
      <w:r w:rsidRPr="00302726">
        <w:rPr>
          <w:rFonts w:ascii="Book Antiqua" w:eastAsia="Book Antiqua" w:hAnsi="Book Antiqua" w:cs="Book Antiqua"/>
          <w:b/>
          <w:bCs/>
          <w:color w:val="000000"/>
        </w:rPr>
        <w:t>The pooled event rate of biochemical remission in the tacrolimus group with risk of bias assessment per study.</w:t>
      </w:r>
      <w:r w:rsidR="00205E78">
        <w:rPr>
          <w:rFonts w:ascii="Book Antiqua" w:eastAsia="Book Antiqua" w:hAnsi="Book Antiqua" w:cs="Book Antiqua"/>
          <w:b/>
          <w:bCs/>
          <w:color w:val="000000"/>
        </w:rPr>
        <w:t xml:space="preserve"> </w:t>
      </w:r>
      <w:r w:rsidR="007B1228" w:rsidRPr="00205E78">
        <w:rPr>
          <w:rFonts w:ascii="Book Antiqua" w:eastAsia="Book Antiqua" w:hAnsi="Book Antiqua" w:cs="Book Antiqua"/>
          <w:color w:val="000000"/>
        </w:rPr>
        <w:t xml:space="preserve">Heterogeneity: </w:t>
      </w:r>
      <w:r w:rsidR="007B1228" w:rsidRPr="00205E78">
        <w:rPr>
          <w:rFonts w:ascii="Book Antiqua" w:eastAsia="Book Antiqua" w:hAnsi="Book Antiqua" w:cs="Book Antiqua"/>
          <w:i/>
          <w:iCs/>
          <w:color w:val="000000"/>
        </w:rPr>
        <w:t>Q</w:t>
      </w:r>
      <w:r w:rsidR="007B1228">
        <w:rPr>
          <w:rFonts w:ascii="Book Antiqua" w:eastAsia="Book Antiqua" w:hAnsi="Book Antiqua" w:cs="Book Antiqua"/>
          <w:color w:val="000000"/>
        </w:rPr>
        <w:t xml:space="preserve"> </w:t>
      </w:r>
      <w:r w:rsidR="007B1228" w:rsidRPr="00205E78">
        <w:rPr>
          <w:rFonts w:ascii="Book Antiqua" w:eastAsia="Book Antiqua" w:hAnsi="Book Antiqua" w:cs="Book Antiqua"/>
          <w:color w:val="000000"/>
        </w:rPr>
        <w:t>=</w:t>
      </w:r>
      <w:r w:rsidR="007B1228">
        <w:rPr>
          <w:rFonts w:ascii="Book Antiqua" w:eastAsia="Book Antiqua" w:hAnsi="Book Antiqua" w:cs="Book Antiqua"/>
          <w:color w:val="000000"/>
        </w:rPr>
        <w:t xml:space="preserve"> </w:t>
      </w:r>
      <w:r w:rsidR="007B1228" w:rsidRPr="00205E78">
        <w:rPr>
          <w:rFonts w:ascii="Book Antiqua" w:eastAsia="Book Antiqua" w:hAnsi="Book Antiqua" w:cs="Book Antiqua"/>
          <w:color w:val="000000"/>
        </w:rPr>
        <w:t xml:space="preserve">16.25, </w:t>
      </w:r>
      <w:r w:rsidR="006765E0">
        <w:rPr>
          <w:rFonts w:ascii="Book Antiqua" w:eastAsia="Book Antiqua" w:hAnsi="Book Antiqua" w:cs="Book Antiqua"/>
          <w:color w:val="000000"/>
        </w:rPr>
        <w:t>d</w:t>
      </w:r>
      <w:r w:rsidR="007B1228" w:rsidRPr="007B1228">
        <w:rPr>
          <w:rFonts w:ascii="Book Antiqua" w:eastAsia="Book Antiqua" w:hAnsi="Book Antiqua" w:cs="Book Antiqua"/>
          <w:color w:val="000000"/>
        </w:rPr>
        <w:t>egree of freedom</w:t>
      </w:r>
      <w:r w:rsidR="007B1228">
        <w:rPr>
          <w:rFonts w:ascii="Book Antiqua" w:eastAsia="Book Antiqua" w:hAnsi="Book Antiqua" w:cs="Book Antiqua"/>
          <w:color w:val="000000"/>
        </w:rPr>
        <w:t xml:space="preserve"> </w:t>
      </w:r>
      <w:r w:rsidR="007B1228" w:rsidRPr="00205E78">
        <w:rPr>
          <w:rFonts w:ascii="Book Antiqua" w:eastAsia="Book Antiqua" w:hAnsi="Book Antiqua" w:cs="Book Antiqua"/>
          <w:color w:val="000000"/>
        </w:rPr>
        <w:t>=</w:t>
      </w:r>
      <w:r w:rsidR="007B1228">
        <w:rPr>
          <w:rFonts w:ascii="Book Antiqua" w:eastAsia="Book Antiqua" w:hAnsi="Book Antiqua" w:cs="Book Antiqua"/>
          <w:color w:val="000000"/>
        </w:rPr>
        <w:t xml:space="preserve"> </w:t>
      </w:r>
      <w:r w:rsidR="007B1228" w:rsidRPr="00205E78">
        <w:rPr>
          <w:rFonts w:ascii="Book Antiqua" w:eastAsia="Book Antiqua" w:hAnsi="Book Antiqua" w:cs="Book Antiqua"/>
          <w:color w:val="000000"/>
        </w:rPr>
        <w:t>8 (</w:t>
      </w:r>
      <w:r w:rsidR="007B1228" w:rsidRPr="00205E78">
        <w:rPr>
          <w:rFonts w:ascii="Book Antiqua" w:eastAsia="Book Antiqua" w:hAnsi="Book Antiqua" w:cs="Book Antiqua"/>
          <w:i/>
          <w:iCs/>
          <w:color w:val="000000"/>
        </w:rPr>
        <w:t>P</w:t>
      </w:r>
      <w:r w:rsidR="007B1228">
        <w:rPr>
          <w:rFonts w:ascii="Book Antiqua" w:eastAsia="Book Antiqua" w:hAnsi="Book Antiqua" w:cs="Book Antiqua"/>
          <w:color w:val="000000"/>
        </w:rPr>
        <w:t xml:space="preserve"> </w:t>
      </w:r>
      <w:r w:rsidR="007B1228" w:rsidRPr="00205E78">
        <w:rPr>
          <w:rFonts w:ascii="Book Antiqua" w:eastAsia="Book Antiqua" w:hAnsi="Book Antiqua" w:cs="Book Antiqua"/>
          <w:color w:val="000000"/>
        </w:rPr>
        <w:t>=</w:t>
      </w:r>
      <w:r w:rsidR="007B1228">
        <w:rPr>
          <w:rFonts w:ascii="Book Antiqua" w:eastAsia="Book Antiqua" w:hAnsi="Book Antiqua" w:cs="Book Antiqua"/>
          <w:color w:val="000000"/>
        </w:rPr>
        <w:t xml:space="preserve"> </w:t>
      </w:r>
      <w:r w:rsidR="007B1228" w:rsidRPr="00205E78">
        <w:rPr>
          <w:rFonts w:ascii="Book Antiqua" w:eastAsia="Book Antiqua" w:hAnsi="Book Antiqua" w:cs="Book Antiqua"/>
          <w:color w:val="000000"/>
        </w:rPr>
        <w:t xml:space="preserve">0.039); </w:t>
      </w:r>
      <w:r w:rsidR="007B1228" w:rsidRPr="00205E78">
        <w:rPr>
          <w:rFonts w:ascii="Book Antiqua" w:eastAsia="Book Antiqua" w:hAnsi="Book Antiqua" w:cs="Book Antiqua"/>
          <w:i/>
          <w:iCs/>
          <w:color w:val="000000"/>
        </w:rPr>
        <w:t>I</w:t>
      </w:r>
      <w:r w:rsidR="007B1228" w:rsidRPr="00205E78">
        <w:rPr>
          <w:rFonts w:ascii="Book Antiqua" w:eastAsia="Book Antiqua" w:hAnsi="Book Antiqua" w:cs="Book Antiqua"/>
          <w:color w:val="000000"/>
          <w:vertAlign w:val="superscript"/>
        </w:rPr>
        <w:t>2</w:t>
      </w:r>
      <w:r w:rsidR="007B1228">
        <w:rPr>
          <w:rFonts w:ascii="Book Antiqua" w:eastAsia="Book Antiqua" w:hAnsi="Book Antiqua" w:cs="Book Antiqua"/>
          <w:color w:val="000000"/>
        </w:rPr>
        <w:t xml:space="preserve"> </w:t>
      </w:r>
      <w:r w:rsidR="007B1228" w:rsidRPr="00205E78">
        <w:rPr>
          <w:rFonts w:ascii="Book Antiqua" w:eastAsia="Book Antiqua" w:hAnsi="Book Antiqua" w:cs="Book Antiqua"/>
          <w:color w:val="000000"/>
        </w:rPr>
        <w:t>=</w:t>
      </w:r>
      <w:r w:rsidR="007B1228">
        <w:rPr>
          <w:rFonts w:ascii="Book Antiqua" w:eastAsia="Book Antiqua" w:hAnsi="Book Antiqua" w:cs="Book Antiqua"/>
          <w:color w:val="000000"/>
        </w:rPr>
        <w:t xml:space="preserve"> </w:t>
      </w:r>
      <w:r w:rsidR="007B1228" w:rsidRPr="00205E78">
        <w:rPr>
          <w:rFonts w:ascii="Book Antiqua" w:eastAsia="Book Antiqua" w:hAnsi="Book Antiqua" w:cs="Book Antiqua"/>
          <w:color w:val="000000"/>
        </w:rPr>
        <w:t>50.76%</w:t>
      </w:r>
      <w:r w:rsidR="007B1228">
        <w:rPr>
          <w:rFonts w:ascii="Book Antiqua" w:eastAsia="Book Antiqua" w:hAnsi="Book Antiqua" w:cs="Book Antiqua"/>
          <w:color w:val="000000"/>
        </w:rPr>
        <w:t xml:space="preserve">. </w:t>
      </w:r>
      <w:r w:rsidR="007B1228" w:rsidRPr="00205E78">
        <w:rPr>
          <w:rFonts w:ascii="Book Antiqua" w:eastAsia="Book Antiqua" w:hAnsi="Book Antiqua" w:cs="Book Antiqua"/>
          <w:color w:val="000000"/>
        </w:rPr>
        <w:t xml:space="preserve">Test for overall effect: </w:t>
      </w:r>
      <w:r w:rsidR="007B1228" w:rsidRPr="00205E78">
        <w:rPr>
          <w:rFonts w:ascii="Book Antiqua" w:eastAsia="Book Antiqua" w:hAnsi="Book Antiqua" w:cs="Book Antiqua"/>
          <w:i/>
          <w:iCs/>
          <w:color w:val="000000"/>
        </w:rPr>
        <w:t>Z</w:t>
      </w:r>
      <w:r w:rsidR="007B1228">
        <w:rPr>
          <w:rFonts w:ascii="Book Antiqua" w:eastAsia="Book Antiqua" w:hAnsi="Book Antiqua" w:cs="Book Antiqua"/>
          <w:color w:val="000000"/>
        </w:rPr>
        <w:t xml:space="preserve"> </w:t>
      </w:r>
      <w:r w:rsidR="007B1228" w:rsidRPr="00205E78">
        <w:rPr>
          <w:rFonts w:ascii="Book Antiqua" w:eastAsia="Book Antiqua" w:hAnsi="Book Antiqua" w:cs="Book Antiqua"/>
          <w:color w:val="000000"/>
        </w:rPr>
        <w:t>=</w:t>
      </w:r>
      <w:r w:rsidR="007B1228">
        <w:rPr>
          <w:rFonts w:ascii="Book Antiqua" w:eastAsia="Book Antiqua" w:hAnsi="Book Antiqua" w:cs="Book Antiqua"/>
          <w:color w:val="000000"/>
        </w:rPr>
        <w:t xml:space="preserve"> </w:t>
      </w:r>
      <w:r w:rsidR="007B1228" w:rsidRPr="00205E78">
        <w:rPr>
          <w:rFonts w:ascii="Book Antiqua" w:eastAsia="Book Antiqua" w:hAnsi="Book Antiqua" w:cs="Book Antiqua"/>
          <w:color w:val="000000"/>
        </w:rPr>
        <w:t>4.21 (</w:t>
      </w:r>
      <w:r w:rsidR="007B1228" w:rsidRPr="00205E78">
        <w:rPr>
          <w:rFonts w:ascii="Book Antiqua" w:eastAsia="Book Antiqua" w:hAnsi="Book Antiqua" w:cs="Book Antiqua"/>
          <w:i/>
          <w:iCs/>
          <w:color w:val="000000"/>
        </w:rPr>
        <w:t>P</w:t>
      </w:r>
      <w:r w:rsidR="007B1228">
        <w:rPr>
          <w:rFonts w:ascii="Book Antiqua" w:eastAsia="Book Antiqua" w:hAnsi="Book Antiqua" w:cs="Book Antiqua"/>
          <w:color w:val="000000"/>
        </w:rPr>
        <w:t xml:space="preserve"> </w:t>
      </w:r>
      <w:r w:rsidR="007B1228" w:rsidRPr="00205E78">
        <w:rPr>
          <w:rFonts w:ascii="Book Antiqua" w:eastAsia="Book Antiqua" w:hAnsi="Book Antiqua" w:cs="Book Antiqua"/>
          <w:color w:val="000000"/>
        </w:rPr>
        <w:t>&lt;</w:t>
      </w:r>
      <w:r w:rsidR="007B1228">
        <w:rPr>
          <w:rFonts w:ascii="Book Antiqua" w:eastAsia="Book Antiqua" w:hAnsi="Book Antiqua" w:cs="Book Antiqua"/>
          <w:color w:val="000000"/>
        </w:rPr>
        <w:t xml:space="preserve"> </w:t>
      </w:r>
      <w:r w:rsidR="007B1228" w:rsidRPr="00205E78">
        <w:rPr>
          <w:rFonts w:ascii="Book Antiqua" w:eastAsia="Book Antiqua" w:hAnsi="Book Antiqua" w:cs="Book Antiqua"/>
          <w:color w:val="000000"/>
        </w:rPr>
        <w:t>0.0001)</w:t>
      </w:r>
      <w:r w:rsidR="007B1228">
        <w:rPr>
          <w:rFonts w:ascii="Book Antiqua" w:eastAsia="Book Antiqua" w:hAnsi="Book Antiqua" w:cs="Book Antiqua"/>
          <w:color w:val="000000"/>
        </w:rPr>
        <w:t xml:space="preserve">. </w:t>
      </w:r>
      <w:r w:rsidR="007B1228" w:rsidRPr="007B1228">
        <w:rPr>
          <w:rFonts w:ascii="Book Antiqua" w:eastAsia="Book Antiqua" w:hAnsi="Book Antiqua" w:cs="Book Antiqua"/>
          <w:color w:val="000000"/>
        </w:rPr>
        <w:t>A: Failure to develop and apply appropriate eligibility criteria (inclusion of control population)</w:t>
      </w:r>
      <w:r w:rsidR="007B1228">
        <w:rPr>
          <w:rFonts w:ascii="Book Antiqua" w:eastAsia="Book Antiqua" w:hAnsi="Book Antiqua" w:cs="Book Antiqua"/>
          <w:color w:val="000000"/>
        </w:rPr>
        <w:t xml:space="preserve">; </w:t>
      </w:r>
      <w:r w:rsidR="007B1228" w:rsidRPr="007B1228">
        <w:rPr>
          <w:rFonts w:ascii="Book Antiqua" w:eastAsia="Book Antiqua" w:hAnsi="Book Antiqua" w:cs="Book Antiqua"/>
          <w:color w:val="000000"/>
        </w:rPr>
        <w:t>B: Flawed measurement of both exposure and outcome</w:t>
      </w:r>
      <w:r w:rsidR="007B1228">
        <w:rPr>
          <w:rFonts w:ascii="Book Antiqua" w:eastAsia="Book Antiqua" w:hAnsi="Book Antiqua" w:cs="Book Antiqua"/>
          <w:color w:val="000000"/>
        </w:rPr>
        <w:t xml:space="preserve">; </w:t>
      </w:r>
      <w:r w:rsidR="007B1228" w:rsidRPr="007B1228">
        <w:rPr>
          <w:rFonts w:ascii="Book Antiqua" w:eastAsia="Book Antiqua" w:hAnsi="Book Antiqua" w:cs="Book Antiqua"/>
          <w:color w:val="000000"/>
        </w:rPr>
        <w:t>C: Failure to adequately control confounding</w:t>
      </w:r>
      <w:r w:rsidR="007B1228">
        <w:rPr>
          <w:rFonts w:ascii="Book Antiqua" w:eastAsia="Book Antiqua" w:hAnsi="Book Antiqua" w:cs="Book Antiqua"/>
          <w:color w:val="000000"/>
        </w:rPr>
        <w:t xml:space="preserve">; </w:t>
      </w:r>
      <w:r w:rsidR="007B1228" w:rsidRPr="007B1228">
        <w:rPr>
          <w:rFonts w:ascii="Book Antiqua" w:eastAsia="Book Antiqua" w:hAnsi="Book Antiqua" w:cs="Book Antiqua"/>
          <w:color w:val="000000"/>
        </w:rPr>
        <w:t>D: Incomplete follow-up</w:t>
      </w:r>
      <w:r w:rsidR="0051794A">
        <w:rPr>
          <w:rFonts w:ascii="Book Antiqua" w:eastAsia="Book Antiqua" w:hAnsi="Book Antiqua" w:cs="Book Antiqua"/>
          <w:color w:val="000000"/>
        </w:rPr>
        <w:t>.</w:t>
      </w:r>
      <w:r w:rsidR="007B1228">
        <w:rPr>
          <w:rFonts w:ascii="Book Antiqua" w:eastAsia="Book Antiqua" w:hAnsi="Book Antiqua" w:cs="Book Antiqua"/>
          <w:color w:val="000000"/>
        </w:rPr>
        <w:t xml:space="preserve"> </w:t>
      </w:r>
      <w:r w:rsidR="007B1228" w:rsidRPr="007B1228">
        <w:rPr>
          <w:rFonts w:ascii="Book Antiqua" w:eastAsia="Book Antiqua" w:hAnsi="Book Antiqua" w:cs="Book Antiqua"/>
          <w:color w:val="000000"/>
        </w:rPr>
        <w:t xml:space="preserve">CI: Confidence </w:t>
      </w:r>
      <w:r w:rsidR="00B464E7">
        <w:rPr>
          <w:rFonts w:ascii="Book Antiqua" w:eastAsia="Book Antiqua" w:hAnsi="Book Antiqua" w:cs="Book Antiqua"/>
          <w:color w:val="000000"/>
        </w:rPr>
        <w:t>i</w:t>
      </w:r>
      <w:r w:rsidR="007B1228" w:rsidRPr="007B1228">
        <w:rPr>
          <w:rFonts w:ascii="Book Antiqua" w:eastAsia="Book Antiqua" w:hAnsi="Book Antiqua" w:cs="Book Antiqua"/>
          <w:color w:val="000000"/>
        </w:rPr>
        <w:t>nterval</w:t>
      </w:r>
      <w:r w:rsidR="007B1228">
        <w:rPr>
          <w:rFonts w:ascii="Book Antiqua" w:eastAsia="Book Antiqua" w:hAnsi="Book Antiqua" w:cs="Book Antiqua"/>
          <w:color w:val="000000"/>
        </w:rPr>
        <w:t>.</w:t>
      </w:r>
    </w:p>
    <w:p w14:paraId="776D5CB3" w14:textId="053C6E0F" w:rsidR="00B46805" w:rsidRDefault="00302726">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F24AB5">
        <w:rPr>
          <w:rFonts w:ascii="Book Antiqua" w:eastAsia="Book Antiqua" w:hAnsi="Book Antiqua" w:cs="Book Antiqua"/>
          <w:b/>
          <w:bCs/>
          <w:noProof/>
          <w:color w:val="000000"/>
          <w:lang w:eastAsia="zh-CN"/>
        </w:rPr>
        <w:lastRenderedPageBreak/>
        <w:drawing>
          <wp:inline distT="0" distB="0" distL="0" distR="0" wp14:anchorId="7A56F86F" wp14:editId="2AD7A280">
            <wp:extent cx="6057265" cy="3341688"/>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3">
                      <a:extLst>
                        <a:ext uri="{28A0092B-C50C-407E-A947-70E740481C1C}">
                          <a14:useLocalDpi xmlns:a14="http://schemas.microsoft.com/office/drawing/2010/main" val="0"/>
                        </a:ext>
                      </a:extLst>
                    </a:blip>
                    <a:stretch>
                      <a:fillRect/>
                    </a:stretch>
                  </pic:blipFill>
                  <pic:spPr>
                    <a:xfrm>
                      <a:off x="0" y="0"/>
                      <a:ext cx="6066842" cy="3346972"/>
                    </a:xfrm>
                    <a:prstGeom prst="rect">
                      <a:avLst/>
                    </a:prstGeom>
                  </pic:spPr>
                </pic:pic>
              </a:graphicData>
            </a:graphic>
          </wp:inline>
        </w:drawing>
      </w:r>
    </w:p>
    <w:p w14:paraId="06F9DCCB" w14:textId="5B846BCA" w:rsidR="006765E0" w:rsidRPr="00205E78" w:rsidRDefault="000D6A55" w:rsidP="006765E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4</w:t>
      </w:r>
      <w:r>
        <w:rPr>
          <w:rFonts w:ascii="Book Antiqua" w:eastAsia="Book Antiqua" w:hAnsi="Book Antiqua" w:cs="Book Antiqua"/>
          <w:color w:val="000000"/>
        </w:rPr>
        <w:t xml:space="preserve"> </w:t>
      </w:r>
      <w:r w:rsidRPr="009513EA">
        <w:rPr>
          <w:rFonts w:ascii="Book Antiqua" w:eastAsia="Book Antiqua" w:hAnsi="Book Antiqua" w:cs="Book Antiqua"/>
          <w:b/>
          <w:bCs/>
          <w:color w:val="000000"/>
        </w:rPr>
        <w:t xml:space="preserve">The pooled event rate of biochemical remission in the </w:t>
      </w:r>
      <w:r w:rsidR="009513EA" w:rsidRPr="009513EA">
        <w:rPr>
          <w:rFonts w:ascii="Book Antiqua" w:eastAsia="Book Antiqua" w:hAnsi="Book Antiqua" w:cs="Book Antiqua"/>
          <w:b/>
          <w:bCs/>
          <w:color w:val="000000"/>
        </w:rPr>
        <w:t>mycophenolate mofetil</w:t>
      </w:r>
      <w:r w:rsidRPr="009513EA">
        <w:rPr>
          <w:rFonts w:ascii="Book Antiqua" w:eastAsia="Book Antiqua" w:hAnsi="Book Antiqua" w:cs="Book Antiqua"/>
          <w:b/>
          <w:bCs/>
          <w:color w:val="000000"/>
        </w:rPr>
        <w:t xml:space="preserve"> group with risk of bias assessment per study. </w:t>
      </w:r>
      <w:r w:rsidR="006765E0" w:rsidRPr="006765E0">
        <w:rPr>
          <w:rFonts w:ascii="Book Antiqua" w:eastAsia="Book Antiqua" w:hAnsi="Book Antiqua" w:cs="Book Antiqua"/>
          <w:color w:val="000000"/>
        </w:rPr>
        <w:t xml:space="preserve">Heterogeneity: </w:t>
      </w:r>
      <w:r w:rsidR="006765E0" w:rsidRPr="006765E0">
        <w:rPr>
          <w:rFonts w:ascii="Book Antiqua" w:eastAsia="Book Antiqua" w:hAnsi="Book Antiqua" w:cs="Book Antiqua"/>
          <w:i/>
          <w:iCs/>
          <w:color w:val="000000"/>
        </w:rPr>
        <w:t>Q</w:t>
      </w:r>
      <w:r w:rsidR="006765E0">
        <w:rPr>
          <w:rFonts w:ascii="Book Antiqua" w:eastAsia="Book Antiqua" w:hAnsi="Book Antiqua" w:cs="Book Antiqua"/>
          <w:color w:val="000000"/>
        </w:rPr>
        <w:t xml:space="preserve"> </w:t>
      </w:r>
      <w:r w:rsidR="006765E0" w:rsidRPr="006765E0">
        <w:rPr>
          <w:rFonts w:ascii="Book Antiqua" w:eastAsia="Book Antiqua" w:hAnsi="Book Antiqua" w:cs="Book Antiqua"/>
          <w:color w:val="000000"/>
        </w:rPr>
        <w:t>=</w:t>
      </w:r>
      <w:r w:rsidR="006765E0">
        <w:rPr>
          <w:rFonts w:ascii="Book Antiqua" w:eastAsia="Book Antiqua" w:hAnsi="Book Antiqua" w:cs="Book Antiqua"/>
          <w:color w:val="000000"/>
        </w:rPr>
        <w:t xml:space="preserve"> </w:t>
      </w:r>
      <w:r w:rsidR="006765E0" w:rsidRPr="006765E0">
        <w:rPr>
          <w:rFonts w:ascii="Book Antiqua" w:eastAsia="Book Antiqua" w:hAnsi="Book Antiqua" w:cs="Book Antiqua"/>
          <w:color w:val="000000"/>
        </w:rPr>
        <w:t xml:space="preserve">29.72, </w:t>
      </w:r>
      <w:r w:rsidR="006765E0">
        <w:rPr>
          <w:rFonts w:ascii="Book Antiqua" w:eastAsia="Book Antiqua" w:hAnsi="Book Antiqua" w:cs="Book Antiqua"/>
          <w:color w:val="000000"/>
        </w:rPr>
        <w:t>d</w:t>
      </w:r>
      <w:r w:rsidR="006765E0" w:rsidRPr="006765E0">
        <w:rPr>
          <w:rFonts w:ascii="Book Antiqua" w:eastAsia="Book Antiqua" w:hAnsi="Book Antiqua" w:cs="Book Antiqua"/>
          <w:color w:val="000000"/>
        </w:rPr>
        <w:t>egree of freedom</w:t>
      </w:r>
      <w:r w:rsidR="006765E0">
        <w:rPr>
          <w:rFonts w:ascii="Book Antiqua" w:eastAsia="Book Antiqua" w:hAnsi="Book Antiqua" w:cs="Book Antiqua"/>
          <w:color w:val="000000"/>
        </w:rPr>
        <w:t xml:space="preserve"> </w:t>
      </w:r>
      <w:r w:rsidR="006765E0" w:rsidRPr="006765E0">
        <w:rPr>
          <w:rFonts w:ascii="Book Antiqua" w:eastAsia="Book Antiqua" w:hAnsi="Book Antiqua" w:cs="Book Antiqua"/>
          <w:color w:val="000000"/>
        </w:rPr>
        <w:t>=</w:t>
      </w:r>
      <w:r w:rsidR="006765E0">
        <w:rPr>
          <w:rFonts w:ascii="Book Antiqua" w:eastAsia="Book Antiqua" w:hAnsi="Book Antiqua" w:cs="Book Antiqua"/>
          <w:color w:val="000000"/>
        </w:rPr>
        <w:t xml:space="preserve"> </w:t>
      </w:r>
      <w:r w:rsidR="006765E0" w:rsidRPr="006765E0">
        <w:rPr>
          <w:rFonts w:ascii="Book Antiqua" w:eastAsia="Book Antiqua" w:hAnsi="Book Antiqua" w:cs="Book Antiqua"/>
          <w:color w:val="000000"/>
        </w:rPr>
        <w:t>15 (</w:t>
      </w:r>
      <w:r w:rsidR="006765E0" w:rsidRPr="006765E0">
        <w:rPr>
          <w:rFonts w:ascii="Book Antiqua" w:eastAsia="Book Antiqua" w:hAnsi="Book Antiqua" w:cs="Book Antiqua"/>
          <w:i/>
          <w:iCs/>
          <w:color w:val="000000"/>
        </w:rPr>
        <w:t>P</w:t>
      </w:r>
      <w:r w:rsidR="006765E0">
        <w:rPr>
          <w:rFonts w:ascii="Book Antiqua" w:eastAsia="Book Antiqua" w:hAnsi="Book Antiqua" w:cs="Book Antiqua"/>
          <w:color w:val="000000"/>
        </w:rPr>
        <w:t xml:space="preserve"> </w:t>
      </w:r>
      <w:r w:rsidR="006765E0" w:rsidRPr="006765E0">
        <w:rPr>
          <w:rFonts w:ascii="Book Antiqua" w:eastAsia="Book Antiqua" w:hAnsi="Book Antiqua" w:cs="Book Antiqua"/>
          <w:color w:val="000000"/>
        </w:rPr>
        <w:t>=</w:t>
      </w:r>
      <w:r w:rsidR="006765E0">
        <w:rPr>
          <w:rFonts w:ascii="Book Antiqua" w:eastAsia="Book Antiqua" w:hAnsi="Book Antiqua" w:cs="Book Antiqua"/>
          <w:color w:val="000000"/>
        </w:rPr>
        <w:t xml:space="preserve"> </w:t>
      </w:r>
      <w:r w:rsidR="006765E0" w:rsidRPr="006765E0">
        <w:rPr>
          <w:rFonts w:ascii="Book Antiqua" w:eastAsia="Book Antiqua" w:hAnsi="Book Antiqua" w:cs="Book Antiqua"/>
          <w:color w:val="000000"/>
        </w:rPr>
        <w:t xml:space="preserve">0.013); </w:t>
      </w:r>
      <w:r w:rsidR="006765E0" w:rsidRPr="006765E0">
        <w:rPr>
          <w:rFonts w:ascii="Book Antiqua" w:eastAsia="Book Antiqua" w:hAnsi="Book Antiqua" w:cs="Book Antiqua"/>
          <w:i/>
          <w:iCs/>
          <w:color w:val="000000"/>
        </w:rPr>
        <w:t>I</w:t>
      </w:r>
      <w:r w:rsidR="006765E0" w:rsidRPr="006765E0">
        <w:rPr>
          <w:rFonts w:ascii="Book Antiqua" w:eastAsia="Book Antiqua" w:hAnsi="Book Antiqua" w:cs="Book Antiqua"/>
          <w:color w:val="000000"/>
          <w:vertAlign w:val="superscript"/>
        </w:rPr>
        <w:t>2</w:t>
      </w:r>
      <w:r w:rsidR="006765E0">
        <w:rPr>
          <w:rFonts w:ascii="Book Antiqua" w:eastAsia="Book Antiqua" w:hAnsi="Book Antiqua" w:cs="Book Antiqua"/>
          <w:color w:val="000000"/>
        </w:rPr>
        <w:t xml:space="preserve"> </w:t>
      </w:r>
      <w:r w:rsidR="006765E0" w:rsidRPr="006765E0">
        <w:rPr>
          <w:rFonts w:ascii="Book Antiqua" w:eastAsia="Book Antiqua" w:hAnsi="Book Antiqua" w:cs="Book Antiqua"/>
          <w:color w:val="000000"/>
        </w:rPr>
        <w:t>=</w:t>
      </w:r>
      <w:r w:rsidR="006765E0">
        <w:rPr>
          <w:rFonts w:ascii="Book Antiqua" w:eastAsia="Book Antiqua" w:hAnsi="Book Antiqua" w:cs="Book Antiqua"/>
          <w:color w:val="000000"/>
        </w:rPr>
        <w:t xml:space="preserve"> </w:t>
      </w:r>
      <w:r w:rsidR="006765E0" w:rsidRPr="006765E0">
        <w:rPr>
          <w:rFonts w:ascii="Book Antiqua" w:eastAsia="Book Antiqua" w:hAnsi="Book Antiqua" w:cs="Book Antiqua"/>
          <w:color w:val="000000"/>
        </w:rPr>
        <w:t>49.52%</w:t>
      </w:r>
      <w:r w:rsidR="006765E0">
        <w:rPr>
          <w:rFonts w:ascii="Book Antiqua" w:eastAsia="Book Antiqua" w:hAnsi="Book Antiqua" w:cs="Book Antiqua"/>
          <w:color w:val="000000"/>
        </w:rPr>
        <w:t xml:space="preserve">. </w:t>
      </w:r>
      <w:r w:rsidR="006765E0" w:rsidRPr="006765E0">
        <w:rPr>
          <w:rFonts w:ascii="Book Antiqua" w:eastAsia="Book Antiqua" w:hAnsi="Book Antiqua" w:cs="Book Antiqua"/>
          <w:color w:val="000000"/>
        </w:rPr>
        <w:t xml:space="preserve">Test for overall effect: </w:t>
      </w:r>
      <w:r w:rsidR="006765E0" w:rsidRPr="006765E0">
        <w:rPr>
          <w:rFonts w:ascii="Book Antiqua" w:eastAsia="Book Antiqua" w:hAnsi="Book Antiqua" w:cs="Book Antiqua"/>
          <w:i/>
          <w:iCs/>
          <w:color w:val="000000"/>
        </w:rPr>
        <w:t>Z</w:t>
      </w:r>
      <w:r w:rsidR="006765E0">
        <w:rPr>
          <w:rFonts w:ascii="Book Antiqua" w:eastAsia="Book Antiqua" w:hAnsi="Book Antiqua" w:cs="Book Antiqua"/>
          <w:color w:val="000000"/>
        </w:rPr>
        <w:t xml:space="preserve"> </w:t>
      </w:r>
      <w:r w:rsidR="006765E0" w:rsidRPr="006765E0">
        <w:rPr>
          <w:rFonts w:ascii="Book Antiqua" w:eastAsia="Book Antiqua" w:hAnsi="Book Antiqua" w:cs="Book Antiqua"/>
          <w:color w:val="000000"/>
        </w:rPr>
        <w:t>=</w:t>
      </w:r>
      <w:r w:rsidR="006765E0">
        <w:rPr>
          <w:rFonts w:ascii="Book Antiqua" w:eastAsia="Book Antiqua" w:hAnsi="Book Antiqua" w:cs="Book Antiqua"/>
          <w:color w:val="000000"/>
        </w:rPr>
        <w:t xml:space="preserve"> </w:t>
      </w:r>
      <w:r w:rsidR="006765E0" w:rsidRPr="006765E0">
        <w:rPr>
          <w:rFonts w:ascii="Book Antiqua" w:eastAsia="Book Antiqua" w:hAnsi="Book Antiqua" w:cs="Book Antiqua"/>
          <w:color w:val="000000"/>
        </w:rPr>
        <w:t>3.85 (</w:t>
      </w:r>
      <w:r w:rsidR="006765E0" w:rsidRPr="006765E0">
        <w:rPr>
          <w:rFonts w:ascii="Book Antiqua" w:eastAsia="Book Antiqua" w:hAnsi="Book Antiqua" w:cs="Book Antiqua"/>
          <w:i/>
          <w:iCs/>
          <w:color w:val="000000"/>
        </w:rPr>
        <w:t>P</w:t>
      </w:r>
      <w:r w:rsidR="006765E0">
        <w:rPr>
          <w:rFonts w:ascii="Book Antiqua" w:eastAsia="Book Antiqua" w:hAnsi="Book Antiqua" w:cs="Book Antiqua"/>
          <w:color w:val="000000"/>
        </w:rPr>
        <w:t xml:space="preserve"> </w:t>
      </w:r>
      <w:r w:rsidR="006765E0" w:rsidRPr="006765E0">
        <w:rPr>
          <w:rFonts w:ascii="Book Antiqua" w:eastAsia="Book Antiqua" w:hAnsi="Book Antiqua" w:cs="Book Antiqua"/>
          <w:color w:val="000000"/>
        </w:rPr>
        <w:t>=</w:t>
      </w:r>
      <w:r w:rsidR="006765E0">
        <w:rPr>
          <w:rFonts w:ascii="Book Antiqua" w:eastAsia="Book Antiqua" w:hAnsi="Book Antiqua" w:cs="Book Antiqua"/>
          <w:color w:val="000000"/>
        </w:rPr>
        <w:t xml:space="preserve"> </w:t>
      </w:r>
      <w:r w:rsidR="006765E0" w:rsidRPr="006765E0">
        <w:rPr>
          <w:rFonts w:ascii="Book Antiqua" w:eastAsia="Book Antiqua" w:hAnsi="Book Antiqua" w:cs="Book Antiqua"/>
          <w:color w:val="000000"/>
        </w:rPr>
        <w:t>0</w:t>
      </w:r>
      <w:r w:rsidR="006765E0">
        <w:rPr>
          <w:rFonts w:ascii="Book Antiqua" w:eastAsia="Book Antiqua" w:hAnsi="Book Antiqua" w:cs="Book Antiqua"/>
          <w:color w:val="000000"/>
        </w:rPr>
        <w:t xml:space="preserve"> </w:t>
      </w:r>
      <w:r w:rsidR="006765E0" w:rsidRPr="006765E0">
        <w:rPr>
          <w:rFonts w:ascii="Book Antiqua" w:eastAsia="Book Antiqua" w:hAnsi="Book Antiqua" w:cs="Book Antiqua"/>
          <w:color w:val="000000"/>
        </w:rPr>
        <w:t>&lt;</w:t>
      </w:r>
      <w:r w:rsidR="006765E0">
        <w:rPr>
          <w:rFonts w:ascii="Book Antiqua" w:eastAsia="Book Antiqua" w:hAnsi="Book Antiqua" w:cs="Book Antiqua"/>
          <w:color w:val="000000"/>
        </w:rPr>
        <w:t xml:space="preserve"> </w:t>
      </w:r>
      <w:r w:rsidR="006765E0" w:rsidRPr="006765E0">
        <w:rPr>
          <w:rFonts w:ascii="Book Antiqua" w:eastAsia="Book Antiqua" w:hAnsi="Book Antiqua" w:cs="Book Antiqua"/>
          <w:color w:val="000000"/>
        </w:rPr>
        <w:t>0.0001)</w:t>
      </w:r>
      <w:r w:rsidR="006765E0">
        <w:rPr>
          <w:rFonts w:ascii="Book Antiqua" w:eastAsia="Book Antiqua" w:hAnsi="Book Antiqua" w:cs="Book Antiqua"/>
          <w:color w:val="000000"/>
        </w:rPr>
        <w:t xml:space="preserve">. </w:t>
      </w:r>
      <w:r w:rsidR="006765E0" w:rsidRPr="007B1228">
        <w:rPr>
          <w:rFonts w:ascii="Book Antiqua" w:eastAsia="Book Antiqua" w:hAnsi="Book Antiqua" w:cs="Book Antiqua"/>
          <w:color w:val="000000"/>
        </w:rPr>
        <w:t>A: Failure to develop and apply appropriate eligibility criteria (inclusion of control population)</w:t>
      </w:r>
      <w:r w:rsidR="006765E0">
        <w:rPr>
          <w:rFonts w:ascii="Book Antiqua" w:eastAsia="Book Antiqua" w:hAnsi="Book Antiqua" w:cs="Book Antiqua"/>
          <w:color w:val="000000"/>
        </w:rPr>
        <w:t xml:space="preserve">; </w:t>
      </w:r>
      <w:r w:rsidR="006765E0" w:rsidRPr="007B1228">
        <w:rPr>
          <w:rFonts w:ascii="Book Antiqua" w:eastAsia="Book Antiqua" w:hAnsi="Book Antiqua" w:cs="Book Antiqua"/>
          <w:color w:val="000000"/>
        </w:rPr>
        <w:t>B: Flawed measurement of both exposure and outcome</w:t>
      </w:r>
      <w:r w:rsidR="006765E0">
        <w:rPr>
          <w:rFonts w:ascii="Book Antiqua" w:eastAsia="Book Antiqua" w:hAnsi="Book Antiqua" w:cs="Book Antiqua"/>
          <w:color w:val="000000"/>
        </w:rPr>
        <w:t xml:space="preserve">; </w:t>
      </w:r>
      <w:r w:rsidR="006765E0" w:rsidRPr="007B1228">
        <w:rPr>
          <w:rFonts w:ascii="Book Antiqua" w:eastAsia="Book Antiqua" w:hAnsi="Book Antiqua" w:cs="Book Antiqua"/>
          <w:color w:val="000000"/>
        </w:rPr>
        <w:t>C: Failure to adequately control confounding</w:t>
      </w:r>
      <w:r w:rsidR="006765E0">
        <w:rPr>
          <w:rFonts w:ascii="Book Antiqua" w:eastAsia="Book Antiqua" w:hAnsi="Book Antiqua" w:cs="Book Antiqua"/>
          <w:color w:val="000000"/>
        </w:rPr>
        <w:t xml:space="preserve">; </w:t>
      </w:r>
      <w:r w:rsidR="006765E0" w:rsidRPr="007B1228">
        <w:rPr>
          <w:rFonts w:ascii="Book Antiqua" w:eastAsia="Book Antiqua" w:hAnsi="Book Antiqua" w:cs="Book Antiqua"/>
          <w:color w:val="000000"/>
        </w:rPr>
        <w:t>D: Incomplete follow-up</w:t>
      </w:r>
      <w:r w:rsidR="009F7DD5">
        <w:rPr>
          <w:rFonts w:ascii="Book Antiqua" w:eastAsia="Book Antiqua" w:hAnsi="Book Antiqua" w:cs="Book Antiqua"/>
          <w:color w:val="000000"/>
        </w:rPr>
        <w:t>.</w:t>
      </w:r>
      <w:r w:rsidR="006765E0">
        <w:rPr>
          <w:rFonts w:ascii="Book Antiqua" w:eastAsia="Book Antiqua" w:hAnsi="Book Antiqua" w:cs="Book Antiqua"/>
          <w:color w:val="000000"/>
        </w:rPr>
        <w:t xml:space="preserve"> </w:t>
      </w:r>
      <w:r w:rsidR="006765E0" w:rsidRPr="007B1228">
        <w:rPr>
          <w:rFonts w:ascii="Book Antiqua" w:eastAsia="Book Antiqua" w:hAnsi="Book Antiqua" w:cs="Book Antiqua"/>
          <w:color w:val="000000"/>
        </w:rPr>
        <w:t xml:space="preserve">CI: Confidence </w:t>
      </w:r>
      <w:r w:rsidR="00B464E7">
        <w:rPr>
          <w:rFonts w:ascii="Book Antiqua" w:eastAsia="Book Antiqua" w:hAnsi="Book Antiqua" w:cs="Book Antiqua"/>
          <w:color w:val="000000"/>
        </w:rPr>
        <w:t>i</w:t>
      </w:r>
      <w:r w:rsidR="006765E0" w:rsidRPr="007B1228">
        <w:rPr>
          <w:rFonts w:ascii="Book Antiqua" w:eastAsia="Book Antiqua" w:hAnsi="Book Antiqua" w:cs="Book Antiqua"/>
          <w:color w:val="000000"/>
        </w:rPr>
        <w:t>nterval</w:t>
      </w:r>
      <w:r w:rsidR="006765E0">
        <w:rPr>
          <w:rFonts w:ascii="Book Antiqua" w:eastAsia="Book Antiqua" w:hAnsi="Book Antiqua" w:cs="Book Antiqua"/>
          <w:color w:val="000000"/>
        </w:rPr>
        <w:t>.</w:t>
      </w:r>
    </w:p>
    <w:p w14:paraId="3D13EFE1" w14:textId="3A980980" w:rsidR="00A77B3E" w:rsidRPr="006765E0" w:rsidRDefault="00A77B3E">
      <w:pPr>
        <w:spacing w:line="360" w:lineRule="auto"/>
        <w:jc w:val="both"/>
      </w:pPr>
    </w:p>
    <w:p w14:paraId="46237CE5" w14:textId="5F49174E" w:rsidR="00B46805" w:rsidRDefault="00B46805">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DF4F57">
        <w:rPr>
          <w:rFonts w:ascii="Book Antiqua" w:eastAsia="Book Antiqua" w:hAnsi="Book Antiqua" w:cs="Book Antiqua"/>
          <w:b/>
          <w:bCs/>
          <w:noProof/>
          <w:color w:val="000000"/>
          <w:lang w:eastAsia="zh-CN"/>
        </w:rPr>
        <w:lastRenderedPageBreak/>
        <w:drawing>
          <wp:inline distT="0" distB="0" distL="0" distR="0" wp14:anchorId="120FF97C" wp14:editId="1967C46E">
            <wp:extent cx="5943600" cy="18542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1854200"/>
                    </a:xfrm>
                    <a:prstGeom prst="rect">
                      <a:avLst/>
                    </a:prstGeom>
                  </pic:spPr>
                </pic:pic>
              </a:graphicData>
            </a:graphic>
          </wp:inline>
        </w:drawing>
      </w:r>
    </w:p>
    <w:p w14:paraId="40E6621B" w14:textId="20159081" w:rsidR="00673692" w:rsidRPr="00DF4F57" w:rsidRDefault="000D6A55">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5</w:t>
      </w:r>
      <w:r>
        <w:rPr>
          <w:rFonts w:ascii="Book Antiqua" w:eastAsia="Book Antiqua" w:hAnsi="Book Antiqua" w:cs="Book Antiqua"/>
          <w:color w:val="000000"/>
        </w:rPr>
        <w:t xml:space="preserve"> </w:t>
      </w:r>
      <w:r w:rsidRPr="00DF4F57">
        <w:rPr>
          <w:rFonts w:ascii="Book Antiqua" w:eastAsia="Book Antiqua" w:hAnsi="Book Antiqua" w:cs="Book Antiqua"/>
          <w:b/>
          <w:bCs/>
          <w:color w:val="000000"/>
        </w:rPr>
        <w:t xml:space="preserve">The publication bias of included studies for biochemical remission in (A) tacrolimus and (B) </w:t>
      </w:r>
      <w:r w:rsidR="00DF4F57" w:rsidRPr="00DF4F57">
        <w:rPr>
          <w:rFonts w:ascii="Book Antiqua" w:eastAsia="Book Antiqua" w:hAnsi="Book Antiqua" w:cs="Book Antiqua"/>
          <w:b/>
          <w:bCs/>
          <w:color w:val="000000"/>
        </w:rPr>
        <w:t>mycophenolate mofetil</w:t>
      </w:r>
      <w:r w:rsidRPr="00DF4F57">
        <w:rPr>
          <w:rFonts w:ascii="Book Antiqua" w:eastAsia="Book Antiqua" w:hAnsi="Book Antiqua" w:cs="Book Antiqua"/>
          <w:b/>
          <w:bCs/>
          <w:color w:val="000000"/>
        </w:rPr>
        <w:t xml:space="preserve"> groups.</w:t>
      </w:r>
    </w:p>
    <w:p w14:paraId="6F699D75" w14:textId="1A847111" w:rsidR="00A77B3E" w:rsidRPr="000D6A55" w:rsidRDefault="00673692">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0D6A55">
        <w:rPr>
          <w:rFonts w:ascii="Book Antiqua" w:eastAsia="Book Antiqua" w:hAnsi="Book Antiqua" w:cs="Book Antiqua"/>
          <w:b/>
          <w:bCs/>
          <w:color w:val="000000"/>
        </w:rPr>
        <w:lastRenderedPageBreak/>
        <w:t xml:space="preserve">Table 1 Baseline characteristics and summary of findings of the 21 studies included in our meta-analysis of second-line treatments for </w:t>
      </w:r>
      <w:r w:rsidR="00AC5BAF" w:rsidRPr="000D6A55">
        <w:rPr>
          <w:rFonts w:ascii="Book Antiqua" w:eastAsia="Book Antiqua" w:hAnsi="Book Antiqua" w:cs="Book Antiqua"/>
          <w:b/>
          <w:bCs/>
          <w:color w:val="000000"/>
        </w:rPr>
        <w:t>autoimmune hepatitis</w:t>
      </w:r>
      <w:r w:rsidRPr="000D6A55">
        <w:rPr>
          <w:rFonts w:ascii="Book Antiqua" w:eastAsia="Book Antiqua" w:hAnsi="Book Antiqua" w:cs="Book Antiqua"/>
          <w:b/>
          <w:bCs/>
          <w:color w:val="000000"/>
        </w:rPr>
        <w:t xml:space="preserve"> refractory patients</w:t>
      </w:r>
    </w:p>
    <w:tbl>
      <w:tblPr>
        <w:tblStyle w:val="a7"/>
        <w:tblW w:w="5434"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0"/>
        <w:gridCol w:w="829"/>
        <w:gridCol w:w="1108"/>
        <w:gridCol w:w="833"/>
        <w:gridCol w:w="369"/>
        <w:gridCol w:w="323"/>
        <w:gridCol w:w="6"/>
        <w:gridCol w:w="964"/>
        <w:gridCol w:w="977"/>
        <w:gridCol w:w="1204"/>
        <w:gridCol w:w="46"/>
        <w:gridCol w:w="190"/>
        <w:gridCol w:w="926"/>
        <w:gridCol w:w="907"/>
      </w:tblGrid>
      <w:tr w:rsidR="000D6A55" w:rsidRPr="00AC5BAF" w14:paraId="2761109D" w14:textId="77777777" w:rsidTr="00FA465A">
        <w:trPr>
          <w:trHeight w:val="389"/>
        </w:trPr>
        <w:tc>
          <w:tcPr>
            <w:tcW w:w="733" w:type="pct"/>
            <w:tcBorders>
              <w:top w:val="single" w:sz="4" w:space="0" w:color="auto"/>
              <w:bottom w:val="single" w:sz="4" w:space="0" w:color="auto"/>
            </w:tcBorders>
            <w:noWrap/>
            <w:hideMark/>
          </w:tcPr>
          <w:p w14:paraId="0EBC59B4" w14:textId="5F0937A1" w:rsidR="00AC5BAF" w:rsidRPr="000D6A55" w:rsidRDefault="00AC5BAF" w:rsidP="00AC5BAF">
            <w:pPr>
              <w:spacing w:line="360" w:lineRule="auto"/>
              <w:rPr>
                <w:rFonts w:ascii="Book Antiqua" w:eastAsia="AdvTimes" w:hAnsi="Book Antiqua" w:cstheme="minorHAnsi"/>
                <w:b/>
                <w:bCs/>
                <w:lang w:val="en-US"/>
              </w:rPr>
            </w:pPr>
            <w:r w:rsidRPr="000D6A55">
              <w:rPr>
                <w:rFonts w:ascii="Book Antiqua" w:eastAsia="AdvTimes" w:hAnsi="Book Antiqua" w:cstheme="minorHAnsi"/>
                <w:b/>
                <w:bCs/>
                <w:lang w:val="en-US"/>
              </w:rPr>
              <w:t>Ref.</w:t>
            </w:r>
          </w:p>
        </w:tc>
        <w:tc>
          <w:tcPr>
            <w:tcW w:w="408" w:type="pct"/>
            <w:tcBorders>
              <w:top w:val="single" w:sz="4" w:space="0" w:color="auto"/>
              <w:bottom w:val="single" w:sz="4" w:space="0" w:color="auto"/>
            </w:tcBorders>
            <w:noWrap/>
            <w:hideMark/>
          </w:tcPr>
          <w:p w14:paraId="6ACA0A1B" w14:textId="77777777" w:rsidR="00AC5BAF" w:rsidRPr="000D6A55" w:rsidRDefault="00AC5BAF" w:rsidP="00AC5BAF">
            <w:pPr>
              <w:spacing w:line="360" w:lineRule="auto"/>
              <w:rPr>
                <w:rFonts w:ascii="Book Antiqua" w:eastAsia="AdvTimes" w:hAnsi="Book Antiqua" w:cstheme="minorHAnsi"/>
                <w:b/>
                <w:bCs/>
                <w:lang w:val="en-US"/>
              </w:rPr>
            </w:pPr>
            <w:r w:rsidRPr="000D6A55">
              <w:rPr>
                <w:rFonts w:ascii="Book Antiqua" w:eastAsia="AdvTimes" w:hAnsi="Book Antiqua" w:cstheme="minorHAnsi"/>
                <w:b/>
                <w:bCs/>
                <w:lang w:val="en-US"/>
              </w:rPr>
              <w:t>Year</w:t>
            </w:r>
          </w:p>
        </w:tc>
        <w:tc>
          <w:tcPr>
            <w:tcW w:w="545" w:type="pct"/>
            <w:tcBorders>
              <w:top w:val="single" w:sz="4" w:space="0" w:color="auto"/>
              <w:bottom w:val="single" w:sz="4" w:space="0" w:color="auto"/>
            </w:tcBorders>
            <w:noWrap/>
            <w:hideMark/>
          </w:tcPr>
          <w:p w14:paraId="63F2B098" w14:textId="77777777" w:rsidR="00AC5BAF" w:rsidRPr="000D6A55" w:rsidRDefault="00AC5BAF" w:rsidP="00AC5BAF">
            <w:pPr>
              <w:spacing w:line="360" w:lineRule="auto"/>
              <w:rPr>
                <w:rFonts w:ascii="Book Antiqua" w:eastAsia="AdvTimes" w:hAnsi="Book Antiqua" w:cstheme="minorHAnsi"/>
                <w:b/>
                <w:bCs/>
                <w:lang w:val="en-US"/>
              </w:rPr>
            </w:pPr>
            <w:r w:rsidRPr="000D6A55">
              <w:rPr>
                <w:rFonts w:ascii="Book Antiqua" w:eastAsia="AdvTimes" w:hAnsi="Book Antiqua" w:cstheme="minorHAnsi"/>
                <w:b/>
                <w:bCs/>
                <w:lang w:val="en-US"/>
              </w:rPr>
              <w:t>Country</w:t>
            </w:r>
          </w:p>
        </w:tc>
        <w:tc>
          <w:tcPr>
            <w:tcW w:w="410" w:type="pct"/>
            <w:tcBorders>
              <w:top w:val="single" w:sz="4" w:space="0" w:color="auto"/>
              <w:bottom w:val="single" w:sz="4" w:space="0" w:color="auto"/>
            </w:tcBorders>
            <w:noWrap/>
            <w:hideMark/>
          </w:tcPr>
          <w:p w14:paraId="706DA656" w14:textId="26BF000D" w:rsidR="00AC5BAF" w:rsidRPr="000D6A55" w:rsidRDefault="000D6A55" w:rsidP="00AC5BAF">
            <w:pPr>
              <w:spacing w:line="360" w:lineRule="auto"/>
              <w:rPr>
                <w:rFonts w:ascii="Book Antiqua" w:eastAsia="AdvTimes" w:hAnsi="Book Antiqua" w:cstheme="minorHAnsi"/>
                <w:b/>
                <w:bCs/>
                <w:lang w:val="en-US"/>
              </w:rPr>
            </w:pPr>
            <w:r w:rsidRPr="000D6A55">
              <w:rPr>
                <w:rFonts w:ascii="Book Antiqua" w:eastAsia="AdvTimes" w:hAnsi="Book Antiqua" w:cstheme="minorHAnsi"/>
                <w:b/>
                <w:bCs/>
                <w:lang w:val="en-US"/>
              </w:rPr>
              <w:t>P</w:t>
            </w:r>
            <w:r w:rsidR="00AC5BAF" w:rsidRPr="000D6A55">
              <w:rPr>
                <w:rFonts w:ascii="Book Antiqua" w:eastAsia="AdvTimes" w:hAnsi="Book Antiqua" w:cstheme="minorHAnsi"/>
                <w:b/>
                <w:bCs/>
                <w:lang w:val="en-US"/>
              </w:rPr>
              <w:t>atients</w:t>
            </w:r>
            <w:r w:rsidRPr="000D6A55">
              <w:rPr>
                <w:rFonts w:ascii="Book Antiqua" w:eastAsia="AdvTimes" w:hAnsi="Book Antiqua" w:cstheme="minorHAnsi"/>
                <w:b/>
                <w:bCs/>
                <w:lang w:val="en-US"/>
              </w:rPr>
              <w:t xml:space="preserve"> (</w:t>
            </w:r>
            <w:r w:rsidRPr="000D6A55">
              <w:rPr>
                <w:rFonts w:ascii="Book Antiqua" w:eastAsia="AdvTimes" w:hAnsi="Book Antiqua" w:cstheme="minorHAnsi"/>
                <w:b/>
                <w:bCs/>
                <w:i/>
                <w:iCs/>
                <w:lang w:val="en-US"/>
              </w:rPr>
              <w:t>n</w:t>
            </w:r>
            <w:r w:rsidRPr="000D6A55">
              <w:rPr>
                <w:rFonts w:ascii="Book Antiqua" w:eastAsia="AdvTimes" w:hAnsi="Book Antiqua" w:cstheme="minorHAnsi"/>
                <w:b/>
                <w:bCs/>
                <w:lang w:val="en-US"/>
              </w:rPr>
              <w:t>)</w:t>
            </w:r>
          </w:p>
        </w:tc>
        <w:tc>
          <w:tcPr>
            <w:tcW w:w="344" w:type="pct"/>
            <w:gridSpan w:val="3"/>
            <w:tcBorders>
              <w:top w:val="single" w:sz="4" w:space="0" w:color="auto"/>
              <w:bottom w:val="single" w:sz="4" w:space="0" w:color="auto"/>
            </w:tcBorders>
            <w:noWrap/>
            <w:hideMark/>
          </w:tcPr>
          <w:p w14:paraId="39931965" w14:textId="77777777" w:rsidR="00AC5BAF" w:rsidRPr="000D6A55" w:rsidRDefault="00AC5BAF" w:rsidP="00AC5BAF">
            <w:pPr>
              <w:spacing w:line="360" w:lineRule="auto"/>
              <w:rPr>
                <w:rFonts w:ascii="Book Antiqua" w:eastAsia="AdvTimes" w:hAnsi="Book Antiqua" w:cstheme="minorHAnsi"/>
                <w:b/>
                <w:bCs/>
                <w:lang w:val="en-US"/>
              </w:rPr>
            </w:pPr>
            <w:r w:rsidRPr="000D6A55">
              <w:rPr>
                <w:rFonts w:ascii="Book Antiqua" w:eastAsia="AdvTimes" w:hAnsi="Book Antiqua" w:cstheme="minorHAnsi"/>
                <w:b/>
                <w:bCs/>
                <w:lang w:val="en-US"/>
              </w:rPr>
              <w:t xml:space="preserve">Female </w:t>
            </w:r>
          </w:p>
        </w:tc>
        <w:tc>
          <w:tcPr>
            <w:tcW w:w="473" w:type="pct"/>
            <w:tcBorders>
              <w:top w:val="single" w:sz="4" w:space="0" w:color="auto"/>
              <w:bottom w:val="single" w:sz="4" w:space="0" w:color="auto"/>
            </w:tcBorders>
            <w:noWrap/>
            <w:hideMark/>
          </w:tcPr>
          <w:p w14:paraId="5B41FDBF" w14:textId="4EE8BEF0" w:rsidR="00AC5BAF" w:rsidRPr="000D6A55" w:rsidRDefault="00AC5BAF" w:rsidP="00AC5BAF">
            <w:pPr>
              <w:spacing w:line="360" w:lineRule="auto"/>
              <w:rPr>
                <w:rFonts w:ascii="Book Antiqua" w:eastAsia="AdvTimes" w:hAnsi="Book Antiqua" w:cstheme="minorHAnsi"/>
                <w:b/>
                <w:bCs/>
                <w:lang w:val="en-US"/>
              </w:rPr>
            </w:pPr>
            <w:r w:rsidRPr="000D6A55">
              <w:rPr>
                <w:rFonts w:ascii="Book Antiqua" w:eastAsia="AdvTimes" w:hAnsi="Book Antiqua" w:cstheme="minorHAnsi"/>
                <w:b/>
                <w:bCs/>
                <w:lang w:val="en-US"/>
              </w:rPr>
              <w:t xml:space="preserve">Mean </w:t>
            </w:r>
            <w:r w:rsidR="000D6A55" w:rsidRPr="000D6A55">
              <w:rPr>
                <w:rFonts w:ascii="Book Antiqua" w:eastAsia="AdvTimes" w:hAnsi="Book Antiqua" w:cstheme="minorHAnsi"/>
                <w:b/>
                <w:bCs/>
                <w:lang w:val="en-US"/>
              </w:rPr>
              <w:t>a</w:t>
            </w:r>
            <w:r w:rsidRPr="000D6A55">
              <w:rPr>
                <w:rFonts w:ascii="Book Antiqua" w:eastAsia="AdvTimes" w:hAnsi="Book Antiqua" w:cstheme="minorHAnsi"/>
                <w:b/>
                <w:bCs/>
                <w:lang w:val="en-US"/>
              </w:rPr>
              <w:t>ge</w:t>
            </w:r>
          </w:p>
        </w:tc>
        <w:tc>
          <w:tcPr>
            <w:tcW w:w="480" w:type="pct"/>
            <w:tcBorders>
              <w:top w:val="single" w:sz="4" w:space="0" w:color="auto"/>
              <w:bottom w:val="single" w:sz="4" w:space="0" w:color="auto"/>
            </w:tcBorders>
            <w:noWrap/>
            <w:hideMark/>
          </w:tcPr>
          <w:p w14:paraId="0DB08239" w14:textId="77777777" w:rsidR="00AC5BAF" w:rsidRPr="000D6A55" w:rsidRDefault="00AC5BAF" w:rsidP="00AC5BAF">
            <w:pPr>
              <w:spacing w:line="360" w:lineRule="auto"/>
              <w:rPr>
                <w:rFonts w:ascii="Book Antiqua" w:eastAsia="AdvTimes" w:hAnsi="Book Antiqua" w:cstheme="minorHAnsi"/>
                <w:b/>
                <w:bCs/>
                <w:lang w:val="en-US"/>
              </w:rPr>
            </w:pPr>
            <w:r w:rsidRPr="000D6A55">
              <w:rPr>
                <w:rFonts w:ascii="Book Antiqua" w:eastAsia="AdvTimes" w:hAnsi="Book Antiqua" w:cstheme="minorHAnsi"/>
                <w:b/>
                <w:bCs/>
                <w:lang w:val="en-US"/>
              </w:rPr>
              <w:t>Design</w:t>
            </w:r>
          </w:p>
        </w:tc>
        <w:tc>
          <w:tcPr>
            <w:tcW w:w="614" w:type="pct"/>
            <w:gridSpan w:val="2"/>
            <w:tcBorders>
              <w:top w:val="single" w:sz="4" w:space="0" w:color="auto"/>
              <w:bottom w:val="single" w:sz="4" w:space="0" w:color="auto"/>
            </w:tcBorders>
            <w:noWrap/>
            <w:hideMark/>
          </w:tcPr>
          <w:p w14:paraId="47808585" w14:textId="5360EB20" w:rsidR="00AC5BAF" w:rsidRPr="000D6A55" w:rsidRDefault="00AC5BAF" w:rsidP="00AC5BAF">
            <w:pPr>
              <w:spacing w:line="360" w:lineRule="auto"/>
              <w:rPr>
                <w:rFonts w:ascii="Book Antiqua" w:eastAsia="AdvTimes" w:hAnsi="Book Antiqua" w:cstheme="minorHAnsi"/>
                <w:b/>
                <w:bCs/>
                <w:lang w:val="en-US"/>
              </w:rPr>
            </w:pPr>
            <w:r w:rsidRPr="000D6A55">
              <w:rPr>
                <w:rFonts w:ascii="Book Antiqua" w:eastAsia="AdvTimes" w:hAnsi="Book Antiqua" w:cstheme="minorHAnsi"/>
                <w:b/>
                <w:bCs/>
                <w:lang w:val="en-US"/>
              </w:rPr>
              <w:t>Biochemical remission</w:t>
            </w:r>
            <w:r w:rsidR="000D6A55">
              <w:rPr>
                <w:rFonts w:ascii="Book Antiqua" w:eastAsia="AdvTimes" w:hAnsi="Book Antiqua" w:cstheme="minorHAnsi"/>
                <w:b/>
                <w:bCs/>
                <w:lang w:val="en-US"/>
              </w:rPr>
              <w:t xml:space="preserve"> (</w:t>
            </w:r>
            <w:r w:rsidR="000D6A55" w:rsidRPr="000D6A55">
              <w:rPr>
                <w:rFonts w:ascii="Book Antiqua" w:eastAsia="AdvTimes" w:hAnsi="Book Antiqua" w:cstheme="minorHAnsi"/>
                <w:b/>
                <w:bCs/>
                <w:lang w:val="en-US"/>
              </w:rPr>
              <w:t>%</w:t>
            </w:r>
            <w:r w:rsidR="000D6A55">
              <w:rPr>
                <w:rFonts w:ascii="Book Antiqua" w:eastAsia="AdvTimes" w:hAnsi="Book Antiqua" w:cstheme="minorHAnsi"/>
                <w:b/>
                <w:bCs/>
                <w:lang w:val="en-US"/>
              </w:rPr>
              <w:t>)</w:t>
            </w:r>
          </w:p>
        </w:tc>
        <w:tc>
          <w:tcPr>
            <w:tcW w:w="546" w:type="pct"/>
            <w:gridSpan w:val="2"/>
            <w:tcBorders>
              <w:top w:val="single" w:sz="4" w:space="0" w:color="auto"/>
              <w:bottom w:val="single" w:sz="4" w:space="0" w:color="auto"/>
            </w:tcBorders>
            <w:noWrap/>
            <w:hideMark/>
          </w:tcPr>
          <w:p w14:paraId="288F1DBA" w14:textId="77777777" w:rsidR="00AC5BAF" w:rsidRPr="000D6A55" w:rsidRDefault="00AC5BAF" w:rsidP="00AC5BAF">
            <w:pPr>
              <w:spacing w:line="360" w:lineRule="auto"/>
              <w:ind w:left="-225" w:right="-152"/>
              <w:rPr>
                <w:rFonts w:ascii="Book Antiqua" w:eastAsia="AdvTimes" w:hAnsi="Book Antiqua" w:cstheme="minorHAnsi"/>
                <w:b/>
                <w:bCs/>
                <w:lang w:val="en-US"/>
              </w:rPr>
            </w:pPr>
            <w:r w:rsidRPr="000D6A55">
              <w:rPr>
                <w:rFonts w:ascii="Book Antiqua" w:eastAsia="AdvTimes" w:hAnsi="Book Antiqua" w:cstheme="minorHAnsi"/>
                <w:b/>
                <w:bCs/>
                <w:lang w:val="en-US"/>
              </w:rPr>
              <w:t xml:space="preserve">  Follow-up</w:t>
            </w:r>
          </w:p>
        </w:tc>
        <w:tc>
          <w:tcPr>
            <w:tcW w:w="447" w:type="pct"/>
            <w:tcBorders>
              <w:top w:val="single" w:sz="4" w:space="0" w:color="auto"/>
              <w:bottom w:val="single" w:sz="4" w:space="0" w:color="auto"/>
            </w:tcBorders>
            <w:noWrap/>
            <w:hideMark/>
          </w:tcPr>
          <w:p w14:paraId="15743D51" w14:textId="309F2ACB" w:rsidR="00AC5BAF" w:rsidRPr="000D6A55" w:rsidRDefault="00AC5BAF" w:rsidP="00AC5BAF">
            <w:pPr>
              <w:spacing w:line="360" w:lineRule="auto"/>
              <w:rPr>
                <w:rFonts w:ascii="Book Antiqua" w:eastAsia="AdvTimes" w:hAnsi="Book Antiqua" w:cstheme="minorHAnsi"/>
                <w:b/>
                <w:bCs/>
                <w:lang w:val="en-US"/>
              </w:rPr>
            </w:pPr>
            <w:r w:rsidRPr="000D6A55">
              <w:rPr>
                <w:rFonts w:ascii="Book Antiqua" w:eastAsia="AdvTimes" w:hAnsi="Book Antiqua" w:cstheme="minorHAnsi"/>
                <w:b/>
                <w:bCs/>
                <w:lang w:val="en-US"/>
              </w:rPr>
              <w:t xml:space="preserve">Mean </w:t>
            </w:r>
            <w:r w:rsidR="000D6A55" w:rsidRPr="000D6A55">
              <w:rPr>
                <w:rFonts w:ascii="Book Antiqua" w:eastAsia="AdvTimes" w:hAnsi="Book Antiqua" w:cstheme="minorHAnsi"/>
                <w:b/>
                <w:bCs/>
                <w:lang w:val="en-US"/>
              </w:rPr>
              <w:t>d</w:t>
            </w:r>
            <w:r w:rsidRPr="000D6A55">
              <w:rPr>
                <w:rFonts w:ascii="Book Antiqua" w:eastAsia="AdvTimes" w:hAnsi="Book Antiqua" w:cstheme="minorHAnsi"/>
                <w:b/>
                <w:bCs/>
                <w:lang w:val="en-US"/>
              </w:rPr>
              <w:t>ose</w:t>
            </w:r>
            <w:r w:rsidR="000D6A55" w:rsidRPr="000D6A55">
              <w:rPr>
                <w:rFonts w:ascii="Book Antiqua" w:eastAsia="AdvTimes" w:hAnsi="Book Antiqua" w:cstheme="minorHAnsi"/>
                <w:b/>
                <w:bCs/>
                <w:vertAlign w:val="superscript"/>
                <w:lang w:val="en-US"/>
              </w:rPr>
              <w:t>2</w:t>
            </w:r>
          </w:p>
        </w:tc>
      </w:tr>
      <w:tr w:rsidR="000D6A55" w:rsidRPr="00AC5BAF" w14:paraId="6AAC004A" w14:textId="77777777" w:rsidTr="00FA465A">
        <w:trPr>
          <w:trHeight w:val="267"/>
        </w:trPr>
        <w:tc>
          <w:tcPr>
            <w:tcW w:w="733" w:type="pct"/>
            <w:tcBorders>
              <w:top w:val="single" w:sz="4" w:space="0" w:color="auto"/>
            </w:tcBorders>
            <w:noWrap/>
            <w:hideMark/>
          </w:tcPr>
          <w:p w14:paraId="51C715C0"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b/>
                <w:bCs/>
                <w:lang w:val="en-US"/>
              </w:rPr>
              <w:t>Tacrolimus</w:t>
            </w:r>
          </w:p>
          <w:p w14:paraId="5D9A41DC" w14:textId="3B5411A1" w:rsidR="00AC5BAF" w:rsidRPr="00AC5BAF" w:rsidRDefault="00AC5BAF" w:rsidP="00AC5BAF">
            <w:pPr>
              <w:spacing w:line="360" w:lineRule="auto"/>
              <w:rPr>
                <w:rFonts w:ascii="Book Antiqua" w:eastAsia="AdvTimes" w:hAnsi="Book Antiqua" w:cstheme="minorHAnsi"/>
                <w:vertAlign w:val="superscript"/>
                <w:lang w:val="en-US"/>
              </w:rPr>
            </w:pPr>
            <w:proofErr w:type="spellStart"/>
            <w:r w:rsidRPr="00AC5BAF">
              <w:rPr>
                <w:rFonts w:ascii="Book Antiqua" w:eastAsia="AdvTimes" w:hAnsi="Book Antiqua" w:cstheme="minorHAnsi"/>
                <w:lang w:val="en-US"/>
              </w:rPr>
              <w:t>Zolfino</w:t>
            </w:r>
            <w:proofErr w:type="spellEnd"/>
            <w:r w:rsidRPr="00AC5BAF">
              <w:rPr>
                <w:rFonts w:ascii="Book Antiqua" w:eastAsia="AdvTimes" w:hAnsi="Book Antiqua" w:cstheme="minorHAnsi"/>
                <w:lang w:val="en-US"/>
              </w:rPr>
              <w:t xml:space="preserve"> </w:t>
            </w:r>
            <w:r w:rsidRPr="000D6A55">
              <w:rPr>
                <w:rFonts w:ascii="Book Antiqua" w:eastAsia="AdvTimes" w:hAnsi="Book Antiqua" w:cstheme="minorHAnsi"/>
                <w:i/>
                <w:iCs/>
                <w:lang w:val="en-US"/>
              </w:rPr>
              <w:t>et al</w:t>
            </w:r>
            <w:r w:rsidR="000D6A55" w:rsidRPr="000D6A55">
              <w:rPr>
                <w:rFonts w:ascii="Book Antiqua" w:eastAsia="AdvTimes" w:hAnsi="Book Antiqua" w:cstheme="minorHAnsi"/>
                <w:vertAlign w:val="superscript"/>
                <w:lang w:val="en-US"/>
              </w:rPr>
              <w:t>[</w:t>
            </w:r>
            <w:r w:rsidRPr="00AC5BAF">
              <w:rPr>
                <w:rFonts w:ascii="Book Antiqua" w:eastAsia="AdvTimes" w:hAnsi="Book Antiqua" w:cstheme="minorHAnsi"/>
                <w:vertAlign w:val="superscript"/>
                <w:lang w:val="en-US"/>
              </w:rPr>
              <w:t>29</w:t>
            </w:r>
            <w:r w:rsidR="000D6A55">
              <w:rPr>
                <w:rFonts w:ascii="Book Antiqua" w:eastAsia="AdvTimes" w:hAnsi="Book Antiqua" w:cstheme="minorHAnsi"/>
                <w:vertAlign w:val="superscript"/>
                <w:lang w:val="en-US"/>
              </w:rPr>
              <w:t>]</w:t>
            </w:r>
          </w:p>
        </w:tc>
        <w:tc>
          <w:tcPr>
            <w:tcW w:w="408" w:type="pct"/>
            <w:tcBorders>
              <w:top w:val="single" w:sz="4" w:space="0" w:color="auto"/>
            </w:tcBorders>
            <w:noWrap/>
            <w:hideMark/>
          </w:tcPr>
          <w:p w14:paraId="01DD9055" w14:textId="77777777" w:rsidR="00AC5BAF" w:rsidRPr="00AC5BAF" w:rsidRDefault="00AC5BAF" w:rsidP="00AC5BAF">
            <w:pPr>
              <w:spacing w:line="360" w:lineRule="auto"/>
              <w:rPr>
                <w:rFonts w:ascii="Book Antiqua" w:eastAsia="AdvTimes" w:hAnsi="Book Antiqua" w:cstheme="minorHAnsi"/>
                <w:lang w:val="en-US"/>
              </w:rPr>
            </w:pPr>
          </w:p>
          <w:p w14:paraId="2BF6C693"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2002</w:t>
            </w:r>
          </w:p>
        </w:tc>
        <w:tc>
          <w:tcPr>
            <w:tcW w:w="545" w:type="pct"/>
            <w:tcBorders>
              <w:top w:val="single" w:sz="4" w:space="0" w:color="auto"/>
            </w:tcBorders>
            <w:noWrap/>
            <w:hideMark/>
          </w:tcPr>
          <w:p w14:paraId="352CCA00" w14:textId="77777777" w:rsidR="00AC5BAF" w:rsidRPr="00AC5BAF" w:rsidRDefault="00AC5BAF" w:rsidP="00AC5BAF">
            <w:pPr>
              <w:spacing w:line="360" w:lineRule="auto"/>
              <w:rPr>
                <w:rFonts w:ascii="Book Antiqua" w:eastAsia="AdvTimes" w:hAnsi="Book Antiqua" w:cstheme="minorHAnsi"/>
                <w:lang w:val="en-US"/>
              </w:rPr>
            </w:pPr>
          </w:p>
          <w:p w14:paraId="124E2F41" w14:textId="67ED22AE" w:rsidR="00AC5BAF" w:rsidRPr="00AC5BAF" w:rsidRDefault="000D6A55"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 xml:space="preserve">United </w:t>
            </w:r>
            <w:r>
              <w:rPr>
                <w:rFonts w:ascii="Book Antiqua" w:eastAsia="AdvTimes" w:hAnsi="Book Antiqua" w:cstheme="minorHAnsi"/>
                <w:lang w:val="en-US"/>
              </w:rPr>
              <w:t>Kingdom</w:t>
            </w:r>
          </w:p>
        </w:tc>
        <w:tc>
          <w:tcPr>
            <w:tcW w:w="410" w:type="pct"/>
            <w:tcBorders>
              <w:top w:val="single" w:sz="4" w:space="0" w:color="auto"/>
            </w:tcBorders>
            <w:noWrap/>
            <w:hideMark/>
          </w:tcPr>
          <w:p w14:paraId="5C778E81" w14:textId="77777777" w:rsidR="00AC5BAF" w:rsidRPr="00AC5BAF" w:rsidRDefault="00AC5BAF" w:rsidP="00AC5BAF">
            <w:pPr>
              <w:spacing w:line="360" w:lineRule="auto"/>
              <w:rPr>
                <w:rFonts w:ascii="Book Antiqua" w:eastAsia="AdvTimes" w:hAnsi="Book Antiqua" w:cstheme="minorHAnsi"/>
                <w:lang w:val="en-US"/>
              </w:rPr>
            </w:pPr>
          </w:p>
          <w:p w14:paraId="71A2C60C"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5</w:t>
            </w:r>
          </w:p>
        </w:tc>
        <w:tc>
          <w:tcPr>
            <w:tcW w:w="344" w:type="pct"/>
            <w:gridSpan w:val="3"/>
            <w:tcBorders>
              <w:top w:val="single" w:sz="4" w:space="0" w:color="auto"/>
            </w:tcBorders>
            <w:noWrap/>
            <w:hideMark/>
          </w:tcPr>
          <w:p w14:paraId="0C94BCBD" w14:textId="77777777" w:rsidR="00AC5BAF" w:rsidRPr="00AC5BAF" w:rsidRDefault="00AC5BAF" w:rsidP="00AC5BAF">
            <w:pPr>
              <w:spacing w:line="360" w:lineRule="auto"/>
              <w:rPr>
                <w:rFonts w:ascii="Book Antiqua" w:eastAsia="AdvTimes" w:hAnsi="Book Antiqua" w:cstheme="minorHAnsi"/>
                <w:lang w:val="en-US"/>
              </w:rPr>
            </w:pPr>
          </w:p>
          <w:p w14:paraId="4119543C"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3/5</w:t>
            </w:r>
          </w:p>
        </w:tc>
        <w:tc>
          <w:tcPr>
            <w:tcW w:w="473" w:type="pct"/>
            <w:tcBorders>
              <w:top w:val="single" w:sz="4" w:space="0" w:color="auto"/>
            </w:tcBorders>
            <w:noWrap/>
            <w:hideMark/>
          </w:tcPr>
          <w:p w14:paraId="03C156C5" w14:textId="77777777" w:rsidR="00AC5BAF" w:rsidRPr="00AC5BAF" w:rsidRDefault="00AC5BAF" w:rsidP="00AC5BAF">
            <w:pPr>
              <w:spacing w:line="360" w:lineRule="auto"/>
              <w:rPr>
                <w:rFonts w:ascii="Book Antiqua" w:eastAsia="AdvTimes" w:hAnsi="Book Antiqua" w:cstheme="minorHAnsi"/>
                <w:lang w:val="en-US"/>
              </w:rPr>
            </w:pPr>
          </w:p>
          <w:p w14:paraId="2B2A764B" w14:textId="242E75D3"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28.4</w:t>
            </w:r>
            <w:r w:rsidR="000D6A55">
              <w:rPr>
                <w:rFonts w:ascii="Book Antiqua" w:eastAsia="AdvTimes" w:hAnsi="Book Antiqua" w:cstheme="minorHAnsi"/>
                <w:lang w:val="en-US"/>
              </w:rPr>
              <w:t xml:space="preserve"> </w:t>
            </w:r>
            <w:r w:rsidRPr="00AC5BAF">
              <w:rPr>
                <w:rFonts w:ascii="Book Antiqua" w:eastAsia="AdvTimes" w:hAnsi="Book Antiqua" w:cstheme="minorHAnsi"/>
                <w:lang w:val="en-US"/>
              </w:rPr>
              <w:t>±</w:t>
            </w:r>
            <w:r w:rsidR="000D6A55">
              <w:rPr>
                <w:rFonts w:ascii="Book Antiqua" w:eastAsia="AdvTimes" w:hAnsi="Book Antiqua" w:cstheme="minorHAnsi"/>
                <w:lang w:val="en-US"/>
              </w:rPr>
              <w:t xml:space="preserve"> </w:t>
            </w:r>
            <w:r w:rsidRPr="00AC5BAF">
              <w:rPr>
                <w:rFonts w:ascii="Book Antiqua" w:eastAsia="AdvTimes" w:hAnsi="Book Antiqua" w:cstheme="minorHAnsi"/>
                <w:lang w:val="en-US"/>
              </w:rPr>
              <w:t>12.26</w:t>
            </w:r>
          </w:p>
        </w:tc>
        <w:tc>
          <w:tcPr>
            <w:tcW w:w="480" w:type="pct"/>
            <w:tcBorders>
              <w:top w:val="single" w:sz="4" w:space="0" w:color="auto"/>
            </w:tcBorders>
            <w:noWrap/>
            <w:hideMark/>
          </w:tcPr>
          <w:p w14:paraId="1708F3F7" w14:textId="77777777" w:rsidR="00AC5BAF" w:rsidRPr="00AC5BAF" w:rsidRDefault="00AC5BAF" w:rsidP="00AC5BAF">
            <w:pPr>
              <w:spacing w:line="360" w:lineRule="auto"/>
              <w:rPr>
                <w:rFonts w:ascii="Book Antiqua" w:eastAsia="AdvTimes" w:hAnsi="Book Antiqua" w:cstheme="minorHAnsi"/>
                <w:lang w:val="en-US"/>
              </w:rPr>
            </w:pPr>
          </w:p>
          <w:p w14:paraId="4D84009A"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Retrospective</w:t>
            </w:r>
          </w:p>
        </w:tc>
        <w:tc>
          <w:tcPr>
            <w:tcW w:w="614" w:type="pct"/>
            <w:gridSpan w:val="2"/>
            <w:tcBorders>
              <w:top w:val="single" w:sz="4" w:space="0" w:color="auto"/>
            </w:tcBorders>
            <w:noWrap/>
            <w:hideMark/>
          </w:tcPr>
          <w:p w14:paraId="5C1804C9" w14:textId="77777777" w:rsidR="00AC5BAF" w:rsidRPr="00AC5BAF" w:rsidRDefault="00AC5BAF" w:rsidP="00AC5BAF">
            <w:pPr>
              <w:spacing w:line="360" w:lineRule="auto"/>
              <w:rPr>
                <w:rFonts w:ascii="Book Antiqua" w:eastAsia="AdvTimes" w:hAnsi="Book Antiqua" w:cstheme="minorHAnsi"/>
                <w:lang w:val="en-US"/>
              </w:rPr>
            </w:pPr>
          </w:p>
          <w:p w14:paraId="207C81FE" w14:textId="48290E5B"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2/5 (40)</w:t>
            </w:r>
          </w:p>
        </w:tc>
        <w:tc>
          <w:tcPr>
            <w:tcW w:w="546" w:type="pct"/>
            <w:gridSpan w:val="2"/>
            <w:tcBorders>
              <w:top w:val="single" w:sz="4" w:space="0" w:color="auto"/>
            </w:tcBorders>
            <w:noWrap/>
            <w:hideMark/>
          </w:tcPr>
          <w:p w14:paraId="6393A11F" w14:textId="77777777" w:rsidR="00AC5BAF" w:rsidRPr="00AC5BAF" w:rsidRDefault="00AC5BAF" w:rsidP="00AC5BAF">
            <w:pPr>
              <w:spacing w:line="360" w:lineRule="auto"/>
              <w:rPr>
                <w:rFonts w:ascii="Book Antiqua" w:eastAsia="AdvTimes" w:hAnsi="Book Antiqua" w:cstheme="minorHAnsi"/>
                <w:lang w:val="en-US"/>
              </w:rPr>
            </w:pPr>
          </w:p>
          <w:p w14:paraId="319916C7"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NR</w:t>
            </w:r>
          </w:p>
        </w:tc>
        <w:tc>
          <w:tcPr>
            <w:tcW w:w="447" w:type="pct"/>
            <w:tcBorders>
              <w:top w:val="single" w:sz="4" w:space="0" w:color="auto"/>
            </w:tcBorders>
            <w:noWrap/>
            <w:hideMark/>
          </w:tcPr>
          <w:p w14:paraId="590B9513" w14:textId="77777777" w:rsidR="00AC5BAF" w:rsidRPr="00AC5BAF" w:rsidRDefault="00AC5BAF" w:rsidP="00AC5BAF">
            <w:pPr>
              <w:spacing w:line="360" w:lineRule="auto"/>
              <w:rPr>
                <w:rFonts w:ascii="Book Antiqua" w:eastAsia="AdvTimes" w:hAnsi="Book Antiqua" w:cstheme="minorHAnsi"/>
                <w:lang w:val="en-US"/>
              </w:rPr>
            </w:pPr>
          </w:p>
          <w:p w14:paraId="2C62F05E"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 xml:space="preserve">2-4 </w:t>
            </w:r>
          </w:p>
        </w:tc>
      </w:tr>
      <w:tr w:rsidR="000D6A55" w:rsidRPr="00AC5BAF" w14:paraId="088A4CB7" w14:textId="77777777" w:rsidTr="00FA465A">
        <w:trPr>
          <w:trHeight w:val="228"/>
        </w:trPr>
        <w:tc>
          <w:tcPr>
            <w:tcW w:w="733" w:type="pct"/>
            <w:noWrap/>
            <w:hideMark/>
          </w:tcPr>
          <w:p w14:paraId="63941549" w14:textId="3FE5A4B1" w:rsidR="00AC5BAF" w:rsidRPr="00AC5BAF" w:rsidRDefault="00AC5BAF" w:rsidP="00AC5BAF">
            <w:pPr>
              <w:spacing w:line="360" w:lineRule="auto"/>
              <w:rPr>
                <w:rFonts w:ascii="Book Antiqua" w:eastAsia="AdvTimes" w:hAnsi="Book Antiqua" w:cstheme="minorHAnsi"/>
                <w:vertAlign w:val="superscript"/>
                <w:lang w:val="en-US"/>
              </w:rPr>
            </w:pPr>
            <w:proofErr w:type="spellStart"/>
            <w:r w:rsidRPr="00AC5BAF">
              <w:rPr>
                <w:rFonts w:ascii="Book Antiqua" w:eastAsia="AdvTimes" w:hAnsi="Book Antiqua" w:cstheme="minorHAnsi"/>
                <w:lang w:val="en-US"/>
              </w:rPr>
              <w:t>Aqel</w:t>
            </w:r>
            <w:proofErr w:type="spellEnd"/>
            <w:r w:rsidRPr="00AC5BAF">
              <w:rPr>
                <w:rFonts w:ascii="Book Antiqua" w:eastAsia="AdvTimes" w:hAnsi="Book Antiqua" w:cstheme="minorHAnsi"/>
                <w:lang w:val="en-US"/>
              </w:rPr>
              <w:t xml:space="preserve"> </w:t>
            </w:r>
            <w:r w:rsidRPr="000D6A55">
              <w:rPr>
                <w:rFonts w:ascii="Book Antiqua" w:eastAsia="AdvTimes" w:hAnsi="Book Antiqua" w:cstheme="minorHAnsi"/>
                <w:i/>
                <w:iCs/>
                <w:lang w:val="en-US"/>
              </w:rPr>
              <w:t>et al</w:t>
            </w:r>
            <w:r w:rsidR="000D6A55" w:rsidRPr="000D6A55">
              <w:rPr>
                <w:rFonts w:ascii="Book Antiqua" w:eastAsia="AdvTimes" w:hAnsi="Book Antiqua" w:cstheme="minorHAnsi"/>
                <w:vertAlign w:val="superscript"/>
                <w:lang w:val="en-US"/>
              </w:rPr>
              <w:t>[</w:t>
            </w:r>
            <w:r w:rsidRPr="00AC5BAF">
              <w:rPr>
                <w:rFonts w:ascii="Book Antiqua" w:eastAsia="AdvTimes" w:hAnsi="Book Antiqua" w:cstheme="minorHAnsi"/>
                <w:vertAlign w:val="superscript"/>
                <w:lang w:val="en-US"/>
              </w:rPr>
              <w:t>30</w:t>
            </w:r>
            <w:r w:rsidR="000D6A55">
              <w:rPr>
                <w:rFonts w:ascii="Book Antiqua" w:eastAsia="AdvTimes" w:hAnsi="Book Antiqua" w:cstheme="minorHAnsi"/>
                <w:vertAlign w:val="superscript"/>
                <w:lang w:val="en-US"/>
              </w:rPr>
              <w:t>]</w:t>
            </w:r>
          </w:p>
        </w:tc>
        <w:tc>
          <w:tcPr>
            <w:tcW w:w="408" w:type="pct"/>
            <w:noWrap/>
            <w:hideMark/>
          </w:tcPr>
          <w:p w14:paraId="43017BC5"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2004</w:t>
            </w:r>
          </w:p>
        </w:tc>
        <w:tc>
          <w:tcPr>
            <w:tcW w:w="545" w:type="pct"/>
            <w:noWrap/>
            <w:hideMark/>
          </w:tcPr>
          <w:p w14:paraId="2AF5FDC6" w14:textId="595D87A3" w:rsidR="00AC5BAF" w:rsidRPr="00AC5BAF" w:rsidRDefault="000D6A55"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United States</w:t>
            </w:r>
          </w:p>
        </w:tc>
        <w:tc>
          <w:tcPr>
            <w:tcW w:w="410" w:type="pct"/>
            <w:noWrap/>
            <w:hideMark/>
          </w:tcPr>
          <w:p w14:paraId="3A155A2A"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11</w:t>
            </w:r>
          </w:p>
        </w:tc>
        <w:tc>
          <w:tcPr>
            <w:tcW w:w="344" w:type="pct"/>
            <w:gridSpan w:val="3"/>
            <w:noWrap/>
            <w:hideMark/>
          </w:tcPr>
          <w:p w14:paraId="6030D0CD"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10/11</w:t>
            </w:r>
          </w:p>
        </w:tc>
        <w:tc>
          <w:tcPr>
            <w:tcW w:w="473" w:type="pct"/>
            <w:noWrap/>
            <w:hideMark/>
          </w:tcPr>
          <w:p w14:paraId="4BC7369E"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63</w:t>
            </w:r>
          </w:p>
        </w:tc>
        <w:tc>
          <w:tcPr>
            <w:tcW w:w="480" w:type="pct"/>
            <w:noWrap/>
            <w:hideMark/>
          </w:tcPr>
          <w:p w14:paraId="348725B0"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Retrospective</w:t>
            </w:r>
          </w:p>
        </w:tc>
        <w:tc>
          <w:tcPr>
            <w:tcW w:w="614" w:type="pct"/>
            <w:gridSpan w:val="2"/>
            <w:noWrap/>
            <w:hideMark/>
          </w:tcPr>
          <w:p w14:paraId="3FBDA60E" w14:textId="67EBE18E"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10/11 (91)</w:t>
            </w:r>
          </w:p>
        </w:tc>
        <w:tc>
          <w:tcPr>
            <w:tcW w:w="546" w:type="pct"/>
            <w:gridSpan w:val="2"/>
            <w:noWrap/>
            <w:hideMark/>
          </w:tcPr>
          <w:p w14:paraId="69984E1C" w14:textId="27FB3C42"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16</w:t>
            </w:r>
            <w:r w:rsidR="000D6A55" w:rsidRPr="000D6A55">
              <w:rPr>
                <w:rFonts w:ascii="Book Antiqua" w:eastAsia="AdvTimes" w:hAnsi="Book Antiqua" w:cstheme="minorHAnsi"/>
                <w:vertAlign w:val="superscript"/>
                <w:lang w:val="en-US"/>
              </w:rPr>
              <w:t>1</w:t>
            </w:r>
          </w:p>
        </w:tc>
        <w:tc>
          <w:tcPr>
            <w:tcW w:w="447" w:type="pct"/>
            <w:noWrap/>
            <w:hideMark/>
          </w:tcPr>
          <w:p w14:paraId="12F97F03"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3.0</w:t>
            </w:r>
          </w:p>
        </w:tc>
      </w:tr>
      <w:tr w:rsidR="000D6A55" w:rsidRPr="00AC5BAF" w14:paraId="199F597B" w14:textId="77777777" w:rsidTr="00FA465A">
        <w:trPr>
          <w:trHeight w:val="290"/>
        </w:trPr>
        <w:tc>
          <w:tcPr>
            <w:tcW w:w="733" w:type="pct"/>
            <w:noWrap/>
            <w:hideMark/>
          </w:tcPr>
          <w:p w14:paraId="3CADCBEB" w14:textId="4B7E999C" w:rsidR="00AC5BAF" w:rsidRPr="00AC5BAF" w:rsidRDefault="00AC5BAF" w:rsidP="00AC5BAF">
            <w:pPr>
              <w:spacing w:line="360" w:lineRule="auto"/>
              <w:rPr>
                <w:rFonts w:ascii="Book Antiqua" w:eastAsia="AdvTimes" w:hAnsi="Book Antiqua" w:cstheme="minorHAnsi"/>
                <w:vertAlign w:val="superscript"/>
                <w:lang w:val="en-US"/>
              </w:rPr>
            </w:pPr>
            <w:proofErr w:type="spellStart"/>
            <w:r w:rsidRPr="00AC5BAF">
              <w:rPr>
                <w:rFonts w:ascii="Book Antiqua" w:eastAsia="AdvTimes" w:hAnsi="Book Antiqua" w:cstheme="minorHAnsi"/>
                <w:lang w:val="en-US"/>
              </w:rPr>
              <w:t>Chatur</w:t>
            </w:r>
            <w:proofErr w:type="spellEnd"/>
            <w:r w:rsidRPr="00AC5BAF">
              <w:rPr>
                <w:rFonts w:ascii="Book Antiqua" w:eastAsia="AdvTimes" w:hAnsi="Book Antiqua" w:cstheme="minorHAnsi"/>
                <w:lang w:val="en-US"/>
              </w:rPr>
              <w:t xml:space="preserve"> </w:t>
            </w:r>
            <w:r w:rsidRPr="000D6A55">
              <w:rPr>
                <w:rFonts w:ascii="Book Antiqua" w:eastAsia="AdvTimes" w:hAnsi="Book Antiqua" w:cstheme="minorHAnsi"/>
                <w:i/>
                <w:iCs/>
                <w:lang w:val="en-US"/>
              </w:rPr>
              <w:t>et al</w:t>
            </w:r>
            <w:r w:rsidR="000D6A55" w:rsidRPr="000D6A55">
              <w:rPr>
                <w:rFonts w:ascii="Book Antiqua" w:eastAsia="AdvTimes" w:hAnsi="Book Antiqua" w:cstheme="minorHAnsi"/>
                <w:vertAlign w:val="superscript"/>
                <w:lang w:val="en-US"/>
              </w:rPr>
              <w:t>[</w:t>
            </w:r>
            <w:r w:rsidRPr="00AC5BAF">
              <w:rPr>
                <w:rFonts w:ascii="Book Antiqua" w:eastAsia="AdvTimes" w:hAnsi="Book Antiqua" w:cstheme="minorHAnsi"/>
                <w:vertAlign w:val="superscript"/>
                <w:lang w:val="en-US"/>
              </w:rPr>
              <w:t>31</w:t>
            </w:r>
            <w:r w:rsidR="000D6A55">
              <w:rPr>
                <w:rFonts w:ascii="Book Antiqua" w:eastAsia="AdvTimes" w:hAnsi="Book Antiqua" w:cstheme="minorHAnsi"/>
                <w:vertAlign w:val="superscript"/>
                <w:lang w:val="en-US"/>
              </w:rPr>
              <w:t>]</w:t>
            </w:r>
          </w:p>
        </w:tc>
        <w:tc>
          <w:tcPr>
            <w:tcW w:w="408" w:type="pct"/>
            <w:noWrap/>
            <w:hideMark/>
          </w:tcPr>
          <w:p w14:paraId="7274BC20"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2005</w:t>
            </w:r>
          </w:p>
        </w:tc>
        <w:tc>
          <w:tcPr>
            <w:tcW w:w="545" w:type="pct"/>
            <w:noWrap/>
            <w:hideMark/>
          </w:tcPr>
          <w:p w14:paraId="03621BF4"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Canada</w:t>
            </w:r>
          </w:p>
        </w:tc>
        <w:tc>
          <w:tcPr>
            <w:tcW w:w="410" w:type="pct"/>
            <w:noWrap/>
            <w:hideMark/>
          </w:tcPr>
          <w:p w14:paraId="65D70AB9"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3</w:t>
            </w:r>
          </w:p>
        </w:tc>
        <w:tc>
          <w:tcPr>
            <w:tcW w:w="344" w:type="pct"/>
            <w:gridSpan w:val="3"/>
            <w:noWrap/>
            <w:hideMark/>
          </w:tcPr>
          <w:p w14:paraId="05C3460F"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NR</w:t>
            </w:r>
          </w:p>
        </w:tc>
        <w:tc>
          <w:tcPr>
            <w:tcW w:w="473" w:type="pct"/>
            <w:noWrap/>
            <w:hideMark/>
          </w:tcPr>
          <w:p w14:paraId="2F6361AD"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NR</w:t>
            </w:r>
          </w:p>
        </w:tc>
        <w:tc>
          <w:tcPr>
            <w:tcW w:w="480" w:type="pct"/>
            <w:noWrap/>
            <w:hideMark/>
          </w:tcPr>
          <w:p w14:paraId="12A6F47B"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Retrospective</w:t>
            </w:r>
          </w:p>
        </w:tc>
        <w:tc>
          <w:tcPr>
            <w:tcW w:w="614" w:type="pct"/>
            <w:gridSpan w:val="2"/>
            <w:noWrap/>
            <w:hideMark/>
          </w:tcPr>
          <w:p w14:paraId="29FDC2DD" w14:textId="52D7D96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0/3 (0)</w:t>
            </w:r>
          </w:p>
        </w:tc>
        <w:tc>
          <w:tcPr>
            <w:tcW w:w="546" w:type="pct"/>
            <w:gridSpan w:val="2"/>
            <w:noWrap/>
            <w:hideMark/>
          </w:tcPr>
          <w:p w14:paraId="07296A43"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26.5 (10–54)</w:t>
            </w:r>
          </w:p>
        </w:tc>
        <w:tc>
          <w:tcPr>
            <w:tcW w:w="447" w:type="pct"/>
            <w:noWrap/>
            <w:hideMark/>
          </w:tcPr>
          <w:p w14:paraId="5ADE34E0"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 xml:space="preserve">2-4 </w:t>
            </w:r>
          </w:p>
        </w:tc>
      </w:tr>
      <w:tr w:rsidR="000D6A55" w:rsidRPr="00AC5BAF" w14:paraId="458BFFF8" w14:textId="77777777" w:rsidTr="00FA465A">
        <w:trPr>
          <w:trHeight w:val="280"/>
        </w:trPr>
        <w:tc>
          <w:tcPr>
            <w:tcW w:w="733" w:type="pct"/>
            <w:noWrap/>
            <w:hideMark/>
          </w:tcPr>
          <w:p w14:paraId="113890F0" w14:textId="6ED4FBEC" w:rsidR="00AC5BAF" w:rsidRPr="00AC5BAF" w:rsidRDefault="00AC5BAF" w:rsidP="00AC5BAF">
            <w:pPr>
              <w:spacing w:line="360" w:lineRule="auto"/>
              <w:rPr>
                <w:rFonts w:ascii="Book Antiqua" w:eastAsia="AdvTimes" w:hAnsi="Book Antiqua" w:cstheme="minorHAnsi"/>
                <w:vertAlign w:val="superscript"/>
                <w:lang w:val="en-US"/>
              </w:rPr>
            </w:pPr>
            <w:r w:rsidRPr="00AC5BAF">
              <w:rPr>
                <w:rFonts w:ascii="Book Antiqua" w:eastAsia="AdvTimes" w:hAnsi="Book Antiqua" w:cstheme="minorHAnsi"/>
                <w:lang w:val="en-US"/>
              </w:rPr>
              <w:t>Larsen</w:t>
            </w:r>
            <w:r w:rsidRPr="000D6A55">
              <w:rPr>
                <w:rFonts w:ascii="Book Antiqua" w:eastAsia="AdvTimes" w:hAnsi="Book Antiqua" w:cstheme="minorHAnsi"/>
                <w:i/>
                <w:iCs/>
                <w:lang w:val="en-US"/>
              </w:rPr>
              <w:t xml:space="preserve"> et al</w:t>
            </w:r>
            <w:r w:rsidR="000D6A55" w:rsidRPr="000D6A55">
              <w:rPr>
                <w:rFonts w:ascii="Book Antiqua" w:eastAsia="AdvTimes" w:hAnsi="Book Antiqua" w:cstheme="minorHAnsi"/>
                <w:vertAlign w:val="superscript"/>
                <w:lang w:val="en-US"/>
              </w:rPr>
              <w:t>[</w:t>
            </w:r>
            <w:r w:rsidRPr="00AC5BAF">
              <w:rPr>
                <w:rFonts w:ascii="Book Antiqua" w:eastAsia="AdvTimes" w:hAnsi="Book Antiqua" w:cstheme="minorHAnsi"/>
                <w:vertAlign w:val="superscript"/>
                <w:lang w:val="en-US"/>
              </w:rPr>
              <w:t>32</w:t>
            </w:r>
            <w:r w:rsidR="000D6A55">
              <w:rPr>
                <w:rFonts w:ascii="Book Antiqua" w:eastAsia="AdvTimes" w:hAnsi="Book Antiqua" w:cstheme="minorHAnsi"/>
                <w:vertAlign w:val="superscript"/>
                <w:lang w:val="en-US"/>
              </w:rPr>
              <w:t>]</w:t>
            </w:r>
          </w:p>
        </w:tc>
        <w:tc>
          <w:tcPr>
            <w:tcW w:w="408" w:type="pct"/>
            <w:noWrap/>
            <w:hideMark/>
          </w:tcPr>
          <w:p w14:paraId="421D0514"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2007</w:t>
            </w:r>
          </w:p>
        </w:tc>
        <w:tc>
          <w:tcPr>
            <w:tcW w:w="545" w:type="pct"/>
            <w:noWrap/>
            <w:hideMark/>
          </w:tcPr>
          <w:p w14:paraId="6E58AB73"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Denmark</w:t>
            </w:r>
          </w:p>
        </w:tc>
        <w:tc>
          <w:tcPr>
            <w:tcW w:w="410" w:type="pct"/>
            <w:noWrap/>
            <w:hideMark/>
          </w:tcPr>
          <w:p w14:paraId="5AB65D27"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9</w:t>
            </w:r>
          </w:p>
        </w:tc>
        <w:tc>
          <w:tcPr>
            <w:tcW w:w="344" w:type="pct"/>
            <w:gridSpan w:val="3"/>
            <w:noWrap/>
            <w:hideMark/>
          </w:tcPr>
          <w:p w14:paraId="21207D1B"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8/9</w:t>
            </w:r>
          </w:p>
        </w:tc>
        <w:tc>
          <w:tcPr>
            <w:tcW w:w="473" w:type="pct"/>
            <w:noWrap/>
            <w:hideMark/>
          </w:tcPr>
          <w:p w14:paraId="766C49C6" w14:textId="7BD17A5A"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36</w:t>
            </w:r>
            <w:r w:rsidR="000D6A55">
              <w:rPr>
                <w:rFonts w:ascii="Book Antiqua" w:eastAsia="AdvTimes" w:hAnsi="Book Antiqua" w:cstheme="minorHAnsi"/>
                <w:lang w:val="en-US"/>
              </w:rPr>
              <w:t xml:space="preserve"> </w:t>
            </w:r>
            <w:r w:rsidRPr="00AC5BAF">
              <w:rPr>
                <w:rFonts w:ascii="Book Antiqua" w:eastAsia="AdvTimes" w:hAnsi="Book Antiqua" w:cstheme="minorHAnsi"/>
                <w:lang w:val="en-US"/>
              </w:rPr>
              <w:t>± 16.06</w:t>
            </w:r>
          </w:p>
        </w:tc>
        <w:tc>
          <w:tcPr>
            <w:tcW w:w="480" w:type="pct"/>
            <w:noWrap/>
            <w:hideMark/>
          </w:tcPr>
          <w:p w14:paraId="33573062"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Retrospective</w:t>
            </w:r>
          </w:p>
        </w:tc>
        <w:tc>
          <w:tcPr>
            <w:tcW w:w="614" w:type="pct"/>
            <w:gridSpan w:val="2"/>
            <w:noWrap/>
            <w:hideMark/>
          </w:tcPr>
          <w:p w14:paraId="32E7F865" w14:textId="2E4FC502"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9/9 (100)</w:t>
            </w:r>
          </w:p>
        </w:tc>
        <w:tc>
          <w:tcPr>
            <w:tcW w:w="546" w:type="pct"/>
            <w:gridSpan w:val="2"/>
            <w:noWrap/>
            <w:hideMark/>
          </w:tcPr>
          <w:p w14:paraId="0830F789" w14:textId="4545B05F"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21.25</w:t>
            </w:r>
            <w:r w:rsidR="000D6A55">
              <w:rPr>
                <w:rFonts w:ascii="Book Antiqua" w:eastAsia="AdvTimes" w:hAnsi="Book Antiqua" w:cstheme="minorHAnsi"/>
                <w:lang w:val="en-US"/>
              </w:rPr>
              <w:t xml:space="preserve"> </w:t>
            </w:r>
            <w:r w:rsidRPr="00AC5BAF">
              <w:rPr>
                <w:rFonts w:ascii="Book Antiqua" w:eastAsia="AdvTimes" w:hAnsi="Book Antiqua" w:cstheme="minorHAnsi"/>
                <w:lang w:val="en-US"/>
              </w:rPr>
              <w:t>± 8.37</w:t>
            </w:r>
          </w:p>
        </w:tc>
        <w:tc>
          <w:tcPr>
            <w:tcW w:w="447" w:type="pct"/>
            <w:noWrap/>
            <w:hideMark/>
          </w:tcPr>
          <w:p w14:paraId="59950920"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 xml:space="preserve">2 (2-4) </w:t>
            </w:r>
          </w:p>
        </w:tc>
      </w:tr>
      <w:tr w:rsidR="000D6A55" w:rsidRPr="00AC5BAF" w14:paraId="3D99E57A" w14:textId="77777777" w:rsidTr="00FA465A">
        <w:trPr>
          <w:trHeight w:val="284"/>
        </w:trPr>
        <w:tc>
          <w:tcPr>
            <w:tcW w:w="733" w:type="pct"/>
            <w:noWrap/>
            <w:hideMark/>
          </w:tcPr>
          <w:p w14:paraId="26E7A3CA" w14:textId="03D805F8" w:rsidR="00AC5BAF" w:rsidRPr="00AC5BAF" w:rsidRDefault="00AC5BAF" w:rsidP="00AC5BAF">
            <w:pPr>
              <w:spacing w:line="360" w:lineRule="auto"/>
              <w:rPr>
                <w:rFonts w:ascii="Book Antiqua" w:eastAsia="AdvTimes" w:hAnsi="Book Antiqua" w:cstheme="minorHAnsi"/>
                <w:vertAlign w:val="superscript"/>
                <w:lang w:val="en-US"/>
              </w:rPr>
            </w:pPr>
            <w:r w:rsidRPr="00AC5BAF">
              <w:rPr>
                <w:rFonts w:ascii="Book Antiqua" w:eastAsia="AdvTimes" w:hAnsi="Book Antiqua" w:cstheme="minorHAnsi"/>
                <w:lang w:val="en-US"/>
              </w:rPr>
              <w:t xml:space="preserve">Yeoman </w:t>
            </w:r>
            <w:r w:rsidRPr="000D6A55">
              <w:rPr>
                <w:rFonts w:ascii="Book Antiqua" w:eastAsia="AdvTimes" w:hAnsi="Book Antiqua" w:cstheme="minorHAnsi"/>
                <w:i/>
                <w:iCs/>
                <w:lang w:val="en-US"/>
              </w:rPr>
              <w:t>et al</w:t>
            </w:r>
            <w:r w:rsidR="000D6A55" w:rsidRPr="000D6A55">
              <w:rPr>
                <w:rFonts w:ascii="Book Antiqua" w:eastAsia="AdvTimes" w:hAnsi="Book Antiqua" w:cstheme="minorHAnsi"/>
                <w:vertAlign w:val="superscript"/>
                <w:lang w:val="en-US"/>
              </w:rPr>
              <w:t>[</w:t>
            </w:r>
            <w:r w:rsidRPr="00AC5BAF">
              <w:rPr>
                <w:rFonts w:ascii="Book Antiqua" w:eastAsia="AdvTimes" w:hAnsi="Book Antiqua" w:cstheme="minorHAnsi"/>
                <w:vertAlign w:val="superscript"/>
                <w:lang w:val="en-US"/>
              </w:rPr>
              <w:t>33</w:t>
            </w:r>
            <w:r w:rsidR="000D6A55">
              <w:rPr>
                <w:rFonts w:ascii="Book Antiqua" w:eastAsia="AdvTimes" w:hAnsi="Book Antiqua" w:cstheme="minorHAnsi"/>
                <w:vertAlign w:val="superscript"/>
                <w:lang w:val="en-US"/>
              </w:rPr>
              <w:t>]</w:t>
            </w:r>
          </w:p>
        </w:tc>
        <w:tc>
          <w:tcPr>
            <w:tcW w:w="408" w:type="pct"/>
            <w:noWrap/>
            <w:hideMark/>
          </w:tcPr>
          <w:p w14:paraId="1F8335EE"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2011</w:t>
            </w:r>
          </w:p>
        </w:tc>
        <w:tc>
          <w:tcPr>
            <w:tcW w:w="545" w:type="pct"/>
            <w:noWrap/>
            <w:hideMark/>
          </w:tcPr>
          <w:p w14:paraId="07B8B21F" w14:textId="69708FD9" w:rsidR="00AC5BAF" w:rsidRPr="00AC5BAF" w:rsidRDefault="000D6A55"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 xml:space="preserve">United </w:t>
            </w:r>
            <w:r>
              <w:rPr>
                <w:rFonts w:ascii="Book Antiqua" w:eastAsia="AdvTimes" w:hAnsi="Book Antiqua" w:cstheme="minorHAnsi"/>
                <w:lang w:val="en-US"/>
              </w:rPr>
              <w:t>Kingdom</w:t>
            </w:r>
          </w:p>
        </w:tc>
        <w:tc>
          <w:tcPr>
            <w:tcW w:w="410" w:type="pct"/>
            <w:noWrap/>
            <w:hideMark/>
          </w:tcPr>
          <w:p w14:paraId="53960DC0"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9</w:t>
            </w:r>
          </w:p>
        </w:tc>
        <w:tc>
          <w:tcPr>
            <w:tcW w:w="344" w:type="pct"/>
            <w:gridSpan w:val="3"/>
            <w:noWrap/>
            <w:hideMark/>
          </w:tcPr>
          <w:p w14:paraId="3E9A6B52"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5/9</w:t>
            </w:r>
          </w:p>
        </w:tc>
        <w:tc>
          <w:tcPr>
            <w:tcW w:w="473" w:type="pct"/>
            <w:noWrap/>
            <w:hideMark/>
          </w:tcPr>
          <w:p w14:paraId="45140A32" w14:textId="1E4B682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39.5</w:t>
            </w:r>
            <w:r w:rsidR="000D6A55">
              <w:rPr>
                <w:rFonts w:ascii="Book Antiqua" w:eastAsia="AdvTimes" w:hAnsi="Book Antiqua" w:cstheme="minorHAnsi"/>
                <w:lang w:val="en-US"/>
              </w:rPr>
              <w:t xml:space="preserve"> </w:t>
            </w:r>
            <w:r w:rsidRPr="00AC5BAF">
              <w:rPr>
                <w:rFonts w:ascii="Book Antiqua" w:eastAsia="AdvTimes" w:hAnsi="Book Antiqua" w:cstheme="minorHAnsi"/>
                <w:lang w:val="en-US"/>
              </w:rPr>
              <w:t>± 18.07</w:t>
            </w:r>
          </w:p>
        </w:tc>
        <w:tc>
          <w:tcPr>
            <w:tcW w:w="480" w:type="pct"/>
            <w:noWrap/>
            <w:hideMark/>
          </w:tcPr>
          <w:p w14:paraId="2CD7FF1A"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Retrospective</w:t>
            </w:r>
          </w:p>
        </w:tc>
        <w:tc>
          <w:tcPr>
            <w:tcW w:w="614" w:type="pct"/>
            <w:gridSpan w:val="2"/>
            <w:noWrap/>
            <w:hideMark/>
          </w:tcPr>
          <w:p w14:paraId="7562413D" w14:textId="4DE75E5C"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7/9 (77.8)</w:t>
            </w:r>
          </w:p>
        </w:tc>
        <w:tc>
          <w:tcPr>
            <w:tcW w:w="546" w:type="pct"/>
            <w:gridSpan w:val="2"/>
            <w:noWrap/>
            <w:hideMark/>
          </w:tcPr>
          <w:p w14:paraId="556DB539"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NR</w:t>
            </w:r>
          </w:p>
        </w:tc>
        <w:tc>
          <w:tcPr>
            <w:tcW w:w="447" w:type="pct"/>
            <w:noWrap/>
            <w:hideMark/>
          </w:tcPr>
          <w:p w14:paraId="6CCE337B"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NR</w:t>
            </w:r>
          </w:p>
        </w:tc>
      </w:tr>
      <w:tr w:rsidR="000D6A55" w:rsidRPr="00AC5BAF" w14:paraId="77F76299" w14:textId="77777777" w:rsidTr="00FA465A">
        <w:trPr>
          <w:trHeight w:val="328"/>
        </w:trPr>
        <w:tc>
          <w:tcPr>
            <w:tcW w:w="733" w:type="pct"/>
            <w:noWrap/>
            <w:hideMark/>
          </w:tcPr>
          <w:p w14:paraId="54055375" w14:textId="19AA92D2" w:rsidR="00AC5BAF" w:rsidRPr="00AC5BAF" w:rsidRDefault="00AC5BAF" w:rsidP="00AC5BAF">
            <w:pPr>
              <w:spacing w:line="360" w:lineRule="auto"/>
              <w:rPr>
                <w:rFonts w:ascii="Book Antiqua" w:eastAsia="AdvTimes" w:hAnsi="Book Antiqua" w:cstheme="minorHAnsi"/>
                <w:vertAlign w:val="superscript"/>
                <w:lang w:val="en-US"/>
              </w:rPr>
            </w:pPr>
            <w:proofErr w:type="spellStart"/>
            <w:r w:rsidRPr="00AC5BAF">
              <w:rPr>
                <w:rFonts w:ascii="Book Antiqua" w:eastAsia="AdvTimes" w:hAnsi="Book Antiqua" w:cstheme="minorHAnsi"/>
                <w:lang w:val="en-US"/>
              </w:rPr>
              <w:t>Tannous</w:t>
            </w:r>
            <w:proofErr w:type="spellEnd"/>
            <w:r w:rsidRPr="00AC5BAF">
              <w:rPr>
                <w:rFonts w:ascii="Book Antiqua" w:eastAsia="AdvTimes" w:hAnsi="Book Antiqua" w:cstheme="minorHAnsi"/>
                <w:lang w:val="en-US"/>
              </w:rPr>
              <w:t xml:space="preserve"> </w:t>
            </w:r>
            <w:r w:rsidRPr="000D6A55">
              <w:rPr>
                <w:rFonts w:ascii="Book Antiqua" w:eastAsia="AdvTimes" w:hAnsi="Book Antiqua" w:cstheme="minorHAnsi"/>
                <w:i/>
                <w:iCs/>
                <w:lang w:val="en-US"/>
              </w:rPr>
              <w:t>et al</w:t>
            </w:r>
            <w:r w:rsidR="000D6A55" w:rsidRPr="000D6A55">
              <w:rPr>
                <w:rFonts w:ascii="Book Antiqua" w:eastAsia="AdvTimes" w:hAnsi="Book Antiqua" w:cstheme="minorHAnsi"/>
                <w:vertAlign w:val="superscript"/>
                <w:lang w:val="en-US"/>
              </w:rPr>
              <w:t>[</w:t>
            </w:r>
            <w:r w:rsidRPr="00AC5BAF">
              <w:rPr>
                <w:rFonts w:ascii="Book Antiqua" w:eastAsia="AdvTimes" w:hAnsi="Book Antiqua" w:cstheme="minorHAnsi"/>
                <w:vertAlign w:val="superscript"/>
                <w:lang w:val="en-US"/>
              </w:rPr>
              <w:t>34</w:t>
            </w:r>
            <w:r w:rsidR="000D6A55">
              <w:rPr>
                <w:rFonts w:ascii="Book Antiqua" w:eastAsia="AdvTimes" w:hAnsi="Book Antiqua" w:cstheme="minorHAnsi"/>
                <w:vertAlign w:val="superscript"/>
                <w:lang w:val="en-US"/>
              </w:rPr>
              <w:t>]</w:t>
            </w:r>
          </w:p>
        </w:tc>
        <w:tc>
          <w:tcPr>
            <w:tcW w:w="408" w:type="pct"/>
            <w:noWrap/>
            <w:hideMark/>
          </w:tcPr>
          <w:p w14:paraId="6B5F9D0C"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2011</w:t>
            </w:r>
          </w:p>
        </w:tc>
        <w:tc>
          <w:tcPr>
            <w:tcW w:w="545" w:type="pct"/>
            <w:noWrap/>
            <w:hideMark/>
          </w:tcPr>
          <w:p w14:paraId="4E18C4A1" w14:textId="331F714B" w:rsidR="00AC5BAF" w:rsidRPr="00641CD2" w:rsidRDefault="00641CD2" w:rsidP="00AC5BAF">
            <w:pPr>
              <w:spacing w:line="360" w:lineRule="auto"/>
              <w:rPr>
                <w:rFonts w:ascii="Book Antiqua" w:hAnsi="Book Antiqua" w:cstheme="minorHAnsi"/>
                <w:lang w:val="en-US" w:eastAsia="zh-CN"/>
              </w:rPr>
            </w:pPr>
            <w:r>
              <w:rPr>
                <w:rFonts w:ascii="Book Antiqua" w:hAnsi="Book Antiqua" w:cstheme="minorHAnsi" w:hint="eastAsia"/>
                <w:lang w:val="en-US" w:eastAsia="zh-CN"/>
              </w:rPr>
              <w:t>U</w:t>
            </w:r>
            <w:r>
              <w:rPr>
                <w:rFonts w:ascii="Book Antiqua" w:hAnsi="Book Antiqua" w:cstheme="minorHAnsi"/>
                <w:lang w:val="en-US" w:eastAsia="zh-CN"/>
              </w:rPr>
              <w:t>nited States</w:t>
            </w:r>
          </w:p>
        </w:tc>
        <w:tc>
          <w:tcPr>
            <w:tcW w:w="410" w:type="pct"/>
            <w:noWrap/>
            <w:hideMark/>
          </w:tcPr>
          <w:p w14:paraId="273C244A"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13</w:t>
            </w:r>
          </w:p>
        </w:tc>
        <w:tc>
          <w:tcPr>
            <w:tcW w:w="344" w:type="pct"/>
            <w:gridSpan w:val="3"/>
            <w:noWrap/>
            <w:hideMark/>
          </w:tcPr>
          <w:p w14:paraId="4948EF84"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10/13</w:t>
            </w:r>
          </w:p>
        </w:tc>
        <w:tc>
          <w:tcPr>
            <w:tcW w:w="473" w:type="pct"/>
            <w:noWrap/>
            <w:hideMark/>
          </w:tcPr>
          <w:p w14:paraId="0E19837B"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40.6 ± 12.5</w:t>
            </w:r>
          </w:p>
        </w:tc>
        <w:tc>
          <w:tcPr>
            <w:tcW w:w="480" w:type="pct"/>
            <w:noWrap/>
            <w:hideMark/>
          </w:tcPr>
          <w:p w14:paraId="03D5C813"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Retrospective</w:t>
            </w:r>
          </w:p>
        </w:tc>
        <w:tc>
          <w:tcPr>
            <w:tcW w:w="614" w:type="pct"/>
            <w:gridSpan w:val="2"/>
            <w:noWrap/>
            <w:hideMark/>
          </w:tcPr>
          <w:p w14:paraId="3B6931D5" w14:textId="3FCF492C"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12/13 (92.3)</w:t>
            </w:r>
          </w:p>
        </w:tc>
        <w:tc>
          <w:tcPr>
            <w:tcW w:w="546" w:type="pct"/>
            <w:gridSpan w:val="2"/>
            <w:noWrap/>
            <w:hideMark/>
          </w:tcPr>
          <w:p w14:paraId="4DA9834F"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 xml:space="preserve">1-65 </w:t>
            </w:r>
          </w:p>
        </w:tc>
        <w:tc>
          <w:tcPr>
            <w:tcW w:w="447" w:type="pct"/>
            <w:noWrap/>
            <w:hideMark/>
          </w:tcPr>
          <w:p w14:paraId="7B1F39C0"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 xml:space="preserve">2-6 </w:t>
            </w:r>
          </w:p>
        </w:tc>
      </w:tr>
      <w:tr w:rsidR="000D6A55" w:rsidRPr="00AC5BAF" w14:paraId="7C8E1E51" w14:textId="77777777" w:rsidTr="00FA465A">
        <w:trPr>
          <w:trHeight w:val="290"/>
        </w:trPr>
        <w:tc>
          <w:tcPr>
            <w:tcW w:w="733" w:type="pct"/>
            <w:noWrap/>
            <w:hideMark/>
          </w:tcPr>
          <w:p w14:paraId="688E7E7E" w14:textId="2581E125" w:rsidR="00AC5BAF" w:rsidRPr="00FA465A"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 xml:space="preserve">Than </w:t>
            </w:r>
            <w:r w:rsidRPr="00FA465A">
              <w:rPr>
                <w:rFonts w:ascii="Book Antiqua" w:eastAsia="AdvTimes" w:hAnsi="Book Antiqua" w:cstheme="minorHAnsi"/>
                <w:i/>
                <w:iCs/>
                <w:lang w:val="en-US"/>
              </w:rPr>
              <w:t>et al</w:t>
            </w:r>
            <w:r w:rsidR="00FA465A" w:rsidRPr="00FA465A">
              <w:rPr>
                <w:rFonts w:ascii="Book Antiqua" w:eastAsia="AdvTimes" w:hAnsi="Book Antiqua" w:cstheme="minorHAnsi"/>
                <w:vertAlign w:val="superscript"/>
                <w:lang w:val="en-US"/>
              </w:rPr>
              <w:t>[</w:t>
            </w:r>
            <w:r w:rsidRPr="00AC5BAF">
              <w:rPr>
                <w:rFonts w:ascii="Book Antiqua" w:eastAsia="AdvTimes" w:hAnsi="Book Antiqua" w:cstheme="minorHAnsi"/>
                <w:vertAlign w:val="superscript"/>
                <w:lang w:val="en-US"/>
              </w:rPr>
              <w:t>35</w:t>
            </w:r>
            <w:r w:rsidR="00FA465A">
              <w:rPr>
                <w:rFonts w:ascii="Book Antiqua" w:eastAsia="AdvTimes" w:hAnsi="Book Antiqua" w:cstheme="minorHAnsi"/>
                <w:vertAlign w:val="superscript"/>
                <w:lang w:val="en-US"/>
              </w:rPr>
              <w:t>]</w:t>
            </w:r>
          </w:p>
        </w:tc>
        <w:tc>
          <w:tcPr>
            <w:tcW w:w="408" w:type="pct"/>
            <w:noWrap/>
            <w:hideMark/>
          </w:tcPr>
          <w:p w14:paraId="3D978BCE" w14:textId="55D75A48"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201</w:t>
            </w:r>
            <w:r w:rsidR="00FA465A">
              <w:rPr>
                <w:rFonts w:ascii="Book Antiqua" w:eastAsia="AdvTimes" w:hAnsi="Book Antiqua" w:cstheme="minorHAnsi"/>
                <w:lang w:val="en-US"/>
              </w:rPr>
              <w:t>6</w:t>
            </w:r>
          </w:p>
        </w:tc>
        <w:tc>
          <w:tcPr>
            <w:tcW w:w="545" w:type="pct"/>
            <w:noWrap/>
            <w:hideMark/>
          </w:tcPr>
          <w:p w14:paraId="79DB241E" w14:textId="5E95EC12"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 xml:space="preserve">German, </w:t>
            </w:r>
            <w:r w:rsidR="00FA465A" w:rsidRPr="00AC5BAF">
              <w:rPr>
                <w:rFonts w:ascii="Book Antiqua" w:eastAsia="AdvTimes" w:hAnsi="Book Antiqua" w:cstheme="minorHAnsi"/>
                <w:lang w:val="en-US"/>
              </w:rPr>
              <w:t xml:space="preserve">United </w:t>
            </w:r>
            <w:r w:rsidR="00FA465A">
              <w:rPr>
                <w:rFonts w:ascii="Book Antiqua" w:eastAsia="AdvTimes" w:hAnsi="Book Antiqua" w:cstheme="minorHAnsi"/>
                <w:lang w:val="en-US"/>
              </w:rPr>
              <w:t>Kingdom</w:t>
            </w:r>
          </w:p>
        </w:tc>
        <w:tc>
          <w:tcPr>
            <w:tcW w:w="410" w:type="pct"/>
            <w:hideMark/>
          </w:tcPr>
          <w:p w14:paraId="67057B46"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17</w:t>
            </w:r>
          </w:p>
        </w:tc>
        <w:tc>
          <w:tcPr>
            <w:tcW w:w="344" w:type="pct"/>
            <w:gridSpan w:val="3"/>
            <w:hideMark/>
          </w:tcPr>
          <w:p w14:paraId="58570751"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11/17</w:t>
            </w:r>
          </w:p>
        </w:tc>
        <w:tc>
          <w:tcPr>
            <w:tcW w:w="473" w:type="pct"/>
            <w:hideMark/>
          </w:tcPr>
          <w:p w14:paraId="1DC094EE" w14:textId="388E648D"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34.5</w:t>
            </w:r>
            <w:r w:rsidR="00FA465A">
              <w:rPr>
                <w:rFonts w:ascii="Book Antiqua" w:eastAsia="AdvTimes" w:hAnsi="Book Antiqua" w:cstheme="minorHAnsi"/>
                <w:lang w:val="en-US"/>
              </w:rPr>
              <w:t xml:space="preserve"> </w:t>
            </w:r>
            <w:r w:rsidRPr="00AC5BAF">
              <w:rPr>
                <w:rFonts w:ascii="Book Antiqua" w:eastAsia="AdvTimes" w:hAnsi="Book Antiqua" w:cstheme="minorHAnsi"/>
                <w:lang w:val="en-US"/>
              </w:rPr>
              <w:t>± 15.03</w:t>
            </w:r>
          </w:p>
        </w:tc>
        <w:tc>
          <w:tcPr>
            <w:tcW w:w="480" w:type="pct"/>
            <w:noWrap/>
            <w:hideMark/>
          </w:tcPr>
          <w:p w14:paraId="001E3486"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Retrospective</w:t>
            </w:r>
          </w:p>
        </w:tc>
        <w:tc>
          <w:tcPr>
            <w:tcW w:w="614" w:type="pct"/>
            <w:gridSpan w:val="2"/>
            <w:noWrap/>
            <w:hideMark/>
          </w:tcPr>
          <w:p w14:paraId="21D1A5CA" w14:textId="49B45249"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9/17 (53)</w:t>
            </w:r>
          </w:p>
        </w:tc>
        <w:tc>
          <w:tcPr>
            <w:tcW w:w="546" w:type="pct"/>
            <w:gridSpan w:val="2"/>
            <w:noWrap/>
            <w:hideMark/>
          </w:tcPr>
          <w:p w14:paraId="02D1F734" w14:textId="5F5C77A0"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84</w:t>
            </w:r>
            <w:r w:rsidR="00FA465A">
              <w:rPr>
                <w:rFonts w:ascii="Book Antiqua" w:eastAsia="AdvTimes" w:hAnsi="Book Antiqua" w:cstheme="minorHAnsi"/>
                <w:lang w:val="en-US"/>
              </w:rPr>
              <w:t xml:space="preserve"> </w:t>
            </w:r>
            <w:r w:rsidRPr="00AC5BAF">
              <w:rPr>
                <w:rFonts w:ascii="Book Antiqua" w:eastAsia="AdvTimes" w:hAnsi="Book Antiqua" w:cstheme="minorHAnsi"/>
                <w:lang w:val="en-US"/>
              </w:rPr>
              <w:t>± 53.45</w:t>
            </w:r>
          </w:p>
        </w:tc>
        <w:tc>
          <w:tcPr>
            <w:tcW w:w="447" w:type="pct"/>
            <w:noWrap/>
            <w:hideMark/>
          </w:tcPr>
          <w:p w14:paraId="4C0525F6" w14:textId="1C78BFA2"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2 (0.5-5)</w:t>
            </w:r>
            <w:r w:rsidR="00FA465A" w:rsidRPr="00FA465A">
              <w:rPr>
                <w:rFonts w:ascii="Book Antiqua" w:eastAsia="AdvTimes" w:hAnsi="Book Antiqua" w:cstheme="minorHAnsi"/>
                <w:vertAlign w:val="superscript"/>
                <w:lang w:val="en-US"/>
              </w:rPr>
              <w:t>1</w:t>
            </w:r>
          </w:p>
        </w:tc>
      </w:tr>
      <w:tr w:rsidR="000D6A55" w:rsidRPr="00AC5BAF" w14:paraId="55AB5819" w14:textId="77777777" w:rsidTr="00FA465A">
        <w:trPr>
          <w:trHeight w:val="286"/>
        </w:trPr>
        <w:tc>
          <w:tcPr>
            <w:tcW w:w="733" w:type="pct"/>
            <w:noWrap/>
            <w:hideMark/>
          </w:tcPr>
          <w:p w14:paraId="732DF2FF" w14:textId="3DC2A56A" w:rsidR="00AC5BAF" w:rsidRPr="00AC5BAF" w:rsidRDefault="00AC5BAF" w:rsidP="00AC5BAF">
            <w:pPr>
              <w:spacing w:line="360" w:lineRule="auto"/>
              <w:rPr>
                <w:rFonts w:ascii="Book Antiqua" w:eastAsia="AdvTimes" w:hAnsi="Book Antiqua" w:cstheme="minorHAnsi"/>
                <w:vertAlign w:val="superscript"/>
                <w:lang w:val="en-US"/>
              </w:rPr>
            </w:pPr>
            <w:proofErr w:type="spellStart"/>
            <w:r w:rsidRPr="00AC5BAF">
              <w:rPr>
                <w:rFonts w:ascii="Book Antiqua" w:eastAsia="AdvTimes" w:hAnsi="Book Antiqua" w:cstheme="minorHAnsi"/>
                <w:lang w:val="en-US"/>
              </w:rPr>
              <w:t>Efe</w:t>
            </w:r>
            <w:proofErr w:type="spellEnd"/>
            <w:r w:rsidRPr="00AC5BAF">
              <w:rPr>
                <w:rFonts w:ascii="Book Antiqua" w:eastAsia="AdvTimes" w:hAnsi="Book Antiqua" w:cstheme="minorHAnsi"/>
                <w:lang w:val="en-US"/>
              </w:rPr>
              <w:t xml:space="preserve"> </w:t>
            </w:r>
            <w:r w:rsidRPr="00FA465A">
              <w:rPr>
                <w:rFonts w:ascii="Book Antiqua" w:eastAsia="AdvTimes" w:hAnsi="Book Antiqua" w:cstheme="minorHAnsi"/>
                <w:i/>
                <w:iCs/>
                <w:lang w:val="en-US"/>
              </w:rPr>
              <w:t>et al</w:t>
            </w:r>
            <w:r w:rsidR="00FA465A" w:rsidRPr="00FA465A">
              <w:rPr>
                <w:rFonts w:ascii="Book Antiqua" w:eastAsia="AdvTimes" w:hAnsi="Book Antiqua" w:cstheme="minorHAnsi"/>
                <w:vertAlign w:val="superscript"/>
                <w:lang w:val="en-US"/>
              </w:rPr>
              <w:t>[</w:t>
            </w:r>
            <w:r w:rsidRPr="00AC5BAF">
              <w:rPr>
                <w:rFonts w:ascii="Book Antiqua" w:eastAsia="AdvTimes" w:hAnsi="Book Antiqua" w:cstheme="minorHAnsi"/>
                <w:vertAlign w:val="superscript"/>
                <w:lang w:val="en-US"/>
              </w:rPr>
              <w:t>36</w:t>
            </w:r>
            <w:r w:rsidR="00FA465A">
              <w:rPr>
                <w:rFonts w:ascii="Book Antiqua" w:eastAsia="AdvTimes" w:hAnsi="Book Antiqua" w:cstheme="minorHAnsi"/>
                <w:vertAlign w:val="superscript"/>
                <w:lang w:val="en-US"/>
              </w:rPr>
              <w:t>]</w:t>
            </w:r>
          </w:p>
        </w:tc>
        <w:tc>
          <w:tcPr>
            <w:tcW w:w="408" w:type="pct"/>
            <w:noWrap/>
            <w:hideMark/>
          </w:tcPr>
          <w:p w14:paraId="44D01E4B"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2017</w:t>
            </w:r>
          </w:p>
        </w:tc>
        <w:tc>
          <w:tcPr>
            <w:tcW w:w="545" w:type="pct"/>
            <w:noWrap/>
            <w:hideMark/>
          </w:tcPr>
          <w:p w14:paraId="7F26EE3F"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 xml:space="preserve">Europe, United States, </w:t>
            </w:r>
            <w:r w:rsidRPr="00AC5BAF">
              <w:rPr>
                <w:rFonts w:ascii="Book Antiqua" w:eastAsia="AdvTimes" w:hAnsi="Book Antiqua" w:cstheme="minorHAnsi"/>
                <w:lang w:val="en-US"/>
              </w:rPr>
              <w:lastRenderedPageBreak/>
              <w:t>Canada, and China</w:t>
            </w:r>
          </w:p>
        </w:tc>
        <w:tc>
          <w:tcPr>
            <w:tcW w:w="410" w:type="pct"/>
            <w:noWrap/>
            <w:hideMark/>
          </w:tcPr>
          <w:p w14:paraId="138EE046"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lastRenderedPageBreak/>
              <w:t>80</w:t>
            </w:r>
          </w:p>
        </w:tc>
        <w:tc>
          <w:tcPr>
            <w:tcW w:w="344" w:type="pct"/>
            <w:gridSpan w:val="3"/>
            <w:noWrap/>
            <w:hideMark/>
          </w:tcPr>
          <w:p w14:paraId="6B3E9ACB"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60/80</w:t>
            </w:r>
          </w:p>
        </w:tc>
        <w:tc>
          <w:tcPr>
            <w:tcW w:w="473" w:type="pct"/>
            <w:noWrap/>
            <w:hideMark/>
          </w:tcPr>
          <w:p w14:paraId="5BC554E1" w14:textId="426BD7DA" w:rsidR="00AC5BAF" w:rsidRPr="00AC5BAF" w:rsidRDefault="00AC5BAF" w:rsidP="00FA465A">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34.7</w:t>
            </w:r>
            <w:r w:rsidR="00FA465A">
              <w:rPr>
                <w:rFonts w:ascii="Book Antiqua" w:eastAsia="AdvTimes" w:hAnsi="Book Antiqua" w:cstheme="minorHAnsi"/>
                <w:lang w:val="en-US"/>
              </w:rPr>
              <w:t xml:space="preserve"> </w:t>
            </w:r>
            <w:r w:rsidRPr="00AC5BAF">
              <w:rPr>
                <w:rFonts w:ascii="Book Antiqua" w:eastAsia="AdvTimes" w:hAnsi="Book Antiqua" w:cstheme="minorHAnsi"/>
                <w:lang w:val="en-US"/>
              </w:rPr>
              <w:t>± 11.78</w:t>
            </w:r>
          </w:p>
        </w:tc>
        <w:tc>
          <w:tcPr>
            <w:tcW w:w="480" w:type="pct"/>
            <w:noWrap/>
            <w:hideMark/>
          </w:tcPr>
          <w:p w14:paraId="3C5634BF"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Retrospective</w:t>
            </w:r>
          </w:p>
        </w:tc>
        <w:tc>
          <w:tcPr>
            <w:tcW w:w="614" w:type="pct"/>
            <w:gridSpan w:val="2"/>
            <w:noWrap/>
            <w:hideMark/>
          </w:tcPr>
          <w:p w14:paraId="52326AA3" w14:textId="3E44AB6D"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58/80 (72.5)</w:t>
            </w:r>
          </w:p>
        </w:tc>
        <w:tc>
          <w:tcPr>
            <w:tcW w:w="546" w:type="pct"/>
            <w:gridSpan w:val="2"/>
            <w:noWrap/>
            <w:hideMark/>
          </w:tcPr>
          <w:p w14:paraId="7331D497" w14:textId="6B713748"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85.75</w:t>
            </w:r>
            <w:r w:rsidR="00FA465A">
              <w:rPr>
                <w:rFonts w:ascii="Book Antiqua" w:eastAsia="AdvTimes" w:hAnsi="Book Antiqua" w:cstheme="minorHAnsi"/>
                <w:lang w:val="en-US"/>
              </w:rPr>
              <w:t xml:space="preserve"> </w:t>
            </w:r>
            <w:r w:rsidRPr="00AC5BAF">
              <w:rPr>
                <w:rFonts w:ascii="Book Antiqua" w:eastAsia="AdvTimes" w:hAnsi="Book Antiqua" w:cstheme="minorHAnsi"/>
                <w:lang w:val="en-US"/>
              </w:rPr>
              <w:t>± 37.83</w:t>
            </w:r>
          </w:p>
        </w:tc>
        <w:tc>
          <w:tcPr>
            <w:tcW w:w="447" w:type="pct"/>
            <w:noWrap/>
            <w:hideMark/>
          </w:tcPr>
          <w:p w14:paraId="27287208" w14:textId="5922AA91"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3</w:t>
            </w:r>
            <w:r w:rsidR="00FA465A">
              <w:rPr>
                <w:rFonts w:ascii="Book Antiqua" w:eastAsia="AdvTimes" w:hAnsi="Book Antiqua" w:cstheme="minorHAnsi"/>
                <w:lang w:val="en-US"/>
              </w:rPr>
              <w:t xml:space="preserve"> </w:t>
            </w:r>
            <w:r w:rsidRPr="00AC5BAF">
              <w:rPr>
                <w:rFonts w:ascii="Book Antiqua" w:eastAsia="AdvTimes" w:hAnsi="Book Antiqua" w:cstheme="minorHAnsi"/>
                <w:lang w:val="en-US"/>
              </w:rPr>
              <w:t>(0-6)</w:t>
            </w:r>
            <w:r w:rsidR="00FA465A" w:rsidRPr="00FA465A">
              <w:rPr>
                <w:rFonts w:ascii="Book Antiqua" w:eastAsia="AdvTimes" w:hAnsi="Book Antiqua" w:cstheme="minorHAnsi"/>
                <w:vertAlign w:val="superscript"/>
                <w:lang w:val="en-US"/>
              </w:rPr>
              <w:t>1</w:t>
            </w:r>
          </w:p>
        </w:tc>
      </w:tr>
      <w:tr w:rsidR="000D6A55" w:rsidRPr="00AC5BAF" w14:paraId="307AEF11" w14:textId="77777777" w:rsidTr="00FA465A">
        <w:trPr>
          <w:trHeight w:val="286"/>
        </w:trPr>
        <w:tc>
          <w:tcPr>
            <w:tcW w:w="733" w:type="pct"/>
            <w:noWrap/>
          </w:tcPr>
          <w:p w14:paraId="295FA3F4" w14:textId="77F0E9FE" w:rsidR="00AC5BAF" w:rsidRPr="00AC5BAF" w:rsidRDefault="00AC5BAF" w:rsidP="00AC5BAF">
            <w:pPr>
              <w:spacing w:line="360" w:lineRule="auto"/>
              <w:rPr>
                <w:rFonts w:ascii="Book Antiqua" w:eastAsia="AdvTimes" w:hAnsi="Book Antiqua" w:cstheme="minorHAnsi"/>
                <w:vertAlign w:val="superscript"/>
                <w:lang w:val="en-US"/>
              </w:rPr>
            </w:pPr>
            <w:r w:rsidRPr="00AC5BAF">
              <w:rPr>
                <w:rFonts w:ascii="Book Antiqua" w:eastAsia="AdvTimes" w:hAnsi="Book Antiqua" w:cstheme="minorHAnsi"/>
                <w:lang w:val="en-US"/>
              </w:rPr>
              <w:t xml:space="preserve">Pape </w:t>
            </w:r>
            <w:r w:rsidRPr="00FA465A">
              <w:rPr>
                <w:rFonts w:ascii="Book Antiqua" w:eastAsia="AdvTimes" w:hAnsi="Book Antiqua" w:cstheme="minorHAnsi"/>
                <w:i/>
                <w:iCs/>
                <w:lang w:val="en-US"/>
              </w:rPr>
              <w:t>et al</w:t>
            </w:r>
            <w:r w:rsidR="00FA465A" w:rsidRPr="00FA465A">
              <w:rPr>
                <w:rFonts w:ascii="Book Antiqua" w:eastAsia="AdvTimes" w:hAnsi="Book Antiqua" w:cstheme="minorHAnsi"/>
                <w:vertAlign w:val="superscript"/>
                <w:lang w:val="en-US"/>
              </w:rPr>
              <w:t>[</w:t>
            </w:r>
            <w:r w:rsidRPr="00AC5BAF">
              <w:rPr>
                <w:rFonts w:ascii="Book Antiqua" w:eastAsia="AdvTimes" w:hAnsi="Book Antiqua" w:cstheme="minorHAnsi"/>
                <w:vertAlign w:val="superscript"/>
                <w:lang w:val="en-US"/>
              </w:rPr>
              <w:t>17</w:t>
            </w:r>
            <w:r w:rsidR="00FA465A">
              <w:rPr>
                <w:rFonts w:ascii="Book Antiqua" w:eastAsia="AdvTimes" w:hAnsi="Book Antiqua" w:cstheme="minorHAnsi"/>
                <w:vertAlign w:val="superscript"/>
                <w:lang w:val="en-US"/>
              </w:rPr>
              <w:t>]</w:t>
            </w:r>
          </w:p>
        </w:tc>
        <w:tc>
          <w:tcPr>
            <w:tcW w:w="408" w:type="pct"/>
            <w:noWrap/>
          </w:tcPr>
          <w:p w14:paraId="55219E8E" w14:textId="516613C3"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20</w:t>
            </w:r>
            <w:r w:rsidR="00FA465A">
              <w:rPr>
                <w:rFonts w:ascii="Book Antiqua" w:eastAsia="AdvTimes" w:hAnsi="Book Antiqua" w:cstheme="minorHAnsi"/>
                <w:lang w:val="en-US"/>
              </w:rPr>
              <w:t>20</w:t>
            </w:r>
          </w:p>
        </w:tc>
        <w:tc>
          <w:tcPr>
            <w:tcW w:w="545" w:type="pct"/>
            <w:noWrap/>
          </w:tcPr>
          <w:p w14:paraId="05CCA267"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Belgium, Netherlands</w:t>
            </w:r>
          </w:p>
        </w:tc>
        <w:tc>
          <w:tcPr>
            <w:tcW w:w="410" w:type="pct"/>
            <w:noWrap/>
          </w:tcPr>
          <w:p w14:paraId="167F03B7"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10</w:t>
            </w:r>
          </w:p>
        </w:tc>
        <w:tc>
          <w:tcPr>
            <w:tcW w:w="344" w:type="pct"/>
            <w:gridSpan w:val="3"/>
            <w:noWrap/>
          </w:tcPr>
          <w:p w14:paraId="21BE4319"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8/10</w:t>
            </w:r>
          </w:p>
        </w:tc>
        <w:tc>
          <w:tcPr>
            <w:tcW w:w="473" w:type="pct"/>
            <w:noWrap/>
          </w:tcPr>
          <w:p w14:paraId="1B20D1BA" w14:textId="6B7AC31C" w:rsidR="00AC5BAF" w:rsidRPr="00AC5BAF" w:rsidRDefault="00AC5BAF" w:rsidP="00FA465A">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38</w:t>
            </w:r>
            <w:r w:rsidR="00FA465A">
              <w:rPr>
                <w:rFonts w:ascii="Book Antiqua" w:eastAsia="AdvTimes" w:hAnsi="Book Antiqua" w:cstheme="minorHAnsi"/>
                <w:lang w:val="en-US"/>
              </w:rPr>
              <w:t xml:space="preserve"> </w:t>
            </w:r>
            <w:r w:rsidRPr="00AC5BAF">
              <w:rPr>
                <w:rFonts w:ascii="Book Antiqua" w:eastAsia="AdvTimes" w:hAnsi="Book Antiqua" w:cstheme="minorHAnsi"/>
                <w:lang w:val="en-US"/>
              </w:rPr>
              <w:t>±</w:t>
            </w:r>
            <w:r w:rsidR="00FA465A">
              <w:rPr>
                <w:rFonts w:ascii="Book Antiqua" w:eastAsia="AdvTimes" w:hAnsi="Book Antiqua" w:cstheme="minorHAnsi"/>
                <w:lang w:val="en-US"/>
              </w:rPr>
              <w:t xml:space="preserve"> </w:t>
            </w:r>
            <w:r w:rsidRPr="00AC5BAF">
              <w:rPr>
                <w:rFonts w:ascii="Book Antiqua" w:eastAsia="AdvTimes" w:hAnsi="Book Antiqua" w:cstheme="minorHAnsi"/>
                <w:lang w:val="en-US"/>
              </w:rPr>
              <w:t>13.67</w:t>
            </w:r>
          </w:p>
        </w:tc>
        <w:tc>
          <w:tcPr>
            <w:tcW w:w="480" w:type="pct"/>
            <w:noWrap/>
          </w:tcPr>
          <w:p w14:paraId="551A9686"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Retrospective</w:t>
            </w:r>
          </w:p>
        </w:tc>
        <w:tc>
          <w:tcPr>
            <w:tcW w:w="614" w:type="pct"/>
            <w:gridSpan w:val="2"/>
            <w:noWrap/>
          </w:tcPr>
          <w:p w14:paraId="780D773B" w14:textId="7E0411EE"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5/10</w:t>
            </w:r>
            <w:r w:rsidR="00FA465A">
              <w:rPr>
                <w:rFonts w:ascii="Book Antiqua" w:eastAsia="AdvTimes" w:hAnsi="Book Antiqua" w:cstheme="minorHAnsi"/>
                <w:lang w:val="en-US"/>
              </w:rPr>
              <w:t xml:space="preserve"> </w:t>
            </w:r>
            <w:r w:rsidRPr="00AC5BAF">
              <w:rPr>
                <w:rFonts w:ascii="Book Antiqua" w:eastAsia="AdvTimes" w:hAnsi="Book Antiqua" w:cstheme="minorHAnsi"/>
                <w:lang w:val="en-US"/>
              </w:rPr>
              <w:t>(50)</w:t>
            </w:r>
          </w:p>
        </w:tc>
        <w:tc>
          <w:tcPr>
            <w:tcW w:w="546" w:type="pct"/>
            <w:gridSpan w:val="2"/>
            <w:noWrap/>
          </w:tcPr>
          <w:p w14:paraId="37A4097F" w14:textId="57E7EE65"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14.5</w:t>
            </w:r>
            <w:r w:rsidR="00FA465A">
              <w:rPr>
                <w:rFonts w:ascii="Book Antiqua" w:eastAsia="AdvTimes" w:hAnsi="Book Antiqua" w:cstheme="minorHAnsi"/>
                <w:lang w:val="en-US"/>
              </w:rPr>
              <w:t xml:space="preserve"> </w:t>
            </w:r>
            <w:r w:rsidRPr="00AC5BAF">
              <w:rPr>
                <w:rFonts w:ascii="Book Antiqua" w:eastAsia="AdvTimes" w:hAnsi="Book Antiqua" w:cstheme="minorHAnsi"/>
                <w:lang w:val="en-US"/>
              </w:rPr>
              <w:t>±</w:t>
            </w:r>
            <w:r w:rsidR="00FA465A">
              <w:rPr>
                <w:rFonts w:ascii="Book Antiqua" w:eastAsia="AdvTimes" w:hAnsi="Book Antiqua" w:cstheme="minorHAnsi"/>
                <w:lang w:val="en-US"/>
              </w:rPr>
              <w:t xml:space="preserve"> </w:t>
            </w:r>
            <w:r w:rsidRPr="00AC5BAF">
              <w:rPr>
                <w:rFonts w:ascii="Book Antiqua" w:eastAsia="AdvTimes" w:hAnsi="Book Antiqua" w:cstheme="minorHAnsi"/>
                <w:lang w:val="en-US"/>
              </w:rPr>
              <w:t>6.47</w:t>
            </w:r>
          </w:p>
        </w:tc>
        <w:tc>
          <w:tcPr>
            <w:tcW w:w="447" w:type="pct"/>
            <w:noWrap/>
          </w:tcPr>
          <w:p w14:paraId="2B0D18BE" w14:textId="6F0A8B7D"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3.5</w:t>
            </w:r>
            <w:r w:rsidR="00FA465A">
              <w:rPr>
                <w:rFonts w:ascii="Book Antiqua" w:eastAsia="AdvTimes" w:hAnsi="Book Antiqua" w:cstheme="minorHAnsi"/>
                <w:lang w:val="en-US"/>
              </w:rPr>
              <w:t xml:space="preserve"> </w:t>
            </w:r>
            <w:r w:rsidRPr="00AC5BAF">
              <w:rPr>
                <w:rFonts w:ascii="Book Antiqua" w:eastAsia="AdvTimes" w:hAnsi="Book Antiqua" w:cstheme="minorHAnsi"/>
                <w:lang w:val="en-US"/>
              </w:rPr>
              <w:t>±</w:t>
            </w:r>
            <w:r w:rsidR="00FA465A">
              <w:rPr>
                <w:rFonts w:ascii="Book Antiqua" w:eastAsia="AdvTimes" w:hAnsi="Book Antiqua" w:cstheme="minorHAnsi"/>
                <w:lang w:val="en-US"/>
              </w:rPr>
              <w:t xml:space="preserve"> </w:t>
            </w:r>
            <w:r w:rsidRPr="00AC5BAF">
              <w:rPr>
                <w:rFonts w:ascii="Book Antiqua" w:eastAsia="AdvTimes" w:hAnsi="Book Antiqua" w:cstheme="minorHAnsi"/>
                <w:lang w:val="en-US"/>
              </w:rPr>
              <w:t>1.72</w:t>
            </w:r>
          </w:p>
        </w:tc>
      </w:tr>
      <w:tr w:rsidR="00AC5BAF" w:rsidRPr="00AC5BAF" w14:paraId="0F3030A4" w14:textId="77777777" w:rsidTr="00FA465A">
        <w:trPr>
          <w:gridAfter w:val="2"/>
          <w:wAfter w:w="902" w:type="pct"/>
          <w:trHeight w:val="279"/>
        </w:trPr>
        <w:tc>
          <w:tcPr>
            <w:tcW w:w="733" w:type="pct"/>
            <w:noWrap/>
            <w:hideMark/>
          </w:tcPr>
          <w:p w14:paraId="773221EF" w14:textId="77777777" w:rsidR="00AC5BAF" w:rsidRPr="00AC5BAF" w:rsidRDefault="00AC5BAF" w:rsidP="00AC5BAF">
            <w:pPr>
              <w:spacing w:line="360" w:lineRule="auto"/>
              <w:rPr>
                <w:rFonts w:ascii="Book Antiqua" w:eastAsia="AdvTimes" w:hAnsi="Book Antiqua" w:cstheme="minorHAnsi"/>
                <w:b/>
                <w:bCs/>
                <w:lang w:val="en-US"/>
              </w:rPr>
            </w:pPr>
            <w:r w:rsidRPr="00AC5BAF">
              <w:rPr>
                <w:rFonts w:ascii="Book Antiqua" w:eastAsia="AdvTimes" w:hAnsi="Book Antiqua" w:cstheme="minorHAnsi"/>
                <w:b/>
                <w:bCs/>
                <w:lang w:val="en-US"/>
              </w:rPr>
              <w:t>MMF</w:t>
            </w:r>
          </w:p>
        </w:tc>
        <w:tc>
          <w:tcPr>
            <w:tcW w:w="1363" w:type="pct"/>
            <w:gridSpan w:val="3"/>
            <w:noWrap/>
            <w:hideMark/>
          </w:tcPr>
          <w:p w14:paraId="594CC7F5" w14:textId="77777777" w:rsidR="00AC5BAF" w:rsidRPr="00AC5BAF" w:rsidRDefault="00AC5BAF" w:rsidP="00AC5BAF">
            <w:pPr>
              <w:spacing w:line="360" w:lineRule="auto"/>
              <w:rPr>
                <w:rFonts w:ascii="Book Antiqua" w:eastAsia="AdvTimes" w:hAnsi="Book Antiqua" w:cstheme="minorHAnsi"/>
                <w:lang w:val="en-US"/>
              </w:rPr>
            </w:pPr>
          </w:p>
        </w:tc>
        <w:tc>
          <w:tcPr>
            <w:tcW w:w="182" w:type="pct"/>
            <w:noWrap/>
            <w:hideMark/>
          </w:tcPr>
          <w:p w14:paraId="719FDED6" w14:textId="77777777" w:rsidR="00AC5BAF" w:rsidRPr="00AC5BAF" w:rsidRDefault="00AC5BAF" w:rsidP="00AC5BAF">
            <w:pPr>
              <w:spacing w:line="360" w:lineRule="auto"/>
              <w:rPr>
                <w:rFonts w:ascii="Book Antiqua" w:eastAsia="AdvTimes" w:hAnsi="Book Antiqua" w:cstheme="minorHAnsi"/>
                <w:lang w:val="en-US"/>
              </w:rPr>
            </w:pPr>
          </w:p>
        </w:tc>
        <w:tc>
          <w:tcPr>
            <w:tcW w:w="159" w:type="pct"/>
            <w:noWrap/>
            <w:hideMark/>
          </w:tcPr>
          <w:p w14:paraId="1D34B9F8" w14:textId="77777777" w:rsidR="00AC5BAF" w:rsidRPr="00AC5BAF" w:rsidRDefault="00AC5BAF" w:rsidP="00AC5BAF">
            <w:pPr>
              <w:spacing w:line="360" w:lineRule="auto"/>
              <w:rPr>
                <w:rFonts w:ascii="Book Antiqua" w:eastAsia="AdvTimes" w:hAnsi="Book Antiqua" w:cstheme="minorHAnsi"/>
                <w:lang w:val="en-US"/>
              </w:rPr>
            </w:pPr>
          </w:p>
        </w:tc>
        <w:tc>
          <w:tcPr>
            <w:tcW w:w="477" w:type="pct"/>
            <w:gridSpan w:val="2"/>
            <w:noWrap/>
            <w:hideMark/>
          </w:tcPr>
          <w:p w14:paraId="0ACF2D3F" w14:textId="77777777" w:rsidR="00AC5BAF" w:rsidRPr="00AC5BAF" w:rsidRDefault="00AC5BAF" w:rsidP="00FA465A">
            <w:pPr>
              <w:spacing w:line="360" w:lineRule="auto"/>
              <w:rPr>
                <w:rFonts w:ascii="Book Antiqua" w:eastAsia="AdvTimes" w:hAnsi="Book Antiqua" w:cstheme="minorHAnsi"/>
                <w:lang w:val="en-US"/>
              </w:rPr>
            </w:pPr>
          </w:p>
        </w:tc>
        <w:tc>
          <w:tcPr>
            <w:tcW w:w="1072" w:type="pct"/>
            <w:gridSpan w:val="2"/>
            <w:hideMark/>
          </w:tcPr>
          <w:p w14:paraId="49078EAC" w14:textId="77777777" w:rsidR="00AC5BAF" w:rsidRPr="00AC5BAF" w:rsidRDefault="00AC5BAF" w:rsidP="00AC5BAF">
            <w:pPr>
              <w:spacing w:line="360" w:lineRule="auto"/>
              <w:rPr>
                <w:rFonts w:ascii="Book Antiqua" w:eastAsia="AdvTimes" w:hAnsi="Book Antiqua" w:cstheme="minorHAnsi"/>
                <w:lang w:val="en-US"/>
              </w:rPr>
            </w:pPr>
          </w:p>
        </w:tc>
        <w:tc>
          <w:tcPr>
            <w:tcW w:w="113" w:type="pct"/>
            <w:gridSpan w:val="2"/>
            <w:noWrap/>
            <w:hideMark/>
          </w:tcPr>
          <w:p w14:paraId="41F92C95" w14:textId="77777777" w:rsidR="00AC5BAF" w:rsidRPr="00AC5BAF" w:rsidRDefault="00AC5BAF" w:rsidP="00AC5BAF">
            <w:pPr>
              <w:spacing w:line="360" w:lineRule="auto"/>
              <w:rPr>
                <w:rFonts w:ascii="Book Antiqua" w:eastAsia="AdvTimes" w:hAnsi="Book Antiqua" w:cstheme="minorHAnsi"/>
                <w:lang w:val="en-US"/>
              </w:rPr>
            </w:pPr>
          </w:p>
        </w:tc>
      </w:tr>
      <w:tr w:rsidR="000D6A55" w:rsidRPr="00AC5BAF" w14:paraId="5518FC9A" w14:textId="77777777" w:rsidTr="00FA465A">
        <w:trPr>
          <w:trHeight w:val="240"/>
        </w:trPr>
        <w:tc>
          <w:tcPr>
            <w:tcW w:w="733" w:type="pct"/>
            <w:noWrap/>
            <w:hideMark/>
          </w:tcPr>
          <w:p w14:paraId="46C6B541" w14:textId="7449A590" w:rsidR="00AC5BAF" w:rsidRPr="00AC5BAF" w:rsidRDefault="00AC5BAF" w:rsidP="00AC5BAF">
            <w:pPr>
              <w:spacing w:line="360" w:lineRule="auto"/>
              <w:rPr>
                <w:rFonts w:ascii="Book Antiqua" w:eastAsia="AdvTimes" w:hAnsi="Book Antiqua" w:cstheme="minorHAnsi"/>
                <w:vertAlign w:val="superscript"/>
                <w:lang w:val="en-US"/>
              </w:rPr>
            </w:pPr>
            <w:r w:rsidRPr="00AC5BAF">
              <w:rPr>
                <w:rFonts w:ascii="Book Antiqua" w:eastAsia="AdvTimes" w:hAnsi="Book Antiqua" w:cstheme="minorHAnsi"/>
                <w:lang w:val="en-US"/>
              </w:rPr>
              <w:t xml:space="preserve">Richardson </w:t>
            </w:r>
            <w:r w:rsidRPr="00FA465A">
              <w:rPr>
                <w:rFonts w:ascii="Book Antiqua" w:eastAsia="AdvTimes" w:hAnsi="Book Antiqua" w:cstheme="minorHAnsi"/>
                <w:i/>
                <w:iCs/>
                <w:lang w:val="en-US"/>
              </w:rPr>
              <w:t>et al</w:t>
            </w:r>
            <w:r w:rsidR="00FA465A" w:rsidRPr="00FA465A">
              <w:rPr>
                <w:rFonts w:ascii="Book Antiqua" w:eastAsia="AdvTimes" w:hAnsi="Book Antiqua" w:cstheme="minorHAnsi"/>
                <w:vertAlign w:val="superscript"/>
                <w:lang w:val="en-US"/>
              </w:rPr>
              <w:t>[</w:t>
            </w:r>
            <w:r w:rsidRPr="00AC5BAF">
              <w:rPr>
                <w:rFonts w:ascii="Book Antiqua" w:eastAsia="AdvTimes" w:hAnsi="Book Antiqua" w:cstheme="minorHAnsi"/>
                <w:vertAlign w:val="superscript"/>
                <w:lang w:val="en-US"/>
              </w:rPr>
              <w:t>37</w:t>
            </w:r>
            <w:r w:rsidR="00FA465A">
              <w:rPr>
                <w:rFonts w:ascii="Book Antiqua" w:eastAsia="AdvTimes" w:hAnsi="Book Antiqua" w:cstheme="minorHAnsi"/>
                <w:vertAlign w:val="superscript"/>
                <w:lang w:val="en-US"/>
              </w:rPr>
              <w:t>]</w:t>
            </w:r>
          </w:p>
        </w:tc>
        <w:tc>
          <w:tcPr>
            <w:tcW w:w="408" w:type="pct"/>
            <w:noWrap/>
            <w:hideMark/>
          </w:tcPr>
          <w:p w14:paraId="502468DC"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2000</w:t>
            </w:r>
          </w:p>
        </w:tc>
        <w:tc>
          <w:tcPr>
            <w:tcW w:w="545" w:type="pct"/>
            <w:noWrap/>
            <w:hideMark/>
          </w:tcPr>
          <w:p w14:paraId="1FD7AF7E" w14:textId="5AFC91EC" w:rsidR="00AC5BAF" w:rsidRPr="00AC5BAF" w:rsidRDefault="00FA465A"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 xml:space="preserve">United </w:t>
            </w:r>
            <w:r>
              <w:rPr>
                <w:rFonts w:ascii="Book Antiqua" w:eastAsia="AdvTimes" w:hAnsi="Book Antiqua" w:cstheme="minorHAnsi"/>
                <w:lang w:val="en-US"/>
              </w:rPr>
              <w:t>Kingdom</w:t>
            </w:r>
          </w:p>
        </w:tc>
        <w:tc>
          <w:tcPr>
            <w:tcW w:w="410" w:type="pct"/>
            <w:noWrap/>
            <w:hideMark/>
          </w:tcPr>
          <w:p w14:paraId="30743A02"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7</w:t>
            </w:r>
          </w:p>
        </w:tc>
        <w:tc>
          <w:tcPr>
            <w:tcW w:w="344" w:type="pct"/>
            <w:gridSpan w:val="3"/>
            <w:noWrap/>
            <w:hideMark/>
          </w:tcPr>
          <w:p w14:paraId="75E23245"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6/7</w:t>
            </w:r>
          </w:p>
        </w:tc>
        <w:tc>
          <w:tcPr>
            <w:tcW w:w="473" w:type="pct"/>
            <w:noWrap/>
            <w:hideMark/>
          </w:tcPr>
          <w:p w14:paraId="01AF6F37" w14:textId="5F697988" w:rsidR="00AC5BAF" w:rsidRPr="00AC5BAF" w:rsidRDefault="00AC5BAF" w:rsidP="00FA465A">
            <w:pPr>
              <w:spacing w:line="360" w:lineRule="auto"/>
              <w:ind w:left="120" w:hangingChars="50" w:hanging="120"/>
              <w:rPr>
                <w:rFonts w:ascii="Book Antiqua" w:eastAsia="AdvTimes" w:hAnsi="Book Antiqua" w:cstheme="minorHAnsi"/>
                <w:lang w:val="en-US"/>
              </w:rPr>
            </w:pPr>
            <w:r w:rsidRPr="00AC5BAF">
              <w:rPr>
                <w:rFonts w:ascii="Book Antiqua" w:eastAsia="AdvTimes" w:hAnsi="Book Antiqua" w:cstheme="minorHAnsi"/>
                <w:lang w:val="en-US"/>
              </w:rPr>
              <w:t>27.2</w:t>
            </w:r>
            <w:r w:rsidR="00FA465A">
              <w:rPr>
                <w:rFonts w:ascii="Book Antiqua" w:eastAsia="AdvTimes" w:hAnsi="Book Antiqua" w:cstheme="minorHAnsi"/>
                <w:lang w:val="en-US"/>
              </w:rPr>
              <w:t xml:space="preserve">8 </w:t>
            </w:r>
            <w:r w:rsidRPr="00AC5BAF">
              <w:rPr>
                <w:rFonts w:ascii="Book Antiqua" w:eastAsia="AdvTimes" w:hAnsi="Book Antiqua" w:cstheme="minorHAnsi"/>
                <w:lang w:val="en-US"/>
              </w:rPr>
              <w:t>±</w:t>
            </w:r>
            <w:r w:rsidR="00FA465A">
              <w:rPr>
                <w:rFonts w:ascii="Book Antiqua" w:eastAsia="AdvTimes" w:hAnsi="Book Antiqua" w:cstheme="minorHAnsi"/>
                <w:lang w:val="en-US"/>
              </w:rPr>
              <w:t xml:space="preserve"> </w:t>
            </w:r>
            <w:r w:rsidR="00FA465A" w:rsidRPr="00FA465A">
              <w:rPr>
                <w:rFonts w:ascii="Book Antiqua" w:eastAsia="AdvTimes" w:hAnsi="Book Antiqua" w:cstheme="minorHAnsi"/>
                <w:lang w:val="en-US"/>
              </w:rPr>
              <w:t>10.45</w:t>
            </w:r>
          </w:p>
        </w:tc>
        <w:tc>
          <w:tcPr>
            <w:tcW w:w="480" w:type="pct"/>
            <w:noWrap/>
            <w:hideMark/>
          </w:tcPr>
          <w:p w14:paraId="424A450E"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Retrospective</w:t>
            </w:r>
          </w:p>
        </w:tc>
        <w:tc>
          <w:tcPr>
            <w:tcW w:w="614" w:type="pct"/>
            <w:gridSpan w:val="2"/>
            <w:noWrap/>
            <w:hideMark/>
          </w:tcPr>
          <w:p w14:paraId="36480D25" w14:textId="21097605"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5/7 (71.4)</w:t>
            </w:r>
          </w:p>
        </w:tc>
        <w:tc>
          <w:tcPr>
            <w:tcW w:w="546" w:type="pct"/>
            <w:gridSpan w:val="2"/>
            <w:noWrap/>
            <w:hideMark/>
          </w:tcPr>
          <w:p w14:paraId="052D13DF" w14:textId="22C465CF"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43</w:t>
            </w:r>
            <w:r w:rsidR="00FA465A">
              <w:rPr>
                <w:rFonts w:ascii="Book Antiqua" w:eastAsia="AdvTimes" w:hAnsi="Book Antiqua" w:cstheme="minorHAnsi"/>
                <w:lang w:val="en-US"/>
              </w:rPr>
              <w:t xml:space="preserve"> </w:t>
            </w:r>
            <w:r w:rsidRPr="00AC5BAF">
              <w:rPr>
                <w:rFonts w:ascii="Book Antiqua" w:eastAsia="AdvTimes" w:hAnsi="Book Antiqua" w:cstheme="minorHAnsi"/>
                <w:lang w:val="en-US"/>
              </w:rPr>
              <w:t>±</w:t>
            </w:r>
            <w:r w:rsidR="00FA465A">
              <w:rPr>
                <w:rFonts w:ascii="Book Antiqua" w:eastAsia="AdvTimes" w:hAnsi="Book Antiqua" w:cstheme="minorHAnsi"/>
                <w:lang w:val="en-US"/>
              </w:rPr>
              <w:t xml:space="preserve"> </w:t>
            </w:r>
            <w:r w:rsidRPr="00AC5BAF">
              <w:rPr>
                <w:rFonts w:ascii="Book Antiqua" w:eastAsia="AdvTimes" w:hAnsi="Book Antiqua" w:cstheme="minorHAnsi"/>
                <w:lang w:val="en-US"/>
              </w:rPr>
              <w:t>13.92</w:t>
            </w:r>
          </w:p>
        </w:tc>
        <w:tc>
          <w:tcPr>
            <w:tcW w:w="447" w:type="pct"/>
            <w:noWrap/>
            <w:hideMark/>
          </w:tcPr>
          <w:p w14:paraId="2D5FF3CE"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 xml:space="preserve">2 </w:t>
            </w:r>
          </w:p>
        </w:tc>
      </w:tr>
      <w:tr w:rsidR="000D6A55" w:rsidRPr="00AC5BAF" w14:paraId="6BE76837" w14:textId="77777777" w:rsidTr="00FA465A">
        <w:trPr>
          <w:trHeight w:val="286"/>
        </w:trPr>
        <w:tc>
          <w:tcPr>
            <w:tcW w:w="733" w:type="pct"/>
            <w:noWrap/>
            <w:hideMark/>
          </w:tcPr>
          <w:p w14:paraId="3A9F86D3" w14:textId="63D6F8C8" w:rsidR="00AC5BAF" w:rsidRPr="00AC5BAF" w:rsidRDefault="00AC5BAF" w:rsidP="00AC5BAF">
            <w:pPr>
              <w:spacing w:line="360" w:lineRule="auto"/>
              <w:rPr>
                <w:rFonts w:ascii="Book Antiqua" w:eastAsia="AdvTimes" w:hAnsi="Book Antiqua" w:cstheme="minorHAnsi"/>
                <w:vertAlign w:val="superscript"/>
                <w:lang w:val="en-US"/>
              </w:rPr>
            </w:pPr>
            <w:proofErr w:type="spellStart"/>
            <w:r w:rsidRPr="00AC5BAF">
              <w:rPr>
                <w:rFonts w:ascii="Book Antiqua" w:eastAsia="AdvTimes" w:hAnsi="Book Antiqua" w:cstheme="minorHAnsi"/>
                <w:lang w:val="en-US"/>
              </w:rPr>
              <w:t>Zolfino</w:t>
            </w:r>
            <w:proofErr w:type="spellEnd"/>
            <w:r w:rsidRPr="00AC5BAF">
              <w:rPr>
                <w:rFonts w:ascii="Book Antiqua" w:eastAsia="AdvTimes" w:hAnsi="Book Antiqua" w:cstheme="minorHAnsi"/>
                <w:lang w:val="en-US"/>
              </w:rPr>
              <w:t xml:space="preserve"> </w:t>
            </w:r>
            <w:r w:rsidRPr="00FA465A">
              <w:rPr>
                <w:rFonts w:ascii="Book Antiqua" w:eastAsia="AdvTimes" w:hAnsi="Book Antiqua" w:cstheme="minorHAnsi"/>
                <w:i/>
                <w:iCs/>
                <w:lang w:val="en-US"/>
              </w:rPr>
              <w:t>et al</w:t>
            </w:r>
            <w:r w:rsidR="00FA465A" w:rsidRPr="00FA465A">
              <w:rPr>
                <w:rFonts w:ascii="Book Antiqua" w:eastAsia="AdvTimes" w:hAnsi="Book Antiqua" w:cstheme="minorHAnsi"/>
                <w:vertAlign w:val="superscript"/>
                <w:lang w:val="en-US"/>
              </w:rPr>
              <w:t>[</w:t>
            </w:r>
            <w:r w:rsidRPr="00AC5BAF">
              <w:rPr>
                <w:rFonts w:ascii="Book Antiqua" w:eastAsia="AdvTimes" w:hAnsi="Book Antiqua" w:cstheme="minorHAnsi"/>
                <w:vertAlign w:val="superscript"/>
                <w:lang w:val="en-US"/>
              </w:rPr>
              <w:t>29</w:t>
            </w:r>
            <w:r w:rsidR="00FA465A">
              <w:rPr>
                <w:rFonts w:ascii="Book Antiqua" w:eastAsia="AdvTimes" w:hAnsi="Book Antiqua" w:cstheme="minorHAnsi"/>
                <w:vertAlign w:val="superscript"/>
                <w:lang w:val="en-US"/>
              </w:rPr>
              <w:t>]</w:t>
            </w:r>
          </w:p>
        </w:tc>
        <w:tc>
          <w:tcPr>
            <w:tcW w:w="408" w:type="pct"/>
            <w:noWrap/>
            <w:hideMark/>
          </w:tcPr>
          <w:p w14:paraId="15040F31"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2002</w:t>
            </w:r>
          </w:p>
        </w:tc>
        <w:tc>
          <w:tcPr>
            <w:tcW w:w="545" w:type="pct"/>
            <w:noWrap/>
            <w:hideMark/>
          </w:tcPr>
          <w:p w14:paraId="57C789AA" w14:textId="0A582B2A" w:rsidR="00AC5BAF" w:rsidRPr="00AC5BAF" w:rsidRDefault="00FA465A"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 xml:space="preserve">United </w:t>
            </w:r>
            <w:r>
              <w:rPr>
                <w:rFonts w:ascii="Book Antiqua" w:eastAsia="AdvTimes" w:hAnsi="Book Antiqua" w:cstheme="minorHAnsi"/>
                <w:lang w:val="en-US"/>
              </w:rPr>
              <w:t>Kingdom</w:t>
            </w:r>
          </w:p>
        </w:tc>
        <w:tc>
          <w:tcPr>
            <w:tcW w:w="410" w:type="pct"/>
            <w:noWrap/>
            <w:hideMark/>
          </w:tcPr>
          <w:p w14:paraId="1CF927CF"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2</w:t>
            </w:r>
          </w:p>
        </w:tc>
        <w:tc>
          <w:tcPr>
            <w:tcW w:w="344" w:type="pct"/>
            <w:gridSpan w:val="3"/>
            <w:noWrap/>
            <w:hideMark/>
          </w:tcPr>
          <w:p w14:paraId="1D78FD01"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1/2</w:t>
            </w:r>
          </w:p>
        </w:tc>
        <w:tc>
          <w:tcPr>
            <w:tcW w:w="473" w:type="pct"/>
            <w:noWrap/>
            <w:hideMark/>
          </w:tcPr>
          <w:p w14:paraId="458EC9CF" w14:textId="0A741B3B" w:rsidR="00AC5BAF" w:rsidRPr="00AC5BAF" w:rsidRDefault="00AC5BAF" w:rsidP="00FA465A">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17.5</w:t>
            </w:r>
            <w:r w:rsidR="00FA465A">
              <w:rPr>
                <w:rFonts w:ascii="Book Antiqua" w:eastAsia="AdvTimes" w:hAnsi="Book Antiqua" w:cstheme="minorHAnsi"/>
                <w:lang w:val="en-US"/>
              </w:rPr>
              <w:t xml:space="preserve"> </w:t>
            </w:r>
            <w:r w:rsidRPr="00AC5BAF">
              <w:rPr>
                <w:rFonts w:ascii="Book Antiqua" w:eastAsia="AdvTimes" w:hAnsi="Book Antiqua" w:cstheme="minorHAnsi"/>
                <w:lang w:val="en-US"/>
              </w:rPr>
              <w:t>±</w:t>
            </w:r>
            <w:r w:rsidR="00FA465A">
              <w:rPr>
                <w:rFonts w:ascii="Book Antiqua" w:eastAsia="AdvTimes" w:hAnsi="Book Antiqua" w:cstheme="minorHAnsi"/>
                <w:lang w:val="en-US"/>
              </w:rPr>
              <w:t xml:space="preserve"> </w:t>
            </w:r>
            <w:r w:rsidRPr="00AC5BAF">
              <w:rPr>
                <w:rFonts w:ascii="Book Antiqua" w:eastAsia="AdvTimes" w:hAnsi="Book Antiqua" w:cstheme="minorHAnsi"/>
                <w:lang w:val="en-US"/>
              </w:rPr>
              <w:t>2.12</w:t>
            </w:r>
          </w:p>
        </w:tc>
        <w:tc>
          <w:tcPr>
            <w:tcW w:w="480" w:type="pct"/>
            <w:noWrap/>
            <w:hideMark/>
          </w:tcPr>
          <w:p w14:paraId="11E0D7C1"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Retrospective</w:t>
            </w:r>
          </w:p>
        </w:tc>
        <w:tc>
          <w:tcPr>
            <w:tcW w:w="614" w:type="pct"/>
            <w:gridSpan w:val="2"/>
            <w:noWrap/>
            <w:hideMark/>
          </w:tcPr>
          <w:p w14:paraId="79C1BA83" w14:textId="737CAF0A"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0/2 (0)</w:t>
            </w:r>
          </w:p>
        </w:tc>
        <w:tc>
          <w:tcPr>
            <w:tcW w:w="546" w:type="pct"/>
            <w:gridSpan w:val="2"/>
            <w:noWrap/>
            <w:hideMark/>
          </w:tcPr>
          <w:p w14:paraId="181D24A9"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NR</w:t>
            </w:r>
          </w:p>
        </w:tc>
        <w:tc>
          <w:tcPr>
            <w:tcW w:w="447" w:type="pct"/>
            <w:noWrap/>
            <w:hideMark/>
          </w:tcPr>
          <w:p w14:paraId="31141E9E"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 xml:space="preserve">2 </w:t>
            </w:r>
          </w:p>
        </w:tc>
      </w:tr>
      <w:tr w:rsidR="000D6A55" w:rsidRPr="00AC5BAF" w14:paraId="6D16B8CA" w14:textId="77777777" w:rsidTr="00FA465A">
        <w:trPr>
          <w:trHeight w:val="277"/>
        </w:trPr>
        <w:tc>
          <w:tcPr>
            <w:tcW w:w="733" w:type="pct"/>
            <w:noWrap/>
            <w:hideMark/>
          </w:tcPr>
          <w:p w14:paraId="2795F780" w14:textId="3EAA6EFB" w:rsidR="00AC5BAF" w:rsidRPr="00AC5BAF" w:rsidRDefault="00AC5BAF" w:rsidP="00AC5BAF">
            <w:pPr>
              <w:spacing w:line="360" w:lineRule="auto"/>
              <w:rPr>
                <w:rFonts w:ascii="Book Antiqua" w:eastAsia="AdvTimes" w:hAnsi="Book Antiqua" w:cstheme="minorHAnsi"/>
                <w:vertAlign w:val="superscript"/>
                <w:lang w:val="en-US"/>
              </w:rPr>
            </w:pPr>
            <w:r w:rsidRPr="00AC5BAF">
              <w:rPr>
                <w:rFonts w:ascii="Book Antiqua" w:eastAsia="AdvTimes" w:hAnsi="Book Antiqua" w:cstheme="minorHAnsi"/>
                <w:lang w:val="en-US"/>
              </w:rPr>
              <w:t xml:space="preserve">Devlin </w:t>
            </w:r>
            <w:r w:rsidRPr="00FA465A">
              <w:rPr>
                <w:rFonts w:ascii="Book Antiqua" w:eastAsia="AdvTimes" w:hAnsi="Book Antiqua" w:cstheme="minorHAnsi"/>
                <w:i/>
                <w:iCs/>
                <w:lang w:val="en-US"/>
              </w:rPr>
              <w:t>et al</w:t>
            </w:r>
            <w:r w:rsidR="00FA465A" w:rsidRPr="00FA465A">
              <w:rPr>
                <w:rFonts w:ascii="Book Antiqua" w:eastAsia="AdvTimes" w:hAnsi="Book Antiqua" w:cstheme="minorHAnsi"/>
                <w:vertAlign w:val="superscript"/>
                <w:lang w:val="en-US"/>
              </w:rPr>
              <w:t>[</w:t>
            </w:r>
            <w:r w:rsidRPr="00AC5BAF">
              <w:rPr>
                <w:rFonts w:ascii="Book Antiqua" w:eastAsia="AdvTimes" w:hAnsi="Book Antiqua" w:cstheme="minorHAnsi"/>
                <w:vertAlign w:val="superscript"/>
                <w:lang w:val="en-US"/>
              </w:rPr>
              <w:t>38</w:t>
            </w:r>
            <w:r w:rsidR="00FA465A">
              <w:rPr>
                <w:rFonts w:ascii="Book Antiqua" w:eastAsia="AdvTimes" w:hAnsi="Book Antiqua" w:cstheme="minorHAnsi"/>
                <w:vertAlign w:val="superscript"/>
                <w:lang w:val="en-US"/>
              </w:rPr>
              <w:t>]</w:t>
            </w:r>
          </w:p>
        </w:tc>
        <w:tc>
          <w:tcPr>
            <w:tcW w:w="408" w:type="pct"/>
            <w:noWrap/>
            <w:hideMark/>
          </w:tcPr>
          <w:p w14:paraId="3F44A42B"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2004</w:t>
            </w:r>
          </w:p>
        </w:tc>
        <w:tc>
          <w:tcPr>
            <w:tcW w:w="545" w:type="pct"/>
            <w:noWrap/>
            <w:hideMark/>
          </w:tcPr>
          <w:p w14:paraId="475AE814"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Canada</w:t>
            </w:r>
          </w:p>
        </w:tc>
        <w:tc>
          <w:tcPr>
            <w:tcW w:w="410" w:type="pct"/>
            <w:noWrap/>
            <w:hideMark/>
          </w:tcPr>
          <w:p w14:paraId="058614AC"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5</w:t>
            </w:r>
          </w:p>
        </w:tc>
        <w:tc>
          <w:tcPr>
            <w:tcW w:w="344" w:type="pct"/>
            <w:gridSpan w:val="3"/>
            <w:noWrap/>
            <w:hideMark/>
          </w:tcPr>
          <w:p w14:paraId="03D3AFF4"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4/5</w:t>
            </w:r>
          </w:p>
        </w:tc>
        <w:tc>
          <w:tcPr>
            <w:tcW w:w="473" w:type="pct"/>
            <w:noWrap/>
            <w:hideMark/>
          </w:tcPr>
          <w:p w14:paraId="6B11D038" w14:textId="14EABBA5" w:rsidR="00AC5BAF" w:rsidRPr="00AC5BAF" w:rsidRDefault="00AC5BAF" w:rsidP="00FA465A">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54</w:t>
            </w:r>
            <w:r w:rsidR="00FA465A">
              <w:rPr>
                <w:rFonts w:ascii="Book Antiqua" w:eastAsia="AdvTimes" w:hAnsi="Book Antiqua" w:cstheme="minorHAnsi"/>
                <w:lang w:val="en-US"/>
              </w:rPr>
              <w:t xml:space="preserve"> </w:t>
            </w:r>
            <w:r w:rsidRPr="00AC5BAF">
              <w:rPr>
                <w:rFonts w:ascii="Book Antiqua" w:eastAsia="AdvTimes" w:hAnsi="Book Antiqua" w:cstheme="minorHAnsi"/>
                <w:lang w:val="en-US"/>
              </w:rPr>
              <w:t>±</w:t>
            </w:r>
            <w:r w:rsidR="00FA465A">
              <w:rPr>
                <w:rFonts w:ascii="Book Antiqua" w:eastAsia="AdvTimes" w:hAnsi="Book Antiqua" w:cstheme="minorHAnsi"/>
                <w:lang w:val="en-US"/>
              </w:rPr>
              <w:t xml:space="preserve"> </w:t>
            </w:r>
            <w:r w:rsidRPr="00AC5BAF">
              <w:rPr>
                <w:rFonts w:ascii="Book Antiqua" w:eastAsia="AdvTimes" w:hAnsi="Book Antiqua" w:cstheme="minorHAnsi"/>
                <w:lang w:val="en-US"/>
              </w:rPr>
              <w:t>2.10.83</w:t>
            </w:r>
          </w:p>
        </w:tc>
        <w:tc>
          <w:tcPr>
            <w:tcW w:w="480" w:type="pct"/>
            <w:noWrap/>
            <w:hideMark/>
          </w:tcPr>
          <w:p w14:paraId="256DF778"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Retrospective</w:t>
            </w:r>
          </w:p>
        </w:tc>
        <w:tc>
          <w:tcPr>
            <w:tcW w:w="614" w:type="pct"/>
            <w:gridSpan w:val="2"/>
            <w:noWrap/>
            <w:hideMark/>
          </w:tcPr>
          <w:p w14:paraId="06BB8BA4" w14:textId="0C2D6AA8"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5/5 (100)</w:t>
            </w:r>
          </w:p>
        </w:tc>
        <w:tc>
          <w:tcPr>
            <w:tcW w:w="546" w:type="pct"/>
            <w:gridSpan w:val="2"/>
            <w:noWrap/>
            <w:hideMark/>
          </w:tcPr>
          <w:p w14:paraId="63E8CC45"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NR</w:t>
            </w:r>
          </w:p>
        </w:tc>
        <w:tc>
          <w:tcPr>
            <w:tcW w:w="447" w:type="pct"/>
            <w:noWrap/>
            <w:hideMark/>
          </w:tcPr>
          <w:p w14:paraId="74F16E05"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 xml:space="preserve">1-2 </w:t>
            </w:r>
          </w:p>
        </w:tc>
      </w:tr>
      <w:tr w:rsidR="000D6A55" w:rsidRPr="00AC5BAF" w14:paraId="6F5CD8B7" w14:textId="77777777" w:rsidTr="00FA465A">
        <w:trPr>
          <w:trHeight w:val="296"/>
        </w:trPr>
        <w:tc>
          <w:tcPr>
            <w:tcW w:w="733" w:type="pct"/>
            <w:noWrap/>
            <w:hideMark/>
          </w:tcPr>
          <w:p w14:paraId="1BBC0AB5" w14:textId="26182838" w:rsidR="00AC5BAF" w:rsidRPr="00AC5BAF" w:rsidRDefault="00AC5BAF" w:rsidP="00AC5BAF">
            <w:pPr>
              <w:spacing w:line="360" w:lineRule="auto"/>
              <w:rPr>
                <w:rFonts w:ascii="Book Antiqua" w:eastAsia="AdvTimes" w:hAnsi="Book Antiqua" w:cstheme="minorHAnsi"/>
                <w:vertAlign w:val="superscript"/>
                <w:lang w:val="en-US"/>
              </w:rPr>
            </w:pPr>
            <w:proofErr w:type="spellStart"/>
            <w:r w:rsidRPr="00AC5BAF">
              <w:rPr>
                <w:rFonts w:ascii="Book Antiqua" w:eastAsia="AdvTimes" w:hAnsi="Book Antiqua" w:cstheme="minorHAnsi"/>
                <w:lang w:val="en-US"/>
              </w:rPr>
              <w:t>Chatur</w:t>
            </w:r>
            <w:proofErr w:type="spellEnd"/>
            <w:r w:rsidRPr="00FA465A">
              <w:rPr>
                <w:rFonts w:ascii="Book Antiqua" w:eastAsia="AdvTimes" w:hAnsi="Book Antiqua" w:cstheme="minorHAnsi"/>
                <w:i/>
                <w:iCs/>
                <w:lang w:val="en-US"/>
              </w:rPr>
              <w:t xml:space="preserve"> et al</w:t>
            </w:r>
            <w:r w:rsidR="00FA465A" w:rsidRPr="00FA465A">
              <w:rPr>
                <w:rFonts w:ascii="Book Antiqua" w:eastAsia="AdvTimes" w:hAnsi="Book Antiqua" w:cstheme="minorHAnsi"/>
                <w:vertAlign w:val="superscript"/>
                <w:lang w:val="en-US"/>
              </w:rPr>
              <w:t>[</w:t>
            </w:r>
            <w:r w:rsidRPr="00AC5BAF">
              <w:rPr>
                <w:rFonts w:ascii="Book Antiqua" w:eastAsia="AdvTimes" w:hAnsi="Book Antiqua" w:cstheme="minorHAnsi"/>
                <w:vertAlign w:val="superscript"/>
                <w:lang w:val="en-US"/>
              </w:rPr>
              <w:t>31</w:t>
            </w:r>
            <w:r w:rsidR="00FA465A">
              <w:rPr>
                <w:rFonts w:ascii="Book Antiqua" w:eastAsia="AdvTimes" w:hAnsi="Book Antiqua" w:cstheme="minorHAnsi"/>
                <w:vertAlign w:val="superscript"/>
                <w:lang w:val="en-US"/>
              </w:rPr>
              <w:t>]</w:t>
            </w:r>
          </w:p>
        </w:tc>
        <w:tc>
          <w:tcPr>
            <w:tcW w:w="408" w:type="pct"/>
            <w:noWrap/>
            <w:hideMark/>
          </w:tcPr>
          <w:p w14:paraId="17F375D5"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2005</w:t>
            </w:r>
          </w:p>
        </w:tc>
        <w:tc>
          <w:tcPr>
            <w:tcW w:w="545" w:type="pct"/>
            <w:noWrap/>
            <w:hideMark/>
          </w:tcPr>
          <w:p w14:paraId="71FC2911"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Canada</w:t>
            </w:r>
          </w:p>
        </w:tc>
        <w:tc>
          <w:tcPr>
            <w:tcW w:w="410" w:type="pct"/>
            <w:noWrap/>
            <w:hideMark/>
          </w:tcPr>
          <w:p w14:paraId="71C07652"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11</w:t>
            </w:r>
          </w:p>
        </w:tc>
        <w:tc>
          <w:tcPr>
            <w:tcW w:w="344" w:type="pct"/>
            <w:gridSpan w:val="3"/>
            <w:noWrap/>
            <w:hideMark/>
          </w:tcPr>
          <w:p w14:paraId="7F881F72"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NR</w:t>
            </w:r>
          </w:p>
        </w:tc>
        <w:tc>
          <w:tcPr>
            <w:tcW w:w="473" w:type="pct"/>
            <w:noWrap/>
            <w:hideMark/>
          </w:tcPr>
          <w:p w14:paraId="242B5BC4"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NR</w:t>
            </w:r>
          </w:p>
        </w:tc>
        <w:tc>
          <w:tcPr>
            <w:tcW w:w="480" w:type="pct"/>
            <w:noWrap/>
            <w:hideMark/>
          </w:tcPr>
          <w:p w14:paraId="2E6C31B7"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Retrospective</w:t>
            </w:r>
          </w:p>
        </w:tc>
        <w:tc>
          <w:tcPr>
            <w:tcW w:w="614" w:type="pct"/>
            <w:gridSpan w:val="2"/>
            <w:noWrap/>
            <w:hideMark/>
          </w:tcPr>
          <w:p w14:paraId="07BC0636" w14:textId="07CBA72B"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7/11 (63.6)</w:t>
            </w:r>
          </w:p>
        </w:tc>
        <w:tc>
          <w:tcPr>
            <w:tcW w:w="546" w:type="pct"/>
            <w:gridSpan w:val="2"/>
            <w:noWrap/>
            <w:hideMark/>
          </w:tcPr>
          <w:p w14:paraId="5346F918"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26.5 (10–54)</w:t>
            </w:r>
          </w:p>
        </w:tc>
        <w:tc>
          <w:tcPr>
            <w:tcW w:w="447" w:type="pct"/>
            <w:noWrap/>
            <w:hideMark/>
          </w:tcPr>
          <w:p w14:paraId="64CEDF63"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 xml:space="preserve">0.5-2 </w:t>
            </w:r>
          </w:p>
        </w:tc>
      </w:tr>
      <w:tr w:rsidR="000D6A55" w:rsidRPr="00AC5BAF" w14:paraId="1AFF7E97" w14:textId="77777777" w:rsidTr="00FA465A">
        <w:trPr>
          <w:trHeight w:val="271"/>
        </w:trPr>
        <w:tc>
          <w:tcPr>
            <w:tcW w:w="733" w:type="pct"/>
            <w:noWrap/>
            <w:hideMark/>
          </w:tcPr>
          <w:p w14:paraId="57F2D911" w14:textId="67501E92" w:rsidR="00AC5BAF" w:rsidRPr="00AC5BAF" w:rsidRDefault="00AC5BAF" w:rsidP="00AC5BAF">
            <w:pPr>
              <w:spacing w:line="360" w:lineRule="auto"/>
              <w:rPr>
                <w:rFonts w:ascii="Book Antiqua" w:eastAsia="AdvTimes" w:hAnsi="Book Antiqua" w:cstheme="minorHAnsi"/>
                <w:vertAlign w:val="superscript"/>
                <w:lang w:val="en-US"/>
              </w:rPr>
            </w:pPr>
            <w:proofErr w:type="spellStart"/>
            <w:r w:rsidRPr="00AC5BAF">
              <w:rPr>
                <w:rFonts w:ascii="Book Antiqua" w:eastAsia="AdvTimes" w:hAnsi="Book Antiqua" w:cstheme="minorHAnsi"/>
                <w:lang w:val="en-US"/>
              </w:rPr>
              <w:t>Czaja</w:t>
            </w:r>
            <w:proofErr w:type="spellEnd"/>
            <w:r w:rsidRPr="00AC5BAF">
              <w:rPr>
                <w:rFonts w:ascii="Book Antiqua" w:eastAsia="AdvTimes" w:hAnsi="Book Antiqua" w:cstheme="minorHAnsi"/>
                <w:lang w:val="en-US"/>
              </w:rPr>
              <w:t xml:space="preserve"> </w:t>
            </w:r>
            <w:r w:rsidRPr="00FA465A">
              <w:rPr>
                <w:rFonts w:ascii="Book Antiqua" w:eastAsia="AdvTimes" w:hAnsi="Book Antiqua" w:cstheme="minorHAnsi"/>
                <w:i/>
                <w:iCs/>
                <w:lang w:val="en-US"/>
              </w:rPr>
              <w:t>et al</w:t>
            </w:r>
            <w:r w:rsidR="00FA465A" w:rsidRPr="00FA465A">
              <w:rPr>
                <w:rFonts w:ascii="Book Antiqua" w:eastAsia="AdvTimes" w:hAnsi="Book Antiqua" w:cstheme="minorHAnsi"/>
                <w:vertAlign w:val="superscript"/>
                <w:lang w:val="en-US"/>
              </w:rPr>
              <w:t>[</w:t>
            </w:r>
            <w:r w:rsidRPr="00AC5BAF">
              <w:rPr>
                <w:rFonts w:ascii="Book Antiqua" w:eastAsia="AdvTimes" w:hAnsi="Book Antiqua" w:cstheme="minorHAnsi"/>
                <w:vertAlign w:val="superscript"/>
                <w:lang w:val="en-US"/>
              </w:rPr>
              <w:t>39</w:t>
            </w:r>
            <w:r w:rsidR="00FA465A">
              <w:rPr>
                <w:rFonts w:ascii="Book Antiqua" w:eastAsia="AdvTimes" w:hAnsi="Book Antiqua" w:cstheme="minorHAnsi"/>
                <w:vertAlign w:val="superscript"/>
                <w:lang w:val="en-US"/>
              </w:rPr>
              <w:t>]</w:t>
            </w:r>
          </w:p>
        </w:tc>
        <w:tc>
          <w:tcPr>
            <w:tcW w:w="408" w:type="pct"/>
            <w:noWrap/>
            <w:hideMark/>
          </w:tcPr>
          <w:p w14:paraId="1A7E534B"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2005</w:t>
            </w:r>
          </w:p>
        </w:tc>
        <w:tc>
          <w:tcPr>
            <w:tcW w:w="545" w:type="pct"/>
            <w:noWrap/>
            <w:hideMark/>
          </w:tcPr>
          <w:p w14:paraId="7B4E3038" w14:textId="53A1AAAC" w:rsidR="00AC5BAF" w:rsidRPr="00AC5BAF" w:rsidRDefault="00FA465A" w:rsidP="00AC5BAF">
            <w:pPr>
              <w:spacing w:line="360" w:lineRule="auto"/>
              <w:rPr>
                <w:rFonts w:ascii="Book Antiqua" w:eastAsia="AdvTimes" w:hAnsi="Book Antiqua" w:cstheme="minorHAnsi"/>
                <w:lang w:val="en-US"/>
              </w:rPr>
            </w:pPr>
            <w:r>
              <w:rPr>
                <w:rFonts w:ascii="Book Antiqua" w:eastAsia="AdvTimes" w:hAnsi="Book Antiqua" w:cstheme="minorHAnsi"/>
                <w:lang w:val="en-US"/>
              </w:rPr>
              <w:t>United States</w:t>
            </w:r>
          </w:p>
        </w:tc>
        <w:tc>
          <w:tcPr>
            <w:tcW w:w="410" w:type="pct"/>
            <w:hideMark/>
          </w:tcPr>
          <w:p w14:paraId="019CDB98"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7</w:t>
            </w:r>
          </w:p>
        </w:tc>
        <w:tc>
          <w:tcPr>
            <w:tcW w:w="344" w:type="pct"/>
            <w:gridSpan w:val="3"/>
            <w:hideMark/>
          </w:tcPr>
          <w:p w14:paraId="79A10472"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NR</w:t>
            </w:r>
          </w:p>
        </w:tc>
        <w:tc>
          <w:tcPr>
            <w:tcW w:w="473" w:type="pct"/>
            <w:hideMark/>
          </w:tcPr>
          <w:p w14:paraId="31348C64"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NR</w:t>
            </w:r>
          </w:p>
        </w:tc>
        <w:tc>
          <w:tcPr>
            <w:tcW w:w="480" w:type="pct"/>
            <w:noWrap/>
            <w:hideMark/>
          </w:tcPr>
          <w:p w14:paraId="47FAAAD3"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Retrospective</w:t>
            </w:r>
          </w:p>
        </w:tc>
        <w:tc>
          <w:tcPr>
            <w:tcW w:w="614" w:type="pct"/>
            <w:gridSpan w:val="2"/>
            <w:noWrap/>
            <w:hideMark/>
          </w:tcPr>
          <w:p w14:paraId="767839F7" w14:textId="7C1D7295"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0/7 (0)</w:t>
            </w:r>
          </w:p>
        </w:tc>
        <w:tc>
          <w:tcPr>
            <w:tcW w:w="546" w:type="pct"/>
            <w:gridSpan w:val="2"/>
            <w:noWrap/>
            <w:hideMark/>
          </w:tcPr>
          <w:p w14:paraId="7D54A659"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 xml:space="preserve">19 ± 7 </w:t>
            </w:r>
          </w:p>
        </w:tc>
        <w:tc>
          <w:tcPr>
            <w:tcW w:w="447" w:type="pct"/>
            <w:noWrap/>
            <w:hideMark/>
          </w:tcPr>
          <w:p w14:paraId="337E9AA5"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 xml:space="preserve">0.5-3 </w:t>
            </w:r>
          </w:p>
        </w:tc>
      </w:tr>
      <w:tr w:rsidR="000D6A55" w:rsidRPr="00AC5BAF" w14:paraId="46F402CD" w14:textId="77777777" w:rsidTr="00FA465A">
        <w:trPr>
          <w:trHeight w:val="218"/>
        </w:trPr>
        <w:tc>
          <w:tcPr>
            <w:tcW w:w="733" w:type="pct"/>
            <w:noWrap/>
            <w:hideMark/>
          </w:tcPr>
          <w:p w14:paraId="56A827BE" w14:textId="267C461A" w:rsidR="00AC5BAF" w:rsidRPr="00AC5BAF" w:rsidRDefault="00AC5BAF" w:rsidP="00AC5BAF">
            <w:pPr>
              <w:spacing w:line="360" w:lineRule="auto"/>
              <w:rPr>
                <w:rFonts w:ascii="Book Antiqua" w:eastAsia="AdvTimes" w:hAnsi="Book Antiqua" w:cstheme="minorHAnsi"/>
                <w:vertAlign w:val="superscript"/>
                <w:lang w:val="en-US"/>
              </w:rPr>
            </w:pPr>
            <w:proofErr w:type="spellStart"/>
            <w:r w:rsidRPr="00AC5BAF">
              <w:rPr>
                <w:rFonts w:ascii="Book Antiqua" w:eastAsia="AdvTimes" w:hAnsi="Book Antiqua" w:cstheme="minorHAnsi"/>
                <w:lang w:val="en-US"/>
              </w:rPr>
              <w:t>Inductivo</w:t>
            </w:r>
            <w:proofErr w:type="spellEnd"/>
            <w:r w:rsidRPr="00AC5BAF">
              <w:rPr>
                <w:rFonts w:ascii="Book Antiqua" w:eastAsia="AdvTimes" w:hAnsi="Book Antiqua" w:cstheme="minorHAnsi"/>
                <w:lang w:val="en-US"/>
              </w:rPr>
              <w:t xml:space="preserve">-Yu </w:t>
            </w:r>
            <w:r w:rsidRPr="00FA465A">
              <w:rPr>
                <w:rFonts w:ascii="Book Antiqua" w:eastAsia="AdvTimes" w:hAnsi="Book Antiqua" w:cstheme="minorHAnsi"/>
                <w:i/>
                <w:iCs/>
                <w:lang w:val="en-US"/>
              </w:rPr>
              <w:t>et al</w:t>
            </w:r>
            <w:r w:rsidR="00FA465A" w:rsidRPr="00FA465A">
              <w:rPr>
                <w:rFonts w:ascii="Book Antiqua" w:eastAsia="AdvTimes" w:hAnsi="Book Antiqua" w:cstheme="minorHAnsi"/>
                <w:vertAlign w:val="superscript"/>
                <w:lang w:val="en-US"/>
              </w:rPr>
              <w:t>[</w:t>
            </w:r>
            <w:r w:rsidRPr="00AC5BAF">
              <w:rPr>
                <w:rFonts w:ascii="Book Antiqua" w:eastAsia="AdvTimes" w:hAnsi="Book Antiqua" w:cstheme="minorHAnsi"/>
                <w:vertAlign w:val="superscript"/>
                <w:lang w:val="en-US"/>
              </w:rPr>
              <w:t>40</w:t>
            </w:r>
            <w:r w:rsidR="00FA465A">
              <w:rPr>
                <w:rFonts w:ascii="Book Antiqua" w:eastAsia="AdvTimes" w:hAnsi="Book Antiqua" w:cstheme="minorHAnsi"/>
                <w:vertAlign w:val="superscript"/>
                <w:lang w:val="en-US"/>
              </w:rPr>
              <w:t>]</w:t>
            </w:r>
          </w:p>
        </w:tc>
        <w:tc>
          <w:tcPr>
            <w:tcW w:w="408" w:type="pct"/>
            <w:noWrap/>
            <w:hideMark/>
          </w:tcPr>
          <w:p w14:paraId="0C098968"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2007</w:t>
            </w:r>
          </w:p>
        </w:tc>
        <w:tc>
          <w:tcPr>
            <w:tcW w:w="545" w:type="pct"/>
            <w:noWrap/>
            <w:hideMark/>
          </w:tcPr>
          <w:p w14:paraId="64E9050A" w14:textId="4D09707F" w:rsidR="00AC5BAF" w:rsidRPr="00AC5BAF" w:rsidRDefault="00FA465A" w:rsidP="00AC5BAF">
            <w:pPr>
              <w:spacing w:line="360" w:lineRule="auto"/>
              <w:rPr>
                <w:rFonts w:ascii="Book Antiqua" w:eastAsia="AdvTimes" w:hAnsi="Book Antiqua" w:cstheme="minorHAnsi"/>
                <w:lang w:val="en-US"/>
              </w:rPr>
            </w:pPr>
            <w:r>
              <w:rPr>
                <w:rFonts w:ascii="Book Antiqua" w:eastAsia="AdvTimes" w:hAnsi="Book Antiqua" w:cstheme="minorHAnsi"/>
                <w:lang w:val="en-US"/>
              </w:rPr>
              <w:t>United States</w:t>
            </w:r>
          </w:p>
        </w:tc>
        <w:tc>
          <w:tcPr>
            <w:tcW w:w="410" w:type="pct"/>
            <w:noWrap/>
            <w:hideMark/>
          </w:tcPr>
          <w:p w14:paraId="5A733B8E"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15</w:t>
            </w:r>
          </w:p>
        </w:tc>
        <w:tc>
          <w:tcPr>
            <w:tcW w:w="344" w:type="pct"/>
            <w:gridSpan w:val="3"/>
            <w:noWrap/>
            <w:hideMark/>
          </w:tcPr>
          <w:p w14:paraId="11C09825"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11/15</w:t>
            </w:r>
          </w:p>
        </w:tc>
        <w:tc>
          <w:tcPr>
            <w:tcW w:w="473" w:type="pct"/>
            <w:noWrap/>
            <w:hideMark/>
          </w:tcPr>
          <w:p w14:paraId="249989F3"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60 ± 15</w:t>
            </w:r>
          </w:p>
        </w:tc>
        <w:tc>
          <w:tcPr>
            <w:tcW w:w="480" w:type="pct"/>
            <w:noWrap/>
            <w:hideMark/>
          </w:tcPr>
          <w:p w14:paraId="314E0632"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Retrospective</w:t>
            </w:r>
          </w:p>
        </w:tc>
        <w:tc>
          <w:tcPr>
            <w:tcW w:w="614" w:type="pct"/>
            <w:gridSpan w:val="2"/>
            <w:hideMark/>
          </w:tcPr>
          <w:p w14:paraId="19507A9E" w14:textId="0D339BC0"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11/15 (73.3)</w:t>
            </w:r>
          </w:p>
        </w:tc>
        <w:tc>
          <w:tcPr>
            <w:tcW w:w="546" w:type="pct"/>
            <w:gridSpan w:val="2"/>
            <w:noWrap/>
            <w:hideMark/>
          </w:tcPr>
          <w:p w14:paraId="3F7CB9B1"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41</w:t>
            </w:r>
          </w:p>
        </w:tc>
        <w:tc>
          <w:tcPr>
            <w:tcW w:w="447" w:type="pct"/>
            <w:noWrap/>
            <w:hideMark/>
          </w:tcPr>
          <w:p w14:paraId="2EECA148"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 xml:space="preserve">2 </w:t>
            </w:r>
          </w:p>
        </w:tc>
      </w:tr>
      <w:tr w:rsidR="000D6A55" w:rsidRPr="00AC5BAF" w14:paraId="77A8D258" w14:textId="77777777" w:rsidTr="00FA465A">
        <w:trPr>
          <w:trHeight w:val="279"/>
        </w:trPr>
        <w:tc>
          <w:tcPr>
            <w:tcW w:w="733" w:type="pct"/>
            <w:noWrap/>
            <w:hideMark/>
          </w:tcPr>
          <w:p w14:paraId="1A1C3C6E" w14:textId="221A8C38" w:rsidR="00AC5BAF" w:rsidRPr="00AC5BAF" w:rsidRDefault="00AC5BAF" w:rsidP="00AC5BAF">
            <w:pPr>
              <w:spacing w:line="360" w:lineRule="auto"/>
              <w:rPr>
                <w:rFonts w:ascii="Book Antiqua" w:eastAsia="AdvTimes" w:hAnsi="Book Antiqua" w:cstheme="minorHAnsi"/>
                <w:vertAlign w:val="superscript"/>
                <w:lang w:val="en-US"/>
              </w:rPr>
            </w:pPr>
            <w:proofErr w:type="spellStart"/>
            <w:r w:rsidRPr="00AC5BAF">
              <w:rPr>
                <w:rFonts w:ascii="Book Antiqua" w:eastAsia="AdvTimes" w:hAnsi="Book Antiqua" w:cstheme="minorHAnsi"/>
                <w:lang w:val="en-US"/>
              </w:rPr>
              <w:t>Hlivko</w:t>
            </w:r>
            <w:proofErr w:type="spellEnd"/>
            <w:r w:rsidRPr="00AC5BAF">
              <w:rPr>
                <w:rFonts w:ascii="Book Antiqua" w:eastAsia="AdvTimes" w:hAnsi="Book Antiqua" w:cstheme="minorHAnsi"/>
                <w:lang w:val="en-US"/>
              </w:rPr>
              <w:t xml:space="preserve"> </w:t>
            </w:r>
            <w:r w:rsidRPr="00FA465A">
              <w:rPr>
                <w:rFonts w:ascii="Book Antiqua" w:eastAsia="AdvTimes" w:hAnsi="Book Antiqua" w:cstheme="minorHAnsi"/>
                <w:i/>
                <w:iCs/>
                <w:lang w:val="en-US"/>
              </w:rPr>
              <w:t>et al</w:t>
            </w:r>
            <w:r w:rsidR="00FA465A" w:rsidRPr="00FA465A">
              <w:rPr>
                <w:rFonts w:ascii="Book Antiqua" w:eastAsia="AdvTimes" w:hAnsi="Book Antiqua" w:cstheme="minorHAnsi"/>
                <w:vertAlign w:val="superscript"/>
                <w:lang w:val="en-US"/>
              </w:rPr>
              <w:t>[</w:t>
            </w:r>
            <w:r w:rsidRPr="00AC5BAF">
              <w:rPr>
                <w:rFonts w:ascii="Book Antiqua" w:eastAsia="AdvTimes" w:hAnsi="Book Antiqua" w:cstheme="minorHAnsi"/>
                <w:vertAlign w:val="superscript"/>
                <w:lang w:val="en-US"/>
              </w:rPr>
              <w:t>41</w:t>
            </w:r>
            <w:r w:rsidR="00FA465A">
              <w:rPr>
                <w:rFonts w:ascii="Book Antiqua" w:eastAsia="AdvTimes" w:hAnsi="Book Antiqua" w:cstheme="minorHAnsi"/>
                <w:vertAlign w:val="superscript"/>
                <w:lang w:val="en-US"/>
              </w:rPr>
              <w:t>]</w:t>
            </w:r>
          </w:p>
        </w:tc>
        <w:tc>
          <w:tcPr>
            <w:tcW w:w="408" w:type="pct"/>
            <w:noWrap/>
            <w:hideMark/>
          </w:tcPr>
          <w:p w14:paraId="48470627"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2008</w:t>
            </w:r>
          </w:p>
        </w:tc>
        <w:tc>
          <w:tcPr>
            <w:tcW w:w="545" w:type="pct"/>
            <w:noWrap/>
            <w:hideMark/>
          </w:tcPr>
          <w:p w14:paraId="67C3D6DD" w14:textId="34827E4A" w:rsidR="00AC5BAF" w:rsidRPr="00AC5BAF" w:rsidRDefault="00FA465A" w:rsidP="00AC5BAF">
            <w:pPr>
              <w:spacing w:line="360" w:lineRule="auto"/>
              <w:rPr>
                <w:rFonts w:ascii="Book Antiqua" w:eastAsia="AdvTimes" w:hAnsi="Book Antiqua" w:cstheme="minorHAnsi"/>
                <w:lang w:val="en-US"/>
              </w:rPr>
            </w:pPr>
            <w:r>
              <w:rPr>
                <w:rFonts w:ascii="Book Antiqua" w:eastAsia="AdvTimes" w:hAnsi="Book Antiqua" w:cstheme="minorHAnsi"/>
                <w:lang w:val="en-US"/>
              </w:rPr>
              <w:t>United States</w:t>
            </w:r>
          </w:p>
        </w:tc>
        <w:tc>
          <w:tcPr>
            <w:tcW w:w="410" w:type="pct"/>
            <w:noWrap/>
            <w:hideMark/>
          </w:tcPr>
          <w:p w14:paraId="5F16CE2D"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12</w:t>
            </w:r>
          </w:p>
        </w:tc>
        <w:tc>
          <w:tcPr>
            <w:tcW w:w="344" w:type="pct"/>
            <w:gridSpan w:val="3"/>
            <w:hideMark/>
          </w:tcPr>
          <w:p w14:paraId="08F071C9"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NR</w:t>
            </w:r>
          </w:p>
        </w:tc>
        <w:tc>
          <w:tcPr>
            <w:tcW w:w="473" w:type="pct"/>
            <w:hideMark/>
          </w:tcPr>
          <w:p w14:paraId="0B49F2E8"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NR</w:t>
            </w:r>
          </w:p>
        </w:tc>
        <w:tc>
          <w:tcPr>
            <w:tcW w:w="480" w:type="pct"/>
            <w:noWrap/>
            <w:hideMark/>
          </w:tcPr>
          <w:p w14:paraId="2EF85B51"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Retrospective</w:t>
            </w:r>
          </w:p>
        </w:tc>
        <w:tc>
          <w:tcPr>
            <w:tcW w:w="614" w:type="pct"/>
            <w:gridSpan w:val="2"/>
            <w:noWrap/>
            <w:hideMark/>
          </w:tcPr>
          <w:p w14:paraId="08D3EC46" w14:textId="11978753"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8/12 (66.7)</w:t>
            </w:r>
          </w:p>
        </w:tc>
        <w:tc>
          <w:tcPr>
            <w:tcW w:w="546" w:type="pct"/>
            <w:gridSpan w:val="2"/>
            <w:noWrap/>
            <w:hideMark/>
          </w:tcPr>
          <w:p w14:paraId="451BF599"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NR</w:t>
            </w:r>
          </w:p>
        </w:tc>
        <w:tc>
          <w:tcPr>
            <w:tcW w:w="447" w:type="pct"/>
            <w:noWrap/>
            <w:hideMark/>
          </w:tcPr>
          <w:p w14:paraId="5CA9C2F3"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 xml:space="preserve">0.5-2 </w:t>
            </w:r>
          </w:p>
        </w:tc>
      </w:tr>
      <w:tr w:rsidR="000D6A55" w:rsidRPr="00AC5BAF" w14:paraId="62424B7F" w14:textId="77777777" w:rsidTr="00FA465A">
        <w:trPr>
          <w:trHeight w:val="228"/>
        </w:trPr>
        <w:tc>
          <w:tcPr>
            <w:tcW w:w="733" w:type="pct"/>
            <w:noWrap/>
            <w:hideMark/>
          </w:tcPr>
          <w:p w14:paraId="229A73A8" w14:textId="612DA0BD" w:rsidR="00AC5BAF" w:rsidRPr="00AC5BAF" w:rsidRDefault="00AC5BAF" w:rsidP="00AC5BAF">
            <w:pPr>
              <w:spacing w:line="360" w:lineRule="auto"/>
              <w:rPr>
                <w:rFonts w:ascii="Book Antiqua" w:eastAsia="AdvTimes" w:hAnsi="Book Antiqua" w:cstheme="minorHAnsi"/>
                <w:vertAlign w:val="superscript"/>
                <w:lang w:val="en-US"/>
              </w:rPr>
            </w:pPr>
            <w:r w:rsidRPr="00AC5BAF">
              <w:rPr>
                <w:rFonts w:ascii="Book Antiqua" w:eastAsia="AdvTimes" w:hAnsi="Book Antiqua" w:cstheme="minorHAnsi"/>
                <w:lang w:val="en-US"/>
              </w:rPr>
              <w:t xml:space="preserve">Hennes </w:t>
            </w:r>
            <w:r w:rsidRPr="00D665AB">
              <w:rPr>
                <w:rFonts w:ascii="Book Antiqua" w:eastAsia="AdvTimes" w:hAnsi="Book Antiqua" w:cstheme="minorHAnsi"/>
                <w:i/>
                <w:iCs/>
                <w:lang w:val="en-US"/>
              </w:rPr>
              <w:t>et al</w:t>
            </w:r>
            <w:r w:rsidR="00D665AB" w:rsidRPr="00D665AB">
              <w:rPr>
                <w:rFonts w:ascii="Book Antiqua" w:eastAsia="AdvTimes" w:hAnsi="Book Antiqua" w:cstheme="minorHAnsi"/>
                <w:vertAlign w:val="superscript"/>
                <w:lang w:val="en-US"/>
              </w:rPr>
              <w:t>[</w:t>
            </w:r>
            <w:r w:rsidRPr="00AC5BAF">
              <w:rPr>
                <w:rFonts w:ascii="Book Antiqua" w:eastAsia="AdvTimes" w:hAnsi="Book Antiqua" w:cstheme="minorHAnsi"/>
                <w:vertAlign w:val="superscript"/>
                <w:lang w:val="en-US"/>
              </w:rPr>
              <w:t>42</w:t>
            </w:r>
            <w:r w:rsidR="00D665AB">
              <w:rPr>
                <w:rFonts w:ascii="Book Antiqua" w:eastAsia="AdvTimes" w:hAnsi="Book Antiqua" w:cstheme="minorHAnsi"/>
                <w:vertAlign w:val="superscript"/>
                <w:lang w:val="en-US"/>
              </w:rPr>
              <w:t>]</w:t>
            </w:r>
          </w:p>
        </w:tc>
        <w:tc>
          <w:tcPr>
            <w:tcW w:w="408" w:type="pct"/>
            <w:noWrap/>
            <w:hideMark/>
          </w:tcPr>
          <w:p w14:paraId="1A53A6E9" w14:textId="148D1A24"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200</w:t>
            </w:r>
            <w:r w:rsidR="00D665AB">
              <w:rPr>
                <w:rFonts w:ascii="Book Antiqua" w:eastAsia="AdvTimes" w:hAnsi="Book Antiqua" w:cstheme="minorHAnsi"/>
                <w:lang w:val="en-US"/>
              </w:rPr>
              <w:t>8</w:t>
            </w:r>
          </w:p>
        </w:tc>
        <w:tc>
          <w:tcPr>
            <w:tcW w:w="545" w:type="pct"/>
            <w:noWrap/>
            <w:hideMark/>
          </w:tcPr>
          <w:p w14:paraId="1636F8F0"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Germany</w:t>
            </w:r>
          </w:p>
        </w:tc>
        <w:tc>
          <w:tcPr>
            <w:tcW w:w="410" w:type="pct"/>
            <w:noWrap/>
            <w:hideMark/>
          </w:tcPr>
          <w:p w14:paraId="55F8BCD1"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36</w:t>
            </w:r>
          </w:p>
        </w:tc>
        <w:tc>
          <w:tcPr>
            <w:tcW w:w="344" w:type="pct"/>
            <w:gridSpan w:val="3"/>
            <w:noWrap/>
            <w:hideMark/>
          </w:tcPr>
          <w:p w14:paraId="42708F84"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28/36</w:t>
            </w:r>
          </w:p>
        </w:tc>
        <w:tc>
          <w:tcPr>
            <w:tcW w:w="473" w:type="pct"/>
            <w:noWrap/>
            <w:hideMark/>
          </w:tcPr>
          <w:p w14:paraId="733EA2E0" w14:textId="2E7C5844"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41.5</w:t>
            </w:r>
            <w:r w:rsidR="00D665AB">
              <w:rPr>
                <w:rFonts w:ascii="Book Antiqua" w:eastAsia="AdvTimes" w:hAnsi="Book Antiqua" w:cstheme="minorHAnsi"/>
                <w:lang w:val="en-US"/>
              </w:rPr>
              <w:t xml:space="preserve"> </w:t>
            </w:r>
            <w:r w:rsidRPr="00AC5BAF">
              <w:rPr>
                <w:rFonts w:ascii="Book Antiqua" w:eastAsia="AdvTimes" w:hAnsi="Book Antiqua" w:cstheme="minorHAnsi"/>
                <w:lang w:val="en-US"/>
              </w:rPr>
              <w:t>± 13.24</w:t>
            </w:r>
          </w:p>
        </w:tc>
        <w:tc>
          <w:tcPr>
            <w:tcW w:w="480" w:type="pct"/>
            <w:noWrap/>
            <w:hideMark/>
          </w:tcPr>
          <w:p w14:paraId="44FB691B"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Retrospective</w:t>
            </w:r>
          </w:p>
        </w:tc>
        <w:tc>
          <w:tcPr>
            <w:tcW w:w="614" w:type="pct"/>
            <w:gridSpan w:val="2"/>
            <w:hideMark/>
          </w:tcPr>
          <w:p w14:paraId="7BFC02DA" w14:textId="7352E7DD"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14/36 (39)</w:t>
            </w:r>
          </w:p>
        </w:tc>
        <w:tc>
          <w:tcPr>
            <w:tcW w:w="546" w:type="pct"/>
            <w:gridSpan w:val="2"/>
            <w:noWrap/>
            <w:hideMark/>
          </w:tcPr>
          <w:p w14:paraId="0E06616E" w14:textId="4E960E35"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35.38</w:t>
            </w:r>
            <w:r w:rsidR="00D665AB">
              <w:rPr>
                <w:rFonts w:ascii="Book Antiqua" w:eastAsia="AdvTimes" w:hAnsi="Book Antiqua" w:cstheme="minorHAnsi"/>
                <w:lang w:val="en-US"/>
              </w:rPr>
              <w:t xml:space="preserve"> </w:t>
            </w:r>
            <w:r w:rsidRPr="00AC5BAF">
              <w:rPr>
                <w:rFonts w:ascii="Book Antiqua" w:eastAsia="AdvTimes" w:hAnsi="Book Antiqua" w:cstheme="minorHAnsi"/>
                <w:lang w:val="en-US"/>
              </w:rPr>
              <w:t>± 21.4</w:t>
            </w:r>
          </w:p>
        </w:tc>
        <w:tc>
          <w:tcPr>
            <w:tcW w:w="447" w:type="pct"/>
            <w:noWrap/>
            <w:hideMark/>
          </w:tcPr>
          <w:p w14:paraId="25D472BC" w14:textId="70E0A3BF"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1.75 (0.5-3)</w:t>
            </w:r>
            <w:r w:rsidR="00D665AB" w:rsidRPr="00D665AB">
              <w:rPr>
                <w:rFonts w:ascii="Book Antiqua" w:eastAsia="AdvTimes" w:hAnsi="Book Antiqua" w:cstheme="minorHAnsi"/>
                <w:vertAlign w:val="superscript"/>
                <w:lang w:val="en-US"/>
              </w:rPr>
              <w:t>1</w:t>
            </w:r>
          </w:p>
        </w:tc>
      </w:tr>
      <w:tr w:rsidR="000D6A55" w:rsidRPr="00AC5BAF" w14:paraId="04EEEC30" w14:textId="77777777" w:rsidTr="00FA465A">
        <w:trPr>
          <w:trHeight w:val="74"/>
        </w:trPr>
        <w:tc>
          <w:tcPr>
            <w:tcW w:w="733" w:type="pct"/>
            <w:noWrap/>
            <w:hideMark/>
          </w:tcPr>
          <w:p w14:paraId="24571FA1" w14:textId="19EA3F3E" w:rsidR="00AC5BAF" w:rsidRPr="00AC5BAF" w:rsidRDefault="00AC5BAF" w:rsidP="00AC5BAF">
            <w:pPr>
              <w:spacing w:line="360" w:lineRule="auto"/>
              <w:rPr>
                <w:rFonts w:ascii="Book Antiqua" w:eastAsia="AdvTimes" w:hAnsi="Book Antiqua" w:cstheme="minorHAnsi"/>
                <w:vertAlign w:val="superscript"/>
                <w:lang w:val="en-US"/>
              </w:rPr>
            </w:pPr>
            <w:r w:rsidRPr="00AC5BAF">
              <w:rPr>
                <w:rFonts w:ascii="Book Antiqua" w:eastAsia="AdvTimes" w:hAnsi="Book Antiqua" w:cstheme="minorHAnsi"/>
                <w:lang w:val="en-US"/>
              </w:rPr>
              <w:t xml:space="preserve">Wolf </w:t>
            </w:r>
            <w:r w:rsidRPr="00D665AB">
              <w:rPr>
                <w:rFonts w:ascii="Book Antiqua" w:eastAsia="AdvTimes" w:hAnsi="Book Antiqua" w:cstheme="minorHAnsi"/>
                <w:i/>
                <w:iCs/>
                <w:lang w:val="en-US"/>
              </w:rPr>
              <w:t>et al</w:t>
            </w:r>
            <w:r w:rsidR="00D665AB" w:rsidRPr="00D665AB">
              <w:rPr>
                <w:rFonts w:ascii="Book Antiqua" w:eastAsia="AdvTimes" w:hAnsi="Book Antiqua" w:cstheme="minorHAnsi"/>
                <w:vertAlign w:val="superscript"/>
                <w:lang w:val="en-US"/>
              </w:rPr>
              <w:t>[</w:t>
            </w:r>
            <w:r w:rsidRPr="00AC5BAF">
              <w:rPr>
                <w:rFonts w:ascii="Book Antiqua" w:eastAsia="AdvTimes" w:hAnsi="Book Antiqua" w:cstheme="minorHAnsi"/>
                <w:vertAlign w:val="superscript"/>
                <w:lang w:val="en-US"/>
              </w:rPr>
              <w:t>43</w:t>
            </w:r>
            <w:r w:rsidR="00D665AB">
              <w:rPr>
                <w:rFonts w:ascii="Book Antiqua" w:eastAsia="AdvTimes" w:hAnsi="Book Antiqua" w:cstheme="minorHAnsi"/>
                <w:vertAlign w:val="superscript"/>
                <w:lang w:val="en-US"/>
              </w:rPr>
              <w:t>]</w:t>
            </w:r>
          </w:p>
        </w:tc>
        <w:tc>
          <w:tcPr>
            <w:tcW w:w="408" w:type="pct"/>
            <w:noWrap/>
            <w:hideMark/>
          </w:tcPr>
          <w:p w14:paraId="3D652AD2"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2009</w:t>
            </w:r>
          </w:p>
        </w:tc>
        <w:tc>
          <w:tcPr>
            <w:tcW w:w="545" w:type="pct"/>
            <w:noWrap/>
            <w:hideMark/>
          </w:tcPr>
          <w:p w14:paraId="6D289121" w14:textId="4DFC8AB8" w:rsidR="00AC5BAF" w:rsidRPr="00AC5BAF" w:rsidRDefault="00D665AB" w:rsidP="00AC5BAF">
            <w:pPr>
              <w:spacing w:line="360" w:lineRule="auto"/>
              <w:rPr>
                <w:rFonts w:ascii="Book Antiqua" w:eastAsia="AdvTimes" w:hAnsi="Book Antiqua" w:cstheme="minorHAnsi"/>
                <w:lang w:val="en-US"/>
              </w:rPr>
            </w:pPr>
            <w:r>
              <w:rPr>
                <w:rFonts w:ascii="Book Antiqua" w:eastAsia="AdvTimes" w:hAnsi="Book Antiqua" w:cstheme="minorHAnsi"/>
                <w:lang w:val="en-US"/>
              </w:rPr>
              <w:t xml:space="preserve">United </w:t>
            </w:r>
            <w:r>
              <w:rPr>
                <w:rFonts w:ascii="Book Antiqua" w:eastAsia="AdvTimes" w:hAnsi="Book Antiqua" w:cstheme="minorHAnsi"/>
                <w:lang w:val="en-US"/>
              </w:rPr>
              <w:lastRenderedPageBreak/>
              <w:t>States</w:t>
            </w:r>
          </w:p>
        </w:tc>
        <w:tc>
          <w:tcPr>
            <w:tcW w:w="410" w:type="pct"/>
            <w:noWrap/>
            <w:hideMark/>
          </w:tcPr>
          <w:p w14:paraId="48548CD5"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lastRenderedPageBreak/>
              <w:t>16</w:t>
            </w:r>
          </w:p>
        </w:tc>
        <w:tc>
          <w:tcPr>
            <w:tcW w:w="344" w:type="pct"/>
            <w:gridSpan w:val="3"/>
            <w:noWrap/>
            <w:hideMark/>
          </w:tcPr>
          <w:p w14:paraId="6EABAC4E"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NR</w:t>
            </w:r>
          </w:p>
        </w:tc>
        <w:tc>
          <w:tcPr>
            <w:tcW w:w="473" w:type="pct"/>
            <w:noWrap/>
            <w:hideMark/>
          </w:tcPr>
          <w:p w14:paraId="4AFE1FE0"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NR</w:t>
            </w:r>
          </w:p>
        </w:tc>
        <w:tc>
          <w:tcPr>
            <w:tcW w:w="480" w:type="pct"/>
            <w:noWrap/>
            <w:hideMark/>
          </w:tcPr>
          <w:p w14:paraId="1219B1D0"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Retros</w:t>
            </w:r>
            <w:r w:rsidRPr="00AC5BAF">
              <w:rPr>
                <w:rFonts w:ascii="Book Antiqua" w:eastAsia="AdvTimes" w:hAnsi="Book Antiqua" w:cstheme="minorHAnsi"/>
                <w:lang w:val="en-US"/>
              </w:rPr>
              <w:lastRenderedPageBreak/>
              <w:t>pective</w:t>
            </w:r>
          </w:p>
        </w:tc>
        <w:tc>
          <w:tcPr>
            <w:tcW w:w="614" w:type="pct"/>
            <w:gridSpan w:val="2"/>
            <w:noWrap/>
            <w:hideMark/>
          </w:tcPr>
          <w:p w14:paraId="7EC73F71" w14:textId="6C6299FF"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lastRenderedPageBreak/>
              <w:t xml:space="preserve">12/16 </w:t>
            </w:r>
            <w:r w:rsidRPr="00AC5BAF">
              <w:rPr>
                <w:rFonts w:ascii="Book Antiqua" w:eastAsia="AdvTimes" w:hAnsi="Book Antiqua" w:cstheme="minorHAnsi"/>
                <w:lang w:val="en-US"/>
              </w:rPr>
              <w:lastRenderedPageBreak/>
              <w:t>(75)</w:t>
            </w:r>
          </w:p>
        </w:tc>
        <w:tc>
          <w:tcPr>
            <w:tcW w:w="546" w:type="pct"/>
            <w:gridSpan w:val="2"/>
            <w:noWrap/>
            <w:hideMark/>
          </w:tcPr>
          <w:p w14:paraId="3CD9CBCF"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lastRenderedPageBreak/>
              <w:t>NR</w:t>
            </w:r>
          </w:p>
        </w:tc>
        <w:tc>
          <w:tcPr>
            <w:tcW w:w="447" w:type="pct"/>
            <w:noWrap/>
            <w:hideMark/>
          </w:tcPr>
          <w:p w14:paraId="0A6CA47C"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 xml:space="preserve">1-2 </w:t>
            </w:r>
          </w:p>
        </w:tc>
      </w:tr>
      <w:tr w:rsidR="000D6A55" w:rsidRPr="00AC5BAF" w14:paraId="0CA5E808" w14:textId="77777777" w:rsidTr="00FA465A">
        <w:trPr>
          <w:trHeight w:val="275"/>
        </w:trPr>
        <w:tc>
          <w:tcPr>
            <w:tcW w:w="733" w:type="pct"/>
            <w:noWrap/>
            <w:hideMark/>
          </w:tcPr>
          <w:p w14:paraId="5CE79752" w14:textId="33D5EB82" w:rsidR="00AC5BAF" w:rsidRPr="00AC5BAF" w:rsidRDefault="00AC5BAF" w:rsidP="00AC5BAF">
            <w:pPr>
              <w:spacing w:line="360" w:lineRule="auto"/>
              <w:rPr>
                <w:rFonts w:ascii="Book Antiqua" w:eastAsia="AdvTimes" w:hAnsi="Book Antiqua" w:cstheme="minorHAnsi"/>
                <w:vertAlign w:val="superscript"/>
                <w:lang w:val="en-US"/>
              </w:rPr>
            </w:pPr>
            <w:proofErr w:type="spellStart"/>
            <w:r w:rsidRPr="00AC5BAF">
              <w:rPr>
                <w:rFonts w:ascii="Book Antiqua" w:eastAsia="AdvTimes" w:hAnsi="Book Antiqua" w:cstheme="minorHAnsi"/>
                <w:lang w:val="en-US"/>
              </w:rPr>
              <w:t>Sharzehi</w:t>
            </w:r>
            <w:proofErr w:type="spellEnd"/>
            <w:r w:rsidRPr="00AC5BAF">
              <w:rPr>
                <w:rFonts w:ascii="Book Antiqua" w:eastAsia="AdvTimes" w:hAnsi="Book Antiqua" w:cstheme="minorHAnsi"/>
                <w:lang w:val="en-US"/>
              </w:rPr>
              <w:t xml:space="preserve"> </w:t>
            </w:r>
            <w:r w:rsidRPr="00D665AB">
              <w:rPr>
                <w:rFonts w:ascii="Book Antiqua" w:eastAsia="AdvTimes" w:hAnsi="Book Antiqua" w:cstheme="minorHAnsi"/>
                <w:i/>
                <w:iCs/>
                <w:lang w:val="en-US"/>
              </w:rPr>
              <w:t>et al</w:t>
            </w:r>
            <w:r w:rsidR="00D665AB" w:rsidRPr="00D665AB">
              <w:rPr>
                <w:rFonts w:ascii="Book Antiqua" w:eastAsia="AdvTimes" w:hAnsi="Book Antiqua" w:cstheme="minorHAnsi"/>
                <w:vertAlign w:val="superscript"/>
                <w:lang w:val="en-US"/>
              </w:rPr>
              <w:t>[</w:t>
            </w:r>
            <w:r w:rsidRPr="00AC5BAF">
              <w:rPr>
                <w:rFonts w:ascii="Book Antiqua" w:eastAsia="AdvTimes" w:hAnsi="Book Antiqua" w:cstheme="minorHAnsi"/>
                <w:vertAlign w:val="superscript"/>
                <w:lang w:val="en-US"/>
              </w:rPr>
              <w:t>44</w:t>
            </w:r>
            <w:r w:rsidR="00D665AB">
              <w:rPr>
                <w:rFonts w:ascii="Book Antiqua" w:eastAsia="AdvTimes" w:hAnsi="Book Antiqua" w:cstheme="minorHAnsi"/>
                <w:vertAlign w:val="superscript"/>
                <w:lang w:val="en-US"/>
              </w:rPr>
              <w:t>]</w:t>
            </w:r>
          </w:p>
        </w:tc>
        <w:tc>
          <w:tcPr>
            <w:tcW w:w="408" w:type="pct"/>
            <w:noWrap/>
            <w:hideMark/>
          </w:tcPr>
          <w:p w14:paraId="3BA5133C"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2010</w:t>
            </w:r>
          </w:p>
        </w:tc>
        <w:tc>
          <w:tcPr>
            <w:tcW w:w="545" w:type="pct"/>
            <w:noWrap/>
            <w:hideMark/>
          </w:tcPr>
          <w:p w14:paraId="46DFB498"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United States</w:t>
            </w:r>
          </w:p>
        </w:tc>
        <w:tc>
          <w:tcPr>
            <w:tcW w:w="410" w:type="pct"/>
            <w:hideMark/>
          </w:tcPr>
          <w:p w14:paraId="0F201638"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17</w:t>
            </w:r>
          </w:p>
        </w:tc>
        <w:tc>
          <w:tcPr>
            <w:tcW w:w="344" w:type="pct"/>
            <w:gridSpan w:val="3"/>
            <w:hideMark/>
          </w:tcPr>
          <w:p w14:paraId="5D012481"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13/17</w:t>
            </w:r>
          </w:p>
        </w:tc>
        <w:tc>
          <w:tcPr>
            <w:tcW w:w="473" w:type="pct"/>
            <w:hideMark/>
          </w:tcPr>
          <w:p w14:paraId="0FE2519E"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50</w:t>
            </w:r>
          </w:p>
        </w:tc>
        <w:tc>
          <w:tcPr>
            <w:tcW w:w="480" w:type="pct"/>
            <w:noWrap/>
            <w:hideMark/>
          </w:tcPr>
          <w:p w14:paraId="7861CB53"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Retrospective</w:t>
            </w:r>
          </w:p>
        </w:tc>
        <w:tc>
          <w:tcPr>
            <w:tcW w:w="614" w:type="pct"/>
            <w:gridSpan w:val="2"/>
            <w:noWrap/>
            <w:hideMark/>
          </w:tcPr>
          <w:p w14:paraId="5AC22071" w14:textId="3B83592E"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8/17 (48)</w:t>
            </w:r>
          </w:p>
        </w:tc>
        <w:tc>
          <w:tcPr>
            <w:tcW w:w="546" w:type="pct"/>
            <w:gridSpan w:val="2"/>
            <w:noWrap/>
            <w:hideMark/>
          </w:tcPr>
          <w:p w14:paraId="64638177"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 xml:space="preserve">12 </w:t>
            </w:r>
          </w:p>
        </w:tc>
        <w:tc>
          <w:tcPr>
            <w:tcW w:w="447" w:type="pct"/>
            <w:noWrap/>
            <w:hideMark/>
          </w:tcPr>
          <w:p w14:paraId="586A9A14"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 xml:space="preserve">0.5-2 </w:t>
            </w:r>
          </w:p>
        </w:tc>
      </w:tr>
      <w:tr w:rsidR="000D6A55" w:rsidRPr="00AC5BAF" w14:paraId="55147359" w14:textId="77777777" w:rsidTr="00FA465A">
        <w:trPr>
          <w:trHeight w:val="234"/>
        </w:trPr>
        <w:tc>
          <w:tcPr>
            <w:tcW w:w="733" w:type="pct"/>
            <w:noWrap/>
            <w:hideMark/>
          </w:tcPr>
          <w:p w14:paraId="53C32A8F" w14:textId="24896722" w:rsidR="00AC5BAF" w:rsidRPr="00AC5BAF" w:rsidRDefault="00AC5BAF" w:rsidP="00AC5BAF">
            <w:pPr>
              <w:spacing w:line="360" w:lineRule="auto"/>
              <w:rPr>
                <w:rFonts w:ascii="Book Antiqua" w:eastAsia="AdvTimes" w:hAnsi="Book Antiqua" w:cstheme="minorHAnsi"/>
                <w:vertAlign w:val="superscript"/>
                <w:lang w:val="en-US"/>
              </w:rPr>
            </w:pPr>
            <w:r w:rsidRPr="00AC5BAF">
              <w:rPr>
                <w:rFonts w:ascii="Book Antiqua" w:eastAsia="AdvTimes" w:hAnsi="Book Antiqua" w:cstheme="minorHAnsi"/>
                <w:lang w:val="en-US"/>
              </w:rPr>
              <w:t xml:space="preserve">Yeoman </w:t>
            </w:r>
            <w:r w:rsidRPr="00D665AB">
              <w:rPr>
                <w:rFonts w:ascii="Book Antiqua" w:eastAsia="AdvTimes" w:hAnsi="Book Antiqua" w:cstheme="minorHAnsi"/>
                <w:i/>
                <w:iCs/>
                <w:lang w:val="en-US"/>
              </w:rPr>
              <w:t>et al</w:t>
            </w:r>
            <w:r w:rsidR="00D665AB" w:rsidRPr="00D665AB">
              <w:rPr>
                <w:rFonts w:ascii="Book Antiqua" w:eastAsia="AdvTimes" w:hAnsi="Book Antiqua" w:cstheme="minorHAnsi"/>
                <w:vertAlign w:val="superscript"/>
                <w:lang w:val="en-US"/>
              </w:rPr>
              <w:t>[</w:t>
            </w:r>
            <w:r w:rsidRPr="00AC5BAF">
              <w:rPr>
                <w:rFonts w:ascii="Book Antiqua" w:eastAsia="AdvTimes" w:hAnsi="Book Antiqua" w:cstheme="minorHAnsi"/>
                <w:vertAlign w:val="superscript"/>
                <w:lang w:val="en-US"/>
              </w:rPr>
              <w:t>33</w:t>
            </w:r>
            <w:r w:rsidR="00D665AB">
              <w:rPr>
                <w:rFonts w:ascii="Book Antiqua" w:eastAsia="AdvTimes" w:hAnsi="Book Antiqua" w:cstheme="minorHAnsi"/>
                <w:vertAlign w:val="superscript"/>
                <w:lang w:val="en-US"/>
              </w:rPr>
              <w:t>]</w:t>
            </w:r>
          </w:p>
        </w:tc>
        <w:tc>
          <w:tcPr>
            <w:tcW w:w="408" w:type="pct"/>
            <w:noWrap/>
            <w:hideMark/>
          </w:tcPr>
          <w:p w14:paraId="01449DE0"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2011</w:t>
            </w:r>
          </w:p>
        </w:tc>
        <w:tc>
          <w:tcPr>
            <w:tcW w:w="545" w:type="pct"/>
            <w:noWrap/>
            <w:hideMark/>
          </w:tcPr>
          <w:p w14:paraId="40693965"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United Kingdom</w:t>
            </w:r>
          </w:p>
        </w:tc>
        <w:tc>
          <w:tcPr>
            <w:tcW w:w="410" w:type="pct"/>
            <w:hideMark/>
          </w:tcPr>
          <w:p w14:paraId="1FCBB92D"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2</w:t>
            </w:r>
          </w:p>
        </w:tc>
        <w:tc>
          <w:tcPr>
            <w:tcW w:w="344" w:type="pct"/>
            <w:gridSpan w:val="3"/>
            <w:hideMark/>
          </w:tcPr>
          <w:p w14:paraId="658BBE59"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1/2</w:t>
            </w:r>
          </w:p>
        </w:tc>
        <w:tc>
          <w:tcPr>
            <w:tcW w:w="473" w:type="pct"/>
            <w:hideMark/>
          </w:tcPr>
          <w:p w14:paraId="3D1255B7" w14:textId="46464151"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31.5</w:t>
            </w:r>
            <w:r w:rsidR="00D665AB">
              <w:rPr>
                <w:rFonts w:ascii="Book Antiqua" w:eastAsia="AdvTimes" w:hAnsi="Book Antiqua" w:cstheme="minorHAnsi"/>
                <w:lang w:val="en-US"/>
              </w:rPr>
              <w:t xml:space="preserve"> </w:t>
            </w:r>
            <w:r w:rsidRPr="00AC5BAF">
              <w:rPr>
                <w:rFonts w:ascii="Book Antiqua" w:eastAsia="AdvTimes" w:hAnsi="Book Antiqua" w:cstheme="minorHAnsi"/>
                <w:lang w:val="en-US"/>
              </w:rPr>
              <w:t>± 19.51</w:t>
            </w:r>
          </w:p>
        </w:tc>
        <w:tc>
          <w:tcPr>
            <w:tcW w:w="480" w:type="pct"/>
            <w:noWrap/>
            <w:hideMark/>
          </w:tcPr>
          <w:p w14:paraId="036F3137"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Retrospective</w:t>
            </w:r>
          </w:p>
        </w:tc>
        <w:tc>
          <w:tcPr>
            <w:tcW w:w="614" w:type="pct"/>
            <w:gridSpan w:val="2"/>
            <w:noWrap/>
            <w:hideMark/>
          </w:tcPr>
          <w:p w14:paraId="5BBFB563" w14:textId="1044A296"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1/2 (50)</w:t>
            </w:r>
          </w:p>
        </w:tc>
        <w:tc>
          <w:tcPr>
            <w:tcW w:w="546" w:type="pct"/>
            <w:gridSpan w:val="2"/>
            <w:noWrap/>
            <w:hideMark/>
          </w:tcPr>
          <w:p w14:paraId="649E8FD3"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NR</w:t>
            </w:r>
          </w:p>
        </w:tc>
        <w:tc>
          <w:tcPr>
            <w:tcW w:w="447" w:type="pct"/>
            <w:noWrap/>
            <w:hideMark/>
          </w:tcPr>
          <w:p w14:paraId="32006AF8"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NR</w:t>
            </w:r>
          </w:p>
        </w:tc>
      </w:tr>
      <w:tr w:rsidR="000D6A55" w:rsidRPr="00AC5BAF" w14:paraId="6AEE4591" w14:textId="77777777" w:rsidTr="00FA465A">
        <w:trPr>
          <w:trHeight w:val="224"/>
        </w:trPr>
        <w:tc>
          <w:tcPr>
            <w:tcW w:w="733" w:type="pct"/>
            <w:noWrap/>
            <w:hideMark/>
          </w:tcPr>
          <w:p w14:paraId="0C9A1393" w14:textId="042C2570" w:rsidR="00AC5BAF" w:rsidRPr="00AC5BAF" w:rsidRDefault="00AC5BAF" w:rsidP="00AC5BAF">
            <w:pPr>
              <w:spacing w:line="360" w:lineRule="auto"/>
              <w:rPr>
                <w:rFonts w:ascii="Book Antiqua" w:eastAsia="AdvTimes" w:hAnsi="Book Antiqua" w:cstheme="minorHAnsi"/>
                <w:vertAlign w:val="superscript"/>
                <w:lang w:val="en-US"/>
              </w:rPr>
            </w:pPr>
            <w:proofErr w:type="spellStart"/>
            <w:r w:rsidRPr="00AC5BAF">
              <w:rPr>
                <w:rFonts w:ascii="Book Antiqua" w:eastAsia="AdvTimes" w:hAnsi="Book Antiqua" w:cstheme="minorHAnsi"/>
                <w:lang w:val="en-US"/>
              </w:rPr>
              <w:t>Baven</w:t>
            </w:r>
            <w:proofErr w:type="spellEnd"/>
            <w:r w:rsidRPr="00AC5BAF">
              <w:rPr>
                <w:rFonts w:ascii="Book Antiqua" w:eastAsia="AdvTimes" w:hAnsi="Book Antiqua" w:cstheme="minorHAnsi"/>
                <w:lang w:val="en-US"/>
              </w:rPr>
              <w:t xml:space="preserve">-Pronk </w:t>
            </w:r>
            <w:r w:rsidRPr="00D665AB">
              <w:rPr>
                <w:rFonts w:ascii="Book Antiqua" w:eastAsia="AdvTimes" w:hAnsi="Book Antiqua" w:cstheme="minorHAnsi"/>
                <w:i/>
                <w:iCs/>
                <w:lang w:val="en-US"/>
              </w:rPr>
              <w:t>et al</w:t>
            </w:r>
            <w:r w:rsidR="00D665AB" w:rsidRPr="00D665AB">
              <w:rPr>
                <w:rFonts w:ascii="Book Antiqua" w:eastAsia="AdvTimes" w:hAnsi="Book Antiqua" w:cstheme="minorHAnsi"/>
                <w:vertAlign w:val="superscript"/>
                <w:lang w:val="en-US"/>
              </w:rPr>
              <w:t>[</w:t>
            </w:r>
            <w:r w:rsidRPr="00AC5BAF">
              <w:rPr>
                <w:rFonts w:ascii="Book Antiqua" w:eastAsia="AdvTimes" w:hAnsi="Book Antiqua" w:cstheme="minorHAnsi"/>
                <w:vertAlign w:val="superscript"/>
                <w:lang w:val="en-US"/>
              </w:rPr>
              <w:t>45</w:t>
            </w:r>
            <w:r w:rsidR="00D665AB">
              <w:rPr>
                <w:rFonts w:ascii="Book Antiqua" w:eastAsia="AdvTimes" w:hAnsi="Book Antiqua" w:cstheme="minorHAnsi"/>
                <w:vertAlign w:val="superscript"/>
                <w:lang w:val="en-US"/>
              </w:rPr>
              <w:t>]</w:t>
            </w:r>
          </w:p>
        </w:tc>
        <w:tc>
          <w:tcPr>
            <w:tcW w:w="408" w:type="pct"/>
            <w:noWrap/>
            <w:hideMark/>
          </w:tcPr>
          <w:p w14:paraId="0DED93A5"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2011</w:t>
            </w:r>
          </w:p>
        </w:tc>
        <w:tc>
          <w:tcPr>
            <w:tcW w:w="545" w:type="pct"/>
            <w:noWrap/>
            <w:hideMark/>
          </w:tcPr>
          <w:p w14:paraId="6E45DEFB"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The Netherlands</w:t>
            </w:r>
          </w:p>
        </w:tc>
        <w:tc>
          <w:tcPr>
            <w:tcW w:w="410" w:type="pct"/>
            <w:hideMark/>
          </w:tcPr>
          <w:p w14:paraId="09882C50"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30</w:t>
            </w:r>
          </w:p>
        </w:tc>
        <w:tc>
          <w:tcPr>
            <w:tcW w:w="344" w:type="pct"/>
            <w:gridSpan w:val="3"/>
            <w:hideMark/>
          </w:tcPr>
          <w:p w14:paraId="4818A68B"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24/30</w:t>
            </w:r>
          </w:p>
        </w:tc>
        <w:tc>
          <w:tcPr>
            <w:tcW w:w="473" w:type="pct"/>
            <w:hideMark/>
          </w:tcPr>
          <w:p w14:paraId="74BA0626"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NR</w:t>
            </w:r>
          </w:p>
        </w:tc>
        <w:tc>
          <w:tcPr>
            <w:tcW w:w="480" w:type="pct"/>
            <w:noWrap/>
            <w:hideMark/>
          </w:tcPr>
          <w:p w14:paraId="1F8ACFFA"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Retrospective</w:t>
            </w:r>
          </w:p>
        </w:tc>
        <w:tc>
          <w:tcPr>
            <w:tcW w:w="614" w:type="pct"/>
            <w:gridSpan w:val="2"/>
            <w:hideMark/>
          </w:tcPr>
          <w:p w14:paraId="2B595A27" w14:textId="2CA4FE40"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14/30 (46.7)</w:t>
            </w:r>
          </w:p>
        </w:tc>
        <w:tc>
          <w:tcPr>
            <w:tcW w:w="546" w:type="pct"/>
            <w:gridSpan w:val="2"/>
            <w:noWrap/>
            <w:hideMark/>
          </w:tcPr>
          <w:p w14:paraId="1DE443B7" w14:textId="50BA9871"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39.5</w:t>
            </w:r>
            <w:r w:rsidR="00D665AB">
              <w:rPr>
                <w:rFonts w:ascii="Book Antiqua" w:eastAsia="AdvTimes" w:hAnsi="Book Antiqua" w:cstheme="minorHAnsi"/>
                <w:lang w:val="en-US"/>
              </w:rPr>
              <w:t xml:space="preserve"> </w:t>
            </w:r>
            <w:r w:rsidRPr="00AC5BAF">
              <w:rPr>
                <w:rFonts w:ascii="Book Antiqua" w:eastAsia="AdvTimes" w:hAnsi="Book Antiqua" w:cstheme="minorHAnsi"/>
                <w:lang w:val="en-US"/>
              </w:rPr>
              <w:t>± 22.51</w:t>
            </w:r>
          </w:p>
        </w:tc>
        <w:tc>
          <w:tcPr>
            <w:tcW w:w="447" w:type="pct"/>
            <w:noWrap/>
            <w:hideMark/>
          </w:tcPr>
          <w:p w14:paraId="59068A23" w14:textId="217713EC"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0.5-3</w:t>
            </w:r>
          </w:p>
        </w:tc>
      </w:tr>
      <w:tr w:rsidR="000D6A55" w:rsidRPr="00AC5BAF" w14:paraId="17D05836" w14:textId="77777777" w:rsidTr="00FA465A">
        <w:trPr>
          <w:trHeight w:val="290"/>
        </w:trPr>
        <w:tc>
          <w:tcPr>
            <w:tcW w:w="733" w:type="pct"/>
            <w:noWrap/>
            <w:hideMark/>
          </w:tcPr>
          <w:p w14:paraId="51EFB83F" w14:textId="27D5F3A2" w:rsidR="00AC5BAF" w:rsidRPr="00AC5BAF" w:rsidRDefault="00AC5BAF" w:rsidP="00AC5BAF">
            <w:pPr>
              <w:spacing w:line="360" w:lineRule="auto"/>
              <w:rPr>
                <w:rFonts w:ascii="Book Antiqua" w:eastAsia="AdvTimes" w:hAnsi="Book Antiqua" w:cstheme="minorHAnsi"/>
                <w:vertAlign w:val="superscript"/>
                <w:lang w:val="en-US"/>
              </w:rPr>
            </w:pPr>
            <w:proofErr w:type="spellStart"/>
            <w:r w:rsidRPr="00AC5BAF">
              <w:rPr>
                <w:rFonts w:ascii="Book Antiqua" w:eastAsia="AdvTimes" w:hAnsi="Book Antiqua" w:cstheme="minorHAnsi"/>
                <w:lang w:val="en-US"/>
              </w:rPr>
              <w:t>Jothimani</w:t>
            </w:r>
            <w:proofErr w:type="spellEnd"/>
            <w:r w:rsidRPr="00AC5BAF">
              <w:rPr>
                <w:rFonts w:ascii="Book Antiqua" w:eastAsia="AdvTimes" w:hAnsi="Book Antiqua" w:cstheme="minorHAnsi"/>
                <w:lang w:val="en-US"/>
              </w:rPr>
              <w:t xml:space="preserve"> </w:t>
            </w:r>
            <w:r w:rsidRPr="00D665AB">
              <w:rPr>
                <w:rFonts w:ascii="Book Antiqua" w:eastAsia="AdvTimes" w:hAnsi="Book Antiqua" w:cstheme="minorHAnsi"/>
                <w:i/>
                <w:iCs/>
                <w:lang w:val="en-US"/>
              </w:rPr>
              <w:t>et al</w:t>
            </w:r>
            <w:r w:rsidR="00D665AB" w:rsidRPr="00D665AB">
              <w:rPr>
                <w:rFonts w:ascii="Book Antiqua" w:eastAsia="AdvTimes" w:hAnsi="Book Antiqua" w:cstheme="minorHAnsi"/>
                <w:vertAlign w:val="superscript"/>
                <w:lang w:val="en-US"/>
              </w:rPr>
              <w:t>[</w:t>
            </w:r>
            <w:r w:rsidRPr="00AC5BAF">
              <w:rPr>
                <w:rFonts w:ascii="Book Antiqua" w:eastAsia="AdvTimes" w:hAnsi="Book Antiqua" w:cstheme="minorHAnsi"/>
                <w:vertAlign w:val="superscript"/>
                <w:lang w:val="en-US"/>
              </w:rPr>
              <w:t>46</w:t>
            </w:r>
            <w:r w:rsidR="00D665AB">
              <w:rPr>
                <w:rFonts w:ascii="Book Antiqua" w:eastAsia="AdvTimes" w:hAnsi="Book Antiqua" w:cstheme="minorHAnsi"/>
                <w:vertAlign w:val="superscript"/>
                <w:lang w:val="en-US"/>
              </w:rPr>
              <w:t>]</w:t>
            </w:r>
          </w:p>
        </w:tc>
        <w:tc>
          <w:tcPr>
            <w:tcW w:w="408" w:type="pct"/>
            <w:noWrap/>
            <w:hideMark/>
          </w:tcPr>
          <w:p w14:paraId="747C2A5E"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2014</w:t>
            </w:r>
          </w:p>
        </w:tc>
        <w:tc>
          <w:tcPr>
            <w:tcW w:w="545" w:type="pct"/>
            <w:noWrap/>
            <w:hideMark/>
          </w:tcPr>
          <w:p w14:paraId="5A723E0D" w14:textId="7C59374A"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 xml:space="preserve">India, </w:t>
            </w:r>
            <w:r w:rsidR="00D665AB">
              <w:rPr>
                <w:rFonts w:ascii="Book Antiqua" w:eastAsia="AdvTimes" w:hAnsi="Book Antiqua" w:cstheme="minorHAnsi"/>
                <w:lang w:val="en-US"/>
              </w:rPr>
              <w:t>United Kingdom</w:t>
            </w:r>
            <w:r w:rsidRPr="00AC5BAF">
              <w:rPr>
                <w:rFonts w:ascii="Book Antiqua" w:eastAsia="AdvTimes" w:hAnsi="Book Antiqua" w:cstheme="minorHAnsi"/>
                <w:lang w:val="en-US"/>
              </w:rPr>
              <w:t xml:space="preserve"> </w:t>
            </w:r>
          </w:p>
        </w:tc>
        <w:tc>
          <w:tcPr>
            <w:tcW w:w="410" w:type="pct"/>
            <w:hideMark/>
          </w:tcPr>
          <w:p w14:paraId="6BC353C2"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19</w:t>
            </w:r>
          </w:p>
        </w:tc>
        <w:tc>
          <w:tcPr>
            <w:tcW w:w="344" w:type="pct"/>
            <w:gridSpan w:val="3"/>
            <w:hideMark/>
          </w:tcPr>
          <w:p w14:paraId="3F712DEA"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16/19</w:t>
            </w:r>
          </w:p>
        </w:tc>
        <w:tc>
          <w:tcPr>
            <w:tcW w:w="473" w:type="pct"/>
            <w:hideMark/>
          </w:tcPr>
          <w:p w14:paraId="73FB4E55" w14:textId="05AB068D"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52.25</w:t>
            </w:r>
            <w:r w:rsidR="00D665AB">
              <w:rPr>
                <w:rFonts w:ascii="Book Antiqua" w:eastAsia="AdvTimes" w:hAnsi="Book Antiqua" w:cstheme="minorHAnsi"/>
                <w:lang w:val="en-US"/>
              </w:rPr>
              <w:t xml:space="preserve"> </w:t>
            </w:r>
            <w:r w:rsidRPr="00AC5BAF">
              <w:rPr>
                <w:rFonts w:ascii="Book Antiqua" w:eastAsia="AdvTimes" w:hAnsi="Book Antiqua" w:cstheme="minorHAnsi"/>
                <w:lang w:val="en-US"/>
              </w:rPr>
              <w:t>± 16.52</w:t>
            </w:r>
          </w:p>
        </w:tc>
        <w:tc>
          <w:tcPr>
            <w:tcW w:w="480" w:type="pct"/>
            <w:noWrap/>
            <w:hideMark/>
          </w:tcPr>
          <w:p w14:paraId="0AF91B67"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Retrospective</w:t>
            </w:r>
          </w:p>
        </w:tc>
        <w:tc>
          <w:tcPr>
            <w:tcW w:w="614" w:type="pct"/>
            <w:gridSpan w:val="2"/>
            <w:noWrap/>
            <w:hideMark/>
          </w:tcPr>
          <w:p w14:paraId="119CF019" w14:textId="0D26FBA9"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14 /19 (73.6)</w:t>
            </w:r>
          </w:p>
        </w:tc>
        <w:tc>
          <w:tcPr>
            <w:tcW w:w="546" w:type="pct"/>
            <w:gridSpan w:val="2"/>
            <w:noWrap/>
            <w:hideMark/>
          </w:tcPr>
          <w:p w14:paraId="4CB3B2F7" w14:textId="2B912ADB"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45.4</w:t>
            </w:r>
            <w:r w:rsidR="00D665AB">
              <w:rPr>
                <w:rFonts w:ascii="Book Antiqua" w:eastAsia="AdvTimes" w:hAnsi="Book Antiqua" w:cstheme="minorHAnsi"/>
                <w:lang w:val="en-US"/>
              </w:rPr>
              <w:t xml:space="preserve"> </w:t>
            </w:r>
            <w:r w:rsidRPr="00AC5BAF">
              <w:rPr>
                <w:rFonts w:ascii="Book Antiqua" w:eastAsia="AdvTimes" w:hAnsi="Book Antiqua" w:cstheme="minorHAnsi"/>
                <w:lang w:val="en-US"/>
              </w:rPr>
              <w:t>± 21.13</w:t>
            </w:r>
          </w:p>
        </w:tc>
        <w:tc>
          <w:tcPr>
            <w:tcW w:w="447" w:type="pct"/>
            <w:noWrap/>
            <w:hideMark/>
          </w:tcPr>
          <w:p w14:paraId="24E59D4D"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 xml:space="preserve">1-2 </w:t>
            </w:r>
          </w:p>
        </w:tc>
      </w:tr>
      <w:tr w:rsidR="000D6A55" w:rsidRPr="00AC5BAF" w14:paraId="35BF91E7" w14:textId="77777777" w:rsidTr="00FA465A">
        <w:trPr>
          <w:trHeight w:val="300"/>
        </w:trPr>
        <w:tc>
          <w:tcPr>
            <w:tcW w:w="733" w:type="pct"/>
            <w:noWrap/>
            <w:hideMark/>
          </w:tcPr>
          <w:p w14:paraId="2ED4BCCD" w14:textId="5CC3E0DC" w:rsidR="00AC5BAF" w:rsidRPr="00AC5BAF" w:rsidRDefault="00AC5BAF" w:rsidP="00AC5BAF">
            <w:pPr>
              <w:spacing w:line="360" w:lineRule="auto"/>
              <w:rPr>
                <w:rFonts w:ascii="Book Antiqua" w:eastAsia="AdvTimes" w:hAnsi="Book Antiqua" w:cstheme="minorHAnsi"/>
                <w:vertAlign w:val="superscript"/>
                <w:lang w:val="en-US"/>
              </w:rPr>
            </w:pPr>
            <w:r w:rsidRPr="00AC5BAF">
              <w:rPr>
                <w:rFonts w:ascii="Book Antiqua" w:eastAsia="AdvTimes" w:hAnsi="Book Antiqua" w:cstheme="minorHAnsi"/>
                <w:lang w:val="en-US"/>
              </w:rPr>
              <w:t xml:space="preserve">Roberts </w:t>
            </w:r>
            <w:r w:rsidRPr="00D665AB">
              <w:rPr>
                <w:rFonts w:ascii="Book Antiqua" w:eastAsia="AdvTimes" w:hAnsi="Book Antiqua" w:cstheme="minorHAnsi"/>
                <w:i/>
                <w:iCs/>
                <w:lang w:val="en-US"/>
              </w:rPr>
              <w:t>et al</w:t>
            </w:r>
            <w:r w:rsidR="00D665AB" w:rsidRPr="00D665AB">
              <w:rPr>
                <w:rFonts w:ascii="Book Antiqua" w:eastAsia="AdvTimes" w:hAnsi="Book Antiqua" w:cstheme="minorHAnsi"/>
                <w:vertAlign w:val="superscript"/>
                <w:lang w:val="en-US"/>
              </w:rPr>
              <w:t>[</w:t>
            </w:r>
            <w:r w:rsidRPr="00AC5BAF">
              <w:rPr>
                <w:rFonts w:ascii="Book Antiqua" w:eastAsia="AdvTimes" w:hAnsi="Book Antiqua" w:cstheme="minorHAnsi"/>
                <w:vertAlign w:val="superscript"/>
                <w:lang w:val="en-US"/>
              </w:rPr>
              <w:t>47</w:t>
            </w:r>
            <w:r w:rsidR="00D665AB">
              <w:rPr>
                <w:rFonts w:ascii="Book Antiqua" w:eastAsia="AdvTimes" w:hAnsi="Book Antiqua" w:cstheme="minorHAnsi"/>
                <w:vertAlign w:val="superscript"/>
                <w:lang w:val="en-US"/>
              </w:rPr>
              <w:t>]</w:t>
            </w:r>
          </w:p>
        </w:tc>
        <w:tc>
          <w:tcPr>
            <w:tcW w:w="408" w:type="pct"/>
            <w:noWrap/>
            <w:hideMark/>
          </w:tcPr>
          <w:p w14:paraId="325BCC41" w14:textId="798FAE08"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201</w:t>
            </w:r>
            <w:r w:rsidR="00D665AB">
              <w:rPr>
                <w:rFonts w:ascii="Book Antiqua" w:eastAsia="AdvTimes" w:hAnsi="Book Antiqua" w:cstheme="minorHAnsi"/>
                <w:lang w:val="en-US"/>
              </w:rPr>
              <w:t>8</w:t>
            </w:r>
          </w:p>
        </w:tc>
        <w:tc>
          <w:tcPr>
            <w:tcW w:w="545" w:type="pct"/>
            <w:noWrap/>
            <w:hideMark/>
          </w:tcPr>
          <w:p w14:paraId="06B7B3E8"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Australia</w:t>
            </w:r>
          </w:p>
        </w:tc>
        <w:tc>
          <w:tcPr>
            <w:tcW w:w="410" w:type="pct"/>
            <w:noWrap/>
            <w:hideMark/>
          </w:tcPr>
          <w:p w14:paraId="507D7A09"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105</w:t>
            </w:r>
          </w:p>
        </w:tc>
        <w:tc>
          <w:tcPr>
            <w:tcW w:w="344" w:type="pct"/>
            <w:gridSpan w:val="3"/>
            <w:noWrap/>
            <w:hideMark/>
          </w:tcPr>
          <w:p w14:paraId="78BF924B"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92/105</w:t>
            </w:r>
          </w:p>
        </w:tc>
        <w:tc>
          <w:tcPr>
            <w:tcW w:w="473" w:type="pct"/>
            <w:noWrap/>
            <w:hideMark/>
          </w:tcPr>
          <w:p w14:paraId="685C3E15" w14:textId="61962E9D"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52.5</w:t>
            </w:r>
            <w:r w:rsidR="00D665AB">
              <w:rPr>
                <w:rFonts w:ascii="Book Antiqua" w:eastAsia="AdvTimes" w:hAnsi="Book Antiqua" w:cstheme="minorHAnsi"/>
                <w:lang w:val="en-US"/>
              </w:rPr>
              <w:t xml:space="preserve"> </w:t>
            </w:r>
            <w:r w:rsidRPr="00AC5BAF">
              <w:rPr>
                <w:rFonts w:ascii="Book Antiqua" w:eastAsia="AdvTimes" w:hAnsi="Book Antiqua" w:cstheme="minorHAnsi"/>
                <w:lang w:val="en-US"/>
              </w:rPr>
              <w:t>± 3.65</w:t>
            </w:r>
          </w:p>
        </w:tc>
        <w:tc>
          <w:tcPr>
            <w:tcW w:w="480" w:type="pct"/>
            <w:noWrap/>
            <w:hideMark/>
          </w:tcPr>
          <w:p w14:paraId="35C688C4"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Retrospective</w:t>
            </w:r>
          </w:p>
        </w:tc>
        <w:tc>
          <w:tcPr>
            <w:tcW w:w="614" w:type="pct"/>
            <w:gridSpan w:val="2"/>
            <w:noWrap/>
            <w:hideMark/>
          </w:tcPr>
          <w:p w14:paraId="1C799894" w14:textId="59871CF1"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63/105 (60)</w:t>
            </w:r>
          </w:p>
        </w:tc>
        <w:tc>
          <w:tcPr>
            <w:tcW w:w="546" w:type="pct"/>
            <w:gridSpan w:val="2"/>
            <w:noWrap/>
            <w:hideMark/>
          </w:tcPr>
          <w:p w14:paraId="7FDF2347" w14:textId="2F6E3693"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38.75</w:t>
            </w:r>
            <w:r w:rsidR="00D665AB">
              <w:rPr>
                <w:rFonts w:ascii="Book Antiqua" w:eastAsia="AdvTimes" w:hAnsi="Book Antiqua" w:cstheme="minorHAnsi"/>
                <w:lang w:val="en-US"/>
              </w:rPr>
              <w:t xml:space="preserve"> </w:t>
            </w:r>
            <w:r w:rsidRPr="00AC5BAF">
              <w:rPr>
                <w:rFonts w:ascii="Book Antiqua" w:eastAsia="AdvTimes" w:hAnsi="Book Antiqua" w:cstheme="minorHAnsi"/>
                <w:lang w:val="en-US"/>
              </w:rPr>
              <w:t>± 10.14</w:t>
            </w:r>
          </w:p>
        </w:tc>
        <w:tc>
          <w:tcPr>
            <w:tcW w:w="447" w:type="pct"/>
            <w:hideMark/>
          </w:tcPr>
          <w:p w14:paraId="2E595FDE" w14:textId="76B64075"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2.0 (1.0-2.0)</w:t>
            </w:r>
            <w:r w:rsidR="00D665AB" w:rsidRPr="00D665AB">
              <w:rPr>
                <w:rFonts w:ascii="Book Antiqua" w:eastAsia="AdvTimes" w:hAnsi="Book Antiqua" w:cstheme="minorHAnsi"/>
                <w:vertAlign w:val="superscript"/>
                <w:lang w:val="en-US"/>
              </w:rPr>
              <w:t>1</w:t>
            </w:r>
            <w:r w:rsidRPr="00AC5BAF">
              <w:rPr>
                <w:rFonts w:ascii="Book Antiqua" w:eastAsia="AdvTimes" w:hAnsi="Book Antiqua" w:cstheme="minorHAnsi"/>
                <w:lang w:val="en-US"/>
              </w:rPr>
              <w:t xml:space="preserve"> </w:t>
            </w:r>
          </w:p>
        </w:tc>
      </w:tr>
      <w:tr w:rsidR="000D6A55" w:rsidRPr="00AC5BAF" w14:paraId="25F58F81" w14:textId="77777777" w:rsidTr="00FA465A">
        <w:trPr>
          <w:trHeight w:val="286"/>
        </w:trPr>
        <w:tc>
          <w:tcPr>
            <w:tcW w:w="733" w:type="pct"/>
            <w:noWrap/>
            <w:hideMark/>
          </w:tcPr>
          <w:p w14:paraId="114D24FC" w14:textId="720CC46C" w:rsidR="00AC5BAF" w:rsidRPr="00AC5BAF" w:rsidRDefault="00AC5BAF" w:rsidP="00AC5BAF">
            <w:pPr>
              <w:spacing w:line="360" w:lineRule="auto"/>
              <w:rPr>
                <w:rFonts w:ascii="Book Antiqua" w:eastAsia="AdvTimes" w:hAnsi="Book Antiqua" w:cstheme="minorHAnsi"/>
                <w:vertAlign w:val="superscript"/>
                <w:lang w:val="en-US"/>
              </w:rPr>
            </w:pPr>
            <w:proofErr w:type="spellStart"/>
            <w:r w:rsidRPr="00AC5BAF">
              <w:rPr>
                <w:rFonts w:ascii="Book Antiqua" w:eastAsia="AdvTimes" w:hAnsi="Book Antiqua" w:cstheme="minorHAnsi"/>
                <w:lang w:val="en-US"/>
              </w:rPr>
              <w:t>Efe</w:t>
            </w:r>
            <w:proofErr w:type="spellEnd"/>
            <w:r w:rsidRPr="00AC5BAF">
              <w:rPr>
                <w:rFonts w:ascii="Book Antiqua" w:eastAsia="AdvTimes" w:hAnsi="Book Antiqua" w:cstheme="minorHAnsi"/>
                <w:lang w:val="en-US"/>
              </w:rPr>
              <w:t xml:space="preserve"> </w:t>
            </w:r>
            <w:r w:rsidRPr="00D665AB">
              <w:rPr>
                <w:rFonts w:ascii="Book Antiqua" w:eastAsia="AdvTimes" w:hAnsi="Book Antiqua" w:cstheme="minorHAnsi"/>
                <w:i/>
                <w:iCs/>
                <w:lang w:val="en-US"/>
              </w:rPr>
              <w:t>et al</w:t>
            </w:r>
            <w:r w:rsidR="00D665AB" w:rsidRPr="00D665AB">
              <w:rPr>
                <w:rFonts w:ascii="Book Antiqua" w:eastAsia="AdvTimes" w:hAnsi="Book Antiqua" w:cstheme="minorHAnsi"/>
                <w:vertAlign w:val="superscript"/>
                <w:lang w:val="en-US"/>
              </w:rPr>
              <w:t>[</w:t>
            </w:r>
            <w:r w:rsidRPr="00AC5BAF">
              <w:rPr>
                <w:rFonts w:ascii="Book Antiqua" w:eastAsia="AdvTimes" w:hAnsi="Book Antiqua" w:cstheme="minorHAnsi"/>
                <w:vertAlign w:val="superscript"/>
                <w:lang w:val="en-US"/>
              </w:rPr>
              <w:t>36</w:t>
            </w:r>
            <w:r w:rsidR="00D665AB">
              <w:rPr>
                <w:rFonts w:ascii="Book Antiqua" w:eastAsia="AdvTimes" w:hAnsi="Book Antiqua" w:cstheme="minorHAnsi"/>
                <w:vertAlign w:val="superscript"/>
                <w:lang w:val="en-US"/>
              </w:rPr>
              <w:t>]</w:t>
            </w:r>
          </w:p>
        </w:tc>
        <w:tc>
          <w:tcPr>
            <w:tcW w:w="408" w:type="pct"/>
            <w:noWrap/>
            <w:hideMark/>
          </w:tcPr>
          <w:p w14:paraId="579097C2"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2017</w:t>
            </w:r>
          </w:p>
        </w:tc>
        <w:tc>
          <w:tcPr>
            <w:tcW w:w="545" w:type="pct"/>
            <w:noWrap/>
            <w:hideMark/>
          </w:tcPr>
          <w:p w14:paraId="611AE0DD" w14:textId="20240CEC" w:rsidR="00AC5BAF" w:rsidRPr="00AC5BAF" w:rsidRDefault="00AC5BAF" w:rsidP="00AC5BAF">
            <w:pPr>
              <w:spacing w:line="360" w:lineRule="auto"/>
              <w:rPr>
                <w:rFonts w:ascii="Book Antiqua" w:eastAsia="AdvTimes" w:hAnsi="Book Antiqua" w:cstheme="minorHAnsi"/>
                <w:lang w:val="es-ES"/>
              </w:rPr>
            </w:pPr>
            <w:r w:rsidRPr="00AC5BAF">
              <w:rPr>
                <w:rFonts w:ascii="Book Antiqua" w:eastAsia="AdvTimes" w:hAnsi="Book Antiqua" w:cstheme="minorHAnsi"/>
                <w:lang w:val="es-ES"/>
              </w:rPr>
              <w:t xml:space="preserve">Europe, </w:t>
            </w:r>
            <w:r w:rsidR="00D665AB">
              <w:rPr>
                <w:rFonts w:ascii="Book Antiqua" w:eastAsia="AdvTimes" w:hAnsi="Book Antiqua" w:cstheme="minorHAnsi"/>
                <w:lang w:val="es-ES"/>
              </w:rPr>
              <w:t>United States</w:t>
            </w:r>
            <w:r w:rsidRPr="00AC5BAF">
              <w:rPr>
                <w:rFonts w:ascii="Book Antiqua" w:eastAsia="AdvTimes" w:hAnsi="Book Antiqua" w:cstheme="minorHAnsi"/>
                <w:lang w:val="es-ES"/>
              </w:rPr>
              <w:t>, Canada, and China</w:t>
            </w:r>
          </w:p>
        </w:tc>
        <w:tc>
          <w:tcPr>
            <w:tcW w:w="410" w:type="pct"/>
            <w:noWrap/>
            <w:hideMark/>
          </w:tcPr>
          <w:p w14:paraId="5F3173FF"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121</w:t>
            </w:r>
          </w:p>
        </w:tc>
        <w:tc>
          <w:tcPr>
            <w:tcW w:w="344" w:type="pct"/>
            <w:gridSpan w:val="3"/>
            <w:noWrap/>
            <w:hideMark/>
          </w:tcPr>
          <w:p w14:paraId="073BE531"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96/121</w:t>
            </w:r>
          </w:p>
        </w:tc>
        <w:tc>
          <w:tcPr>
            <w:tcW w:w="473" w:type="pct"/>
            <w:noWrap/>
            <w:hideMark/>
          </w:tcPr>
          <w:p w14:paraId="1FD43D54" w14:textId="221089C3"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41.25</w:t>
            </w:r>
            <w:r w:rsidR="00D665AB">
              <w:rPr>
                <w:rFonts w:ascii="Book Antiqua" w:eastAsia="AdvTimes" w:hAnsi="Book Antiqua" w:cstheme="minorHAnsi"/>
                <w:lang w:val="en-US"/>
              </w:rPr>
              <w:t xml:space="preserve"> </w:t>
            </w:r>
            <w:r w:rsidRPr="00AC5BAF">
              <w:rPr>
                <w:rFonts w:ascii="Book Antiqua" w:eastAsia="AdvTimes" w:hAnsi="Book Antiqua" w:cstheme="minorHAnsi"/>
                <w:lang w:val="en-US"/>
              </w:rPr>
              <w:t>± 13.45</w:t>
            </w:r>
          </w:p>
        </w:tc>
        <w:tc>
          <w:tcPr>
            <w:tcW w:w="480" w:type="pct"/>
            <w:noWrap/>
            <w:hideMark/>
          </w:tcPr>
          <w:p w14:paraId="2C417FA8"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Retrospective</w:t>
            </w:r>
          </w:p>
        </w:tc>
        <w:tc>
          <w:tcPr>
            <w:tcW w:w="614" w:type="pct"/>
            <w:gridSpan w:val="2"/>
            <w:noWrap/>
            <w:hideMark/>
          </w:tcPr>
          <w:p w14:paraId="67CB1616" w14:textId="5D70C29D"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84/121</w:t>
            </w:r>
            <w:r w:rsidR="00D665AB">
              <w:rPr>
                <w:rFonts w:ascii="Book Antiqua" w:eastAsia="AdvTimes" w:hAnsi="Book Antiqua" w:cstheme="minorHAnsi"/>
                <w:lang w:val="en-US"/>
              </w:rPr>
              <w:t xml:space="preserve"> </w:t>
            </w:r>
            <w:r w:rsidRPr="00AC5BAF">
              <w:rPr>
                <w:rFonts w:ascii="Book Antiqua" w:eastAsia="AdvTimes" w:hAnsi="Book Antiqua" w:cstheme="minorHAnsi"/>
                <w:lang w:val="en-US"/>
              </w:rPr>
              <w:t>(69.4)</w:t>
            </w:r>
          </w:p>
        </w:tc>
        <w:tc>
          <w:tcPr>
            <w:tcW w:w="546" w:type="pct"/>
            <w:gridSpan w:val="2"/>
            <w:noWrap/>
            <w:hideMark/>
          </w:tcPr>
          <w:p w14:paraId="751B43D3" w14:textId="49E6EB0F"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66.25</w:t>
            </w:r>
            <w:r w:rsidR="00D665AB">
              <w:rPr>
                <w:rFonts w:ascii="Book Antiqua" w:eastAsia="AdvTimes" w:hAnsi="Book Antiqua" w:cstheme="minorHAnsi"/>
                <w:lang w:val="en-US"/>
              </w:rPr>
              <w:t xml:space="preserve"> </w:t>
            </w:r>
            <w:r w:rsidRPr="00AC5BAF">
              <w:rPr>
                <w:rFonts w:ascii="Book Antiqua" w:eastAsia="AdvTimes" w:hAnsi="Book Antiqua" w:cstheme="minorHAnsi"/>
                <w:lang w:val="en-US"/>
              </w:rPr>
              <w:t>± 31.77</w:t>
            </w:r>
          </w:p>
        </w:tc>
        <w:tc>
          <w:tcPr>
            <w:tcW w:w="447" w:type="pct"/>
            <w:noWrap/>
            <w:hideMark/>
          </w:tcPr>
          <w:p w14:paraId="3205DCD4" w14:textId="2D217200"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1</w:t>
            </w:r>
            <w:r w:rsidR="00D665AB">
              <w:rPr>
                <w:rFonts w:ascii="Book Antiqua" w:eastAsia="AdvTimes" w:hAnsi="Book Antiqua" w:cstheme="minorHAnsi"/>
                <w:lang w:val="en-US"/>
              </w:rPr>
              <w:t xml:space="preserve"> </w:t>
            </w:r>
            <w:r w:rsidRPr="00AC5BAF">
              <w:rPr>
                <w:rFonts w:ascii="Book Antiqua" w:eastAsia="AdvTimes" w:hAnsi="Book Antiqua" w:cstheme="minorHAnsi"/>
                <w:lang w:val="en-US"/>
              </w:rPr>
              <w:t>(0-2)</w:t>
            </w:r>
            <w:r w:rsidR="00D665AB" w:rsidRPr="00D665AB">
              <w:rPr>
                <w:rFonts w:ascii="Book Antiqua" w:eastAsia="AdvTimes" w:hAnsi="Book Antiqua" w:cstheme="minorHAnsi"/>
                <w:vertAlign w:val="superscript"/>
                <w:lang w:val="en-US"/>
              </w:rPr>
              <w:t>1</w:t>
            </w:r>
          </w:p>
        </w:tc>
      </w:tr>
      <w:tr w:rsidR="000D6A55" w:rsidRPr="00AC5BAF" w14:paraId="2E17FF9E" w14:textId="77777777" w:rsidTr="00FA465A">
        <w:trPr>
          <w:trHeight w:val="286"/>
        </w:trPr>
        <w:tc>
          <w:tcPr>
            <w:tcW w:w="733" w:type="pct"/>
            <w:noWrap/>
          </w:tcPr>
          <w:p w14:paraId="588EFD36" w14:textId="670D66B1" w:rsidR="00AC5BAF" w:rsidRPr="00AC5BAF" w:rsidRDefault="00AC5BAF" w:rsidP="00AC5BAF">
            <w:pPr>
              <w:spacing w:line="360" w:lineRule="auto"/>
              <w:rPr>
                <w:rFonts w:ascii="Book Antiqua" w:eastAsia="AdvTimes" w:hAnsi="Book Antiqua" w:cstheme="minorHAnsi"/>
                <w:vertAlign w:val="superscript"/>
                <w:lang w:val="en-US"/>
              </w:rPr>
            </w:pPr>
            <w:r w:rsidRPr="00AC5BAF">
              <w:rPr>
                <w:rFonts w:ascii="Book Antiqua" w:eastAsia="AdvTimes" w:hAnsi="Book Antiqua" w:cstheme="minorHAnsi"/>
                <w:lang w:val="en-US"/>
              </w:rPr>
              <w:t xml:space="preserve">Giannakopoulos </w:t>
            </w:r>
            <w:r w:rsidRPr="00D665AB">
              <w:rPr>
                <w:rFonts w:ascii="Book Antiqua" w:eastAsia="AdvTimes" w:hAnsi="Book Antiqua" w:cstheme="minorHAnsi"/>
                <w:i/>
                <w:iCs/>
                <w:lang w:val="en-US"/>
              </w:rPr>
              <w:t>et al</w:t>
            </w:r>
            <w:r w:rsidR="00D665AB" w:rsidRPr="00D665AB">
              <w:rPr>
                <w:rFonts w:ascii="Book Antiqua" w:eastAsia="AdvTimes" w:hAnsi="Book Antiqua" w:cstheme="minorHAnsi"/>
                <w:vertAlign w:val="superscript"/>
                <w:lang w:val="en-US"/>
              </w:rPr>
              <w:t>[</w:t>
            </w:r>
            <w:r w:rsidRPr="00AC5BAF">
              <w:rPr>
                <w:rFonts w:ascii="Book Antiqua" w:eastAsia="AdvTimes" w:hAnsi="Book Antiqua" w:cstheme="minorHAnsi"/>
                <w:vertAlign w:val="superscript"/>
                <w:lang w:val="en-US"/>
              </w:rPr>
              <w:t>18</w:t>
            </w:r>
            <w:r w:rsidR="00D665AB">
              <w:rPr>
                <w:rFonts w:ascii="Book Antiqua" w:eastAsia="AdvTimes" w:hAnsi="Book Antiqua" w:cstheme="minorHAnsi"/>
                <w:vertAlign w:val="superscript"/>
                <w:lang w:val="en-US"/>
              </w:rPr>
              <w:t>]</w:t>
            </w:r>
          </w:p>
        </w:tc>
        <w:tc>
          <w:tcPr>
            <w:tcW w:w="408" w:type="pct"/>
            <w:noWrap/>
          </w:tcPr>
          <w:p w14:paraId="0094E70C"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2019</w:t>
            </w:r>
          </w:p>
        </w:tc>
        <w:tc>
          <w:tcPr>
            <w:tcW w:w="545" w:type="pct"/>
            <w:noWrap/>
          </w:tcPr>
          <w:p w14:paraId="6B707672"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Sweden</w:t>
            </w:r>
          </w:p>
        </w:tc>
        <w:tc>
          <w:tcPr>
            <w:tcW w:w="410" w:type="pct"/>
            <w:noWrap/>
          </w:tcPr>
          <w:p w14:paraId="547CF15E"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22</w:t>
            </w:r>
          </w:p>
        </w:tc>
        <w:tc>
          <w:tcPr>
            <w:tcW w:w="344" w:type="pct"/>
            <w:gridSpan w:val="3"/>
            <w:noWrap/>
          </w:tcPr>
          <w:p w14:paraId="58449590"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12/22</w:t>
            </w:r>
          </w:p>
        </w:tc>
        <w:tc>
          <w:tcPr>
            <w:tcW w:w="473" w:type="pct"/>
            <w:noWrap/>
          </w:tcPr>
          <w:p w14:paraId="5A2A9D29" w14:textId="39C948D3"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50</w:t>
            </w:r>
            <w:r w:rsidR="00D665AB">
              <w:rPr>
                <w:rFonts w:ascii="Book Antiqua" w:eastAsia="AdvTimes" w:hAnsi="Book Antiqua" w:cstheme="minorHAnsi"/>
                <w:lang w:val="en-US"/>
              </w:rPr>
              <w:t xml:space="preserve"> </w:t>
            </w:r>
            <w:r w:rsidRPr="00AC5BAF">
              <w:rPr>
                <w:rFonts w:ascii="Book Antiqua" w:eastAsia="AdvTimes" w:hAnsi="Book Antiqua" w:cstheme="minorHAnsi"/>
                <w:lang w:val="en-US"/>
              </w:rPr>
              <w:t>±</w:t>
            </w:r>
            <w:r w:rsidR="00D665AB">
              <w:rPr>
                <w:rFonts w:ascii="Book Antiqua" w:eastAsia="AdvTimes" w:hAnsi="Book Antiqua" w:cstheme="minorHAnsi"/>
                <w:lang w:val="en-US"/>
              </w:rPr>
              <w:t xml:space="preserve"> </w:t>
            </w:r>
            <w:r w:rsidRPr="00AC5BAF">
              <w:rPr>
                <w:rFonts w:ascii="Book Antiqua" w:eastAsia="AdvTimes" w:hAnsi="Book Antiqua" w:cstheme="minorHAnsi"/>
                <w:lang w:val="en-US"/>
              </w:rPr>
              <w:t>12.57</w:t>
            </w:r>
          </w:p>
        </w:tc>
        <w:tc>
          <w:tcPr>
            <w:tcW w:w="480" w:type="pct"/>
            <w:noWrap/>
          </w:tcPr>
          <w:p w14:paraId="2FDC24A8" w14:textId="7777777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Retrospective</w:t>
            </w:r>
          </w:p>
        </w:tc>
        <w:tc>
          <w:tcPr>
            <w:tcW w:w="614" w:type="pct"/>
            <w:gridSpan w:val="2"/>
            <w:noWrap/>
          </w:tcPr>
          <w:p w14:paraId="2B77170D" w14:textId="79FBA057"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10/22 (45.5)</w:t>
            </w:r>
          </w:p>
        </w:tc>
        <w:tc>
          <w:tcPr>
            <w:tcW w:w="546" w:type="pct"/>
            <w:gridSpan w:val="2"/>
            <w:noWrap/>
          </w:tcPr>
          <w:p w14:paraId="12BC1548" w14:textId="3B98674A" w:rsidR="00AC5BAF" w:rsidRPr="00AC5BAF" w:rsidRDefault="00AC5BAF" w:rsidP="00AC5BAF">
            <w:pPr>
              <w:spacing w:line="360" w:lineRule="auto"/>
              <w:rPr>
                <w:rFonts w:ascii="Book Antiqua" w:eastAsia="AdvTimes" w:hAnsi="Book Antiqua" w:cstheme="minorHAnsi"/>
                <w:lang w:val="en-US"/>
              </w:rPr>
            </w:pPr>
            <w:r w:rsidRPr="00AC5BAF">
              <w:rPr>
                <w:rFonts w:ascii="Book Antiqua" w:eastAsia="AdvTimes" w:hAnsi="Book Antiqua" w:cstheme="minorHAnsi"/>
                <w:lang w:val="en-US"/>
              </w:rPr>
              <w:t>71 (10</w:t>
            </w:r>
            <w:r w:rsidR="00D665AB">
              <w:rPr>
                <w:rFonts w:ascii="Book Antiqua" w:eastAsia="AdvTimes" w:hAnsi="Book Antiqua" w:cstheme="minorHAnsi"/>
                <w:lang w:val="en-US"/>
              </w:rPr>
              <w:t>-</w:t>
            </w:r>
            <w:r w:rsidRPr="00AC5BAF">
              <w:rPr>
                <w:rFonts w:ascii="Book Antiqua" w:eastAsia="AdvTimes" w:hAnsi="Book Antiqua" w:cstheme="minorHAnsi"/>
                <w:lang w:val="en-US"/>
              </w:rPr>
              <w:t>54)</w:t>
            </w:r>
            <w:r w:rsidR="00BF16FF" w:rsidRPr="00D665AB">
              <w:rPr>
                <w:rFonts w:ascii="Book Antiqua" w:eastAsia="AdvTimes" w:hAnsi="Book Antiqua" w:cstheme="minorHAnsi"/>
                <w:vertAlign w:val="superscript"/>
                <w:lang w:val="en-US"/>
              </w:rPr>
              <w:t>1</w:t>
            </w:r>
          </w:p>
        </w:tc>
        <w:tc>
          <w:tcPr>
            <w:tcW w:w="447" w:type="pct"/>
            <w:noWrap/>
          </w:tcPr>
          <w:p w14:paraId="5489308A" w14:textId="5B1B741C" w:rsidR="00AC5BAF" w:rsidRPr="00AC5BAF" w:rsidRDefault="00AC5BAF" w:rsidP="00AC5BAF">
            <w:pPr>
              <w:spacing w:line="360" w:lineRule="auto"/>
              <w:rPr>
                <w:rFonts w:ascii="Book Antiqua" w:eastAsia="AdvTimes" w:hAnsi="Book Antiqua" w:cstheme="minorHAnsi"/>
                <w:vertAlign w:val="superscript"/>
                <w:lang w:val="en-US"/>
              </w:rPr>
            </w:pPr>
            <w:r w:rsidRPr="00AC5BAF">
              <w:rPr>
                <w:rFonts w:ascii="Book Antiqua" w:eastAsia="AdvTimes" w:hAnsi="Book Antiqua" w:cstheme="minorHAnsi"/>
                <w:lang w:val="en-US"/>
              </w:rPr>
              <w:t>2.0 (1.0–2.5)</w:t>
            </w:r>
            <w:r w:rsidR="00D665AB" w:rsidRPr="00D665AB">
              <w:rPr>
                <w:rFonts w:ascii="Book Antiqua" w:eastAsia="AdvTimes" w:hAnsi="Book Antiqua" w:cstheme="minorHAnsi"/>
                <w:vertAlign w:val="superscript"/>
                <w:lang w:val="en-US"/>
              </w:rPr>
              <w:t>1</w:t>
            </w:r>
          </w:p>
        </w:tc>
      </w:tr>
    </w:tbl>
    <w:p w14:paraId="4C94B6CB" w14:textId="0C6EF854" w:rsidR="00A02A1F" w:rsidRDefault="00A02A1F">
      <w:pPr>
        <w:spacing w:line="360" w:lineRule="auto"/>
        <w:jc w:val="both"/>
        <w:rPr>
          <w:rFonts w:ascii="Book Antiqua" w:hAnsi="Book Antiqua"/>
        </w:rPr>
      </w:pPr>
      <w:r w:rsidRPr="00A02A1F">
        <w:rPr>
          <w:rFonts w:ascii="Book Antiqua" w:hAnsi="Book Antiqua"/>
          <w:vertAlign w:val="superscript"/>
        </w:rPr>
        <w:t>1</w:t>
      </w:r>
      <w:r w:rsidRPr="00A02A1F">
        <w:rPr>
          <w:rFonts w:ascii="Book Antiqua" w:hAnsi="Book Antiqua"/>
        </w:rPr>
        <w:t xml:space="preserve">Median, </w:t>
      </w:r>
      <w:r w:rsidRPr="00A02A1F">
        <w:rPr>
          <w:rFonts w:ascii="Book Antiqua" w:hAnsi="Book Antiqua"/>
          <w:vertAlign w:val="superscript"/>
        </w:rPr>
        <w:t>2</w:t>
      </w:r>
      <w:r w:rsidRPr="00A02A1F">
        <w:rPr>
          <w:rFonts w:ascii="Book Antiqua" w:hAnsi="Book Antiqua"/>
        </w:rPr>
        <w:t xml:space="preserve">Mean dose in tacrolimus studies is defined as mg/d and in </w:t>
      </w:r>
      <w:r w:rsidR="009029AE">
        <w:rPr>
          <w:rFonts w:ascii="Book Antiqua" w:eastAsia="Book Antiqua" w:hAnsi="Book Antiqua" w:cs="Book Antiqua"/>
          <w:color w:val="000000"/>
        </w:rPr>
        <w:t>mycophenolate mofetil</w:t>
      </w:r>
      <w:r w:rsidRPr="00A02A1F">
        <w:rPr>
          <w:rFonts w:ascii="Book Antiqua" w:hAnsi="Book Antiqua"/>
        </w:rPr>
        <w:t xml:space="preserve"> studies is defined as g/d</w:t>
      </w:r>
      <w:r>
        <w:rPr>
          <w:rFonts w:ascii="Book Antiqua" w:hAnsi="Book Antiqua"/>
        </w:rPr>
        <w:t>.</w:t>
      </w:r>
      <w:r w:rsidRPr="00A02A1F">
        <w:rPr>
          <w:rFonts w:ascii="Book Antiqua" w:hAnsi="Book Antiqua"/>
        </w:rPr>
        <w:t xml:space="preserve"> NR</w:t>
      </w:r>
      <w:r>
        <w:rPr>
          <w:rFonts w:ascii="Book Antiqua" w:hAnsi="Book Antiqua"/>
        </w:rPr>
        <w:t>:</w:t>
      </w:r>
      <w:r w:rsidRPr="00A02A1F">
        <w:rPr>
          <w:rFonts w:ascii="Book Antiqua" w:hAnsi="Book Antiqua"/>
        </w:rPr>
        <w:t xml:space="preserve"> Not </w:t>
      </w:r>
      <w:r w:rsidR="008A56A2">
        <w:rPr>
          <w:rFonts w:ascii="Book Antiqua" w:hAnsi="Book Antiqua"/>
        </w:rPr>
        <w:t>r</w:t>
      </w:r>
      <w:r w:rsidRPr="00A02A1F">
        <w:rPr>
          <w:rFonts w:ascii="Book Antiqua" w:hAnsi="Book Antiqua"/>
        </w:rPr>
        <w:t>eported</w:t>
      </w:r>
      <w:r w:rsidR="00BF16FF">
        <w:rPr>
          <w:rFonts w:ascii="Book Antiqua" w:hAnsi="Book Antiqua"/>
        </w:rPr>
        <w:t xml:space="preserve">; MMF: </w:t>
      </w:r>
      <w:r w:rsidR="00BF16FF">
        <w:rPr>
          <w:rFonts w:ascii="Book Antiqua" w:eastAsia="Book Antiqua" w:hAnsi="Book Antiqua" w:cs="Book Antiqua"/>
          <w:color w:val="000000"/>
        </w:rPr>
        <w:t>Mycophenolate mofetil.</w:t>
      </w:r>
    </w:p>
    <w:p w14:paraId="2504A07B" w14:textId="4AA9D4EA" w:rsidR="00A02A1F" w:rsidRPr="005F0F1E" w:rsidRDefault="00A02A1F">
      <w:pPr>
        <w:spacing w:line="360" w:lineRule="auto"/>
        <w:jc w:val="both"/>
        <w:rPr>
          <w:rFonts w:ascii="Book Antiqua" w:hAnsi="Book Antiqua"/>
          <w:b/>
          <w:bCs/>
        </w:rPr>
      </w:pPr>
      <w:r>
        <w:rPr>
          <w:rFonts w:ascii="Book Antiqua" w:hAnsi="Book Antiqua"/>
        </w:rPr>
        <w:br w:type="page"/>
      </w:r>
      <w:r w:rsidR="005F0F1E" w:rsidRPr="005F0F1E">
        <w:rPr>
          <w:rFonts w:ascii="Book Antiqua" w:hAnsi="Book Antiqua"/>
          <w:b/>
          <w:bCs/>
        </w:rPr>
        <w:lastRenderedPageBreak/>
        <w:t xml:space="preserve">Table 2 Summary of findings and quality assessment of evidence per our outcomes of interest using the </w:t>
      </w:r>
      <w:r w:rsidR="005F0F1E" w:rsidRPr="005F0F1E">
        <w:rPr>
          <w:rFonts w:ascii="Book Antiqua" w:eastAsia="Book Antiqua" w:hAnsi="Book Antiqua" w:cs="Book Antiqua"/>
          <w:b/>
          <w:bCs/>
          <w:color w:val="000000"/>
        </w:rPr>
        <w:t>Grading of Recommendations Assessment, Development and Evaluation approach</w:t>
      </w:r>
    </w:p>
    <w:tbl>
      <w:tblPr>
        <w:tblStyle w:val="a7"/>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1"/>
        <w:gridCol w:w="118"/>
        <w:gridCol w:w="60"/>
        <w:gridCol w:w="475"/>
        <w:gridCol w:w="947"/>
        <w:gridCol w:w="592"/>
        <w:gridCol w:w="180"/>
        <w:gridCol w:w="709"/>
        <w:gridCol w:w="60"/>
        <w:gridCol w:w="769"/>
        <w:gridCol w:w="60"/>
        <w:gridCol w:w="709"/>
        <w:gridCol w:w="180"/>
        <w:gridCol w:w="764"/>
        <w:gridCol w:w="943"/>
        <w:gridCol w:w="914"/>
        <w:gridCol w:w="919"/>
      </w:tblGrid>
      <w:tr w:rsidR="005F0F1E" w:rsidRPr="002720FA" w14:paraId="70214B85" w14:textId="77777777" w:rsidTr="00C653A4">
        <w:trPr>
          <w:trHeight w:val="215"/>
        </w:trPr>
        <w:tc>
          <w:tcPr>
            <w:tcW w:w="608" w:type="pct"/>
            <w:gridSpan w:val="3"/>
            <w:tcBorders>
              <w:top w:val="single" w:sz="4" w:space="0" w:color="auto"/>
              <w:bottom w:val="nil"/>
            </w:tcBorders>
          </w:tcPr>
          <w:p w14:paraId="1644329B" w14:textId="77777777" w:rsidR="005F0F1E" w:rsidRPr="002720FA" w:rsidRDefault="005F0F1E" w:rsidP="005F0F1E">
            <w:pPr>
              <w:spacing w:line="360" w:lineRule="auto"/>
              <w:rPr>
                <w:rFonts w:ascii="Book Antiqua" w:eastAsia="Times New Roman" w:hAnsi="Book Antiqua" w:cstheme="minorHAnsi"/>
                <w:b/>
                <w:bCs/>
                <w:lang w:val="en-US"/>
              </w:rPr>
            </w:pPr>
          </w:p>
        </w:tc>
        <w:tc>
          <w:tcPr>
            <w:tcW w:w="2908" w:type="pct"/>
            <w:gridSpan w:val="11"/>
            <w:tcBorders>
              <w:top w:val="single" w:sz="4" w:space="0" w:color="auto"/>
              <w:bottom w:val="single" w:sz="4" w:space="0" w:color="auto"/>
            </w:tcBorders>
            <w:hideMark/>
          </w:tcPr>
          <w:p w14:paraId="51561683" w14:textId="77777777" w:rsidR="005F0F1E" w:rsidRPr="002720FA" w:rsidRDefault="005F0F1E" w:rsidP="005F0F1E">
            <w:pPr>
              <w:spacing w:line="360" w:lineRule="auto"/>
              <w:jc w:val="center"/>
              <w:rPr>
                <w:rFonts w:ascii="Book Antiqua" w:eastAsia="Times New Roman" w:hAnsi="Book Antiqua" w:cstheme="minorHAnsi"/>
                <w:b/>
                <w:bCs/>
                <w:lang w:val="en-US"/>
              </w:rPr>
            </w:pPr>
            <w:r w:rsidRPr="002720FA">
              <w:rPr>
                <w:rFonts w:ascii="Book Antiqua" w:eastAsia="Times New Roman" w:hAnsi="Book Antiqua" w:cstheme="minorHAnsi"/>
                <w:b/>
                <w:bCs/>
                <w:lang w:val="en-US"/>
              </w:rPr>
              <w:t>Certainty assessment</w:t>
            </w:r>
          </w:p>
        </w:tc>
        <w:tc>
          <w:tcPr>
            <w:tcW w:w="504" w:type="pct"/>
            <w:tcBorders>
              <w:top w:val="single" w:sz="4" w:space="0" w:color="auto"/>
              <w:bottom w:val="nil"/>
            </w:tcBorders>
            <w:hideMark/>
          </w:tcPr>
          <w:p w14:paraId="6EAA6DE3" w14:textId="5C414330" w:rsidR="005F0F1E" w:rsidRPr="002720FA" w:rsidRDefault="002720FA" w:rsidP="005F0F1E">
            <w:pPr>
              <w:spacing w:line="360" w:lineRule="auto"/>
              <w:rPr>
                <w:rFonts w:ascii="Book Antiqua" w:eastAsia="Times New Roman" w:hAnsi="Book Antiqua" w:cstheme="minorHAnsi"/>
                <w:b/>
                <w:bCs/>
                <w:lang w:val="en-US"/>
              </w:rPr>
            </w:pPr>
            <w:r w:rsidRPr="002720FA">
              <w:rPr>
                <w:rFonts w:ascii="Book Antiqua" w:eastAsia="Times New Roman" w:hAnsi="Book Antiqua" w:cstheme="minorHAnsi"/>
                <w:b/>
                <w:bCs/>
                <w:lang w:val="en-US"/>
              </w:rPr>
              <w:t>Patient (</w:t>
            </w:r>
            <w:r w:rsidRPr="002720FA">
              <w:rPr>
                <w:rFonts w:ascii="Book Antiqua" w:eastAsia="Times New Roman" w:hAnsi="Book Antiqua" w:cstheme="minorHAnsi"/>
                <w:b/>
                <w:bCs/>
                <w:i/>
                <w:iCs/>
                <w:lang w:val="en-US"/>
              </w:rPr>
              <w:t>n</w:t>
            </w:r>
            <w:r w:rsidRPr="002720FA">
              <w:rPr>
                <w:rFonts w:ascii="Book Antiqua" w:eastAsia="Times New Roman" w:hAnsi="Book Antiqua" w:cstheme="minorHAnsi"/>
                <w:b/>
                <w:bCs/>
                <w:lang w:val="en-US"/>
              </w:rPr>
              <w:t>)</w:t>
            </w:r>
          </w:p>
        </w:tc>
        <w:tc>
          <w:tcPr>
            <w:tcW w:w="488" w:type="pct"/>
            <w:vMerge w:val="restart"/>
            <w:tcBorders>
              <w:top w:val="single" w:sz="4" w:space="0" w:color="auto"/>
              <w:bottom w:val="nil"/>
            </w:tcBorders>
            <w:hideMark/>
          </w:tcPr>
          <w:p w14:paraId="1B46968D" w14:textId="77777777" w:rsidR="005F0F1E" w:rsidRPr="002720FA" w:rsidRDefault="005F0F1E" w:rsidP="005F0F1E">
            <w:pPr>
              <w:spacing w:line="360" w:lineRule="auto"/>
              <w:rPr>
                <w:rFonts w:ascii="Book Antiqua" w:eastAsia="Times New Roman" w:hAnsi="Book Antiqua" w:cstheme="minorHAnsi"/>
                <w:b/>
                <w:bCs/>
                <w:lang w:val="en-US"/>
              </w:rPr>
            </w:pPr>
            <w:r w:rsidRPr="002720FA">
              <w:rPr>
                <w:rFonts w:ascii="Book Antiqua" w:eastAsia="Times New Roman" w:hAnsi="Book Antiqua" w:cstheme="minorHAnsi"/>
                <w:b/>
                <w:bCs/>
                <w:lang w:val="en-US"/>
              </w:rPr>
              <w:t>Certainty</w:t>
            </w:r>
          </w:p>
        </w:tc>
        <w:tc>
          <w:tcPr>
            <w:tcW w:w="492" w:type="pct"/>
            <w:vMerge w:val="restart"/>
            <w:tcBorders>
              <w:top w:val="single" w:sz="4" w:space="0" w:color="auto"/>
              <w:bottom w:val="nil"/>
            </w:tcBorders>
            <w:hideMark/>
          </w:tcPr>
          <w:p w14:paraId="7E0A6713" w14:textId="77777777" w:rsidR="005F0F1E" w:rsidRPr="002720FA" w:rsidRDefault="005F0F1E" w:rsidP="005F0F1E">
            <w:pPr>
              <w:spacing w:line="360" w:lineRule="auto"/>
              <w:rPr>
                <w:rFonts w:ascii="Book Antiqua" w:eastAsia="Times New Roman" w:hAnsi="Book Antiqua" w:cstheme="minorHAnsi"/>
                <w:b/>
                <w:bCs/>
                <w:lang w:val="en-US"/>
              </w:rPr>
            </w:pPr>
            <w:r w:rsidRPr="002720FA">
              <w:rPr>
                <w:rFonts w:ascii="Book Antiqua" w:eastAsia="Times New Roman" w:hAnsi="Book Antiqua" w:cstheme="minorHAnsi"/>
                <w:b/>
                <w:bCs/>
                <w:lang w:val="en-US"/>
              </w:rPr>
              <w:t>Importance</w:t>
            </w:r>
          </w:p>
        </w:tc>
      </w:tr>
      <w:tr w:rsidR="005F0F1E" w:rsidRPr="002720FA" w14:paraId="7337CEB8" w14:textId="77777777" w:rsidTr="00C653A4">
        <w:trPr>
          <w:trHeight w:val="643"/>
        </w:trPr>
        <w:tc>
          <w:tcPr>
            <w:tcW w:w="513" w:type="pct"/>
            <w:tcBorders>
              <w:top w:val="nil"/>
              <w:bottom w:val="single" w:sz="4" w:space="0" w:color="auto"/>
            </w:tcBorders>
          </w:tcPr>
          <w:p w14:paraId="485B24D4" w14:textId="77777777" w:rsidR="005F0F1E" w:rsidRPr="002720FA" w:rsidRDefault="005F0F1E" w:rsidP="005F0F1E">
            <w:pPr>
              <w:spacing w:line="360" w:lineRule="auto"/>
              <w:rPr>
                <w:rFonts w:ascii="Book Antiqua" w:eastAsia="Times New Roman" w:hAnsi="Book Antiqua" w:cstheme="minorHAnsi"/>
                <w:b/>
                <w:bCs/>
                <w:lang w:val="en-US"/>
              </w:rPr>
            </w:pPr>
            <w:r w:rsidRPr="002720FA">
              <w:rPr>
                <w:rFonts w:ascii="Book Antiqua" w:eastAsia="Times New Roman" w:hAnsi="Book Antiqua" w:cstheme="minorHAnsi"/>
                <w:b/>
                <w:bCs/>
                <w:lang w:val="en-US"/>
              </w:rPr>
              <w:t>Outcomes</w:t>
            </w:r>
          </w:p>
        </w:tc>
        <w:tc>
          <w:tcPr>
            <w:tcW w:w="348" w:type="pct"/>
            <w:gridSpan w:val="3"/>
            <w:tcBorders>
              <w:top w:val="single" w:sz="4" w:space="0" w:color="auto"/>
              <w:bottom w:val="single" w:sz="4" w:space="0" w:color="auto"/>
            </w:tcBorders>
            <w:hideMark/>
          </w:tcPr>
          <w:p w14:paraId="6BA0A810" w14:textId="5C7FEF1E" w:rsidR="005F0F1E" w:rsidRPr="002720FA" w:rsidRDefault="005F0F1E" w:rsidP="002720FA">
            <w:pPr>
              <w:spacing w:line="360" w:lineRule="auto"/>
              <w:rPr>
                <w:rFonts w:ascii="Book Antiqua" w:eastAsia="Times New Roman" w:hAnsi="Book Antiqua" w:cstheme="minorHAnsi"/>
                <w:b/>
                <w:bCs/>
                <w:lang w:val="en-US"/>
              </w:rPr>
            </w:pPr>
            <w:r w:rsidRPr="002720FA">
              <w:rPr>
                <w:rFonts w:ascii="Book Antiqua" w:eastAsia="Times New Roman" w:hAnsi="Book Antiqua" w:cstheme="minorHAnsi"/>
                <w:b/>
                <w:bCs/>
                <w:lang w:val="en-US"/>
              </w:rPr>
              <w:t xml:space="preserve">Studies </w:t>
            </w:r>
            <w:r w:rsidR="002720FA" w:rsidRPr="002720FA">
              <w:rPr>
                <w:rFonts w:ascii="Book Antiqua" w:eastAsia="Times New Roman" w:hAnsi="Book Antiqua" w:cstheme="minorHAnsi"/>
                <w:b/>
                <w:bCs/>
                <w:lang w:val="en-US"/>
              </w:rPr>
              <w:t>(</w:t>
            </w:r>
            <w:r w:rsidR="002720FA" w:rsidRPr="002720FA">
              <w:rPr>
                <w:rFonts w:ascii="Book Antiqua" w:eastAsia="Times New Roman" w:hAnsi="Book Antiqua" w:cstheme="minorHAnsi"/>
                <w:b/>
                <w:bCs/>
                <w:i/>
                <w:iCs/>
                <w:lang w:val="en-US"/>
              </w:rPr>
              <w:t>n</w:t>
            </w:r>
            <w:r w:rsidR="002720FA" w:rsidRPr="002720FA">
              <w:rPr>
                <w:rFonts w:ascii="Book Antiqua" w:eastAsia="Times New Roman" w:hAnsi="Book Antiqua" w:cstheme="minorHAnsi"/>
                <w:b/>
                <w:bCs/>
                <w:lang w:val="en-US"/>
              </w:rPr>
              <w:t>)</w:t>
            </w:r>
          </w:p>
        </w:tc>
        <w:tc>
          <w:tcPr>
            <w:tcW w:w="506" w:type="pct"/>
            <w:tcBorders>
              <w:top w:val="single" w:sz="4" w:space="0" w:color="auto"/>
              <w:bottom w:val="single" w:sz="4" w:space="0" w:color="auto"/>
            </w:tcBorders>
            <w:hideMark/>
          </w:tcPr>
          <w:p w14:paraId="0D5C5FDB" w14:textId="77777777" w:rsidR="005F0F1E" w:rsidRPr="002720FA" w:rsidRDefault="005F0F1E" w:rsidP="005F0F1E">
            <w:pPr>
              <w:spacing w:line="360" w:lineRule="auto"/>
              <w:rPr>
                <w:rFonts w:ascii="Book Antiqua" w:eastAsia="Times New Roman" w:hAnsi="Book Antiqua" w:cstheme="minorHAnsi"/>
                <w:b/>
                <w:bCs/>
                <w:lang w:val="en-US"/>
              </w:rPr>
            </w:pPr>
            <w:r w:rsidRPr="002720FA">
              <w:rPr>
                <w:rFonts w:ascii="Book Antiqua" w:eastAsia="Times New Roman" w:hAnsi="Book Antiqua" w:cstheme="minorHAnsi"/>
                <w:b/>
                <w:bCs/>
                <w:lang w:val="en-US"/>
              </w:rPr>
              <w:t>Study design</w:t>
            </w:r>
          </w:p>
        </w:tc>
        <w:tc>
          <w:tcPr>
            <w:tcW w:w="316" w:type="pct"/>
            <w:tcBorders>
              <w:top w:val="single" w:sz="4" w:space="0" w:color="auto"/>
              <w:bottom w:val="single" w:sz="4" w:space="0" w:color="auto"/>
            </w:tcBorders>
            <w:hideMark/>
          </w:tcPr>
          <w:p w14:paraId="2BD619B8" w14:textId="77777777" w:rsidR="005F0F1E" w:rsidRPr="002720FA" w:rsidRDefault="005F0F1E" w:rsidP="005F0F1E">
            <w:pPr>
              <w:spacing w:line="360" w:lineRule="auto"/>
              <w:rPr>
                <w:rFonts w:ascii="Book Antiqua" w:eastAsia="Times New Roman" w:hAnsi="Book Antiqua" w:cstheme="minorHAnsi"/>
                <w:b/>
                <w:bCs/>
                <w:lang w:val="en-US"/>
              </w:rPr>
            </w:pPr>
            <w:r w:rsidRPr="002720FA">
              <w:rPr>
                <w:rFonts w:ascii="Book Antiqua" w:eastAsia="Times New Roman" w:hAnsi="Book Antiqua" w:cstheme="minorHAnsi"/>
                <w:b/>
                <w:bCs/>
                <w:lang w:val="en-US"/>
              </w:rPr>
              <w:t>Risk of bias</w:t>
            </w:r>
          </w:p>
        </w:tc>
        <w:tc>
          <w:tcPr>
            <w:tcW w:w="475" w:type="pct"/>
            <w:gridSpan w:val="2"/>
            <w:tcBorders>
              <w:top w:val="single" w:sz="4" w:space="0" w:color="auto"/>
              <w:bottom w:val="single" w:sz="4" w:space="0" w:color="auto"/>
            </w:tcBorders>
            <w:hideMark/>
          </w:tcPr>
          <w:p w14:paraId="4FA5746B" w14:textId="77777777" w:rsidR="005F0F1E" w:rsidRPr="002720FA" w:rsidRDefault="005F0F1E" w:rsidP="005F0F1E">
            <w:pPr>
              <w:spacing w:line="360" w:lineRule="auto"/>
              <w:rPr>
                <w:rFonts w:ascii="Book Antiqua" w:eastAsia="Times New Roman" w:hAnsi="Book Antiqua" w:cstheme="minorHAnsi"/>
                <w:b/>
                <w:bCs/>
                <w:lang w:val="en-US"/>
              </w:rPr>
            </w:pPr>
            <w:r w:rsidRPr="002720FA">
              <w:rPr>
                <w:rFonts w:ascii="Book Antiqua" w:eastAsia="Times New Roman" w:hAnsi="Book Antiqua" w:cstheme="minorHAnsi"/>
                <w:b/>
                <w:bCs/>
                <w:lang w:val="en-US"/>
              </w:rPr>
              <w:t>Inconsistency</w:t>
            </w:r>
          </w:p>
        </w:tc>
        <w:tc>
          <w:tcPr>
            <w:tcW w:w="443" w:type="pct"/>
            <w:gridSpan w:val="2"/>
            <w:tcBorders>
              <w:top w:val="single" w:sz="4" w:space="0" w:color="auto"/>
              <w:bottom w:val="single" w:sz="4" w:space="0" w:color="auto"/>
            </w:tcBorders>
            <w:hideMark/>
          </w:tcPr>
          <w:p w14:paraId="19701F24" w14:textId="77777777" w:rsidR="005F0F1E" w:rsidRPr="002720FA" w:rsidRDefault="005F0F1E" w:rsidP="005F0F1E">
            <w:pPr>
              <w:spacing w:line="360" w:lineRule="auto"/>
              <w:rPr>
                <w:rFonts w:ascii="Book Antiqua" w:eastAsia="Times New Roman" w:hAnsi="Book Antiqua" w:cstheme="minorHAnsi"/>
                <w:b/>
                <w:bCs/>
                <w:lang w:val="en-US"/>
              </w:rPr>
            </w:pPr>
            <w:r w:rsidRPr="002720FA">
              <w:rPr>
                <w:rFonts w:ascii="Book Antiqua" w:eastAsia="Times New Roman" w:hAnsi="Book Antiqua" w:cstheme="minorHAnsi"/>
                <w:b/>
                <w:bCs/>
                <w:lang w:val="en-US"/>
              </w:rPr>
              <w:t>Indirectness</w:t>
            </w:r>
          </w:p>
        </w:tc>
        <w:tc>
          <w:tcPr>
            <w:tcW w:w="411" w:type="pct"/>
            <w:gridSpan w:val="2"/>
            <w:tcBorders>
              <w:top w:val="single" w:sz="4" w:space="0" w:color="auto"/>
              <w:bottom w:val="single" w:sz="4" w:space="0" w:color="auto"/>
            </w:tcBorders>
            <w:hideMark/>
          </w:tcPr>
          <w:p w14:paraId="7D675BA0" w14:textId="77777777" w:rsidR="005F0F1E" w:rsidRPr="002720FA" w:rsidRDefault="005F0F1E" w:rsidP="005F0F1E">
            <w:pPr>
              <w:spacing w:line="360" w:lineRule="auto"/>
              <w:rPr>
                <w:rFonts w:ascii="Book Antiqua" w:eastAsia="Times New Roman" w:hAnsi="Book Antiqua" w:cstheme="minorHAnsi"/>
                <w:b/>
                <w:bCs/>
                <w:lang w:val="en-US"/>
              </w:rPr>
            </w:pPr>
            <w:r w:rsidRPr="002720FA">
              <w:rPr>
                <w:rFonts w:ascii="Book Antiqua" w:eastAsia="Times New Roman" w:hAnsi="Book Antiqua" w:cstheme="minorHAnsi"/>
                <w:b/>
                <w:bCs/>
                <w:lang w:val="en-US"/>
              </w:rPr>
              <w:t>Imprecision</w:t>
            </w:r>
          </w:p>
        </w:tc>
        <w:tc>
          <w:tcPr>
            <w:tcW w:w="504" w:type="pct"/>
            <w:gridSpan w:val="2"/>
            <w:tcBorders>
              <w:top w:val="single" w:sz="4" w:space="0" w:color="auto"/>
              <w:bottom w:val="single" w:sz="4" w:space="0" w:color="auto"/>
            </w:tcBorders>
            <w:hideMark/>
          </w:tcPr>
          <w:p w14:paraId="01330822" w14:textId="77777777" w:rsidR="005F0F1E" w:rsidRPr="002720FA" w:rsidRDefault="005F0F1E" w:rsidP="005F0F1E">
            <w:pPr>
              <w:spacing w:line="360" w:lineRule="auto"/>
              <w:rPr>
                <w:rFonts w:ascii="Book Antiqua" w:eastAsia="Times New Roman" w:hAnsi="Book Antiqua" w:cstheme="minorHAnsi"/>
                <w:b/>
                <w:bCs/>
                <w:lang w:val="en-US"/>
              </w:rPr>
            </w:pPr>
            <w:r w:rsidRPr="002720FA">
              <w:rPr>
                <w:rFonts w:ascii="Book Antiqua" w:eastAsia="Times New Roman" w:hAnsi="Book Antiqua" w:cstheme="minorHAnsi"/>
                <w:b/>
                <w:bCs/>
                <w:lang w:val="en-US"/>
              </w:rPr>
              <w:t>Other considerations</w:t>
            </w:r>
          </w:p>
        </w:tc>
        <w:tc>
          <w:tcPr>
            <w:tcW w:w="504" w:type="pct"/>
            <w:tcBorders>
              <w:top w:val="nil"/>
              <w:bottom w:val="single" w:sz="4" w:space="0" w:color="auto"/>
            </w:tcBorders>
            <w:hideMark/>
          </w:tcPr>
          <w:p w14:paraId="1DCBAF56" w14:textId="1885688D" w:rsidR="005F0F1E" w:rsidRPr="002720FA" w:rsidRDefault="005F0F1E" w:rsidP="005F0F1E">
            <w:pPr>
              <w:spacing w:line="360" w:lineRule="auto"/>
              <w:rPr>
                <w:rFonts w:ascii="Book Antiqua" w:eastAsia="Times New Roman" w:hAnsi="Book Antiqua" w:cstheme="minorHAnsi"/>
                <w:b/>
                <w:bCs/>
                <w:lang w:val="en-US"/>
              </w:rPr>
            </w:pPr>
            <w:r w:rsidRPr="002720FA">
              <w:rPr>
                <w:rFonts w:ascii="Book Antiqua" w:eastAsia="Times New Roman" w:hAnsi="Book Antiqua" w:cstheme="minorHAnsi"/>
                <w:b/>
                <w:bCs/>
                <w:lang w:val="en-US"/>
              </w:rPr>
              <w:t xml:space="preserve">Per event/in </w:t>
            </w:r>
            <w:r w:rsidR="002720FA" w:rsidRPr="002720FA">
              <w:rPr>
                <w:rFonts w:ascii="Book Antiqua" w:eastAsia="Times New Roman" w:hAnsi="Book Antiqua" w:cstheme="minorHAnsi"/>
                <w:b/>
                <w:bCs/>
                <w:lang w:val="en-US"/>
              </w:rPr>
              <w:t>t</w:t>
            </w:r>
            <w:r w:rsidRPr="002720FA">
              <w:rPr>
                <w:rFonts w:ascii="Book Antiqua" w:eastAsia="Times New Roman" w:hAnsi="Book Antiqua" w:cstheme="minorHAnsi"/>
                <w:b/>
                <w:bCs/>
                <w:lang w:val="en-US"/>
              </w:rPr>
              <w:t>otal</w:t>
            </w:r>
            <w:r w:rsidR="002720FA" w:rsidRPr="002720FA">
              <w:rPr>
                <w:rFonts w:ascii="Book Antiqua" w:eastAsia="Times New Roman" w:hAnsi="Book Antiqua" w:cstheme="minorHAnsi"/>
                <w:b/>
                <w:bCs/>
                <w:lang w:val="en-US"/>
              </w:rPr>
              <w:t xml:space="preserve"> </w:t>
            </w:r>
            <w:r w:rsidRPr="002720FA">
              <w:rPr>
                <w:rFonts w:ascii="Book Antiqua" w:eastAsia="Times New Roman" w:hAnsi="Book Antiqua" w:cstheme="minorHAnsi"/>
                <w:b/>
                <w:bCs/>
                <w:lang w:val="en-US"/>
              </w:rPr>
              <w:t>(%)</w:t>
            </w:r>
          </w:p>
        </w:tc>
        <w:tc>
          <w:tcPr>
            <w:tcW w:w="488" w:type="pct"/>
            <w:vMerge/>
            <w:tcBorders>
              <w:top w:val="nil"/>
              <w:bottom w:val="single" w:sz="4" w:space="0" w:color="auto"/>
            </w:tcBorders>
            <w:hideMark/>
          </w:tcPr>
          <w:p w14:paraId="2A122573" w14:textId="77777777" w:rsidR="005F0F1E" w:rsidRPr="002720FA" w:rsidRDefault="005F0F1E" w:rsidP="005F0F1E">
            <w:pPr>
              <w:spacing w:line="360" w:lineRule="auto"/>
              <w:rPr>
                <w:rFonts w:ascii="Book Antiqua" w:eastAsia="Times New Roman" w:hAnsi="Book Antiqua" w:cstheme="minorHAnsi"/>
                <w:b/>
                <w:bCs/>
                <w:lang w:val="en-US"/>
              </w:rPr>
            </w:pPr>
          </w:p>
        </w:tc>
        <w:tc>
          <w:tcPr>
            <w:tcW w:w="492" w:type="pct"/>
            <w:vMerge/>
            <w:tcBorders>
              <w:top w:val="nil"/>
              <w:bottom w:val="single" w:sz="4" w:space="0" w:color="auto"/>
            </w:tcBorders>
            <w:hideMark/>
          </w:tcPr>
          <w:p w14:paraId="15337C64" w14:textId="77777777" w:rsidR="005F0F1E" w:rsidRPr="002720FA" w:rsidRDefault="005F0F1E" w:rsidP="005F0F1E">
            <w:pPr>
              <w:spacing w:line="360" w:lineRule="auto"/>
              <w:rPr>
                <w:rFonts w:ascii="Book Antiqua" w:eastAsia="Times New Roman" w:hAnsi="Book Antiqua" w:cstheme="minorHAnsi"/>
                <w:b/>
                <w:bCs/>
                <w:lang w:val="en-US"/>
              </w:rPr>
            </w:pPr>
          </w:p>
        </w:tc>
      </w:tr>
      <w:tr w:rsidR="005F0F1E" w:rsidRPr="005F0F1E" w14:paraId="4BD297C0" w14:textId="77777777" w:rsidTr="000A7A04">
        <w:trPr>
          <w:trHeight w:val="243"/>
        </w:trPr>
        <w:tc>
          <w:tcPr>
            <w:tcW w:w="862" w:type="pct"/>
            <w:gridSpan w:val="4"/>
            <w:tcBorders>
              <w:top w:val="single" w:sz="4" w:space="0" w:color="auto"/>
            </w:tcBorders>
          </w:tcPr>
          <w:p w14:paraId="3F026EDA" w14:textId="77777777" w:rsidR="005F0F1E" w:rsidRPr="005F0F1E" w:rsidRDefault="005F0F1E" w:rsidP="005F0F1E">
            <w:pPr>
              <w:spacing w:after="200" w:line="360" w:lineRule="auto"/>
              <w:rPr>
                <w:rFonts w:ascii="Book Antiqua" w:eastAsia="Times New Roman" w:hAnsi="Book Antiqua" w:cstheme="minorHAnsi"/>
                <w:lang w:val="en-US"/>
              </w:rPr>
            </w:pPr>
            <w:r w:rsidRPr="005F0F1E">
              <w:rPr>
                <w:rFonts w:ascii="Book Antiqua" w:eastAsia="Times New Roman" w:hAnsi="Book Antiqua" w:cstheme="minorHAnsi"/>
                <w:b/>
                <w:bCs/>
                <w:lang w:val="en-US"/>
              </w:rPr>
              <w:t>Tacrolimus</w:t>
            </w:r>
          </w:p>
        </w:tc>
        <w:tc>
          <w:tcPr>
            <w:tcW w:w="506" w:type="pct"/>
            <w:vMerge w:val="restart"/>
            <w:tcBorders>
              <w:top w:val="single" w:sz="4" w:space="0" w:color="auto"/>
            </w:tcBorders>
            <w:hideMark/>
          </w:tcPr>
          <w:p w14:paraId="5B63891F" w14:textId="77777777" w:rsidR="005F0F1E" w:rsidRPr="005F0F1E" w:rsidRDefault="005F0F1E" w:rsidP="005F0F1E">
            <w:pPr>
              <w:spacing w:after="200" w:line="360" w:lineRule="auto"/>
              <w:rPr>
                <w:rFonts w:ascii="Book Antiqua" w:eastAsia="Times New Roman" w:hAnsi="Book Antiqua" w:cstheme="minorHAnsi"/>
                <w:lang w:val="en-US"/>
              </w:rPr>
            </w:pPr>
          </w:p>
          <w:p w14:paraId="149041A2" w14:textId="18023DB2" w:rsidR="005F0F1E" w:rsidRPr="005F0F1E" w:rsidRDefault="002720FA" w:rsidP="005F0F1E">
            <w:pPr>
              <w:spacing w:after="200" w:line="360" w:lineRule="auto"/>
              <w:rPr>
                <w:rFonts w:ascii="Book Antiqua" w:eastAsia="Times New Roman" w:hAnsi="Book Antiqua" w:cstheme="minorHAnsi"/>
                <w:lang w:val="en-US"/>
              </w:rPr>
            </w:pPr>
            <w:r>
              <w:rPr>
                <w:rFonts w:ascii="Book Antiqua" w:eastAsia="Times New Roman" w:hAnsi="Book Antiqua" w:cstheme="minorHAnsi"/>
                <w:lang w:val="en-US"/>
              </w:rPr>
              <w:t>O</w:t>
            </w:r>
            <w:r w:rsidR="005F0F1E" w:rsidRPr="005F0F1E">
              <w:rPr>
                <w:rFonts w:ascii="Book Antiqua" w:eastAsia="Times New Roman" w:hAnsi="Book Antiqua" w:cstheme="minorHAnsi"/>
                <w:lang w:val="en-US"/>
              </w:rPr>
              <w:t>bservational</w:t>
            </w:r>
          </w:p>
        </w:tc>
        <w:tc>
          <w:tcPr>
            <w:tcW w:w="412" w:type="pct"/>
            <w:gridSpan w:val="2"/>
            <w:vMerge w:val="restart"/>
            <w:tcBorders>
              <w:top w:val="single" w:sz="4" w:space="0" w:color="auto"/>
            </w:tcBorders>
            <w:hideMark/>
          </w:tcPr>
          <w:p w14:paraId="7D328F62" w14:textId="77777777" w:rsidR="005F0F1E" w:rsidRPr="005F0F1E" w:rsidRDefault="005F0F1E" w:rsidP="005F0F1E">
            <w:pPr>
              <w:spacing w:after="200" w:line="360" w:lineRule="auto"/>
              <w:rPr>
                <w:rFonts w:ascii="Book Antiqua" w:eastAsia="Times New Roman" w:hAnsi="Book Antiqua" w:cstheme="minorHAnsi"/>
                <w:lang w:val="en-US"/>
              </w:rPr>
            </w:pPr>
          </w:p>
          <w:p w14:paraId="17B390E6" w14:textId="2C8105E8" w:rsidR="005F0F1E" w:rsidRPr="005F0F1E" w:rsidRDefault="002720FA" w:rsidP="005F0F1E">
            <w:pPr>
              <w:spacing w:after="200" w:line="360" w:lineRule="auto"/>
              <w:rPr>
                <w:rFonts w:ascii="Book Antiqua" w:eastAsia="Times New Roman" w:hAnsi="Book Antiqua" w:cstheme="minorHAnsi"/>
                <w:lang w:val="en-US"/>
              </w:rPr>
            </w:pPr>
            <w:r>
              <w:rPr>
                <w:rFonts w:ascii="Book Antiqua" w:eastAsia="Times New Roman" w:hAnsi="Book Antiqua" w:cstheme="minorHAnsi"/>
                <w:lang w:val="en-US"/>
              </w:rPr>
              <w:t>S</w:t>
            </w:r>
            <w:r w:rsidR="005F0F1E" w:rsidRPr="005F0F1E">
              <w:rPr>
                <w:rFonts w:ascii="Book Antiqua" w:eastAsia="Times New Roman" w:hAnsi="Book Antiqua" w:cstheme="minorHAnsi"/>
                <w:lang w:val="en-US"/>
              </w:rPr>
              <w:t>erious</w:t>
            </w:r>
            <w:r>
              <w:rPr>
                <w:rFonts w:ascii="Book Antiqua" w:eastAsia="Times New Roman" w:hAnsi="Book Antiqua" w:cstheme="minorHAnsi"/>
                <w:vertAlign w:val="superscript"/>
                <w:lang w:val="en-US"/>
              </w:rPr>
              <w:t>1</w:t>
            </w:r>
          </w:p>
        </w:tc>
        <w:tc>
          <w:tcPr>
            <w:tcW w:w="411" w:type="pct"/>
            <w:gridSpan w:val="2"/>
            <w:vMerge w:val="restart"/>
            <w:tcBorders>
              <w:top w:val="single" w:sz="4" w:space="0" w:color="auto"/>
            </w:tcBorders>
            <w:hideMark/>
          </w:tcPr>
          <w:p w14:paraId="5ECA896A" w14:textId="77777777" w:rsidR="005F0F1E" w:rsidRPr="005F0F1E" w:rsidRDefault="005F0F1E" w:rsidP="005F0F1E">
            <w:pPr>
              <w:spacing w:after="200" w:line="360" w:lineRule="auto"/>
              <w:rPr>
                <w:rFonts w:ascii="Book Antiqua" w:eastAsia="Times New Roman" w:hAnsi="Book Antiqua" w:cstheme="minorHAnsi"/>
                <w:lang w:val="en-US"/>
              </w:rPr>
            </w:pPr>
          </w:p>
          <w:p w14:paraId="1B069AC0" w14:textId="55AA88FA" w:rsidR="005F0F1E" w:rsidRPr="005F0F1E" w:rsidRDefault="002720FA" w:rsidP="005F0F1E">
            <w:pPr>
              <w:spacing w:after="200" w:line="360" w:lineRule="auto"/>
              <w:rPr>
                <w:rFonts w:ascii="Book Antiqua" w:eastAsia="Times New Roman" w:hAnsi="Book Antiqua" w:cstheme="minorHAnsi"/>
                <w:lang w:val="en-US"/>
              </w:rPr>
            </w:pPr>
            <w:r>
              <w:rPr>
                <w:rFonts w:ascii="Book Antiqua" w:eastAsia="Times New Roman" w:hAnsi="Book Antiqua" w:cstheme="minorHAnsi"/>
                <w:lang w:val="en-US"/>
              </w:rPr>
              <w:t>S</w:t>
            </w:r>
            <w:r w:rsidR="005F0F1E" w:rsidRPr="005F0F1E">
              <w:rPr>
                <w:rFonts w:ascii="Book Antiqua" w:eastAsia="Times New Roman" w:hAnsi="Book Antiqua" w:cstheme="minorHAnsi"/>
                <w:lang w:val="en-US"/>
              </w:rPr>
              <w:t>erious</w:t>
            </w:r>
            <w:r>
              <w:rPr>
                <w:rFonts w:ascii="Book Antiqua" w:eastAsia="Times New Roman" w:hAnsi="Book Antiqua" w:cstheme="minorHAnsi"/>
                <w:vertAlign w:val="superscript"/>
                <w:lang w:val="en-US"/>
              </w:rPr>
              <w:t>2</w:t>
            </w:r>
          </w:p>
        </w:tc>
        <w:tc>
          <w:tcPr>
            <w:tcW w:w="443" w:type="pct"/>
            <w:gridSpan w:val="2"/>
            <w:vMerge w:val="restart"/>
            <w:tcBorders>
              <w:top w:val="single" w:sz="4" w:space="0" w:color="auto"/>
            </w:tcBorders>
            <w:hideMark/>
          </w:tcPr>
          <w:p w14:paraId="676B7929" w14:textId="77777777" w:rsidR="005F0F1E" w:rsidRPr="005F0F1E" w:rsidRDefault="005F0F1E" w:rsidP="005F0F1E">
            <w:pPr>
              <w:spacing w:after="200" w:line="360" w:lineRule="auto"/>
              <w:rPr>
                <w:rFonts w:ascii="Book Antiqua" w:eastAsia="Times New Roman" w:hAnsi="Book Antiqua" w:cstheme="minorHAnsi"/>
                <w:lang w:val="en-US"/>
              </w:rPr>
            </w:pPr>
          </w:p>
          <w:p w14:paraId="211409B1" w14:textId="34600799" w:rsidR="005F0F1E" w:rsidRPr="005F0F1E" w:rsidRDefault="002720FA" w:rsidP="005F0F1E">
            <w:pPr>
              <w:spacing w:after="200" w:line="360" w:lineRule="auto"/>
              <w:rPr>
                <w:rFonts w:ascii="Book Antiqua" w:eastAsia="Times New Roman" w:hAnsi="Book Antiqua" w:cstheme="minorHAnsi"/>
                <w:lang w:val="en-US"/>
              </w:rPr>
            </w:pPr>
            <w:r>
              <w:rPr>
                <w:rFonts w:ascii="Book Antiqua" w:eastAsia="Times New Roman" w:hAnsi="Book Antiqua" w:cstheme="minorHAnsi"/>
                <w:lang w:val="en-US"/>
              </w:rPr>
              <w:t>N</w:t>
            </w:r>
            <w:r w:rsidR="005F0F1E" w:rsidRPr="005F0F1E">
              <w:rPr>
                <w:rFonts w:ascii="Book Antiqua" w:eastAsia="Times New Roman" w:hAnsi="Book Antiqua" w:cstheme="minorHAnsi"/>
                <w:lang w:val="en-US"/>
              </w:rPr>
              <w:t>ot serious</w:t>
            </w:r>
          </w:p>
        </w:tc>
        <w:tc>
          <w:tcPr>
            <w:tcW w:w="475" w:type="pct"/>
            <w:gridSpan w:val="2"/>
            <w:vMerge w:val="restart"/>
            <w:tcBorders>
              <w:top w:val="single" w:sz="4" w:space="0" w:color="auto"/>
            </w:tcBorders>
            <w:hideMark/>
          </w:tcPr>
          <w:p w14:paraId="18C47F14" w14:textId="77777777" w:rsidR="005F0F1E" w:rsidRPr="005F0F1E" w:rsidRDefault="005F0F1E" w:rsidP="005F0F1E">
            <w:pPr>
              <w:spacing w:after="200" w:line="360" w:lineRule="auto"/>
              <w:rPr>
                <w:rFonts w:ascii="Book Antiqua" w:eastAsia="Times New Roman" w:hAnsi="Book Antiqua" w:cstheme="minorHAnsi"/>
                <w:lang w:val="en-US"/>
              </w:rPr>
            </w:pPr>
          </w:p>
          <w:p w14:paraId="454BE973" w14:textId="020EE3BE" w:rsidR="005F0F1E" w:rsidRPr="005F0F1E" w:rsidRDefault="002720FA" w:rsidP="005F0F1E">
            <w:pPr>
              <w:spacing w:after="200" w:line="360" w:lineRule="auto"/>
              <w:rPr>
                <w:rFonts w:ascii="Book Antiqua" w:eastAsia="Times New Roman" w:hAnsi="Book Antiqua" w:cstheme="minorHAnsi"/>
                <w:lang w:val="en-US"/>
              </w:rPr>
            </w:pPr>
            <w:r>
              <w:rPr>
                <w:rFonts w:ascii="Book Antiqua" w:eastAsia="Times New Roman" w:hAnsi="Book Antiqua" w:cstheme="minorHAnsi"/>
                <w:lang w:val="en-US"/>
              </w:rPr>
              <w:t>N</w:t>
            </w:r>
            <w:r w:rsidR="005F0F1E" w:rsidRPr="005F0F1E">
              <w:rPr>
                <w:rFonts w:ascii="Book Antiqua" w:eastAsia="Times New Roman" w:hAnsi="Book Antiqua" w:cstheme="minorHAnsi"/>
                <w:lang w:val="en-US"/>
              </w:rPr>
              <w:t>ot serious</w:t>
            </w:r>
          </w:p>
        </w:tc>
        <w:tc>
          <w:tcPr>
            <w:tcW w:w="408" w:type="pct"/>
            <w:vMerge w:val="restart"/>
            <w:tcBorders>
              <w:top w:val="single" w:sz="4" w:space="0" w:color="auto"/>
            </w:tcBorders>
            <w:hideMark/>
          </w:tcPr>
          <w:p w14:paraId="0C47A9B0" w14:textId="77777777" w:rsidR="005F0F1E" w:rsidRPr="005F0F1E" w:rsidRDefault="005F0F1E" w:rsidP="005F0F1E">
            <w:pPr>
              <w:spacing w:after="200" w:line="360" w:lineRule="auto"/>
              <w:rPr>
                <w:rFonts w:ascii="Book Antiqua" w:eastAsia="Times New Roman" w:hAnsi="Book Antiqua" w:cstheme="minorHAnsi"/>
                <w:lang w:val="en-US"/>
              </w:rPr>
            </w:pPr>
          </w:p>
          <w:p w14:paraId="34456E4D" w14:textId="0BAB10C9" w:rsidR="005F0F1E" w:rsidRPr="005F0F1E" w:rsidRDefault="002720FA" w:rsidP="005F0F1E">
            <w:pPr>
              <w:spacing w:after="200" w:line="360" w:lineRule="auto"/>
              <w:rPr>
                <w:rFonts w:ascii="Book Antiqua" w:eastAsia="Times New Roman" w:hAnsi="Book Antiqua" w:cstheme="minorHAnsi"/>
                <w:lang w:val="en-US"/>
              </w:rPr>
            </w:pPr>
            <w:r>
              <w:rPr>
                <w:rFonts w:ascii="Book Antiqua" w:eastAsia="Times New Roman" w:hAnsi="Book Antiqua" w:cstheme="minorHAnsi"/>
                <w:lang w:val="en-US"/>
              </w:rPr>
              <w:t>N</w:t>
            </w:r>
            <w:r w:rsidR="005F0F1E" w:rsidRPr="005F0F1E">
              <w:rPr>
                <w:rFonts w:ascii="Book Antiqua" w:eastAsia="Times New Roman" w:hAnsi="Book Antiqua" w:cstheme="minorHAnsi"/>
                <w:lang w:val="en-US"/>
              </w:rPr>
              <w:t>one</w:t>
            </w:r>
          </w:p>
        </w:tc>
        <w:tc>
          <w:tcPr>
            <w:tcW w:w="504" w:type="pct"/>
            <w:vMerge w:val="restart"/>
            <w:tcBorders>
              <w:top w:val="single" w:sz="4" w:space="0" w:color="auto"/>
            </w:tcBorders>
            <w:hideMark/>
          </w:tcPr>
          <w:p w14:paraId="66A53DA3" w14:textId="77777777" w:rsidR="005F0F1E" w:rsidRPr="005F0F1E" w:rsidRDefault="005F0F1E" w:rsidP="005F0F1E">
            <w:pPr>
              <w:spacing w:after="200" w:line="360" w:lineRule="auto"/>
              <w:rPr>
                <w:rFonts w:ascii="Book Antiqua" w:eastAsia="Times New Roman" w:hAnsi="Book Antiqua" w:cstheme="minorHAnsi"/>
                <w:lang w:val="en-US"/>
              </w:rPr>
            </w:pPr>
          </w:p>
          <w:p w14:paraId="1BBB1A4D" w14:textId="667C529E" w:rsidR="005F0F1E" w:rsidRPr="005F0F1E" w:rsidRDefault="005F0F1E" w:rsidP="005F0F1E">
            <w:pPr>
              <w:spacing w:after="200" w:line="360" w:lineRule="auto"/>
              <w:rPr>
                <w:rFonts w:ascii="Book Antiqua" w:eastAsia="Times New Roman" w:hAnsi="Book Antiqua" w:cstheme="minorHAnsi"/>
                <w:lang w:val="en-US"/>
              </w:rPr>
            </w:pPr>
            <w:r w:rsidRPr="005F0F1E">
              <w:rPr>
                <w:rFonts w:ascii="Book Antiqua" w:eastAsia="Times New Roman" w:hAnsi="Book Antiqua" w:cstheme="minorHAnsi"/>
                <w:lang w:val="en-US"/>
              </w:rPr>
              <w:t>112/157</w:t>
            </w:r>
            <w:r w:rsidR="002720FA">
              <w:rPr>
                <w:rFonts w:ascii="Book Antiqua" w:eastAsia="Times New Roman" w:hAnsi="Book Antiqua" w:cstheme="minorHAnsi"/>
                <w:lang w:val="en-US"/>
              </w:rPr>
              <w:t xml:space="preserve"> </w:t>
            </w:r>
            <w:r w:rsidRPr="005F0F1E">
              <w:rPr>
                <w:rFonts w:ascii="Book Antiqua" w:eastAsia="Times New Roman" w:hAnsi="Book Antiqua" w:cstheme="minorHAnsi"/>
                <w:lang w:val="en-US"/>
              </w:rPr>
              <w:t>(71.3)</w:t>
            </w:r>
          </w:p>
        </w:tc>
        <w:tc>
          <w:tcPr>
            <w:tcW w:w="488" w:type="pct"/>
            <w:vMerge w:val="restart"/>
            <w:tcBorders>
              <w:top w:val="single" w:sz="4" w:space="0" w:color="auto"/>
            </w:tcBorders>
            <w:hideMark/>
          </w:tcPr>
          <w:p w14:paraId="73ECB07F" w14:textId="77777777" w:rsidR="005F0F1E" w:rsidRPr="005F0F1E" w:rsidRDefault="005F0F1E" w:rsidP="005F0F1E">
            <w:pPr>
              <w:spacing w:after="200" w:line="360" w:lineRule="auto"/>
              <w:rPr>
                <w:rStyle w:val="quality-sign"/>
                <w:rFonts w:ascii="Book Antiqua" w:hAnsi="Book Antiqua" w:cstheme="minorHAnsi"/>
                <w:lang w:val="en-US"/>
              </w:rPr>
            </w:pPr>
          </w:p>
          <w:p w14:paraId="5A3BDEA3" w14:textId="1B41454E" w:rsidR="005F0F1E" w:rsidRPr="005F0F1E" w:rsidRDefault="005F055E" w:rsidP="005F0F1E">
            <w:pPr>
              <w:spacing w:after="120" w:line="360" w:lineRule="auto"/>
              <w:rPr>
                <w:rFonts w:ascii="Book Antiqua" w:eastAsia="Times New Roman" w:hAnsi="Book Antiqua" w:cstheme="minorHAnsi"/>
                <w:lang w:val="en-US"/>
              </w:rPr>
            </w:pPr>
            <w:r w:rsidRPr="005F055E">
              <w:rPr>
                <w:rFonts w:ascii="Book Antiqua" w:eastAsia="Times New Roman" w:hAnsi="Book Antiqua" w:cstheme="minorHAnsi"/>
                <w:lang w:val="en-US"/>
              </w:rPr>
              <w:sym w:font="Symbol" w:char="F0C5"/>
            </w:r>
            <w:r w:rsidRPr="005F055E">
              <w:rPr>
                <w:rFonts w:ascii="Book Antiqua" w:eastAsia="Times New Roman" w:hAnsi="Book Antiqua" w:cstheme="minorHAnsi"/>
                <w:lang w:val="en-US"/>
              </w:rPr>
              <w:sym w:font="Symbol" w:char="F04F"/>
            </w:r>
            <w:r w:rsidRPr="005F055E">
              <w:rPr>
                <w:rFonts w:ascii="Book Antiqua" w:eastAsia="Times New Roman" w:hAnsi="Book Antiqua" w:cstheme="minorHAnsi"/>
                <w:lang w:val="en-US"/>
              </w:rPr>
              <w:sym w:font="Symbol" w:char="F04F"/>
            </w:r>
            <w:r w:rsidRPr="005F055E">
              <w:rPr>
                <w:rFonts w:ascii="Book Antiqua" w:eastAsia="Times New Roman" w:hAnsi="Book Antiqua" w:cstheme="minorHAnsi"/>
                <w:lang w:val="en-US"/>
              </w:rPr>
              <w:sym w:font="Symbol" w:char="F04F"/>
            </w:r>
            <w:proofErr w:type="spellStart"/>
            <w:r w:rsidR="005F0F1E" w:rsidRPr="00B464E7">
              <w:rPr>
                <w:rStyle w:val="quality-text"/>
                <w:rFonts w:ascii="Book Antiqua" w:hAnsi="Book Antiqua" w:cstheme="minorHAnsi"/>
                <w:lang w:val="en-US"/>
              </w:rPr>
              <w:t>V</w:t>
            </w:r>
            <w:r w:rsidR="00B464E7" w:rsidRPr="00B464E7">
              <w:rPr>
                <w:rStyle w:val="quality-text"/>
                <w:rFonts w:ascii="Book Antiqua" w:hAnsi="Book Antiqua" w:cstheme="minorHAnsi"/>
                <w:lang w:val="en-US"/>
              </w:rPr>
              <w:t>e</w:t>
            </w:r>
            <w:proofErr w:type="spellEnd"/>
            <w:r w:rsidR="00B464E7" w:rsidRPr="00B464E7">
              <w:rPr>
                <w:rStyle w:val="quality-text"/>
                <w:rFonts w:ascii="Book Antiqua" w:hAnsi="Book Antiqua"/>
              </w:rPr>
              <w:t>ry</w:t>
            </w:r>
            <w:r w:rsidR="00B464E7">
              <w:rPr>
                <w:rStyle w:val="quality-text"/>
                <w:rFonts w:ascii="Book Antiqua" w:hAnsi="Book Antiqua"/>
              </w:rPr>
              <w:t xml:space="preserve"> </w:t>
            </w:r>
            <w:r w:rsidR="00B464E7">
              <w:rPr>
                <w:rStyle w:val="quality-text"/>
                <w:rFonts w:ascii="Book Antiqua" w:hAnsi="Book Antiqua" w:cstheme="minorHAnsi"/>
                <w:lang w:val="en-US"/>
              </w:rPr>
              <w:t>l</w:t>
            </w:r>
            <w:r w:rsidR="00B464E7" w:rsidRPr="00B464E7">
              <w:rPr>
                <w:rStyle w:val="quality-text"/>
                <w:rFonts w:ascii="Book Antiqua" w:hAnsi="Book Antiqua" w:cstheme="minorHAnsi"/>
                <w:lang w:val="en-US"/>
              </w:rPr>
              <w:t>o</w:t>
            </w:r>
            <w:r w:rsidR="00B464E7" w:rsidRPr="00B464E7">
              <w:rPr>
                <w:rStyle w:val="quality-text"/>
                <w:rFonts w:ascii="Book Antiqua" w:hAnsi="Book Antiqua"/>
              </w:rPr>
              <w:t>w</w:t>
            </w:r>
          </w:p>
        </w:tc>
        <w:tc>
          <w:tcPr>
            <w:tcW w:w="492" w:type="pct"/>
            <w:vMerge w:val="restart"/>
            <w:tcBorders>
              <w:top w:val="single" w:sz="4" w:space="0" w:color="auto"/>
            </w:tcBorders>
            <w:hideMark/>
          </w:tcPr>
          <w:p w14:paraId="45D8FFA3" w14:textId="77777777" w:rsidR="005F0F1E" w:rsidRPr="005F0F1E" w:rsidRDefault="005F0F1E" w:rsidP="005F0F1E">
            <w:pPr>
              <w:spacing w:after="200" w:line="360" w:lineRule="auto"/>
              <w:rPr>
                <w:rFonts w:ascii="Book Antiqua" w:eastAsia="Times New Roman" w:hAnsi="Book Antiqua" w:cstheme="minorHAnsi"/>
                <w:lang w:val="en-US"/>
              </w:rPr>
            </w:pPr>
          </w:p>
          <w:p w14:paraId="30D3E3B0" w14:textId="6833B0D3" w:rsidR="005F0F1E" w:rsidRPr="00B464E7" w:rsidRDefault="005F0F1E" w:rsidP="005F0F1E">
            <w:pPr>
              <w:spacing w:after="200" w:line="360" w:lineRule="auto"/>
              <w:rPr>
                <w:rFonts w:ascii="Book Antiqua" w:eastAsia="Times New Roman" w:hAnsi="Book Antiqua" w:cstheme="minorHAnsi"/>
                <w:lang w:val="en-US"/>
              </w:rPr>
            </w:pPr>
            <w:r w:rsidRPr="00B464E7">
              <w:rPr>
                <w:rFonts w:ascii="Book Antiqua" w:eastAsia="Times New Roman" w:hAnsi="Book Antiqua" w:cstheme="minorHAnsi"/>
                <w:lang w:val="en-US"/>
              </w:rPr>
              <w:t>C</w:t>
            </w:r>
            <w:r w:rsidR="00B464E7" w:rsidRPr="00B464E7">
              <w:rPr>
                <w:rFonts w:ascii="Book Antiqua" w:eastAsia="Times New Roman" w:hAnsi="Book Antiqua" w:cstheme="minorHAnsi"/>
                <w:lang w:val="en-US"/>
              </w:rPr>
              <w:t>r</w:t>
            </w:r>
            <w:r w:rsidR="00B464E7" w:rsidRPr="00B464E7">
              <w:rPr>
                <w:rFonts w:ascii="Book Antiqua" w:eastAsia="Times New Roman" w:hAnsi="Book Antiqua"/>
              </w:rPr>
              <w:t>itical</w:t>
            </w:r>
          </w:p>
        </w:tc>
      </w:tr>
      <w:tr w:rsidR="005F0F1E" w:rsidRPr="005F0F1E" w14:paraId="678C36CF" w14:textId="77777777" w:rsidTr="00C653A4">
        <w:trPr>
          <w:trHeight w:val="242"/>
        </w:trPr>
        <w:tc>
          <w:tcPr>
            <w:tcW w:w="576" w:type="pct"/>
            <w:gridSpan w:val="2"/>
          </w:tcPr>
          <w:p w14:paraId="69147F28" w14:textId="63CBAEEA" w:rsidR="005F0F1E" w:rsidRPr="005F0F1E" w:rsidRDefault="005F0F1E" w:rsidP="005F0F1E">
            <w:pPr>
              <w:spacing w:after="200" w:line="360" w:lineRule="auto"/>
              <w:rPr>
                <w:rStyle w:val="label"/>
                <w:rFonts w:ascii="Book Antiqua" w:eastAsia="Times New Roman" w:hAnsi="Book Antiqua" w:cstheme="minorHAnsi"/>
                <w:lang w:val="en-US"/>
              </w:rPr>
            </w:pPr>
            <w:r w:rsidRPr="005F0F1E">
              <w:rPr>
                <w:rStyle w:val="label"/>
                <w:rFonts w:ascii="Book Antiqua" w:eastAsia="Times New Roman" w:hAnsi="Book Antiqua" w:cstheme="minorHAnsi"/>
                <w:lang w:val="en-US"/>
              </w:rPr>
              <w:t>Biochemical remission</w:t>
            </w:r>
          </w:p>
        </w:tc>
        <w:tc>
          <w:tcPr>
            <w:tcW w:w="285" w:type="pct"/>
            <w:gridSpan w:val="2"/>
          </w:tcPr>
          <w:p w14:paraId="525F1CA3" w14:textId="77777777" w:rsidR="005F0F1E" w:rsidRPr="005F0F1E" w:rsidRDefault="005F0F1E" w:rsidP="005F0F1E">
            <w:pPr>
              <w:spacing w:after="200" w:line="360" w:lineRule="auto"/>
              <w:rPr>
                <w:rFonts w:ascii="Book Antiqua" w:eastAsia="Times New Roman" w:hAnsi="Book Antiqua" w:cstheme="minorHAnsi"/>
                <w:lang w:val="en-US"/>
              </w:rPr>
            </w:pPr>
            <w:r w:rsidRPr="005F0F1E">
              <w:rPr>
                <w:rFonts w:ascii="Book Antiqua" w:eastAsia="Times New Roman" w:hAnsi="Book Antiqua" w:cstheme="minorHAnsi"/>
                <w:lang w:val="en-US"/>
              </w:rPr>
              <w:t>9</w:t>
            </w:r>
          </w:p>
        </w:tc>
        <w:tc>
          <w:tcPr>
            <w:tcW w:w="506" w:type="pct"/>
            <w:vMerge/>
          </w:tcPr>
          <w:p w14:paraId="25DA83C4" w14:textId="77777777" w:rsidR="005F0F1E" w:rsidRPr="005F0F1E" w:rsidRDefault="005F0F1E" w:rsidP="005F0F1E">
            <w:pPr>
              <w:spacing w:after="200" w:line="360" w:lineRule="auto"/>
              <w:rPr>
                <w:rFonts w:ascii="Book Antiqua" w:eastAsia="Times New Roman" w:hAnsi="Book Antiqua" w:cstheme="minorHAnsi"/>
                <w:lang w:val="en-US"/>
              </w:rPr>
            </w:pPr>
          </w:p>
        </w:tc>
        <w:tc>
          <w:tcPr>
            <w:tcW w:w="412" w:type="pct"/>
            <w:gridSpan w:val="2"/>
            <w:vMerge/>
          </w:tcPr>
          <w:p w14:paraId="4AFDB4EB" w14:textId="77777777" w:rsidR="005F0F1E" w:rsidRPr="005F0F1E" w:rsidRDefault="005F0F1E" w:rsidP="005F0F1E">
            <w:pPr>
              <w:spacing w:after="200" w:line="360" w:lineRule="auto"/>
              <w:rPr>
                <w:rFonts w:ascii="Book Antiqua" w:eastAsia="Times New Roman" w:hAnsi="Book Antiqua" w:cstheme="minorHAnsi"/>
                <w:lang w:val="en-US"/>
              </w:rPr>
            </w:pPr>
          </w:p>
        </w:tc>
        <w:tc>
          <w:tcPr>
            <w:tcW w:w="411" w:type="pct"/>
            <w:gridSpan w:val="2"/>
            <w:vMerge/>
          </w:tcPr>
          <w:p w14:paraId="0212767D" w14:textId="77777777" w:rsidR="005F0F1E" w:rsidRPr="005F0F1E" w:rsidRDefault="005F0F1E" w:rsidP="005F0F1E">
            <w:pPr>
              <w:spacing w:after="200" w:line="360" w:lineRule="auto"/>
              <w:rPr>
                <w:rFonts w:ascii="Book Antiqua" w:eastAsia="Times New Roman" w:hAnsi="Book Antiqua" w:cstheme="minorHAnsi"/>
                <w:lang w:val="en-US"/>
              </w:rPr>
            </w:pPr>
          </w:p>
        </w:tc>
        <w:tc>
          <w:tcPr>
            <w:tcW w:w="443" w:type="pct"/>
            <w:gridSpan w:val="2"/>
            <w:vMerge/>
          </w:tcPr>
          <w:p w14:paraId="19584818" w14:textId="77777777" w:rsidR="005F0F1E" w:rsidRPr="005F0F1E" w:rsidRDefault="005F0F1E" w:rsidP="005F0F1E">
            <w:pPr>
              <w:spacing w:after="200" w:line="360" w:lineRule="auto"/>
              <w:rPr>
                <w:rFonts w:ascii="Book Antiqua" w:eastAsia="Times New Roman" w:hAnsi="Book Antiqua" w:cstheme="minorHAnsi"/>
                <w:lang w:val="en-US"/>
              </w:rPr>
            </w:pPr>
          </w:p>
        </w:tc>
        <w:tc>
          <w:tcPr>
            <w:tcW w:w="475" w:type="pct"/>
            <w:gridSpan w:val="2"/>
            <w:vMerge/>
          </w:tcPr>
          <w:p w14:paraId="6AD27A6A" w14:textId="77777777" w:rsidR="005F0F1E" w:rsidRPr="005F0F1E" w:rsidRDefault="005F0F1E" w:rsidP="005F0F1E">
            <w:pPr>
              <w:spacing w:after="200" w:line="360" w:lineRule="auto"/>
              <w:rPr>
                <w:rFonts w:ascii="Book Antiqua" w:eastAsia="Times New Roman" w:hAnsi="Book Antiqua" w:cstheme="minorHAnsi"/>
                <w:lang w:val="en-US"/>
              </w:rPr>
            </w:pPr>
          </w:p>
        </w:tc>
        <w:tc>
          <w:tcPr>
            <w:tcW w:w="408" w:type="pct"/>
            <w:vMerge/>
          </w:tcPr>
          <w:p w14:paraId="27AF201B" w14:textId="77777777" w:rsidR="005F0F1E" w:rsidRPr="005F0F1E" w:rsidRDefault="005F0F1E" w:rsidP="005F0F1E">
            <w:pPr>
              <w:spacing w:after="200" w:line="360" w:lineRule="auto"/>
              <w:rPr>
                <w:rFonts w:ascii="Book Antiqua" w:eastAsia="Times New Roman" w:hAnsi="Book Antiqua" w:cstheme="minorHAnsi"/>
                <w:lang w:val="en-US"/>
              </w:rPr>
            </w:pPr>
          </w:p>
        </w:tc>
        <w:tc>
          <w:tcPr>
            <w:tcW w:w="504" w:type="pct"/>
            <w:vMerge/>
          </w:tcPr>
          <w:p w14:paraId="046F7F5C" w14:textId="77777777" w:rsidR="005F0F1E" w:rsidRPr="005F0F1E" w:rsidRDefault="005F0F1E" w:rsidP="005F0F1E">
            <w:pPr>
              <w:spacing w:after="200" w:line="360" w:lineRule="auto"/>
              <w:rPr>
                <w:rFonts w:ascii="Book Antiqua" w:eastAsia="Times New Roman" w:hAnsi="Book Antiqua" w:cstheme="minorHAnsi"/>
                <w:lang w:val="en-US"/>
              </w:rPr>
            </w:pPr>
          </w:p>
        </w:tc>
        <w:tc>
          <w:tcPr>
            <w:tcW w:w="488" w:type="pct"/>
            <w:vMerge/>
          </w:tcPr>
          <w:p w14:paraId="44758DD7" w14:textId="77777777" w:rsidR="005F0F1E" w:rsidRPr="005F0F1E" w:rsidRDefault="005F0F1E" w:rsidP="005F0F1E">
            <w:pPr>
              <w:spacing w:after="200" w:line="360" w:lineRule="auto"/>
              <w:rPr>
                <w:rStyle w:val="quality-sign"/>
                <w:rFonts w:ascii="Book Antiqua" w:hAnsi="Book Antiqua" w:cstheme="minorHAnsi"/>
                <w:lang w:val="en-US"/>
              </w:rPr>
            </w:pPr>
          </w:p>
        </w:tc>
        <w:tc>
          <w:tcPr>
            <w:tcW w:w="492" w:type="pct"/>
            <w:vMerge/>
          </w:tcPr>
          <w:p w14:paraId="6CCF4B64" w14:textId="77777777" w:rsidR="005F0F1E" w:rsidRPr="005F0F1E" w:rsidRDefault="005F0F1E" w:rsidP="005F0F1E">
            <w:pPr>
              <w:spacing w:after="200" w:line="360" w:lineRule="auto"/>
              <w:rPr>
                <w:rFonts w:ascii="Book Antiqua" w:eastAsia="Times New Roman" w:hAnsi="Book Antiqua" w:cstheme="minorHAnsi"/>
                <w:lang w:val="en-US"/>
              </w:rPr>
            </w:pPr>
          </w:p>
        </w:tc>
      </w:tr>
      <w:tr w:rsidR="005F0F1E" w:rsidRPr="005F0F1E" w14:paraId="0E4A975F" w14:textId="77777777" w:rsidTr="00C653A4">
        <w:trPr>
          <w:trHeight w:val="604"/>
        </w:trPr>
        <w:tc>
          <w:tcPr>
            <w:tcW w:w="576" w:type="pct"/>
            <w:gridSpan w:val="2"/>
          </w:tcPr>
          <w:p w14:paraId="091F8A3B" w14:textId="77777777" w:rsidR="005F0F1E" w:rsidRPr="005F0F1E" w:rsidRDefault="005F0F1E" w:rsidP="005F0F1E">
            <w:pPr>
              <w:spacing w:after="200" w:line="360" w:lineRule="auto"/>
              <w:rPr>
                <w:rFonts w:ascii="Book Antiqua" w:eastAsia="Times New Roman" w:hAnsi="Book Antiqua" w:cstheme="minorHAnsi"/>
                <w:lang w:val="en-US"/>
              </w:rPr>
            </w:pPr>
            <w:r w:rsidRPr="005F0F1E">
              <w:rPr>
                <w:rStyle w:val="label"/>
                <w:rFonts w:ascii="Book Antiqua" w:eastAsia="Times New Roman" w:hAnsi="Book Antiqua" w:cstheme="minorHAnsi"/>
                <w:lang w:val="en-US"/>
              </w:rPr>
              <w:t xml:space="preserve">Adverse events </w:t>
            </w:r>
          </w:p>
        </w:tc>
        <w:tc>
          <w:tcPr>
            <w:tcW w:w="285" w:type="pct"/>
            <w:gridSpan w:val="2"/>
            <w:hideMark/>
          </w:tcPr>
          <w:p w14:paraId="1A06A38C" w14:textId="77777777" w:rsidR="005F0F1E" w:rsidRPr="005F0F1E" w:rsidRDefault="005F0F1E" w:rsidP="005F0F1E">
            <w:pPr>
              <w:spacing w:after="200" w:line="360" w:lineRule="auto"/>
              <w:rPr>
                <w:rFonts w:ascii="Book Antiqua" w:eastAsia="Times New Roman" w:hAnsi="Book Antiqua" w:cstheme="minorHAnsi"/>
                <w:lang w:val="en-US"/>
              </w:rPr>
            </w:pPr>
            <w:r w:rsidRPr="005F0F1E">
              <w:rPr>
                <w:rFonts w:ascii="Book Antiqua" w:eastAsia="Times New Roman" w:hAnsi="Book Antiqua" w:cstheme="minorHAnsi"/>
                <w:lang w:val="en-US"/>
              </w:rPr>
              <w:t>7</w:t>
            </w:r>
          </w:p>
        </w:tc>
        <w:tc>
          <w:tcPr>
            <w:tcW w:w="506" w:type="pct"/>
            <w:hideMark/>
          </w:tcPr>
          <w:p w14:paraId="0BBCE87C" w14:textId="0A55C58D" w:rsidR="005F0F1E" w:rsidRPr="005F0F1E" w:rsidRDefault="002720FA" w:rsidP="005F0F1E">
            <w:pPr>
              <w:spacing w:after="200" w:line="360" w:lineRule="auto"/>
              <w:rPr>
                <w:rFonts w:ascii="Book Antiqua" w:eastAsia="Times New Roman" w:hAnsi="Book Antiqua" w:cstheme="minorHAnsi"/>
                <w:lang w:val="en-US"/>
              </w:rPr>
            </w:pPr>
            <w:r>
              <w:rPr>
                <w:rFonts w:ascii="Book Antiqua" w:eastAsia="Times New Roman" w:hAnsi="Book Antiqua" w:cstheme="minorHAnsi"/>
                <w:lang w:val="en-US"/>
              </w:rPr>
              <w:t>O</w:t>
            </w:r>
            <w:r w:rsidR="005F0F1E" w:rsidRPr="005F0F1E">
              <w:rPr>
                <w:rFonts w:ascii="Book Antiqua" w:eastAsia="Times New Roman" w:hAnsi="Book Antiqua" w:cstheme="minorHAnsi"/>
                <w:lang w:val="en-US"/>
              </w:rPr>
              <w:t>bservational</w:t>
            </w:r>
          </w:p>
        </w:tc>
        <w:tc>
          <w:tcPr>
            <w:tcW w:w="412" w:type="pct"/>
            <w:gridSpan w:val="2"/>
            <w:hideMark/>
          </w:tcPr>
          <w:p w14:paraId="692FA07B" w14:textId="58AEC1C7" w:rsidR="005F0F1E" w:rsidRPr="005F0F1E" w:rsidRDefault="002720FA" w:rsidP="005F0F1E">
            <w:pPr>
              <w:spacing w:after="200" w:line="360" w:lineRule="auto"/>
              <w:rPr>
                <w:rFonts w:ascii="Book Antiqua" w:eastAsia="Times New Roman" w:hAnsi="Book Antiqua" w:cstheme="minorHAnsi"/>
                <w:lang w:val="en-US"/>
              </w:rPr>
            </w:pPr>
            <w:r>
              <w:rPr>
                <w:rFonts w:ascii="Book Antiqua" w:eastAsia="Times New Roman" w:hAnsi="Book Antiqua" w:cstheme="minorHAnsi"/>
                <w:lang w:val="en-US"/>
              </w:rPr>
              <w:t>S</w:t>
            </w:r>
            <w:r w:rsidR="005F0F1E" w:rsidRPr="005F0F1E">
              <w:rPr>
                <w:rFonts w:ascii="Book Antiqua" w:eastAsia="Times New Roman" w:hAnsi="Book Antiqua" w:cstheme="minorHAnsi"/>
                <w:lang w:val="en-US"/>
              </w:rPr>
              <w:t>erious</w:t>
            </w:r>
            <w:r>
              <w:rPr>
                <w:rFonts w:ascii="Book Antiqua" w:eastAsia="Times New Roman" w:hAnsi="Book Antiqua" w:cstheme="minorHAnsi"/>
                <w:vertAlign w:val="superscript"/>
                <w:lang w:val="en-US"/>
              </w:rPr>
              <w:t>1</w:t>
            </w:r>
          </w:p>
        </w:tc>
        <w:tc>
          <w:tcPr>
            <w:tcW w:w="411" w:type="pct"/>
            <w:gridSpan w:val="2"/>
            <w:hideMark/>
          </w:tcPr>
          <w:p w14:paraId="632C7ACE" w14:textId="21F97B51" w:rsidR="005F0F1E" w:rsidRPr="005F0F1E" w:rsidRDefault="002720FA" w:rsidP="005F0F1E">
            <w:pPr>
              <w:spacing w:after="200" w:line="360" w:lineRule="auto"/>
              <w:rPr>
                <w:rFonts w:ascii="Book Antiqua" w:eastAsia="Times New Roman" w:hAnsi="Book Antiqua" w:cstheme="minorHAnsi"/>
                <w:lang w:val="en-US"/>
              </w:rPr>
            </w:pPr>
            <w:r>
              <w:rPr>
                <w:rFonts w:ascii="Book Antiqua" w:eastAsia="Times New Roman" w:hAnsi="Book Antiqua" w:cstheme="minorHAnsi"/>
                <w:lang w:val="en-US"/>
              </w:rPr>
              <w:t>S</w:t>
            </w:r>
            <w:r w:rsidR="005F0F1E" w:rsidRPr="005F0F1E">
              <w:rPr>
                <w:rFonts w:ascii="Book Antiqua" w:eastAsia="Times New Roman" w:hAnsi="Book Antiqua" w:cstheme="minorHAnsi"/>
                <w:lang w:val="en-US"/>
              </w:rPr>
              <w:t>erious</w:t>
            </w:r>
            <w:r>
              <w:rPr>
                <w:rFonts w:ascii="Book Antiqua" w:eastAsia="Times New Roman" w:hAnsi="Book Antiqua" w:cstheme="minorHAnsi"/>
                <w:vertAlign w:val="superscript"/>
                <w:lang w:val="en-US"/>
              </w:rPr>
              <w:t>2</w:t>
            </w:r>
          </w:p>
        </w:tc>
        <w:tc>
          <w:tcPr>
            <w:tcW w:w="443" w:type="pct"/>
            <w:gridSpan w:val="2"/>
            <w:hideMark/>
          </w:tcPr>
          <w:p w14:paraId="3C700ECC" w14:textId="3CE56E6C" w:rsidR="005F0F1E" w:rsidRPr="005F0F1E" w:rsidRDefault="002720FA" w:rsidP="005F0F1E">
            <w:pPr>
              <w:spacing w:after="200" w:line="360" w:lineRule="auto"/>
              <w:rPr>
                <w:rFonts w:ascii="Book Antiqua" w:eastAsia="Times New Roman" w:hAnsi="Book Antiqua" w:cstheme="minorHAnsi"/>
                <w:lang w:val="en-US"/>
              </w:rPr>
            </w:pPr>
            <w:r>
              <w:rPr>
                <w:rFonts w:ascii="Book Antiqua" w:eastAsia="Times New Roman" w:hAnsi="Book Antiqua" w:cstheme="minorHAnsi"/>
                <w:lang w:val="en-US"/>
              </w:rPr>
              <w:t>N</w:t>
            </w:r>
            <w:r w:rsidR="005F0F1E" w:rsidRPr="005F0F1E">
              <w:rPr>
                <w:rFonts w:ascii="Book Antiqua" w:eastAsia="Times New Roman" w:hAnsi="Book Antiqua" w:cstheme="minorHAnsi"/>
                <w:lang w:val="en-US"/>
              </w:rPr>
              <w:t>ot serious</w:t>
            </w:r>
          </w:p>
        </w:tc>
        <w:tc>
          <w:tcPr>
            <w:tcW w:w="475" w:type="pct"/>
            <w:gridSpan w:val="2"/>
            <w:hideMark/>
          </w:tcPr>
          <w:p w14:paraId="31F47968" w14:textId="09C3DCA3" w:rsidR="005F0F1E" w:rsidRPr="005F0F1E" w:rsidRDefault="002720FA" w:rsidP="005F0F1E">
            <w:pPr>
              <w:spacing w:after="200" w:line="360" w:lineRule="auto"/>
              <w:rPr>
                <w:rFonts w:ascii="Book Antiqua" w:eastAsia="Times New Roman" w:hAnsi="Book Antiqua" w:cstheme="minorHAnsi"/>
                <w:lang w:val="en-US"/>
              </w:rPr>
            </w:pPr>
            <w:r>
              <w:rPr>
                <w:rFonts w:ascii="Book Antiqua" w:eastAsia="Times New Roman" w:hAnsi="Book Antiqua" w:cstheme="minorHAnsi"/>
                <w:lang w:val="en-US"/>
              </w:rPr>
              <w:t>N</w:t>
            </w:r>
            <w:r w:rsidR="005F0F1E" w:rsidRPr="005F0F1E">
              <w:rPr>
                <w:rFonts w:ascii="Book Antiqua" w:eastAsia="Times New Roman" w:hAnsi="Book Antiqua" w:cstheme="minorHAnsi"/>
                <w:lang w:val="en-US"/>
              </w:rPr>
              <w:t>ot serious</w:t>
            </w:r>
          </w:p>
        </w:tc>
        <w:tc>
          <w:tcPr>
            <w:tcW w:w="408" w:type="pct"/>
            <w:hideMark/>
          </w:tcPr>
          <w:p w14:paraId="0AE267B2" w14:textId="621C1988" w:rsidR="005F0F1E" w:rsidRPr="005F0F1E" w:rsidRDefault="002720FA" w:rsidP="005F0F1E">
            <w:pPr>
              <w:spacing w:after="200" w:line="360" w:lineRule="auto"/>
              <w:rPr>
                <w:rFonts w:ascii="Book Antiqua" w:eastAsia="Times New Roman" w:hAnsi="Book Antiqua" w:cstheme="minorHAnsi"/>
                <w:lang w:val="en-US"/>
              </w:rPr>
            </w:pPr>
            <w:r>
              <w:rPr>
                <w:rFonts w:ascii="Book Antiqua" w:eastAsia="Times New Roman" w:hAnsi="Book Antiqua" w:cstheme="minorHAnsi"/>
                <w:lang w:val="en-US"/>
              </w:rPr>
              <w:t>N</w:t>
            </w:r>
            <w:r w:rsidR="005F0F1E" w:rsidRPr="005F0F1E">
              <w:rPr>
                <w:rFonts w:ascii="Book Antiqua" w:eastAsia="Times New Roman" w:hAnsi="Book Antiqua" w:cstheme="minorHAnsi"/>
                <w:lang w:val="en-US"/>
              </w:rPr>
              <w:t>one</w:t>
            </w:r>
          </w:p>
        </w:tc>
        <w:tc>
          <w:tcPr>
            <w:tcW w:w="504" w:type="pct"/>
            <w:hideMark/>
          </w:tcPr>
          <w:p w14:paraId="5CC6E63B" w14:textId="0E8A30BC" w:rsidR="005F0F1E" w:rsidRPr="005F0F1E" w:rsidRDefault="005F0F1E" w:rsidP="005F0F1E">
            <w:pPr>
              <w:spacing w:after="200" w:line="360" w:lineRule="auto"/>
              <w:rPr>
                <w:rFonts w:ascii="Book Antiqua" w:eastAsia="Times New Roman" w:hAnsi="Book Antiqua" w:cstheme="minorHAnsi"/>
                <w:lang w:val="en-US"/>
              </w:rPr>
            </w:pPr>
            <w:r w:rsidRPr="005F0F1E">
              <w:rPr>
                <w:rFonts w:ascii="Book Antiqua" w:eastAsia="Times New Roman" w:hAnsi="Book Antiqua" w:cstheme="minorHAnsi"/>
                <w:lang w:val="en-US"/>
              </w:rPr>
              <w:t>28/143 (19.6)</w:t>
            </w:r>
          </w:p>
        </w:tc>
        <w:tc>
          <w:tcPr>
            <w:tcW w:w="488" w:type="pct"/>
            <w:hideMark/>
          </w:tcPr>
          <w:p w14:paraId="557B4305" w14:textId="45ABEDDB" w:rsidR="005F0F1E" w:rsidRPr="005F0F1E" w:rsidRDefault="005F055E" w:rsidP="005F0F1E">
            <w:pPr>
              <w:spacing w:after="120" w:line="360" w:lineRule="auto"/>
              <w:rPr>
                <w:rFonts w:ascii="Book Antiqua" w:eastAsia="Times New Roman" w:hAnsi="Book Antiqua" w:cstheme="minorHAnsi"/>
                <w:lang w:val="en-US"/>
              </w:rPr>
            </w:pPr>
            <w:r w:rsidRPr="005F055E">
              <w:rPr>
                <w:rFonts w:ascii="Book Antiqua" w:eastAsia="Times New Roman" w:hAnsi="Book Antiqua" w:cstheme="minorHAnsi"/>
                <w:lang w:val="en-US"/>
              </w:rPr>
              <w:sym w:font="Symbol" w:char="F0C5"/>
            </w:r>
            <w:r w:rsidRPr="005F055E">
              <w:rPr>
                <w:rFonts w:ascii="Book Antiqua" w:eastAsia="Times New Roman" w:hAnsi="Book Antiqua" w:cstheme="minorHAnsi"/>
                <w:lang w:val="en-US"/>
              </w:rPr>
              <w:sym w:font="Symbol" w:char="F04F"/>
            </w:r>
            <w:r w:rsidRPr="005F055E">
              <w:rPr>
                <w:rFonts w:ascii="Book Antiqua" w:eastAsia="Times New Roman" w:hAnsi="Book Antiqua" w:cstheme="minorHAnsi"/>
                <w:lang w:val="en-US"/>
              </w:rPr>
              <w:sym w:font="Symbol" w:char="F04F"/>
            </w:r>
            <w:r w:rsidRPr="005F055E">
              <w:rPr>
                <w:rFonts w:ascii="Book Antiqua" w:eastAsia="Times New Roman" w:hAnsi="Book Antiqua" w:cstheme="minorHAnsi"/>
                <w:lang w:val="en-US"/>
              </w:rPr>
              <w:sym w:font="Symbol" w:char="F04F"/>
            </w:r>
            <w:r w:rsidR="00B464E7" w:rsidRPr="00B464E7">
              <w:rPr>
                <w:rStyle w:val="quality-text"/>
                <w:rFonts w:ascii="Book Antiqua" w:hAnsi="Book Antiqua" w:cstheme="minorHAnsi"/>
                <w:lang w:val="en-US"/>
              </w:rPr>
              <w:t xml:space="preserve"> </w:t>
            </w:r>
            <w:proofErr w:type="spellStart"/>
            <w:r w:rsidR="00B464E7" w:rsidRPr="00B464E7">
              <w:rPr>
                <w:rStyle w:val="quality-text"/>
                <w:rFonts w:ascii="Book Antiqua" w:hAnsi="Book Antiqua" w:cstheme="minorHAnsi"/>
                <w:lang w:val="en-US"/>
              </w:rPr>
              <w:t>Ve</w:t>
            </w:r>
            <w:proofErr w:type="spellEnd"/>
            <w:r w:rsidR="00B464E7" w:rsidRPr="00B464E7">
              <w:rPr>
                <w:rStyle w:val="quality-text"/>
                <w:rFonts w:ascii="Book Antiqua" w:hAnsi="Book Antiqua"/>
              </w:rPr>
              <w:t>ry</w:t>
            </w:r>
            <w:r w:rsidR="00B464E7">
              <w:rPr>
                <w:rStyle w:val="quality-text"/>
                <w:rFonts w:ascii="Book Antiqua" w:hAnsi="Book Antiqua"/>
              </w:rPr>
              <w:t xml:space="preserve"> </w:t>
            </w:r>
            <w:r w:rsidR="00B464E7">
              <w:rPr>
                <w:rStyle w:val="quality-text"/>
                <w:rFonts w:ascii="Book Antiqua" w:hAnsi="Book Antiqua" w:cstheme="minorHAnsi"/>
                <w:lang w:val="en-US"/>
              </w:rPr>
              <w:t>l</w:t>
            </w:r>
            <w:r w:rsidR="00B464E7" w:rsidRPr="00B464E7">
              <w:rPr>
                <w:rStyle w:val="quality-text"/>
                <w:rFonts w:ascii="Book Antiqua" w:hAnsi="Book Antiqua" w:cstheme="minorHAnsi"/>
                <w:lang w:val="en-US"/>
              </w:rPr>
              <w:t>o</w:t>
            </w:r>
            <w:r w:rsidR="00B464E7" w:rsidRPr="00B464E7">
              <w:rPr>
                <w:rStyle w:val="quality-text"/>
                <w:rFonts w:ascii="Book Antiqua" w:hAnsi="Book Antiqua"/>
              </w:rPr>
              <w:t>w</w:t>
            </w:r>
          </w:p>
        </w:tc>
        <w:tc>
          <w:tcPr>
            <w:tcW w:w="492" w:type="pct"/>
            <w:hideMark/>
          </w:tcPr>
          <w:p w14:paraId="74C6EBA2" w14:textId="5E41705E" w:rsidR="005F0F1E" w:rsidRPr="005F0F1E" w:rsidRDefault="00B464E7" w:rsidP="005F0F1E">
            <w:pPr>
              <w:spacing w:after="200" w:line="360" w:lineRule="auto"/>
              <w:rPr>
                <w:rFonts w:ascii="Book Antiqua" w:eastAsia="Times New Roman" w:hAnsi="Book Antiqua" w:cstheme="minorHAnsi"/>
                <w:lang w:val="en-US"/>
              </w:rPr>
            </w:pPr>
            <w:r w:rsidRPr="005F0F1E">
              <w:rPr>
                <w:rFonts w:ascii="Book Antiqua" w:eastAsia="Times New Roman" w:hAnsi="Book Antiqua" w:cstheme="minorHAnsi"/>
                <w:lang w:val="en-US"/>
              </w:rPr>
              <w:t>I</w:t>
            </w:r>
            <w:r>
              <w:rPr>
                <w:rFonts w:ascii="Book Antiqua" w:eastAsia="Times New Roman" w:hAnsi="Book Antiqua" w:cstheme="minorHAnsi"/>
                <w:lang w:val="en-US"/>
              </w:rPr>
              <w:t>mportant</w:t>
            </w:r>
          </w:p>
        </w:tc>
      </w:tr>
      <w:tr w:rsidR="005F0F1E" w:rsidRPr="005F0F1E" w14:paraId="0826CEBB" w14:textId="77777777" w:rsidTr="00C653A4">
        <w:trPr>
          <w:trHeight w:val="491"/>
        </w:trPr>
        <w:tc>
          <w:tcPr>
            <w:tcW w:w="576" w:type="pct"/>
            <w:gridSpan w:val="2"/>
          </w:tcPr>
          <w:p w14:paraId="5E9DD22E" w14:textId="77777777" w:rsidR="005F0F1E" w:rsidRPr="005F0F1E" w:rsidRDefault="005F0F1E" w:rsidP="005F0F1E">
            <w:pPr>
              <w:spacing w:line="360" w:lineRule="auto"/>
              <w:rPr>
                <w:rStyle w:val="label"/>
                <w:rFonts w:ascii="Book Antiqua" w:eastAsia="Times New Roman" w:hAnsi="Book Antiqua" w:cstheme="minorHAnsi"/>
                <w:lang w:val="en-US"/>
              </w:rPr>
            </w:pPr>
            <w:r w:rsidRPr="005F0F1E">
              <w:rPr>
                <w:rStyle w:val="label"/>
                <w:rFonts w:ascii="Book Antiqua" w:eastAsia="Times New Roman" w:hAnsi="Book Antiqua" w:cstheme="minorHAnsi"/>
                <w:lang w:val="en-US"/>
              </w:rPr>
              <w:t xml:space="preserve">Mortality </w:t>
            </w:r>
          </w:p>
        </w:tc>
        <w:tc>
          <w:tcPr>
            <w:tcW w:w="285" w:type="pct"/>
            <w:gridSpan w:val="2"/>
            <w:hideMark/>
          </w:tcPr>
          <w:p w14:paraId="6795112A" w14:textId="77777777" w:rsidR="005F0F1E" w:rsidRPr="005F0F1E" w:rsidRDefault="005F0F1E" w:rsidP="005F0F1E">
            <w:pPr>
              <w:spacing w:line="360" w:lineRule="auto"/>
              <w:rPr>
                <w:rFonts w:ascii="Book Antiqua" w:eastAsia="Times New Roman" w:hAnsi="Book Antiqua" w:cstheme="minorHAnsi"/>
                <w:lang w:val="en-US"/>
              </w:rPr>
            </w:pPr>
            <w:r w:rsidRPr="005F0F1E">
              <w:rPr>
                <w:rFonts w:ascii="Book Antiqua" w:eastAsia="Times New Roman" w:hAnsi="Book Antiqua" w:cstheme="minorHAnsi"/>
                <w:lang w:val="en-US"/>
              </w:rPr>
              <w:t>9</w:t>
            </w:r>
          </w:p>
        </w:tc>
        <w:tc>
          <w:tcPr>
            <w:tcW w:w="506" w:type="pct"/>
            <w:hideMark/>
          </w:tcPr>
          <w:p w14:paraId="5CC06C05" w14:textId="3C33F682" w:rsidR="005F0F1E" w:rsidRPr="005F0F1E" w:rsidRDefault="002720FA" w:rsidP="005F0F1E">
            <w:pPr>
              <w:spacing w:line="360" w:lineRule="auto"/>
              <w:rPr>
                <w:rFonts w:ascii="Book Antiqua" w:eastAsia="Times New Roman" w:hAnsi="Book Antiqua" w:cstheme="minorHAnsi"/>
                <w:lang w:val="en-US"/>
              </w:rPr>
            </w:pPr>
            <w:r>
              <w:rPr>
                <w:rFonts w:ascii="Book Antiqua" w:eastAsia="Times New Roman" w:hAnsi="Book Antiqua" w:cstheme="minorHAnsi"/>
                <w:lang w:val="en-US"/>
              </w:rPr>
              <w:t>O</w:t>
            </w:r>
            <w:r w:rsidR="005F0F1E" w:rsidRPr="005F0F1E">
              <w:rPr>
                <w:rFonts w:ascii="Book Antiqua" w:eastAsia="Times New Roman" w:hAnsi="Book Antiqua" w:cstheme="minorHAnsi"/>
                <w:lang w:val="en-US"/>
              </w:rPr>
              <w:t>bservationa</w:t>
            </w:r>
            <w:r w:rsidR="00B464E7">
              <w:rPr>
                <w:rFonts w:ascii="Book Antiqua" w:eastAsia="Times New Roman" w:hAnsi="Book Antiqua" w:cstheme="minorHAnsi"/>
                <w:lang w:val="en-US"/>
              </w:rPr>
              <w:t>l</w:t>
            </w:r>
          </w:p>
        </w:tc>
        <w:tc>
          <w:tcPr>
            <w:tcW w:w="412" w:type="pct"/>
            <w:gridSpan w:val="2"/>
            <w:hideMark/>
          </w:tcPr>
          <w:p w14:paraId="5CFCEE01" w14:textId="2608F8B8" w:rsidR="005F0F1E" w:rsidRPr="005F0F1E" w:rsidRDefault="002720FA" w:rsidP="005F0F1E">
            <w:pPr>
              <w:spacing w:line="360" w:lineRule="auto"/>
              <w:rPr>
                <w:rFonts w:ascii="Book Antiqua" w:eastAsia="Times New Roman" w:hAnsi="Book Antiqua" w:cstheme="minorHAnsi"/>
                <w:lang w:val="en-US"/>
              </w:rPr>
            </w:pPr>
            <w:r>
              <w:rPr>
                <w:rFonts w:ascii="Book Antiqua" w:eastAsia="Times New Roman" w:hAnsi="Book Antiqua" w:cstheme="minorHAnsi"/>
                <w:lang w:val="en-US"/>
              </w:rPr>
              <w:t>S</w:t>
            </w:r>
            <w:r w:rsidR="005F0F1E" w:rsidRPr="005F0F1E">
              <w:rPr>
                <w:rFonts w:ascii="Book Antiqua" w:eastAsia="Times New Roman" w:hAnsi="Book Antiqua" w:cstheme="minorHAnsi"/>
                <w:lang w:val="en-US"/>
              </w:rPr>
              <w:t>erious</w:t>
            </w:r>
            <w:r>
              <w:rPr>
                <w:rFonts w:ascii="Book Antiqua" w:eastAsia="Times New Roman" w:hAnsi="Book Antiqua" w:cstheme="minorHAnsi"/>
                <w:vertAlign w:val="superscript"/>
                <w:lang w:val="en-US"/>
              </w:rPr>
              <w:t>1</w:t>
            </w:r>
          </w:p>
        </w:tc>
        <w:tc>
          <w:tcPr>
            <w:tcW w:w="411" w:type="pct"/>
            <w:gridSpan w:val="2"/>
            <w:hideMark/>
          </w:tcPr>
          <w:p w14:paraId="6E4395AB" w14:textId="040A1B70" w:rsidR="005F0F1E" w:rsidRPr="005F0F1E" w:rsidRDefault="002720FA" w:rsidP="005F0F1E">
            <w:pPr>
              <w:spacing w:line="360" w:lineRule="auto"/>
              <w:rPr>
                <w:rFonts w:ascii="Book Antiqua" w:eastAsia="Times New Roman" w:hAnsi="Book Antiqua" w:cstheme="minorHAnsi"/>
                <w:lang w:val="en-US"/>
              </w:rPr>
            </w:pPr>
            <w:r>
              <w:rPr>
                <w:rFonts w:ascii="Book Antiqua" w:eastAsia="Times New Roman" w:hAnsi="Book Antiqua" w:cstheme="minorHAnsi"/>
                <w:lang w:val="en-US"/>
              </w:rPr>
              <w:t>N</w:t>
            </w:r>
            <w:r w:rsidR="005F0F1E" w:rsidRPr="005F0F1E">
              <w:rPr>
                <w:rFonts w:ascii="Book Antiqua" w:eastAsia="Times New Roman" w:hAnsi="Book Antiqua" w:cstheme="minorHAnsi"/>
                <w:lang w:val="en-US"/>
              </w:rPr>
              <w:t>ot serious</w:t>
            </w:r>
          </w:p>
        </w:tc>
        <w:tc>
          <w:tcPr>
            <w:tcW w:w="443" w:type="pct"/>
            <w:gridSpan w:val="2"/>
            <w:hideMark/>
          </w:tcPr>
          <w:p w14:paraId="31D1C43F" w14:textId="1DA78991" w:rsidR="005F0F1E" w:rsidRPr="005F0F1E" w:rsidRDefault="002720FA" w:rsidP="005F0F1E">
            <w:pPr>
              <w:spacing w:line="360" w:lineRule="auto"/>
              <w:rPr>
                <w:rFonts w:ascii="Book Antiqua" w:eastAsia="Times New Roman" w:hAnsi="Book Antiqua" w:cstheme="minorHAnsi"/>
                <w:lang w:val="en-US"/>
              </w:rPr>
            </w:pPr>
            <w:r>
              <w:rPr>
                <w:rFonts w:ascii="Book Antiqua" w:eastAsia="Times New Roman" w:hAnsi="Book Antiqua" w:cstheme="minorHAnsi"/>
                <w:lang w:val="en-US"/>
              </w:rPr>
              <w:t>N</w:t>
            </w:r>
            <w:r w:rsidR="005F0F1E" w:rsidRPr="005F0F1E">
              <w:rPr>
                <w:rFonts w:ascii="Book Antiqua" w:eastAsia="Times New Roman" w:hAnsi="Book Antiqua" w:cstheme="minorHAnsi"/>
                <w:lang w:val="en-US"/>
              </w:rPr>
              <w:t>ot serious</w:t>
            </w:r>
          </w:p>
        </w:tc>
        <w:tc>
          <w:tcPr>
            <w:tcW w:w="475" w:type="pct"/>
            <w:gridSpan w:val="2"/>
            <w:hideMark/>
          </w:tcPr>
          <w:p w14:paraId="576279EE" w14:textId="46D10037" w:rsidR="005F0F1E" w:rsidRPr="005F0F1E" w:rsidRDefault="002720FA" w:rsidP="005F0F1E">
            <w:pPr>
              <w:spacing w:line="360" w:lineRule="auto"/>
              <w:rPr>
                <w:rFonts w:ascii="Book Antiqua" w:eastAsia="Times New Roman" w:hAnsi="Book Antiqua" w:cstheme="minorHAnsi"/>
                <w:lang w:val="en-US"/>
              </w:rPr>
            </w:pPr>
            <w:r>
              <w:rPr>
                <w:rFonts w:ascii="Book Antiqua" w:eastAsia="Times New Roman" w:hAnsi="Book Antiqua" w:cstheme="minorHAnsi"/>
                <w:lang w:val="en-US"/>
              </w:rPr>
              <w:t>N</w:t>
            </w:r>
            <w:r w:rsidR="005F0F1E" w:rsidRPr="005F0F1E">
              <w:rPr>
                <w:rFonts w:ascii="Book Antiqua" w:eastAsia="Times New Roman" w:hAnsi="Book Antiqua" w:cstheme="minorHAnsi"/>
                <w:lang w:val="en-US"/>
              </w:rPr>
              <w:t>ot serious</w:t>
            </w:r>
          </w:p>
        </w:tc>
        <w:tc>
          <w:tcPr>
            <w:tcW w:w="408" w:type="pct"/>
            <w:hideMark/>
          </w:tcPr>
          <w:p w14:paraId="77EC7F84" w14:textId="78087F99" w:rsidR="005F0F1E" w:rsidRPr="005F0F1E" w:rsidRDefault="002720FA" w:rsidP="005F0F1E">
            <w:pPr>
              <w:spacing w:line="360" w:lineRule="auto"/>
              <w:rPr>
                <w:rFonts w:ascii="Book Antiqua" w:eastAsia="Times New Roman" w:hAnsi="Book Antiqua" w:cstheme="minorHAnsi"/>
                <w:lang w:val="en-US"/>
              </w:rPr>
            </w:pPr>
            <w:r>
              <w:rPr>
                <w:rFonts w:ascii="Book Antiqua" w:eastAsia="Times New Roman" w:hAnsi="Book Antiqua" w:cstheme="minorHAnsi"/>
                <w:lang w:val="en-US"/>
              </w:rPr>
              <w:t>N</w:t>
            </w:r>
            <w:r w:rsidR="005F0F1E" w:rsidRPr="005F0F1E">
              <w:rPr>
                <w:rFonts w:ascii="Book Antiqua" w:eastAsia="Times New Roman" w:hAnsi="Book Antiqua" w:cstheme="minorHAnsi"/>
                <w:lang w:val="en-US"/>
              </w:rPr>
              <w:t>one</w:t>
            </w:r>
          </w:p>
        </w:tc>
        <w:tc>
          <w:tcPr>
            <w:tcW w:w="504" w:type="pct"/>
            <w:hideMark/>
          </w:tcPr>
          <w:p w14:paraId="5654F854" w14:textId="0533FCA7" w:rsidR="005F0F1E" w:rsidRPr="005F0F1E" w:rsidRDefault="005F0F1E" w:rsidP="005F0F1E">
            <w:pPr>
              <w:spacing w:line="360" w:lineRule="auto"/>
              <w:rPr>
                <w:rFonts w:ascii="Book Antiqua" w:eastAsia="Times New Roman" w:hAnsi="Book Antiqua" w:cstheme="minorHAnsi"/>
                <w:lang w:val="en-US"/>
              </w:rPr>
            </w:pPr>
            <w:r w:rsidRPr="005F0F1E">
              <w:rPr>
                <w:rFonts w:ascii="Book Antiqua" w:eastAsia="Times New Roman" w:hAnsi="Book Antiqua" w:cstheme="minorHAnsi"/>
                <w:lang w:val="en-US"/>
              </w:rPr>
              <w:t>14/157 (8.9)</w:t>
            </w:r>
          </w:p>
        </w:tc>
        <w:tc>
          <w:tcPr>
            <w:tcW w:w="488" w:type="pct"/>
            <w:hideMark/>
          </w:tcPr>
          <w:p w14:paraId="14C7A2CF" w14:textId="125B5B1D" w:rsidR="005F0F1E" w:rsidRPr="005F0F1E" w:rsidRDefault="005F055E" w:rsidP="005F0F1E">
            <w:pPr>
              <w:spacing w:line="360" w:lineRule="auto"/>
              <w:rPr>
                <w:rFonts w:ascii="Book Antiqua" w:eastAsia="Times New Roman" w:hAnsi="Book Antiqua" w:cstheme="minorHAnsi"/>
                <w:lang w:val="en-US"/>
              </w:rPr>
            </w:pPr>
            <w:r w:rsidRPr="005F055E">
              <w:rPr>
                <w:rFonts w:ascii="Book Antiqua" w:eastAsia="Times New Roman" w:hAnsi="Book Antiqua" w:cstheme="minorHAnsi"/>
                <w:lang w:val="en-US"/>
              </w:rPr>
              <w:sym w:font="Symbol" w:char="F0C5"/>
            </w:r>
            <w:r w:rsidRPr="005F055E">
              <w:rPr>
                <w:rFonts w:ascii="Book Antiqua" w:eastAsia="Times New Roman" w:hAnsi="Book Antiqua" w:cstheme="minorHAnsi"/>
                <w:lang w:val="en-US"/>
              </w:rPr>
              <w:sym w:font="Symbol" w:char="F04F"/>
            </w:r>
            <w:r w:rsidRPr="005F055E">
              <w:rPr>
                <w:rFonts w:ascii="Book Antiqua" w:eastAsia="Times New Roman" w:hAnsi="Book Antiqua" w:cstheme="minorHAnsi"/>
                <w:lang w:val="en-US"/>
              </w:rPr>
              <w:sym w:font="Symbol" w:char="F04F"/>
            </w:r>
            <w:r w:rsidRPr="005F055E">
              <w:rPr>
                <w:rFonts w:ascii="Book Antiqua" w:eastAsia="Times New Roman" w:hAnsi="Book Antiqua" w:cstheme="minorHAnsi"/>
                <w:lang w:val="en-US"/>
              </w:rPr>
              <w:sym w:font="Symbol" w:char="F04F"/>
            </w:r>
            <w:r w:rsidR="00B464E7" w:rsidRPr="005F0F1E">
              <w:rPr>
                <w:rStyle w:val="quality-text"/>
                <w:rFonts w:ascii="Book Antiqua" w:hAnsi="Book Antiqua" w:cstheme="minorHAnsi"/>
                <w:lang w:val="en-US"/>
              </w:rPr>
              <w:t xml:space="preserve"> </w:t>
            </w:r>
            <w:proofErr w:type="spellStart"/>
            <w:r w:rsidR="00B464E7" w:rsidRPr="00B464E7">
              <w:rPr>
                <w:rStyle w:val="quality-text"/>
                <w:rFonts w:ascii="Book Antiqua" w:hAnsi="Book Antiqua" w:cstheme="minorHAnsi"/>
                <w:lang w:val="en-US"/>
              </w:rPr>
              <w:t>Ve</w:t>
            </w:r>
            <w:proofErr w:type="spellEnd"/>
            <w:r w:rsidR="00B464E7" w:rsidRPr="00B464E7">
              <w:rPr>
                <w:rStyle w:val="quality-text"/>
                <w:rFonts w:ascii="Book Antiqua" w:hAnsi="Book Antiqua"/>
              </w:rPr>
              <w:t>ry</w:t>
            </w:r>
            <w:r w:rsidR="00B464E7">
              <w:rPr>
                <w:rStyle w:val="quality-text"/>
                <w:rFonts w:ascii="Book Antiqua" w:hAnsi="Book Antiqua"/>
              </w:rPr>
              <w:t xml:space="preserve"> </w:t>
            </w:r>
            <w:r w:rsidR="00B464E7">
              <w:rPr>
                <w:rStyle w:val="quality-text"/>
                <w:rFonts w:ascii="Book Antiqua" w:hAnsi="Book Antiqua" w:cstheme="minorHAnsi"/>
                <w:lang w:val="en-US"/>
              </w:rPr>
              <w:t>l</w:t>
            </w:r>
            <w:r w:rsidR="00B464E7" w:rsidRPr="00B464E7">
              <w:rPr>
                <w:rStyle w:val="quality-text"/>
                <w:rFonts w:ascii="Book Antiqua" w:hAnsi="Book Antiqua" w:cstheme="minorHAnsi"/>
                <w:lang w:val="en-US"/>
              </w:rPr>
              <w:t>o</w:t>
            </w:r>
            <w:r w:rsidR="00B464E7" w:rsidRPr="00B464E7">
              <w:rPr>
                <w:rStyle w:val="quality-text"/>
                <w:rFonts w:ascii="Book Antiqua" w:hAnsi="Book Antiqua"/>
              </w:rPr>
              <w:t>w</w:t>
            </w:r>
          </w:p>
        </w:tc>
        <w:tc>
          <w:tcPr>
            <w:tcW w:w="492" w:type="pct"/>
            <w:hideMark/>
          </w:tcPr>
          <w:p w14:paraId="49BD8F14" w14:textId="6E288FCF" w:rsidR="005F0F1E" w:rsidRPr="005F0F1E" w:rsidRDefault="00B464E7" w:rsidP="005F0F1E">
            <w:pPr>
              <w:spacing w:line="360" w:lineRule="auto"/>
              <w:rPr>
                <w:rFonts w:ascii="Book Antiqua" w:eastAsia="Times New Roman" w:hAnsi="Book Antiqua" w:cstheme="minorHAnsi"/>
                <w:lang w:val="en-US"/>
              </w:rPr>
            </w:pPr>
            <w:r w:rsidRPr="00B464E7">
              <w:rPr>
                <w:rFonts w:ascii="Book Antiqua" w:eastAsia="Times New Roman" w:hAnsi="Book Antiqua" w:cstheme="minorHAnsi"/>
                <w:lang w:val="en-US"/>
              </w:rPr>
              <w:t>Cr</w:t>
            </w:r>
            <w:r w:rsidRPr="00B464E7">
              <w:rPr>
                <w:rFonts w:ascii="Book Antiqua" w:eastAsia="Times New Roman" w:hAnsi="Book Antiqua"/>
              </w:rPr>
              <w:t>itical</w:t>
            </w:r>
          </w:p>
        </w:tc>
      </w:tr>
      <w:tr w:rsidR="005F0F1E" w:rsidRPr="005F0F1E" w14:paraId="45FE4A54" w14:textId="77777777" w:rsidTr="000A7A04">
        <w:trPr>
          <w:trHeight w:val="243"/>
        </w:trPr>
        <w:tc>
          <w:tcPr>
            <w:tcW w:w="862" w:type="pct"/>
            <w:gridSpan w:val="4"/>
          </w:tcPr>
          <w:p w14:paraId="53D594F4" w14:textId="77777777" w:rsidR="005F0F1E" w:rsidRPr="005F0F1E" w:rsidRDefault="005F0F1E" w:rsidP="005F0F1E">
            <w:pPr>
              <w:spacing w:after="200" w:line="360" w:lineRule="auto"/>
              <w:rPr>
                <w:rFonts w:ascii="Book Antiqua" w:eastAsia="Times New Roman" w:hAnsi="Book Antiqua" w:cstheme="minorHAnsi"/>
                <w:lang w:val="en-US"/>
              </w:rPr>
            </w:pPr>
            <w:r w:rsidRPr="005F0F1E">
              <w:rPr>
                <w:rStyle w:val="label"/>
                <w:rFonts w:ascii="Book Antiqua" w:eastAsia="Times New Roman" w:hAnsi="Book Antiqua" w:cstheme="minorHAnsi"/>
                <w:b/>
                <w:bCs/>
                <w:lang w:val="en-US"/>
              </w:rPr>
              <w:t>MMF</w:t>
            </w:r>
          </w:p>
        </w:tc>
        <w:tc>
          <w:tcPr>
            <w:tcW w:w="506" w:type="pct"/>
            <w:vMerge w:val="restart"/>
            <w:hideMark/>
          </w:tcPr>
          <w:p w14:paraId="43C0373F" w14:textId="77777777" w:rsidR="005F0F1E" w:rsidRPr="005F0F1E" w:rsidRDefault="005F0F1E" w:rsidP="005F0F1E">
            <w:pPr>
              <w:spacing w:after="200" w:line="360" w:lineRule="auto"/>
              <w:rPr>
                <w:rFonts w:ascii="Book Antiqua" w:eastAsia="Times New Roman" w:hAnsi="Book Antiqua" w:cstheme="minorHAnsi"/>
                <w:lang w:val="en-US"/>
              </w:rPr>
            </w:pPr>
          </w:p>
          <w:p w14:paraId="4014473A" w14:textId="413A65E3" w:rsidR="005F0F1E" w:rsidRPr="005F0F1E" w:rsidRDefault="002720FA" w:rsidP="005F0F1E">
            <w:pPr>
              <w:spacing w:after="200" w:line="360" w:lineRule="auto"/>
              <w:rPr>
                <w:rFonts w:ascii="Book Antiqua" w:eastAsia="Times New Roman" w:hAnsi="Book Antiqua" w:cstheme="minorHAnsi"/>
                <w:lang w:val="en-US"/>
              </w:rPr>
            </w:pPr>
            <w:r>
              <w:rPr>
                <w:rFonts w:ascii="Book Antiqua" w:eastAsia="Times New Roman" w:hAnsi="Book Antiqua" w:cstheme="minorHAnsi"/>
                <w:lang w:val="en-US"/>
              </w:rPr>
              <w:t>O</w:t>
            </w:r>
            <w:r w:rsidR="005F0F1E" w:rsidRPr="005F0F1E">
              <w:rPr>
                <w:rFonts w:ascii="Book Antiqua" w:eastAsia="Times New Roman" w:hAnsi="Book Antiqua" w:cstheme="minorHAnsi"/>
                <w:lang w:val="en-US"/>
              </w:rPr>
              <w:t>bservational</w:t>
            </w:r>
          </w:p>
        </w:tc>
        <w:tc>
          <w:tcPr>
            <w:tcW w:w="412" w:type="pct"/>
            <w:gridSpan w:val="2"/>
            <w:vMerge w:val="restart"/>
            <w:hideMark/>
          </w:tcPr>
          <w:p w14:paraId="64FD3FA7" w14:textId="77777777" w:rsidR="005F0F1E" w:rsidRPr="005F0F1E" w:rsidRDefault="005F0F1E" w:rsidP="005F0F1E">
            <w:pPr>
              <w:spacing w:after="200" w:line="360" w:lineRule="auto"/>
              <w:rPr>
                <w:rFonts w:ascii="Book Antiqua" w:eastAsia="Times New Roman" w:hAnsi="Book Antiqua" w:cstheme="minorHAnsi"/>
                <w:lang w:val="en-US"/>
              </w:rPr>
            </w:pPr>
          </w:p>
          <w:p w14:paraId="627FE3B9" w14:textId="18B2C7D5" w:rsidR="005F0F1E" w:rsidRPr="005F0F1E" w:rsidRDefault="002720FA" w:rsidP="005F0F1E">
            <w:pPr>
              <w:spacing w:after="200" w:line="360" w:lineRule="auto"/>
              <w:rPr>
                <w:rFonts w:ascii="Book Antiqua" w:eastAsia="Times New Roman" w:hAnsi="Book Antiqua" w:cstheme="minorHAnsi"/>
                <w:lang w:val="en-US"/>
              </w:rPr>
            </w:pPr>
            <w:r>
              <w:rPr>
                <w:rFonts w:ascii="Book Antiqua" w:eastAsia="Times New Roman" w:hAnsi="Book Antiqua" w:cstheme="minorHAnsi"/>
                <w:lang w:val="en-US"/>
              </w:rPr>
              <w:t>S</w:t>
            </w:r>
            <w:r w:rsidR="005F0F1E" w:rsidRPr="005F0F1E">
              <w:rPr>
                <w:rFonts w:ascii="Book Antiqua" w:eastAsia="Times New Roman" w:hAnsi="Book Antiqua" w:cstheme="minorHAnsi"/>
                <w:lang w:val="en-US"/>
              </w:rPr>
              <w:t>erious</w:t>
            </w:r>
            <w:r>
              <w:rPr>
                <w:rFonts w:ascii="Book Antiqua" w:eastAsia="Times New Roman" w:hAnsi="Book Antiqua" w:cstheme="minorHAnsi"/>
                <w:vertAlign w:val="superscript"/>
                <w:lang w:val="en-US"/>
              </w:rPr>
              <w:t>1</w:t>
            </w:r>
          </w:p>
        </w:tc>
        <w:tc>
          <w:tcPr>
            <w:tcW w:w="411" w:type="pct"/>
            <w:gridSpan w:val="2"/>
            <w:vMerge w:val="restart"/>
            <w:hideMark/>
          </w:tcPr>
          <w:p w14:paraId="5F502C49" w14:textId="77777777" w:rsidR="005F0F1E" w:rsidRPr="005F0F1E" w:rsidRDefault="005F0F1E" w:rsidP="005F0F1E">
            <w:pPr>
              <w:spacing w:after="200" w:line="360" w:lineRule="auto"/>
              <w:rPr>
                <w:rFonts w:ascii="Book Antiqua" w:eastAsia="Times New Roman" w:hAnsi="Book Antiqua" w:cstheme="minorHAnsi"/>
                <w:lang w:val="en-US"/>
              </w:rPr>
            </w:pPr>
          </w:p>
          <w:p w14:paraId="21BFE4EE" w14:textId="658B4E42" w:rsidR="005F0F1E" w:rsidRPr="005F0F1E" w:rsidRDefault="002720FA" w:rsidP="005F0F1E">
            <w:pPr>
              <w:spacing w:after="200" w:line="360" w:lineRule="auto"/>
              <w:rPr>
                <w:rFonts w:ascii="Book Antiqua" w:eastAsia="Times New Roman" w:hAnsi="Book Antiqua" w:cstheme="minorHAnsi"/>
                <w:lang w:val="en-US"/>
              </w:rPr>
            </w:pPr>
            <w:r>
              <w:rPr>
                <w:rFonts w:ascii="Book Antiqua" w:eastAsia="Times New Roman" w:hAnsi="Book Antiqua" w:cstheme="minorHAnsi"/>
                <w:lang w:val="en-US"/>
              </w:rPr>
              <w:t>S</w:t>
            </w:r>
            <w:r w:rsidR="005F0F1E" w:rsidRPr="005F0F1E">
              <w:rPr>
                <w:rFonts w:ascii="Book Antiqua" w:eastAsia="Times New Roman" w:hAnsi="Book Antiqua" w:cstheme="minorHAnsi"/>
                <w:lang w:val="en-US"/>
              </w:rPr>
              <w:t>erious</w:t>
            </w:r>
            <w:r>
              <w:rPr>
                <w:rFonts w:ascii="Book Antiqua" w:eastAsia="Times New Roman" w:hAnsi="Book Antiqua" w:cstheme="minorHAnsi"/>
                <w:vertAlign w:val="superscript"/>
                <w:lang w:val="en-US"/>
              </w:rPr>
              <w:t>2</w:t>
            </w:r>
          </w:p>
        </w:tc>
        <w:tc>
          <w:tcPr>
            <w:tcW w:w="443" w:type="pct"/>
            <w:gridSpan w:val="2"/>
            <w:vMerge w:val="restart"/>
            <w:hideMark/>
          </w:tcPr>
          <w:p w14:paraId="59BE5454" w14:textId="77777777" w:rsidR="005F0F1E" w:rsidRPr="005F0F1E" w:rsidRDefault="005F0F1E" w:rsidP="005F0F1E">
            <w:pPr>
              <w:spacing w:after="200" w:line="360" w:lineRule="auto"/>
              <w:rPr>
                <w:rFonts w:ascii="Book Antiqua" w:eastAsia="Times New Roman" w:hAnsi="Book Antiqua" w:cstheme="minorHAnsi"/>
                <w:lang w:val="en-US"/>
              </w:rPr>
            </w:pPr>
          </w:p>
          <w:p w14:paraId="75B5FA7F" w14:textId="28DC1BC7" w:rsidR="005F0F1E" w:rsidRPr="005F0F1E" w:rsidRDefault="002720FA" w:rsidP="005F0F1E">
            <w:pPr>
              <w:spacing w:after="200" w:line="360" w:lineRule="auto"/>
              <w:rPr>
                <w:rFonts w:ascii="Book Antiqua" w:eastAsia="Times New Roman" w:hAnsi="Book Antiqua" w:cstheme="minorHAnsi"/>
                <w:lang w:val="en-US"/>
              </w:rPr>
            </w:pPr>
            <w:r>
              <w:rPr>
                <w:rFonts w:ascii="Book Antiqua" w:eastAsia="Times New Roman" w:hAnsi="Book Antiqua" w:cstheme="minorHAnsi"/>
                <w:lang w:val="en-US"/>
              </w:rPr>
              <w:t>N</w:t>
            </w:r>
            <w:r w:rsidR="005F0F1E" w:rsidRPr="005F0F1E">
              <w:rPr>
                <w:rFonts w:ascii="Book Antiqua" w:eastAsia="Times New Roman" w:hAnsi="Book Antiqua" w:cstheme="minorHAnsi"/>
                <w:lang w:val="en-US"/>
              </w:rPr>
              <w:t>ot serious</w:t>
            </w:r>
          </w:p>
        </w:tc>
        <w:tc>
          <w:tcPr>
            <w:tcW w:w="475" w:type="pct"/>
            <w:gridSpan w:val="2"/>
            <w:vMerge w:val="restart"/>
            <w:hideMark/>
          </w:tcPr>
          <w:p w14:paraId="6157CE20" w14:textId="77777777" w:rsidR="005F0F1E" w:rsidRPr="005F0F1E" w:rsidRDefault="005F0F1E" w:rsidP="005F0F1E">
            <w:pPr>
              <w:spacing w:after="200" w:line="360" w:lineRule="auto"/>
              <w:rPr>
                <w:rFonts w:ascii="Book Antiqua" w:eastAsia="Times New Roman" w:hAnsi="Book Antiqua" w:cstheme="minorHAnsi"/>
                <w:lang w:val="en-US"/>
              </w:rPr>
            </w:pPr>
          </w:p>
          <w:p w14:paraId="008B825D" w14:textId="0517A45A" w:rsidR="005F0F1E" w:rsidRPr="005F0F1E" w:rsidRDefault="002720FA" w:rsidP="005F0F1E">
            <w:pPr>
              <w:spacing w:after="200" w:line="360" w:lineRule="auto"/>
              <w:rPr>
                <w:rFonts w:ascii="Book Antiqua" w:eastAsia="Times New Roman" w:hAnsi="Book Antiqua" w:cstheme="minorHAnsi"/>
                <w:lang w:val="en-US"/>
              </w:rPr>
            </w:pPr>
            <w:r>
              <w:rPr>
                <w:rFonts w:ascii="Book Antiqua" w:eastAsia="Times New Roman" w:hAnsi="Book Antiqua" w:cstheme="minorHAnsi"/>
                <w:lang w:val="en-US"/>
              </w:rPr>
              <w:t>N</w:t>
            </w:r>
            <w:r w:rsidR="005F0F1E" w:rsidRPr="005F0F1E">
              <w:rPr>
                <w:rFonts w:ascii="Book Antiqua" w:eastAsia="Times New Roman" w:hAnsi="Book Antiqua" w:cstheme="minorHAnsi"/>
                <w:lang w:val="en-US"/>
              </w:rPr>
              <w:t>ot serious</w:t>
            </w:r>
          </w:p>
        </w:tc>
        <w:tc>
          <w:tcPr>
            <w:tcW w:w="408" w:type="pct"/>
            <w:vMerge w:val="restart"/>
            <w:hideMark/>
          </w:tcPr>
          <w:p w14:paraId="0314CA02" w14:textId="77777777" w:rsidR="005F0F1E" w:rsidRPr="005F0F1E" w:rsidRDefault="005F0F1E" w:rsidP="005F0F1E">
            <w:pPr>
              <w:spacing w:after="200" w:line="360" w:lineRule="auto"/>
              <w:rPr>
                <w:rFonts w:ascii="Book Antiqua" w:eastAsia="Times New Roman" w:hAnsi="Book Antiqua" w:cstheme="minorHAnsi"/>
                <w:lang w:val="en-US"/>
              </w:rPr>
            </w:pPr>
          </w:p>
          <w:p w14:paraId="4F966640" w14:textId="26353F57" w:rsidR="005F0F1E" w:rsidRPr="005F0F1E" w:rsidRDefault="002720FA" w:rsidP="005F0F1E">
            <w:pPr>
              <w:spacing w:after="200" w:line="360" w:lineRule="auto"/>
              <w:rPr>
                <w:rFonts w:ascii="Book Antiqua" w:eastAsia="Times New Roman" w:hAnsi="Book Antiqua" w:cstheme="minorHAnsi"/>
                <w:lang w:val="en-US"/>
              </w:rPr>
            </w:pPr>
            <w:r>
              <w:rPr>
                <w:rFonts w:ascii="Book Antiqua" w:eastAsia="Times New Roman" w:hAnsi="Book Antiqua" w:cstheme="minorHAnsi"/>
                <w:lang w:val="en-US"/>
              </w:rPr>
              <w:t>D</w:t>
            </w:r>
            <w:r w:rsidR="005F0F1E" w:rsidRPr="005F0F1E">
              <w:rPr>
                <w:rFonts w:ascii="Book Antiqua" w:eastAsia="Times New Roman" w:hAnsi="Book Antiqua" w:cstheme="minorHAnsi"/>
                <w:lang w:val="en-US"/>
              </w:rPr>
              <w:t>ose response gradi</w:t>
            </w:r>
            <w:r w:rsidR="005F0F1E" w:rsidRPr="005F0F1E">
              <w:rPr>
                <w:rFonts w:ascii="Book Antiqua" w:eastAsia="Times New Roman" w:hAnsi="Book Antiqua" w:cstheme="minorHAnsi"/>
                <w:lang w:val="en-US"/>
              </w:rPr>
              <w:lastRenderedPageBreak/>
              <w:t>ent</w:t>
            </w:r>
          </w:p>
        </w:tc>
        <w:tc>
          <w:tcPr>
            <w:tcW w:w="504" w:type="pct"/>
            <w:vMerge w:val="restart"/>
            <w:hideMark/>
          </w:tcPr>
          <w:p w14:paraId="57DD7B14" w14:textId="77777777" w:rsidR="005F0F1E" w:rsidRPr="005F0F1E" w:rsidRDefault="005F0F1E" w:rsidP="005F0F1E">
            <w:pPr>
              <w:spacing w:after="200" w:line="360" w:lineRule="auto"/>
              <w:rPr>
                <w:rFonts w:ascii="Book Antiqua" w:eastAsia="Times New Roman" w:hAnsi="Book Antiqua" w:cstheme="minorHAnsi"/>
                <w:lang w:val="en-US"/>
              </w:rPr>
            </w:pPr>
          </w:p>
          <w:p w14:paraId="66C786FB" w14:textId="77777777" w:rsidR="005F0F1E" w:rsidRPr="005F0F1E" w:rsidRDefault="005F0F1E" w:rsidP="005F0F1E">
            <w:pPr>
              <w:spacing w:after="200" w:line="360" w:lineRule="auto"/>
              <w:rPr>
                <w:rFonts w:ascii="Book Antiqua" w:eastAsia="Times New Roman" w:hAnsi="Book Antiqua" w:cstheme="minorHAnsi"/>
                <w:lang w:val="en-US"/>
              </w:rPr>
            </w:pPr>
            <w:r w:rsidRPr="005F0F1E">
              <w:rPr>
                <w:rFonts w:ascii="Book Antiqua" w:eastAsia="Times New Roman" w:hAnsi="Book Antiqua" w:cstheme="minorHAnsi"/>
                <w:lang w:val="en-US"/>
              </w:rPr>
              <w:t>256/427 (59.9)</w:t>
            </w:r>
          </w:p>
          <w:p w14:paraId="0F92276C" w14:textId="77777777" w:rsidR="005F0F1E" w:rsidRPr="005F0F1E" w:rsidRDefault="005F0F1E" w:rsidP="005F0F1E">
            <w:pPr>
              <w:spacing w:after="200" w:line="360" w:lineRule="auto"/>
              <w:rPr>
                <w:rFonts w:ascii="Book Antiqua" w:eastAsia="Times New Roman" w:hAnsi="Book Antiqua" w:cstheme="minorHAnsi"/>
                <w:lang w:val="en-US"/>
              </w:rPr>
            </w:pPr>
          </w:p>
        </w:tc>
        <w:tc>
          <w:tcPr>
            <w:tcW w:w="488" w:type="pct"/>
            <w:vMerge w:val="restart"/>
            <w:hideMark/>
          </w:tcPr>
          <w:p w14:paraId="74FF24B6" w14:textId="77777777" w:rsidR="005F0F1E" w:rsidRPr="005F0F1E" w:rsidRDefault="005F0F1E" w:rsidP="005F0F1E">
            <w:pPr>
              <w:spacing w:after="200" w:line="360" w:lineRule="auto"/>
              <w:rPr>
                <w:rStyle w:val="quality-sign"/>
                <w:rFonts w:ascii="Book Antiqua" w:hAnsi="Book Antiqua" w:cstheme="minorHAnsi"/>
                <w:lang w:val="en-US"/>
              </w:rPr>
            </w:pPr>
          </w:p>
          <w:p w14:paraId="7B304915" w14:textId="3B7C9668" w:rsidR="005F0F1E" w:rsidRPr="005F0F1E" w:rsidRDefault="005F055E" w:rsidP="005F0F1E">
            <w:pPr>
              <w:tabs>
                <w:tab w:val="left" w:pos="905"/>
              </w:tabs>
              <w:spacing w:after="120" w:line="360" w:lineRule="auto"/>
              <w:rPr>
                <w:rFonts w:ascii="Book Antiqua" w:eastAsia="Times New Roman" w:hAnsi="Book Antiqua" w:cstheme="minorHAnsi"/>
                <w:lang w:val="en-US"/>
              </w:rPr>
            </w:pPr>
            <w:r w:rsidRPr="005F055E">
              <w:rPr>
                <w:rFonts w:ascii="Book Antiqua" w:eastAsia="Times New Roman" w:hAnsi="Book Antiqua" w:cstheme="minorHAnsi"/>
                <w:lang w:val="en-US"/>
              </w:rPr>
              <w:sym w:font="Symbol" w:char="F0C5"/>
            </w:r>
            <w:r w:rsidRPr="005F055E">
              <w:rPr>
                <w:rFonts w:ascii="Book Antiqua" w:eastAsia="Times New Roman" w:hAnsi="Book Antiqua" w:cstheme="minorHAnsi"/>
                <w:lang w:val="en-US"/>
              </w:rPr>
              <w:sym w:font="Symbol" w:char="F04F"/>
            </w:r>
            <w:r w:rsidRPr="005F055E">
              <w:rPr>
                <w:rFonts w:ascii="Book Antiqua" w:eastAsia="Times New Roman" w:hAnsi="Book Antiqua" w:cstheme="minorHAnsi"/>
                <w:lang w:val="en-US"/>
              </w:rPr>
              <w:sym w:font="Symbol" w:char="F04F"/>
            </w:r>
            <w:r w:rsidRPr="005F055E">
              <w:rPr>
                <w:rFonts w:ascii="Book Antiqua" w:eastAsia="Times New Roman" w:hAnsi="Book Antiqua" w:cstheme="minorHAnsi"/>
                <w:lang w:val="en-US"/>
              </w:rPr>
              <w:sym w:font="Symbol" w:char="F04F"/>
            </w:r>
            <w:r w:rsidR="005F0F1E" w:rsidRPr="005F0F1E">
              <w:rPr>
                <w:rFonts w:ascii="Book Antiqua" w:eastAsia="Times New Roman" w:hAnsi="Book Antiqua" w:cstheme="minorHAnsi"/>
                <w:lang w:val="en-US"/>
              </w:rPr>
              <w:br/>
            </w:r>
            <w:proofErr w:type="spellStart"/>
            <w:r w:rsidR="00B464E7" w:rsidRPr="00B464E7">
              <w:rPr>
                <w:rStyle w:val="quality-text"/>
                <w:rFonts w:ascii="Book Antiqua" w:hAnsi="Book Antiqua" w:cstheme="minorHAnsi"/>
                <w:lang w:val="en-US"/>
              </w:rPr>
              <w:t>Ve</w:t>
            </w:r>
            <w:proofErr w:type="spellEnd"/>
            <w:r w:rsidR="00B464E7" w:rsidRPr="00B464E7">
              <w:rPr>
                <w:rStyle w:val="quality-text"/>
                <w:rFonts w:ascii="Book Antiqua" w:hAnsi="Book Antiqua"/>
              </w:rPr>
              <w:t>ry</w:t>
            </w:r>
            <w:r w:rsidR="00B464E7">
              <w:rPr>
                <w:rStyle w:val="quality-text"/>
                <w:rFonts w:ascii="Book Antiqua" w:hAnsi="Book Antiqua"/>
              </w:rPr>
              <w:t xml:space="preserve"> </w:t>
            </w:r>
            <w:r w:rsidR="00B464E7">
              <w:rPr>
                <w:rStyle w:val="quality-text"/>
                <w:rFonts w:ascii="Book Antiqua" w:hAnsi="Book Antiqua" w:cstheme="minorHAnsi"/>
                <w:lang w:val="en-US"/>
              </w:rPr>
              <w:t>l</w:t>
            </w:r>
            <w:r w:rsidR="00B464E7" w:rsidRPr="00B464E7">
              <w:rPr>
                <w:rStyle w:val="quality-text"/>
                <w:rFonts w:ascii="Book Antiqua" w:hAnsi="Book Antiqua" w:cstheme="minorHAnsi"/>
                <w:lang w:val="en-US"/>
              </w:rPr>
              <w:t>o</w:t>
            </w:r>
            <w:r w:rsidR="00B464E7" w:rsidRPr="00B464E7">
              <w:rPr>
                <w:rStyle w:val="quality-text"/>
                <w:rFonts w:ascii="Book Antiqua" w:hAnsi="Book Antiqua"/>
              </w:rPr>
              <w:t>w</w:t>
            </w:r>
          </w:p>
        </w:tc>
        <w:tc>
          <w:tcPr>
            <w:tcW w:w="492" w:type="pct"/>
            <w:vMerge w:val="restart"/>
            <w:hideMark/>
          </w:tcPr>
          <w:p w14:paraId="0670AB49" w14:textId="77777777" w:rsidR="005F0F1E" w:rsidRPr="005F0F1E" w:rsidRDefault="005F0F1E" w:rsidP="005F0F1E">
            <w:pPr>
              <w:spacing w:after="200" w:line="360" w:lineRule="auto"/>
              <w:rPr>
                <w:rFonts w:ascii="Book Antiqua" w:eastAsia="Times New Roman" w:hAnsi="Book Antiqua" w:cstheme="minorHAnsi"/>
                <w:lang w:val="en-US"/>
              </w:rPr>
            </w:pPr>
          </w:p>
          <w:p w14:paraId="2B67BE5A" w14:textId="20523B0D" w:rsidR="005F0F1E" w:rsidRPr="005F0F1E" w:rsidRDefault="00B464E7" w:rsidP="005F0F1E">
            <w:pPr>
              <w:spacing w:after="200" w:line="360" w:lineRule="auto"/>
              <w:rPr>
                <w:rFonts w:ascii="Book Antiqua" w:eastAsia="Times New Roman" w:hAnsi="Book Antiqua" w:cstheme="minorHAnsi"/>
                <w:lang w:val="en-US"/>
              </w:rPr>
            </w:pPr>
            <w:r w:rsidRPr="00B464E7">
              <w:rPr>
                <w:rFonts w:ascii="Book Antiqua" w:eastAsia="Times New Roman" w:hAnsi="Book Antiqua" w:cstheme="minorHAnsi"/>
                <w:lang w:val="en-US"/>
              </w:rPr>
              <w:t>Cr</w:t>
            </w:r>
            <w:r w:rsidRPr="00B464E7">
              <w:rPr>
                <w:rFonts w:ascii="Book Antiqua" w:eastAsia="Times New Roman" w:hAnsi="Book Antiqua"/>
              </w:rPr>
              <w:t>itical</w:t>
            </w:r>
          </w:p>
        </w:tc>
      </w:tr>
      <w:tr w:rsidR="005F0F1E" w:rsidRPr="005F0F1E" w14:paraId="3382A175" w14:textId="77777777" w:rsidTr="00C653A4">
        <w:trPr>
          <w:trHeight w:val="242"/>
        </w:trPr>
        <w:tc>
          <w:tcPr>
            <w:tcW w:w="576" w:type="pct"/>
            <w:gridSpan w:val="2"/>
          </w:tcPr>
          <w:p w14:paraId="477644DE" w14:textId="77777777" w:rsidR="005F0F1E" w:rsidRPr="005F0F1E" w:rsidRDefault="005F0F1E" w:rsidP="005F0F1E">
            <w:pPr>
              <w:spacing w:after="200" w:line="360" w:lineRule="auto"/>
              <w:rPr>
                <w:rStyle w:val="label"/>
                <w:rFonts w:ascii="Book Antiqua" w:eastAsia="Times New Roman" w:hAnsi="Book Antiqua" w:cstheme="minorHAnsi"/>
                <w:lang w:val="en-US"/>
              </w:rPr>
            </w:pPr>
            <w:r w:rsidRPr="005F0F1E">
              <w:rPr>
                <w:rStyle w:val="label"/>
                <w:rFonts w:ascii="Book Antiqua" w:eastAsia="Times New Roman" w:hAnsi="Book Antiqua" w:cstheme="minorHAnsi"/>
                <w:lang w:val="en-US"/>
              </w:rPr>
              <w:t>Biochemical remission</w:t>
            </w:r>
          </w:p>
        </w:tc>
        <w:tc>
          <w:tcPr>
            <w:tcW w:w="285" w:type="pct"/>
            <w:gridSpan w:val="2"/>
          </w:tcPr>
          <w:p w14:paraId="1F3CD603" w14:textId="77777777" w:rsidR="005F0F1E" w:rsidRPr="005F0F1E" w:rsidRDefault="005F0F1E" w:rsidP="005F0F1E">
            <w:pPr>
              <w:spacing w:after="200" w:line="360" w:lineRule="auto"/>
              <w:rPr>
                <w:rFonts w:ascii="Book Antiqua" w:eastAsia="Times New Roman" w:hAnsi="Book Antiqua" w:cstheme="minorHAnsi"/>
                <w:lang w:val="en-US"/>
              </w:rPr>
            </w:pPr>
            <w:r w:rsidRPr="005F0F1E">
              <w:rPr>
                <w:rFonts w:ascii="Book Antiqua" w:eastAsia="Times New Roman" w:hAnsi="Book Antiqua" w:cstheme="minorHAnsi"/>
                <w:lang w:val="en-US"/>
              </w:rPr>
              <w:t>16</w:t>
            </w:r>
          </w:p>
        </w:tc>
        <w:tc>
          <w:tcPr>
            <w:tcW w:w="506" w:type="pct"/>
            <w:vMerge/>
          </w:tcPr>
          <w:p w14:paraId="7BEAF100" w14:textId="77777777" w:rsidR="005F0F1E" w:rsidRPr="005F0F1E" w:rsidRDefault="005F0F1E" w:rsidP="005F0F1E">
            <w:pPr>
              <w:spacing w:after="200" w:line="360" w:lineRule="auto"/>
              <w:rPr>
                <w:rFonts w:ascii="Book Antiqua" w:eastAsia="Times New Roman" w:hAnsi="Book Antiqua" w:cstheme="minorHAnsi"/>
                <w:lang w:val="en-US"/>
              </w:rPr>
            </w:pPr>
          </w:p>
        </w:tc>
        <w:tc>
          <w:tcPr>
            <w:tcW w:w="412" w:type="pct"/>
            <w:gridSpan w:val="2"/>
            <w:vMerge/>
          </w:tcPr>
          <w:p w14:paraId="7F2C8AE0" w14:textId="77777777" w:rsidR="005F0F1E" w:rsidRPr="005F0F1E" w:rsidRDefault="005F0F1E" w:rsidP="005F0F1E">
            <w:pPr>
              <w:spacing w:after="200" w:line="360" w:lineRule="auto"/>
              <w:rPr>
                <w:rFonts w:ascii="Book Antiqua" w:eastAsia="Times New Roman" w:hAnsi="Book Antiqua" w:cstheme="minorHAnsi"/>
                <w:lang w:val="en-US"/>
              </w:rPr>
            </w:pPr>
          </w:p>
        </w:tc>
        <w:tc>
          <w:tcPr>
            <w:tcW w:w="411" w:type="pct"/>
            <w:gridSpan w:val="2"/>
            <w:vMerge/>
          </w:tcPr>
          <w:p w14:paraId="6AD8B992" w14:textId="77777777" w:rsidR="005F0F1E" w:rsidRPr="005F0F1E" w:rsidRDefault="005F0F1E" w:rsidP="005F0F1E">
            <w:pPr>
              <w:spacing w:after="200" w:line="360" w:lineRule="auto"/>
              <w:rPr>
                <w:rFonts w:ascii="Book Antiqua" w:eastAsia="Times New Roman" w:hAnsi="Book Antiqua" w:cstheme="minorHAnsi"/>
                <w:lang w:val="en-US"/>
              </w:rPr>
            </w:pPr>
          </w:p>
        </w:tc>
        <w:tc>
          <w:tcPr>
            <w:tcW w:w="443" w:type="pct"/>
            <w:gridSpan w:val="2"/>
            <w:vMerge/>
          </w:tcPr>
          <w:p w14:paraId="1753FC2B" w14:textId="77777777" w:rsidR="005F0F1E" w:rsidRPr="005F0F1E" w:rsidRDefault="005F0F1E" w:rsidP="005F0F1E">
            <w:pPr>
              <w:spacing w:after="200" w:line="360" w:lineRule="auto"/>
              <w:rPr>
                <w:rFonts w:ascii="Book Antiqua" w:eastAsia="Times New Roman" w:hAnsi="Book Antiqua" w:cstheme="minorHAnsi"/>
                <w:lang w:val="en-US"/>
              </w:rPr>
            </w:pPr>
          </w:p>
        </w:tc>
        <w:tc>
          <w:tcPr>
            <w:tcW w:w="475" w:type="pct"/>
            <w:gridSpan w:val="2"/>
            <w:vMerge/>
          </w:tcPr>
          <w:p w14:paraId="0BFDC747" w14:textId="77777777" w:rsidR="005F0F1E" w:rsidRPr="005F0F1E" w:rsidRDefault="005F0F1E" w:rsidP="005F0F1E">
            <w:pPr>
              <w:spacing w:after="200" w:line="360" w:lineRule="auto"/>
              <w:rPr>
                <w:rFonts w:ascii="Book Antiqua" w:eastAsia="Times New Roman" w:hAnsi="Book Antiqua" w:cstheme="minorHAnsi"/>
                <w:lang w:val="en-US"/>
              </w:rPr>
            </w:pPr>
          </w:p>
        </w:tc>
        <w:tc>
          <w:tcPr>
            <w:tcW w:w="408" w:type="pct"/>
            <w:vMerge/>
          </w:tcPr>
          <w:p w14:paraId="21D2B77A" w14:textId="77777777" w:rsidR="005F0F1E" w:rsidRPr="005F0F1E" w:rsidRDefault="005F0F1E" w:rsidP="005F0F1E">
            <w:pPr>
              <w:spacing w:after="200" w:line="360" w:lineRule="auto"/>
              <w:rPr>
                <w:rFonts w:ascii="Book Antiqua" w:eastAsia="Times New Roman" w:hAnsi="Book Antiqua" w:cstheme="minorHAnsi"/>
                <w:lang w:val="en-US"/>
              </w:rPr>
            </w:pPr>
          </w:p>
        </w:tc>
        <w:tc>
          <w:tcPr>
            <w:tcW w:w="504" w:type="pct"/>
            <w:vMerge/>
          </w:tcPr>
          <w:p w14:paraId="2BD57E24" w14:textId="77777777" w:rsidR="005F0F1E" w:rsidRPr="005F0F1E" w:rsidRDefault="005F0F1E" w:rsidP="005F0F1E">
            <w:pPr>
              <w:spacing w:after="200" w:line="360" w:lineRule="auto"/>
              <w:rPr>
                <w:rFonts w:ascii="Book Antiqua" w:eastAsia="Times New Roman" w:hAnsi="Book Antiqua" w:cstheme="minorHAnsi"/>
                <w:lang w:val="en-US"/>
              </w:rPr>
            </w:pPr>
          </w:p>
        </w:tc>
        <w:tc>
          <w:tcPr>
            <w:tcW w:w="488" w:type="pct"/>
            <w:vMerge/>
          </w:tcPr>
          <w:p w14:paraId="3854F51C" w14:textId="77777777" w:rsidR="005F0F1E" w:rsidRPr="005F0F1E" w:rsidRDefault="005F0F1E" w:rsidP="005F0F1E">
            <w:pPr>
              <w:spacing w:after="200" w:line="360" w:lineRule="auto"/>
              <w:rPr>
                <w:rStyle w:val="quality-sign"/>
                <w:rFonts w:ascii="Book Antiqua" w:hAnsi="Book Antiqua" w:cstheme="minorHAnsi"/>
                <w:lang w:val="en-US"/>
              </w:rPr>
            </w:pPr>
          </w:p>
        </w:tc>
        <w:tc>
          <w:tcPr>
            <w:tcW w:w="492" w:type="pct"/>
            <w:vMerge/>
          </w:tcPr>
          <w:p w14:paraId="2E4BF855" w14:textId="77777777" w:rsidR="005F0F1E" w:rsidRPr="005F0F1E" w:rsidRDefault="005F0F1E" w:rsidP="005F0F1E">
            <w:pPr>
              <w:spacing w:after="200" w:line="360" w:lineRule="auto"/>
              <w:rPr>
                <w:rFonts w:ascii="Book Antiqua" w:eastAsia="Times New Roman" w:hAnsi="Book Antiqua" w:cstheme="minorHAnsi"/>
                <w:lang w:val="en-US"/>
              </w:rPr>
            </w:pPr>
          </w:p>
        </w:tc>
      </w:tr>
      <w:tr w:rsidR="005F0F1E" w:rsidRPr="005F0F1E" w14:paraId="02D83148" w14:textId="77777777" w:rsidTr="00C653A4">
        <w:trPr>
          <w:trHeight w:val="614"/>
        </w:trPr>
        <w:tc>
          <w:tcPr>
            <w:tcW w:w="576" w:type="pct"/>
            <w:gridSpan w:val="2"/>
          </w:tcPr>
          <w:p w14:paraId="3578D168" w14:textId="77777777" w:rsidR="005F0F1E" w:rsidRPr="005F0F1E" w:rsidRDefault="005F0F1E" w:rsidP="005F0F1E">
            <w:pPr>
              <w:spacing w:after="200" w:line="360" w:lineRule="auto"/>
              <w:rPr>
                <w:rFonts w:ascii="Book Antiqua" w:eastAsia="Times New Roman" w:hAnsi="Book Antiqua" w:cstheme="minorHAnsi"/>
                <w:lang w:val="en-US"/>
              </w:rPr>
            </w:pPr>
            <w:r w:rsidRPr="005F0F1E">
              <w:rPr>
                <w:rStyle w:val="label"/>
                <w:rFonts w:ascii="Book Antiqua" w:eastAsia="Times New Roman" w:hAnsi="Book Antiqua" w:cstheme="minorHAnsi"/>
                <w:lang w:val="en-US"/>
              </w:rPr>
              <w:t xml:space="preserve">Adverse events </w:t>
            </w:r>
          </w:p>
        </w:tc>
        <w:tc>
          <w:tcPr>
            <w:tcW w:w="285" w:type="pct"/>
            <w:gridSpan w:val="2"/>
            <w:hideMark/>
          </w:tcPr>
          <w:p w14:paraId="77065CB1" w14:textId="77777777" w:rsidR="005F0F1E" w:rsidRPr="005F0F1E" w:rsidRDefault="005F0F1E" w:rsidP="005F0F1E">
            <w:pPr>
              <w:spacing w:after="200" w:line="360" w:lineRule="auto"/>
              <w:rPr>
                <w:rFonts w:ascii="Book Antiqua" w:eastAsia="Times New Roman" w:hAnsi="Book Antiqua" w:cstheme="minorHAnsi"/>
                <w:lang w:val="en-US"/>
              </w:rPr>
            </w:pPr>
            <w:r w:rsidRPr="005F0F1E">
              <w:rPr>
                <w:rFonts w:ascii="Book Antiqua" w:eastAsia="Times New Roman" w:hAnsi="Book Antiqua" w:cstheme="minorHAnsi"/>
                <w:lang w:val="en-US"/>
              </w:rPr>
              <w:t>13</w:t>
            </w:r>
          </w:p>
        </w:tc>
        <w:tc>
          <w:tcPr>
            <w:tcW w:w="506" w:type="pct"/>
            <w:hideMark/>
          </w:tcPr>
          <w:p w14:paraId="4A1EF14E" w14:textId="58863F0A" w:rsidR="005F0F1E" w:rsidRPr="005F0F1E" w:rsidRDefault="002720FA" w:rsidP="005F0F1E">
            <w:pPr>
              <w:spacing w:after="200" w:line="360" w:lineRule="auto"/>
              <w:rPr>
                <w:rFonts w:ascii="Book Antiqua" w:eastAsia="Times New Roman" w:hAnsi="Book Antiqua" w:cstheme="minorHAnsi"/>
                <w:lang w:val="en-US"/>
              </w:rPr>
            </w:pPr>
            <w:r>
              <w:rPr>
                <w:rFonts w:ascii="Book Antiqua" w:eastAsia="Times New Roman" w:hAnsi="Book Antiqua" w:cstheme="minorHAnsi"/>
                <w:lang w:val="en-US"/>
              </w:rPr>
              <w:t>O</w:t>
            </w:r>
            <w:r w:rsidR="005F0F1E" w:rsidRPr="005F0F1E">
              <w:rPr>
                <w:rFonts w:ascii="Book Antiqua" w:eastAsia="Times New Roman" w:hAnsi="Book Antiqua" w:cstheme="minorHAnsi"/>
                <w:lang w:val="en-US"/>
              </w:rPr>
              <w:t>bservational</w:t>
            </w:r>
          </w:p>
        </w:tc>
        <w:tc>
          <w:tcPr>
            <w:tcW w:w="412" w:type="pct"/>
            <w:gridSpan w:val="2"/>
            <w:hideMark/>
          </w:tcPr>
          <w:p w14:paraId="201C12AE" w14:textId="0FD1D8D6" w:rsidR="005F0F1E" w:rsidRPr="005F0F1E" w:rsidRDefault="002720FA" w:rsidP="005F0F1E">
            <w:pPr>
              <w:spacing w:after="200" w:line="360" w:lineRule="auto"/>
              <w:rPr>
                <w:rFonts w:ascii="Book Antiqua" w:eastAsia="Times New Roman" w:hAnsi="Book Antiqua" w:cstheme="minorHAnsi"/>
                <w:lang w:val="en-US"/>
              </w:rPr>
            </w:pPr>
            <w:r>
              <w:rPr>
                <w:rFonts w:ascii="Book Antiqua" w:eastAsia="Times New Roman" w:hAnsi="Book Antiqua" w:cstheme="minorHAnsi"/>
                <w:lang w:val="en-US"/>
              </w:rPr>
              <w:t>S</w:t>
            </w:r>
            <w:r w:rsidR="005F0F1E" w:rsidRPr="005F0F1E">
              <w:rPr>
                <w:rFonts w:ascii="Book Antiqua" w:eastAsia="Times New Roman" w:hAnsi="Book Antiqua" w:cstheme="minorHAnsi"/>
                <w:lang w:val="en-US"/>
              </w:rPr>
              <w:t>erious</w:t>
            </w:r>
            <w:r>
              <w:rPr>
                <w:rFonts w:ascii="Book Antiqua" w:eastAsia="Times New Roman" w:hAnsi="Book Antiqua" w:cstheme="minorHAnsi"/>
                <w:vertAlign w:val="superscript"/>
                <w:lang w:val="en-US"/>
              </w:rPr>
              <w:t>1</w:t>
            </w:r>
          </w:p>
        </w:tc>
        <w:tc>
          <w:tcPr>
            <w:tcW w:w="411" w:type="pct"/>
            <w:gridSpan w:val="2"/>
            <w:hideMark/>
          </w:tcPr>
          <w:p w14:paraId="700572C7" w14:textId="4084CCC1" w:rsidR="005F0F1E" w:rsidRPr="005F0F1E" w:rsidRDefault="002720FA" w:rsidP="005F0F1E">
            <w:pPr>
              <w:spacing w:after="200" w:line="360" w:lineRule="auto"/>
              <w:rPr>
                <w:rFonts w:ascii="Book Antiqua" w:eastAsia="Times New Roman" w:hAnsi="Book Antiqua" w:cstheme="minorHAnsi"/>
                <w:lang w:val="en-US"/>
              </w:rPr>
            </w:pPr>
            <w:r>
              <w:rPr>
                <w:rFonts w:ascii="Book Antiqua" w:eastAsia="Times New Roman" w:hAnsi="Book Antiqua" w:cstheme="minorHAnsi"/>
                <w:lang w:val="en-US"/>
              </w:rPr>
              <w:t>S</w:t>
            </w:r>
            <w:r w:rsidR="005F0F1E" w:rsidRPr="005F0F1E">
              <w:rPr>
                <w:rFonts w:ascii="Book Antiqua" w:eastAsia="Times New Roman" w:hAnsi="Book Antiqua" w:cstheme="minorHAnsi"/>
                <w:lang w:val="en-US"/>
              </w:rPr>
              <w:t>erious</w:t>
            </w:r>
            <w:r w:rsidRPr="002720FA">
              <w:rPr>
                <w:rFonts w:ascii="Book Antiqua" w:eastAsia="Times New Roman" w:hAnsi="Book Antiqua" w:cstheme="minorHAnsi"/>
                <w:vertAlign w:val="superscript"/>
                <w:lang w:val="en-US"/>
              </w:rPr>
              <w:t>2</w:t>
            </w:r>
          </w:p>
        </w:tc>
        <w:tc>
          <w:tcPr>
            <w:tcW w:w="443" w:type="pct"/>
            <w:gridSpan w:val="2"/>
            <w:hideMark/>
          </w:tcPr>
          <w:p w14:paraId="1C1126C5" w14:textId="3501C9B6" w:rsidR="005F0F1E" w:rsidRPr="005F0F1E" w:rsidRDefault="002720FA" w:rsidP="005F0F1E">
            <w:pPr>
              <w:spacing w:after="200" w:line="360" w:lineRule="auto"/>
              <w:rPr>
                <w:rFonts w:ascii="Book Antiqua" w:eastAsia="Times New Roman" w:hAnsi="Book Antiqua" w:cstheme="minorHAnsi"/>
                <w:lang w:val="en-US"/>
              </w:rPr>
            </w:pPr>
            <w:r>
              <w:rPr>
                <w:rFonts w:ascii="Book Antiqua" w:eastAsia="Times New Roman" w:hAnsi="Book Antiqua" w:cstheme="minorHAnsi"/>
                <w:lang w:val="en-US"/>
              </w:rPr>
              <w:t>N</w:t>
            </w:r>
            <w:r w:rsidR="005F0F1E" w:rsidRPr="005F0F1E">
              <w:rPr>
                <w:rFonts w:ascii="Book Antiqua" w:eastAsia="Times New Roman" w:hAnsi="Book Antiqua" w:cstheme="minorHAnsi"/>
                <w:lang w:val="en-US"/>
              </w:rPr>
              <w:t>ot serious</w:t>
            </w:r>
          </w:p>
        </w:tc>
        <w:tc>
          <w:tcPr>
            <w:tcW w:w="475" w:type="pct"/>
            <w:gridSpan w:val="2"/>
            <w:hideMark/>
          </w:tcPr>
          <w:p w14:paraId="59090B63" w14:textId="522DD391" w:rsidR="005F0F1E" w:rsidRPr="005F0F1E" w:rsidRDefault="002720FA" w:rsidP="005F0F1E">
            <w:pPr>
              <w:spacing w:after="200" w:line="360" w:lineRule="auto"/>
              <w:rPr>
                <w:rFonts w:ascii="Book Antiqua" w:eastAsia="Times New Roman" w:hAnsi="Book Antiqua" w:cstheme="minorHAnsi"/>
                <w:lang w:val="en-US"/>
              </w:rPr>
            </w:pPr>
            <w:r>
              <w:rPr>
                <w:rFonts w:ascii="Book Antiqua" w:eastAsia="Times New Roman" w:hAnsi="Book Antiqua" w:cstheme="minorHAnsi"/>
                <w:lang w:val="en-US"/>
              </w:rPr>
              <w:t>N</w:t>
            </w:r>
            <w:r w:rsidR="005F0F1E" w:rsidRPr="005F0F1E">
              <w:rPr>
                <w:rFonts w:ascii="Book Antiqua" w:eastAsia="Times New Roman" w:hAnsi="Book Antiqua" w:cstheme="minorHAnsi"/>
                <w:lang w:val="en-US"/>
              </w:rPr>
              <w:t>ot serious</w:t>
            </w:r>
          </w:p>
        </w:tc>
        <w:tc>
          <w:tcPr>
            <w:tcW w:w="408" w:type="pct"/>
            <w:hideMark/>
          </w:tcPr>
          <w:p w14:paraId="4B06BB2B" w14:textId="606CE87E" w:rsidR="005F0F1E" w:rsidRPr="005F0F1E" w:rsidRDefault="002720FA" w:rsidP="005F0F1E">
            <w:pPr>
              <w:spacing w:after="200" w:line="360" w:lineRule="auto"/>
              <w:rPr>
                <w:rFonts w:ascii="Book Antiqua" w:eastAsia="Times New Roman" w:hAnsi="Book Antiqua" w:cstheme="minorHAnsi"/>
                <w:lang w:val="en-US"/>
              </w:rPr>
            </w:pPr>
            <w:r>
              <w:rPr>
                <w:rFonts w:ascii="Book Antiqua" w:eastAsia="Times New Roman" w:hAnsi="Book Antiqua" w:cstheme="minorHAnsi"/>
                <w:lang w:val="en-US"/>
              </w:rPr>
              <w:t>N</w:t>
            </w:r>
            <w:r w:rsidR="005F0F1E" w:rsidRPr="005F0F1E">
              <w:rPr>
                <w:rFonts w:ascii="Book Antiqua" w:eastAsia="Times New Roman" w:hAnsi="Book Antiqua" w:cstheme="minorHAnsi"/>
                <w:lang w:val="en-US"/>
              </w:rPr>
              <w:t>one</w:t>
            </w:r>
          </w:p>
        </w:tc>
        <w:tc>
          <w:tcPr>
            <w:tcW w:w="504" w:type="pct"/>
            <w:hideMark/>
          </w:tcPr>
          <w:p w14:paraId="32362294" w14:textId="708DA65C" w:rsidR="005F0F1E" w:rsidRPr="005F0F1E" w:rsidRDefault="005F0F1E" w:rsidP="005F0F1E">
            <w:pPr>
              <w:spacing w:after="200" w:line="360" w:lineRule="auto"/>
              <w:rPr>
                <w:rFonts w:ascii="Book Antiqua" w:eastAsia="Times New Roman" w:hAnsi="Book Antiqua" w:cstheme="minorHAnsi"/>
                <w:lang w:val="en-US"/>
              </w:rPr>
            </w:pPr>
            <w:r w:rsidRPr="005F0F1E">
              <w:rPr>
                <w:rFonts w:ascii="Book Antiqua" w:eastAsia="Times New Roman" w:hAnsi="Book Antiqua" w:cstheme="minorHAnsi"/>
                <w:lang w:val="en-US"/>
              </w:rPr>
              <w:t>97/416 (23.3)</w:t>
            </w:r>
          </w:p>
        </w:tc>
        <w:tc>
          <w:tcPr>
            <w:tcW w:w="488" w:type="pct"/>
            <w:hideMark/>
          </w:tcPr>
          <w:p w14:paraId="61D94714" w14:textId="443B38B0" w:rsidR="005F0F1E" w:rsidRPr="005F0F1E" w:rsidRDefault="005F055E" w:rsidP="005F0F1E">
            <w:pPr>
              <w:spacing w:after="120" w:line="360" w:lineRule="auto"/>
              <w:rPr>
                <w:rFonts w:ascii="Book Antiqua" w:eastAsia="Times New Roman" w:hAnsi="Book Antiqua" w:cstheme="minorHAnsi"/>
                <w:lang w:val="en-US"/>
              </w:rPr>
            </w:pPr>
            <w:r w:rsidRPr="005F055E">
              <w:rPr>
                <w:rFonts w:ascii="Book Antiqua" w:eastAsia="Times New Roman" w:hAnsi="Book Antiqua" w:cstheme="minorHAnsi"/>
                <w:lang w:val="en-US"/>
              </w:rPr>
              <w:sym w:font="Symbol" w:char="F0C5"/>
            </w:r>
            <w:r w:rsidRPr="005F055E">
              <w:rPr>
                <w:rFonts w:ascii="Book Antiqua" w:eastAsia="Times New Roman" w:hAnsi="Book Antiqua" w:cstheme="minorHAnsi"/>
                <w:lang w:val="en-US"/>
              </w:rPr>
              <w:sym w:font="Symbol" w:char="F04F"/>
            </w:r>
            <w:r w:rsidRPr="005F055E">
              <w:rPr>
                <w:rFonts w:ascii="Book Antiqua" w:eastAsia="Times New Roman" w:hAnsi="Book Antiqua" w:cstheme="minorHAnsi"/>
                <w:lang w:val="en-US"/>
              </w:rPr>
              <w:sym w:font="Symbol" w:char="F04F"/>
            </w:r>
            <w:r w:rsidRPr="005F055E">
              <w:rPr>
                <w:rFonts w:ascii="Book Antiqua" w:eastAsia="Times New Roman" w:hAnsi="Book Antiqua" w:cstheme="minorHAnsi"/>
                <w:lang w:val="en-US"/>
              </w:rPr>
              <w:sym w:font="Symbol" w:char="F04F"/>
            </w:r>
            <w:r w:rsidR="005F0F1E" w:rsidRPr="005F0F1E">
              <w:rPr>
                <w:rStyle w:val="quality-text"/>
                <w:rFonts w:ascii="Book Antiqua" w:hAnsi="Book Antiqua" w:cstheme="minorHAnsi"/>
                <w:lang w:val="en-US"/>
              </w:rPr>
              <w:t xml:space="preserve">VERY </w:t>
            </w:r>
            <w:proofErr w:type="spellStart"/>
            <w:r w:rsidR="00B464E7" w:rsidRPr="00B464E7">
              <w:rPr>
                <w:rStyle w:val="quality-text"/>
                <w:rFonts w:ascii="Book Antiqua" w:hAnsi="Book Antiqua" w:cstheme="minorHAnsi"/>
                <w:lang w:val="en-US"/>
              </w:rPr>
              <w:t>Ve</w:t>
            </w:r>
            <w:proofErr w:type="spellEnd"/>
            <w:r w:rsidR="00B464E7" w:rsidRPr="00B464E7">
              <w:rPr>
                <w:rStyle w:val="quality-text"/>
                <w:rFonts w:ascii="Book Antiqua" w:hAnsi="Book Antiqua"/>
              </w:rPr>
              <w:t>ry</w:t>
            </w:r>
            <w:r w:rsidR="00B464E7">
              <w:rPr>
                <w:rStyle w:val="quality-text"/>
                <w:rFonts w:ascii="Book Antiqua" w:hAnsi="Book Antiqua"/>
              </w:rPr>
              <w:t xml:space="preserve"> </w:t>
            </w:r>
            <w:r w:rsidR="00B464E7">
              <w:rPr>
                <w:rStyle w:val="quality-text"/>
                <w:rFonts w:ascii="Book Antiqua" w:hAnsi="Book Antiqua" w:cstheme="minorHAnsi"/>
                <w:lang w:val="en-US"/>
              </w:rPr>
              <w:t>l</w:t>
            </w:r>
            <w:r w:rsidR="00B464E7" w:rsidRPr="00B464E7">
              <w:rPr>
                <w:rStyle w:val="quality-text"/>
                <w:rFonts w:ascii="Book Antiqua" w:hAnsi="Book Antiqua" w:cstheme="minorHAnsi"/>
                <w:lang w:val="en-US"/>
              </w:rPr>
              <w:t>o</w:t>
            </w:r>
            <w:r w:rsidR="00B464E7" w:rsidRPr="00B464E7">
              <w:rPr>
                <w:rStyle w:val="quality-text"/>
                <w:rFonts w:ascii="Book Antiqua" w:hAnsi="Book Antiqua"/>
              </w:rPr>
              <w:t>w</w:t>
            </w:r>
          </w:p>
        </w:tc>
        <w:tc>
          <w:tcPr>
            <w:tcW w:w="492" w:type="pct"/>
            <w:hideMark/>
          </w:tcPr>
          <w:p w14:paraId="6788B6C2" w14:textId="483267F7" w:rsidR="005F0F1E" w:rsidRPr="005F0F1E" w:rsidRDefault="005F0F1E" w:rsidP="005F0F1E">
            <w:pPr>
              <w:spacing w:after="200" w:line="360" w:lineRule="auto"/>
              <w:rPr>
                <w:rFonts w:ascii="Book Antiqua" w:eastAsia="Times New Roman" w:hAnsi="Book Antiqua" w:cstheme="minorHAnsi"/>
                <w:lang w:val="en-US"/>
              </w:rPr>
            </w:pPr>
            <w:r w:rsidRPr="005F0F1E">
              <w:rPr>
                <w:rFonts w:ascii="Book Antiqua" w:eastAsia="Times New Roman" w:hAnsi="Book Antiqua" w:cstheme="minorHAnsi"/>
                <w:lang w:val="en-US"/>
              </w:rPr>
              <w:t>I</w:t>
            </w:r>
            <w:r w:rsidR="00B464E7">
              <w:rPr>
                <w:rFonts w:ascii="Book Antiqua" w:eastAsia="Times New Roman" w:hAnsi="Book Antiqua" w:cstheme="minorHAnsi"/>
                <w:lang w:val="en-US"/>
              </w:rPr>
              <w:t>mportant</w:t>
            </w:r>
          </w:p>
        </w:tc>
      </w:tr>
      <w:tr w:rsidR="005F0F1E" w:rsidRPr="005F0F1E" w14:paraId="48778ABD" w14:textId="77777777" w:rsidTr="00C653A4">
        <w:trPr>
          <w:trHeight w:val="1130"/>
        </w:trPr>
        <w:tc>
          <w:tcPr>
            <w:tcW w:w="576" w:type="pct"/>
            <w:gridSpan w:val="2"/>
          </w:tcPr>
          <w:p w14:paraId="3AE753D9" w14:textId="77777777" w:rsidR="005F0F1E" w:rsidRPr="005F0F1E" w:rsidRDefault="005F0F1E" w:rsidP="005F0F1E">
            <w:pPr>
              <w:spacing w:after="200" w:line="360" w:lineRule="auto"/>
              <w:rPr>
                <w:rFonts w:ascii="Book Antiqua" w:eastAsia="Times New Roman" w:hAnsi="Book Antiqua" w:cstheme="minorHAnsi"/>
                <w:lang w:val="en-US"/>
              </w:rPr>
            </w:pPr>
            <w:r w:rsidRPr="005F0F1E">
              <w:rPr>
                <w:rStyle w:val="label"/>
                <w:rFonts w:ascii="Book Antiqua" w:eastAsia="Times New Roman" w:hAnsi="Book Antiqua" w:cstheme="minorHAnsi"/>
                <w:lang w:val="en-US"/>
              </w:rPr>
              <w:t xml:space="preserve">Mortality </w:t>
            </w:r>
          </w:p>
        </w:tc>
        <w:tc>
          <w:tcPr>
            <w:tcW w:w="285" w:type="pct"/>
            <w:gridSpan w:val="2"/>
            <w:hideMark/>
          </w:tcPr>
          <w:p w14:paraId="57888A9E" w14:textId="77777777" w:rsidR="005F0F1E" w:rsidRPr="005F0F1E" w:rsidRDefault="005F0F1E" w:rsidP="005F0F1E">
            <w:pPr>
              <w:spacing w:after="200" w:line="360" w:lineRule="auto"/>
              <w:rPr>
                <w:rFonts w:ascii="Book Antiqua" w:eastAsia="Times New Roman" w:hAnsi="Book Antiqua" w:cstheme="minorHAnsi"/>
                <w:lang w:val="en-US"/>
              </w:rPr>
            </w:pPr>
            <w:r w:rsidRPr="005F0F1E">
              <w:rPr>
                <w:rFonts w:ascii="Book Antiqua" w:eastAsia="Times New Roman" w:hAnsi="Book Antiqua" w:cstheme="minorHAnsi"/>
                <w:lang w:val="en-US"/>
              </w:rPr>
              <w:t>16</w:t>
            </w:r>
          </w:p>
        </w:tc>
        <w:tc>
          <w:tcPr>
            <w:tcW w:w="506" w:type="pct"/>
            <w:hideMark/>
          </w:tcPr>
          <w:p w14:paraId="2C3AB7A0" w14:textId="3670556E" w:rsidR="005F0F1E" w:rsidRPr="005F0F1E" w:rsidRDefault="002720FA" w:rsidP="005F0F1E">
            <w:pPr>
              <w:spacing w:after="200" w:line="360" w:lineRule="auto"/>
              <w:rPr>
                <w:rFonts w:ascii="Book Antiqua" w:eastAsia="Times New Roman" w:hAnsi="Book Antiqua" w:cstheme="minorHAnsi"/>
                <w:lang w:val="en-US"/>
              </w:rPr>
            </w:pPr>
            <w:r>
              <w:rPr>
                <w:rFonts w:ascii="Book Antiqua" w:eastAsia="Times New Roman" w:hAnsi="Book Antiqua" w:cstheme="minorHAnsi"/>
                <w:lang w:val="en-US"/>
              </w:rPr>
              <w:t>O</w:t>
            </w:r>
            <w:r w:rsidR="005F0F1E" w:rsidRPr="005F0F1E">
              <w:rPr>
                <w:rFonts w:ascii="Book Antiqua" w:eastAsia="Times New Roman" w:hAnsi="Book Antiqua" w:cstheme="minorHAnsi"/>
                <w:lang w:val="en-US"/>
              </w:rPr>
              <w:t>bservational</w:t>
            </w:r>
          </w:p>
        </w:tc>
        <w:tc>
          <w:tcPr>
            <w:tcW w:w="412" w:type="pct"/>
            <w:gridSpan w:val="2"/>
            <w:hideMark/>
          </w:tcPr>
          <w:p w14:paraId="63A34200" w14:textId="26CE8519" w:rsidR="005F0F1E" w:rsidRPr="005F0F1E" w:rsidRDefault="002720FA" w:rsidP="005F0F1E">
            <w:pPr>
              <w:spacing w:after="200" w:line="360" w:lineRule="auto"/>
              <w:rPr>
                <w:rFonts w:ascii="Book Antiqua" w:eastAsia="Times New Roman" w:hAnsi="Book Antiqua" w:cstheme="minorHAnsi"/>
                <w:lang w:val="en-US"/>
              </w:rPr>
            </w:pPr>
            <w:r>
              <w:rPr>
                <w:rFonts w:ascii="Book Antiqua" w:eastAsia="Times New Roman" w:hAnsi="Book Antiqua" w:cstheme="minorHAnsi"/>
                <w:lang w:val="en-US"/>
              </w:rPr>
              <w:t>S</w:t>
            </w:r>
            <w:r w:rsidR="005F0F1E" w:rsidRPr="005F0F1E">
              <w:rPr>
                <w:rFonts w:ascii="Book Antiqua" w:eastAsia="Times New Roman" w:hAnsi="Book Antiqua" w:cstheme="minorHAnsi"/>
                <w:lang w:val="en-US"/>
              </w:rPr>
              <w:t>erious</w:t>
            </w:r>
            <w:r>
              <w:rPr>
                <w:rFonts w:ascii="Book Antiqua" w:eastAsia="Times New Roman" w:hAnsi="Book Antiqua" w:cstheme="minorHAnsi"/>
                <w:vertAlign w:val="superscript"/>
                <w:lang w:val="en-US"/>
              </w:rPr>
              <w:t>1</w:t>
            </w:r>
          </w:p>
        </w:tc>
        <w:tc>
          <w:tcPr>
            <w:tcW w:w="411" w:type="pct"/>
            <w:gridSpan w:val="2"/>
            <w:hideMark/>
          </w:tcPr>
          <w:p w14:paraId="0927E1C8" w14:textId="46546723" w:rsidR="005F0F1E" w:rsidRPr="005F0F1E" w:rsidRDefault="002720FA" w:rsidP="005F0F1E">
            <w:pPr>
              <w:spacing w:after="200" w:line="360" w:lineRule="auto"/>
              <w:rPr>
                <w:rFonts w:ascii="Book Antiqua" w:eastAsia="Times New Roman" w:hAnsi="Book Antiqua" w:cstheme="minorHAnsi"/>
                <w:lang w:val="en-US"/>
              </w:rPr>
            </w:pPr>
            <w:r>
              <w:rPr>
                <w:rFonts w:ascii="Book Antiqua" w:eastAsia="Times New Roman" w:hAnsi="Book Antiqua" w:cstheme="minorHAnsi"/>
                <w:lang w:val="en-US"/>
              </w:rPr>
              <w:t>N</w:t>
            </w:r>
            <w:r w:rsidR="005F0F1E" w:rsidRPr="005F0F1E">
              <w:rPr>
                <w:rFonts w:ascii="Book Antiqua" w:eastAsia="Times New Roman" w:hAnsi="Book Antiqua" w:cstheme="minorHAnsi"/>
                <w:lang w:val="en-US"/>
              </w:rPr>
              <w:t>ot serious</w:t>
            </w:r>
          </w:p>
        </w:tc>
        <w:tc>
          <w:tcPr>
            <w:tcW w:w="443" w:type="pct"/>
            <w:gridSpan w:val="2"/>
            <w:hideMark/>
          </w:tcPr>
          <w:p w14:paraId="5A0D58B9" w14:textId="014433E2" w:rsidR="005F0F1E" w:rsidRPr="005F0F1E" w:rsidRDefault="002720FA" w:rsidP="005F0F1E">
            <w:pPr>
              <w:spacing w:after="200" w:line="360" w:lineRule="auto"/>
              <w:rPr>
                <w:rFonts w:ascii="Book Antiqua" w:eastAsia="Times New Roman" w:hAnsi="Book Antiqua" w:cstheme="minorHAnsi"/>
                <w:lang w:val="en-US"/>
              </w:rPr>
            </w:pPr>
            <w:r>
              <w:rPr>
                <w:rFonts w:ascii="Book Antiqua" w:eastAsia="Times New Roman" w:hAnsi="Book Antiqua" w:cstheme="minorHAnsi"/>
                <w:lang w:val="en-US"/>
              </w:rPr>
              <w:t>N</w:t>
            </w:r>
            <w:r w:rsidR="005F0F1E" w:rsidRPr="005F0F1E">
              <w:rPr>
                <w:rFonts w:ascii="Book Antiqua" w:eastAsia="Times New Roman" w:hAnsi="Book Antiqua" w:cstheme="minorHAnsi"/>
                <w:lang w:val="en-US"/>
              </w:rPr>
              <w:t>ot serious</w:t>
            </w:r>
          </w:p>
        </w:tc>
        <w:tc>
          <w:tcPr>
            <w:tcW w:w="475" w:type="pct"/>
            <w:gridSpan w:val="2"/>
            <w:hideMark/>
          </w:tcPr>
          <w:p w14:paraId="4D118B58" w14:textId="49C0F7B2" w:rsidR="005F0F1E" w:rsidRPr="005F0F1E" w:rsidRDefault="002720FA" w:rsidP="005F0F1E">
            <w:pPr>
              <w:spacing w:after="200" w:line="360" w:lineRule="auto"/>
              <w:rPr>
                <w:rFonts w:ascii="Book Antiqua" w:eastAsia="Times New Roman" w:hAnsi="Book Antiqua" w:cstheme="minorHAnsi"/>
                <w:lang w:val="en-US"/>
              </w:rPr>
            </w:pPr>
            <w:r>
              <w:rPr>
                <w:rFonts w:ascii="Book Antiqua" w:eastAsia="Times New Roman" w:hAnsi="Book Antiqua" w:cstheme="minorHAnsi"/>
                <w:lang w:val="en-US"/>
              </w:rPr>
              <w:t>N</w:t>
            </w:r>
            <w:r w:rsidR="005F0F1E" w:rsidRPr="005F0F1E">
              <w:rPr>
                <w:rFonts w:ascii="Book Antiqua" w:eastAsia="Times New Roman" w:hAnsi="Book Antiqua" w:cstheme="minorHAnsi"/>
                <w:lang w:val="en-US"/>
              </w:rPr>
              <w:t>ot serious</w:t>
            </w:r>
          </w:p>
        </w:tc>
        <w:tc>
          <w:tcPr>
            <w:tcW w:w="408" w:type="pct"/>
            <w:hideMark/>
          </w:tcPr>
          <w:p w14:paraId="351B9C84" w14:textId="0120F246" w:rsidR="005F0F1E" w:rsidRPr="005F0F1E" w:rsidRDefault="002720FA" w:rsidP="005F0F1E">
            <w:pPr>
              <w:spacing w:line="360" w:lineRule="auto"/>
              <w:rPr>
                <w:rFonts w:ascii="Book Antiqua" w:eastAsia="Times New Roman" w:hAnsi="Book Antiqua" w:cstheme="minorHAnsi"/>
                <w:lang w:val="en-US"/>
              </w:rPr>
            </w:pPr>
            <w:r>
              <w:rPr>
                <w:rFonts w:ascii="Book Antiqua" w:eastAsia="Times New Roman" w:hAnsi="Book Antiqua" w:cstheme="minorHAnsi"/>
                <w:lang w:val="en-US"/>
              </w:rPr>
              <w:t>P</w:t>
            </w:r>
            <w:r w:rsidR="005F0F1E" w:rsidRPr="005F0F1E">
              <w:rPr>
                <w:rFonts w:ascii="Book Antiqua" w:eastAsia="Times New Roman" w:hAnsi="Book Antiqua" w:cstheme="minorHAnsi"/>
                <w:lang w:val="en-US"/>
              </w:rPr>
              <w:t xml:space="preserve">ublication bias strongly suspected </w:t>
            </w:r>
          </w:p>
        </w:tc>
        <w:tc>
          <w:tcPr>
            <w:tcW w:w="504" w:type="pct"/>
            <w:hideMark/>
          </w:tcPr>
          <w:p w14:paraId="7F503CDB" w14:textId="77777777" w:rsidR="005F0F1E" w:rsidRPr="005F0F1E" w:rsidRDefault="005F0F1E" w:rsidP="005F0F1E">
            <w:pPr>
              <w:spacing w:after="200" w:line="360" w:lineRule="auto"/>
              <w:rPr>
                <w:rFonts w:ascii="Book Antiqua" w:eastAsia="Times New Roman" w:hAnsi="Book Antiqua" w:cstheme="minorHAnsi"/>
                <w:lang w:val="en-US"/>
              </w:rPr>
            </w:pPr>
            <w:r w:rsidRPr="005F0F1E">
              <w:rPr>
                <w:rFonts w:ascii="Book Antiqua" w:eastAsia="Times New Roman" w:hAnsi="Book Antiqua" w:cstheme="minorHAnsi"/>
                <w:lang w:val="en-US"/>
              </w:rPr>
              <w:t>22/427 (5.2)</w:t>
            </w:r>
          </w:p>
        </w:tc>
        <w:tc>
          <w:tcPr>
            <w:tcW w:w="488" w:type="pct"/>
            <w:hideMark/>
          </w:tcPr>
          <w:p w14:paraId="443B93A5" w14:textId="21C87E9A" w:rsidR="005F0F1E" w:rsidRPr="005F0F1E" w:rsidRDefault="005F055E" w:rsidP="005F0F1E">
            <w:pPr>
              <w:spacing w:after="200" w:line="360" w:lineRule="auto"/>
              <w:rPr>
                <w:rFonts w:ascii="Book Antiqua" w:eastAsia="Times New Roman" w:hAnsi="Book Antiqua" w:cstheme="minorHAnsi"/>
                <w:lang w:val="en-US"/>
              </w:rPr>
            </w:pPr>
            <w:r w:rsidRPr="005F055E">
              <w:rPr>
                <w:rFonts w:ascii="Book Antiqua" w:eastAsia="Times New Roman" w:hAnsi="Book Antiqua" w:cstheme="minorHAnsi"/>
                <w:lang w:val="en-US"/>
              </w:rPr>
              <w:sym w:font="Symbol" w:char="F0C5"/>
            </w:r>
            <w:r w:rsidRPr="005F055E">
              <w:rPr>
                <w:rFonts w:ascii="Book Antiqua" w:eastAsia="Times New Roman" w:hAnsi="Book Antiqua" w:cstheme="minorHAnsi"/>
                <w:lang w:val="en-US"/>
              </w:rPr>
              <w:sym w:font="Symbol" w:char="F04F"/>
            </w:r>
            <w:r w:rsidRPr="005F055E">
              <w:rPr>
                <w:rFonts w:ascii="Book Antiqua" w:eastAsia="Times New Roman" w:hAnsi="Book Antiqua" w:cstheme="minorHAnsi"/>
                <w:lang w:val="en-US"/>
              </w:rPr>
              <w:sym w:font="Symbol" w:char="F04F"/>
            </w:r>
            <w:r w:rsidRPr="005F055E">
              <w:rPr>
                <w:rFonts w:ascii="Book Antiqua" w:eastAsia="Times New Roman" w:hAnsi="Book Antiqua" w:cstheme="minorHAnsi"/>
                <w:lang w:val="en-US"/>
              </w:rPr>
              <w:sym w:font="Symbol" w:char="F04F"/>
            </w:r>
            <w:r w:rsidR="00B464E7" w:rsidRPr="00B464E7">
              <w:rPr>
                <w:rStyle w:val="quality-text"/>
                <w:rFonts w:ascii="Book Antiqua" w:hAnsi="Book Antiqua" w:cstheme="minorHAnsi"/>
                <w:lang w:val="en-US"/>
              </w:rPr>
              <w:t xml:space="preserve"> </w:t>
            </w:r>
            <w:proofErr w:type="spellStart"/>
            <w:r w:rsidR="00B464E7" w:rsidRPr="00B464E7">
              <w:rPr>
                <w:rStyle w:val="quality-text"/>
                <w:rFonts w:ascii="Book Antiqua" w:hAnsi="Book Antiqua" w:cstheme="minorHAnsi"/>
                <w:lang w:val="en-US"/>
              </w:rPr>
              <w:t>Ve</w:t>
            </w:r>
            <w:proofErr w:type="spellEnd"/>
            <w:r w:rsidR="00B464E7" w:rsidRPr="00B464E7">
              <w:rPr>
                <w:rStyle w:val="quality-text"/>
                <w:rFonts w:ascii="Book Antiqua" w:hAnsi="Book Antiqua"/>
              </w:rPr>
              <w:t>ry</w:t>
            </w:r>
            <w:r w:rsidR="00B464E7">
              <w:rPr>
                <w:rStyle w:val="quality-text"/>
                <w:rFonts w:ascii="Book Antiqua" w:hAnsi="Book Antiqua"/>
              </w:rPr>
              <w:t xml:space="preserve"> </w:t>
            </w:r>
            <w:r w:rsidR="00B464E7">
              <w:rPr>
                <w:rStyle w:val="quality-text"/>
                <w:rFonts w:ascii="Book Antiqua" w:hAnsi="Book Antiqua" w:cstheme="minorHAnsi"/>
                <w:lang w:val="en-US"/>
              </w:rPr>
              <w:t>l</w:t>
            </w:r>
            <w:r w:rsidR="00B464E7" w:rsidRPr="00B464E7">
              <w:rPr>
                <w:rStyle w:val="quality-text"/>
                <w:rFonts w:ascii="Book Antiqua" w:hAnsi="Book Antiqua" w:cstheme="minorHAnsi"/>
                <w:lang w:val="en-US"/>
              </w:rPr>
              <w:t>o</w:t>
            </w:r>
            <w:r w:rsidR="00B464E7" w:rsidRPr="00B464E7">
              <w:rPr>
                <w:rStyle w:val="quality-text"/>
                <w:rFonts w:ascii="Book Antiqua" w:hAnsi="Book Antiqua"/>
              </w:rPr>
              <w:t>w</w:t>
            </w:r>
          </w:p>
        </w:tc>
        <w:tc>
          <w:tcPr>
            <w:tcW w:w="492" w:type="pct"/>
            <w:hideMark/>
          </w:tcPr>
          <w:p w14:paraId="3C9C04F9" w14:textId="38F8E261" w:rsidR="005F0F1E" w:rsidRPr="005F0F1E" w:rsidRDefault="00B464E7" w:rsidP="005F0F1E">
            <w:pPr>
              <w:spacing w:after="200" w:line="360" w:lineRule="auto"/>
              <w:rPr>
                <w:rFonts w:ascii="Book Antiqua" w:eastAsia="Times New Roman" w:hAnsi="Book Antiqua" w:cstheme="minorHAnsi"/>
                <w:lang w:val="en-US"/>
              </w:rPr>
            </w:pPr>
            <w:r w:rsidRPr="00B464E7">
              <w:rPr>
                <w:rFonts w:ascii="Book Antiqua" w:eastAsia="Times New Roman" w:hAnsi="Book Antiqua" w:cstheme="minorHAnsi"/>
                <w:lang w:val="en-US"/>
              </w:rPr>
              <w:t>Cr</w:t>
            </w:r>
            <w:r w:rsidRPr="00B464E7">
              <w:rPr>
                <w:rFonts w:ascii="Book Antiqua" w:eastAsia="Times New Roman" w:hAnsi="Book Antiqua"/>
              </w:rPr>
              <w:t>itical</w:t>
            </w:r>
          </w:p>
        </w:tc>
      </w:tr>
    </w:tbl>
    <w:p w14:paraId="43D3B236" w14:textId="38F9D7B7" w:rsidR="00A02A1F" w:rsidRPr="00A02A1F" w:rsidRDefault="0013085C">
      <w:pPr>
        <w:spacing w:line="360" w:lineRule="auto"/>
        <w:jc w:val="both"/>
        <w:rPr>
          <w:rFonts w:ascii="Book Antiqua" w:hAnsi="Book Antiqua"/>
        </w:rPr>
      </w:pPr>
      <w:r>
        <w:rPr>
          <w:rFonts w:ascii="Book Antiqua" w:eastAsia="Times New Roman" w:hAnsi="Book Antiqua" w:cstheme="minorHAnsi"/>
          <w:vertAlign w:val="superscript"/>
        </w:rPr>
        <w:t>1</w:t>
      </w:r>
      <w:r w:rsidRPr="00431BB4">
        <w:rPr>
          <w:rFonts w:ascii="Book Antiqua" w:eastAsia="Times New Roman" w:hAnsi="Book Antiqua" w:cstheme="minorHAnsi"/>
          <w:color w:val="000000"/>
        </w:rPr>
        <w:t xml:space="preserve">Failure to develop and apply appropriate eligibility criteria; </w:t>
      </w:r>
      <w:r>
        <w:rPr>
          <w:rFonts w:ascii="Book Antiqua" w:eastAsia="Times New Roman" w:hAnsi="Book Antiqua" w:cstheme="minorHAnsi"/>
          <w:vertAlign w:val="superscript"/>
        </w:rPr>
        <w:t>2</w:t>
      </w:r>
      <w:r w:rsidRPr="00431BB4">
        <w:rPr>
          <w:rFonts w:ascii="Book Antiqua" w:eastAsia="Times New Roman" w:hAnsi="Book Antiqua" w:cstheme="minorHAnsi"/>
          <w:color w:val="000000"/>
        </w:rPr>
        <w:t>Statistically significant heterogeneity</w:t>
      </w:r>
      <w:r>
        <w:rPr>
          <w:rFonts w:ascii="Book Antiqua" w:eastAsia="Times New Roman" w:hAnsi="Book Antiqua" w:cstheme="minorHAnsi"/>
          <w:color w:val="000000"/>
        </w:rPr>
        <w:t>.</w:t>
      </w:r>
      <w:r w:rsidRPr="0013085C">
        <w:rPr>
          <w:rFonts w:ascii="Book Antiqua" w:hAnsi="Book Antiqua" w:cstheme="minorHAnsi"/>
          <w:color w:val="000000"/>
        </w:rPr>
        <w:t xml:space="preserve"> </w:t>
      </w:r>
      <w:r w:rsidR="009029AE">
        <w:rPr>
          <w:rFonts w:ascii="Book Antiqua" w:hAnsi="Book Antiqua" w:cstheme="minorHAnsi"/>
          <w:color w:val="000000"/>
        </w:rPr>
        <w:t xml:space="preserve">MMF: </w:t>
      </w:r>
      <w:r w:rsidR="009029AE">
        <w:rPr>
          <w:rFonts w:ascii="Book Antiqua" w:eastAsia="Book Antiqua" w:hAnsi="Book Antiqua" w:cs="Book Antiqua"/>
          <w:color w:val="000000"/>
        </w:rPr>
        <w:t>Mycophenolate mofetil.</w:t>
      </w:r>
    </w:p>
    <w:sectPr w:rsidR="00A02A1F" w:rsidRPr="00A02A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93037" w14:textId="77777777" w:rsidR="00CA065D" w:rsidRDefault="00CA065D" w:rsidP="00C741B7">
      <w:r>
        <w:separator/>
      </w:r>
    </w:p>
  </w:endnote>
  <w:endnote w:type="continuationSeparator" w:id="0">
    <w:p w14:paraId="2969D692" w14:textId="77777777" w:rsidR="00CA065D" w:rsidRDefault="00CA065D" w:rsidP="00C7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dvTimes">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7267880"/>
      <w:docPartObj>
        <w:docPartGallery w:val="Page Numbers (Bottom of Page)"/>
        <w:docPartUnique/>
      </w:docPartObj>
    </w:sdtPr>
    <w:sdtEndPr/>
    <w:sdtContent>
      <w:sdt>
        <w:sdtPr>
          <w:id w:val="-1705238520"/>
          <w:docPartObj>
            <w:docPartGallery w:val="Page Numbers (Top of Page)"/>
            <w:docPartUnique/>
          </w:docPartObj>
        </w:sdtPr>
        <w:sdtEndPr/>
        <w:sdtContent>
          <w:p w14:paraId="3012B0F6" w14:textId="38CD83B6" w:rsidR="00922DFA" w:rsidRDefault="00922DFA" w:rsidP="00C741B7">
            <w:pPr>
              <w:pStyle w:val="a5"/>
              <w:jc w:val="right"/>
            </w:pPr>
            <w:r>
              <w:rPr>
                <w:lang w:val="zh-CN" w:eastAsia="zh-CN"/>
              </w:rPr>
              <w:t xml:space="preserve"> </w:t>
            </w:r>
            <w:r w:rsidRPr="00C741B7">
              <w:rPr>
                <w:rFonts w:ascii="Book Antiqua" w:hAnsi="Book Antiqua"/>
                <w:sz w:val="21"/>
                <w:szCs w:val="21"/>
              </w:rPr>
              <w:fldChar w:fldCharType="begin"/>
            </w:r>
            <w:r w:rsidRPr="00C741B7">
              <w:rPr>
                <w:rFonts w:ascii="Book Antiqua" w:hAnsi="Book Antiqua"/>
                <w:sz w:val="21"/>
                <w:szCs w:val="21"/>
              </w:rPr>
              <w:instrText>PAGE</w:instrText>
            </w:r>
            <w:r w:rsidRPr="00C741B7">
              <w:rPr>
                <w:rFonts w:ascii="Book Antiqua" w:hAnsi="Book Antiqua"/>
                <w:sz w:val="21"/>
                <w:szCs w:val="21"/>
              </w:rPr>
              <w:fldChar w:fldCharType="separate"/>
            </w:r>
            <w:r w:rsidR="000A7A04">
              <w:rPr>
                <w:rFonts w:ascii="Book Antiqua" w:hAnsi="Book Antiqua"/>
                <w:noProof/>
                <w:sz w:val="21"/>
                <w:szCs w:val="21"/>
              </w:rPr>
              <w:t>21</w:t>
            </w:r>
            <w:r w:rsidRPr="00C741B7">
              <w:rPr>
                <w:rFonts w:ascii="Book Antiqua" w:hAnsi="Book Antiqua"/>
                <w:sz w:val="21"/>
                <w:szCs w:val="21"/>
              </w:rPr>
              <w:fldChar w:fldCharType="end"/>
            </w:r>
            <w:r w:rsidRPr="00C741B7">
              <w:rPr>
                <w:rFonts w:ascii="Book Antiqua" w:hAnsi="Book Antiqua"/>
                <w:sz w:val="21"/>
                <w:szCs w:val="21"/>
                <w:lang w:val="zh-CN" w:eastAsia="zh-CN"/>
              </w:rPr>
              <w:t xml:space="preserve"> / </w:t>
            </w:r>
            <w:r w:rsidRPr="00C741B7">
              <w:rPr>
                <w:rFonts w:ascii="Book Antiqua" w:hAnsi="Book Antiqua"/>
                <w:sz w:val="21"/>
                <w:szCs w:val="21"/>
              </w:rPr>
              <w:fldChar w:fldCharType="begin"/>
            </w:r>
            <w:r w:rsidRPr="00C741B7">
              <w:rPr>
                <w:rFonts w:ascii="Book Antiqua" w:hAnsi="Book Antiqua"/>
                <w:sz w:val="21"/>
                <w:szCs w:val="21"/>
              </w:rPr>
              <w:instrText>NUMPAGES</w:instrText>
            </w:r>
            <w:r w:rsidRPr="00C741B7">
              <w:rPr>
                <w:rFonts w:ascii="Book Antiqua" w:hAnsi="Book Antiqua"/>
                <w:sz w:val="21"/>
                <w:szCs w:val="21"/>
              </w:rPr>
              <w:fldChar w:fldCharType="separate"/>
            </w:r>
            <w:r w:rsidR="000A7A04">
              <w:rPr>
                <w:rFonts w:ascii="Book Antiqua" w:hAnsi="Book Antiqua"/>
                <w:noProof/>
                <w:sz w:val="21"/>
                <w:szCs w:val="21"/>
              </w:rPr>
              <w:t>40</w:t>
            </w:r>
            <w:r w:rsidRPr="00C741B7">
              <w:rPr>
                <w:rFonts w:ascii="Book Antiqua" w:hAnsi="Book Antiqua"/>
                <w:sz w:val="21"/>
                <w:szCs w:val="21"/>
              </w:rPr>
              <w:fldChar w:fldCharType="end"/>
            </w:r>
          </w:p>
        </w:sdtContent>
      </w:sdt>
    </w:sdtContent>
  </w:sdt>
  <w:p w14:paraId="277FE9A1" w14:textId="77777777" w:rsidR="00922DFA" w:rsidRDefault="00922D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AA6DE" w14:textId="77777777" w:rsidR="00CA065D" w:rsidRDefault="00CA065D" w:rsidP="00C741B7">
      <w:r>
        <w:separator/>
      </w:r>
    </w:p>
  </w:footnote>
  <w:footnote w:type="continuationSeparator" w:id="0">
    <w:p w14:paraId="66D4EA3E" w14:textId="77777777" w:rsidR="00CA065D" w:rsidRDefault="00CA065D" w:rsidP="00C74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A51"/>
    <w:rsid w:val="000320BF"/>
    <w:rsid w:val="00042250"/>
    <w:rsid w:val="000600B4"/>
    <w:rsid w:val="00080E68"/>
    <w:rsid w:val="000854BB"/>
    <w:rsid w:val="000A58D9"/>
    <w:rsid w:val="000A7A04"/>
    <w:rsid w:val="000A7B2E"/>
    <w:rsid w:val="000D6A55"/>
    <w:rsid w:val="000D77FF"/>
    <w:rsid w:val="001006EC"/>
    <w:rsid w:val="00112EF6"/>
    <w:rsid w:val="0013085C"/>
    <w:rsid w:val="001C1895"/>
    <w:rsid w:val="001C1DC3"/>
    <w:rsid w:val="001C426B"/>
    <w:rsid w:val="001C7495"/>
    <w:rsid w:val="001D030F"/>
    <w:rsid w:val="001D53DD"/>
    <w:rsid w:val="001E254D"/>
    <w:rsid w:val="001F367C"/>
    <w:rsid w:val="00205E78"/>
    <w:rsid w:val="00212944"/>
    <w:rsid w:val="0021398D"/>
    <w:rsid w:val="0022054E"/>
    <w:rsid w:val="00256667"/>
    <w:rsid w:val="0027169E"/>
    <w:rsid w:val="002720FA"/>
    <w:rsid w:val="00292B0B"/>
    <w:rsid w:val="002B149F"/>
    <w:rsid w:val="002C5130"/>
    <w:rsid w:val="002D670B"/>
    <w:rsid w:val="002E17FC"/>
    <w:rsid w:val="002E68AB"/>
    <w:rsid w:val="002F240B"/>
    <w:rsid w:val="003019A7"/>
    <w:rsid w:val="00302726"/>
    <w:rsid w:val="00302CF3"/>
    <w:rsid w:val="00357B4E"/>
    <w:rsid w:val="00360C84"/>
    <w:rsid w:val="003A5FDA"/>
    <w:rsid w:val="003B1FA9"/>
    <w:rsid w:val="003E5CA1"/>
    <w:rsid w:val="003E62D5"/>
    <w:rsid w:val="003F6962"/>
    <w:rsid w:val="00401C64"/>
    <w:rsid w:val="00404E67"/>
    <w:rsid w:val="00406C47"/>
    <w:rsid w:val="00413E22"/>
    <w:rsid w:val="004460E4"/>
    <w:rsid w:val="00456FC4"/>
    <w:rsid w:val="00471429"/>
    <w:rsid w:val="00472F36"/>
    <w:rsid w:val="00484635"/>
    <w:rsid w:val="004954E7"/>
    <w:rsid w:val="004E25CB"/>
    <w:rsid w:val="004F3215"/>
    <w:rsid w:val="00516695"/>
    <w:rsid w:val="0051794A"/>
    <w:rsid w:val="0053579D"/>
    <w:rsid w:val="005726A5"/>
    <w:rsid w:val="00585AA4"/>
    <w:rsid w:val="005978B5"/>
    <w:rsid w:val="005A3BAF"/>
    <w:rsid w:val="005C0FF9"/>
    <w:rsid w:val="005F055E"/>
    <w:rsid w:val="005F0F1E"/>
    <w:rsid w:val="00614032"/>
    <w:rsid w:val="00627F1E"/>
    <w:rsid w:val="00641812"/>
    <w:rsid w:val="00641CD2"/>
    <w:rsid w:val="00647F90"/>
    <w:rsid w:val="0066466D"/>
    <w:rsid w:val="00673692"/>
    <w:rsid w:val="00674D04"/>
    <w:rsid w:val="006765E0"/>
    <w:rsid w:val="006B1CB1"/>
    <w:rsid w:val="006B3476"/>
    <w:rsid w:val="006C1177"/>
    <w:rsid w:val="006C5586"/>
    <w:rsid w:val="007064A2"/>
    <w:rsid w:val="00716A21"/>
    <w:rsid w:val="00722919"/>
    <w:rsid w:val="00727815"/>
    <w:rsid w:val="0073087A"/>
    <w:rsid w:val="007338BB"/>
    <w:rsid w:val="00762EF6"/>
    <w:rsid w:val="007B1228"/>
    <w:rsid w:val="007B2F17"/>
    <w:rsid w:val="007D06F1"/>
    <w:rsid w:val="007E29AC"/>
    <w:rsid w:val="008209AE"/>
    <w:rsid w:val="00821849"/>
    <w:rsid w:val="008261CD"/>
    <w:rsid w:val="00857EC2"/>
    <w:rsid w:val="0088758B"/>
    <w:rsid w:val="00894570"/>
    <w:rsid w:val="008A4FB9"/>
    <w:rsid w:val="008A56A2"/>
    <w:rsid w:val="008C1E95"/>
    <w:rsid w:val="008D1919"/>
    <w:rsid w:val="008E1F11"/>
    <w:rsid w:val="008F6F0F"/>
    <w:rsid w:val="0090199C"/>
    <w:rsid w:val="009029AE"/>
    <w:rsid w:val="00904352"/>
    <w:rsid w:val="00922DFA"/>
    <w:rsid w:val="009417EF"/>
    <w:rsid w:val="00945330"/>
    <w:rsid w:val="009513EA"/>
    <w:rsid w:val="0097061E"/>
    <w:rsid w:val="00991817"/>
    <w:rsid w:val="009929A1"/>
    <w:rsid w:val="009A266A"/>
    <w:rsid w:val="009E0AA1"/>
    <w:rsid w:val="009E21C1"/>
    <w:rsid w:val="009E4B2F"/>
    <w:rsid w:val="009F7DD5"/>
    <w:rsid w:val="00A01F2E"/>
    <w:rsid w:val="00A02A1F"/>
    <w:rsid w:val="00A269CC"/>
    <w:rsid w:val="00A3402E"/>
    <w:rsid w:val="00A37406"/>
    <w:rsid w:val="00A378BA"/>
    <w:rsid w:val="00A40553"/>
    <w:rsid w:val="00A469EC"/>
    <w:rsid w:val="00A66518"/>
    <w:rsid w:val="00A73CB9"/>
    <w:rsid w:val="00A760FC"/>
    <w:rsid w:val="00A77B3E"/>
    <w:rsid w:val="00AA460E"/>
    <w:rsid w:val="00AB2961"/>
    <w:rsid w:val="00AB4B1E"/>
    <w:rsid w:val="00AC05EB"/>
    <w:rsid w:val="00AC5BAF"/>
    <w:rsid w:val="00AE1809"/>
    <w:rsid w:val="00AE5F27"/>
    <w:rsid w:val="00B3456A"/>
    <w:rsid w:val="00B464E7"/>
    <w:rsid w:val="00B46805"/>
    <w:rsid w:val="00B63B71"/>
    <w:rsid w:val="00B63C30"/>
    <w:rsid w:val="00B71904"/>
    <w:rsid w:val="00BB1C5D"/>
    <w:rsid w:val="00BF16FF"/>
    <w:rsid w:val="00C0016B"/>
    <w:rsid w:val="00C21ECC"/>
    <w:rsid w:val="00C26370"/>
    <w:rsid w:val="00C278E9"/>
    <w:rsid w:val="00C506F0"/>
    <w:rsid w:val="00C53AA4"/>
    <w:rsid w:val="00C550F2"/>
    <w:rsid w:val="00C569ED"/>
    <w:rsid w:val="00C653A4"/>
    <w:rsid w:val="00C721A5"/>
    <w:rsid w:val="00C741B7"/>
    <w:rsid w:val="00CA065D"/>
    <w:rsid w:val="00CA2A55"/>
    <w:rsid w:val="00CC7797"/>
    <w:rsid w:val="00CE1E6C"/>
    <w:rsid w:val="00D041B3"/>
    <w:rsid w:val="00D06190"/>
    <w:rsid w:val="00D11A71"/>
    <w:rsid w:val="00D32E2A"/>
    <w:rsid w:val="00D6304E"/>
    <w:rsid w:val="00D665AB"/>
    <w:rsid w:val="00D6798E"/>
    <w:rsid w:val="00D85A67"/>
    <w:rsid w:val="00D92F68"/>
    <w:rsid w:val="00DA2E2C"/>
    <w:rsid w:val="00DC4A0C"/>
    <w:rsid w:val="00DF4F57"/>
    <w:rsid w:val="00E15C3B"/>
    <w:rsid w:val="00E25E12"/>
    <w:rsid w:val="00E379DC"/>
    <w:rsid w:val="00E5234C"/>
    <w:rsid w:val="00E53959"/>
    <w:rsid w:val="00E608B7"/>
    <w:rsid w:val="00E65E1D"/>
    <w:rsid w:val="00E7110A"/>
    <w:rsid w:val="00E720D2"/>
    <w:rsid w:val="00EA3973"/>
    <w:rsid w:val="00EB28C5"/>
    <w:rsid w:val="00EB47BA"/>
    <w:rsid w:val="00EC6A63"/>
    <w:rsid w:val="00ED77B2"/>
    <w:rsid w:val="00EE75EC"/>
    <w:rsid w:val="00EF1ABE"/>
    <w:rsid w:val="00F12F73"/>
    <w:rsid w:val="00F24AB5"/>
    <w:rsid w:val="00F2795F"/>
    <w:rsid w:val="00F51838"/>
    <w:rsid w:val="00F54926"/>
    <w:rsid w:val="00F549AA"/>
    <w:rsid w:val="00F96515"/>
    <w:rsid w:val="00FA056E"/>
    <w:rsid w:val="00FA465A"/>
    <w:rsid w:val="00FB087B"/>
    <w:rsid w:val="00FB61FF"/>
    <w:rsid w:val="00FC7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5322B0"/>
  <w15:docId w15:val="{D1F0F591-CB85-423E-AB27-5943B4B1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741B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741B7"/>
    <w:rPr>
      <w:sz w:val="18"/>
      <w:szCs w:val="18"/>
    </w:rPr>
  </w:style>
  <w:style w:type="paragraph" w:styleId="a5">
    <w:name w:val="footer"/>
    <w:basedOn w:val="a"/>
    <w:link w:val="a6"/>
    <w:uiPriority w:val="99"/>
    <w:unhideWhenUsed/>
    <w:rsid w:val="00C741B7"/>
    <w:pPr>
      <w:tabs>
        <w:tab w:val="center" w:pos="4153"/>
        <w:tab w:val="right" w:pos="8306"/>
      </w:tabs>
      <w:snapToGrid w:val="0"/>
    </w:pPr>
    <w:rPr>
      <w:sz w:val="18"/>
      <w:szCs w:val="18"/>
    </w:rPr>
  </w:style>
  <w:style w:type="character" w:customStyle="1" w:styleId="a6">
    <w:name w:val="页脚 字符"/>
    <w:basedOn w:val="a0"/>
    <w:link w:val="a5"/>
    <w:uiPriority w:val="99"/>
    <w:rsid w:val="00C741B7"/>
    <w:rPr>
      <w:sz w:val="18"/>
      <w:szCs w:val="18"/>
    </w:rPr>
  </w:style>
  <w:style w:type="table" w:styleId="a7">
    <w:name w:val="Table Grid"/>
    <w:basedOn w:val="a1"/>
    <w:uiPriority w:val="59"/>
    <w:rsid w:val="00AC5BAF"/>
    <w:rPr>
      <w:rFonts w:asciiTheme="minorHAnsi" w:hAnsiTheme="minorHAnsi" w:cstheme="minorBid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basedOn w:val="a0"/>
    <w:rsid w:val="005F0F1E"/>
  </w:style>
  <w:style w:type="character" w:customStyle="1" w:styleId="quality-sign">
    <w:name w:val="quality-sign"/>
    <w:basedOn w:val="a0"/>
    <w:rsid w:val="005F0F1E"/>
  </w:style>
  <w:style w:type="character" w:customStyle="1" w:styleId="quality-text">
    <w:name w:val="quality-text"/>
    <w:basedOn w:val="a0"/>
    <w:rsid w:val="005F0F1E"/>
  </w:style>
  <w:style w:type="paragraph" w:styleId="a8">
    <w:name w:val="Balloon Text"/>
    <w:basedOn w:val="a"/>
    <w:link w:val="a9"/>
    <w:rsid w:val="009029AE"/>
    <w:rPr>
      <w:sz w:val="18"/>
      <w:szCs w:val="18"/>
    </w:rPr>
  </w:style>
  <w:style w:type="character" w:customStyle="1" w:styleId="a9">
    <w:name w:val="批注框文本 字符"/>
    <w:basedOn w:val="a0"/>
    <w:link w:val="a8"/>
    <w:rsid w:val="009029AE"/>
    <w:rPr>
      <w:sz w:val="18"/>
      <w:szCs w:val="18"/>
    </w:rPr>
  </w:style>
  <w:style w:type="character" w:styleId="aa">
    <w:name w:val="Hyperlink"/>
    <w:basedOn w:val="a0"/>
    <w:unhideWhenUsed/>
    <w:rsid w:val="000A7A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adservices.com/pagead/aclk?sa=L&amp;ai=DChcSEwjrysXdyOLYAhXNFdMKHWVnD9wYABABGgJ3Yg&amp;ohost=www.google.nl&amp;cid=CAASEuRonlt0hdMkxgxgOCyaLAk2ZQ&amp;sig=AOD64_3PUWRB_H18WUoZCNnqbtUz35%20LgFw&amp;q=&amp;ved=0ahUKEwie7MDdyOLYAhVGbFAKHZWPCsgQ0QwIKw&amp;adurl=" TargetMode="External"/><Relationship Id="rId13" Type="http://schemas.openxmlformats.org/officeDocument/2006/relationships/image" Target="media/image4.tif"/><Relationship Id="rId3" Type="http://schemas.openxmlformats.org/officeDocument/2006/relationships/webSettings" Target="webSettings.xml"/><Relationship Id="rId7" Type="http://schemas.openxmlformats.org/officeDocument/2006/relationships/hyperlink" Target="https://en.wikipedia.org/wiki/Literature_review" TargetMode="External"/><Relationship Id="rId12" Type="http://schemas.openxmlformats.org/officeDocument/2006/relationships/image" Target="media/image3.ti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1.tiff"/><Relationship Id="rId4" Type="http://schemas.openxmlformats.org/officeDocument/2006/relationships/footnotes" Target="footnotes.xml"/><Relationship Id="rId9" Type="http://schemas.openxmlformats.org/officeDocument/2006/relationships/hyperlink" Target="https://www.meta-analysis.com/downloads/Meta-Analysis%20Manual%20V3.pdf" TargetMode="External"/><Relationship Id="rId14" Type="http://schemas.openxmlformats.org/officeDocument/2006/relationships/image" Target="media/image5.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8961</Words>
  <Characters>51082</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2020-09-17T04:19:00Z</dcterms:created>
  <dcterms:modified xsi:type="dcterms:W3CDTF">2020-09-17T04:19:00Z</dcterms:modified>
</cp:coreProperties>
</file>