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62E6" w14:textId="77777777" w:rsidR="00A77B3E" w:rsidRDefault="00144E8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220FCF" w14:textId="77777777" w:rsidR="00A77B3E" w:rsidRDefault="00144E8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56995</w:t>
      </w:r>
    </w:p>
    <w:p w14:paraId="7DC55495" w14:textId="77777777" w:rsidR="00A77B3E" w:rsidRDefault="00144E8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4AD6E9" w14:textId="77777777" w:rsidR="00A77B3E" w:rsidRDefault="00A77B3E">
      <w:pPr>
        <w:spacing w:line="360" w:lineRule="auto"/>
        <w:jc w:val="both"/>
      </w:pPr>
    </w:p>
    <w:p w14:paraId="50236902" w14:textId="77777777" w:rsidR="00A77B3E" w:rsidRDefault="00144E88">
      <w:pPr>
        <w:spacing w:line="360" w:lineRule="auto"/>
        <w:jc w:val="both"/>
      </w:pPr>
      <w:r>
        <w:rPr>
          <w:rFonts w:ascii="Book Antiqua" w:eastAsia="Book Antiqua" w:hAnsi="Book Antiqua" w:cs="Book Antiqua"/>
          <w:b/>
          <w:i/>
          <w:color w:val="000000"/>
        </w:rPr>
        <w:t>Clinical Trials Study</w:t>
      </w:r>
    </w:p>
    <w:p w14:paraId="79804CB0" w14:textId="31CF3E28" w:rsidR="00A77B3E" w:rsidRDefault="00144E88">
      <w:pPr>
        <w:spacing w:line="360" w:lineRule="auto"/>
        <w:jc w:val="both"/>
      </w:pPr>
      <w:r>
        <w:rPr>
          <w:rFonts w:ascii="Book Antiqua" w:eastAsia="Book Antiqua" w:hAnsi="Book Antiqua" w:cs="Book Antiqua"/>
          <w:b/>
          <w:bCs/>
          <w:color w:val="000000"/>
        </w:rPr>
        <w:t xml:space="preserve">Pediatric bowel preparation: Sodium </w:t>
      </w:r>
      <w:proofErr w:type="spellStart"/>
      <w:r>
        <w:rPr>
          <w:rFonts w:ascii="Book Antiqua" w:eastAsia="Book Antiqua" w:hAnsi="Book Antiqua" w:cs="Book Antiqua"/>
          <w:b/>
          <w:bCs/>
          <w:color w:val="000000"/>
        </w:rPr>
        <w:t>picosulfate</w:t>
      </w:r>
      <w:proofErr w:type="spellEnd"/>
      <w:r>
        <w:rPr>
          <w:rFonts w:ascii="Book Antiqua" w:eastAsia="Book Antiqua" w:hAnsi="Book Antiqua" w:cs="Book Antiqua"/>
          <w:b/>
          <w:bCs/>
          <w:color w:val="000000"/>
        </w:rPr>
        <w:t xml:space="preserve">, magnesium oxide, citric acid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polyethylene glycol a randomized trial</w:t>
      </w:r>
    </w:p>
    <w:p w14:paraId="4A0AE968" w14:textId="77777777" w:rsidR="00A77B3E" w:rsidRDefault="00A77B3E">
      <w:pPr>
        <w:spacing w:line="360" w:lineRule="auto"/>
        <w:jc w:val="both"/>
      </w:pPr>
    </w:p>
    <w:p w14:paraId="1FA92329" w14:textId="77777777" w:rsidR="00A77B3E" w:rsidRDefault="00144E88">
      <w:pPr>
        <w:spacing w:line="360" w:lineRule="auto"/>
        <w:jc w:val="both"/>
      </w:pP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Pediatric bowel preparation with SPMC </w:t>
      </w:r>
      <w:r>
        <w:rPr>
          <w:rFonts w:ascii="Book Antiqua" w:eastAsia="Book Antiqua" w:hAnsi="Book Antiqua" w:cs="Book Antiqua"/>
          <w:i/>
          <w:iCs/>
          <w:color w:val="000000"/>
        </w:rPr>
        <w:t>vs</w:t>
      </w:r>
      <w:r>
        <w:rPr>
          <w:rFonts w:ascii="Book Antiqua" w:eastAsia="Book Antiqua" w:hAnsi="Book Antiqua" w:cs="Book Antiqua"/>
          <w:color w:val="000000"/>
        </w:rPr>
        <w:t xml:space="preserve"> PEG</w:t>
      </w:r>
    </w:p>
    <w:p w14:paraId="36B69058" w14:textId="77777777" w:rsidR="00A77B3E" w:rsidRDefault="00A77B3E">
      <w:pPr>
        <w:spacing w:line="360" w:lineRule="auto"/>
        <w:jc w:val="both"/>
      </w:pPr>
    </w:p>
    <w:p w14:paraId="14CC5F81" w14:textId="77777777" w:rsidR="00A77B3E" w:rsidRDefault="00144E88">
      <w:pPr>
        <w:spacing w:line="360" w:lineRule="auto"/>
        <w:jc w:val="both"/>
      </w:pPr>
      <w:r>
        <w:rPr>
          <w:rFonts w:ascii="Book Antiqua" w:eastAsia="Book Antiqua" w:hAnsi="Book Antiqua" w:cs="Book Antiqua"/>
          <w:color w:val="000000"/>
        </w:rPr>
        <w:t xml:space="preserve">Carmen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Steven L </w:t>
      </w:r>
      <w:proofErr w:type="spellStart"/>
      <w:r>
        <w:rPr>
          <w:rFonts w:ascii="Book Antiqua" w:eastAsia="Book Antiqua" w:hAnsi="Book Antiqua" w:cs="Book Antiqua"/>
          <w:color w:val="000000"/>
        </w:rPr>
        <w:t>Ciciora</w:t>
      </w:r>
      <w:proofErr w:type="spellEnd"/>
      <w:r>
        <w:rPr>
          <w:rFonts w:ascii="Book Antiqua" w:eastAsia="Book Antiqua" w:hAnsi="Book Antiqua" w:cs="Book Antiqua"/>
          <w:color w:val="000000"/>
        </w:rPr>
        <w:t xml:space="preserve">, Masakazu Ando, Mena Boules, Joseph M </w:t>
      </w:r>
      <w:proofErr w:type="spellStart"/>
      <w:r>
        <w:rPr>
          <w:rFonts w:ascii="Book Antiqua" w:eastAsia="Book Antiqua" w:hAnsi="Book Antiqua" w:cs="Book Antiqua"/>
          <w:color w:val="000000"/>
        </w:rPr>
        <w:t>Croffie</w:t>
      </w:r>
      <w:proofErr w:type="spellEnd"/>
    </w:p>
    <w:p w14:paraId="7F78A20A" w14:textId="77777777" w:rsidR="00A77B3E" w:rsidRDefault="00A77B3E">
      <w:pPr>
        <w:spacing w:line="360" w:lineRule="auto"/>
        <w:jc w:val="both"/>
      </w:pPr>
    </w:p>
    <w:p w14:paraId="51ED5317" w14:textId="77777777" w:rsidR="00A77B3E" w:rsidRDefault="00144E88">
      <w:pPr>
        <w:spacing w:line="360" w:lineRule="auto"/>
        <w:jc w:val="both"/>
      </w:pPr>
      <w:r>
        <w:rPr>
          <w:rFonts w:ascii="Book Antiqua" w:eastAsia="Book Antiqua" w:hAnsi="Book Antiqua" w:cs="Book Antiqua"/>
          <w:b/>
          <w:bCs/>
          <w:color w:val="000000"/>
        </w:rPr>
        <w:t xml:space="preserve">Carmen </w:t>
      </w:r>
      <w:proofErr w:type="spellStart"/>
      <w:r>
        <w:rPr>
          <w:rFonts w:ascii="Book Antiqua" w:eastAsia="Book Antiqua" w:hAnsi="Book Antiqua" w:cs="Book Antiqua"/>
          <w:b/>
          <w:bCs/>
          <w:color w:val="000000"/>
        </w:rPr>
        <w:t>Cuffari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The Johns Hopkins School of Medicine, Baltimore, MD 21287, United States</w:t>
      </w:r>
    </w:p>
    <w:p w14:paraId="18998422" w14:textId="77777777" w:rsidR="00A77B3E" w:rsidRDefault="00A77B3E">
      <w:pPr>
        <w:spacing w:line="360" w:lineRule="auto"/>
        <w:jc w:val="both"/>
      </w:pPr>
    </w:p>
    <w:p w14:paraId="546EB99B" w14:textId="77777777" w:rsidR="00A77B3E" w:rsidRDefault="00144E88">
      <w:pPr>
        <w:spacing w:line="360" w:lineRule="auto"/>
        <w:jc w:val="both"/>
      </w:pPr>
      <w:r>
        <w:rPr>
          <w:rFonts w:ascii="Book Antiqua" w:eastAsia="Book Antiqua" w:hAnsi="Book Antiqua" w:cs="Book Antiqua"/>
          <w:b/>
          <w:bCs/>
          <w:color w:val="000000"/>
        </w:rPr>
        <w:t xml:space="preserve">Steven L </w:t>
      </w:r>
      <w:proofErr w:type="spellStart"/>
      <w:r>
        <w:rPr>
          <w:rFonts w:ascii="Book Antiqua" w:eastAsia="Book Antiqua" w:hAnsi="Book Antiqua" w:cs="Book Antiqua"/>
          <w:b/>
          <w:bCs/>
          <w:color w:val="000000"/>
        </w:rPr>
        <w:t>Ciciora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The Ohio State University College of Medicine, </w:t>
      </w:r>
      <w:proofErr w:type="spellStart"/>
      <w:r>
        <w:rPr>
          <w:rFonts w:ascii="Book Antiqua" w:eastAsia="Book Antiqua" w:hAnsi="Book Antiqua" w:cs="Book Antiqua"/>
          <w:color w:val="000000"/>
        </w:rPr>
        <w:t>Colombus</w:t>
      </w:r>
      <w:proofErr w:type="spellEnd"/>
      <w:r>
        <w:rPr>
          <w:rFonts w:ascii="Book Antiqua" w:eastAsia="Book Antiqua" w:hAnsi="Book Antiqua" w:cs="Book Antiqua"/>
          <w:color w:val="000000"/>
        </w:rPr>
        <w:t>, OH 43205, United States</w:t>
      </w:r>
    </w:p>
    <w:p w14:paraId="36D3646C" w14:textId="77777777" w:rsidR="00A77B3E" w:rsidRDefault="00A77B3E">
      <w:pPr>
        <w:spacing w:line="360" w:lineRule="auto"/>
        <w:jc w:val="both"/>
      </w:pPr>
    </w:p>
    <w:p w14:paraId="66C05966" w14:textId="77777777" w:rsidR="00A77B3E" w:rsidRDefault="00144E88">
      <w:pPr>
        <w:spacing w:line="360" w:lineRule="auto"/>
        <w:jc w:val="both"/>
      </w:pPr>
      <w:r>
        <w:rPr>
          <w:rFonts w:ascii="Book Antiqua" w:eastAsia="Book Antiqua" w:hAnsi="Book Antiqua" w:cs="Book Antiqua"/>
          <w:b/>
          <w:bCs/>
          <w:color w:val="000000"/>
        </w:rPr>
        <w:t xml:space="preserve">Masakazu Ando, </w:t>
      </w:r>
      <w:r>
        <w:rPr>
          <w:rFonts w:ascii="Book Antiqua" w:eastAsia="Book Antiqua" w:hAnsi="Book Antiqua" w:cs="Book Antiqua"/>
          <w:color w:val="000000"/>
        </w:rPr>
        <w:t>Department of Statistics, Ferring Pharmaceuticals Inc, Parsippany, NJ 07054, United States</w:t>
      </w:r>
    </w:p>
    <w:p w14:paraId="7C3299E8" w14:textId="77777777" w:rsidR="00A77B3E" w:rsidRDefault="00A77B3E">
      <w:pPr>
        <w:spacing w:line="360" w:lineRule="auto"/>
        <w:jc w:val="both"/>
      </w:pPr>
    </w:p>
    <w:p w14:paraId="3C476326" w14:textId="77777777" w:rsidR="00A77B3E" w:rsidRDefault="00144E88">
      <w:pPr>
        <w:spacing w:line="360" w:lineRule="auto"/>
        <w:jc w:val="both"/>
      </w:pPr>
      <w:r>
        <w:rPr>
          <w:rFonts w:ascii="Book Antiqua" w:eastAsia="Book Antiqua" w:hAnsi="Book Antiqua" w:cs="Book Antiqua"/>
          <w:b/>
          <w:bCs/>
          <w:color w:val="000000"/>
        </w:rPr>
        <w:t xml:space="preserve">Mena Boules, </w:t>
      </w:r>
      <w:r>
        <w:rPr>
          <w:rFonts w:ascii="Book Antiqua" w:eastAsia="Book Antiqua" w:hAnsi="Book Antiqua" w:cs="Book Antiqua"/>
          <w:color w:val="000000"/>
        </w:rPr>
        <w:t>Department of Medical Affairs, Ferring Pharmaceuticals Inc, Parsippany, NJ 07054, United States</w:t>
      </w:r>
    </w:p>
    <w:p w14:paraId="19B38B0A" w14:textId="77777777" w:rsidR="00A77B3E" w:rsidRDefault="00A77B3E">
      <w:pPr>
        <w:spacing w:line="360" w:lineRule="auto"/>
        <w:jc w:val="both"/>
      </w:pPr>
    </w:p>
    <w:p w14:paraId="17E9B722" w14:textId="77777777" w:rsidR="00A77B3E" w:rsidRDefault="00144E88">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Croffie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Indiana University School of Medicine, Indianapolis, IN 46202, United States</w:t>
      </w:r>
    </w:p>
    <w:p w14:paraId="7C23452D" w14:textId="77777777" w:rsidR="00A77B3E" w:rsidRDefault="00A77B3E">
      <w:pPr>
        <w:spacing w:line="360" w:lineRule="auto"/>
        <w:jc w:val="both"/>
      </w:pPr>
    </w:p>
    <w:p w14:paraId="7021C788" w14:textId="77777777" w:rsidR="00A77B3E" w:rsidRDefault="00144E8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Ando M and Boules M were involved with study design and data analysis;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Ciciora</w:t>
      </w:r>
      <w:proofErr w:type="spellEnd"/>
      <w:r>
        <w:rPr>
          <w:rFonts w:ascii="Book Antiqua" w:eastAsia="Book Antiqua" w:hAnsi="Book Antiqua" w:cs="Book Antiqua"/>
          <w:color w:val="000000"/>
        </w:rPr>
        <w:t xml:space="preserve"> SL and </w:t>
      </w:r>
      <w:proofErr w:type="spellStart"/>
      <w:r>
        <w:rPr>
          <w:rFonts w:ascii="Book Antiqua" w:eastAsia="Book Antiqua" w:hAnsi="Book Antiqua" w:cs="Book Antiqua"/>
          <w:color w:val="000000"/>
        </w:rPr>
        <w:t>Croffie</w:t>
      </w:r>
      <w:proofErr w:type="spellEnd"/>
      <w:r>
        <w:rPr>
          <w:rFonts w:ascii="Book Antiqua" w:eastAsia="Book Antiqua" w:hAnsi="Book Antiqua" w:cs="Book Antiqua"/>
          <w:color w:val="000000"/>
        </w:rPr>
        <w:t xml:space="preserve"> JM were investigators for the clinical </w:t>
      </w:r>
      <w:r>
        <w:rPr>
          <w:rFonts w:ascii="Book Antiqua" w:eastAsia="Book Antiqua" w:hAnsi="Book Antiqua" w:cs="Book Antiqua"/>
          <w:color w:val="000000"/>
        </w:rPr>
        <w:lastRenderedPageBreak/>
        <w:t>trial; All authors analyzed and interpreted the data, drafted and critically revised the article for important intellectual content, and approved the article for publication.</w:t>
      </w:r>
    </w:p>
    <w:p w14:paraId="5AF093BB" w14:textId="77777777" w:rsidR="00A77B3E" w:rsidRDefault="00A77B3E">
      <w:pPr>
        <w:spacing w:line="360" w:lineRule="auto"/>
        <w:jc w:val="both"/>
      </w:pPr>
    </w:p>
    <w:p w14:paraId="5A60595B" w14:textId="77777777" w:rsidR="00A77B3E" w:rsidRDefault="00144E8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Ferring Pharmaceuticals Inc.</w:t>
      </w:r>
    </w:p>
    <w:p w14:paraId="3D50CB87" w14:textId="77777777" w:rsidR="00A77B3E" w:rsidRDefault="00A77B3E">
      <w:pPr>
        <w:spacing w:line="360" w:lineRule="auto"/>
        <w:jc w:val="both"/>
      </w:pPr>
    </w:p>
    <w:p w14:paraId="5F9CE138" w14:textId="77777777" w:rsidR="00A77B3E" w:rsidRDefault="00144E88">
      <w:pPr>
        <w:spacing w:line="360" w:lineRule="auto"/>
        <w:jc w:val="both"/>
      </w:pPr>
      <w:r>
        <w:rPr>
          <w:rFonts w:ascii="Book Antiqua" w:eastAsia="Book Antiqua" w:hAnsi="Book Antiqua" w:cs="Book Antiqua"/>
          <w:b/>
          <w:bCs/>
          <w:color w:val="000000"/>
        </w:rPr>
        <w:t xml:space="preserve">Corresponding author: Carmen </w:t>
      </w:r>
      <w:proofErr w:type="spellStart"/>
      <w:r>
        <w:rPr>
          <w:rFonts w:ascii="Book Antiqua" w:eastAsia="Book Antiqua" w:hAnsi="Book Antiqua" w:cs="Book Antiqua"/>
          <w:b/>
          <w:bCs/>
          <w:color w:val="000000"/>
        </w:rPr>
        <w:t>Cuffari</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Department of Pediatrics, The Johns Hopkins School of Medicine, 600 N Wolfe St, CMSC 2-125, Baltimore, MD 21287, United States. ccuffari@jhmi.edu</w:t>
      </w:r>
    </w:p>
    <w:p w14:paraId="2078FFC1" w14:textId="77777777" w:rsidR="00A77B3E" w:rsidRDefault="00A77B3E">
      <w:pPr>
        <w:spacing w:line="360" w:lineRule="auto"/>
        <w:jc w:val="both"/>
      </w:pPr>
    </w:p>
    <w:p w14:paraId="5CF863DB" w14:textId="77777777" w:rsidR="00A77B3E" w:rsidRDefault="00144E8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26, 2020</w:t>
      </w:r>
    </w:p>
    <w:p w14:paraId="401BB31B" w14:textId="77777777" w:rsidR="00A77B3E" w:rsidRDefault="00144E8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2020</w:t>
      </w:r>
    </w:p>
    <w:p w14:paraId="01B2F7E4" w14:textId="72517EFB" w:rsidR="00A77B3E" w:rsidRPr="00326AE5" w:rsidRDefault="00144E88" w:rsidP="00326AE5">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r w:rsidR="00326AE5">
        <w:rPr>
          <w:rFonts w:ascii="Book Antiqua" w:hAnsi="Book Antiqua" w:cs="Arial"/>
          <w:color w:val="000000" w:themeColor="text1"/>
          <w:shd w:val="clear" w:color="auto" w:fill="FFFFFF"/>
        </w:rPr>
        <w:t>September 25, 2020</w:t>
      </w:r>
      <w:bookmarkEnd w:id="0"/>
      <w:bookmarkEnd w:id="1"/>
    </w:p>
    <w:p w14:paraId="49DC9A94" w14:textId="77777777" w:rsidR="00A77B3E" w:rsidRDefault="00144E88">
      <w:pPr>
        <w:spacing w:line="360" w:lineRule="auto"/>
        <w:jc w:val="both"/>
      </w:pPr>
      <w:r>
        <w:rPr>
          <w:rFonts w:ascii="Book Antiqua" w:eastAsia="Book Antiqua" w:hAnsi="Book Antiqua" w:cs="Book Antiqua"/>
          <w:b/>
          <w:bCs/>
          <w:color w:val="000000"/>
        </w:rPr>
        <w:t xml:space="preserve">Published online: </w:t>
      </w:r>
    </w:p>
    <w:p w14:paraId="2F22F4D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16A042" w14:textId="77777777" w:rsidR="00A77B3E" w:rsidRDefault="00144E88">
      <w:pPr>
        <w:spacing w:line="360" w:lineRule="auto"/>
        <w:jc w:val="both"/>
      </w:pPr>
      <w:r>
        <w:rPr>
          <w:rFonts w:ascii="Book Antiqua" w:eastAsia="Book Antiqua" w:hAnsi="Book Antiqua" w:cs="Book Antiqua"/>
          <w:b/>
          <w:color w:val="000000"/>
        </w:rPr>
        <w:lastRenderedPageBreak/>
        <w:t>Abstract</w:t>
      </w:r>
    </w:p>
    <w:p w14:paraId="5E0EF5DE" w14:textId="77777777" w:rsidR="00A77B3E" w:rsidRDefault="00144E88">
      <w:pPr>
        <w:spacing w:line="360" w:lineRule="auto"/>
        <w:jc w:val="both"/>
      </w:pPr>
      <w:r>
        <w:rPr>
          <w:rFonts w:ascii="Book Antiqua" w:eastAsia="Book Antiqua" w:hAnsi="Book Antiqua" w:cs="Book Antiqua"/>
          <w:color w:val="000000"/>
        </w:rPr>
        <w:t>BACKGROUND</w:t>
      </w:r>
    </w:p>
    <w:p w14:paraId="7EFB2315" w14:textId="77777777" w:rsidR="00A77B3E" w:rsidRDefault="00144E88">
      <w:pPr>
        <w:spacing w:line="360" w:lineRule="auto"/>
        <w:jc w:val="both"/>
      </w:pPr>
      <w:r>
        <w:rPr>
          <w:rFonts w:ascii="Book Antiqua" w:eastAsia="Book Antiqua" w:hAnsi="Book Antiqua" w:cs="Book Antiqua"/>
          <w:color w:val="000000"/>
        </w:rPr>
        <w:t>Bowel preparation in children can be challenging. </w:t>
      </w:r>
    </w:p>
    <w:p w14:paraId="037DC9E1" w14:textId="77777777" w:rsidR="00A77B3E" w:rsidRDefault="00A77B3E">
      <w:pPr>
        <w:spacing w:line="360" w:lineRule="auto"/>
        <w:jc w:val="both"/>
      </w:pPr>
    </w:p>
    <w:p w14:paraId="0BB669EC" w14:textId="77777777" w:rsidR="00A77B3E" w:rsidRDefault="00144E88">
      <w:pPr>
        <w:spacing w:line="360" w:lineRule="auto"/>
        <w:jc w:val="both"/>
      </w:pPr>
      <w:r>
        <w:rPr>
          <w:rFonts w:ascii="Book Antiqua" w:eastAsia="Book Antiqua" w:hAnsi="Book Antiqua" w:cs="Book Antiqua"/>
          <w:color w:val="000000"/>
        </w:rPr>
        <w:t>AIM</w:t>
      </w:r>
    </w:p>
    <w:p w14:paraId="700A4A83" w14:textId="77777777" w:rsidR="00A77B3E" w:rsidRDefault="00144E88">
      <w:pPr>
        <w:spacing w:line="360" w:lineRule="auto"/>
        <w:jc w:val="both"/>
      </w:pPr>
      <w:r>
        <w:rPr>
          <w:rFonts w:ascii="Book Antiqua" w:eastAsia="Book Antiqua" w:hAnsi="Book Antiqua" w:cs="Book Antiqua"/>
          <w:color w:val="000000"/>
        </w:rPr>
        <w:t xml:space="preserve">To describe the efficacy, safety, and tolerability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(SPMC) bowel preparation in children.</w:t>
      </w:r>
    </w:p>
    <w:p w14:paraId="55D9843E" w14:textId="77777777" w:rsidR="00A77B3E" w:rsidRDefault="00A77B3E">
      <w:pPr>
        <w:spacing w:line="360" w:lineRule="auto"/>
        <w:jc w:val="both"/>
      </w:pPr>
    </w:p>
    <w:p w14:paraId="14B313B8" w14:textId="77777777" w:rsidR="00A77B3E" w:rsidRDefault="00144E88">
      <w:pPr>
        <w:spacing w:line="360" w:lineRule="auto"/>
        <w:jc w:val="both"/>
      </w:pPr>
      <w:r>
        <w:rPr>
          <w:rFonts w:ascii="Book Antiqua" w:eastAsia="Book Antiqua" w:hAnsi="Book Antiqua" w:cs="Book Antiqua"/>
          <w:color w:val="000000"/>
        </w:rPr>
        <w:t>METHODS</w:t>
      </w:r>
    </w:p>
    <w:p w14:paraId="3508417A" w14:textId="1815167C" w:rsidR="00A77B3E" w:rsidRDefault="00144E88">
      <w:pPr>
        <w:spacing w:line="360" w:lineRule="auto"/>
        <w:jc w:val="both"/>
      </w:pPr>
      <w:r>
        <w:rPr>
          <w:rFonts w:ascii="Book Antiqua" w:eastAsia="Book Antiqua" w:hAnsi="Book Antiqua" w:cs="Book Antiqua"/>
          <w:color w:val="000000"/>
        </w:rPr>
        <w:t xml:space="preserve">Phase 3, randomized, assessor-blinded, multicenter study of low-volume, divided dose SPMC enrolled children 9-16 years undergoing elective colonoscopy. Participants 9-12 years were randomized 1:1:1 to SPMC ½ dose </w:t>
      </w:r>
      <w:r w:rsidR="008830B7" w:rsidRPr="00276E00">
        <w:rPr>
          <w:rFonts w:ascii="Book Antiqua" w:hAnsi="Book Antiqua"/>
          <w:lang w:val="pl-PL"/>
        </w:rPr>
        <w:t>×</w:t>
      </w:r>
      <w:r w:rsidR="008830B7">
        <w:rPr>
          <w:rFonts w:ascii="Book Antiqua" w:hAnsi="Book Antiqua"/>
          <w:lang w:val="pl-PL"/>
        </w:rPr>
        <w:t xml:space="preserve"> </w:t>
      </w:r>
      <w:r>
        <w:rPr>
          <w:rFonts w:ascii="Book Antiqua" w:eastAsia="Book Antiqua" w:hAnsi="Book Antiqua" w:cs="Book Antiqua"/>
          <w:color w:val="000000"/>
        </w:rPr>
        <w:t xml:space="preserve">2, SPMC 1 dose </w:t>
      </w:r>
      <w:r w:rsidR="008830B7" w:rsidRPr="00276E00">
        <w:rPr>
          <w:rFonts w:ascii="Book Antiqua" w:hAnsi="Book Antiqua"/>
          <w:lang w:val="pl-PL"/>
        </w:rPr>
        <w:t>×</w:t>
      </w:r>
      <w:r w:rsidR="008830B7">
        <w:rPr>
          <w:rFonts w:ascii="Book Antiqua" w:hAnsi="Book Antiqua"/>
          <w:lang w:val="pl-PL"/>
        </w:rPr>
        <w:t xml:space="preserve"> </w:t>
      </w:r>
      <w:r>
        <w:rPr>
          <w:rFonts w:ascii="Book Antiqua" w:eastAsia="Book Antiqua" w:hAnsi="Book Antiqua" w:cs="Book Antiqua"/>
          <w:color w:val="000000"/>
        </w:rPr>
        <w:t xml:space="preserve">2, or polyethylene glycol (PEG). Participants 13-16 years were randomized 1:1 to SPMC 1 dose </w:t>
      </w:r>
      <w:r w:rsidR="008830B7" w:rsidRPr="00276E00">
        <w:rPr>
          <w:rFonts w:ascii="Book Antiqua" w:hAnsi="Book Antiqua"/>
          <w:lang w:val="pl-PL"/>
        </w:rPr>
        <w:t>×</w:t>
      </w:r>
      <w:r w:rsidR="008830B7">
        <w:rPr>
          <w:rFonts w:ascii="Book Antiqua" w:hAnsi="Book Antiqua"/>
          <w:lang w:val="pl-PL"/>
        </w:rPr>
        <w:t xml:space="preserve"> </w:t>
      </w:r>
      <w:r>
        <w:rPr>
          <w:rFonts w:ascii="Book Antiqua" w:eastAsia="Book Antiqua" w:hAnsi="Book Antiqua" w:cs="Book Antiqua"/>
          <w:color w:val="000000"/>
        </w:rPr>
        <w:t xml:space="preserve">2 or PEG. PEG-based bowel preparations were administered per local protocol. Primary efficacy endpoint for quality of bowel preparation was responders (rating of ‘excellent’ or ‘good’) by modified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Secondary efficacy endpoint was participant’s tolerability and satisfaction from a 7-item questionnaire. Safety assessments included adverse events (AEs) and laboratory evaluations.</w:t>
      </w:r>
    </w:p>
    <w:p w14:paraId="18C4B1AD" w14:textId="77777777" w:rsidR="00A77B3E" w:rsidRDefault="00A77B3E">
      <w:pPr>
        <w:spacing w:line="360" w:lineRule="auto"/>
        <w:jc w:val="both"/>
      </w:pPr>
    </w:p>
    <w:p w14:paraId="4CE0F0D8" w14:textId="77777777" w:rsidR="00A77B3E" w:rsidRDefault="00144E88">
      <w:pPr>
        <w:spacing w:line="360" w:lineRule="auto"/>
        <w:jc w:val="both"/>
      </w:pPr>
      <w:r>
        <w:rPr>
          <w:rFonts w:ascii="Book Antiqua" w:eastAsia="Book Antiqua" w:hAnsi="Book Antiqua" w:cs="Book Antiqua"/>
          <w:color w:val="000000"/>
        </w:rPr>
        <w:t>RESULTS</w:t>
      </w:r>
    </w:p>
    <w:p w14:paraId="6C8474BE" w14:textId="25F53B46" w:rsidR="00A77B3E" w:rsidRDefault="00144E88">
      <w:pPr>
        <w:spacing w:line="360" w:lineRule="auto"/>
        <w:jc w:val="both"/>
      </w:pPr>
      <w:r>
        <w:rPr>
          <w:rFonts w:ascii="Book Antiqua" w:eastAsia="Book Antiqua" w:hAnsi="Book Antiqua" w:cs="Book Antiqua"/>
          <w:color w:val="000000"/>
        </w:rPr>
        <w:t xml:space="preserve"> 78 participants were randomized, 48 were 9-12 years, 30 were 13-16 years. For the primary efficacy endpoint in 9-12 years, 50.0%, 87.5%, and 81.3% were responders for SPMC ½ dose </w:t>
      </w:r>
      <w:r w:rsidR="00A45C70" w:rsidRPr="00276E00">
        <w:rPr>
          <w:rFonts w:ascii="Book Antiqua" w:hAnsi="Book Antiqua"/>
          <w:lang w:val="pl-PL"/>
        </w:rPr>
        <w:t>×</w:t>
      </w:r>
      <w:r w:rsidR="00A45C70">
        <w:rPr>
          <w:rFonts w:ascii="Book Antiqua" w:hAnsi="Book Antiqua"/>
          <w:lang w:val="pl-PL"/>
        </w:rPr>
        <w:t xml:space="preserve"> </w:t>
      </w:r>
      <w:r>
        <w:rPr>
          <w:rFonts w:ascii="Book Antiqua" w:eastAsia="Book Antiqua" w:hAnsi="Book Antiqua" w:cs="Book Antiqua"/>
          <w:color w:val="000000"/>
        </w:rPr>
        <w:t xml:space="preserve">2, SPMC 1 dose </w:t>
      </w:r>
      <w:r w:rsidR="00A45C70" w:rsidRPr="00276E00">
        <w:rPr>
          <w:rFonts w:ascii="Book Antiqua" w:hAnsi="Book Antiqua"/>
          <w:lang w:val="pl-PL"/>
        </w:rPr>
        <w:t>×</w:t>
      </w:r>
      <w:r w:rsidR="00A45C70">
        <w:rPr>
          <w:rFonts w:ascii="Book Antiqua" w:hAnsi="Book Antiqua"/>
          <w:lang w:val="pl-PL"/>
        </w:rPr>
        <w:t xml:space="preserve"> </w:t>
      </w:r>
      <w:r>
        <w:rPr>
          <w:rFonts w:ascii="Book Antiqua" w:eastAsia="Book Antiqua" w:hAnsi="Book Antiqua" w:cs="Book Antiqua"/>
          <w:color w:val="000000"/>
        </w:rPr>
        <w:t xml:space="preserve">2, and PEG groups, respectively. Responder rates for 13-16 years were 81.3% for SPMC 1 dose </w:t>
      </w:r>
      <w:r w:rsidR="00A45C70" w:rsidRPr="00276E00">
        <w:rPr>
          <w:rFonts w:ascii="Book Antiqua" w:hAnsi="Book Antiqua"/>
          <w:lang w:val="pl-PL"/>
        </w:rPr>
        <w:t>×</w:t>
      </w:r>
      <w:r w:rsidR="00A45C70">
        <w:rPr>
          <w:rFonts w:ascii="Book Antiqua" w:hAnsi="Book Antiqua"/>
          <w:lang w:val="pl-PL"/>
        </w:rPr>
        <w:t xml:space="preserve"> </w:t>
      </w:r>
      <w:r>
        <w:rPr>
          <w:rFonts w:ascii="Book Antiqua" w:eastAsia="Book Antiqua" w:hAnsi="Book Antiqua" w:cs="Book Antiqua"/>
          <w:color w:val="000000"/>
        </w:rPr>
        <w:t xml:space="preserve">2 and 85.7% for PEG. Overall, 43.8% of participants receiving SPMC 1 dose </w:t>
      </w:r>
      <w:r w:rsidR="00A45C70" w:rsidRPr="00276E00">
        <w:rPr>
          <w:rFonts w:ascii="Book Antiqua" w:hAnsi="Book Antiqua"/>
          <w:lang w:val="pl-PL"/>
        </w:rPr>
        <w:t>×</w:t>
      </w:r>
      <w:r w:rsidR="00A45C70">
        <w:rPr>
          <w:rFonts w:ascii="Book Antiqua" w:hAnsi="Book Antiqua"/>
          <w:lang w:val="pl-PL"/>
        </w:rPr>
        <w:t xml:space="preserve"> </w:t>
      </w:r>
      <w:r>
        <w:rPr>
          <w:rFonts w:ascii="Book Antiqua" w:eastAsia="Book Antiqua" w:hAnsi="Book Antiqua" w:cs="Book Antiqua"/>
          <w:color w:val="000000"/>
        </w:rPr>
        <w:t xml:space="preserve">2 reported it was ‘very easy’ or ‘easy’ to drink, compared with 20.0% receiving PEG. Treatment-emergent AEs were reported by 45.5% of participants receiving SPMC 1 dose </w:t>
      </w:r>
      <w:r w:rsidR="00A45C70" w:rsidRPr="00276E00">
        <w:rPr>
          <w:rFonts w:ascii="Book Antiqua" w:hAnsi="Book Antiqua"/>
          <w:lang w:val="pl-PL"/>
        </w:rPr>
        <w:t>×</w:t>
      </w:r>
      <w:r w:rsidR="00A45C70">
        <w:rPr>
          <w:rFonts w:ascii="Book Antiqua" w:hAnsi="Book Antiqua"/>
          <w:lang w:val="pl-PL"/>
        </w:rPr>
        <w:t xml:space="preserve"> </w:t>
      </w:r>
      <w:r>
        <w:rPr>
          <w:rFonts w:ascii="Book Antiqua" w:eastAsia="Book Antiqua" w:hAnsi="Book Antiqua" w:cs="Book Antiqua"/>
          <w:color w:val="000000"/>
        </w:rPr>
        <w:t xml:space="preserve">2 and 63.0% receiving PEG. </w:t>
      </w:r>
    </w:p>
    <w:p w14:paraId="307F9AE7" w14:textId="77777777" w:rsidR="00A77B3E" w:rsidRDefault="00A77B3E">
      <w:pPr>
        <w:spacing w:line="360" w:lineRule="auto"/>
        <w:jc w:val="both"/>
      </w:pPr>
    </w:p>
    <w:p w14:paraId="2A666FC1" w14:textId="77777777" w:rsidR="00A77B3E" w:rsidRDefault="00144E88">
      <w:pPr>
        <w:spacing w:line="360" w:lineRule="auto"/>
        <w:jc w:val="both"/>
      </w:pPr>
      <w:r>
        <w:rPr>
          <w:rFonts w:ascii="Book Antiqua" w:eastAsia="Book Antiqua" w:hAnsi="Book Antiqua" w:cs="Book Antiqua"/>
          <w:color w:val="000000"/>
        </w:rPr>
        <w:t>CONCLUSION</w:t>
      </w:r>
    </w:p>
    <w:p w14:paraId="36D9FECE" w14:textId="77777777" w:rsidR="00A77B3E" w:rsidRDefault="00144E88">
      <w:pPr>
        <w:spacing w:line="360" w:lineRule="auto"/>
        <w:jc w:val="both"/>
      </w:pPr>
      <w:r>
        <w:rPr>
          <w:rFonts w:ascii="Book Antiqua" w:eastAsia="Book Antiqua" w:hAnsi="Book Antiqua" w:cs="Book Antiqua"/>
          <w:color w:val="000000"/>
        </w:rPr>
        <w:lastRenderedPageBreak/>
        <w:t xml:space="preserve">SPMC was an efficacious and safe for bowel preparation in children 9-16 years, with comparable efficacy to PEG. Tolerability for SPMC was higher compared to PEG. </w:t>
      </w:r>
    </w:p>
    <w:p w14:paraId="6410E772" w14:textId="77777777" w:rsidR="00A77B3E" w:rsidRDefault="00A77B3E">
      <w:pPr>
        <w:spacing w:line="360" w:lineRule="auto"/>
        <w:jc w:val="both"/>
      </w:pPr>
    </w:p>
    <w:p w14:paraId="778BEC9C" w14:textId="77777777" w:rsidR="00A77B3E" w:rsidRDefault="00144E8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Children; Colonoscopy; Colon cleansing;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Polyethylene glycol</w:t>
      </w:r>
    </w:p>
    <w:p w14:paraId="4E01019A" w14:textId="77777777" w:rsidR="00A77B3E" w:rsidRDefault="00A77B3E">
      <w:pPr>
        <w:spacing w:line="360" w:lineRule="auto"/>
        <w:jc w:val="both"/>
      </w:pPr>
    </w:p>
    <w:p w14:paraId="17A73E33" w14:textId="77777777" w:rsidR="00A77B3E" w:rsidRDefault="00144E88">
      <w:pPr>
        <w:spacing w:line="360" w:lineRule="auto"/>
        <w:jc w:val="both"/>
      </w:pP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Ciciora</w:t>
      </w:r>
      <w:proofErr w:type="spellEnd"/>
      <w:r>
        <w:rPr>
          <w:rFonts w:ascii="Book Antiqua" w:eastAsia="Book Antiqua" w:hAnsi="Book Antiqua" w:cs="Book Antiqua"/>
          <w:color w:val="000000"/>
        </w:rPr>
        <w:t xml:space="preserve"> SL, Ando M, Boules M, </w:t>
      </w:r>
      <w:proofErr w:type="spellStart"/>
      <w:r>
        <w:rPr>
          <w:rFonts w:ascii="Book Antiqua" w:eastAsia="Book Antiqua" w:hAnsi="Book Antiqua" w:cs="Book Antiqua"/>
          <w:color w:val="000000"/>
        </w:rPr>
        <w:t>Croffie</w:t>
      </w:r>
      <w:proofErr w:type="spellEnd"/>
      <w:r>
        <w:rPr>
          <w:rFonts w:ascii="Book Antiqua" w:eastAsia="Book Antiqua" w:hAnsi="Book Antiqua" w:cs="Book Antiqua"/>
          <w:color w:val="000000"/>
        </w:rPr>
        <w:t xml:space="preserve"> JM. Pediatric bowel preparation: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magnesium oxide, citric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a randomized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609E86C" w14:textId="77777777" w:rsidR="00A77B3E" w:rsidRDefault="00A77B3E">
      <w:pPr>
        <w:spacing w:line="360" w:lineRule="auto"/>
        <w:jc w:val="both"/>
      </w:pPr>
    </w:p>
    <w:p w14:paraId="45262C0F" w14:textId="78C7C034" w:rsidR="00A77B3E" w:rsidRDefault="00144E8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Bowel preparation selection in children should prioritize safety and tolerability, with efficacy an additional important consideration. Currently, there are no universally preferred bowel preparation regimens for children, and standardized protocols are few.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(SPMC) low volume bowel preparation had higher tolerability in children 9-16 years compared to polyethylene glycol (PEG)-based preparations, potentially due to a lower volume of bowel preparation to ingest. SPMC bowel preparation efficacy and safety were comparable to PEG.</w:t>
      </w:r>
    </w:p>
    <w:p w14:paraId="64751776" w14:textId="77777777" w:rsidR="00A77B3E" w:rsidRDefault="00A77B3E">
      <w:pPr>
        <w:spacing w:line="360" w:lineRule="auto"/>
        <w:jc w:val="both"/>
      </w:pPr>
    </w:p>
    <w:p w14:paraId="7B11E5CD" w14:textId="77777777" w:rsidR="00A77B3E" w:rsidRDefault="00144E88">
      <w:pPr>
        <w:spacing w:line="360" w:lineRule="auto"/>
        <w:jc w:val="both"/>
      </w:pPr>
      <w:r>
        <w:rPr>
          <w:rFonts w:ascii="Book Antiqua" w:eastAsia="Book Antiqua" w:hAnsi="Book Antiqua" w:cs="Book Antiqua"/>
          <w:b/>
          <w:caps/>
          <w:color w:val="000000"/>
          <w:u w:val="single"/>
        </w:rPr>
        <w:t>INTRODUCTION</w:t>
      </w:r>
    </w:p>
    <w:p w14:paraId="78A9E4CD" w14:textId="77777777" w:rsidR="00A77B3E" w:rsidRDefault="00144E88">
      <w:pPr>
        <w:spacing w:line="360" w:lineRule="auto"/>
        <w:jc w:val="both"/>
      </w:pPr>
      <w:r>
        <w:rPr>
          <w:rFonts w:ascii="Book Antiqua" w:eastAsia="Book Antiqua" w:hAnsi="Book Antiqua" w:cs="Book Antiqua"/>
          <w:color w:val="000000"/>
        </w:rPr>
        <w:t>Colonoscopy in the pediatric population is commonly used to evaluate gastrointestinal (GI) concerns and remains essential to diagnosing certain GI diseases such as inflammatory bowel disease (IBD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Several factors play a role in an optimal colonoscopy, including but not limited to effective bowel preparation for complete visualization of the colonic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Bowel preparation selection and administration in children can be challenging for a variety of reasons, such as a large volume of preparation to ingest, low tolerability of the preparation, or bothersome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priority for pediatric bowel preparation should be safety and tolerability of the agent, with efficacy being an important consideration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28BB8C14" w14:textId="77777777" w:rsidR="00A77B3E" w:rsidRDefault="00144E88">
      <w:pPr>
        <w:spacing w:line="360" w:lineRule="auto"/>
        <w:ind w:firstLine="480"/>
        <w:jc w:val="both"/>
      </w:pPr>
      <w:r>
        <w:rPr>
          <w:rFonts w:ascii="Book Antiqua" w:eastAsia="Book Antiqua" w:hAnsi="Book Antiqua" w:cs="Book Antiqua"/>
          <w:color w:val="000000"/>
        </w:rPr>
        <w:lastRenderedPageBreak/>
        <w:t xml:space="preserve">Existing clinical practice position on bowel preparation in children from the North American Society for Pediatric Gastroenterology, Hepatology, and Nutrition suggests several single-agent best practice regimens for pediatric bowel preparation, including 1-d polyethylene glycol (PEG 3350); 2-d PEG 3350; nasogastric PEG-electrolyte; nasogastric sulfate-free PEG-electrolyte; and magnesium citrate + </w:t>
      </w:r>
      <w:proofErr w:type="gramStart"/>
      <w:r>
        <w:rPr>
          <w:rFonts w:ascii="Book Antiqua" w:eastAsia="Book Antiqua" w:hAnsi="Book Antiqua" w:cs="Book Antiqua"/>
          <w:color w:val="000000"/>
        </w:rPr>
        <w:t>bisacodyl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there is no preferred option, and some preparations are not approved by the FDA for use in children. Additionally, standardized protocols for bowel preparation are lacking, with significant variability in protocols between medical centers and individual practitioners, likely due to the lack of national standards for pediatric bowel preparations for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DF99BA1" w14:textId="77777777" w:rsidR="00A77B3E" w:rsidRDefault="00144E88">
      <w:pPr>
        <w:spacing w:line="360" w:lineRule="auto"/>
        <w:ind w:firstLine="480"/>
        <w:jc w:val="both"/>
      </w:pPr>
      <w:r>
        <w:rPr>
          <w:rFonts w:ascii="Book Antiqua" w:eastAsia="Book Antiqua" w:hAnsi="Book Antiqua" w:cs="Book Antiqua"/>
          <w:color w:val="000000"/>
        </w:rPr>
        <w:t xml:space="preserve">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magnesium oxide, and citric acid (SPMC) is a low-volume bowel preparation approved by the US Food and Drug Administration for cleansing of the colon prior to colonoscopy in adults and pediatric patients ages 9 years and </w:t>
      </w:r>
      <w:proofErr w:type="gramStart"/>
      <w:r>
        <w:rPr>
          <w:rFonts w:ascii="Book Antiqua" w:eastAsia="Book Antiqua" w:hAnsi="Book Antiqua" w:cs="Book Antiqua"/>
          <w:color w:val="000000"/>
        </w:rPr>
        <w:t>older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objective of this study was to describe the efficacy, safety, and tolerability of SPMC bowel preparation in children. Oral PEG-based bowel preparation solution, per local standard of care, was included as a concurrent reference group.</w:t>
      </w:r>
    </w:p>
    <w:p w14:paraId="2BD44A74" w14:textId="77777777" w:rsidR="00A77B3E" w:rsidRDefault="00A77B3E">
      <w:pPr>
        <w:spacing w:line="360" w:lineRule="auto"/>
        <w:ind w:firstLine="480"/>
        <w:jc w:val="both"/>
      </w:pPr>
    </w:p>
    <w:p w14:paraId="0A390B40" w14:textId="77777777" w:rsidR="00A77B3E" w:rsidRDefault="00144E88">
      <w:pPr>
        <w:spacing w:line="360" w:lineRule="auto"/>
        <w:jc w:val="both"/>
      </w:pPr>
      <w:r>
        <w:rPr>
          <w:rFonts w:ascii="Book Antiqua" w:eastAsia="Book Antiqua" w:hAnsi="Book Antiqua" w:cs="Book Antiqua"/>
          <w:b/>
          <w:caps/>
          <w:color w:val="000000"/>
          <w:u w:val="single"/>
        </w:rPr>
        <w:t>MATERIALS AND METHODS</w:t>
      </w:r>
    </w:p>
    <w:p w14:paraId="49715830" w14:textId="77777777" w:rsidR="00A77B3E" w:rsidRDefault="00144E88">
      <w:pPr>
        <w:spacing w:line="360" w:lineRule="auto"/>
        <w:jc w:val="both"/>
      </w:pPr>
      <w:r>
        <w:rPr>
          <w:rFonts w:ascii="Book Antiqua" w:eastAsia="Book Antiqua" w:hAnsi="Book Antiqua" w:cs="Book Antiqua"/>
          <w:b/>
          <w:bCs/>
          <w:i/>
          <w:iCs/>
          <w:color w:val="000000"/>
        </w:rPr>
        <w:t>Study design</w:t>
      </w:r>
    </w:p>
    <w:p w14:paraId="1C50FD49" w14:textId="0F58A47A" w:rsidR="00A77B3E" w:rsidRDefault="00144E88">
      <w:pPr>
        <w:spacing w:line="360" w:lineRule="auto"/>
        <w:jc w:val="both"/>
      </w:pPr>
      <w:r>
        <w:rPr>
          <w:rFonts w:ascii="Book Antiqua" w:eastAsia="Book Antiqua" w:hAnsi="Book Antiqua" w:cs="Book Antiqua"/>
          <w:color w:val="000000"/>
        </w:rPr>
        <w:t>This was a phase 3, randomized, assessor-blinded, multicenter, dose-ranging study of low-volume SPMC (Ferring Pharmaceuticals Inc., Parsippany, NJ</w:t>
      </w:r>
      <w:r w:rsidR="00E640F8">
        <w:rPr>
          <w:rFonts w:ascii="Book Antiqua" w:eastAsia="Book Antiqua" w:hAnsi="Book Antiqua" w:cs="Book Antiqua"/>
          <w:color w:val="000000"/>
        </w:rPr>
        <w:t>, United States</w:t>
      </w:r>
      <w:r>
        <w:rPr>
          <w:rFonts w:ascii="Book Antiqua" w:eastAsia="Book Antiqua" w:hAnsi="Book Antiqua" w:cs="Book Antiqua"/>
          <w:color w:val="000000"/>
        </w:rPr>
        <w:t>) (ClinicalTrials.gov identifier: NCT01928862). The study was conducted at 9 sites in the United States, in accordance with the principles set forth in the Declaration of Helsinki and in compliance with ICH-GCP standards. The study protocol was approved by Institutional Review Boards for each study site (Supplementary Table 1).</w:t>
      </w:r>
    </w:p>
    <w:p w14:paraId="6A1196CF" w14:textId="77777777" w:rsidR="00A77B3E" w:rsidRDefault="00A77B3E">
      <w:pPr>
        <w:spacing w:line="360" w:lineRule="auto"/>
        <w:jc w:val="both"/>
      </w:pPr>
    </w:p>
    <w:p w14:paraId="3FD3735E" w14:textId="77777777" w:rsidR="00A77B3E" w:rsidRDefault="00144E88">
      <w:pPr>
        <w:spacing w:line="360" w:lineRule="auto"/>
        <w:jc w:val="both"/>
      </w:pPr>
      <w:r>
        <w:rPr>
          <w:rFonts w:ascii="Book Antiqua" w:eastAsia="Book Antiqua" w:hAnsi="Book Antiqua" w:cs="Book Antiqua"/>
          <w:b/>
          <w:bCs/>
          <w:i/>
          <w:iCs/>
          <w:color w:val="000000"/>
        </w:rPr>
        <w:t>Eligibility criteria</w:t>
      </w:r>
    </w:p>
    <w:p w14:paraId="2DFDB3C4" w14:textId="77777777" w:rsidR="00A77B3E" w:rsidRDefault="00144E88">
      <w:pPr>
        <w:spacing w:line="360" w:lineRule="auto"/>
        <w:jc w:val="both"/>
      </w:pPr>
      <w:r>
        <w:rPr>
          <w:rFonts w:ascii="Book Antiqua" w:eastAsia="Book Antiqua" w:hAnsi="Book Antiqua" w:cs="Book Antiqua"/>
          <w:color w:val="000000"/>
        </w:rPr>
        <w:t xml:space="preserve">Eligible participants were males and females, aged 9 to 16 years, who were undergoing an elective colonoscopy. Females of childbearing potential must have had a negative </w:t>
      </w:r>
      <w:r>
        <w:rPr>
          <w:rFonts w:ascii="Book Antiqua" w:eastAsia="Book Antiqua" w:hAnsi="Book Antiqua" w:cs="Book Antiqua"/>
          <w:color w:val="000000"/>
        </w:rPr>
        <w:lastRenderedPageBreak/>
        <w:t xml:space="preserve">pregnancy test at screening and randomization. Eligible participants must have had at least 3 spontaneous bowel movements per week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colonoscopy, and have been willing, able, and competent to complete the procedure and comply with instructions. Written informed consent (and assent, if applicable) was obtained at screening. </w:t>
      </w:r>
    </w:p>
    <w:p w14:paraId="78E63F24" w14:textId="77777777" w:rsidR="00A77B3E" w:rsidRDefault="00144E88">
      <w:pPr>
        <w:spacing w:line="360" w:lineRule="auto"/>
        <w:ind w:firstLine="480"/>
        <w:jc w:val="both"/>
      </w:pPr>
      <w:r>
        <w:rPr>
          <w:rFonts w:ascii="Book Antiqua" w:eastAsia="Book Antiqua" w:hAnsi="Book Antiqua" w:cs="Book Antiqua"/>
          <w:color w:val="000000"/>
        </w:rPr>
        <w:t>Exclusion criteria included acute surgical abdominal conditions (</w:t>
      </w:r>
      <w:r>
        <w:rPr>
          <w:rFonts w:ascii="Book Antiqua" w:eastAsia="Book Antiqua" w:hAnsi="Book Antiqua" w:cs="Book Antiqua"/>
          <w:i/>
          <w:iCs/>
          <w:color w:val="000000"/>
        </w:rPr>
        <w:t>e.g.</w:t>
      </w:r>
      <w:r>
        <w:rPr>
          <w:rFonts w:ascii="Book Antiqua" w:eastAsia="Book Antiqua" w:hAnsi="Book Antiqua" w:cs="Book Antiqua"/>
          <w:color w:val="000000"/>
        </w:rPr>
        <w:t>, acute GI obstruction or perforation); hospitalization for IBD; any prior colorectal surgery (not including appendectomy, hemorrhoid surgery, or prior endoscopic surgery); colon disease (history of colonic cancer, toxic megacolon, toxic colitis, idiopathic</w:t>
      </w:r>
      <w:r>
        <w:rPr>
          <w:rFonts w:ascii="Book Antiqua" w:eastAsia="Book Antiqua" w:hAnsi="Book Antiqua" w:cs="Book Antiqua"/>
          <w:color w:val="000000"/>
        </w:rPr>
        <w:br/>
        <w:t>pseudo-obstruction, hypomotility syndrome, colon resection); ascites; GI disorder (active ulcer, outlet obstruction, retention, gastroparesis, ileus); upper GI surgery; significant cardiovascular disease; or a history of renal insufficiency with current serum creatinine or potassium levels outside of normal limits.</w:t>
      </w:r>
    </w:p>
    <w:p w14:paraId="34113939" w14:textId="77777777" w:rsidR="00A77B3E" w:rsidRDefault="00144E88">
      <w:pPr>
        <w:spacing w:line="360" w:lineRule="auto"/>
        <w:ind w:firstLine="480"/>
        <w:jc w:val="both"/>
      </w:pPr>
      <w:r>
        <w:rPr>
          <w:rFonts w:ascii="Book Antiqua" w:eastAsia="Book Antiqua" w:hAnsi="Book Antiqua" w:cs="Book Antiqua"/>
          <w:color w:val="000000"/>
        </w:rPr>
        <w:t xml:space="preserve">Use of certain medications was prohibited during the study: lithium, laxatives (suspended 24 h prior to colonoscopy; not including laxatives as institutional standard of care for colonoscopy bowel preparation), constipating drugs (suspended 2 d prior), antidiarrheals (suspended 72 h prior), and oral iron preparations (suspended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w:t>
      </w:r>
    </w:p>
    <w:p w14:paraId="13CCFDFA" w14:textId="77777777" w:rsidR="00A77B3E" w:rsidRDefault="00A77B3E">
      <w:pPr>
        <w:spacing w:line="360" w:lineRule="auto"/>
        <w:ind w:firstLine="480"/>
        <w:jc w:val="both"/>
      </w:pPr>
    </w:p>
    <w:p w14:paraId="3A381120" w14:textId="77777777" w:rsidR="00A77B3E" w:rsidRDefault="00144E88">
      <w:pPr>
        <w:spacing w:line="360" w:lineRule="auto"/>
        <w:jc w:val="both"/>
      </w:pPr>
      <w:r>
        <w:rPr>
          <w:rFonts w:ascii="Book Antiqua" w:eastAsia="Book Antiqua" w:hAnsi="Book Antiqua" w:cs="Book Antiqua"/>
          <w:b/>
          <w:bCs/>
          <w:i/>
          <w:iCs/>
          <w:color w:val="000000"/>
        </w:rPr>
        <w:t>Randomization</w:t>
      </w:r>
    </w:p>
    <w:p w14:paraId="13F5C009" w14:textId="686E9E0B" w:rsidR="00A77B3E" w:rsidRDefault="00144E88">
      <w:pPr>
        <w:spacing w:line="360" w:lineRule="auto"/>
        <w:jc w:val="both"/>
      </w:pPr>
      <w:r>
        <w:rPr>
          <w:rFonts w:ascii="Book Antiqua" w:eastAsia="Book Antiqua" w:hAnsi="Book Antiqua" w:cs="Book Antiqua"/>
          <w:color w:val="000000"/>
        </w:rPr>
        <w:t xml:space="preserve">Participants were allocated to treatments according to computer-generated randomization codes that were generated by an independent statistician for all study sites. Participants 9-12 years old were randomized 1:1:1 to SPMC ½ dose </w:t>
      </w:r>
      <w:r w:rsidR="00FD4725" w:rsidRPr="00276E00">
        <w:rPr>
          <w:rFonts w:ascii="Book Antiqua" w:hAnsi="Book Antiqua"/>
          <w:lang w:val="pl-PL"/>
        </w:rPr>
        <w:t>×</w:t>
      </w:r>
      <w:r w:rsidR="00FD4725">
        <w:rPr>
          <w:rFonts w:ascii="Book Antiqua" w:hAnsi="Book Antiqua"/>
          <w:lang w:val="pl-PL"/>
        </w:rPr>
        <w:t xml:space="preserve"> </w:t>
      </w:r>
      <w:r>
        <w:rPr>
          <w:rFonts w:ascii="Book Antiqua" w:eastAsia="Book Antiqua" w:hAnsi="Book Antiqua" w:cs="Book Antiqua"/>
          <w:color w:val="000000"/>
        </w:rPr>
        <w:t xml:space="preserve">2, SPMC 1 dose </w:t>
      </w:r>
      <w:r w:rsidR="00FD4725" w:rsidRPr="00276E00">
        <w:rPr>
          <w:rFonts w:ascii="Book Antiqua" w:hAnsi="Book Antiqua"/>
          <w:lang w:val="pl-PL"/>
        </w:rPr>
        <w:t>×</w:t>
      </w:r>
      <w:r w:rsidR="00FD4725">
        <w:rPr>
          <w:rFonts w:ascii="Book Antiqua" w:hAnsi="Book Antiqua"/>
          <w:lang w:val="pl-PL"/>
        </w:rPr>
        <w:t xml:space="preserve"> </w:t>
      </w:r>
      <w:r>
        <w:rPr>
          <w:rFonts w:ascii="Book Antiqua" w:eastAsia="Book Antiqua" w:hAnsi="Book Antiqua" w:cs="Book Antiqua"/>
          <w:color w:val="000000"/>
        </w:rPr>
        <w:t xml:space="preserve">2, or PEG. Participants 13-16 years old were randomized 1:1 to SPMC 1 dose </w:t>
      </w:r>
      <w:r w:rsidR="00FD4725" w:rsidRPr="00276E00">
        <w:rPr>
          <w:rFonts w:ascii="Book Antiqua" w:hAnsi="Book Antiqua"/>
          <w:lang w:val="pl-PL"/>
        </w:rPr>
        <w:t>×</w:t>
      </w:r>
      <w:r w:rsidR="00FD4725">
        <w:rPr>
          <w:rFonts w:ascii="Book Antiqua" w:hAnsi="Book Antiqua"/>
          <w:lang w:val="pl-PL"/>
        </w:rPr>
        <w:t xml:space="preserve"> </w:t>
      </w:r>
      <w:r>
        <w:rPr>
          <w:rFonts w:ascii="Book Antiqua" w:eastAsia="Book Antiqua" w:hAnsi="Book Antiqua" w:cs="Book Antiqua"/>
          <w:color w:val="000000"/>
        </w:rPr>
        <w:t xml:space="preserve">2 or PEG. Randomization numbers were allocated sequentially to participants at each study site, by the order of enrollment. </w:t>
      </w:r>
    </w:p>
    <w:p w14:paraId="55D4D0B7" w14:textId="77777777" w:rsidR="00A77B3E" w:rsidRDefault="00144E88">
      <w:pPr>
        <w:spacing w:line="360" w:lineRule="auto"/>
        <w:ind w:firstLine="480"/>
        <w:jc w:val="both"/>
      </w:pPr>
      <w:r>
        <w:rPr>
          <w:rFonts w:ascii="Book Antiqua" w:eastAsia="Book Antiqua" w:hAnsi="Book Antiqua" w:cs="Book Antiqua"/>
          <w:color w:val="000000"/>
        </w:rPr>
        <w:t xml:space="preserve">An </w:t>
      </w:r>
      <w:proofErr w:type="gramStart"/>
      <w:r>
        <w:rPr>
          <w:rFonts w:ascii="Book Antiqua" w:eastAsia="Book Antiqua" w:hAnsi="Book Antiqua" w:cs="Book Antiqua"/>
          <w:color w:val="000000"/>
        </w:rPr>
        <w:t>unblinded study coordinator enrolled participants</w:t>
      </w:r>
      <w:proofErr w:type="gramEnd"/>
      <w:r>
        <w:rPr>
          <w:rFonts w:ascii="Book Antiqua" w:eastAsia="Book Antiqua" w:hAnsi="Book Antiqua" w:cs="Book Antiqua"/>
          <w:color w:val="000000"/>
        </w:rPr>
        <w:t xml:space="preserve"> electronically, distributed the study drug, and instructed the participant and caregiver(s) about proper use of the study drug. The endoscopist, who performed the colonoscopy and assessed bowel </w:t>
      </w:r>
      <w:r>
        <w:rPr>
          <w:rFonts w:ascii="Book Antiqua" w:eastAsia="Book Antiqua" w:hAnsi="Book Antiqua" w:cs="Book Antiqua"/>
          <w:color w:val="000000"/>
        </w:rPr>
        <w:lastRenderedPageBreak/>
        <w:t xml:space="preserve">preparation efficacy, and any assistant(s), were blinded to the participant’s treatment group. </w:t>
      </w:r>
    </w:p>
    <w:p w14:paraId="6057E634" w14:textId="77777777" w:rsidR="00A77B3E" w:rsidRDefault="00A77B3E">
      <w:pPr>
        <w:spacing w:line="360" w:lineRule="auto"/>
        <w:ind w:firstLine="480"/>
        <w:jc w:val="both"/>
      </w:pPr>
    </w:p>
    <w:p w14:paraId="27273E0C" w14:textId="77777777" w:rsidR="00A77B3E" w:rsidRDefault="00144E88">
      <w:pPr>
        <w:spacing w:line="360" w:lineRule="auto"/>
        <w:jc w:val="both"/>
      </w:pPr>
      <w:r>
        <w:rPr>
          <w:rFonts w:ascii="Book Antiqua" w:eastAsia="Book Antiqua" w:hAnsi="Book Antiqua" w:cs="Book Antiqua"/>
          <w:b/>
          <w:bCs/>
          <w:i/>
          <w:iCs/>
          <w:color w:val="000000"/>
        </w:rPr>
        <w:t>Interventions</w:t>
      </w:r>
    </w:p>
    <w:p w14:paraId="27840E14" w14:textId="77777777" w:rsidR="00A77B3E" w:rsidRDefault="00144E88">
      <w:pPr>
        <w:spacing w:line="360" w:lineRule="auto"/>
        <w:jc w:val="both"/>
      </w:pPr>
      <w:r>
        <w:rPr>
          <w:rFonts w:ascii="Book Antiqua" w:eastAsia="Book Antiqua" w:hAnsi="Book Antiqua" w:cs="Book Antiqua"/>
          <w:color w:val="000000"/>
        </w:rPr>
        <w:t xml:space="preserve">Participants and caregivers were instructed to prepare SPMC according to the package insert instructions, as described previously in the SEE CLEAR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preferred method was as a split dose, with the first dose administered the evening before (between 5:00p and 9:00p) and second dose administered the morning of colonoscopy (between 5 h and 9 h before the colonoscopy). The alternative dosing method was day-before dosing, with the first dose administered the day before the colonoscopy during the afternoon or early evening, and the second dose administered 6 h later and before midnight. Oral PEG-based bowel preparation solutions were administered per local protocol/standard of care at each study site. The exact preparation administered was recorded by the unblinded study coordinator.</w:t>
      </w:r>
    </w:p>
    <w:p w14:paraId="101CE631" w14:textId="77777777" w:rsidR="00A77B3E" w:rsidRDefault="00A77B3E">
      <w:pPr>
        <w:spacing w:line="360" w:lineRule="auto"/>
        <w:jc w:val="both"/>
      </w:pPr>
    </w:p>
    <w:p w14:paraId="3FB79FDF" w14:textId="77777777" w:rsidR="00A77B3E" w:rsidRDefault="00144E88">
      <w:pPr>
        <w:spacing w:line="360" w:lineRule="auto"/>
        <w:jc w:val="both"/>
      </w:pPr>
      <w:r>
        <w:rPr>
          <w:rFonts w:ascii="Book Antiqua" w:eastAsia="Book Antiqua" w:hAnsi="Book Antiqua" w:cs="Book Antiqua"/>
          <w:b/>
          <w:bCs/>
          <w:i/>
          <w:iCs/>
          <w:color w:val="000000"/>
        </w:rPr>
        <w:t>Endpoints</w:t>
      </w:r>
    </w:p>
    <w:p w14:paraId="027CFF17" w14:textId="77777777" w:rsidR="00A77B3E" w:rsidRDefault="00144E88">
      <w:pPr>
        <w:spacing w:line="360" w:lineRule="auto"/>
        <w:jc w:val="both"/>
      </w:pPr>
      <w:r>
        <w:rPr>
          <w:rFonts w:ascii="Book Antiqua" w:eastAsia="Book Antiqua" w:hAnsi="Book Antiqua" w:cs="Book Antiqua"/>
          <w:color w:val="000000"/>
        </w:rPr>
        <w:t xml:space="preserve">The primary efficacy endpoint was overall quality of colon cleansing by the modified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(AS) prior to irrigation of the colon (Supplementary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secondary efficacy endpoint was the participant’s tolerability and satisfaction, as measured by a 7-item questionnaire (a version of the Mayo Clinic Bowel Prep Tolerability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was modified for pediatric use; Supplementary Table 3). </w:t>
      </w:r>
    </w:p>
    <w:p w14:paraId="1052B700" w14:textId="77777777" w:rsidR="00A77B3E" w:rsidRDefault="00144E88">
      <w:pPr>
        <w:spacing w:line="360" w:lineRule="auto"/>
        <w:ind w:firstLine="480"/>
        <w:jc w:val="both"/>
      </w:pPr>
      <w:r>
        <w:rPr>
          <w:rFonts w:ascii="Book Antiqua" w:eastAsia="Book Antiqua" w:hAnsi="Book Antiqua" w:cs="Book Antiqua"/>
          <w:color w:val="000000"/>
        </w:rPr>
        <w:t>Safety assessments included adverse events (AEs), laboratory evaluations, and physical examination. Blood draws for laboratory evaluations were obtained at Screening (within 21 d before colonoscopy), on Day 0 (colonoscopy), and at Day 5 (follow-up). AEs were classified according to the Medical Dictionary for Regulatory Activities (MedDRA) version 20.1.</w:t>
      </w:r>
    </w:p>
    <w:p w14:paraId="504343D5" w14:textId="77777777" w:rsidR="00A77B3E" w:rsidRDefault="00A77B3E">
      <w:pPr>
        <w:spacing w:line="360" w:lineRule="auto"/>
        <w:ind w:firstLine="480"/>
        <w:jc w:val="both"/>
      </w:pPr>
    </w:p>
    <w:p w14:paraId="3F8E2223" w14:textId="77777777" w:rsidR="00A77B3E" w:rsidRDefault="00144E88">
      <w:pPr>
        <w:spacing w:line="360" w:lineRule="auto"/>
        <w:jc w:val="both"/>
      </w:pPr>
      <w:r>
        <w:rPr>
          <w:rFonts w:ascii="Book Antiqua" w:eastAsia="Book Antiqua" w:hAnsi="Book Antiqua" w:cs="Book Antiqua"/>
          <w:b/>
          <w:bCs/>
          <w:i/>
          <w:iCs/>
          <w:color w:val="000000"/>
        </w:rPr>
        <w:t>Statistical analyses</w:t>
      </w:r>
    </w:p>
    <w:p w14:paraId="4AC077CC" w14:textId="77777777" w:rsidR="00A77B3E" w:rsidRDefault="00144E88">
      <w:pPr>
        <w:spacing w:line="360" w:lineRule="auto"/>
        <w:jc w:val="both"/>
      </w:pPr>
      <w:r>
        <w:rPr>
          <w:rFonts w:ascii="Book Antiqua" w:eastAsia="Book Antiqua" w:hAnsi="Book Antiqua" w:cs="Book Antiqua"/>
          <w:color w:val="000000"/>
        </w:rPr>
        <w:lastRenderedPageBreak/>
        <w:t xml:space="preserve">A total of at least 45 participants were to be exposed to SPMC. In studies of SPMC for bowel preparation in adults, 81.7% to 87.7% had a successful colon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6,7,10]</w:t>
      </w:r>
      <w:r>
        <w:rPr>
          <w:rFonts w:ascii="Book Antiqua" w:eastAsia="Book Antiqua" w:hAnsi="Book Antiqua" w:cs="Book Antiqua"/>
          <w:color w:val="000000"/>
        </w:rPr>
        <w:t>. The planned sample size would have provided an exact 95% confidence interval (CI) of 65% to 90% if 80% of the participants receiving SPMC were deemed to have successful colon cleansing.</w:t>
      </w:r>
    </w:p>
    <w:p w14:paraId="54C0BA34" w14:textId="77777777" w:rsidR="00A77B3E" w:rsidRDefault="00144E88">
      <w:pPr>
        <w:spacing w:line="360" w:lineRule="auto"/>
        <w:ind w:firstLine="480"/>
        <w:jc w:val="both"/>
      </w:pPr>
      <w:r>
        <w:rPr>
          <w:rFonts w:ascii="Book Antiqua" w:eastAsia="Book Antiqua" w:hAnsi="Book Antiqua" w:cs="Book Antiqua"/>
          <w:color w:val="000000"/>
        </w:rPr>
        <w:t>The efficacy analyses were conducted on the intent-to-treat (ITT) analysis set, which included all participants who were randomized. All summaries for the ITT analysis set were made per the randomized treatment group. The primary efficacy endpoint was also summarized on the per-protocol (PP) analysis set by excluding participants who had major protocol deviations. Safety assessments were conducted on the safety analysis set, which included all participants who consumed at least 1 dose of study drug. All summaries for the safety analysis set were made according to actual treatment received.</w:t>
      </w:r>
    </w:p>
    <w:p w14:paraId="00B448B7" w14:textId="77777777" w:rsidR="00A77B3E" w:rsidRDefault="00144E88">
      <w:pPr>
        <w:spacing w:line="360" w:lineRule="auto"/>
        <w:ind w:firstLine="480"/>
        <w:jc w:val="both"/>
      </w:pPr>
      <w:r>
        <w:rPr>
          <w:rFonts w:ascii="Book Antiqua" w:eastAsia="Book Antiqua" w:hAnsi="Book Antiqua" w:cs="Book Antiqua"/>
          <w:color w:val="000000"/>
        </w:rPr>
        <w:t>The primary efficacy outcome (‘responders’) by AS was the proportion of participants receiving an ‘excellent’ or ‘good’ rating. The proportion of responders was summarized by treatment group within each age group, with a conventional two-sided 95%CI as well as a 90% CI. Considering the small sample size, the 90% CI was intended as the more appropriate estimate to present, but the 95%CI was also calculated as it is more widely used. For the secondary efficacy endpoint, participants were considered to have a tolerable experience if they responded ‘never’ or ‘rarely’ to the relevant questions; likewise, they had a satisfactory experience if they responded ‘very easy/well’ or ‘easy/well’ on the relevant questions (Supplementary Table 3).</w:t>
      </w:r>
    </w:p>
    <w:p w14:paraId="1F565692" w14:textId="77777777" w:rsidR="00A77B3E" w:rsidRDefault="00A77B3E">
      <w:pPr>
        <w:spacing w:line="360" w:lineRule="auto"/>
        <w:ind w:firstLine="480"/>
        <w:jc w:val="both"/>
      </w:pPr>
    </w:p>
    <w:p w14:paraId="4E43DA75" w14:textId="77777777" w:rsidR="00A77B3E" w:rsidRDefault="00144E88">
      <w:pPr>
        <w:spacing w:line="360" w:lineRule="auto"/>
        <w:jc w:val="both"/>
      </w:pPr>
      <w:r>
        <w:rPr>
          <w:rFonts w:ascii="Book Antiqua" w:eastAsia="Book Antiqua" w:hAnsi="Book Antiqua" w:cs="Book Antiqua"/>
          <w:b/>
          <w:caps/>
          <w:color w:val="000000"/>
          <w:u w:val="single"/>
        </w:rPr>
        <w:t>RESULTS</w:t>
      </w:r>
    </w:p>
    <w:p w14:paraId="1C20A16C" w14:textId="77777777" w:rsidR="00A77B3E" w:rsidRDefault="00144E88">
      <w:pPr>
        <w:spacing w:line="360" w:lineRule="auto"/>
        <w:jc w:val="both"/>
      </w:pPr>
      <w:r>
        <w:rPr>
          <w:rFonts w:ascii="Book Antiqua" w:eastAsia="Book Antiqua" w:hAnsi="Book Antiqua" w:cs="Book Antiqua"/>
          <w:color w:val="000000"/>
        </w:rPr>
        <w:t xml:space="preserve">The trial was conducted between June 2014 (first participant enrolled) and March 2017 (last follow-up visit). The trial ended after the expected number of participants had enrolled and completed the trial. A total of 78 participants were randomized, with 48 aged 9-12 years, and 30 aged 13-16 years (Figure 1, Table 1). Of the 48 participants receiving SPMC (safety population), 46 (95.8%) completed both doses of the bowel </w:t>
      </w:r>
      <w:r>
        <w:rPr>
          <w:rFonts w:ascii="Book Antiqua" w:eastAsia="Book Antiqua" w:hAnsi="Book Antiqua" w:cs="Book Antiqua"/>
          <w:color w:val="000000"/>
        </w:rPr>
        <w:lastRenderedPageBreak/>
        <w:t xml:space="preserve">preparation. Of the 30 participants randomized to PEG arm, 27 received a PEG-based bowel preparation and the remaining 3 received a non-PEG-based preparation (magnesium citrate). All 30 participants randomized to the PEG arm were included in the efficacy analysis set, however only the 27 patients actually ingesting PEG were included in the safety analysis set. </w:t>
      </w:r>
    </w:p>
    <w:p w14:paraId="2ADD5F0A" w14:textId="77777777" w:rsidR="00A77B3E" w:rsidRDefault="00144E88">
      <w:pPr>
        <w:spacing w:line="360" w:lineRule="auto"/>
        <w:ind w:firstLine="480"/>
        <w:jc w:val="both"/>
      </w:pPr>
      <w:r>
        <w:rPr>
          <w:rFonts w:ascii="Book Antiqua" w:eastAsia="Book Antiqua" w:hAnsi="Book Antiqua" w:cs="Book Antiqua"/>
          <w:color w:val="000000"/>
        </w:rPr>
        <w:t>A medical history of diarrhea was reported by 27% (13/48) and 27% (8/30) of participants receiving SPMC (any dose) and PEG, respectively; likewise, constipation was reported by 19% (9/48) and 30% (9/30) of participants. In the SPMC treatment arms, split dosing was used in 13/48 (27.1%) of participants, and day-before dosing for 35/48 (72.9%). Data on the PEG dosing regimen was available for 22/27 participants, all of whom used a day-before regimen.</w:t>
      </w:r>
    </w:p>
    <w:p w14:paraId="0993BBF5" w14:textId="742DDB71" w:rsidR="00A77B3E" w:rsidRDefault="00144E88">
      <w:pPr>
        <w:spacing w:line="360" w:lineRule="auto"/>
        <w:ind w:firstLine="480"/>
        <w:jc w:val="both"/>
      </w:pPr>
      <w:r>
        <w:rPr>
          <w:rFonts w:ascii="Book Antiqua" w:eastAsia="Book Antiqua" w:hAnsi="Book Antiqua" w:cs="Book Antiqua"/>
          <w:color w:val="000000"/>
        </w:rPr>
        <w:t xml:space="preserve">For the primary efficacy endpoint, responders by AS, SPMC 1 dose </w:t>
      </w:r>
      <w:r w:rsidR="008C75AE" w:rsidRPr="00276E00">
        <w:rPr>
          <w:rFonts w:ascii="Book Antiqua" w:hAnsi="Book Antiqua"/>
          <w:lang w:val="pl-PL"/>
        </w:rPr>
        <w:t>×</w:t>
      </w:r>
      <w:r w:rsidR="008C75AE">
        <w:rPr>
          <w:rFonts w:ascii="Book Antiqua" w:hAnsi="Book Antiqua"/>
          <w:lang w:val="pl-PL"/>
        </w:rPr>
        <w:t xml:space="preserve"> </w:t>
      </w:r>
      <w:r>
        <w:rPr>
          <w:rFonts w:ascii="Book Antiqua" w:eastAsia="Book Antiqua" w:hAnsi="Book Antiqua" w:cs="Book Antiqua"/>
          <w:color w:val="000000"/>
        </w:rPr>
        <w:t xml:space="preserve">2 showed consistent efficacy compared to PEG in both age groups (Figure 2). In the 9-12 years group, 87.5% (90%CI: 65.6%, 97.7%) were responders for SPMC 1 dose </w:t>
      </w:r>
      <w:r w:rsidR="008C75AE" w:rsidRPr="00276E00">
        <w:rPr>
          <w:rFonts w:ascii="Book Antiqua" w:hAnsi="Book Antiqua"/>
          <w:lang w:val="pl-PL"/>
        </w:rPr>
        <w:t>×</w:t>
      </w:r>
      <w:r w:rsidR="008C75AE">
        <w:rPr>
          <w:rFonts w:ascii="Book Antiqua" w:hAnsi="Book Antiqua"/>
          <w:lang w:val="pl-PL"/>
        </w:rPr>
        <w:t xml:space="preserve"> </w:t>
      </w:r>
      <w:r>
        <w:rPr>
          <w:rFonts w:ascii="Book Antiqua" w:eastAsia="Book Antiqua" w:hAnsi="Book Antiqua" w:cs="Book Antiqua"/>
          <w:color w:val="000000"/>
        </w:rPr>
        <w:t xml:space="preserve">2 treatment arm, and 81.3% (90%CI: 58.3%, 94.7%) were responders for PEG treatment arm. In the 13-16 years group, 81.3% (90%CI: 58.3%, 94.7%) were responders for SPMC 1 dose </w:t>
      </w:r>
      <w:r w:rsidR="00AF1A9E" w:rsidRPr="00276E00">
        <w:rPr>
          <w:rFonts w:ascii="Book Antiqua" w:hAnsi="Book Antiqua"/>
          <w:lang w:val="pl-PL"/>
        </w:rPr>
        <w:t>×</w:t>
      </w:r>
      <w:r w:rsidR="00AF1A9E">
        <w:rPr>
          <w:rFonts w:ascii="Book Antiqua" w:hAnsi="Book Antiqua"/>
          <w:lang w:val="pl-PL"/>
        </w:rPr>
        <w:t xml:space="preserve"> </w:t>
      </w:r>
      <w:r>
        <w:rPr>
          <w:rFonts w:ascii="Book Antiqua" w:eastAsia="Book Antiqua" w:hAnsi="Book Antiqua" w:cs="Book Antiqua"/>
          <w:color w:val="000000"/>
        </w:rPr>
        <w:t xml:space="preserve">2 treatment arm, and 85.7% (90%CI: 61.5%, 97.4%) were responders for PEG treatment arm. In the SPMC ½ dose </w:t>
      </w:r>
      <w:r w:rsidR="00AF1A9E" w:rsidRPr="00276E00">
        <w:rPr>
          <w:rFonts w:ascii="Book Antiqua" w:hAnsi="Book Antiqua"/>
          <w:lang w:val="pl-PL"/>
        </w:rPr>
        <w:t>×</w:t>
      </w:r>
      <w:r w:rsidR="00AF1A9E">
        <w:rPr>
          <w:rFonts w:ascii="Book Antiqua" w:hAnsi="Book Antiqua"/>
          <w:lang w:val="pl-PL"/>
        </w:rPr>
        <w:t xml:space="preserve"> </w:t>
      </w:r>
      <w:r>
        <w:rPr>
          <w:rFonts w:ascii="Book Antiqua" w:eastAsia="Book Antiqua" w:hAnsi="Book Antiqua" w:cs="Book Antiqua"/>
          <w:color w:val="000000"/>
        </w:rPr>
        <w:t>2 arm (9-12 years only), 50.0% (90%CI: 27.9%, 72.1%) of participants were responders.</w:t>
      </w:r>
    </w:p>
    <w:p w14:paraId="039E57C3" w14:textId="278D1639" w:rsidR="00A77B3E" w:rsidRDefault="00144E88">
      <w:pPr>
        <w:spacing w:line="360" w:lineRule="auto"/>
        <w:ind w:firstLine="480"/>
        <w:jc w:val="both"/>
      </w:pPr>
      <w:r>
        <w:rPr>
          <w:rFonts w:ascii="Book Antiqua" w:eastAsia="Book Antiqua" w:hAnsi="Book Antiqua" w:cs="Book Antiqua"/>
          <w:color w:val="000000"/>
        </w:rPr>
        <w:t xml:space="preserve">From the tolerability and satisfaction questionnaire, in both age groups, a greater number of participants receiving SPMC 1 dose </w:t>
      </w:r>
      <w:r w:rsidR="00F95787" w:rsidRPr="00276E00">
        <w:rPr>
          <w:rFonts w:ascii="Book Antiqua" w:hAnsi="Book Antiqua"/>
          <w:lang w:val="pl-PL"/>
        </w:rPr>
        <w:t>×</w:t>
      </w:r>
      <w:r w:rsidR="00F95787">
        <w:rPr>
          <w:rFonts w:ascii="Book Antiqua" w:hAnsi="Book Antiqua"/>
          <w:lang w:val="pl-PL"/>
        </w:rPr>
        <w:t xml:space="preserve"> </w:t>
      </w:r>
      <w:r>
        <w:rPr>
          <w:rFonts w:ascii="Book Antiqua" w:eastAsia="Book Antiqua" w:hAnsi="Book Antiqua" w:cs="Book Antiqua"/>
          <w:color w:val="000000"/>
        </w:rPr>
        <w:t xml:space="preserve">2 found it ‘very easy’ or ‘easy’ to ingest than those receiving PEG (Figure 3A). Likewise, fewer patients receiving SPMC 1 dose </w:t>
      </w:r>
      <w:r w:rsidR="00E67EB9" w:rsidRPr="00276E00">
        <w:rPr>
          <w:rFonts w:ascii="Book Antiqua" w:hAnsi="Book Antiqua"/>
          <w:lang w:val="pl-PL"/>
        </w:rPr>
        <w:t>×</w:t>
      </w:r>
      <w:r w:rsidR="00E67EB9">
        <w:rPr>
          <w:rFonts w:ascii="Book Antiqua" w:hAnsi="Book Antiqua"/>
          <w:lang w:val="pl-PL"/>
        </w:rPr>
        <w:t xml:space="preserve"> </w:t>
      </w:r>
      <w:r>
        <w:rPr>
          <w:rFonts w:ascii="Book Antiqua" w:eastAsia="Book Antiqua" w:hAnsi="Book Antiqua" w:cs="Book Antiqua"/>
          <w:color w:val="000000"/>
        </w:rPr>
        <w:t xml:space="preserve">2 reported abdominal discomfort happened ‘often’ or ‘very often’ compared to those receiving PEG (Figure 3B). Feeling nausea ‘often’ or ‘very often’ during the bowel preparation was reported by 40% (12/30) of participants receiving PEG and by 18.6% (6/32) of participants receiving SPMC 1 dose </w:t>
      </w:r>
      <w:r w:rsidR="00F95787" w:rsidRPr="00276E00">
        <w:rPr>
          <w:rFonts w:ascii="Book Antiqua" w:hAnsi="Book Antiqua"/>
          <w:lang w:val="pl-PL"/>
        </w:rPr>
        <w:t>×</w:t>
      </w:r>
      <w:r w:rsidR="00F95787">
        <w:rPr>
          <w:rFonts w:ascii="Book Antiqua" w:hAnsi="Book Antiqua"/>
          <w:lang w:val="pl-PL"/>
        </w:rPr>
        <w:t xml:space="preserve"> </w:t>
      </w:r>
      <w:r>
        <w:rPr>
          <w:rFonts w:ascii="Book Antiqua" w:eastAsia="Book Antiqua" w:hAnsi="Book Antiqua" w:cs="Book Antiqua"/>
          <w:color w:val="000000"/>
        </w:rPr>
        <w:t xml:space="preserve">2. A greater percentage of participants who received SPMC were ‘never’ or ‘rarely’ bothered about going to the bathroom compared to those receiving PEG (43.8% </w:t>
      </w:r>
      <w:r>
        <w:rPr>
          <w:rFonts w:ascii="Book Antiqua" w:eastAsia="Book Antiqua" w:hAnsi="Book Antiqua" w:cs="Book Antiqua"/>
          <w:i/>
          <w:iCs/>
          <w:color w:val="000000"/>
        </w:rPr>
        <w:t>vs</w:t>
      </w:r>
      <w:r>
        <w:rPr>
          <w:rFonts w:ascii="Book Antiqua" w:eastAsia="Book Antiqua" w:hAnsi="Book Antiqua" w:cs="Book Antiqua"/>
          <w:color w:val="000000"/>
        </w:rPr>
        <w:t xml:space="preserve"> 13.3%). No relevant differences were </w:t>
      </w:r>
      <w:r>
        <w:rPr>
          <w:rFonts w:ascii="Book Antiqua" w:eastAsia="Book Antiqua" w:hAnsi="Book Antiqua" w:cs="Book Antiqua"/>
          <w:color w:val="000000"/>
        </w:rPr>
        <w:lastRenderedPageBreak/>
        <w:t>reported between PEG and SPMC for taste or how often the participant woke during the night.</w:t>
      </w:r>
    </w:p>
    <w:p w14:paraId="6C997854" w14:textId="6FC82628" w:rsidR="00A77B3E" w:rsidRDefault="00144E88">
      <w:pPr>
        <w:spacing w:line="360" w:lineRule="auto"/>
        <w:ind w:firstLine="480"/>
        <w:jc w:val="both"/>
      </w:pPr>
      <w:r>
        <w:rPr>
          <w:rFonts w:ascii="Book Antiqua" w:eastAsia="Book Antiqua" w:hAnsi="Book Antiqua" w:cs="Book Antiqua"/>
          <w:color w:val="000000"/>
        </w:rPr>
        <w:t xml:space="preserve">Treatment-emergent AEs (TEAEs) were reported by 45.5% (15/33) of participants who received SPMC 1 dose x2 and 63.0% (17/27) of participants who received PEG (Table 2). One participant receiving SPMC 1 dose </w:t>
      </w:r>
      <w:r w:rsidR="00652CFB" w:rsidRPr="00276E00">
        <w:rPr>
          <w:rFonts w:ascii="Book Antiqua" w:hAnsi="Book Antiqua"/>
          <w:lang w:val="pl-PL"/>
        </w:rPr>
        <w:t>×</w:t>
      </w:r>
      <w:r w:rsidR="00652CFB">
        <w:rPr>
          <w:rFonts w:ascii="Book Antiqua" w:hAnsi="Book Antiqua"/>
          <w:lang w:val="pl-PL"/>
        </w:rPr>
        <w:t xml:space="preserve"> </w:t>
      </w:r>
      <w:r>
        <w:rPr>
          <w:rFonts w:ascii="Book Antiqua" w:eastAsia="Book Antiqua" w:hAnsi="Book Antiqua" w:cs="Book Antiqua"/>
          <w:color w:val="000000"/>
        </w:rPr>
        <w:t xml:space="preserve">2 reported severe AEs: Abdominal pain (considered related to study drug, participant did not receive second dose, AE resolved), GI inflammation (Crohn’s disease, unrelated to study drug), and intestinal ulcer (unrelated to study drug). </w:t>
      </w:r>
    </w:p>
    <w:p w14:paraId="56AA19F6" w14:textId="31388674" w:rsidR="00A77B3E" w:rsidRDefault="00144E88">
      <w:pPr>
        <w:spacing w:line="360" w:lineRule="auto"/>
        <w:ind w:firstLine="480"/>
        <w:jc w:val="both"/>
      </w:pPr>
      <w:r>
        <w:rPr>
          <w:rFonts w:ascii="Book Antiqua" w:eastAsia="Book Antiqua" w:hAnsi="Book Antiqua" w:cs="Book Antiqua"/>
          <w:color w:val="000000"/>
        </w:rPr>
        <w:t xml:space="preserve">Treatment-emergent adverse drug reactions (ADRs) were reported by 12.1% (4/33) of participants for SPMC and 18.5% (5/27) for PEG (Table 2). The most commonly reported ADRs were vomiting (6.1% </w:t>
      </w:r>
      <w:r>
        <w:rPr>
          <w:rFonts w:ascii="Book Antiqua" w:eastAsia="Book Antiqua" w:hAnsi="Book Antiqua" w:cs="Book Antiqua"/>
          <w:i/>
          <w:iCs/>
          <w:color w:val="000000"/>
        </w:rPr>
        <w:t>vs</w:t>
      </w:r>
      <w:r>
        <w:rPr>
          <w:rFonts w:ascii="Book Antiqua" w:eastAsia="Book Antiqua" w:hAnsi="Book Antiqua" w:cs="Book Antiqua"/>
          <w:color w:val="000000"/>
        </w:rPr>
        <w:t xml:space="preserve"> 3.7%) and nausea (3.0% </w:t>
      </w:r>
      <w:r>
        <w:rPr>
          <w:rFonts w:ascii="Book Antiqua" w:eastAsia="Book Antiqua" w:hAnsi="Book Antiqua" w:cs="Book Antiqua"/>
          <w:i/>
          <w:iCs/>
          <w:color w:val="000000"/>
        </w:rPr>
        <w:t>vs</w:t>
      </w:r>
      <w:r>
        <w:rPr>
          <w:rFonts w:ascii="Book Antiqua" w:eastAsia="Book Antiqua" w:hAnsi="Book Antiqua" w:cs="Book Antiqua"/>
          <w:color w:val="000000"/>
        </w:rPr>
        <w:t xml:space="preserve"> 14.8%) for SPMC 1 dose </w:t>
      </w:r>
      <w:r w:rsidR="00652CFB" w:rsidRPr="00276E00">
        <w:rPr>
          <w:rFonts w:ascii="Book Antiqua" w:hAnsi="Book Antiqua"/>
          <w:lang w:val="pl-PL"/>
        </w:rPr>
        <w:t>×</w:t>
      </w:r>
      <w:r w:rsidR="00652CFB">
        <w:rPr>
          <w:rFonts w:ascii="Book Antiqua" w:hAnsi="Book Antiqua"/>
          <w:lang w:val="pl-PL"/>
        </w:rPr>
        <w:t xml:space="preserve"> </w:t>
      </w:r>
      <w:r>
        <w:rPr>
          <w:rFonts w:ascii="Book Antiqua" w:eastAsia="Book Antiqua" w:hAnsi="Book Antiqua" w:cs="Book Antiqua"/>
          <w:color w:val="000000"/>
        </w:rPr>
        <w:t xml:space="preserve">2 and PEG groups, respectively. </w:t>
      </w:r>
    </w:p>
    <w:p w14:paraId="56B2DE7D" w14:textId="7D6625C0" w:rsidR="00A77B3E" w:rsidRDefault="00144E88">
      <w:pPr>
        <w:spacing w:line="360" w:lineRule="auto"/>
        <w:ind w:firstLine="480"/>
        <w:jc w:val="both"/>
      </w:pPr>
      <w:r>
        <w:rPr>
          <w:rFonts w:ascii="Book Antiqua" w:eastAsia="Book Antiqua" w:hAnsi="Book Antiqua" w:cs="Book Antiqua"/>
          <w:color w:val="000000"/>
        </w:rPr>
        <w:t xml:space="preserve">Laboratory values and vital signs showed no meaningful changes associated with study drug administration. Three participants had abnormally low blood glucose (40-47 mg/dL) (2 in the SPMC 1 dose </w:t>
      </w:r>
      <w:r w:rsidR="006E5CA7" w:rsidRPr="00276E00">
        <w:rPr>
          <w:rFonts w:ascii="Book Antiqua" w:hAnsi="Book Antiqua"/>
          <w:lang w:val="pl-PL"/>
        </w:rPr>
        <w:t>×</w:t>
      </w:r>
      <w:r w:rsidR="006E5CA7">
        <w:rPr>
          <w:rFonts w:ascii="Book Antiqua" w:hAnsi="Book Antiqua"/>
          <w:lang w:val="pl-PL"/>
        </w:rPr>
        <w:t xml:space="preserve"> </w:t>
      </w:r>
      <w:r>
        <w:rPr>
          <w:rFonts w:ascii="Book Antiqua" w:eastAsia="Book Antiqua" w:hAnsi="Book Antiqua" w:cs="Book Antiqua"/>
          <w:color w:val="000000"/>
        </w:rPr>
        <w:t xml:space="preserve">2 cohort; 1 in the PEG arm), which occurred on Day 0 for 1 participant receiving SPMC, and on Day 5 for 1 participant receiving SPMC and 1 receiving PEG; participants did not experience clinically-meaningful symptoms related to the hypoglycemia. Participants receiving SPMC 1 dose </w:t>
      </w:r>
      <w:r w:rsidR="00182FBC" w:rsidRPr="00276E00">
        <w:rPr>
          <w:rFonts w:ascii="Book Antiqua" w:hAnsi="Book Antiqua"/>
          <w:lang w:val="pl-PL"/>
        </w:rPr>
        <w:t>×</w:t>
      </w:r>
      <w:r w:rsidR="00182FBC">
        <w:rPr>
          <w:rFonts w:ascii="Book Antiqua" w:hAnsi="Book Antiqua"/>
          <w:lang w:val="pl-PL"/>
        </w:rPr>
        <w:t xml:space="preserve"> </w:t>
      </w:r>
      <w:r>
        <w:rPr>
          <w:rFonts w:ascii="Book Antiqua" w:eastAsia="Book Antiqua" w:hAnsi="Book Antiqua" w:cs="Book Antiqua"/>
          <w:color w:val="000000"/>
        </w:rPr>
        <w:t xml:space="preserve">2 showed small and transient increases in magnesium, from a mean (SD) of 0.89 (0.07) mmol/L at baseline to 1.04 (0.14) mmol/L Day 0, which returned to 0.94 (0.22) mmol/L at Day 5 (follow-up), with no clinically-meaningful symptoms. </w:t>
      </w:r>
    </w:p>
    <w:p w14:paraId="270E3F5F" w14:textId="77777777" w:rsidR="00A77B3E" w:rsidRDefault="00A77B3E">
      <w:pPr>
        <w:spacing w:line="360" w:lineRule="auto"/>
        <w:ind w:firstLine="480"/>
        <w:jc w:val="both"/>
      </w:pPr>
    </w:p>
    <w:p w14:paraId="68A1F0CF" w14:textId="77777777" w:rsidR="00A77B3E" w:rsidRDefault="00144E88">
      <w:pPr>
        <w:spacing w:line="360" w:lineRule="auto"/>
        <w:jc w:val="both"/>
      </w:pPr>
      <w:r>
        <w:rPr>
          <w:rFonts w:ascii="Book Antiqua" w:eastAsia="Book Antiqua" w:hAnsi="Book Antiqua" w:cs="Book Antiqua"/>
          <w:b/>
          <w:caps/>
          <w:color w:val="000000"/>
          <w:u w:val="single"/>
        </w:rPr>
        <w:t>DISCUSSION</w:t>
      </w:r>
    </w:p>
    <w:p w14:paraId="27A0121D" w14:textId="77777777" w:rsidR="00A77B3E" w:rsidRDefault="00144E88">
      <w:pPr>
        <w:spacing w:line="360" w:lineRule="auto"/>
        <w:jc w:val="both"/>
      </w:pPr>
      <w:r>
        <w:rPr>
          <w:rFonts w:ascii="Book Antiqua" w:eastAsia="Book Antiqua" w:hAnsi="Book Antiqua" w:cs="Book Antiqua"/>
          <w:color w:val="000000"/>
        </w:rPr>
        <w:t xml:space="preserve">SPMC was safe for bowel cleansing in children, with no reports of serious adverse events. Numerically, SPMC was associated with fewer reports of any treatment-emergent adverse event or adverse drug reaction compared to PEG, including a much lower rate of nausea (3.0% </w:t>
      </w:r>
      <w:r>
        <w:rPr>
          <w:rFonts w:ascii="Book Antiqua" w:eastAsia="Book Antiqua" w:hAnsi="Book Antiqua" w:cs="Book Antiqua"/>
          <w:i/>
          <w:iCs/>
          <w:color w:val="000000"/>
        </w:rPr>
        <w:t>vs</w:t>
      </w:r>
      <w:r>
        <w:rPr>
          <w:rFonts w:ascii="Book Antiqua" w:eastAsia="Book Antiqua" w:hAnsi="Book Antiqua" w:cs="Book Antiqua"/>
          <w:color w:val="000000"/>
        </w:rPr>
        <w:t xml:space="preserve"> 14.8%). Glucose and magnesium imbalances that were measured by laboratory assessments were transient, not clinically significant, and similar to those reported for adults receiving </w:t>
      </w:r>
      <w:proofErr w:type="gramStart"/>
      <w:r>
        <w:rPr>
          <w:rFonts w:ascii="Book Antiqua" w:eastAsia="Book Antiqua" w:hAnsi="Book Antiqua" w:cs="Book Antiqua"/>
          <w:color w:val="000000"/>
        </w:rPr>
        <w:t>SPMC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finding of transient </w:t>
      </w:r>
      <w:r>
        <w:rPr>
          <w:rFonts w:ascii="Book Antiqua" w:eastAsia="Book Antiqua" w:hAnsi="Book Antiqua" w:cs="Book Antiqua"/>
          <w:color w:val="000000"/>
        </w:rPr>
        <w:lastRenderedPageBreak/>
        <w:t>magnesium imbalance is not surprising given the presence of magnesium oxide in SPMC.</w:t>
      </w:r>
    </w:p>
    <w:p w14:paraId="42E39F01" w14:textId="635F7613" w:rsidR="00A77B3E" w:rsidRDefault="00144E88">
      <w:pPr>
        <w:spacing w:line="360" w:lineRule="auto"/>
        <w:ind w:firstLine="480"/>
        <w:jc w:val="both"/>
      </w:pPr>
      <w:r>
        <w:rPr>
          <w:rFonts w:ascii="Book Antiqua" w:eastAsia="Book Antiqua" w:hAnsi="Book Antiqua" w:cs="Book Antiqua"/>
          <w:color w:val="000000"/>
        </w:rPr>
        <w:t xml:space="preserve">The tolerability for SPMC was higher compared to PEG, with more than double the proportion rating the bowel preparation as ‘very easy’ or ‘easy’ to ingest. In children, the tolerability and safety of bowel preparation carries equal or greater importance to the efficacy. Administering bowel preparations in children, and achieving compliance with administration, remains challenging. The tolerability of the pediatric standard of care for bowel preparation, PEG, is recognized to be less than </w:t>
      </w:r>
      <w:proofErr w:type="gramStart"/>
      <w:r>
        <w:rPr>
          <w:rFonts w:ascii="Book Antiqua" w:eastAsia="Book Antiqua" w:hAnsi="Book Antiqua" w:cs="Book Antiqua"/>
          <w:color w:val="000000"/>
        </w:rPr>
        <w:t>optimal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Here, SPMC was more tolerable than the standard of care for bowel preparation, and almost all participants receiving SPMC ingested both doses. One possible factor for the favorable tolerability for SPMC is the volume of bowel preparation ingested (active medication 5.4 oz per 1 dose, or 10.8 oz in total for both doses) relative to a typical volume of PEG for bowel preparation (approximately 64-72 oz for children 9-16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Participants receiving SPMC ingested additional liquid of their choice to complete the bowel preparation. The actual volume of PEG ingested by participants in this study was not available, which may be variable in the pediatric population. A randomized trial showed that split-dosing of PEG (</w:t>
      </w:r>
      <w:r>
        <w:rPr>
          <w:rFonts w:ascii="Book Antiqua" w:eastAsia="Book Antiqua" w:hAnsi="Book Antiqua" w:cs="Book Antiqua"/>
          <w:i/>
          <w:iCs/>
          <w:color w:val="000000"/>
        </w:rPr>
        <w:t>vs</w:t>
      </w:r>
      <w:r>
        <w:rPr>
          <w:rFonts w:ascii="Book Antiqua" w:eastAsia="Book Antiqua" w:hAnsi="Book Antiqua" w:cs="Book Antiqua"/>
          <w:color w:val="000000"/>
        </w:rPr>
        <w:t xml:space="preserve"> single dosing) led to a more tolerable bowel preparation experience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3157B33E" w14:textId="76B9A158" w:rsidR="00A77B3E" w:rsidRDefault="00144E88">
      <w:pPr>
        <w:spacing w:line="360" w:lineRule="auto"/>
        <w:ind w:firstLine="480"/>
        <w:jc w:val="both"/>
      </w:pPr>
      <w:r>
        <w:rPr>
          <w:rFonts w:ascii="Book Antiqua" w:eastAsia="Book Antiqua" w:hAnsi="Book Antiqua" w:cs="Book Antiqua"/>
          <w:color w:val="000000"/>
        </w:rPr>
        <w:t xml:space="preserve">SPMC was efficacious in children 9 to 16 years old, and comparable to the bowel cleansing efficacy of PEG. SPMC 1 dose </w:t>
      </w:r>
      <w:r w:rsidR="00FB5FE6" w:rsidRPr="00276E00">
        <w:rPr>
          <w:rFonts w:ascii="Book Antiqua" w:hAnsi="Book Antiqua"/>
          <w:lang w:val="pl-PL"/>
        </w:rPr>
        <w:t>×</w:t>
      </w:r>
      <w:r w:rsidR="00FB5FE6">
        <w:rPr>
          <w:rFonts w:ascii="Book Antiqua" w:hAnsi="Book Antiqua"/>
          <w:lang w:val="pl-PL"/>
        </w:rPr>
        <w:t xml:space="preserve"> </w:t>
      </w:r>
      <w:r>
        <w:rPr>
          <w:rFonts w:ascii="Book Antiqua" w:eastAsia="Book Antiqua" w:hAnsi="Book Antiqua" w:cs="Book Antiqua"/>
          <w:color w:val="000000"/>
        </w:rPr>
        <w:t xml:space="preserve">2 displayed high and consistent efficacy across the two age groups, 9-12 years and 13-16 years. SPMC demonstrated a dose-response relationship in the 9-12 years group, with SPMC ½ dose </w:t>
      </w:r>
      <w:r w:rsidR="00FB5FE6" w:rsidRPr="00276E00">
        <w:rPr>
          <w:rFonts w:ascii="Book Antiqua" w:hAnsi="Book Antiqua"/>
          <w:lang w:val="pl-PL"/>
        </w:rPr>
        <w:t>×</w:t>
      </w:r>
      <w:r w:rsidR="00FB5FE6">
        <w:rPr>
          <w:rFonts w:ascii="Book Antiqua" w:hAnsi="Book Antiqua"/>
          <w:lang w:val="pl-PL"/>
        </w:rPr>
        <w:t xml:space="preserve"> </w:t>
      </w:r>
      <w:r>
        <w:rPr>
          <w:rFonts w:ascii="Book Antiqua" w:eastAsia="Book Antiqua" w:hAnsi="Book Antiqua" w:cs="Book Antiqua"/>
          <w:color w:val="000000"/>
        </w:rPr>
        <w:t xml:space="preserve">2 arm showing a 50% responder rate, while the SPMC 1 dose </w:t>
      </w:r>
      <w:r w:rsidR="00FB5FE6" w:rsidRPr="00276E00">
        <w:rPr>
          <w:rFonts w:ascii="Book Antiqua" w:hAnsi="Book Antiqua"/>
          <w:lang w:val="pl-PL"/>
        </w:rPr>
        <w:t>×</w:t>
      </w:r>
      <w:r w:rsidR="00FB5FE6">
        <w:rPr>
          <w:rFonts w:ascii="Book Antiqua" w:hAnsi="Book Antiqua"/>
          <w:lang w:val="pl-PL"/>
        </w:rPr>
        <w:t xml:space="preserve"> </w:t>
      </w:r>
      <w:r>
        <w:rPr>
          <w:rFonts w:ascii="Book Antiqua" w:eastAsia="Book Antiqua" w:hAnsi="Book Antiqua" w:cs="Book Antiqua"/>
          <w:color w:val="000000"/>
        </w:rPr>
        <w:t xml:space="preserve">2 arm had an 87.5% responder rate. </w:t>
      </w:r>
    </w:p>
    <w:p w14:paraId="0C842F1D" w14:textId="77777777" w:rsidR="00A77B3E" w:rsidRDefault="00144E88">
      <w:pPr>
        <w:spacing w:line="360" w:lineRule="auto"/>
        <w:ind w:firstLine="480"/>
        <w:jc w:val="both"/>
      </w:pPr>
      <w:r>
        <w:rPr>
          <w:rFonts w:ascii="Book Antiqua" w:eastAsia="Book Antiqua" w:hAnsi="Book Antiqua" w:cs="Book Antiqua"/>
          <w:color w:val="000000"/>
        </w:rPr>
        <w:t xml:space="preserve">This study adds new data to the sparse literature on bowel preparation in children. Very few studies have evaluated the use of SPMC for bowel preparation in the pediatric population, and not all commonly used bowel preparations are FDA approved for use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xml:space="preserve">. The results of this study are consistent with earlier studies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/SPMC in children, which demonstrated good efficacy of colon cleansing and improved tolerability compared to bisacodyl or </w:t>
      </w:r>
      <w:proofErr w:type="gramStart"/>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12-15,17]</w:t>
      </w:r>
      <w:r>
        <w:rPr>
          <w:rFonts w:ascii="Book Antiqua" w:eastAsia="Book Antiqua" w:hAnsi="Book Antiqua" w:cs="Book Antiqua"/>
          <w:color w:val="000000"/>
        </w:rPr>
        <w:t>.</w:t>
      </w:r>
    </w:p>
    <w:p w14:paraId="461019FE" w14:textId="646A113A" w:rsidR="00A77B3E" w:rsidRDefault="00144E88">
      <w:pPr>
        <w:spacing w:line="360" w:lineRule="auto"/>
        <w:ind w:firstLine="480"/>
        <w:jc w:val="both"/>
      </w:pPr>
      <w:r>
        <w:rPr>
          <w:rFonts w:ascii="Book Antiqua" w:eastAsia="Book Antiqua" w:hAnsi="Book Antiqua" w:cs="Book Antiqua"/>
          <w:color w:val="000000"/>
        </w:rPr>
        <w:lastRenderedPageBreak/>
        <w:t>Existing guidelines suggest PEG as the standard of care for bowel preparation in children, with the caveat that many of the studies used to support the suggestion implemented a 4-d bowel preparation regimen, and some added a stimulant to the preparation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bisacodyl)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Realistically, feasibility of a 4-d preparation regimen becomes more cumbersome and inconvenient, with the potential to reduce cleansing efficacy as patients are more likely to be noncompliant for a 4-d regimen, when compared to a low-volume 2-d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Here, the SPMC protocol was a 2-d bowel preparation without the addition of a stimulant, which has been shown to improve patient satisfaction with other preparations. Guidelines also suggest that pediatric bowel preparation regimens should prioritize safety and tolerability and the SPMC protocol seems to achieve </w:t>
      </w:r>
      <w:proofErr w:type="gramStart"/>
      <w:r>
        <w:rPr>
          <w:rFonts w:ascii="Book Antiqua" w:eastAsia="Book Antiqua" w:hAnsi="Book Antiqua" w:cs="Book Antiqua"/>
          <w:color w:val="000000"/>
        </w:rPr>
        <w:t>such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72C1F06C" w14:textId="77777777" w:rsidR="00A77B3E" w:rsidRDefault="00A77B3E">
      <w:pPr>
        <w:spacing w:line="360" w:lineRule="auto"/>
        <w:ind w:firstLine="480"/>
        <w:jc w:val="both"/>
      </w:pPr>
    </w:p>
    <w:p w14:paraId="1531668F" w14:textId="77777777" w:rsidR="00A77B3E" w:rsidRDefault="00144E88">
      <w:pPr>
        <w:spacing w:line="360" w:lineRule="auto"/>
        <w:jc w:val="both"/>
      </w:pPr>
      <w:r>
        <w:rPr>
          <w:rFonts w:ascii="Book Antiqua" w:eastAsia="Book Antiqua" w:hAnsi="Book Antiqua" w:cs="Book Antiqua"/>
          <w:b/>
          <w:caps/>
          <w:color w:val="000000"/>
          <w:u w:val="single"/>
        </w:rPr>
        <w:t>CONCLUSION</w:t>
      </w:r>
    </w:p>
    <w:p w14:paraId="2338313A" w14:textId="04269B9B" w:rsidR="00A77B3E" w:rsidRDefault="00144E88">
      <w:pPr>
        <w:spacing w:line="360" w:lineRule="auto"/>
        <w:jc w:val="both"/>
      </w:pPr>
      <w:r>
        <w:rPr>
          <w:rFonts w:ascii="Book Antiqua" w:eastAsia="Book Antiqua" w:hAnsi="Book Antiqua" w:cs="Book Antiqua"/>
          <w:color w:val="000000"/>
        </w:rPr>
        <w:t xml:space="preserve">As the tolerability was higher and the efficacy and safety were consistent with the standard of care for pediatric bowel preparation, SPMC 1 dose </w:t>
      </w:r>
      <w:r w:rsidR="0074139A" w:rsidRPr="00276E00">
        <w:rPr>
          <w:rFonts w:ascii="Book Antiqua" w:hAnsi="Book Antiqua"/>
          <w:lang w:val="pl-PL"/>
        </w:rPr>
        <w:t>×</w:t>
      </w:r>
      <w:r w:rsidR="0074139A">
        <w:rPr>
          <w:rFonts w:ascii="Book Antiqua" w:hAnsi="Book Antiqua"/>
          <w:lang w:val="pl-PL"/>
        </w:rPr>
        <w:t xml:space="preserve"> </w:t>
      </w:r>
      <w:r>
        <w:rPr>
          <w:rFonts w:ascii="Book Antiqua" w:eastAsia="Book Antiqua" w:hAnsi="Book Antiqua" w:cs="Book Antiqua"/>
          <w:color w:val="000000"/>
        </w:rPr>
        <w:t xml:space="preserve">2 should be considered as a more feasible and easier-to-consume option compared to PEG for all bowel preparations in children 9 to 16 years old. </w:t>
      </w:r>
    </w:p>
    <w:p w14:paraId="3DC5372B" w14:textId="77777777" w:rsidR="00A77B3E" w:rsidRDefault="00A77B3E">
      <w:pPr>
        <w:spacing w:line="360" w:lineRule="auto"/>
        <w:jc w:val="both"/>
      </w:pPr>
    </w:p>
    <w:p w14:paraId="51E22FD5" w14:textId="77777777" w:rsidR="00A77B3E" w:rsidRDefault="00144E88">
      <w:pPr>
        <w:spacing w:line="360" w:lineRule="auto"/>
        <w:jc w:val="both"/>
      </w:pPr>
      <w:r>
        <w:rPr>
          <w:rFonts w:ascii="Book Antiqua" w:eastAsia="Book Antiqua" w:hAnsi="Book Antiqua" w:cs="Book Antiqua"/>
          <w:b/>
          <w:caps/>
          <w:color w:val="000000"/>
          <w:u w:val="single"/>
        </w:rPr>
        <w:t>ARTICLE HIGHLIGHTS</w:t>
      </w:r>
    </w:p>
    <w:p w14:paraId="6D51D598" w14:textId="77777777" w:rsidR="00A77B3E" w:rsidRDefault="00144E88">
      <w:pPr>
        <w:spacing w:line="360" w:lineRule="auto"/>
        <w:jc w:val="both"/>
      </w:pPr>
      <w:r>
        <w:rPr>
          <w:rFonts w:ascii="Book Antiqua" w:eastAsia="Book Antiqua" w:hAnsi="Book Antiqua" w:cs="Book Antiqua"/>
          <w:b/>
          <w:i/>
          <w:color w:val="000000"/>
        </w:rPr>
        <w:t>Research background</w:t>
      </w:r>
    </w:p>
    <w:p w14:paraId="777C128A" w14:textId="77777777" w:rsidR="00A77B3E" w:rsidRDefault="00144E88">
      <w:pPr>
        <w:spacing w:line="360" w:lineRule="auto"/>
        <w:jc w:val="both"/>
      </w:pPr>
      <w:r>
        <w:rPr>
          <w:rFonts w:ascii="Book Antiqua" w:eastAsia="Book Antiqua" w:hAnsi="Book Antiqua" w:cs="Book Antiqua"/>
          <w:color w:val="000000"/>
        </w:rPr>
        <w:t xml:space="preserve">Quality bowel preparation is a critical factor for colonoscopy success. Bowel preparation selection in children should prioritize safety and tolerability, with efficacy an additional important consideration. </w:t>
      </w:r>
    </w:p>
    <w:p w14:paraId="6DE02EBE" w14:textId="77777777" w:rsidR="00A77B3E" w:rsidRDefault="00A77B3E">
      <w:pPr>
        <w:spacing w:line="360" w:lineRule="auto"/>
        <w:jc w:val="both"/>
      </w:pPr>
    </w:p>
    <w:p w14:paraId="4C6E1D8B" w14:textId="77777777" w:rsidR="00A77B3E" w:rsidRDefault="00144E88">
      <w:pPr>
        <w:spacing w:line="360" w:lineRule="auto"/>
        <w:jc w:val="both"/>
      </w:pPr>
      <w:r>
        <w:rPr>
          <w:rFonts w:ascii="Book Antiqua" w:eastAsia="Book Antiqua" w:hAnsi="Book Antiqua" w:cs="Book Antiqua"/>
          <w:b/>
          <w:i/>
          <w:color w:val="000000"/>
        </w:rPr>
        <w:t>Research motivation</w:t>
      </w:r>
    </w:p>
    <w:p w14:paraId="37703457" w14:textId="77777777" w:rsidR="00A77B3E" w:rsidRDefault="00144E88">
      <w:pPr>
        <w:spacing w:line="360" w:lineRule="auto"/>
        <w:jc w:val="both"/>
      </w:pPr>
      <w:r>
        <w:rPr>
          <w:rFonts w:ascii="Book Antiqua" w:eastAsia="Book Antiqua" w:hAnsi="Book Antiqua" w:cs="Book Antiqua"/>
          <w:color w:val="000000"/>
        </w:rPr>
        <w:t>Currently, there are no universally preferred bowel preparation regimens for children, and standardized protocols are few.</w:t>
      </w:r>
    </w:p>
    <w:p w14:paraId="6694B516" w14:textId="77777777" w:rsidR="00A77B3E" w:rsidRDefault="00A77B3E">
      <w:pPr>
        <w:spacing w:line="360" w:lineRule="auto"/>
        <w:jc w:val="both"/>
      </w:pPr>
    </w:p>
    <w:p w14:paraId="71F3F1C5" w14:textId="77777777" w:rsidR="00A77B3E" w:rsidRDefault="00144E88">
      <w:pPr>
        <w:spacing w:line="360" w:lineRule="auto"/>
        <w:jc w:val="both"/>
      </w:pPr>
      <w:r>
        <w:rPr>
          <w:rFonts w:ascii="Book Antiqua" w:eastAsia="Book Antiqua" w:hAnsi="Book Antiqua" w:cs="Book Antiqua"/>
          <w:b/>
          <w:i/>
          <w:color w:val="000000"/>
        </w:rPr>
        <w:t>Research objectives</w:t>
      </w:r>
    </w:p>
    <w:p w14:paraId="368EF82C" w14:textId="77777777" w:rsidR="00A77B3E" w:rsidRDefault="00144E88">
      <w:pPr>
        <w:spacing w:line="360" w:lineRule="auto"/>
        <w:jc w:val="both"/>
      </w:pPr>
      <w:r>
        <w:rPr>
          <w:rFonts w:ascii="Book Antiqua" w:eastAsia="Book Antiqua" w:hAnsi="Book Antiqua" w:cs="Book Antiqua"/>
          <w:color w:val="000000"/>
        </w:rPr>
        <w:lastRenderedPageBreak/>
        <w:t xml:space="preserve">The objective of this study was to describe the efficacy, safety, and tolerability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(SPMC) low volume bowel preparation in pediatric patients 9 to 16 years old.</w:t>
      </w:r>
    </w:p>
    <w:p w14:paraId="25D36F27" w14:textId="77777777" w:rsidR="00A77B3E" w:rsidRDefault="00A77B3E">
      <w:pPr>
        <w:spacing w:line="360" w:lineRule="auto"/>
        <w:jc w:val="both"/>
      </w:pPr>
    </w:p>
    <w:p w14:paraId="3B5BE35D" w14:textId="77777777" w:rsidR="00A77B3E" w:rsidRDefault="00144E88">
      <w:pPr>
        <w:spacing w:line="360" w:lineRule="auto"/>
        <w:jc w:val="both"/>
      </w:pPr>
      <w:r>
        <w:rPr>
          <w:rFonts w:ascii="Book Antiqua" w:eastAsia="Book Antiqua" w:hAnsi="Book Antiqua" w:cs="Book Antiqua"/>
          <w:b/>
          <w:i/>
          <w:color w:val="000000"/>
        </w:rPr>
        <w:t>Research methods</w:t>
      </w:r>
    </w:p>
    <w:p w14:paraId="4F2E4977" w14:textId="1C390116" w:rsidR="00A77B3E" w:rsidRDefault="00144E88">
      <w:pPr>
        <w:spacing w:line="360" w:lineRule="auto"/>
        <w:jc w:val="both"/>
      </w:pPr>
      <w:r>
        <w:rPr>
          <w:rFonts w:ascii="Book Antiqua" w:eastAsia="Book Antiqua" w:hAnsi="Book Antiqua" w:cs="Book Antiqua"/>
          <w:color w:val="000000"/>
        </w:rPr>
        <w:t xml:space="preserve">A phase 3, randomized, assessor-blinded, </w:t>
      </w:r>
      <w:proofErr w:type="spellStart"/>
      <w:r>
        <w:rPr>
          <w:rFonts w:ascii="Book Antiqua" w:eastAsia="Book Antiqua" w:hAnsi="Book Antiqua" w:cs="Book Antiqua"/>
          <w:color w:val="000000"/>
        </w:rPr>
        <w:t>mulcenter</w:t>
      </w:r>
      <w:proofErr w:type="spellEnd"/>
      <w:r>
        <w:rPr>
          <w:rFonts w:ascii="Book Antiqua" w:eastAsia="Book Antiqua" w:hAnsi="Book Antiqua" w:cs="Book Antiqua"/>
          <w:color w:val="000000"/>
        </w:rPr>
        <w:t xml:space="preserve">, dose-ranging study of low volume SPMC bowel preparation or polyethylene glycol (PEG) bowel preparation. Male and female children, 9 to 16 years, who were undergoing elective colonoscopy were eligible for the study. Participants 9-12 years old were randomized 1:1:1 to SPMC ½ dose </w:t>
      </w:r>
      <w:r w:rsidR="00164B5E" w:rsidRPr="00276E00">
        <w:rPr>
          <w:rFonts w:ascii="Book Antiqua" w:hAnsi="Book Antiqua"/>
          <w:lang w:val="pl-PL"/>
        </w:rPr>
        <w:t>×</w:t>
      </w:r>
      <w:r w:rsidR="00164B5E">
        <w:rPr>
          <w:rFonts w:ascii="Book Antiqua" w:hAnsi="Book Antiqua"/>
          <w:lang w:val="pl-PL"/>
        </w:rPr>
        <w:t xml:space="preserve"> </w:t>
      </w:r>
      <w:r>
        <w:rPr>
          <w:rFonts w:ascii="Book Antiqua" w:eastAsia="Book Antiqua" w:hAnsi="Book Antiqua" w:cs="Book Antiqua"/>
          <w:color w:val="000000"/>
        </w:rPr>
        <w:t xml:space="preserve">2, SPMC 1 dose </w:t>
      </w:r>
      <w:r w:rsidR="00007EB2" w:rsidRPr="00276E00">
        <w:rPr>
          <w:rFonts w:ascii="Book Antiqua" w:hAnsi="Book Antiqua"/>
          <w:lang w:val="pl-PL"/>
        </w:rPr>
        <w:t>×</w:t>
      </w:r>
      <w:r w:rsidR="00007EB2">
        <w:rPr>
          <w:rFonts w:ascii="Book Antiqua" w:hAnsi="Book Antiqua"/>
          <w:lang w:val="pl-PL"/>
        </w:rPr>
        <w:t xml:space="preserve"> </w:t>
      </w:r>
      <w:r>
        <w:rPr>
          <w:rFonts w:ascii="Book Antiqua" w:eastAsia="Book Antiqua" w:hAnsi="Book Antiqua" w:cs="Book Antiqua"/>
          <w:color w:val="000000"/>
        </w:rPr>
        <w:t xml:space="preserve">2, or PEG. Participants 13-16 years old were randomized 1:1 to SPMC 1 dose </w:t>
      </w:r>
      <w:r w:rsidR="00007EB2" w:rsidRPr="00276E00">
        <w:rPr>
          <w:rFonts w:ascii="Book Antiqua" w:hAnsi="Book Antiqua"/>
          <w:lang w:val="pl-PL"/>
        </w:rPr>
        <w:t>×</w:t>
      </w:r>
      <w:r w:rsidR="00007EB2">
        <w:rPr>
          <w:rFonts w:ascii="Book Antiqua" w:hAnsi="Book Antiqua"/>
          <w:lang w:val="pl-PL"/>
        </w:rPr>
        <w:t xml:space="preserve"> </w:t>
      </w:r>
      <w:r>
        <w:rPr>
          <w:rFonts w:ascii="Book Antiqua" w:eastAsia="Book Antiqua" w:hAnsi="Book Antiqua" w:cs="Book Antiqua"/>
          <w:color w:val="000000"/>
        </w:rPr>
        <w:t xml:space="preserve">2 or PEG. Efficacy of overall colon cleansing was assessed by the modified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(AS), tolerability was assessed by a 7-item questionnaire, and safety was assessed by reports of adverse events (AEs). </w:t>
      </w:r>
    </w:p>
    <w:p w14:paraId="3DC53C89" w14:textId="77777777" w:rsidR="00A77B3E" w:rsidRDefault="00A77B3E">
      <w:pPr>
        <w:spacing w:line="360" w:lineRule="auto"/>
        <w:jc w:val="both"/>
      </w:pPr>
    </w:p>
    <w:p w14:paraId="52B03999" w14:textId="77777777" w:rsidR="00A77B3E" w:rsidRDefault="00144E88">
      <w:pPr>
        <w:spacing w:line="360" w:lineRule="auto"/>
        <w:jc w:val="both"/>
      </w:pPr>
      <w:r>
        <w:rPr>
          <w:rFonts w:ascii="Book Antiqua" w:eastAsia="Book Antiqua" w:hAnsi="Book Antiqua" w:cs="Book Antiqua"/>
          <w:b/>
          <w:i/>
          <w:color w:val="000000"/>
        </w:rPr>
        <w:t>Research results</w:t>
      </w:r>
    </w:p>
    <w:p w14:paraId="4D9E76A7" w14:textId="46FE8D68" w:rsidR="00A77B3E" w:rsidRDefault="00144E88">
      <w:pPr>
        <w:spacing w:line="360" w:lineRule="auto"/>
        <w:jc w:val="both"/>
      </w:pPr>
      <w:r>
        <w:rPr>
          <w:rFonts w:ascii="Book Antiqua" w:eastAsia="Book Antiqua" w:hAnsi="Book Antiqua" w:cs="Book Antiqua"/>
          <w:color w:val="000000"/>
        </w:rPr>
        <w:t xml:space="preserve">A total of 78 participants were randomized, with 48 aged 9-12 years, and 30 aged 13-16 years. In the 9-12 years group, 87.5% (90%CI: 65.6%, 97.7%) were responders for SPMC 1 dose </w:t>
      </w:r>
      <w:r w:rsidR="003470E8" w:rsidRPr="00276E00">
        <w:rPr>
          <w:rFonts w:ascii="Book Antiqua" w:hAnsi="Book Antiqua"/>
          <w:lang w:val="pl-PL"/>
        </w:rPr>
        <w:t>×</w:t>
      </w:r>
      <w:r w:rsidR="003470E8">
        <w:rPr>
          <w:rFonts w:ascii="Book Antiqua" w:hAnsi="Book Antiqua"/>
          <w:lang w:val="pl-PL"/>
        </w:rPr>
        <w:t xml:space="preserve"> </w:t>
      </w:r>
      <w:r>
        <w:rPr>
          <w:rFonts w:ascii="Book Antiqua" w:eastAsia="Book Antiqua" w:hAnsi="Book Antiqua" w:cs="Book Antiqua"/>
          <w:color w:val="000000"/>
        </w:rPr>
        <w:t xml:space="preserve">2 treatment arm, and 81.3% (90%CI: 58.3%, 94.7%) were responders for PEG treatment arm. In the 13-16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group, 81.3% (90% CI: 58.3%, 94.7%) were responders for SPMC 1 dose </w:t>
      </w:r>
      <w:r w:rsidR="003470E8" w:rsidRPr="00276E00">
        <w:rPr>
          <w:rFonts w:ascii="Book Antiqua" w:hAnsi="Book Antiqua"/>
          <w:lang w:val="pl-PL"/>
        </w:rPr>
        <w:t>×</w:t>
      </w:r>
      <w:r w:rsidR="003470E8">
        <w:rPr>
          <w:rFonts w:ascii="Book Antiqua" w:hAnsi="Book Antiqua"/>
          <w:lang w:val="pl-PL"/>
        </w:rPr>
        <w:t xml:space="preserve"> </w:t>
      </w:r>
      <w:r>
        <w:rPr>
          <w:rFonts w:ascii="Book Antiqua" w:eastAsia="Book Antiqua" w:hAnsi="Book Antiqua" w:cs="Book Antiqua"/>
          <w:color w:val="000000"/>
        </w:rPr>
        <w:t xml:space="preserve">2 treatment arm, and 85.7% (90%CI: 61.5%, 97.4%) were responders for PEG treatment arm. In the SPMC ½ dose </w:t>
      </w:r>
      <w:r w:rsidR="003470E8" w:rsidRPr="00276E00">
        <w:rPr>
          <w:rFonts w:ascii="Book Antiqua" w:hAnsi="Book Antiqua"/>
          <w:lang w:val="pl-PL"/>
        </w:rPr>
        <w:t>×</w:t>
      </w:r>
      <w:r w:rsidR="003470E8">
        <w:rPr>
          <w:rFonts w:ascii="Book Antiqua" w:hAnsi="Book Antiqua"/>
          <w:lang w:val="pl-PL"/>
        </w:rPr>
        <w:t xml:space="preserve"> </w:t>
      </w:r>
      <w:r>
        <w:rPr>
          <w:rFonts w:ascii="Book Antiqua" w:eastAsia="Book Antiqua" w:hAnsi="Book Antiqua" w:cs="Book Antiqua"/>
          <w:color w:val="000000"/>
        </w:rPr>
        <w:t xml:space="preserve">2 arm (9-12 years only), 50.0% (90%CI: 27.9%, 72.1%) of participants were responders. In both age groups, a greater number of participants receiving SPMC 1 dose </w:t>
      </w:r>
      <w:r w:rsidR="003470E8" w:rsidRPr="00276E00">
        <w:rPr>
          <w:rFonts w:ascii="Book Antiqua" w:hAnsi="Book Antiqua"/>
          <w:lang w:val="pl-PL"/>
        </w:rPr>
        <w:t>×</w:t>
      </w:r>
      <w:r w:rsidR="003470E8">
        <w:rPr>
          <w:rFonts w:ascii="Book Antiqua" w:hAnsi="Book Antiqua"/>
          <w:lang w:val="pl-PL"/>
        </w:rPr>
        <w:t xml:space="preserve"> </w:t>
      </w:r>
      <w:r>
        <w:rPr>
          <w:rFonts w:ascii="Book Antiqua" w:eastAsia="Book Antiqua" w:hAnsi="Book Antiqua" w:cs="Book Antiqua"/>
          <w:color w:val="000000"/>
        </w:rPr>
        <w:t>2 found it ‘very easy’ or ‘easy’ to ingest than those receiving PEG. Treatment-emergent AEs were reported by 45.5% of participants receiving SPMC 1 dose x2 and 63.0% receiving PEG.</w:t>
      </w:r>
    </w:p>
    <w:p w14:paraId="533AB6DD" w14:textId="77777777" w:rsidR="00A77B3E" w:rsidRDefault="00A77B3E">
      <w:pPr>
        <w:spacing w:line="360" w:lineRule="auto"/>
        <w:jc w:val="both"/>
      </w:pPr>
    </w:p>
    <w:p w14:paraId="0E862018" w14:textId="77777777" w:rsidR="00A77B3E" w:rsidRDefault="00144E88">
      <w:pPr>
        <w:spacing w:line="360" w:lineRule="auto"/>
        <w:jc w:val="both"/>
      </w:pPr>
      <w:r>
        <w:rPr>
          <w:rFonts w:ascii="Book Antiqua" w:eastAsia="Book Antiqua" w:hAnsi="Book Antiqua" w:cs="Book Antiqua"/>
          <w:b/>
          <w:i/>
          <w:color w:val="000000"/>
        </w:rPr>
        <w:t>Research conclusions</w:t>
      </w:r>
    </w:p>
    <w:p w14:paraId="4A89EA19" w14:textId="77777777" w:rsidR="00A77B3E" w:rsidRDefault="00144E88">
      <w:pPr>
        <w:spacing w:line="360" w:lineRule="auto"/>
        <w:jc w:val="both"/>
      </w:pPr>
      <w:r>
        <w:rPr>
          <w:rFonts w:ascii="Book Antiqua" w:eastAsia="Book Antiqua" w:hAnsi="Book Antiqua" w:cs="Book Antiqua"/>
          <w:color w:val="000000"/>
        </w:rPr>
        <w:t xml:space="preserve">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magnesium oxide, and citric acid low volume bowel preparation had higher tolerability in children 9-16 years compared to polyethylene glycol-based </w:t>
      </w:r>
      <w:r>
        <w:rPr>
          <w:rFonts w:ascii="Book Antiqua" w:eastAsia="Book Antiqua" w:hAnsi="Book Antiqua" w:cs="Book Antiqua"/>
          <w:color w:val="000000"/>
        </w:rPr>
        <w:lastRenderedPageBreak/>
        <w:t xml:space="preserve">preparations, potentially due to a lower volume of bowel preparation to ingest. SPMC bowel preparation efficacy and safety were comparable to PEG. </w:t>
      </w:r>
    </w:p>
    <w:p w14:paraId="27E68F75" w14:textId="77777777" w:rsidR="00A77B3E" w:rsidRDefault="00A77B3E">
      <w:pPr>
        <w:spacing w:line="360" w:lineRule="auto"/>
        <w:jc w:val="both"/>
      </w:pPr>
    </w:p>
    <w:p w14:paraId="531A5531" w14:textId="77777777" w:rsidR="00A77B3E" w:rsidRDefault="00144E88">
      <w:pPr>
        <w:spacing w:line="360" w:lineRule="auto"/>
        <w:jc w:val="both"/>
      </w:pPr>
      <w:r>
        <w:rPr>
          <w:rFonts w:ascii="Book Antiqua" w:eastAsia="Book Antiqua" w:hAnsi="Book Antiqua" w:cs="Book Antiqua"/>
          <w:b/>
          <w:i/>
          <w:color w:val="000000"/>
        </w:rPr>
        <w:t>Research perspectives</w:t>
      </w:r>
    </w:p>
    <w:p w14:paraId="344322E6" w14:textId="77777777" w:rsidR="00A77B3E" w:rsidRDefault="00144E88">
      <w:pPr>
        <w:spacing w:line="360" w:lineRule="auto"/>
        <w:jc w:val="both"/>
      </w:pPr>
      <w:r>
        <w:rPr>
          <w:rFonts w:ascii="Book Antiqua" w:eastAsia="Book Antiqua" w:hAnsi="Book Antiqua" w:cs="Book Antiqua"/>
          <w:color w:val="000000"/>
        </w:rPr>
        <w:t xml:space="preserve">As the tolerability was higher and the efficacy and safety were consistent with the standard of care for pediatric bowel preparation, SPMC 1 dose x2 should be considered as a more feasible and easier-to-consume option compared to PEG for all bowel preparations in children 9 to 16 years old. </w:t>
      </w:r>
    </w:p>
    <w:p w14:paraId="0E9EB331" w14:textId="77777777" w:rsidR="00A77B3E" w:rsidRDefault="00A77B3E">
      <w:pPr>
        <w:spacing w:line="360" w:lineRule="auto"/>
        <w:jc w:val="both"/>
      </w:pPr>
    </w:p>
    <w:p w14:paraId="794D05E9" w14:textId="77777777" w:rsidR="00A77B3E" w:rsidRDefault="00144E88">
      <w:pPr>
        <w:spacing w:line="360" w:lineRule="auto"/>
        <w:jc w:val="both"/>
      </w:pPr>
      <w:r>
        <w:rPr>
          <w:rFonts w:ascii="Book Antiqua" w:eastAsia="Book Antiqua" w:hAnsi="Book Antiqua" w:cs="Book Antiqua"/>
          <w:b/>
          <w:caps/>
          <w:color w:val="000000"/>
          <w:u w:val="single"/>
        </w:rPr>
        <w:t>ACKNOWLEDGEMENTS</w:t>
      </w:r>
    </w:p>
    <w:p w14:paraId="1AE8B4CE" w14:textId="706DBB3D" w:rsidR="00A77B3E" w:rsidRDefault="00144E88">
      <w:pPr>
        <w:spacing w:line="360" w:lineRule="auto"/>
        <w:jc w:val="both"/>
      </w:pPr>
      <w:r>
        <w:rPr>
          <w:rFonts w:ascii="Book Antiqua" w:eastAsia="Book Antiqua" w:hAnsi="Book Antiqua" w:cs="Book Antiqua"/>
          <w:color w:val="000000"/>
        </w:rPr>
        <w:t xml:space="preserve">The authors would like to thank the investigators, study staff, and participants who were involved in the trial.  </w:t>
      </w:r>
    </w:p>
    <w:p w14:paraId="6C6D11BC" w14:textId="77777777" w:rsidR="00A77B3E" w:rsidRDefault="00A77B3E">
      <w:pPr>
        <w:spacing w:line="360" w:lineRule="auto"/>
        <w:jc w:val="both"/>
      </w:pPr>
    </w:p>
    <w:p w14:paraId="2F4E3D67" w14:textId="77777777" w:rsidR="00A77B3E" w:rsidRDefault="00144E88">
      <w:pPr>
        <w:spacing w:line="360" w:lineRule="auto"/>
        <w:jc w:val="both"/>
      </w:pPr>
      <w:r>
        <w:rPr>
          <w:rFonts w:ascii="Book Antiqua" w:eastAsia="Book Antiqua" w:hAnsi="Book Antiqua" w:cs="Book Antiqua"/>
          <w:b/>
          <w:color w:val="000000"/>
        </w:rPr>
        <w:t>REFERENCES</w:t>
      </w:r>
    </w:p>
    <w:p w14:paraId="679665AB" w14:textId="77777777" w:rsidR="00A77B3E" w:rsidRDefault="00144E8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Hunter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Bowel preparation for pediatric colonoscopy procedures.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254-261 [PMID: 20683200 DOI: 10.1097/MPG.0b013e3181eb6a1c]</w:t>
      </w:r>
    </w:p>
    <w:p w14:paraId="0FC73561" w14:textId="2104C246" w:rsidR="00A77B3E" w:rsidRDefault="00144E8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Acosta 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 Early D, Evans JA, Fanelli RD,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Kashab</w:t>
      </w:r>
      <w:proofErr w:type="spellEnd"/>
      <w:r>
        <w:rPr>
          <w:rFonts w:ascii="Book Antiqua" w:eastAsia="Book Antiqua" w:hAnsi="Book Antiqua" w:cs="Book Antiqua"/>
          <w:color w:val="000000"/>
        </w:rPr>
        <w:t xml:space="preserve"> M, Muthusamy VR, Pasha S, Saltzman JR, Cash BD; American Society for Gastrointestinal Endoscopy. Modifications in endoscopic practice for pediatric patients.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699-710 [PMID: 24593951 DOI: 10.1016/j.gie.2013.08.014]</w:t>
      </w:r>
    </w:p>
    <w:p w14:paraId="68577F10" w14:textId="5D65AF59" w:rsidR="00A77B3E" w:rsidRDefault="00144E8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Saltzman JR, Cash BD, Pasha SF, Early DS, Muthusamy VR,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Fanelli RD, Chandrasekhara V,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Hwang JH, Decker GA,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Sharaf R, Fisher DA, Evans JA, Foley K, Shaukat A,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Wang A, Acosta RD. Bowel preparation before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781-794 [PMID: 25595062 DOI: 10.1016/j.gie.2014.09.048]</w:t>
      </w:r>
    </w:p>
    <w:p w14:paraId="7FB264D2" w14:textId="77777777" w:rsidR="00A77B3E" w:rsidRDefault="00144E8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Pall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Zacur</w:t>
      </w:r>
      <w:proofErr w:type="spellEnd"/>
      <w:r>
        <w:rPr>
          <w:rFonts w:ascii="Book Antiqua" w:eastAsia="Book Antiqua" w:hAnsi="Book Antiqua" w:cs="Book Antiqua"/>
          <w:color w:val="000000"/>
        </w:rPr>
        <w:t xml:space="preserve"> GM, Kramer RE, </w:t>
      </w:r>
      <w:proofErr w:type="spellStart"/>
      <w:r>
        <w:rPr>
          <w:rFonts w:ascii="Book Antiqua" w:eastAsia="Book Antiqua" w:hAnsi="Book Antiqua" w:cs="Book Antiqua"/>
          <w:color w:val="000000"/>
        </w:rPr>
        <w:t>Lirio</w:t>
      </w:r>
      <w:proofErr w:type="spellEnd"/>
      <w:r>
        <w:rPr>
          <w:rFonts w:ascii="Book Antiqua" w:eastAsia="Book Antiqua" w:hAnsi="Book Antiqua" w:cs="Book Antiqua"/>
          <w:color w:val="000000"/>
        </w:rPr>
        <w:t xml:space="preserve"> RA, Manfredi M, Shah M, Stephen TC, Tucker N, Gibbons TE, </w:t>
      </w:r>
      <w:proofErr w:type="spellStart"/>
      <w:r>
        <w:rPr>
          <w:rFonts w:ascii="Book Antiqua" w:eastAsia="Book Antiqua" w:hAnsi="Book Antiqua" w:cs="Book Antiqua"/>
          <w:color w:val="000000"/>
        </w:rPr>
        <w:t>Sahn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McOmber</w:t>
      </w:r>
      <w:proofErr w:type="spellEnd"/>
      <w:r>
        <w:rPr>
          <w:rFonts w:ascii="Book Antiqua" w:eastAsia="Book Antiqua" w:hAnsi="Book Antiqua" w:cs="Book Antiqua"/>
          <w:color w:val="000000"/>
        </w:rPr>
        <w:t xml:space="preserve"> M, Friedlander J,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JA, Fishman DS,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Bowel preparation for pediatric colonoscopy: report of the NASPGHAN endoscopy and procedures committee.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409-416 [PMID: 24897169 DOI: 10.1097/MPG.0000000000000447]</w:t>
      </w:r>
    </w:p>
    <w:p w14:paraId="79D2CE96" w14:textId="77777777" w:rsidR="00A77B3E" w:rsidRDefault="00144E88">
      <w:pPr>
        <w:spacing w:line="360" w:lineRule="auto"/>
        <w:jc w:val="both"/>
      </w:pPr>
      <w:r w:rsidRPr="00851B00">
        <w:rPr>
          <w:rFonts w:ascii="Book Antiqua" w:eastAsia="Book Antiqua" w:hAnsi="Book Antiqua" w:cs="Book Antiqua"/>
          <w:color w:val="000000"/>
          <w:highlight w:val="yellow"/>
        </w:rPr>
        <w:t xml:space="preserve">5 </w:t>
      </w:r>
      <w:r w:rsidRPr="00851B00">
        <w:rPr>
          <w:rFonts w:ascii="Book Antiqua" w:eastAsia="Book Antiqua" w:hAnsi="Book Antiqua" w:cs="Book Antiqua"/>
          <w:b/>
          <w:bCs/>
          <w:color w:val="000000"/>
          <w:highlight w:val="yellow"/>
        </w:rPr>
        <w:t>CLENPIQ</w:t>
      </w:r>
      <w:r w:rsidRPr="00CB38B9">
        <w:rPr>
          <w:rFonts w:ascii="Book Antiqua" w:eastAsia="Book Antiqua" w:hAnsi="Book Antiqua" w:cs="Book Antiqua"/>
          <w:bCs/>
          <w:color w:val="000000"/>
          <w:highlight w:val="yellow"/>
        </w:rPr>
        <w:t xml:space="preserve">. [package insert]. </w:t>
      </w:r>
      <w:proofErr w:type="gramStart"/>
      <w:r w:rsidRPr="00CB38B9">
        <w:rPr>
          <w:rFonts w:ascii="Book Antiqua" w:eastAsia="Book Antiqua" w:hAnsi="Book Antiqua" w:cs="Book Antiqua"/>
          <w:bCs/>
          <w:color w:val="000000"/>
          <w:highlight w:val="yellow"/>
        </w:rPr>
        <w:t>2019:Parsippany</w:t>
      </w:r>
      <w:proofErr w:type="gramEnd"/>
      <w:r w:rsidRPr="00CB38B9">
        <w:rPr>
          <w:rFonts w:ascii="Book Antiqua" w:eastAsia="Book Antiqua" w:hAnsi="Book Antiqua" w:cs="Book Antiqua"/>
          <w:bCs/>
          <w:color w:val="000000"/>
          <w:highlight w:val="yellow"/>
        </w:rPr>
        <w:t>,</w:t>
      </w:r>
      <w:r w:rsidRPr="00CB38B9">
        <w:rPr>
          <w:rFonts w:ascii="Book Antiqua" w:eastAsia="Book Antiqua" w:hAnsi="Book Antiqua" w:cs="Book Antiqua"/>
          <w:color w:val="000000"/>
          <w:highlight w:val="yellow"/>
        </w:rPr>
        <w:t xml:space="preserve"> </w:t>
      </w:r>
      <w:r w:rsidRPr="00851B00">
        <w:rPr>
          <w:rFonts w:ascii="Book Antiqua" w:eastAsia="Book Antiqua" w:hAnsi="Book Antiqua" w:cs="Book Antiqua"/>
          <w:color w:val="000000"/>
          <w:highlight w:val="yellow"/>
        </w:rPr>
        <w:t>NJ: Ferring Pharmaceuticals Inc.</w:t>
      </w:r>
    </w:p>
    <w:p w14:paraId="274C4BE7" w14:textId="77777777" w:rsidR="00A77B3E" w:rsidRDefault="00144E8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Katz PO</w:t>
      </w:r>
      <w:r>
        <w:rPr>
          <w:rFonts w:ascii="Book Antiqua" w:eastAsia="Book Antiqua" w:hAnsi="Book Antiqua" w:cs="Book Antiqua"/>
          <w:color w:val="000000"/>
        </w:rPr>
        <w:t xml:space="preserve">, Rex DK, Epstein M, </w:t>
      </w:r>
      <w:proofErr w:type="spellStart"/>
      <w:r>
        <w:rPr>
          <w:rFonts w:ascii="Book Antiqua" w:eastAsia="Book Antiqua" w:hAnsi="Book Antiqua" w:cs="Book Antiqua"/>
          <w:color w:val="000000"/>
        </w:rPr>
        <w:t>Grandhi</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Hookey</w:t>
      </w:r>
      <w:proofErr w:type="spellEnd"/>
      <w:r>
        <w:rPr>
          <w:rFonts w:ascii="Book Antiqua" w:eastAsia="Book Antiqua" w:hAnsi="Book Antiqua" w:cs="Book Antiqua"/>
          <w:color w:val="000000"/>
        </w:rPr>
        <w:t xml:space="preserve"> LC, Alderfer V, Joseph RE. A dual-action, low-volume bowel cleanser administered the day before colonoscopy: results from the SEE CLEAR II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401-409 [PMID: 23318484 DOI: 10.1038/ajg.2012.441]</w:t>
      </w:r>
    </w:p>
    <w:p w14:paraId="350896B0" w14:textId="77777777" w:rsidR="00A77B3E" w:rsidRDefault="00144E8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Rex DK</w:t>
      </w:r>
      <w:r>
        <w:rPr>
          <w:rFonts w:ascii="Book Antiqua" w:eastAsia="Book Antiqua" w:hAnsi="Book Antiqua" w:cs="Book Antiqua"/>
          <w:color w:val="000000"/>
        </w:rPr>
        <w:t xml:space="preserve">, Katz PO, </w:t>
      </w:r>
      <w:proofErr w:type="spellStart"/>
      <w:r>
        <w:rPr>
          <w:rFonts w:ascii="Book Antiqua" w:eastAsia="Book Antiqua" w:hAnsi="Book Antiqua" w:cs="Book Antiqua"/>
          <w:color w:val="000000"/>
        </w:rPr>
        <w:t>Bertiger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Hookey</w:t>
      </w:r>
      <w:proofErr w:type="spellEnd"/>
      <w:r>
        <w:rPr>
          <w:rFonts w:ascii="Book Antiqua" w:eastAsia="Book Antiqua" w:hAnsi="Book Antiqua" w:cs="Book Antiqua"/>
          <w:color w:val="000000"/>
        </w:rPr>
        <w:t xml:space="preserve"> LC, Alderfer V, Joseph RE. Split-dose administration of a dual-action, low-volume bowel cleanser for colonoscopy: the SEE CLEAR I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132-141 [PMID: 23566639 DOI: 10.1016/j.gie.2013.02.024]</w:t>
      </w:r>
    </w:p>
    <w:p w14:paraId="2589B980" w14:textId="77777777" w:rsidR="00A77B3E" w:rsidRDefault="00144E8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Aronchick</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Lipshutz</w:t>
      </w:r>
      <w:proofErr w:type="spellEnd"/>
      <w:r>
        <w:rPr>
          <w:rFonts w:ascii="Book Antiqua" w:eastAsia="Book Antiqua" w:hAnsi="Book Antiqua" w:cs="Book Antiqua"/>
          <w:color w:val="000000"/>
        </w:rPr>
        <w:t xml:space="preserve"> WH, Wright SH, </w:t>
      </w:r>
      <w:proofErr w:type="spellStart"/>
      <w:r>
        <w:rPr>
          <w:rFonts w:ascii="Book Antiqua" w:eastAsia="Book Antiqua" w:hAnsi="Book Antiqua" w:cs="Book Antiqua"/>
          <w:color w:val="000000"/>
        </w:rPr>
        <w:t>Dufrayne</w:t>
      </w:r>
      <w:proofErr w:type="spellEnd"/>
      <w:r>
        <w:rPr>
          <w:rFonts w:ascii="Book Antiqua" w:eastAsia="Book Antiqua" w:hAnsi="Book Antiqua" w:cs="Book Antiqua"/>
          <w:color w:val="000000"/>
        </w:rPr>
        <w:t xml:space="preserve"> F, Bergman G. A novel tableted purgative for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efficacy and safety comparisons with </w:t>
      </w:r>
      <w:proofErr w:type="spellStart"/>
      <w:r>
        <w:rPr>
          <w:rFonts w:ascii="Book Antiqua" w:eastAsia="Book Antiqua" w:hAnsi="Book Antiqua" w:cs="Book Antiqua"/>
          <w:color w:val="000000"/>
        </w:rPr>
        <w:t>Colyte</w:t>
      </w:r>
      <w:proofErr w:type="spellEnd"/>
      <w:r>
        <w:rPr>
          <w:rFonts w:ascii="Book Antiqua" w:eastAsia="Book Antiqua" w:hAnsi="Book Antiqua" w:cs="Book Antiqua"/>
          <w:color w:val="000000"/>
        </w:rPr>
        <w:t xml:space="preserve"> and Fleet Phospho-Soda.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346-352 [PMID: 10968848 DOI: 10.1067/mge.2000.108480]</w:t>
      </w:r>
    </w:p>
    <w:p w14:paraId="2F9E3BFE" w14:textId="77777777" w:rsidR="00A77B3E" w:rsidRDefault="00144E8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Patel M</w:t>
      </w:r>
      <w:r>
        <w:rPr>
          <w:rFonts w:ascii="Book Antiqua" w:eastAsia="Book Antiqua" w:hAnsi="Book Antiqua" w:cs="Book Antiqua"/>
          <w:color w:val="000000"/>
        </w:rPr>
        <w:t xml:space="preserve">, Staggs E, Thomas CS, Lukens F, Wallace M,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C. Development and validation of the Mayo Clinic Bowel Prep Tolerability Questionnaire.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808-812 [PMID: 24953203 DOI: 10.1016/j.dld.2014.05.020]</w:t>
      </w:r>
    </w:p>
    <w:p w14:paraId="6470469A" w14:textId="77777777" w:rsidR="00A77B3E" w:rsidRDefault="00144E8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Hookey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Bertiger</w:t>
      </w:r>
      <w:proofErr w:type="spellEnd"/>
      <w:r>
        <w:rPr>
          <w:rFonts w:ascii="Book Antiqua" w:eastAsia="Book Antiqua" w:hAnsi="Book Antiqua" w:cs="Book Antiqua"/>
          <w:color w:val="000000"/>
        </w:rPr>
        <w:t xml:space="preserve"> G, Lee Johnson K 2nd, Ayala J, </w:t>
      </w:r>
      <w:proofErr w:type="spellStart"/>
      <w:r>
        <w:rPr>
          <w:rFonts w:ascii="Book Antiqua" w:eastAsia="Book Antiqua" w:hAnsi="Book Antiqua" w:cs="Book Antiqua"/>
          <w:color w:val="000000"/>
        </w:rPr>
        <w:t>Seifu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Brogadir</w:t>
      </w:r>
      <w:proofErr w:type="spellEnd"/>
      <w:r>
        <w:rPr>
          <w:rFonts w:ascii="Book Antiqua" w:eastAsia="Book Antiqua" w:hAnsi="Book Antiqua" w:cs="Book Antiqua"/>
          <w:color w:val="000000"/>
        </w:rPr>
        <w:t xml:space="preserve"> SP. Efficacy and safety of a ready-to-drink bowel preparation for colonoscopy: a randomized, controlled, non-inferiority trial.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1756284819851510 [PMID: 31205487 DOI: 10.1177/1756284819851510]</w:t>
      </w:r>
    </w:p>
    <w:p w14:paraId="42517F27" w14:textId="77777777" w:rsidR="00A77B3E" w:rsidRDefault="00144E8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Tripathi PR</w:t>
      </w:r>
      <w:r>
        <w:rPr>
          <w:rFonts w:ascii="Book Antiqua" w:eastAsia="Book Antiqua" w:hAnsi="Book Antiqua" w:cs="Book Antiqua"/>
          <w:color w:val="000000"/>
        </w:rPr>
        <w:t xml:space="preserve">, Poddar U, </w:t>
      </w:r>
      <w:proofErr w:type="spellStart"/>
      <w:r>
        <w:rPr>
          <w:rFonts w:ascii="Book Antiqua" w:eastAsia="Book Antiqua" w:hAnsi="Book Antiqua" w:cs="Book Antiqua"/>
          <w:color w:val="000000"/>
        </w:rPr>
        <w:t>Yachha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MS, Srivastava A. Efficacy of Single- Versus Split-dose Polyethylene Glycol for Colonic Preparation in Children: A Randomized Control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e1-e6 [PMID: 31567887 DOI: 10.1097/MPG.0000000000002511]</w:t>
      </w:r>
    </w:p>
    <w:p w14:paraId="4B87C2A6" w14:textId="77777777" w:rsidR="00A77B3E" w:rsidRDefault="00144E8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Jimenez-Rivera C</w:t>
      </w:r>
      <w:r>
        <w:rPr>
          <w:rFonts w:ascii="Book Antiqua" w:eastAsia="Book Antiqua" w:hAnsi="Book Antiqua" w:cs="Book Antiqua"/>
          <w:color w:val="000000"/>
        </w:rPr>
        <w:t xml:space="preserve">, Haas D, Boland M, </w:t>
      </w:r>
      <w:proofErr w:type="spellStart"/>
      <w:r>
        <w:rPr>
          <w:rFonts w:ascii="Book Antiqua" w:eastAsia="Book Antiqua" w:hAnsi="Book Antiqua" w:cs="Book Antiqua"/>
          <w:color w:val="000000"/>
        </w:rPr>
        <w:t>Barkey</w:t>
      </w:r>
      <w:proofErr w:type="spellEnd"/>
      <w:r>
        <w:rPr>
          <w:rFonts w:ascii="Book Antiqua" w:eastAsia="Book Antiqua" w:hAnsi="Book Antiqua" w:cs="Book Antiqua"/>
          <w:color w:val="000000"/>
        </w:rPr>
        <w:t xml:space="preserve"> JL, Mack DR. Comparison of two common outpatient preparations for colonoscopy in children and youth.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518932 [PMID: 20029642 DOI: 10.1155/2009/518932]</w:t>
      </w:r>
    </w:p>
    <w:p w14:paraId="32433F16" w14:textId="77777777" w:rsidR="00A77B3E" w:rsidRDefault="00144E8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Dunn H, Griffiths AM, Frost K, </w:t>
      </w:r>
      <w:proofErr w:type="spellStart"/>
      <w:r>
        <w:rPr>
          <w:rFonts w:ascii="Book Antiqua" w:eastAsia="Book Antiqua" w:hAnsi="Book Antiqua" w:cs="Book Antiqua"/>
          <w:color w:val="000000"/>
        </w:rPr>
        <w:t>Scaini</w:t>
      </w:r>
      <w:proofErr w:type="spellEnd"/>
      <w:r>
        <w:rPr>
          <w:rFonts w:ascii="Book Antiqua" w:eastAsia="Book Antiqua" w:hAnsi="Book Antiqua" w:cs="Book Antiqua"/>
          <w:color w:val="000000"/>
        </w:rPr>
        <w:t xml:space="preserve"> V, Avolio J, Ling SC. Pico-</w:t>
      </w:r>
      <w:proofErr w:type="spellStart"/>
      <w:r>
        <w:rPr>
          <w:rFonts w:ascii="Book Antiqua" w:eastAsia="Book Antiqua" w:hAnsi="Book Antiqua" w:cs="Book Antiqua"/>
          <w:color w:val="000000"/>
        </w:rPr>
        <w:t>Salax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for bowel cleanout before colonoscopy in children: a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1038-1045 [PMID: 19967619 DOI: 10.1055/s-0029-1215333]</w:t>
      </w:r>
    </w:p>
    <w:p w14:paraId="58D7EE3B" w14:textId="77777777" w:rsidR="00A77B3E" w:rsidRDefault="00144E8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Vejzovic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Wennick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Idvall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Agardh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Bramhagen</w:t>
      </w:r>
      <w:proofErr w:type="spellEnd"/>
      <w:r>
        <w:rPr>
          <w:rFonts w:ascii="Book Antiqua" w:eastAsia="Book Antiqua" w:hAnsi="Book Antiqua" w:cs="Book Antiqua"/>
          <w:color w:val="000000"/>
        </w:rPr>
        <w:t xml:space="preserve"> AC. Polyethylene Glycol- or Sodium </w:t>
      </w:r>
      <w:proofErr w:type="spellStart"/>
      <w:r>
        <w:rPr>
          <w:rFonts w:ascii="Book Antiqua" w:eastAsia="Book Antiqua" w:hAnsi="Book Antiqua" w:cs="Book Antiqua"/>
          <w:color w:val="000000"/>
        </w:rPr>
        <w:t>Picosulphate</w:t>
      </w:r>
      <w:proofErr w:type="spellEnd"/>
      <w:r>
        <w:rPr>
          <w:rFonts w:ascii="Book Antiqua" w:eastAsia="Book Antiqua" w:hAnsi="Book Antiqua" w:cs="Book Antiqua"/>
          <w:color w:val="000000"/>
        </w:rPr>
        <w:t xml:space="preserve">-Based Laxatives Before Colonoscopy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414-419 [PMID: 26360658 DOI: 10.1097/MPG.0000000000000978]</w:t>
      </w:r>
    </w:p>
    <w:p w14:paraId="6EDB32F5" w14:textId="59FFC72C" w:rsidR="00A77B3E" w:rsidRDefault="00144E88">
      <w:pPr>
        <w:spacing w:line="360" w:lineRule="auto"/>
        <w:jc w:val="both"/>
      </w:pPr>
      <w:r w:rsidRPr="00201D65">
        <w:rPr>
          <w:rFonts w:ascii="Book Antiqua" w:eastAsia="Book Antiqua" w:hAnsi="Book Antiqua" w:cs="Book Antiqua"/>
          <w:color w:val="000000"/>
        </w:rPr>
        <w:t xml:space="preserve">15 </w:t>
      </w:r>
      <w:proofErr w:type="spellStart"/>
      <w:r w:rsidRPr="00201D65">
        <w:rPr>
          <w:rFonts w:ascii="Book Antiqua" w:eastAsia="Book Antiqua" w:hAnsi="Book Antiqua" w:cs="Book Antiqua"/>
          <w:b/>
          <w:bCs/>
          <w:color w:val="000000"/>
        </w:rPr>
        <w:t>Pinfield</w:t>
      </w:r>
      <w:proofErr w:type="spellEnd"/>
      <w:r w:rsidRPr="00201D65">
        <w:rPr>
          <w:rFonts w:ascii="Book Antiqua" w:eastAsia="Book Antiqua" w:hAnsi="Book Antiqua" w:cs="Book Antiqua"/>
          <w:b/>
          <w:bCs/>
          <w:color w:val="000000"/>
        </w:rPr>
        <w:t xml:space="preserve"> A,</w:t>
      </w:r>
      <w:r w:rsidRPr="00201D65">
        <w:rPr>
          <w:rFonts w:ascii="Book Antiqua" w:eastAsia="Book Antiqua" w:hAnsi="Book Antiqua" w:cs="Book Antiqua"/>
          <w:color w:val="000000"/>
        </w:rPr>
        <w:t xml:space="preserve"> Stringer MD. </w:t>
      </w:r>
      <w:proofErr w:type="spellStart"/>
      <w:r w:rsidRPr="00201D65">
        <w:rPr>
          <w:rFonts w:ascii="Book Antiqua" w:eastAsia="Book Antiqua" w:hAnsi="Book Antiqua" w:cs="Book Antiqua"/>
          <w:color w:val="000000"/>
        </w:rPr>
        <w:t>Randomised</w:t>
      </w:r>
      <w:proofErr w:type="spellEnd"/>
      <w:r w:rsidRPr="00201D65">
        <w:rPr>
          <w:rFonts w:ascii="Book Antiqua" w:eastAsia="Book Antiqua" w:hAnsi="Book Antiqua" w:cs="Book Antiqua"/>
          <w:color w:val="000000"/>
        </w:rPr>
        <w:t xml:space="preserve"> trial of two pharmacological methods of bowel preparation for day case colonoscopy. </w:t>
      </w:r>
      <w:r w:rsidRPr="00201D65">
        <w:rPr>
          <w:rFonts w:ascii="Book Antiqua" w:eastAsia="Book Antiqua" w:hAnsi="Book Antiqua" w:cs="Book Antiqua"/>
          <w:i/>
          <w:color w:val="000000"/>
        </w:rPr>
        <w:t>Arch Dis Child</w:t>
      </w:r>
      <w:r w:rsidRPr="00201D65">
        <w:rPr>
          <w:rFonts w:ascii="Book Antiqua" w:eastAsia="Book Antiqua" w:hAnsi="Book Antiqua" w:cs="Book Antiqua"/>
          <w:color w:val="000000"/>
        </w:rPr>
        <w:t xml:space="preserve"> 1999; </w:t>
      </w:r>
      <w:r w:rsidRPr="00201D65">
        <w:rPr>
          <w:rFonts w:ascii="Book Antiqua" w:eastAsia="Book Antiqua" w:hAnsi="Book Antiqua" w:cs="Book Antiqua"/>
          <w:b/>
          <w:color w:val="000000"/>
        </w:rPr>
        <w:t>80</w:t>
      </w:r>
      <w:r w:rsidRPr="00201D65">
        <w:rPr>
          <w:rFonts w:ascii="Book Antiqua" w:eastAsia="Book Antiqua" w:hAnsi="Book Antiqua" w:cs="Book Antiqua"/>
          <w:color w:val="000000"/>
        </w:rPr>
        <w:t>:</w:t>
      </w:r>
      <w:r w:rsidR="00201D65" w:rsidRPr="00201D65">
        <w:rPr>
          <w:rFonts w:ascii="Book Antiqua" w:eastAsia="Book Antiqua" w:hAnsi="Book Antiqua" w:cs="Book Antiqua"/>
          <w:color w:val="000000"/>
        </w:rPr>
        <w:t xml:space="preserve"> </w:t>
      </w:r>
      <w:r w:rsidRPr="00201D65">
        <w:rPr>
          <w:rFonts w:ascii="Book Antiqua" w:eastAsia="Book Antiqua" w:hAnsi="Book Antiqua" w:cs="Book Antiqua"/>
          <w:color w:val="000000"/>
        </w:rPr>
        <w:t>181</w:t>
      </w:r>
      <w:r w:rsidR="00201D65" w:rsidRPr="00201D65">
        <w:rPr>
          <w:rFonts w:ascii="Book Antiqua" w:eastAsia="Book Antiqua" w:hAnsi="Book Antiqua" w:cs="Book Antiqua"/>
          <w:color w:val="000000"/>
        </w:rPr>
        <w:t>-</w:t>
      </w:r>
      <w:r w:rsidRPr="00201D65">
        <w:rPr>
          <w:rFonts w:ascii="Book Antiqua" w:eastAsia="Book Antiqua" w:hAnsi="Book Antiqua" w:cs="Book Antiqua"/>
          <w:color w:val="000000"/>
        </w:rPr>
        <w:t>183</w:t>
      </w:r>
    </w:p>
    <w:p w14:paraId="6A3EE5ED" w14:textId="77777777" w:rsidR="00A77B3E" w:rsidRDefault="00144E8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Pinfield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Stringer MD.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two pharmacological methods of bowel preparation for day case colonoscopy.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1999; </w:t>
      </w:r>
      <w:r>
        <w:rPr>
          <w:rFonts w:ascii="Book Antiqua" w:eastAsia="Book Antiqua" w:hAnsi="Book Antiqua" w:cs="Book Antiqua"/>
          <w:b/>
          <w:bCs/>
          <w:color w:val="000000"/>
        </w:rPr>
        <w:t>80</w:t>
      </w:r>
      <w:r>
        <w:rPr>
          <w:rFonts w:ascii="Book Antiqua" w:eastAsia="Book Antiqua" w:hAnsi="Book Antiqua" w:cs="Book Antiqua"/>
          <w:color w:val="000000"/>
        </w:rPr>
        <w:t>: 181-183 [PMID: 10325738 DOI: 10.1136/adc.80.2.181]</w:t>
      </w:r>
    </w:p>
    <w:p w14:paraId="0A0797EF" w14:textId="77777777" w:rsidR="00A77B3E" w:rsidRDefault="00144E8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Spada C, Hassan C, </w:t>
      </w:r>
      <w:proofErr w:type="spellStart"/>
      <w:r>
        <w:rPr>
          <w:rFonts w:ascii="Book Antiqua" w:eastAsia="Book Antiqua" w:hAnsi="Book Antiqua" w:cs="Book Antiqua"/>
          <w:color w:val="000000"/>
        </w:rPr>
        <w:t>Civitelli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Nuti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Pession</w:t>
      </w:r>
      <w:proofErr w:type="spellEnd"/>
      <w:r>
        <w:rPr>
          <w:rFonts w:ascii="Book Antiqua" w:eastAsia="Book Antiqua" w:hAnsi="Book Antiqua" w:cs="Book Antiqua"/>
          <w:color w:val="000000"/>
        </w:rPr>
        <w:t xml:space="preserve"> A, Lima M, La Torre G, Oliva S. Bowel preparations for colonoscopy: an RCT.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249-256 [PMID: 25002661 DOI: 10.1542/peds.2014-0131]</w:t>
      </w:r>
    </w:p>
    <w:p w14:paraId="605C4F57" w14:textId="77777777" w:rsidR="00A77B3E" w:rsidRDefault="00144E8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Pashankar</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w:t>
      </w:r>
      <w:proofErr w:type="spellEnd"/>
      <w:r>
        <w:rPr>
          <w:rFonts w:ascii="Book Antiqua" w:eastAsia="Book Antiqua" w:hAnsi="Book Antiqua" w:cs="Book Antiqua"/>
          <w:color w:val="000000"/>
        </w:rPr>
        <w:t xml:space="preserve"> A, Bishop WP. Polyethylene glycol 3350 without electrolytes: a new safe, effective, and palatable bowel preparation for colonoscopy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144</w:t>
      </w:r>
      <w:r>
        <w:rPr>
          <w:rFonts w:ascii="Book Antiqua" w:eastAsia="Book Antiqua" w:hAnsi="Book Antiqua" w:cs="Book Antiqua"/>
          <w:color w:val="000000"/>
        </w:rPr>
        <w:t>: 358-362 [PMID: 15001943 DOI: 10.1016/j.jpeds.2003.11.033]</w:t>
      </w:r>
    </w:p>
    <w:p w14:paraId="505C9A31" w14:textId="77777777" w:rsidR="00A77B3E" w:rsidRDefault="00144E8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Safder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Demintieva</w:t>
      </w:r>
      <w:proofErr w:type="spellEnd"/>
      <w:r>
        <w:rPr>
          <w:rFonts w:ascii="Book Antiqua" w:eastAsia="Book Antiqua" w:hAnsi="Book Antiqua" w:cs="Book Antiqua"/>
          <w:color w:val="000000"/>
        </w:rPr>
        <w:t xml:space="preserve"> Y, Rewalt M, </w:t>
      </w:r>
      <w:proofErr w:type="spellStart"/>
      <w:r>
        <w:rPr>
          <w:rFonts w:ascii="Book Antiqua" w:eastAsia="Book Antiqua" w:hAnsi="Book Antiqua" w:cs="Book Antiqua"/>
          <w:color w:val="000000"/>
        </w:rPr>
        <w:t>Elitsur</w:t>
      </w:r>
      <w:proofErr w:type="spellEnd"/>
      <w:r>
        <w:rPr>
          <w:rFonts w:ascii="Book Antiqua" w:eastAsia="Book Antiqua" w:hAnsi="Book Antiqua" w:cs="Book Antiqua"/>
          <w:color w:val="000000"/>
        </w:rPr>
        <w:t xml:space="preserve"> Y. Stool consistency and stool frequency are excellent clinical markers for adequate colon preparation after polyethylene glycol 3350 cleansing protocol: a prospective clinical study in children.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1131-1135 [PMID: 18950761 DOI: 10.1016/j.gie.2008.04.026]</w:t>
      </w:r>
    </w:p>
    <w:p w14:paraId="0B941E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6784EA" w14:textId="77777777" w:rsidR="00A77B3E" w:rsidRDefault="00144E88">
      <w:pPr>
        <w:spacing w:line="360" w:lineRule="auto"/>
        <w:jc w:val="both"/>
      </w:pPr>
      <w:r>
        <w:rPr>
          <w:rFonts w:ascii="Book Antiqua" w:eastAsia="Book Antiqua" w:hAnsi="Book Antiqua" w:cs="Book Antiqua"/>
          <w:b/>
          <w:color w:val="000000"/>
        </w:rPr>
        <w:lastRenderedPageBreak/>
        <w:t>Footnotes</w:t>
      </w:r>
    </w:p>
    <w:p w14:paraId="3A62E5F7" w14:textId="77777777" w:rsidR="00A77B3E" w:rsidRDefault="00144E8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Indiana University, Office of Research Administration, Human Subjects Office, No. 1312998338; Western IRB (Puyallup, WA), No. 1144377 and 1144701; Vanderbilt University IRB, No. 140100; Johns Hopkins Medicine; Research Institute at Nationwide Children’s Hospital, Human Subjects Committee, No. IRB14-00011; Human Research Protection Program, University of Minnesota, No. 1401M46841; The Children’s Hospital of Philadelphia IRB, No. IRB 13-010687; Chesapeake IRB (Columbia, MD), No. Pro00009776; University of California–San Diego, Human Research Protection Program, No. 150183.</w:t>
      </w:r>
    </w:p>
    <w:p w14:paraId="7F1D1037" w14:textId="77777777" w:rsidR="00A77B3E" w:rsidRDefault="00A77B3E">
      <w:pPr>
        <w:spacing w:line="360" w:lineRule="auto"/>
        <w:jc w:val="both"/>
      </w:pPr>
    </w:p>
    <w:p w14:paraId="190405DE" w14:textId="77777777" w:rsidR="00A77B3E" w:rsidRDefault="00144E88">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registration policy applies to prospective, randomized, controlled trials only.</w:t>
      </w:r>
    </w:p>
    <w:p w14:paraId="4A61E11A" w14:textId="77777777" w:rsidR="00A77B3E" w:rsidRDefault="00A77B3E">
      <w:pPr>
        <w:spacing w:line="360" w:lineRule="auto"/>
        <w:jc w:val="both"/>
      </w:pPr>
    </w:p>
    <w:p w14:paraId="280578EA" w14:textId="77777777" w:rsidR="00A77B3E" w:rsidRDefault="00144E8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participated in the speaker’s bureau for Abbott Nutrition,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and Prometheus Laboratories. </w:t>
      </w:r>
    </w:p>
    <w:p w14:paraId="74FC7402" w14:textId="77777777" w:rsidR="00A77B3E" w:rsidRDefault="00A77B3E">
      <w:pPr>
        <w:spacing w:line="360" w:lineRule="auto"/>
        <w:jc w:val="both"/>
      </w:pPr>
    </w:p>
    <w:p w14:paraId="13FB6A1D" w14:textId="77777777" w:rsidR="00A77B3E" w:rsidRDefault="00144E8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8"/>
        </w:rPr>
        <w:t>No additional data are available.</w:t>
      </w:r>
    </w:p>
    <w:p w14:paraId="2F2297E7" w14:textId="77777777" w:rsidR="00A77B3E" w:rsidRDefault="00A77B3E">
      <w:pPr>
        <w:spacing w:line="360" w:lineRule="auto"/>
        <w:jc w:val="both"/>
      </w:pPr>
    </w:p>
    <w:p w14:paraId="5D2A49B0" w14:textId="77777777" w:rsidR="00A77B3E" w:rsidRDefault="00144E8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59DDCC" w14:textId="77777777" w:rsidR="00A77B3E" w:rsidRDefault="00A77B3E">
      <w:pPr>
        <w:spacing w:line="360" w:lineRule="auto"/>
        <w:jc w:val="both"/>
      </w:pPr>
    </w:p>
    <w:p w14:paraId="249EB46D" w14:textId="1EADCC6D" w:rsidR="00A77B3E" w:rsidRDefault="00144E8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67B29">
        <w:rPr>
          <w:rFonts w:ascii="Book Antiqua" w:eastAsia="Book Antiqua" w:hAnsi="Book Antiqua" w:cs="Book Antiqua"/>
          <w:color w:val="000000"/>
        </w:rPr>
        <w:t>m</w:t>
      </w:r>
      <w:r>
        <w:rPr>
          <w:rFonts w:ascii="Book Antiqua" w:eastAsia="Book Antiqua" w:hAnsi="Book Antiqua" w:cs="Book Antiqua"/>
          <w:color w:val="000000"/>
        </w:rPr>
        <w:t>anuscript</w:t>
      </w:r>
    </w:p>
    <w:p w14:paraId="7E68216E" w14:textId="77777777" w:rsidR="00A77B3E" w:rsidRDefault="00A77B3E">
      <w:pPr>
        <w:spacing w:line="360" w:lineRule="auto"/>
        <w:jc w:val="both"/>
      </w:pPr>
    </w:p>
    <w:p w14:paraId="21C729B3" w14:textId="4FB71689" w:rsidR="000D7FB3" w:rsidRPr="000D7FB3" w:rsidRDefault="000D7FB3" w:rsidP="000D7FB3">
      <w:pPr>
        <w:spacing w:line="360" w:lineRule="auto"/>
        <w:jc w:val="both"/>
        <w:rPr>
          <w:rFonts w:ascii="Book Antiqua" w:hAnsi="Book Antiqua"/>
        </w:rPr>
      </w:pPr>
      <w:r w:rsidRPr="000D7FB3">
        <w:rPr>
          <w:rFonts w:ascii="Book Antiqua" w:hAnsi="Book Antiqua"/>
          <w:b/>
        </w:rPr>
        <w:lastRenderedPageBreak/>
        <w:t>Corresponding Author's Membership(s) in Professional Societies:</w:t>
      </w:r>
      <w:r w:rsidRPr="000D7FB3">
        <w:rPr>
          <w:rFonts w:ascii="Book Antiqua" w:hAnsi="Book Antiqua"/>
        </w:rPr>
        <w:t xml:space="preserve"> American College of Gastroenterology; American Gastroenterological Association; </w:t>
      </w:r>
      <w:r w:rsidRPr="000D7FB3">
        <w:rPr>
          <w:rFonts w:ascii="Book Antiqua" w:hAnsi="Book Antiqua"/>
          <w:caps/>
        </w:rPr>
        <w:t>r</w:t>
      </w:r>
      <w:r w:rsidRPr="000D7FB3">
        <w:rPr>
          <w:rFonts w:ascii="Book Antiqua" w:hAnsi="Book Antiqua"/>
        </w:rPr>
        <w:t xml:space="preserve">oyal </w:t>
      </w:r>
      <w:r w:rsidRPr="000D7FB3">
        <w:rPr>
          <w:rFonts w:ascii="Book Antiqua" w:hAnsi="Book Antiqua"/>
          <w:caps/>
        </w:rPr>
        <w:t>c</w:t>
      </w:r>
      <w:r w:rsidRPr="000D7FB3">
        <w:rPr>
          <w:rFonts w:ascii="Book Antiqua" w:hAnsi="Book Antiqua"/>
        </w:rPr>
        <w:t>ollege of</w:t>
      </w:r>
      <w:r w:rsidRPr="000D7FB3">
        <w:rPr>
          <w:rFonts w:ascii="Book Antiqua" w:hAnsi="Book Antiqua" w:hint="eastAsia"/>
          <w:lang w:eastAsia="zh-CN"/>
        </w:rPr>
        <w:t xml:space="preserve"> </w:t>
      </w:r>
      <w:r w:rsidRPr="000D7FB3">
        <w:rPr>
          <w:rFonts w:ascii="Book Antiqua" w:hAnsi="Book Antiqua"/>
          <w:caps/>
        </w:rPr>
        <w:t>p</w:t>
      </w:r>
      <w:r w:rsidRPr="000D7FB3">
        <w:rPr>
          <w:rFonts w:ascii="Book Antiqua" w:hAnsi="Book Antiqua"/>
        </w:rPr>
        <w:t>hysicians and</w:t>
      </w:r>
      <w:r w:rsidRPr="000D7FB3">
        <w:rPr>
          <w:rFonts w:ascii="Book Antiqua" w:hAnsi="Book Antiqua"/>
          <w:caps/>
        </w:rPr>
        <w:t xml:space="preserve"> s</w:t>
      </w:r>
      <w:r w:rsidRPr="000D7FB3">
        <w:rPr>
          <w:rFonts w:ascii="Book Antiqua" w:hAnsi="Book Antiqua"/>
        </w:rPr>
        <w:t>urgeons (Canada).</w:t>
      </w:r>
    </w:p>
    <w:p w14:paraId="74B2D203" w14:textId="77777777" w:rsidR="000D7FB3" w:rsidRDefault="000D7FB3">
      <w:pPr>
        <w:spacing w:line="360" w:lineRule="auto"/>
        <w:jc w:val="both"/>
      </w:pPr>
    </w:p>
    <w:p w14:paraId="7BD76B13" w14:textId="77777777" w:rsidR="00A77B3E" w:rsidRDefault="00144E8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26, 2020</w:t>
      </w:r>
    </w:p>
    <w:p w14:paraId="1233AA52" w14:textId="77777777" w:rsidR="00A77B3E" w:rsidRDefault="00144E8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2020</w:t>
      </w:r>
    </w:p>
    <w:p w14:paraId="6319CD59" w14:textId="77777777" w:rsidR="00A77B3E" w:rsidRDefault="00144E88">
      <w:pPr>
        <w:spacing w:line="360" w:lineRule="auto"/>
        <w:jc w:val="both"/>
      </w:pPr>
      <w:r>
        <w:rPr>
          <w:rFonts w:ascii="Book Antiqua" w:eastAsia="Book Antiqua" w:hAnsi="Book Antiqua" w:cs="Book Antiqua"/>
          <w:b/>
          <w:color w:val="000000"/>
        </w:rPr>
        <w:t xml:space="preserve">Article in press: </w:t>
      </w:r>
    </w:p>
    <w:p w14:paraId="6FE7CD0F" w14:textId="77777777" w:rsidR="00A77B3E" w:rsidRDefault="00A77B3E">
      <w:pPr>
        <w:spacing w:line="360" w:lineRule="auto"/>
        <w:jc w:val="both"/>
      </w:pPr>
    </w:p>
    <w:p w14:paraId="2AB2B0B6" w14:textId="0A9D820E" w:rsidR="00A77B3E" w:rsidRDefault="00144E8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50413">
        <w:rPr>
          <w:rFonts w:ascii="Book Antiqua" w:eastAsia="Book Antiqua" w:hAnsi="Book Antiqua" w:cs="Book Antiqua"/>
          <w:color w:val="000000"/>
        </w:rPr>
        <w:t>h</w:t>
      </w:r>
      <w:r>
        <w:rPr>
          <w:rFonts w:ascii="Book Antiqua" w:eastAsia="Book Antiqua" w:hAnsi="Book Antiqua" w:cs="Book Antiqua"/>
          <w:color w:val="000000"/>
        </w:rPr>
        <w:t>epatology</w:t>
      </w:r>
    </w:p>
    <w:p w14:paraId="2431FE20" w14:textId="77777777" w:rsidR="00A77B3E" w:rsidRDefault="00144E8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CEEDA75" w14:textId="77777777" w:rsidR="00A77B3E" w:rsidRDefault="00144E88">
      <w:pPr>
        <w:spacing w:line="360" w:lineRule="auto"/>
        <w:jc w:val="both"/>
      </w:pPr>
      <w:r>
        <w:rPr>
          <w:rFonts w:ascii="Book Antiqua" w:eastAsia="Book Antiqua" w:hAnsi="Book Antiqua" w:cs="Book Antiqua"/>
          <w:b/>
          <w:color w:val="000000"/>
        </w:rPr>
        <w:t>Peer-review report’s scientific quality classification</w:t>
      </w:r>
    </w:p>
    <w:p w14:paraId="623F8342" w14:textId="77777777" w:rsidR="00A77B3E" w:rsidRDefault="00144E88">
      <w:pPr>
        <w:spacing w:line="360" w:lineRule="auto"/>
        <w:jc w:val="both"/>
      </w:pPr>
      <w:r>
        <w:rPr>
          <w:rFonts w:ascii="Book Antiqua" w:eastAsia="Book Antiqua" w:hAnsi="Book Antiqua" w:cs="Book Antiqua"/>
          <w:color w:val="000000"/>
        </w:rPr>
        <w:t>Grade A (Excellent): 0</w:t>
      </w:r>
    </w:p>
    <w:p w14:paraId="399B6321" w14:textId="77777777" w:rsidR="00A77B3E" w:rsidRDefault="00144E88">
      <w:pPr>
        <w:spacing w:line="360" w:lineRule="auto"/>
        <w:jc w:val="both"/>
      </w:pPr>
      <w:r>
        <w:rPr>
          <w:rFonts w:ascii="Book Antiqua" w:eastAsia="Book Antiqua" w:hAnsi="Book Antiqua" w:cs="Book Antiqua"/>
          <w:color w:val="000000"/>
        </w:rPr>
        <w:t>Grade B (Very good): B</w:t>
      </w:r>
    </w:p>
    <w:p w14:paraId="1936AEE6" w14:textId="77777777" w:rsidR="00A77B3E" w:rsidRDefault="00144E88">
      <w:pPr>
        <w:spacing w:line="360" w:lineRule="auto"/>
        <w:jc w:val="both"/>
      </w:pPr>
      <w:r>
        <w:rPr>
          <w:rFonts w:ascii="Book Antiqua" w:eastAsia="Book Antiqua" w:hAnsi="Book Antiqua" w:cs="Book Antiqua"/>
          <w:color w:val="000000"/>
        </w:rPr>
        <w:t>Grade C (Good): 0</w:t>
      </w:r>
    </w:p>
    <w:p w14:paraId="61E07316" w14:textId="77777777" w:rsidR="00A77B3E" w:rsidRDefault="00144E88">
      <w:pPr>
        <w:spacing w:line="360" w:lineRule="auto"/>
        <w:jc w:val="both"/>
      </w:pPr>
      <w:r>
        <w:rPr>
          <w:rFonts w:ascii="Book Antiqua" w:eastAsia="Book Antiqua" w:hAnsi="Book Antiqua" w:cs="Book Antiqua"/>
          <w:color w:val="000000"/>
        </w:rPr>
        <w:t>Grade D (Fair): 0</w:t>
      </w:r>
    </w:p>
    <w:p w14:paraId="7AAC0268" w14:textId="77777777" w:rsidR="00A77B3E" w:rsidRDefault="00144E88">
      <w:pPr>
        <w:spacing w:line="360" w:lineRule="auto"/>
        <w:jc w:val="both"/>
      </w:pPr>
      <w:r>
        <w:rPr>
          <w:rFonts w:ascii="Book Antiqua" w:eastAsia="Book Antiqua" w:hAnsi="Book Antiqua" w:cs="Book Antiqua"/>
          <w:color w:val="000000"/>
        </w:rPr>
        <w:t>Grade E (Poor): 0</w:t>
      </w:r>
    </w:p>
    <w:p w14:paraId="33E553CE" w14:textId="77777777" w:rsidR="00A77B3E" w:rsidRDefault="00A77B3E">
      <w:pPr>
        <w:spacing w:line="360" w:lineRule="auto"/>
        <w:jc w:val="both"/>
      </w:pPr>
    </w:p>
    <w:p w14:paraId="66945B42" w14:textId="77777777" w:rsidR="00667B29" w:rsidRDefault="00144E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 LH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P-Editor: </w:t>
      </w:r>
    </w:p>
    <w:p w14:paraId="4A57F1E4" w14:textId="77777777" w:rsidR="00667B29" w:rsidRDefault="00667B29">
      <w:pPr>
        <w:spacing w:line="360" w:lineRule="auto"/>
        <w:jc w:val="both"/>
        <w:rPr>
          <w:rFonts w:ascii="Book Antiqua" w:eastAsia="Book Antiqua" w:hAnsi="Book Antiqua" w:cs="Book Antiqua"/>
          <w:b/>
          <w:color w:val="000000"/>
        </w:rPr>
      </w:pPr>
    </w:p>
    <w:p w14:paraId="71FE3DE5" w14:textId="4CBC9081" w:rsidR="00A77B3E" w:rsidRDefault="007504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44E88">
        <w:rPr>
          <w:rFonts w:ascii="Book Antiqua" w:eastAsia="Book Antiqua" w:hAnsi="Book Antiqua" w:cs="Book Antiqua"/>
          <w:b/>
          <w:color w:val="000000"/>
        </w:rPr>
        <w:lastRenderedPageBreak/>
        <w:t>Figure Legends</w:t>
      </w:r>
    </w:p>
    <w:p w14:paraId="0CEB4905" w14:textId="4746F42C" w:rsidR="0006430E" w:rsidRDefault="0006430E">
      <w:pPr>
        <w:spacing w:line="360" w:lineRule="auto"/>
        <w:jc w:val="both"/>
      </w:pPr>
      <w:r>
        <w:rPr>
          <w:noProof/>
          <w:lang w:eastAsia="zh-CN"/>
        </w:rPr>
        <w:drawing>
          <wp:inline distT="0" distB="0" distL="0" distR="0" wp14:anchorId="08121740" wp14:editId="66221491">
            <wp:extent cx="5943600" cy="2740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40025"/>
                    </a:xfrm>
                    <a:prstGeom prst="rect">
                      <a:avLst/>
                    </a:prstGeom>
                  </pic:spPr>
                </pic:pic>
              </a:graphicData>
            </a:graphic>
          </wp:inline>
        </w:drawing>
      </w:r>
    </w:p>
    <w:p w14:paraId="37E24779" w14:textId="403477EA" w:rsidR="00A77B3E" w:rsidRPr="00750413" w:rsidRDefault="00144E88">
      <w:pPr>
        <w:spacing w:line="360" w:lineRule="auto"/>
        <w:jc w:val="both"/>
      </w:pPr>
      <w:r>
        <w:rPr>
          <w:rFonts w:ascii="Book Antiqua" w:eastAsia="Book Antiqua" w:hAnsi="Book Antiqua" w:cs="Book Antiqua"/>
          <w:b/>
          <w:bCs/>
          <w:color w:val="000000"/>
        </w:rPr>
        <w:t xml:space="preserve">Figure 1 Consort diagram of study population. </w:t>
      </w:r>
      <w:r>
        <w:rPr>
          <w:rFonts w:ascii="Book Antiqua" w:eastAsia="Book Antiqua" w:hAnsi="Book Antiqua" w:cs="Book Antiqua"/>
          <w:color w:val="000000"/>
        </w:rPr>
        <w:t xml:space="preserve">One participant in the SPMC ½ dose x2 group received SPMC 1 dose x2 treatment. ITT: Intent-to-treat; PEG: Polyethylene glycol; PP: Per protocol; SPMC;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w:t>
      </w:r>
    </w:p>
    <w:p w14:paraId="500A8F9E" w14:textId="77777777" w:rsidR="00750413" w:rsidRDefault="00750413">
      <w:pPr>
        <w:spacing w:line="360" w:lineRule="auto"/>
        <w:jc w:val="both"/>
        <w:rPr>
          <w:rFonts w:ascii="Book Antiqua" w:eastAsia="Book Antiqua" w:hAnsi="Book Antiqua" w:cs="Book Antiqua"/>
          <w:color w:val="000000"/>
        </w:rPr>
      </w:pPr>
    </w:p>
    <w:p w14:paraId="7A0284B0" w14:textId="645C24CE" w:rsidR="0006430E" w:rsidRDefault="0006430E">
      <w:pPr>
        <w:spacing w:line="360" w:lineRule="auto"/>
        <w:jc w:val="both"/>
      </w:pPr>
      <w:r w:rsidRPr="003B0843">
        <w:rPr>
          <w:rFonts w:ascii="Book Antiqua" w:hAnsi="Book Antiqua" w:cs="Arial"/>
          <w:noProof/>
          <w:lang w:eastAsia="zh-CN"/>
        </w:rPr>
        <w:drawing>
          <wp:inline distT="0" distB="0" distL="0" distR="0" wp14:anchorId="664FD568" wp14:editId="7E10DB04">
            <wp:extent cx="4843641" cy="3502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236" cy="3504925"/>
                    </a:xfrm>
                    <a:prstGeom prst="rect">
                      <a:avLst/>
                    </a:prstGeom>
                    <a:noFill/>
                    <a:ln>
                      <a:noFill/>
                    </a:ln>
                  </pic:spPr>
                </pic:pic>
              </a:graphicData>
            </a:graphic>
          </wp:inline>
        </w:drawing>
      </w:r>
    </w:p>
    <w:p w14:paraId="76EE6FD7" w14:textId="0743BD29" w:rsidR="00A77B3E" w:rsidRDefault="00144E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2 The majority of participants receiving sodium </w:t>
      </w:r>
      <w:proofErr w:type="spellStart"/>
      <w:r>
        <w:rPr>
          <w:rFonts w:ascii="Book Antiqua" w:eastAsia="Book Antiqua" w:hAnsi="Book Antiqua" w:cs="Book Antiqua"/>
          <w:b/>
          <w:bCs/>
          <w:color w:val="000000"/>
        </w:rPr>
        <w:t>picosulfate</w:t>
      </w:r>
      <w:proofErr w:type="spellEnd"/>
      <w:r>
        <w:rPr>
          <w:rFonts w:ascii="Book Antiqua" w:eastAsia="Book Antiqua" w:hAnsi="Book Antiqua" w:cs="Book Antiqua"/>
          <w:b/>
          <w:bCs/>
          <w:color w:val="000000"/>
        </w:rPr>
        <w:t xml:space="preserve">, magnesium oxide, and citric acid 1 dose x2 in both age groups were responders for overall colon cleansing on the modified </w:t>
      </w:r>
      <w:proofErr w:type="spellStart"/>
      <w:r>
        <w:rPr>
          <w:rFonts w:ascii="Book Antiqua" w:eastAsia="Book Antiqua" w:hAnsi="Book Antiqua" w:cs="Book Antiqua"/>
          <w:b/>
          <w:bCs/>
          <w:color w:val="000000"/>
        </w:rPr>
        <w:t>Aronchick</w:t>
      </w:r>
      <w:proofErr w:type="spellEnd"/>
      <w:r>
        <w:rPr>
          <w:rFonts w:ascii="Book Antiqua" w:eastAsia="Book Antiqua" w:hAnsi="Book Antiqua" w:cs="Book Antiqua"/>
          <w:b/>
          <w:bCs/>
          <w:color w:val="000000"/>
        </w:rPr>
        <w:t xml:space="preserve"> scale (AS; ‘excellent’ or ‘good’), rated by a treatment-blinded endoscopist.</w:t>
      </w:r>
      <w:r>
        <w:rPr>
          <w:rFonts w:ascii="Book Antiqua" w:eastAsia="Book Antiqua" w:hAnsi="Book Antiqua" w:cs="Book Antiqua"/>
          <w:color w:val="000000"/>
        </w:rPr>
        <w:t xml:space="preserve"> The responder rates of SPMC 1 dose x2 group were similar to PEG group.</w:t>
      </w:r>
      <w:r w:rsidR="007504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SPMC;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PEG: Polyethylene glycol.</w:t>
      </w:r>
    </w:p>
    <w:p w14:paraId="67AF370A" w14:textId="77777777" w:rsidR="00750413" w:rsidRDefault="00750413">
      <w:pPr>
        <w:spacing w:line="360" w:lineRule="auto"/>
        <w:jc w:val="both"/>
        <w:rPr>
          <w:rFonts w:ascii="Book Antiqua" w:eastAsia="Book Antiqua" w:hAnsi="Book Antiqua" w:cs="Book Antiqua"/>
          <w:color w:val="000000"/>
        </w:rPr>
      </w:pPr>
    </w:p>
    <w:p w14:paraId="6D9CC65F" w14:textId="7C275EE7" w:rsidR="0006430E" w:rsidRDefault="0006430E">
      <w:pPr>
        <w:spacing w:line="360" w:lineRule="auto"/>
        <w:jc w:val="both"/>
      </w:pPr>
      <w:r>
        <w:rPr>
          <w:noProof/>
          <w:lang w:eastAsia="zh-CN"/>
        </w:rPr>
        <w:drawing>
          <wp:inline distT="0" distB="0" distL="0" distR="0" wp14:anchorId="0D70B331" wp14:editId="67341037">
            <wp:extent cx="5943600" cy="3083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3560"/>
                    </a:xfrm>
                    <a:prstGeom prst="rect">
                      <a:avLst/>
                    </a:prstGeom>
                  </pic:spPr>
                </pic:pic>
              </a:graphicData>
            </a:graphic>
          </wp:inline>
        </w:drawing>
      </w:r>
    </w:p>
    <w:p w14:paraId="3445737B" w14:textId="77777777" w:rsidR="00A77B3E" w:rsidRDefault="00144E88">
      <w:pPr>
        <w:spacing w:line="360" w:lineRule="auto"/>
        <w:jc w:val="both"/>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Participants were asked “How easy was it to drink the bowel cleanout regimen?”. </w:t>
      </w:r>
      <w:r>
        <w:rPr>
          <w:rFonts w:ascii="Book Antiqua" w:eastAsia="Book Antiqua" w:hAnsi="Book Antiqua" w:cs="Book Antiqua"/>
          <w:color w:val="000000"/>
        </w:rPr>
        <w:t>Overall, 43.8% of participants receiving SPMC 1 dose x2 reported it was ‘very easy’ or ‘easy’ to drink, compared with 20.0% receiving PEG.</w:t>
      </w:r>
    </w:p>
    <w:p w14:paraId="676C1092" w14:textId="77777777" w:rsidR="00A77B3E" w:rsidRDefault="00144E88">
      <w:pPr>
        <w:spacing w:line="360" w:lineRule="auto"/>
        <w:jc w:val="both"/>
      </w:pPr>
      <w:r>
        <w:rPr>
          <w:rFonts w:ascii="Book Antiqua" w:eastAsia="Book Antiqua" w:hAnsi="Book Antiqua" w:cs="Book Antiqua"/>
          <w:color w:val="000000"/>
        </w:rPr>
        <w:t xml:space="preserve">SPMC;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PEG: Polyethylene glycol.</w:t>
      </w:r>
    </w:p>
    <w:p w14:paraId="37C4978B" w14:textId="50B75308" w:rsidR="00A77B3E" w:rsidRDefault="0006430E">
      <w:pPr>
        <w:spacing w:line="360" w:lineRule="auto"/>
        <w:jc w:val="both"/>
      </w:pPr>
      <w:r>
        <w:rPr>
          <w:noProof/>
          <w:lang w:eastAsia="zh-CN"/>
        </w:rPr>
        <w:lastRenderedPageBreak/>
        <w:drawing>
          <wp:inline distT="0" distB="0" distL="0" distR="0" wp14:anchorId="23F92FA0" wp14:editId="49EAC0F9">
            <wp:extent cx="5943600" cy="26428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42870"/>
                    </a:xfrm>
                    <a:prstGeom prst="rect">
                      <a:avLst/>
                    </a:prstGeom>
                  </pic:spPr>
                </pic:pic>
              </a:graphicData>
            </a:graphic>
          </wp:inline>
        </w:drawing>
      </w:r>
    </w:p>
    <w:p w14:paraId="09089C0F" w14:textId="60BAE087" w:rsidR="00A77B3E" w:rsidRPr="00750413" w:rsidRDefault="00144E88">
      <w:pPr>
        <w:spacing w:line="360" w:lineRule="auto"/>
        <w:jc w:val="both"/>
      </w:pPr>
      <w:r>
        <w:rPr>
          <w:rFonts w:ascii="Book Antiqua" w:eastAsia="Book Antiqua" w:hAnsi="Book Antiqua" w:cs="Book Antiqua"/>
          <w:b/>
          <w:bCs/>
          <w:color w:val="000000"/>
        </w:rPr>
        <w:t>Figure 4 Participants were asked “How often did your tummy hurt since you started the cleanout?”.</w:t>
      </w:r>
      <w:r>
        <w:rPr>
          <w:rFonts w:ascii="Book Antiqua" w:eastAsia="Book Antiqua" w:hAnsi="Book Antiqua" w:cs="Book Antiqua"/>
          <w:color w:val="000000"/>
        </w:rPr>
        <w:t xml:space="preserve"> 28% of participants receiving </w:t>
      </w:r>
      <w:r w:rsidR="0058668E">
        <w:rPr>
          <w:rFonts w:ascii="Book Antiqua" w:eastAsia="Book Antiqua" w:hAnsi="Book Antiqua" w:cs="Book Antiqua"/>
          <w:color w:val="000000"/>
        </w:rPr>
        <w:t xml:space="preserve">sodium </w:t>
      </w:r>
      <w:proofErr w:type="spellStart"/>
      <w:r w:rsidR="0058668E">
        <w:rPr>
          <w:rFonts w:ascii="Book Antiqua" w:eastAsia="Book Antiqua" w:hAnsi="Book Antiqua" w:cs="Book Antiqua"/>
          <w:color w:val="000000"/>
        </w:rPr>
        <w:t>picosulfate</w:t>
      </w:r>
      <w:proofErr w:type="spellEnd"/>
      <w:r w:rsidR="0058668E">
        <w:rPr>
          <w:rFonts w:ascii="Book Antiqua" w:eastAsia="Book Antiqua" w:hAnsi="Book Antiqua" w:cs="Book Antiqua"/>
          <w:color w:val="000000"/>
        </w:rPr>
        <w:t>, magnesium oxide, and citric acid (</w:t>
      </w:r>
      <w:r>
        <w:rPr>
          <w:rFonts w:ascii="Book Antiqua" w:eastAsia="Book Antiqua" w:hAnsi="Book Antiqua" w:cs="Book Antiqua"/>
          <w:color w:val="000000"/>
        </w:rPr>
        <w:t>SPMC</w:t>
      </w:r>
      <w:r w:rsidR="0058668E">
        <w:rPr>
          <w:rFonts w:ascii="Book Antiqua" w:eastAsia="Book Antiqua" w:hAnsi="Book Antiqua" w:cs="Book Antiqua"/>
          <w:color w:val="000000"/>
        </w:rPr>
        <w:t>)</w:t>
      </w:r>
      <w:r>
        <w:rPr>
          <w:rFonts w:ascii="Book Antiqua" w:eastAsia="Book Antiqua" w:hAnsi="Book Antiqua" w:cs="Book Antiqua"/>
          <w:color w:val="000000"/>
        </w:rPr>
        <w:t xml:space="preserve"> 1 dose x2 reported ‘never’ hurting, compared with 6.7% receiving </w:t>
      </w:r>
      <w:r w:rsidR="00522036">
        <w:rPr>
          <w:rFonts w:ascii="Book Antiqua" w:eastAsia="Book Antiqua" w:hAnsi="Book Antiqua" w:cs="Book Antiqua"/>
          <w:color w:val="000000"/>
        </w:rPr>
        <w:t>polyethylene glycol (</w:t>
      </w:r>
      <w:r>
        <w:rPr>
          <w:rFonts w:ascii="Book Antiqua" w:eastAsia="Book Antiqua" w:hAnsi="Book Antiqua" w:cs="Book Antiqua"/>
          <w:color w:val="000000"/>
        </w:rPr>
        <w:t>PEG</w:t>
      </w:r>
      <w:r w:rsidR="00522036">
        <w:rPr>
          <w:rFonts w:ascii="Book Antiqua" w:eastAsia="Book Antiqua" w:hAnsi="Book Antiqua" w:cs="Book Antiqua"/>
          <w:color w:val="000000"/>
        </w:rPr>
        <w:t>)</w:t>
      </w:r>
      <w:r>
        <w:rPr>
          <w:rFonts w:ascii="Book Antiqua" w:eastAsia="Book Antiqua" w:hAnsi="Book Antiqua" w:cs="Book Antiqua"/>
          <w:color w:val="000000"/>
        </w:rPr>
        <w:t>. Only 12.5% of those receiving SPMC 1 dose x2 reported abdominal discomfort ‘often’ or ‘very often’, whereas 33.4% receiving PEG did. Participants with no response are not shown on the graphs and, therefore, numbers may not add to 100%.</w:t>
      </w:r>
      <w:r w:rsidR="00750413">
        <w:rPr>
          <w:rFonts w:hint="eastAsia"/>
          <w:lang w:eastAsia="zh-CN"/>
        </w:rPr>
        <w:t xml:space="preserve"> </w:t>
      </w:r>
      <w:r>
        <w:rPr>
          <w:rFonts w:ascii="Book Antiqua" w:eastAsia="Book Antiqua" w:hAnsi="Book Antiqua" w:cs="Book Antiqua"/>
          <w:color w:val="000000"/>
        </w:rPr>
        <w:t>SPMC</w:t>
      </w:r>
      <w:r w:rsidR="00750413">
        <w:rPr>
          <w:rFonts w:ascii="Book Antiqua" w:eastAsia="Book Antiqua" w:hAnsi="Book Antiqua" w:cs="Book Antiqua"/>
          <w:color w:val="000000"/>
        </w:rPr>
        <w:t>:</w:t>
      </w:r>
      <w:r>
        <w:rPr>
          <w:rFonts w:ascii="Book Antiqua" w:eastAsia="Book Antiqua" w:hAnsi="Book Antiqua" w:cs="Book Antiqua"/>
          <w:color w:val="000000"/>
        </w:rPr>
        <w:t xml:space="preserve">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magnesium oxide, and citric acid; PEG: Polyethylene glycol.</w:t>
      </w:r>
    </w:p>
    <w:p w14:paraId="42DA12BB" w14:textId="2908A90F" w:rsidR="00144E88" w:rsidRDefault="00144E88">
      <w:pPr>
        <w:spacing w:line="360" w:lineRule="auto"/>
        <w:jc w:val="both"/>
        <w:rPr>
          <w:rFonts w:ascii="Book Antiqua" w:eastAsia="Book Antiqua" w:hAnsi="Book Antiqua" w:cs="Book Antiqua"/>
          <w:color w:val="000000"/>
        </w:rPr>
      </w:pPr>
    </w:p>
    <w:p w14:paraId="5EA847E7" w14:textId="541F1B5F" w:rsidR="00144E88" w:rsidRPr="003B0843" w:rsidRDefault="009B1AF8" w:rsidP="00144E88">
      <w:pPr>
        <w:adjustRightInd w:val="0"/>
        <w:snapToGrid w:val="0"/>
        <w:spacing w:line="360" w:lineRule="auto"/>
        <w:jc w:val="both"/>
        <w:rPr>
          <w:rFonts w:ascii="Book Antiqua" w:hAnsi="Book Antiqua" w:cs="Arial"/>
          <w:b/>
        </w:rPr>
      </w:pPr>
      <w:r>
        <w:rPr>
          <w:rFonts w:ascii="Book Antiqua" w:hAnsi="Book Antiqua" w:cs="Arial"/>
          <w:b/>
        </w:rPr>
        <w:br w:type="page"/>
      </w:r>
      <w:r w:rsidR="00144E88" w:rsidRPr="003B0843">
        <w:rPr>
          <w:rFonts w:ascii="Book Antiqua" w:hAnsi="Book Antiqua" w:cs="Arial"/>
          <w:b/>
        </w:rPr>
        <w:lastRenderedPageBreak/>
        <w:t xml:space="preserve">Table 1 Demographic and baseline characteristics, </w:t>
      </w:r>
      <w:r w:rsidR="00144E88" w:rsidRPr="00737675">
        <w:rPr>
          <w:rFonts w:ascii="Book Antiqua" w:hAnsi="Book Antiqua" w:cs="Arial"/>
          <w:b/>
          <w:bCs/>
        </w:rPr>
        <w:t>intent-to-treat</w:t>
      </w:r>
      <w:r w:rsidR="00144E88" w:rsidRPr="003B0843">
        <w:rPr>
          <w:rFonts w:ascii="Book Antiqua" w:hAnsi="Book Antiqua" w:cs="Arial"/>
          <w:b/>
        </w:rPr>
        <w:t xml:space="preserve"> population</w:t>
      </w:r>
    </w:p>
    <w:tbl>
      <w:tblPr>
        <w:tblW w:w="5000" w:type="pct"/>
        <w:tblLook w:val="04A0" w:firstRow="1" w:lastRow="0" w:firstColumn="1" w:lastColumn="0" w:noHBand="0" w:noVBand="1"/>
      </w:tblPr>
      <w:tblGrid>
        <w:gridCol w:w="1757"/>
        <w:gridCol w:w="1170"/>
        <w:gridCol w:w="1104"/>
        <w:gridCol w:w="835"/>
        <w:gridCol w:w="1125"/>
        <w:gridCol w:w="1125"/>
        <w:gridCol w:w="1125"/>
        <w:gridCol w:w="1119"/>
      </w:tblGrid>
      <w:tr w:rsidR="00144E88" w:rsidRPr="003B0843" w14:paraId="53DF61A1" w14:textId="77777777" w:rsidTr="00667B29">
        <w:tc>
          <w:tcPr>
            <w:tcW w:w="938" w:type="pct"/>
            <w:tcBorders>
              <w:top w:val="single" w:sz="4" w:space="0" w:color="auto"/>
              <w:bottom w:val="single" w:sz="4" w:space="0" w:color="auto"/>
            </w:tcBorders>
            <w:shd w:val="clear" w:color="auto" w:fill="auto"/>
          </w:tcPr>
          <w:p w14:paraId="78DB4467" w14:textId="77777777" w:rsidR="00144E88" w:rsidRPr="003B0843" w:rsidRDefault="00144E88" w:rsidP="00F34EC7">
            <w:pPr>
              <w:adjustRightInd w:val="0"/>
              <w:snapToGrid w:val="0"/>
              <w:spacing w:line="360" w:lineRule="auto"/>
              <w:jc w:val="both"/>
              <w:rPr>
                <w:rFonts w:ascii="Book Antiqua" w:hAnsi="Book Antiqua" w:cs="Arial"/>
                <w:b/>
              </w:rPr>
            </w:pPr>
          </w:p>
        </w:tc>
        <w:tc>
          <w:tcPr>
            <w:tcW w:w="1661" w:type="pct"/>
            <w:gridSpan w:val="3"/>
            <w:tcBorders>
              <w:top w:val="single" w:sz="4" w:space="0" w:color="auto"/>
              <w:bottom w:val="single" w:sz="4" w:space="0" w:color="auto"/>
            </w:tcBorders>
            <w:shd w:val="clear" w:color="auto" w:fill="auto"/>
            <w:vAlign w:val="center"/>
          </w:tcPr>
          <w:p w14:paraId="0EDC1B4E"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9-12 </w:t>
            </w:r>
            <w:proofErr w:type="spellStart"/>
            <w:r w:rsidRPr="003B0843">
              <w:rPr>
                <w:rFonts w:ascii="Book Antiqua" w:hAnsi="Book Antiqua" w:cs="Arial"/>
                <w:b/>
              </w:rPr>
              <w:t>yr</w:t>
            </w:r>
            <w:proofErr w:type="spellEnd"/>
            <w:r w:rsidRPr="003B0843">
              <w:rPr>
                <w:rFonts w:ascii="Book Antiqua" w:hAnsi="Book Antiqua" w:cs="Arial"/>
                <w:b/>
              </w:rPr>
              <w:t xml:space="preserve"> old</w:t>
            </w:r>
          </w:p>
        </w:tc>
        <w:tc>
          <w:tcPr>
            <w:tcW w:w="1202" w:type="pct"/>
            <w:gridSpan w:val="2"/>
            <w:tcBorders>
              <w:top w:val="single" w:sz="4" w:space="0" w:color="auto"/>
              <w:bottom w:val="single" w:sz="4" w:space="0" w:color="auto"/>
            </w:tcBorders>
            <w:shd w:val="clear" w:color="auto" w:fill="auto"/>
            <w:vAlign w:val="center"/>
          </w:tcPr>
          <w:p w14:paraId="2D104ACA"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13-16 </w:t>
            </w:r>
            <w:proofErr w:type="spellStart"/>
            <w:r w:rsidRPr="003B0843">
              <w:rPr>
                <w:rFonts w:ascii="Book Antiqua" w:hAnsi="Book Antiqua" w:cs="Arial"/>
                <w:b/>
              </w:rPr>
              <w:t>yr</w:t>
            </w:r>
            <w:proofErr w:type="spellEnd"/>
            <w:r w:rsidRPr="003B0843">
              <w:rPr>
                <w:rFonts w:ascii="Book Antiqua" w:hAnsi="Book Antiqua" w:cs="Arial"/>
                <w:b/>
              </w:rPr>
              <w:t xml:space="preserve"> old</w:t>
            </w:r>
          </w:p>
        </w:tc>
        <w:tc>
          <w:tcPr>
            <w:tcW w:w="601" w:type="pct"/>
            <w:vMerge w:val="restart"/>
            <w:tcBorders>
              <w:top w:val="single" w:sz="4" w:space="0" w:color="auto"/>
              <w:bottom w:val="single" w:sz="4" w:space="0" w:color="auto"/>
            </w:tcBorders>
            <w:shd w:val="clear" w:color="auto" w:fill="auto"/>
            <w:vAlign w:val="bottom"/>
          </w:tcPr>
          <w:p w14:paraId="6511FDD9" w14:textId="3022BB7E"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All SPMC 1 dose </w:t>
            </w:r>
            <w:r w:rsidR="008F4E19" w:rsidRPr="00831B69">
              <w:rPr>
                <w:rFonts w:ascii="Book Antiqua" w:hAnsi="Book Antiqua"/>
                <w:b/>
                <w:lang w:val="pl-PL"/>
              </w:rPr>
              <w:t>×</w:t>
            </w:r>
            <w:r w:rsidR="008F4E19">
              <w:rPr>
                <w:rFonts w:ascii="Book Antiqua" w:hAnsi="Book Antiqua"/>
                <w:b/>
                <w:lang w:val="pl-PL"/>
              </w:rPr>
              <w:t xml:space="preserve"> </w:t>
            </w:r>
            <w:r w:rsidRPr="003B0843">
              <w:rPr>
                <w:rFonts w:ascii="Book Antiqua" w:hAnsi="Book Antiqua" w:cs="Arial"/>
                <w:b/>
              </w:rPr>
              <w:t>2</w:t>
            </w:r>
          </w:p>
          <w:p w14:paraId="7E445F32"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32</w:t>
            </w:r>
            <w:r w:rsidRPr="003B0843">
              <w:rPr>
                <w:rFonts w:ascii="Book Antiqua" w:hAnsi="Book Antiqua" w:cs="Arial"/>
                <w:b/>
              </w:rPr>
              <w:t>)</w:t>
            </w:r>
          </w:p>
        </w:tc>
        <w:tc>
          <w:tcPr>
            <w:tcW w:w="598" w:type="pct"/>
            <w:vMerge w:val="restart"/>
            <w:tcBorders>
              <w:top w:val="single" w:sz="4" w:space="0" w:color="auto"/>
              <w:bottom w:val="single" w:sz="4" w:space="0" w:color="auto"/>
            </w:tcBorders>
            <w:shd w:val="clear" w:color="auto" w:fill="auto"/>
            <w:vAlign w:val="bottom"/>
          </w:tcPr>
          <w:p w14:paraId="2004FA8D"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All PEG</w:t>
            </w:r>
          </w:p>
          <w:p w14:paraId="7A0CB096"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30</w:t>
            </w:r>
            <w:r w:rsidRPr="003B0843">
              <w:rPr>
                <w:rFonts w:ascii="Book Antiqua" w:hAnsi="Book Antiqua" w:cs="Arial"/>
                <w:b/>
              </w:rPr>
              <w:t>)</w:t>
            </w:r>
          </w:p>
        </w:tc>
      </w:tr>
      <w:tr w:rsidR="00144E88" w:rsidRPr="003B0843" w14:paraId="2B7FF643" w14:textId="77777777" w:rsidTr="00667B29">
        <w:tc>
          <w:tcPr>
            <w:tcW w:w="938" w:type="pct"/>
            <w:tcBorders>
              <w:top w:val="single" w:sz="4" w:space="0" w:color="auto"/>
              <w:bottom w:val="single" w:sz="4" w:space="0" w:color="auto"/>
            </w:tcBorders>
            <w:shd w:val="clear" w:color="auto" w:fill="auto"/>
            <w:vAlign w:val="bottom"/>
          </w:tcPr>
          <w:p w14:paraId="3BB13023" w14:textId="77777777" w:rsidR="00144E88" w:rsidRPr="003B0843" w:rsidRDefault="00144E88" w:rsidP="00F34EC7">
            <w:pPr>
              <w:adjustRightInd w:val="0"/>
              <w:snapToGrid w:val="0"/>
              <w:spacing w:line="360" w:lineRule="auto"/>
              <w:jc w:val="both"/>
              <w:rPr>
                <w:rFonts w:ascii="Book Antiqua" w:hAnsi="Book Antiqua" w:cs="Arial"/>
                <w:b/>
              </w:rPr>
            </w:pPr>
            <w:r w:rsidRPr="00737675">
              <w:rPr>
                <w:rFonts w:ascii="Book Antiqua" w:hAnsi="Book Antiqua" w:cs="Arial"/>
                <w:b/>
                <w:i/>
                <w:iCs/>
              </w:rPr>
              <w:t>n</w:t>
            </w:r>
            <w:r w:rsidRPr="003B0843">
              <w:rPr>
                <w:rFonts w:ascii="Book Antiqua" w:hAnsi="Book Antiqua" w:cs="Arial"/>
                <w:b/>
              </w:rPr>
              <w:t xml:space="preserve"> (%)</w:t>
            </w:r>
          </w:p>
        </w:tc>
        <w:tc>
          <w:tcPr>
            <w:tcW w:w="625" w:type="pct"/>
            <w:tcBorders>
              <w:top w:val="single" w:sz="4" w:space="0" w:color="auto"/>
              <w:bottom w:val="single" w:sz="4" w:space="0" w:color="auto"/>
            </w:tcBorders>
            <w:shd w:val="clear" w:color="auto" w:fill="auto"/>
            <w:vAlign w:val="bottom"/>
          </w:tcPr>
          <w:p w14:paraId="17906F9B" w14:textId="32B643D8"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½ dose </w:t>
            </w:r>
            <w:r w:rsidR="008F4E19" w:rsidRPr="00831B69">
              <w:rPr>
                <w:rFonts w:ascii="Book Antiqua" w:hAnsi="Book Antiqua"/>
                <w:b/>
                <w:lang w:val="pl-PL"/>
              </w:rPr>
              <w:t>×</w:t>
            </w:r>
            <w:r w:rsidR="008F4E19">
              <w:rPr>
                <w:rFonts w:ascii="Book Antiqua" w:hAnsi="Book Antiqua"/>
                <w:b/>
                <w:lang w:val="pl-PL"/>
              </w:rPr>
              <w:t xml:space="preserve"> </w:t>
            </w:r>
            <w:r w:rsidRPr="003B0843">
              <w:rPr>
                <w:rFonts w:ascii="Book Antiqua" w:hAnsi="Book Antiqua" w:cs="Arial"/>
                <w:b/>
              </w:rPr>
              <w:t>2</w:t>
            </w:r>
          </w:p>
          <w:p w14:paraId="1B164C53"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16)</w:t>
            </w:r>
          </w:p>
        </w:tc>
        <w:tc>
          <w:tcPr>
            <w:tcW w:w="590" w:type="pct"/>
            <w:tcBorders>
              <w:top w:val="single" w:sz="4" w:space="0" w:color="auto"/>
              <w:bottom w:val="single" w:sz="4" w:space="0" w:color="auto"/>
            </w:tcBorders>
            <w:shd w:val="clear" w:color="auto" w:fill="auto"/>
            <w:vAlign w:val="bottom"/>
          </w:tcPr>
          <w:p w14:paraId="417ADCC7" w14:textId="29F3B40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1 dose </w:t>
            </w:r>
            <w:r w:rsidR="008F4E19" w:rsidRPr="00831B69">
              <w:rPr>
                <w:rFonts w:ascii="Book Antiqua" w:hAnsi="Book Antiqua"/>
                <w:b/>
                <w:lang w:val="pl-PL"/>
              </w:rPr>
              <w:t>×</w:t>
            </w:r>
            <w:r w:rsidR="008F4E19">
              <w:rPr>
                <w:rFonts w:ascii="Book Antiqua" w:hAnsi="Book Antiqua"/>
                <w:b/>
                <w:lang w:val="pl-PL"/>
              </w:rPr>
              <w:t xml:space="preserve"> </w:t>
            </w:r>
            <w:r w:rsidRPr="003B0843">
              <w:rPr>
                <w:rFonts w:ascii="Book Antiqua" w:hAnsi="Book Antiqua" w:cs="Arial"/>
                <w:b/>
              </w:rPr>
              <w:t>2</w:t>
            </w:r>
          </w:p>
          <w:p w14:paraId="217482DB"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16)</w:t>
            </w:r>
          </w:p>
        </w:tc>
        <w:tc>
          <w:tcPr>
            <w:tcW w:w="446" w:type="pct"/>
            <w:tcBorders>
              <w:top w:val="single" w:sz="4" w:space="0" w:color="auto"/>
              <w:bottom w:val="single" w:sz="4" w:space="0" w:color="auto"/>
            </w:tcBorders>
            <w:shd w:val="clear" w:color="auto" w:fill="auto"/>
            <w:vAlign w:val="bottom"/>
          </w:tcPr>
          <w:p w14:paraId="0DCCC6C1"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PEG</w:t>
            </w:r>
          </w:p>
          <w:p w14:paraId="03F1A0A0"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16)</w:t>
            </w:r>
          </w:p>
        </w:tc>
        <w:tc>
          <w:tcPr>
            <w:tcW w:w="601" w:type="pct"/>
            <w:tcBorders>
              <w:top w:val="single" w:sz="4" w:space="0" w:color="auto"/>
              <w:bottom w:val="single" w:sz="4" w:space="0" w:color="auto"/>
            </w:tcBorders>
            <w:shd w:val="clear" w:color="auto" w:fill="auto"/>
            <w:vAlign w:val="bottom"/>
          </w:tcPr>
          <w:p w14:paraId="67ABCAAD" w14:textId="2CB3BC65"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1 dose </w:t>
            </w:r>
            <w:r w:rsidR="008F4E19" w:rsidRPr="00831B69">
              <w:rPr>
                <w:rFonts w:ascii="Book Antiqua" w:hAnsi="Book Antiqua"/>
                <w:b/>
                <w:lang w:val="pl-PL"/>
              </w:rPr>
              <w:t>×</w:t>
            </w:r>
            <w:r w:rsidR="008F4E19">
              <w:rPr>
                <w:rFonts w:ascii="Book Antiqua" w:hAnsi="Book Antiqua"/>
                <w:b/>
                <w:lang w:val="pl-PL"/>
              </w:rPr>
              <w:t xml:space="preserve"> </w:t>
            </w:r>
            <w:r w:rsidRPr="003B0843">
              <w:rPr>
                <w:rFonts w:ascii="Book Antiqua" w:hAnsi="Book Antiqua" w:cs="Arial"/>
                <w:b/>
              </w:rPr>
              <w:t>2</w:t>
            </w:r>
          </w:p>
          <w:p w14:paraId="448B43A9"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16)</w:t>
            </w:r>
          </w:p>
        </w:tc>
        <w:tc>
          <w:tcPr>
            <w:tcW w:w="601" w:type="pct"/>
            <w:tcBorders>
              <w:top w:val="single" w:sz="4" w:space="0" w:color="auto"/>
              <w:bottom w:val="single" w:sz="4" w:space="0" w:color="auto"/>
            </w:tcBorders>
            <w:shd w:val="clear" w:color="auto" w:fill="auto"/>
            <w:vAlign w:val="bottom"/>
          </w:tcPr>
          <w:p w14:paraId="2DAF8B0E"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PEG</w:t>
            </w:r>
          </w:p>
          <w:p w14:paraId="427657B3"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w:t>
            </w:r>
            <w:r>
              <w:rPr>
                <w:rFonts w:ascii="Book Antiqua" w:hAnsi="Book Antiqua" w:cs="Arial"/>
                <w:b/>
              </w:rPr>
              <w:t>4</w:t>
            </w:r>
            <w:r w:rsidRPr="003B0843">
              <w:rPr>
                <w:rFonts w:ascii="Book Antiqua" w:hAnsi="Book Antiqua" w:cs="Arial"/>
                <w:b/>
              </w:rPr>
              <w:t>)</w:t>
            </w:r>
          </w:p>
        </w:tc>
        <w:tc>
          <w:tcPr>
            <w:tcW w:w="601" w:type="pct"/>
            <w:vMerge/>
            <w:tcBorders>
              <w:top w:val="single" w:sz="4" w:space="0" w:color="auto"/>
              <w:bottom w:val="single" w:sz="4" w:space="0" w:color="auto"/>
            </w:tcBorders>
            <w:shd w:val="clear" w:color="auto" w:fill="auto"/>
          </w:tcPr>
          <w:p w14:paraId="510F5008" w14:textId="77777777" w:rsidR="00144E88" w:rsidRPr="003B0843" w:rsidRDefault="00144E88" w:rsidP="00F34EC7">
            <w:pPr>
              <w:adjustRightInd w:val="0"/>
              <w:snapToGrid w:val="0"/>
              <w:spacing w:line="360" w:lineRule="auto"/>
              <w:jc w:val="both"/>
              <w:rPr>
                <w:rFonts w:ascii="Book Antiqua" w:hAnsi="Book Antiqua" w:cs="Arial"/>
                <w:b/>
              </w:rPr>
            </w:pPr>
          </w:p>
        </w:tc>
        <w:tc>
          <w:tcPr>
            <w:tcW w:w="598" w:type="pct"/>
            <w:vMerge/>
            <w:tcBorders>
              <w:top w:val="single" w:sz="4" w:space="0" w:color="auto"/>
              <w:bottom w:val="single" w:sz="4" w:space="0" w:color="auto"/>
            </w:tcBorders>
            <w:shd w:val="clear" w:color="auto" w:fill="auto"/>
          </w:tcPr>
          <w:p w14:paraId="537E3339" w14:textId="77777777" w:rsidR="00144E88" w:rsidRPr="003B0843" w:rsidRDefault="00144E88" w:rsidP="00F34EC7">
            <w:pPr>
              <w:adjustRightInd w:val="0"/>
              <w:snapToGrid w:val="0"/>
              <w:spacing w:line="360" w:lineRule="auto"/>
              <w:jc w:val="both"/>
              <w:rPr>
                <w:rFonts w:ascii="Book Antiqua" w:hAnsi="Book Antiqua" w:cs="Arial"/>
                <w:b/>
              </w:rPr>
            </w:pPr>
          </w:p>
        </w:tc>
      </w:tr>
      <w:tr w:rsidR="00144E88" w:rsidRPr="003B0843" w14:paraId="54ABD329" w14:textId="77777777" w:rsidTr="00667B29">
        <w:tc>
          <w:tcPr>
            <w:tcW w:w="938" w:type="pct"/>
            <w:tcBorders>
              <w:top w:val="single" w:sz="4" w:space="0" w:color="auto"/>
            </w:tcBorders>
            <w:shd w:val="clear" w:color="auto" w:fill="auto"/>
          </w:tcPr>
          <w:p w14:paraId="6717390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Age (</w:t>
            </w:r>
            <w:proofErr w:type="spellStart"/>
            <w:r w:rsidRPr="003B0843">
              <w:rPr>
                <w:rFonts w:ascii="Book Antiqua" w:hAnsi="Book Antiqua" w:cs="Arial"/>
              </w:rPr>
              <w:t>yr</w:t>
            </w:r>
            <w:proofErr w:type="spellEnd"/>
            <w:r w:rsidRPr="003B0843">
              <w:rPr>
                <w:rFonts w:ascii="Book Antiqua" w:hAnsi="Book Antiqua" w:cs="Arial"/>
              </w:rPr>
              <w:t>), mean (SD)</w:t>
            </w:r>
          </w:p>
        </w:tc>
        <w:tc>
          <w:tcPr>
            <w:tcW w:w="625" w:type="pct"/>
            <w:tcBorders>
              <w:top w:val="single" w:sz="4" w:space="0" w:color="auto"/>
            </w:tcBorders>
            <w:shd w:val="clear" w:color="auto" w:fill="auto"/>
            <w:vAlign w:val="center"/>
          </w:tcPr>
          <w:p w14:paraId="00F4002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10.8 (1.0)</w:t>
            </w:r>
          </w:p>
        </w:tc>
        <w:tc>
          <w:tcPr>
            <w:tcW w:w="590" w:type="pct"/>
            <w:tcBorders>
              <w:top w:val="single" w:sz="4" w:space="0" w:color="auto"/>
            </w:tcBorders>
            <w:shd w:val="clear" w:color="auto" w:fill="auto"/>
            <w:vAlign w:val="center"/>
          </w:tcPr>
          <w:p w14:paraId="2BB7025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10.5 (1.2)</w:t>
            </w:r>
          </w:p>
        </w:tc>
        <w:tc>
          <w:tcPr>
            <w:tcW w:w="446" w:type="pct"/>
            <w:tcBorders>
              <w:top w:val="single" w:sz="4" w:space="0" w:color="auto"/>
            </w:tcBorders>
            <w:shd w:val="clear" w:color="auto" w:fill="auto"/>
            <w:vAlign w:val="center"/>
          </w:tcPr>
          <w:p w14:paraId="26E13DC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10.4 (1.2)</w:t>
            </w:r>
          </w:p>
        </w:tc>
        <w:tc>
          <w:tcPr>
            <w:tcW w:w="601" w:type="pct"/>
            <w:tcBorders>
              <w:top w:val="single" w:sz="4" w:space="0" w:color="auto"/>
            </w:tcBorders>
            <w:shd w:val="clear" w:color="auto" w:fill="auto"/>
            <w:vAlign w:val="center"/>
          </w:tcPr>
          <w:p w14:paraId="2A0B40B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15.0 (1.0)</w:t>
            </w:r>
          </w:p>
        </w:tc>
        <w:tc>
          <w:tcPr>
            <w:tcW w:w="601" w:type="pct"/>
            <w:tcBorders>
              <w:top w:val="single" w:sz="4" w:space="0" w:color="auto"/>
            </w:tcBorders>
            <w:shd w:val="clear" w:color="auto" w:fill="auto"/>
            <w:vAlign w:val="center"/>
          </w:tcPr>
          <w:p w14:paraId="0CBF5B2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14.9 (0.9)</w:t>
            </w:r>
          </w:p>
        </w:tc>
        <w:tc>
          <w:tcPr>
            <w:tcW w:w="601" w:type="pct"/>
            <w:tcBorders>
              <w:top w:val="single" w:sz="4" w:space="0" w:color="auto"/>
            </w:tcBorders>
            <w:shd w:val="clear" w:color="auto" w:fill="auto"/>
            <w:vAlign w:val="center"/>
          </w:tcPr>
          <w:p w14:paraId="2418CA1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12.8 (2.5)</w:t>
            </w:r>
          </w:p>
        </w:tc>
        <w:tc>
          <w:tcPr>
            <w:tcW w:w="598" w:type="pct"/>
            <w:tcBorders>
              <w:top w:val="single" w:sz="4" w:space="0" w:color="auto"/>
            </w:tcBorders>
            <w:shd w:val="clear" w:color="auto" w:fill="auto"/>
            <w:vAlign w:val="center"/>
          </w:tcPr>
          <w:p w14:paraId="660E7BA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12.5 (2.5)</w:t>
            </w:r>
          </w:p>
        </w:tc>
      </w:tr>
      <w:tr w:rsidR="00144E88" w:rsidRPr="003B0843" w14:paraId="600CA996" w14:textId="77777777" w:rsidTr="00F34EC7">
        <w:tc>
          <w:tcPr>
            <w:tcW w:w="938" w:type="pct"/>
            <w:shd w:val="clear" w:color="auto" w:fill="auto"/>
          </w:tcPr>
          <w:p w14:paraId="5ED0A15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 xml:space="preserve">Female, </w:t>
            </w:r>
            <w:r w:rsidRPr="00737675">
              <w:rPr>
                <w:rFonts w:ascii="Book Antiqua" w:hAnsi="Book Antiqua" w:cs="Arial"/>
                <w:i/>
                <w:iCs/>
              </w:rPr>
              <w:t>n</w:t>
            </w:r>
            <w:r w:rsidRPr="003B0843">
              <w:rPr>
                <w:rFonts w:ascii="Book Antiqua" w:hAnsi="Book Antiqua" w:cs="Arial"/>
              </w:rPr>
              <w:t xml:space="preserve"> (%)</w:t>
            </w:r>
          </w:p>
        </w:tc>
        <w:tc>
          <w:tcPr>
            <w:tcW w:w="625" w:type="pct"/>
            <w:shd w:val="clear" w:color="auto" w:fill="auto"/>
            <w:vAlign w:val="center"/>
          </w:tcPr>
          <w:p w14:paraId="04C9569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11 (68.8)</w:t>
            </w:r>
          </w:p>
        </w:tc>
        <w:tc>
          <w:tcPr>
            <w:tcW w:w="590" w:type="pct"/>
            <w:shd w:val="clear" w:color="auto" w:fill="auto"/>
            <w:vAlign w:val="center"/>
          </w:tcPr>
          <w:p w14:paraId="3B0C11E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12 (75.0)</w:t>
            </w:r>
          </w:p>
        </w:tc>
        <w:tc>
          <w:tcPr>
            <w:tcW w:w="446" w:type="pct"/>
            <w:shd w:val="clear" w:color="auto" w:fill="auto"/>
            <w:vAlign w:val="center"/>
          </w:tcPr>
          <w:p w14:paraId="5918DC4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8 (50.0)</w:t>
            </w:r>
          </w:p>
        </w:tc>
        <w:tc>
          <w:tcPr>
            <w:tcW w:w="601" w:type="pct"/>
            <w:shd w:val="clear" w:color="auto" w:fill="auto"/>
            <w:vAlign w:val="center"/>
          </w:tcPr>
          <w:p w14:paraId="29C89E6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11 (68.8)</w:t>
            </w:r>
          </w:p>
        </w:tc>
        <w:tc>
          <w:tcPr>
            <w:tcW w:w="601" w:type="pct"/>
            <w:shd w:val="clear" w:color="auto" w:fill="auto"/>
            <w:vAlign w:val="center"/>
          </w:tcPr>
          <w:p w14:paraId="10720893"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11 (78.6)</w:t>
            </w:r>
          </w:p>
        </w:tc>
        <w:tc>
          <w:tcPr>
            <w:tcW w:w="601" w:type="pct"/>
            <w:shd w:val="clear" w:color="auto" w:fill="auto"/>
            <w:vAlign w:val="center"/>
          </w:tcPr>
          <w:p w14:paraId="01BFAE7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23 (71.9)</w:t>
            </w:r>
          </w:p>
        </w:tc>
        <w:tc>
          <w:tcPr>
            <w:tcW w:w="598" w:type="pct"/>
            <w:shd w:val="clear" w:color="auto" w:fill="auto"/>
            <w:vAlign w:val="center"/>
          </w:tcPr>
          <w:p w14:paraId="3195EF5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19 (63.3)</w:t>
            </w:r>
          </w:p>
        </w:tc>
      </w:tr>
      <w:tr w:rsidR="00144E88" w:rsidRPr="003B0843" w14:paraId="5F686D92" w14:textId="77777777" w:rsidTr="00F34EC7">
        <w:tc>
          <w:tcPr>
            <w:tcW w:w="938" w:type="pct"/>
            <w:shd w:val="clear" w:color="auto" w:fill="auto"/>
          </w:tcPr>
          <w:p w14:paraId="60D2D86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 xml:space="preserve">White race, </w:t>
            </w:r>
            <w:r w:rsidRPr="00737675">
              <w:rPr>
                <w:rFonts w:ascii="Book Antiqua" w:hAnsi="Book Antiqua" w:cs="Arial"/>
                <w:i/>
                <w:iCs/>
              </w:rPr>
              <w:t>n</w:t>
            </w:r>
            <w:r w:rsidRPr="003B0843">
              <w:rPr>
                <w:rFonts w:ascii="Book Antiqua" w:hAnsi="Book Antiqua" w:cs="Arial"/>
              </w:rPr>
              <w:t xml:space="preserve"> (%)</w:t>
            </w:r>
          </w:p>
        </w:tc>
        <w:tc>
          <w:tcPr>
            <w:tcW w:w="625" w:type="pct"/>
            <w:shd w:val="clear" w:color="auto" w:fill="auto"/>
            <w:vAlign w:val="center"/>
          </w:tcPr>
          <w:p w14:paraId="13C5ADE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15 (93.8)</w:t>
            </w:r>
          </w:p>
        </w:tc>
        <w:tc>
          <w:tcPr>
            <w:tcW w:w="590" w:type="pct"/>
            <w:shd w:val="clear" w:color="auto" w:fill="auto"/>
            <w:vAlign w:val="center"/>
          </w:tcPr>
          <w:p w14:paraId="21AC7A3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16 (100)</w:t>
            </w:r>
          </w:p>
        </w:tc>
        <w:tc>
          <w:tcPr>
            <w:tcW w:w="446" w:type="pct"/>
            <w:shd w:val="clear" w:color="auto" w:fill="auto"/>
            <w:vAlign w:val="center"/>
          </w:tcPr>
          <w:p w14:paraId="70DA466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11 (68.8)</w:t>
            </w:r>
          </w:p>
        </w:tc>
        <w:tc>
          <w:tcPr>
            <w:tcW w:w="601" w:type="pct"/>
            <w:shd w:val="clear" w:color="auto" w:fill="auto"/>
            <w:vAlign w:val="center"/>
          </w:tcPr>
          <w:p w14:paraId="00CBF23B"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15 (93.8)</w:t>
            </w:r>
          </w:p>
        </w:tc>
        <w:tc>
          <w:tcPr>
            <w:tcW w:w="601" w:type="pct"/>
            <w:shd w:val="clear" w:color="auto" w:fill="auto"/>
            <w:vAlign w:val="center"/>
          </w:tcPr>
          <w:p w14:paraId="2B186B0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14 (100)</w:t>
            </w:r>
          </w:p>
        </w:tc>
        <w:tc>
          <w:tcPr>
            <w:tcW w:w="601" w:type="pct"/>
            <w:shd w:val="clear" w:color="auto" w:fill="auto"/>
            <w:vAlign w:val="center"/>
          </w:tcPr>
          <w:p w14:paraId="62CE7163"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31 (96.9)</w:t>
            </w:r>
          </w:p>
        </w:tc>
        <w:tc>
          <w:tcPr>
            <w:tcW w:w="598" w:type="pct"/>
            <w:shd w:val="clear" w:color="auto" w:fill="auto"/>
            <w:vAlign w:val="center"/>
          </w:tcPr>
          <w:p w14:paraId="24E0CEC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25 (83.3)</w:t>
            </w:r>
          </w:p>
        </w:tc>
      </w:tr>
      <w:tr w:rsidR="00144E88" w:rsidRPr="003B0843" w14:paraId="7D235B16" w14:textId="77777777" w:rsidTr="00F34EC7">
        <w:tc>
          <w:tcPr>
            <w:tcW w:w="938" w:type="pct"/>
            <w:tcBorders>
              <w:bottom w:val="single" w:sz="8" w:space="0" w:color="auto"/>
            </w:tcBorders>
            <w:shd w:val="clear" w:color="auto" w:fill="auto"/>
          </w:tcPr>
          <w:p w14:paraId="4440615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BMI (kg/m</w:t>
            </w:r>
            <w:r w:rsidRPr="003B0843">
              <w:rPr>
                <w:rFonts w:ascii="Book Antiqua" w:hAnsi="Book Antiqua" w:cs="Arial"/>
                <w:vertAlign w:val="superscript"/>
              </w:rPr>
              <w:t>2</w:t>
            </w:r>
            <w:r w:rsidRPr="003B0843">
              <w:rPr>
                <w:rFonts w:ascii="Book Antiqua" w:hAnsi="Book Antiqua" w:cs="Arial"/>
              </w:rPr>
              <w:t xml:space="preserve">), mean (SD) </w:t>
            </w:r>
          </w:p>
        </w:tc>
        <w:tc>
          <w:tcPr>
            <w:tcW w:w="625" w:type="pct"/>
            <w:tcBorders>
              <w:bottom w:val="single" w:sz="8" w:space="0" w:color="auto"/>
            </w:tcBorders>
            <w:shd w:val="clear" w:color="auto" w:fill="auto"/>
            <w:vAlign w:val="center"/>
          </w:tcPr>
          <w:p w14:paraId="74E4192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19.0 (4.8)</w:t>
            </w:r>
          </w:p>
        </w:tc>
        <w:tc>
          <w:tcPr>
            <w:tcW w:w="590" w:type="pct"/>
            <w:tcBorders>
              <w:bottom w:val="single" w:sz="8" w:space="0" w:color="auto"/>
            </w:tcBorders>
            <w:shd w:val="clear" w:color="auto" w:fill="auto"/>
            <w:vAlign w:val="center"/>
          </w:tcPr>
          <w:p w14:paraId="6DA4F9D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20.4 (5.3)</w:t>
            </w:r>
          </w:p>
        </w:tc>
        <w:tc>
          <w:tcPr>
            <w:tcW w:w="446" w:type="pct"/>
            <w:tcBorders>
              <w:bottom w:val="single" w:sz="8" w:space="0" w:color="auto"/>
            </w:tcBorders>
            <w:shd w:val="clear" w:color="auto" w:fill="auto"/>
            <w:vAlign w:val="center"/>
          </w:tcPr>
          <w:p w14:paraId="6D120B9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19.4 (5.2)</w:t>
            </w:r>
          </w:p>
        </w:tc>
        <w:tc>
          <w:tcPr>
            <w:tcW w:w="601" w:type="pct"/>
            <w:tcBorders>
              <w:bottom w:val="single" w:sz="8" w:space="0" w:color="auto"/>
            </w:tcBorders>
            <w:shd w:val="clear" w:color="auto" w:fill="auto"/>
            <w:vAlign w:val="center"/>
          </w:tcPr>
          <w:p w14:paraId="68529EC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24.9 (7.0)</w:t>
            </w:r>
          </w:p>
        </w:tc>
        <w:tc>
          <w:tcPr>
            <w:tcW w:w="601" w:type="pct"/>
            <w:tcBorders>
              <w:bottom w:val="single" w:sz="8" w:space="0" w:color="auto"/>
            </w:tcBorders>
            <w:shd w:val="clear" w:color="auto" w:fill="auto"/>
            <w:vAlign w:val="center"/>
          </w:tcPr>
          <w:p w14:paraId="44A12D4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23.1 (6.5)</w:t>
            </w:r>
          </w:p>
        </w:tc>
        <w:tc>
          <w:tcPr>
            <w:tcW w:w="601" w:type="pct"/>
            <w:tcBorders>
              <w:bottom w:val="single" w:sz="8" w:space="0" w:color="auto"/>
            </w:tcBorders>
            <w:shd w:val="clear" w:color="auto" w:fill="auto"/>
            <w:vAlign w:val="center"/>
          </w:tcPr>
          <w:p w14:paraId="7653BEFB"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22.6 (6.5)</w:t>
            </w:r>
          </w:p>
        </w:tc>
        <w:tc>
          <w:tcPr>
            <w:tcW w:w="598" w:type="pct"/>
            <w:tcBorders>
              <w:bottom w:val="single" w:sz="8" w:space="0" w:color="auto"/>
            </w:tcBorders>
            <w:shd w:val="clear" w:color="auto" w:fill="auto"/>
            <w:vAlign w:val="center"/>
          </w:tcPr>
          <w:p w14:paraId="05D2A57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21.1 (6.0)</w:t>
            </w:r>
          </w:p>
        </w:tc>
      </w:tr>
    </w:tbl>
    <w:p w14:paraId="55ECF67B" w14:textId="0E679B3C" w:rsidR="00667B29" w:rsidRPr="00083893" w:rsidRDefault="00144E88" w:rsidP="00144E88">
      <w:pPr>
        <w:adjustRightInd w:val="0"/>
        <w:snapToGrid w:val="0"/>
        <w:spacing w:line="360" w:lineRule="auto"/>
        <w:jc w:val="both"/>
        <w:rPr>
          <w:rFonts w:ascii="Book Antiqua" w:hAnsi="Book Antiqua" w:cs="Arial"/>
        </w:rPr>
      </w:pPr>
      <w:r w:rsidRPr="003B0843">
        <w:rPr>
          <w:rFonts w:ascii="Book Antiqua" w:hAnsi="Book Antiqua" w:cs="Arial"/>
        </w:rPr>
        <w:t>BMI</w:t>
      </w:r>
      <w:r>
        <w:rPr>
          <w:rFonts w:ascii="Book Antiqua" w:hAnsi="Book Antiqua" w:cs="Arial"/>
        </w:rPr>
        <w:t>:</w:t>
      </w:r>
      <w:r w:rsidRPr="003B0843">
        <w:rPr>
          <w:rFonts w:ascii="Book Antiqua" w:hAnsi="Book Antiqua" w:cs="Arial"/>
        </w:rPr>
        <w:t xml:space="preserve"> Body mass index; ITT</w:t>
      </w:r>
      <w:r>
        <w:rPr>
          <w:rFonts w:ascii="Book Antiqua" w:hAnsi="Book Antiqua" w:cs="Arial"/>
        </w:rPr>
        <w:t>:</w:t>
      </w:r>
      <w:r w:rsidRPr="003B0843">
        <w:rPr>
          <w:rFonts w:ascii="Book Antiqua" w:hAnsi="Book Antiqua" w:cs="Arial"/>
        </w:rPr>
        <w:t xml:space="preserve"> Intent-to-treat; PEG</w:t>
      </w:r>
      <w:r>
        <w:rPr>
          <w:rFonts w:ascii="Book Antiqua" w:hAnsi="Book Antiqua" w:cs="Arial"/>
        </w:rPr>
        <w:t>:</w:t>
      </w:r>
      <w:r w:rsidRPr="003B0843">
        <w:rPr>
          <w:rFonts w:ascii="Book Antiqua" w:hAnsi="Book Antiqua" w:cs="Arial"/>
        </w:rPr>
        <w:t xml:space="preserve"> Polyethylene glycol; SD</w:t>
      </w:r>
      <w:r>
        <w:rPr>
          <w:rFonts w:ascii="Book Antiqua" w:hAnsi="Book Antiqua" w:cs="Arial"/>
        </w:rPr>
        <w:t>:</w:t>
      </w:r>
      <w:r w:rsidRPr="003B0843">
        <w:rPr>
          <w:rFonts w:ascii="Book Antiqua" w:hAnsi="Book Antiqua" w:cs="Arial"/>
        </w:rPr>
        <w:t xml:space="preserve"> Standard deviation; SPMC</w:t>
      </w:r>
      <w:r>
        <w:rPr>
          <w:rFonts w:ascii="Book Antiqua" w:hAnsi="Book Antiqua" w:cs="Arial"/>
        </w:rPr>
        <w:t>:</w:t>
      </w:r>
      <w:r w:rsidRPr="003B0843">
        <w:rPr>
          <w:rFonts w:ascii="Book Antiqua" w:hAnsi="Book Antiqua" w:cs="Arial"/>
        </w:rPr>
        <w:t xml:space="preserve"> Sodium </w:t>
      </w:r>
      <w:proofErr w:type="spellStart"/>
      <w:r w:rsidRPr="003B0843">
        <w:rPr>
          <w:rFonts w:ascii="Book Antiqua" w:hAnsi="Book Antiqua" w:cs="Arial"/>
        </w:rPr>
        <w:t>picosulfate</w:t>
      </w:r>
      <w:proofErr w:type="spellEnd"/>
      <w:r w:rsidRPr="003B0843">
        <w:rPr>
          <w:rFonts w:ascii="Book Antiqua" w:hAnsi="Book Antiqua" w:cs="Arial"/>
        </w:rPr>
        <w:t>, magnesium oxide, and citric acid</w:t>
      </w:r>
      <w:r>
        <w:rPr>
          <w:rFonts w:ascii="Book Antiqua" w:hAnsi="Book Antiqua" w:cs="Arial"/>
        </w:rPr>
        <w:t>.</w:t>
      </w:r>
    </w:p>
    <w:p w14:paraId="43D225CC" w14:textId="3C6A2B43" w:rsidR="00144E88" w:rsidRPr="00737675" w:rsidRDefault="00750413" w:rsidP="00144E88">
      <w:pPr>
        <w:adjustRightInd w:val="0"/>
        <w:snapToGrid w:val="0"/>
        <w:spacing w:line="360" w:lineRule="auto"/>
        <w:jc w:val="both"/>
        <w:rPr>
          <w:rFonts w:ascii="Book Antiqua" w:hAnsi="Book Antiqua" w:cs="Arial"/>
          <w:b/>
        </w:rPr>
      </w:pPr>
      <w:r>
        <w:rPr>
          <w:rFonts w:ascii="Book Antiqua" w:hAnsi="Book Antiqua" w:cs="Arial"/>
          <w:b/>
        </w:rPr>
        <w:br w:type="page"/>
      </w:r>
      <w:r w:rsidR="00144E88" w:rsidRPr="003B0843">
        <w:rPr>
          <w:rFonts w:ascii="Book Antiqua" w:hAnsi="Book Antiqua" w:cs="Arial"/>
          <w:b/>
        </w:rPr>
        <w:lastRenderedPageBreak/>
        <w:t>Table 2 Summary of adverse events, safety population</w:t>
      </w:r>
    </w:p>
    <w:tbl>
      <w:tblPr>
        <w:tblW w:w="5000" w:type="pct"/>
        <w:tblLook w:val="04A0" w:firstRow="1" w:lastRow="0" w:firstColumn="1" w:lastColumn="0" w:noHBand="0" w:noVBand="1"/>
      </w:tblPr>
      <w:tblGrid>
        <w:gridCol w:w="1883"/>
        <w:gridCol w:w="1152"/>
        <w:gridCol w:w="1086"/>
        <w:gridCol w:w="817"/>
        <w:gridCol w:w="1107"/>
        <w:gridCol w:w="1107"/>
        <w:gridCol w:w="1107"/>
        <w:gridCol w:w="1101"/>
      </w:tblGrid>
      <w:tr w:rsidR="00144E88" w:rsidRPr="003B0843" w14:paraId="3481742D" w14:textId="77777777" w:rsidTr="00780EF4">
        <w:tc>
          <w:tcPr>
            <w:tcW w:w="938" w:type="pct"/>
            <w:tcBorders>
              <w:top w:val="single" w:sz="4" w:space="0" w:color="auto"/>
            </w:tcBorders>
            <w:shd w:val="clear" w:color="auto" w:fill="auto"/>
          </w:tcPr>
          <w:p w14:paraId="7000E82F" w14:textId="77777777" w:rsidR="00144E88" w:rsidRPr="003B0843" w:rsidRDefault="00144E88" w:rsidP="00F34EC7">
            <w:pPr>
              <w:adjustRightInd w:val="0"/>
              <w:snapToGrid w:val="0"/>
              <w:spacing w:line="360" w:lineRule="auto"/>
              <w:jc w:val="both"/>
              <w:rPr>
                <w:rFonts w:ascii="Book Antiqua" w:hAnsi="Book Antiqua" w:cs="Arial"/>
                <w:b/>
              </w:rPr>
            </w:pPr>
          </w:p>
        </w:tc>
        <w:tc>
          <w:tcPr>
            <w:tcW w:w="1661" w:type="pct"/>
            <w:gridSpan w:val="3"/>
            <w:tcBorders>
              <w:top w:val="single" w:sz="4" w:space="0" w:color="auto"/>
              <w:bottom w:val="single" w:sz="8" w:space="0" w:color="auto"/>
            </w:tcBorders>
            <w:shd w:val="clear" w:color="auto" w:fill="auto"/>
            <w:vAlign w:val="center"/>
          </w:tcPr>
          <w:p w14:paraId="6DD8548C"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9-12 </w:t>
            </w:r>
            <w:proofErr w:type="spellStart"/>
            <w:r w:rsidRPr="003B0843">
              <w:rPr>
                <w:rFonts w:ascii="Book Antiqua" w:hAnsi="Book Antiqua" w:cs="Arial"/>
                <w:b/>
              </w:rPr>
              <w:t>yr</w:t>
            </w:r>
            <w:proofErr w:type="spellEnd"/>
            <w:r>
              <w:rPr>
                <w:rFonts w:ascii="Book Antiqua" w:hAnsi="Book Antiqua" w:cs="Arial"/>
                <w:b/>
              </w:rPr>
              <w:t xml:space="preserve"> </w:t>
            </w:r>
            <w:r w:rsidRPr="003B0843">
              <w:rPr>
                <w:rFonts w:ascii="Book Antiqua" w:hAnsi="Book Antiqua" w:cs="Arial"/>
                <w:b/>
              </w:rPr>
              <w:t>old</w:t>
            </w:r>
          </w:p>
        </w:tc>
        <w:tc>
          <w:tcPr>
            <w:tcW w:w="1202" w:type="pct"/>
            <w:gridSpan w:val="2"/>
            <w:tcBorders>
              <w:top w:val="single" w:sz="4" w:space="0" w:color="auto"/>
              <w:bottom w:val="single" w:sz="8" w:space="0" w:color="auto"/>
            </w:tcBorders>
            <w:shd w:val="clear" w:color="auto" w:fill="auto"/>
            <w:vAlign w:val="center"/>
          </w:tcPr>
          <w:p w14:paraId="1F307A45"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13-16 </w:t>
            </w:r>
            <w:proofErr w:type="spellStart"/>
            <w:r w:rsidRPr="003B0843">
              <w:rPr>
                <w:rFonts w:ascii="Book Antiqua" w:hAnsi="Book Antiqua" w:cs="Arial"/>
                <w:b/>
              </w:rPr>
              <w:t>yr</w:t>
            </w:r>
            <w:proofErr w:type="spellEnd"/>
            <w:r w:rsidRPr="003B0843">
              <w:rPr>
                <w:rFonts w:ascii="Book Antiqua" w:hAnsi="Book Antiqua" w:cs="Arial"/>
                <w:b/>
              </w:rPr>
              <w:t xml:space="preserve"> old</w:t>
            </w:r>
          </w:p>
        </w:tc>
        <w:tc>
          <w:tcPr>
            <w:tcW w:w="601" w:type="pct"/>
            <w:vMerge w:val="restart"/>
            <w:tcBorders>
              <w:top w:val="single" w:sz="4" w:space="0" w:color="auto"/>
              <w:bottom w:val="single" w:sz="12" w:space="0" w:color="auto"/>
            </w:tcBorders>
            <w:shd w:val="clear" w:color="auto" w:fill="auto"/>
            <w:vAlign w:val="bottom"/>
          </w:tcPr>
          <w:p w14:paraId="21CF62D7" w14:textId="7132C20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All SPMC 1 dose </w:t>
            </w:r>
            <w:r w:rsidR="00831B69" w:rsidRPr="00831B69">
              <w:rPr>
                <w:rFonts w:ascii="Book Antiqua" w:hAnsi="Book Antiqua"/>
                <w:b/>
                <w:lang w:val="pl-PL"/>
              </w:rPr>
              <w:t>×</w:t>
            </w:r>
            <w:r w:rsidR="00831B69">
              <w:rPr>
                <w:rFonts w:ascii="Book Antiqua" w:hAnsi="Book Antiqua"/>
                <w:b/>
                <w:lang w:val="pl-PL"/>
              </w:rPr>
              <w:t xml:space="preserve"> </w:t>
            </w:r>
            <w:r w:rsidRPr="003B0843">
              <w:rPr>
                <w:rFonts w:ascii="Book Antiqua" w:hAnsi="Book Antiqua" w:cs="Arial"/>
                <w:b/>
              </w:rPr>
              <w:t>2</w:t>
            </w:r>
          </w:p>
          <w:p w14:paraId="2C0F874E"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33)</w:t>
            </w:r>
          </w:p>
        </w:tc>
        <w:tc>
          <w:tcPr>
            <w:tcW w:w="598" w:type="pct"/>
            <w:vMerge w:val="restart"/>
            <w:tcBorders>
              <w:top w:val="single" w:sz="4" w:space="0" w:color="auto"/>
              <w:bottom w:val="single" w:sz="12" w:space="0" w:color="auto"/>
            </w:tcBorders>
            <w:shd w:val="clear" w:color="auto" w:fill="auto"/>
            <w:vAlign w:val="bottom"/>
          </w:tcPr>
          <w:p w14:paraId="6AC693D3"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All PEG</w:t>
            </w:r>
          </w:p>
          <w:p w14:paraId="5F21F359"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27)</w:t>
            </w:r>
          </w:p>
        </w:tc>
      </w:tr>
      <w:tr w:rsidR="00144E88" w:rsidRPr="003B0843" w14:paraId="2149D0B7" w14:textId="77777777" w:rsidTr="00780EF4">
        <w:tc>
          <w:tcPr>
            <w:tcW w:w="938" w:type="pct"/>
            <w:tcBorders>
              <w:bottom w:val="single" w:sz="12" w:space="0" w:color="auto"/>
            </w:tcBorders>
            <w:shd w:val="clear" w:color="auto" w:fill="auto"/>
            <w:vAlign w:val="bottom"/>
          </w:tcPr>
          <w:p w14:paraId="6552A9D4" w14:textId="77777777" w:rsidR="00144E88" w:rsidRPr="003B0843" w:rsidRDefault="00144E88" w:rsidP="00F34EC7">
            <w:pPr>
              <w:adjustRightInd w:val="0"/>
              <w:snapToGrid w:val="0"/>
              <w:spacing w:line="360" w:lineRule="auto"/>
              <w:jc w:val="both"/>
              <w:rPr>
                <w:rFonts w:ascii="Book Antiqua" w:hAnsi="Book Antiqua" w:cs="Arial"/>
                <w:b/>
              </w:rPr>
            </w:pPr>
            <w:r w:rsidRPr="00737675">
              <w:rPr>
                <w:rFonts w:ascii="Book Antiqua" w:hAnsi="Book Antiqua" w:cs="Arial"/>
                <w:b/>
                <w:i/>
                <w:iCs/>
              </w:rPr>
              <w:t>n</w:t>
            </w:r>
            <w:r w:rsidRPr="003B0843">
              <w:rPr>
                <w:rFonts w:ascii="Book Antiqua" w:hAnsi="Book Antiqua" w:cs="Arial"/>
                <w:b/>
              </w:rPr>
              <w:t xml:space="preserve"> (%)</w:t>
            </w:r>
          </w:p>
        </w:tc>
        <w:tc>
          <w:tcPr>
            <w:tcW w:w="625" w:type="pct"/>
            <w:tcBorders>
              <w:top w:val="single" w:sz="8" w:space="0" w:color="auto"/>
              <w:bottom w:val="single" w:sz="12" w:space="0" w:color="auto"/>
            </w:tcBorders>
            <w:shd w:val="clear" w:color="auto" w:fill="auto"/>
            <w:vAlign w:val="bottom"/>
          </w:tcPr>
          <w:p w14:paraId="2F4A0ECC" w14:textId="1DA8C816"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½ dose </w:t>
            </w:r>
            <w:r w:rsidR="00831B69" w:rsidRPr="00831B69">
              <w:rPr>
                <w:rFonts w:ascii="Book Antiqua" w:hAnsi="Book Antiqua"/>
                <w:b/>
                <w:lang w:val="pl-PL"/>
              </w:rPr>
              <w:t>×</w:t>
            </w:r>
            <w:r w:rsidR="00831B69">
              <w:rPr>
                <w:rFonts w:ascii="Book Antiqua" w:hAnsi="Book Antiqua"/>
                <w:lang w:val="pl-PL"/>
              </w:rPr>
              <w:t xml:space="preserve"> </w:t>
            </w:r>
            <w:r w:rsidRPr="003B0843">
              <w:rPr>
                <w:rFonts w:ascii="Book Antiqua" w:hAnsi="Book Antiqua" w:cs="Arial"/>
                <w:b/>
              </w:rPr>
              <w:t>2</w:t>
            </w:r>
          </w:p>
          <w:p w14:paraId="47266759"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15)</w:t>
            </w:r>
          </w:p>
        </w:tc>
        <w:tc>
          <w:tcPr>
            <w:tcW w:w="590" w:type="pct"/>
            <w:tcBorders>
              <w:top w:val="single" w:sz="8" w:space="0" w:color="auto"/>
              <w:bottom w:val="single" w:sz="12" w:space="0" w:color="auto"/>
            </w:tcBorders>
            <w:shd w:val="clear" w:color="auto" w:fill="auto"/>
            <w:vAlign w:val="bottom"/>
          </w:tcPr>
          <w:p w14:paraId="2757A6DD" w14:textId="29AB6945"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1 dose </w:t>
            </w:r>
            <w:r w:rsidR="00831B69" w:rsidRPr="00831B69">
              <w:rPr>
                <w:rFonts w:ascii="Book Antiqua" w:hAnsi="Book Antiqua"/>
                <w:b/>
                <w:lang w:val="pl-PL"/>
              </w:rPr>
              <w:t>×</w:t>
            </w:r>
            <w:r w:rsidR="00831B69">
              <w:rPr>
                <w:rFonts w:ascii="Book Antiqua" w:hAnsi="Book Antiqua"/>
                <w:b/>
                <w:lang w:val="pl-PL"/>
              </w:rPr>
              <w:t xml:space="preserve"> </w:t>
            </w:r>
            <w:r w:rsidRPr="003B0843">
              <w:rPr>
                <w:rFonts w:ascii="Book Antiqua" w:hAnsi="Book Antiqua" w:cs="Arial"/>
                <w:b/>
              </w:rPr>
              <w:t>2</w:t>
            </w:r>
          </w:p>
          <w:p w14:paraId="68A9247B"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17)</w:t>
            </w:r>
          </w:p>
        </w:tc>
        <w:tc>
          <w:tcPr>
            <w:tcW w:w="446" w:type="pct"/>
            <w:tcBorders>
              <w:top w:val="single" w:sz="8" w:space="0" w:color="auto"/>
              <w:bottom w:val="single" w:sz="12" w:space="0" w:color="auto"/>
            </w:tcBorders>
            <w:shd w:val="clear" w:color="auto" w:fill="auto"/>
            <w:vAlign w:val="bottom"/>
          </w:tcPr>
          <w:p w14:paraId="3BE9655D"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PEG</w:t>
            </w:r>
          </w:p>
          <w:p w14:paraId="03E28318"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15)</w:t>
            </w:r>
          </w:p>
        </w:tc>
        <w:tc>
          <w:tcPr>
            <w:tcW w:w="601" w:type="pct"/>
            <w:tcBorders>
              <w:top w:val="single" w:sz="8" w:space="0" w:color="auto"/>
              <w:bottom w:val="single" w:sz="12" w:space="0" w:color="auto"/>
            </w:tcBorders>
            <w:shd w:val="clear" w:color="auto" w:fill="auto"/>
            <w:vAlign w:val="bottom"/>
          </w:tcPr>
          <w:p w14:paraId="23CBEF2F" w14:textId="1F0B745C"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 xml:space="preserve">SPMC 1 dose </w:t>
            </w:r>
            <w:r w:rsidR="00831B69" w:rsidRPr="00831B69">
              <w:rPr>
                <w:rFonts w:ascii="Book Antiqua" w:hAnsi="Book Antiqua"/>
                <w:b/>
                <w:lang w:val="pl-PL"/>
              </w:rPr>
              <w:t>×</w:t>
            </w:r>
            <w:r w:rsidR="00831B69">
              <w:rPr>
                <w:rFonts w:ascii="Book Antiqua" w:hAnsi="Book Antiqua"/>
                <w:b/>
                <w:lang w:val="pl-PL"/>
              </w:rPr>
              <w:t xml:space="preserve"> </w:t>
            </w:r>
            <w:r w:rsidRPr="003B0843">
              <w:rPr>
                <w:rFonts w:ascii="Book Antiqua" w:hAnsi="Book Antiqua" w:cs="Arial"/>
                <w:b/>
              </w:rPr>
              <w:t>2</w:t>
            </w:r>
          </w:p>
          <w:p w14:paraId="61A3B224"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16)</w:t>
            </w:r>
          </w:p>
        </w:tc>
        <w:tc>
          <w:tcPr>
            <w:tcW w:w="601" w:type="pct"/>
            <w:tcBorders>
              <w:top w:val="single" w:sz="8" w:space="0" w:color="auto"/>
              <w:bottom w:val="single" w:sz="12" w:space="0" w:color="auto"/>
            </w:tcBorders>
            <w:shd w:val="clear" w:color="auto" w:fill="auto"/>
            <w:vAlign w:val="bottom"/>
          </w:tcPr>
          <w:p w14:paraId="5FF607A3"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PEG</w:t>
            </w:r>
          </w:p>
          <w:p w14:paraId="7C8FDC04" w14:textId="77777777" w:rsidR="00144E88" w:rsidRPr="003B0843" w:rsidRDefault="00144E88" w:rsidP="00F34EC7">
            <w:pPr>
              <w:adjustRightInd w:val="0"/>
              <w:snapToGrid w:val="0"/>
              <w:spacing w:line="360" w:lineRule="auto"/>
              <w:jc w:val="both"/>
              <w:rPr>
                <w:rFonts w:ascii="Book Antiqua" w:hAnsi="Book Antiqua" w:cs="Arial"/>
                <w:b/>
              </w:rPr>
            </w:pPr>
            <w:r w:rsidRPr="003B0843">
              <w:rPr>
                <w:rFonts w:ascii="Book Antiqua" w:hAnsi="Book Antiqua" w:cs="Arial"/>
                <w:b/>
              </w:rPr>
              <w:t>(</w:t>
            </w:r>
            <w:r w:rsidRPr="00737675">
              <w:rPr>
                <w:rFonts w:ascii="Book Antiqua" w:hAnsi="Book Antiqua" w:cs="Arial"/>
                <w:b/>
                <w:i/>
                <w:iCs/>
              </w:rPr>
              <w:t>n</w:t>
            </w:r>
            <w:r>
              <w:rPr>
                <w:rFonts w:ascii="Book Antiqua" w:hAnsi="Book Antiqua" w:cs="Arial"/>
                <w:b/>
              </w:rPr>
              <w:t xml:space="preserve"> </w:t>
            </w:r>
            <w:r w:rsidRPr="003B0843">
              <w:rPr>
                <w:rFonts w:ascii="Book Antiqua" w:hAnsi="Book Antiqua" w:cs="Arial"/>
                <w:b/>
              </w:rPr>
              <w:t>=</w:t>
            </w:r>
            <w:r>
              <w:rPr>
                <w:rFonts w:ascii="Book Antiqua" w:hAnsi="Book Antiqua" w:cs="Arial"/>
                <w:b/>
              </w:rPr>
              <w:t xml:space="preserve"> </w:t>
            </w:r>
            <w:r w:rsidRPr="003B0843">
              <w:rPr>
                <w:rFonts w:ascii="Book Antiqua" w:hAnsi="Book Antiqua" w:cs="Arial"/>
                <w:b/>
              </w:rPr>
              <w:t>12)</w:t>
            </w:r>
          </w:p>
        </w:tc>
        <w:tc>
          <w:tcPr>
            <w:tcW w:w="601" w:type="pct"/>
            <w:vMerge/>
            <w:tcBorders>
              <w:bottom w:val="single" w:sz="12" w:space="0" w:color="auto"/>
            </w:tcBorders>
            <w:shd w:val="clear" w:color="auto" w:fill="auto"/>
          </w:tcPr>
          <w:p w14:paraId="35F8838F" w14:textId="77777777" w:rsidR="00144E88" w:rsidRPr="003B0843" w:rsidRDefault="00144E88" w:rsidP="00F34EC7">
            <w:pPr>
              <w:adjustRightInd w:val="0"/>
              <w:snapToGrid w:val="0"/>
              <w:spacing w:line="360" w:lineRule="auto"/>
              <w:jc w:val="both"/>
              <w:rPr>
                <w:rFonts w:ascii="Book Antiqua" w:hAnsi="Book Antiqua" w:cs="Arial"/>
                <w:b/>
              </w:rPr>
            </w:pPr>
          </w:p>
        </w:tc>
        <w:tc>
          <w:tcPr>
            <w:tcW w:w="598" w:type="pct"/>
            <w:vMerge/>
            <w:tcBorders>
              <w:bottom w:val="single" w:sz="12" w:space="0" w:color="auto"/>
            </w:tcBorders>
            <w:shd w:val="clear" w:color="auto" w:fill="auto"/>
          </w:tcPr>
          <w:p w14:paraId="19DBD367" w14:textId="77777777" w:rsidR="00144E88" w:rsidRPr="003B0843" w:rsidRDefault="00144E88" w:rsidP="00F34EC7">
            <w:pPr>
              <w:adjustRightInd w:val="0"/>
              <w:snapToGrid w:val="0"/>
              <w:spacing w:line="360" w:lineRule="auto"/>
              <w:jc w:val="both"/>
              <w:rPr>
                <w:rFonts w:ascii="Book Antiqua" w:hAnsi="Book Antiqua" w:cs="Arial"/>
                <w:b/>
              </w:rPr>
            </w:pPr>
          </w:p>
        </w:tc>
      </w:tr>
      <w:tr w:rsidR="00144E88" w:rsidRPr="003B0843" w14:paraId="639C66DF" w14:textId="77777777" w:rsidTr="00F34EC7">
        <w:tc>
          <w:tcPr>
            <w:tcW w:w="938" w:type="pct"/>
            <w:tcBorders>
              <w:top w:val="single" w:sz="12" w:space="0" w:color="auto"/>
            </w:tcBorders>
            <w:shd w:val="clear" w:color="auto" w:fill="auto"/>
          </w:tcPr>
          <w:p w14:paraId="27D8BC1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Any TEAE</w:t>
            </w:r>
          </w:p>
        </w:tc>
        <w:tc>
          <w:tcPr>
            <w:tcW w:w="625" w:type="pct"/>
            <w:tcBorders>
              <w:top w:val="single" w:sz="12" w:space="0" w:color="auto"/>
            </w:tcBorders>
            <w:shd w:val="clear" w:color="auto" w:fill="auto"/>
            <w:vAlign w:val="center"/>
          </w:tcPr>
          <w:p w14:paraId="40B4C6B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8 (53.3)</w:t>
            </w:r>
          </w:p>
        </w:tc>
        <w:tc>
          <w:tcPr>
            <w:tcW w:w="590" w:type="pct"/>
            <w:tcBorders>
              <w:top w:val="single" w:sz="12" w:space="0" w:color="auto"/>
            </w:tcBorders>
            <w:shd w:val="clear" w:color="auto" w:fill="auto"/>
            <w:vAlign w:val="center"/>
          </w:tcPr>
          <w:p w14:paraId="7238978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5 (29.4)</w:t>
            </w:r>
          </w:p>
        </w:tc>
        <w:tc>
          <w:tcPr>
            <w:tcW w:w="446" w:type="pct"/>
            <w:tcBorders>
              <w:top w:val="single" w:sz="12" w:space="0" w:color="auto"/>
            </w:tcBorders>
            <w:shd w:val="clear" w:color="auto" w:fill="auto"/>
            <w:vAlign w:val="center"/>
          </w:tcPr>
          <w:p w14:paraId="0019D43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6 (40.0)</w:t>
            </w:r>
          </w:p>
        </w:tc>
        <w:tc>
          <w:tcPr>
            <w:tcW w:w="601" w:type="pct"/>
            <w:tcBorders>
              <w:top w:val="single" w:sz="12" w:space="0" w:color="auto"/>
            </w:tcBorders>
            <w:shd w:val="clear" w:color="auto" w:fill="auto"/>
            <w:vAlign w:val="center"/>
          </w:tcPr>
          <w:p w14:paraId="79EFD2A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10 (62.5)</w:t>
            </w:r>
          </w:p>
        </w:tc>
        <w:tc>
          <w:tcPr>
            <w:tcW w:w="601" w:type="pct"/>
            <w:tcBorders>
              <w:top w:val="single" w:sz="12" w:space="0" w:color="auto"/>
            </w:tcBorders>
            <w:shd w:val="clear" w:color="auto" w:fill="auto"/>
            <w:vAlign w:val="center"/>
          </w:tcPr>
          <w:p w14:paraId="0070DD6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11 (91.7)</w:t>
            </w:r>
          </w:p>
        </w:tc>
        <w:tc>
          <w:tcPr>
            <w:tcW w:w="601" w:type="pct"/>
            <w:tcBorders>
              <w:top w:val="single" w:sz="12" w:space="0" w:color="auto"/>
            </w:tcBorders>
            <w:shd w:val="clear" w:color="auto" w:fill="auto"/>
            <w:vAlign w:val="center"/>
          </w:tcPr>
          <w:p w14:paraId="04EAC1C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15 (45.5)</w:t>
            </w:r>
          </w:p>
        </w:tc>
        <w:tc>
          <w:tcPr>
            <w:tcW w:w="598" w:type="pct"/>
            <w:tcBorders>
              <w:top w:val="single" w:sz="12" w:space="0" w:color="auto"/>
            </w:tcBorders>
            <w:shd w:val="clear" w:color="auto" w:fill="auto"/>
            <w:vAlign w:val="center"/>
          </w:tcPr>
          <w:p w14:paraId="3D182DA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17 (63.0)</w:t>
            </w:r>
          </w:p>
        </w:tc>
      </w:tr>
      <w:tr w:rsidR="00144E88" w:rsidRPr="003B0843" w14:paraId="234F9287" w14:textId="77777777" w:rsidTr="00F34EC7">
        <w:tc>
          <w:tcPr>
            <w:tcW w:w="938" w:type="pct"/>
            <w:shd w:val="clear" w:color="auto" w:fill="auto"/>
          </w:tcPr>
          <w:p w14:paraId="022355A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Deaths</w:t>
            </w:r>
          </w:p>
        </w:tc>
        <w:tc>
          <w:tcPr>
            <w:tcW w:w="625" w:type="pct"/>
            <w:shd w:val="clear" w:color="auto" w:fill="auto"/>
            <w:vAlign w:val="center"/>
          </w:tcPr>
          <w:p w14:paraId="2098A21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1A8ED9F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754DD85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467241A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284C68E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1660135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8" w:type="pct"/>
            <w:shd w:val="clear" w:color="auto" w:fill="auto"/>
            <w:vAlign w:val="center"/>
          </w:tcPr>
          <w:p w14:paraId="7ED3ED9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36639F76" w14:textId="77777777" w:rsidTr="00F34EC7">
        <w:tc>
          <w:tcPr>
            <w:tcW w:w="938" w:type="pct"/>
            <w:shd w:val="clear" w:color="auto" w:fill="auto"/>
          </w:tcPr>
          <w:p w14:paraId="3EB50D8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Serious TEAE</w:t>
            </w:r>
          </w:p>
        </w:tc>
        <w:tc>
          <w:tcPr>
            <w:tcW w:w="625" w:type="pct"/>
            <w:shd w:val="clear" w:color="auto" w:fill="auto"/>
            <w:vAlign w:val="center"/>
          </w:tcPr>
          <w:p w14:paraId="42D3B3C7"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4EA4AFA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1EF4B6F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2D1C459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30A6E1F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0D36887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8" w:type="pct"/>
            <w:shd w:val="clear" w:color="auto" w:fill="auto"/>
            <w:vAlign w:val="center"/>
          </w:tcPr>
          <w:p w14:paraId="001EBDC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0A9B1F20" w14:textId="77777777" w:rsidTr="00F34EC7">
        <w:tc>
          <w:tcPr>
            <w:tcW w:w="938" w:type="pct"/>
            <w:shd w:val="clear" w:color="auto" w:fill="auto"/>
          </w:tcPr>
          <w:p w14:paraId="26E94AB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TEAE leading to study discontinuation</w:t>
            </w:r>
          </w:p>
        </w:tc>
        <w:tc>
          <w:tcPr>
            <w:tcW w:w="625" w:type="pct"/>
            <w:shd w:val="clear" w:color="auto" w:fill="auto"/>
            <w:vAlign w:val="center"/>
          </w:tcPr>
          <w:p w14:paraId="5EE4E07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0D85259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47FF768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2E72279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6C6618A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23CBE8F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8" w:type="pct"/>
            <w:shd w:val="clear" w:color="auto" w:fill="auto"/>
            <w:vAlign w:val="center"/>
          </w:tcPr>
          <w:p w14:paraId="60B493E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6EB2245B" w14:textId="77777777" w:rsidTr="00F34EC7">
        <w:tc>
          <w:tcPr>
            <w:tcW w:w="938" w:type="pct"/>
            <w:shd w:val="clear" w:color="auto" w:fill="auto"/>
          </w:tcPr>
          <w:p w14:paraId="7C05BB0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Severe AE</w:t>
            </w:r>
          </w:p>
        </w:tc>
        <w:tc>
          <w:tcPr>
            <w:tcW w:w="625" w:type="pct"/>
            <w:shd w:val="clear" w:color="auto" w:fill="auto"/>
            <w:vAlign w:val="center"/>
          </w:tcPr>
          <w:p w14:paraId="02E5FD47"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4C32439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3F56E30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03513E3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(6.3)</w:t>
            </w:r>
          </w:p>
        </w:tc>
        <w:tc>
          <w:tcPr>
            <w:tcW w:w="601" w:type="pct"/>
            <w:shd w:val="clear" w:color="auto" w:fill="auto"/>
            <w:vAlign w:val="center"/>
          </w:tcPr>
          <w:p w14:paraId="5ECDA62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126C8AB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(3.0)</w:t>
            </w:r>
          </w:p>
        </w:tc>
        <w:tc>
          <w:tcPr>
            <w:tcW w:w="598" w:type="pct"/>
            <w:shd w:val="clear" w:color="auto" w:fill="auto"/>
            <w:vAlign w:val="center"/>
          </w:tcPr>
          <w:p w14:paraId="6911E60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4937A6A3" w14:textId="77777777" w:rsidTr="00F34EC7">
        <w:tc>
          <w:tcPr>
            <w:tcW w:w="938" w:type="pct"/>
            <w:shd w:val="clear" w:color="auto" w:fill="auto"/>
          </w:tcPr>
          <w:p w14:paraId="4329AF6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ADR</w:t>
            </w:r>
          </w:p>
        </w:tc>
        <w:tc>
          <w:tcPr>
            <w:tcW w:w="625" w:type="pct"/>
            <w:shd w:val="clear" w:color="auto" w:fill="auto"/>
            <w:vAlign w:val="center"/>
          </w:tcPr>
          <w:p w14:paraId="313A84B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590" w:type="pct"/>
            <w:shd w:val="clear" w:color="auto" w:fill="auto"/>
            <w:vAlign w:val="center"/>
          </w:tcPr>
          <w:p w14:paraId="2D0338B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6FA3166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601" w:type="pct"/>
            <w:shd w:val="clear" w:color="auto" w:fill="auto"/>
            <w:vAlign w:val="center"/>
          </w:tcPr>
          <w:p w14:paraId="5E9F2C0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4 (25.0)</w:t>
            </w:r>
          </w:p>
        </w:tc>
        <w:tc>
          <w:tcPr>
            <w:tcW w:w="601" w:type="pct"/>
            <w:shd w:val="clear" w:color="auto" w:fill="auto"/>
            <w:vAlign w:val="center"/>
          </w:tcPr>
          <w:p w14:paraId="1B6A0F9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4 (33.3)</w:t>
            </w:r>
          </w:p>
        </w:tc>
        <w:tc>
          <w:tcPr>
            <w:tcW w:w="601" w:type="pct"/>
            <w:shd w:val="clear" w:color="auto" w:fill="auto"/>
            <w:vAlign w:val="center"/>
          </w:tcPr>
          <w:p w14:paraId="4EE5136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4 (12.1)</w:t>
            </w:r>
          </w:p>
        </w:tc>
        <w:tc>
          <w:tcPr>
            <w:tcW w:w="598" w:type="pct"/>
            <w:shd w:val="clear" w:color="auto" w:fill="auto"/>
            <w:vAlign w:val="center"/>
          </w:tcPr>
          <w:p w14:paraId="4525764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5 (18.5)</w:t>
            </w:r>
          </w:p>
        </w:tc>
      </w:tr>
      <w:tr w:rsidR="00144E88" w:rsidRPr="003B0843" w14:paraId="34A04AF9" w14:textId="77777777" w:rsidTr="00F34EC7">
        <w:tc>
          <w:tcPr>
            <w:tcW w:w="938" w:type="pct"/>
            <w:shd w:val="clear" w:color="auto" w:fill="auto"/>
          </w:tcPr>
          <w:p w14:paraId="7700861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Nausea</w:t>
            </w:r>
          </w:p>
        </w:tc>
        <w:tc>
          <w:tcPr>
            <w:tcW w:w="625" w:type="pct"/>
            <w:shd w:val="clear" w:color="auto" w:fill="auto"/>
            <w:vAlign w:val="center"/>
          </w:tcPr>
          <w:p w14:paraId="6A24259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590" w:type="pct"/>
            <w:shd w:val="clear" w:color="auto" w:fill="auto"/>
            <w:vAlign w:val="center"/>
          </w:tcPr>
          <w:p w14:paraId="07C430E3"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0C942C1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601" w:type="pct"/>
            <w:shd w:val="clear" w:color="auto" w:fill="auto"/>
            <w:vAlign w:val="center"/>
          </w:tcPr>
          <w:p w14:paraId="2B6B331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(6.3)</w:t>
            </w:r>
          </w:p>
        </w:tc>
        <w:tc>
          <w:tcPr>
            <w:tcW w:w="601" w:type="pct"/>
            <w:shd w:val="clear" w:color="auto" w:fill="auto"/>
            <w:vAlign w:val="center"/>
          </w:tcPr>
          <w:p w14:paraId="4A94961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3 (25.0)</w:t>
            </w:r>
          </w:p>
        </w:tc>
        <w:tc>
          <w:tcPr>
            <w:tcW w:w="601" w:type="pct"/>
            <w:shd w:val="clear" w:color="auto" w:fill="auto"/>
            <w:vAlign w:val="center"/>
          </w:tcPr>
          <w:p w14:paraId="414E867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(3.0)</w:t>
            </w:r>
          </w:p>
        </w:tc>
        <w:tc>
          <w:tcPr>
            <w:tcW w:w="598" w:type="pct"/>
            <w:shd w:val="clear" w:color="auto" w:fill="auto"/>
            <w:vAlign w:val="center"/>
          </w:tcPr>
          <w:p w14:paraId="7C8926B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4 (14.8)</w:t>
            </w:r>
          </w:p>
        </w:tc>
      </w:tr>
      <w:tr w:rsidR="00144E88" w:rsidRPr="003B0843" w14:paraId="08F46191" w14:textId="77777777" w:rsidTr="00F34EC7">
        <w:tc>
          <w:tcPr>
            <w:tcW w:w="938" w:type="pct"/>
            <w:shd w:val="clear" w:color="auto" w:fill="auto"/>
          </w:tcPr>
          <w:p w14:paraId="0469075B"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Vomiting</w:t>
            </w:r>
          </w:p>
        </w:tc>
        <w:tc>
          <w:tcPr>
            <w:tcW w:w="625" w:type="pct"/>
            <w:shd w:val="clear" w:color="auto" w:fill="auto"/>
            <w:vAlign w:val="center"/>
          </w:tcPr>
          <w:p w14:paraId="4C4BD9D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590" w:type="pct"/>
            <w:shd w:val="clear" w:color="auto" w:fill="auto"/>
            <w:vAlign w:val="center"/>
          </w:tcPr>
          <w:p w14:paraId="14F003C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56CD2BB3"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1812666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 (12.5)</w:t>
            </w:r>
          </w:p>
        </w:tc>
        <w:tc>
          <w:tcPr>
            <w:tcW w:w="601" w:type="pct"/>
            <w:shd w:val="clear" w:color="auto" w:fill="auto"/>
            <w:vAlign w:val="center"/>
          </w:tcPr>
          <w:p w14:paraId="14EEE78B"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(8.3)</w:t>
            </w:r>
          </w:p>
        </w:tc>
        <w:tc>
          <w:tcPr>
            <w:tcW w:w="601" w:type="pct"/>
            <w:shd w:val="clear" w:color="auto" w:fill="auto"/>
            <w:vAlign w:val="center"/>
          </w:tcPr>
          <w:p w14:paraId="2C35717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2 (6.1)</w:t>
            </w:r>
          </w:p>
        </w:tc>
        <w:tc>
          <w:tcPr>
            <w:tcW w:w="598" w:type="pct"/>
            <w:shd w:val="clear" w:color="auto" w:fill="auto"/>
            <w:vAlign w:val="center"/>
          </w:tcPr>
          <w:p w14:paraId="194F0EB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(3.7)</w:t>
            </w:r>
          </w:p>
        </w:tc>
      </w:tr>
      <w:tr w:rsidR="00144E88" w:rsidRPr="003B0843" w14:paraId="57A66BE2" w14:textId="77777777" w:rsidTr="00F34EC7">
        <w:tc>
          <w:tcPr>
            <w:tcW w:w="938" w:type="pct"/>
            <w:shd w:val="clear" w:color="auto" w:fill="auto"/>
          </w:tcPr>
          <w:p w14:paraId="224FBE6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Abdominal pain</w:t>
            </w:r>
          </w:p>
        </w:tc>
        <w:tc>
          <w:tcPr>
            <w:tcW w:w="625" w:type="pct"/>
            <w:shd w:val="clear" w:color="auto" w:fill="auto"/>
            <w:vAlign w:val="center"/>
          </w:tcPr>
          <w:p w14:paraId="6848879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4187076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74338F7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7913F05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(6.3)</w:t>
            </w:r>
          </w:p>
        </w:tc>
        <w:tc>
          <w:tcPr>
            <w:tcW w:w="601" w:type="pct"/>
            <w:shd w:val="clear" w:color="auto" w:fill="auto"/>
            <w:vAlign w:val="center"/>
          </w:tcPr>
          <w:p w14:paraId="0CF9371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4FC256D3"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(3.0)</w:t>
            </w:r>
          </w:p>
        </w:tc>
        <w:tc>
          <w:tcPr>
            <w:tcW w:w="598" w:type="pct"/>
            <w:shd w:val="clear" w:color="auto" w:fill="auto"/>
            <w:vAlign w:val="center"/>
          </w:tcPr>
          <w:p w14:paraId="6D89B9B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658BDA7C" w14:textId="77777777" w:rsidTr="00F34EC7">
        <w:tc>
          <w:tcPr>
            <w:tcW w:w="938" w:type="pct"/>
            <w:shd w:val="clear" w:color="auto" w:fill="auto"/>
          </w:tcPr>
          <w:p w14:paraId="2685A52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Retching</w:t>
            </w:r>
          </w:p>
        </w:tc>
        <w:tc>
          <w:tcPr>
            <w:tcW w:w="625" w:type="pct"/>
            <w:shd w:val="clear" w:color="auto" w:fill="auto"/>
            <w:vAlign w:val="center"/>
          </w:tcPr>
          <w:p w14:paraId="701E94A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60399452"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1BFBFCE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2D22386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(6.3)</w:t>
            </w:r>
          </w:p>
        </w:tc>
        <w:tc>
          <w:tcPr>
            <w:tcW w:w="601" w:type="pct"/>
            <w:shd w:val="clear" w:color="auto" w:fill="auto"/>
            <w:vAlign w:val="center"/>
          </w:tcPr>
          <w:p w14:paraId="14DBC03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4D6A835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(3.0)</w:t>
            </w:r>
          </w:p>
        </w:tc>
        <w:tc>
          <w:tcPr>
            <w:tcW w:w="598" w:type="pct"/>
            <w:shd w:val="clear" w:color="auto" w:fill="auto"/>
            <w:vAlign w:val="center"/>
          </w:tcPr>
          <w:p w14:paraId="0A3D1CF0"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0272D1EF" w14:textId="77777777" w:rsidTr="00F34EC7">
        <w:tc>
          <w:tcPr>
            <w:tcW w:w="938" w:type="pct"/>
            <w:shd w:val="clear" w:color="auto" w:fill="auto"/>
          </w:tcPr>
          <w:p w14:paraId="4149A2D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Migraine</w:t>
            </w:r>
          </w:p>
        </w:tc>
        <w:tc>
          <w:tcPr>
            <w:tcW w:w="625" w:type="pct"/>
            <w:shd w:val="clear" w:color="auto" w:fill="auto"/>
            <w:vAlign w:val="center"/>
          </w:tcPr>
          <w:p w14:paraId="40F8B2C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(6.7)</w:t>
            </w:r>
          </w:p>
        </w:tc>
        <w:tc>
          <w:tcPr>
            <w:tcW w:w="590" w:type="pct"/>
            <w:shd w:val="clear" w:color="auto" w:fill="auto"/>
            <w:vAlign w:val="center"/>
          </w:tcPr>
          <w:p w14:paraId="1FEF374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3727DD4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0F61DC9F"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385966B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58C6B26E"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8" w:type="pct"/>
            <w:shd w:val="clear" w:color="auto" w:fill="auto"/>
            <w:vAlign w:val="center"/>
          </w:tcPr>
          <w:p w14:paraId="59B7FD07"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62906E00" w14:textId="77777777" w:rsidTr="00F34EC7">
        <w:tc>
          <w:tcPr>
            <w:tcW w:w="938" w:type="pct"/>
            <w:shd w:val="clear" w:color="auto" w:fill="auto"/>
          </w:tcPr>
          <w:p w14:paraId="09EC6FE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Hyperhidrosis</w:t>
            </w:r>
          </w:p>
        </w:tc>
        <w:tc>
          <w:tcPr>
            <w:tcW w:w="625" w:type="pct"/>
            <w:shd w:val="clear" w:color="auto" w:fill="auto"/>
            <w:vAlign w:val="center"/>
          </w:tcPr>
          <w:p w14:paraId="4E8CCB1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shd w:val="clear" w:color="auto" w:fill="auto"/>
            <w:vAlign w:val="center"/>
          </w:tcPr>
          <w:p w14:paraId="0A589668"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shd w:val="clear" w:color="auto" w:fill="auto"/>
            <w:vAlign w:val="center"/>
          </w:tcPr>
          <w:p w14:paraId="038EC28A"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16C9E8C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(6.3)</w:t>
            </w:r>
          </w:p>
        </w:tc>
        <w:tc>
          <w:tcPr>
            <w:tcW w:w="601" w:type="pct"/>
            <w:shd w:val="clear" w:color="auto" w:fill="auto"/>
            <w:vAlign w:val="center"/>
          </w:tcPr>
          <w:p w14:paraId="5AF4AA9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shd w:val="clear" w:color="auto" w:fill="auto"/>
            <w:vAlign w:val="center"/>
          </w:tcPr>
          <w:p w14:paraId="7740F31D"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1 (3.0)</w:t>
            </w:r>
          </w:p>
        </w:tc>
        <w:tc>
          <w:tcPr>
            <w:tcW w:w="598" w:type="pct"/>
            <w:shd w:val="clear" w:color="auto" w:fill="auto"/>
            <w:vAlign w:val="center"/>
          </w:tcPr>
          <w:p w14:paraId="11BB8956"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r w:rsidR="00144E88" w:rsidRPr="003B0843" w14:paraId="65774185" w14:textId="77777777" w:rsidTr="00F34EC7">
        <w:tc>
          <w:tcPr>
            <w:tcW w:w="938" w:type="pct"/>
            <w:tcBorders>
              <w:bottom w:val="single" w:sz="8" w:space="0" w:color="auto"/>
            </w:tcBorders>
            <w:shd w:val="clear" w:color="auto" w:fill="auto"/>
          </w:tcPr>
          <w:p w14:paraId="59D8D3F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Serious ADR</w:t>
            </w:r>
          </w:p>
        </w:tc>
        <w:tc>
          <w:tcPr>
            <w:tcW w:w="625" w:type="pct"/>
            <w:tcBorders>
              <w:bottom w:val="single" w:sz="8" w:space="0" w:color="auto"/>
            </w:tcBorders>
            <w:shd w:val="clear" w:color="auto" w:fill="auto"/>
            <w:vAlign w:val="center"/>
          </w:tcPr>
          <w:p w14:paraId="6E4855A9"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0" w:type="pct"/>
            <w:tcBorders>
              <w:bottom w:val="single" w:sz="8" w:space="0" w:color="auto"/>
            </w:tcBorders>
            <w:shd w:val="clear" w:color="auto" w:fill="auto"/>
            <w:vAlign w:val="center"/>
          </w:tcPr>
          <w:p w14:paraId="680B37AB"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446" w:type="pct"/>
            <w:tcBorders>
              <w:bottom w:val="single" w:sz="8" w:space="0" w:color="auto"/>
            </w:tcBorders>
            <w:shd w:val="clear" w:color="auto" w:fill="auto"/>
            <w:vAlign w:val="center"/>
          </w:tcPr>
          <w:p w14:paraId="11637DF4"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tcBorders>
              <w:bottom w:val="single" w:sz="8" w:space="0" w:color="auto"/>
            </w:tcBorders>
            <w:shd w:val="clear" w:color="auto" w:fill="auto"/>
            <w:vAlign w:val="center"/>
          </w:tcPr>
          <w:p w14:paraId="30E3C385"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tcBorders>
              <w:bottom w:val="single" w:sz="8" w:space="0" w:color="auto"/>
            </w:tcBorders>
            <w:shd w:val="clear" w:color="auto" w:fill="auto"/>
            <w:vAlign w:val="center"/>
          </w:tcPr>
          <w:p w14:paraId="2CD0A2E7"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601" w:type="pct"/>
            <w:tcBorders>
              <w:bottom w:val="single" w:sz="8" w:space="0" w:color="auto"/>
            </w:tcBorders>
            <w:shd w:val="clear" w:color="auto" w:fill="auto"/>
            <w:vAlign w:val="center"/>
          </w:tcPr>
          <w:p w14:paraId="5B064CBC"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c>
          <w:tcPr>
            <w:tcW w:w="598" w:type="pct"/>
            <w:tcBorders>
              <w:bottom w:val="single" w:sz="8" w:space="0" w:color="auto"/>
            </w:tcBorders>
            <w:shd w:val="clear" w:color="auto" w:fill="auto"/>
            <w:vAlign w:val="center"/>
          </w:tcPr>
          <w:p w14:paraId="1BBAB9D1" w14:textId="77777777" w:rsidR="00144E88" w:rsidRPr="003B0843" w:rsidRDefault="00144E88" w:rsidP="00F34EC7">
            <w:pPr>
              <w:adjustRightInd w:val="0"/>
              <w:snapToGrid w:val="0"/>
              <w:spacing w:line="360" w:lineRule="auto"/>
              <w:jc w:val="both"/>
              <w:rPr>
                <w:rFonts w:ascii="Book Antiqua" w:hAnsi="Book Antiqua" w:cs="Arial"/>
              </w:rPr>
            </w:pPr>
            <w:r w:rsidRPr="003B0843">
              <w:rPr>
                <w:rFonts w:ascii="Book Antiqua" w:hAnsi="Book Antiqua" w:cs="Arial"/>
              </w:rPr>
              <w:t>0</w:t>
            </w:r>
          </w:p>
        </w:tc>
      </w:tr>
    </w:tbl>
    <w:p w14:paraId="59ADAC2C" w14:textId="5792F913" w:rsidR="00144E88" w:rsidRPr="00750413" w:rsidRDefault="00144E88">
      <w:pPr>
        <w:spacing w:line="360" w:lineRule="auto"/>
        <w:jc w:val="both"/>
        <w:rPr>
          <w:rFonts w:ascii="Book Antiqua" w:hAnsi="Book Antiqua" w:cs="Arial"/>
        </w:rPr>
      </w:pPr>
      <w:r w:rsidRPr="003B0843">
        <w:rPr>
          <w:rFonts w:ascii="Book Antiqua" w:hAnsi="Book Antiqua" w:cs="Arial"/>
        </w:rPr>
        <w:t>SPMC</w:t>
      </w:r>
      <w:r>
        <w:rPr>
          <w:rFonts w:ascii="Book Antiqua" w:hAnsi="Book Antiqua" w:cs="Arial"/>
        </w:rPr>
        <w:t>:</w:t>
      </w:r>
      <w:r w:rsidRPr="003B0843">
        <w:rPr>
          <w:rFonts w:ascii="Book Antiqua" w:hAnsi="Book Antiqua" w:cs="Arial"/>
        </w:rPr>
        <w:t xml:space="preserve"> Sodium </w:t>
      </w:r>
      <w:proofErr w:type="spellStart"/>
      <w:r w:rsidRPr="003B0843">
        <w:rPr>
          <w:rFonts w:ascii="Book Antiqua" w:hAnsi="Book Antiqua" w:cs="Arial"/>
        </w:rPr>
        <w:t>picosulfate</w:t>
      </w:r>
      <w:proofErr w:type="spellEnd"/>
      <w:r w:rsidRPr="003B0843">
        <w:rPr>
          <w:rFonts w:ascii="Book Antiqua" w:hAnsi="Book Antiqua" w:cs="Arial"/>
        </w:rPr>
        <w:t>, magnesium oxide, and citric acid</w:t>
      </w:r>
      <w:r>
        <w:rPr>
          <w:rFonts w:ascii="Book Antiqua" w:hAnsi="Book Antiqua" w:cs="Arial"/>
        </w:rPr>
        <w:t xml:space="preserve">; </w:t>
      </w:r>
      <w:r w:rsidRPr="003B0843">
        <w:rPr>
          <w:rFonts w:ascii="Book Antiqua" w:hAnsi="Book Antiqua" w:cs="Arial"/>
        </w:rPr>
        <w:t>PEG</w:t>
      </w:r>
      <w:r>
        <w:rPr>
          <w:rFonts w:ascii="Book Antiqua" w:hAnsi="Book Antiqua" w:cs="Arial"/>
        </w:rPr>
        <w:t>:</w:t>
      </w:r>
      <w:r w:rsidRPr="003B0843">
        <w:rPr>
          <w:rFonts w:ascii="Book Antiqua" w:hAnsi="Book Antiqua" w:cs="Arial"/>
        </w:rPr>
        <w:t xml:space="preserve"> Polyethylene glycol; ADR</w:t>
      </w:r>
      <w:r>
        <w:rPr>
          <w:rFonts w:asciiTheme="minorEastAsia" w:hAnsiTheme="minorEastAsia" w:cs="Arial" w:hint="eastAsia"/>
          <w:lang w:eastAsia="zh-CN"/>
        </w:rPr>
        <w:t>:</w:t>
      </w:r>
      <w:r w:rsidRPr="003B0843">
        <w:rPr>
          <w:rFonts w:ascii="Book Antiqua" w:hAnsi="Book Antiqua" w:cs="Arial"/>
        </w:rPr>
        <w:t xml:space="preserve"> Adverse drug reaction; AE</w:t>
      </w:r>
      <w:r>
        <w:rPr>
          <w:rFonts w:ascii="Book Antiqua" w:hAnsi="Book Antiqua" w:cs="Arial"/>
        </w:rPr>
        <w:t>:</w:t>
      </w:r>
      <w:r w:rsidRPr="003B0843">
        <w:rPr>
          <w:rFonts w:ascii="Book Antiqua" w:hAnsi="Book Antiqua" w:cs="Arial"/>
        </w:rPr>
        <w:t xml:space="preserve"> Adverse event; PEG</w:t>
      </w:r>
      <w:r>
        <w:rPr>
          <w:rFonts w:ascii="Book Antiqua" w:hAnsi="Book Antiqua" w:cs="Arial"/>
        </w:rPr>
        <w:t>:</w:t>
      </w:r>
      <w:r w:rsidRPr="003B0843">
        <w:rPr>
          <w:rFonts w:ascii="Book Antiqua" w:hAnsi="Book Antiqua" w:cs="Arial"/>
        </w:rPr>
        <w:t xml:space="preserve"> Polyethylene glycol; SPMC</w:t>
      </w:r>
      <w:r>
        <w:rPr>
          <w:rFonts w:ascii="Book Antiqua" w:hAnsi="Book Antiqua" w:cs="Arial"/>
        </w:rPr>
        <w:t>:</w:t>
      </w:r>
      <w:r w:rsidRPr="003B0843">
        <w:rPr>
          <w:rFonts w:ascii="Book Antiqua" w:hAnsi="Book Antiqua" w:cs="Arial"/>
        </w:rPr>
        <w:t xml:space="preserve"> Sodium </w:t>
      </w:r>
      <w:proofErr w:type="spellStart"/>
      <w:r w:rsidRPr="003B0843">
        <w:rPr>
          <w:rFonts w:ascii="Book Antiqua" w:hAnsi="Book Antiqua" w:cs="Arial"/>
        </w:rPr>
        <w:t>picosulfate</w:t>
      </w:r>
      <w:proofErr w:type="spellEnd"/>
      <w:r w:rsidRPr="003B0843">
        <w:rPr>
          <w:rFonts w:ascii="Book Antiqua" w:hAnsi="Book Antiqua" w:cs="Arial"/>
        </w:rPr>
        <w:t>, magnesium oxide, and citric acid; TEAE</w:t>
      </w:r>
      <w:r>
        <w:rPr>
          <w:rFonts w:ascii="Book Antiqua" w:hAnsi="Book Antiqua" w:cs="Arial"/>
        </w:rPr>
        <w:t>:</w:t>
      </w:r>
      <w:r w:rsidRPr="003B0843">
        <w:rPr>
          <w:rFonts w:ascii="Book Antiqua" w:hAnsi="Book Antiqua" w:cs="Arial"/>
        </w:rPr>
        <w:t xml:space="preserve"> Treatment-emergent adverse event</w:t>
      </w:r>
      <w:r>
        <w:rPr>
          <w:rFonts w:ascii="Book Antiqua" w:hAnsi="Book Antiqua" w:cs="Arial"/>
        </w:rPr>
        <w:t>.</w:t>
      </w:r>
    </w:p>
    <w:sectPr w:rsidR="00144E88" w:rsidRPr="00750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F056" w14:textId="77777777" w:rsidR="007D2D7B" w:rsidRDefault="007D2D7B" w:rsidP="00851B00">
      <w:r>
        <w:separator/>
      </w:r>
    </w:p>
  </w:endnote>
  <w:endnote w:type="continuationSeparator" w:id="0">
    <w:p w14:paraId="0E690C1C" w14:textId="77777777" w:rsidR="007D2D7B" w:rsidRDefault="007D2D7B" w:rsidP="0085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stem Font Regular">
    <w:altName w:val="Times New Roman"/>
    <w:charset w:val="00"/>
    <w:family w:val="roman"/>
    <w:pitch w:val="default"/>
  </w:font>
  <w:font w:name="ヒラギノ角ゴ Pro W3">
    <w:altName w:val="Yu Gothic"/>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9754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A0DE659" w14:textId="2363C9BA" w:rsidR="00667B29" w:rsidRPr="00667B29" w:rsidRDefault="00667B29">
            <w:pPr>
              <w:pStyle w:val="a5"/>
              <w:jc w:val="right"/>
              <w:rPr>
                <w:rFonts w:ascii="Book Antiqua" w:hAnsi="Book Antiqua"/>
                <w:sz w:val="24"/>
                <w:szCs w:val="24"/>
              </w:rPr>
            </w:pPr>
            <w:r w:rsidRPr="00667B29">
              <w:rPr>
                <w:rFonts w:ascii="Book Antiqua" w:hAnsi="Book Antiqua"/>
                <w:sz w:val="24"/>
                <w:szCs w:val="24"/>
                <w:lang w:val="zh-CN" w:eastAsia="zh-CN"/>
              </w:rPr>
              <w:t xml:space="preserve"> </w:t>
            </w:r>
            <w:r w:rsidRPr="00667B29">
              <w:rPr>
                <w:rFonts w:ascii="Book Antiqua" w:hAnsi="Book Antiqua"/>
                <w:sz w:val="24"/>
                <w:szCs w:val="24"/>
              </w:rPr>
              <w:fldChar w:fldCharType="begin"/>
            </w:r>
            <w:r w:rsidRPr="00667B29">
              <w:rPr>
                <w:rFonts w:ascii="Book Antiqua" w:hAnsi="Book Antiqua"/>
                <w:sz w:val="24"/>
                <w:szCs w:val="24"/>
              </w:rPr>
              <w:instrText>PAGE</w:instrText>
            </w:r>
            <w:r w:rsidRPr="00667B29">
              <w:rPr>
                <w:rFonts w:ascii="Book Antiqua" w:hAnsi="Book Antiqua"/>
                <w:sz w:val="24"/>
                <w:szCs w:val="24"/>
              </w:rPr>
              <w:fldChar w:fldCharType="separate"/>
            </w:r>
            <w:r w:rsidR="000D7FB3">
              <w:rPr>
                <w:rFonts w:ascii="Book Antiqua" w:hAnsi="Book Antiqua"/>
                <w:noProof/>
                <w:sz w:val="24"/>
                <w:szCs w:val="24"/>
              </w:rPr>
              <w:t>17</w:t>
            </w:r>
            <w:r w:rsidRPr="00667B29">
              <w:rPr>
                <w:rFonts w:ascii="Book Antiqua" w:hAnsi="Book Antiqua"/>
                <w:sz w:val="24"/>
                <w:szCs w:val="24"/>
              </w:rPr>
              <w:fldChar w:fldCharType="end"/>
            </w:r>
            <w:r w:rsidRPr="00667B29">
              <w:rPr>
                <w:rFonts w:ascii="Book Antiqua" w:hAnsi="Book Antiqua"/>
                <w:sz w:val="24"/>
                <w:szCs w:val="24"/>
                <w:lang w:val="zh-CN" w:eastAsia="zh-CN"/>
              </w:rPr>
              <w:t xml:space="preserve"> / </w:t>
            </w:r>
            <w:r w:rsidRPr="00667B29">
              <w:rPr>
                <w:rFonts w:ascii="Book Antiqua" w:hAnsi="Book Antiqua"/>
                <w:sz w:val="24"/>
                <w:szCs w:val="24"/>
              </w:rPr>
              <w:fldChar w:fldCharType="begin"/>
            </w:r>
            <w:r w:rsidRPr="00667B29">
              <w:rPr>
                <w:rFonts w:ascii="Book Antiqua" w:hAnsi="Book Antiqua"/>
                <w:sz w:val="24"/>
                <w:szCs w:val="24"/>
              </w:rPr>
              <w:instrText>NUMPAGES</w:instrText>
            </w:r>
            <w:r w:rsidRPr="00667B29">
              <w:rPr>
                <w:rFonts w:ascii="Book Antiqua" w:hAnsi="Book Antiqua"/>
                <w:sz w:val="24"/>
                <w:szCs w:val="24"/>
              </w:rPr>
              <w:fldChar w:fldCharType="separate"/>
            </w:r>
            <w:r w:rsidR="000D7FB3">
              <w:rPr>
                <w:rFonts w:ascii="Book Antiqua" w:hAnsi="Book Antiqua"/>
                <w:noProof/>
                <w:sz w:val="24"/>
                <w:szCs w:val="24"/>
              </w:rPr>
              <w:t>23</w:t>
            </w:r>
            <w:r w:rsidRPr="00667B29">
              <w:rPr>
                <w:rFonts w:ascii="Book Antiqua" w:hAnsi="Book Antiqua"/>
                <w:sz w:val="24"/>
                <w:szCs w:val="24"/>
              </w:rPr>
              <w:fldChar w:fldCharType="end"/>
            </w:r>
          </w:p>
        </w:sdtContent>
      </w:sdt>
    </w:sdtContent>
  </w:sdt>
  <w:p w14:paraId="6753B9F3" w14:textId="77777777" w:rsidR="00667B29" w:rsidRDefault="00667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05170" w14:textId="77777777" w:rsidR="007D2D7B" w:rsidRDefault="007D2D7B" w:rsidP="00851B00">
      <w:r>
        <w:separator/>
      </w:r>
    </w:p>
  </w:footnote>
  <w:footnote w:type="continuationSeparator" w:id="0">
    <w:p w14:paraId="6491A30F" w14:textId="77777777" w:rsidR="007D2D7B" w:rsidRDefault="007D2D7B" w:rsidP="00851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B2"/>
    <w:rsid w:val="00041688"/>
    <w:rsid w:val="0006430E"/>
    <w:rsid w:val="00083893"/>
    <w:rsid w:val="00086EC6"/>
    <w:rsid w:val="000A0573"/>
    <w:rsid w:val="000B50AE"/>
    <w:rsid w:val="000D7FB3"/>
    <w:rsid w:val="00144E88"/>
    <w:rsid w:val="001542DC"/>
    <w:rsid w:val="00164B5E"/>
    <w:rsid w:val="00182FBC"/>
    <w:rsid w:val="00201D65"/>
    <w:rsid w:val="002401A3"/>
    <w:rsid w:val="00273BEB"/>
    <w:rsid w:val="002A1E42"/>
    <w:rsid w:val="002B4945"/>
    <w:rsid w:val="00326AE5"/>
    <w:rsid w:val="003470E8"/>
    <w:rsid w:val="003E7639"/>
    <w:rsid w:val="00464F7B"/>
    <w:rsid w:val="00505816"/>
    <w:rsid w:val="00522036"/>
    <w:rsid w:val="0058668E"/>
    <w:rsid w:val="005F6397"/>
    <w:rsid w:val="00652CFB"/>
    <w:rsid w:val="00667B29"/>
    <w:rsid w:val="006E5CA7"/>
    <w:rsid w:val="0074139A"/>
    <w:rsid w:val="00750413"/>
    <w:rsid w:val="00780EF4"/>
    <w:rsid w:val="00783B45"/>
    <w:rsid w:val="007A63C3"/>
    <w:rsid w:val="007D2D7B"/>
    <w:rsid w:val="00831B69"/>
    <w:rsid w:val="00851B00"/>
    <w:rsid w:val="008830B7"/>
    <w:rsid w:val="00890323"/>
    <w:rsid w:val="008C75AE"/>
    <w:rsid w:val="008F4E19"/>
    <w:rsid w:val="00957308"/>
    <w:rsid w:val="009B1AF8"/>
    <w:rsid w:val="00A0643C"/>
    <w:rsid w:val="00A45C70"/>
    <w:rsid w:val="00A77B3E"/>
    <w:rsid w:val="00AA1E13"/>
    <w:rsid w:val="00AF1A9E"/>
    <w:rsid w:val="00AF2E64"/>
    <w:rsid w:val="00BA226E"/>
    <w:rsid w:val="00C1517D"/>
    <w:rsid w:val="00CA2A55"/>
    <w:rsid w:val="00CB38B9"/>
    <w:rsid w:val="00D80022"/>
    <w:rsid w:val="00DB541F"/>
    <w:rsid w:val="00E640F8"/>
    <w:rsid w:val="00E67EB9"/>
    <w:rsid w:val="00E95B0A"/>
    <w:rsid w:val="00EC5C08"/>
    <w:rsid w:val="00ED48DD"/>
    <w:rsid w:val="00F01F61"/>
    <w:rsid w:val="00F95787"/>
    <w:rsid w:val="00FB5FE6"/>
    <w:rsid w:val="00FD201D"/>
    <w:rsid w:val="00FD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864C1"/>
  <w15:docId w15:val="{5C006DFE-1F0E-436D-A676-4849A1E1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Grid1">
    <w:name w:val="Table Grid1"/>
    <w:rsid w:val="00144E88"/>
    <w:rPr>
      <w:rFonts w:ascii="System Font Regular" w:eastAsia="ヒラギノ角ゴ Pro W3" w:hAnsi="System Font Regular"/>
      <w:color w:val="000000"/>
      <w:sz w:val="24"/>
    </w:rPr>
  </w:style>
  <w:style w:type="paragraph" w:styleId="a3">
    <w:name w:val="header"/>
    <w:basedOn w:val="a"/>
    <w:link w:val="a4"/>
    <w:unhideWhenUsed/>
    <w:rsid w:val="00851B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1B00"/>
    <w:rPr>
      <w:sz w:val="18"/>
      <w:szCs w:val="18"/>
    </w:rPr>
  </w:style>
  <w:style w:type="paragraph" w:styleId="a5">
    <w:name w:val="footer"/>
    <w:basedOn w:val="a"/>
    <w:link w:val="a6"/>
    <w:uiPriority w:val="99"/>
    <w:unhideWhenUsed/>
    <w:rsid w:val="00851B00"/>
    <w:pPr>
      <w:tabs>
        <w:tab w:val="center" w:pos="4153"/>
        <w:tab w:val="right" w:pos="8306"/>
      </w:tabs>
      <w:snapToGrid w:val="0"/>
    </w:pPr>
    <w:rPr>
      <w:sz w:val="18"/>
      <w:szCs w:val="18"/>
    </w:rPr>
  </w:style>
  <w:style w:type="character" w:customStyle="1" w:styleId="a6">
    <w:name w:val="页脚 字符"/>
    <w:basedOn w:val="a0"/>
    <w:link w:val="a5"/>
    <w:uiPriority w:val="99"/>
    <w:rsid w:val="00851B00"/>
    <w:rPr>
      <w:sz w:val="18"/>
      <w:szCs w:val="18"/>
    </w:rPr>
  </w:style>
  <w:style w:type="paragraph" w:styleId="a7">
    <w:name w:val="Balloon Text"/>
    <w:basedOn w:val="a"/>
    <w:link w:val="a8"/>
    <w:rsid w:val="00780EF4"/>
    <w:rPr>
      <w:sz w:val="18"/>
      <w:szCs w:val="18"/>
    </w:rPr>
  </w:style>
  <w:style w:type="character" w:customStyle="1" w:styleId="a8">
    <w:name w:val="批注框文本 字符"/>
    <w:basedOn w:val="a0"/>
    <w:link w:val="a7"/>
    <w:rsid w:val="00780E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0853">
      <w:bodyDiv w:val="1"/>
      <w:marLeft w:val="0"/>
      <w:marRight w:val="0"/>
      <w:marTop w:val="0"/>
      <w:marBottom w:val="0"/>
      <w:divBdr>
        <w:top w:val="none" w:sz="0" w:space="0" w:color="auto"/>
        <w:left w:val="none" w:sz="0" w:space="0" w:color="auto"/>
        <w:bottom w:val="none" w:sz="0" w:space="0" w:color="auto"/>
        <w:right w:val="none" w:sz="0" w:space="0" w:color="auto"/>
      </w:divBdr>
    </w:div>
    <w:div w:id="170534376">
      <w:bodyDiv w:val="1"/>
      <w:marLeft w:val="0"/>
      <w:marRight w:val="0"/>
      <w:marTop w:val="0"/>
      <w:marBottom w:val="0"/>
      <w:divBdr>
        <w:top w:val="none" w:sz="0" w:space="0" w:color="auto"/>
        <w:left w:val="none" w:sz="0" w:space="0" w:color="auto"/>
        <w:bottom w:val="none" w:sz="0" w:space="0" w:color="auto"/>
        <w:right w:val="none" w:sz="0" w:space="0" w:color="auto"/>
      </w:divBdr>
    </w:div>
    <w:div w:id="193613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2020-09-24T23:53:00Z</dcterms:created>
  <dcterms:modified xsi:type="dcterms:W3CDTF">2020-09-24T23:53:00Z</dcterms:modified>
</cp:coreProperties>
</file>