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8B55A" w14:textId="77777777" w:rsidR="00A77B3E" w:rsidRDefault="00B724A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621489" w14:textId="77777777" w:rsidR="00A77B3E" w:rsidRDefault="00B724A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57263</w:t>
      </w:r>
    </w:p>
    <w:p w14:paraId="68BAB99D" w14:textId="77777777" w:rsidR="00A77B3E" w:rsidRDefault="00B724A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6FA0D0" w14:textId="77777777" w:rsidR="00A77B3E" w:rsidRDefault="00A77B3E">
      <w:pPr>
        <w:spacing w:line="360" w:lineRule="auto"/>
        <w:jc w:val="both"/>
      </w:pPr>
    </w:p>
    <w:p w14:paraId="7B793129" w14:textId="77777777" w:rsidR="00A77B3E" w:rsidRDefault="00B724AE">
      <w:pPr>
        <w:spacing w:line="360" w:lineRule="auto"/>
        <w:jc w:val="both"/>
      </w:pPr>
      <w:r>
        <w:rPr>
          <w:rFonts w:ascii="Book Antiqua" w:eastAsia="Book Antiqua" w:hAnsi="Book Antiqua" w:cs="Book Antiqua"/>
          <w:b/>
          <w:i/>
          <w:color w:val="000000"/>
        </w:rPr>
        <w:t>Observational Study</w:t>
      </w:r>
    </w:p>
    <w:p w14:paraId="735FFDC8" w14:textId="5568F176" w:rsidR="00A77B3E" w:rsidRDefault="00B724AE">
      <w:pPr>
        <w:spacing w:line="360" w:lineRule="auto"/>
        <w:jc w:val="both"/>
      </w:pPr>
      <w:r>
        <w:rPr>
          <w:rFonts w:ascii="Book Antiqua" w:eastAsia="Book Antiqua" w:hAnsi="Book Antiqua" w:cs="Book Antiqua"/>
          <w:b/>
          <w:bCs/>
          <w:color w:val="000000"/>
        </w:rPr>
        <w:t xml:space="preserve">Inactive </w:t>
      </w:r>
      <w:r w:rsidR="00195B98">
        <w:rPr>
          <w:rFonts w:ascii="Book Antiqua" w:eastAsia="Book Antiqua" w:hAnsi="Book Antiqua" w:cs="Book Antiqua"/>
          <w:b/>
          <w:bCs/>
          <w:color w:val="000000"/>
        </w:rPr>
        <w:t>m</w:t>
      </w:r>
      <w:r>
        <w:rPr>
          <w:rFonts w:ascii="Book Antiqua" w:eastAsia="Book Antiqua" w:hAnsi="Book Antiqua" w:cs="Book Antiqua"/>
          <w:b/>
          <w:bCs/>
          <w:color w:val="000000"/>
        </w:rPr>
        <w:t xml:space="preserve">atrix </w:t>
      </w:r>
      <w:proofErr w:type="spellStart"/>
      <w:r>
        <w:rPr>
          <w:rFonts w:ascii="Book Antiqua" w:eastAsia="Book Antiqua" w:hAnsi="Book Antiqua" w:cs="Book Antiqua"/>
          <w:b/>
          <w:bCs/>
          <w:color w:val="000000"/>
        </w:rPr>
        <w:t>Gla</w:t>
      </w:r>
      <w:proofErr w:type="spellEnd"/>
      <w:r>
        <w:rPr>
          <w:rFonts w:ascii="Book Antiqua" w:eastAsia="Book Antiqua" w:hAnsi="Book Antiqua" w:cs="Book Antiqua"/>
          <w:b/>
          <w:bCs/>
          <w:color w:val="000000"/>
        </w:rPr>
        <w:t xml:space="preserve"> protein is elevated in patients with inflammatory bowel disease</w:t>
      </w:r>
    </w:p>
    <w:p w14:paraId="4497E6A7" w14:textId="77777777" w:rsidR="00A77B3E" w:rsidRDefault="00A77B3E">
      <w:pPr>
        <w:spacing w:line="360" w:lineRule="auto"/>
        <w:jc w:val="both"/>
      </w:pPr>
    </w:p>
    <w:p w14:paraId="12787E65" w14:textId="77777777" w:rsidR="00A77B3E" w:rsidRDefault="00B724AE">
      <w:pPr>
        <w:spacing w:line="360" w:lineRule="auto"/>
        <w:jc w:val="both"/>
      </w:pP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 xml:space="preserve">et al. </w:t>
      </w:r>
      <w:r>
        <w:rPr>
          <w:rFonts w:ascii="Book Antiqua" w:eastAsia="Book Antiqua" w:hAnsi="Book Antiqua" w:cs="Book Antiqua"/>
          <w:color w:val="000000"/>
        </w:rPr>
        <w:t>MGP in patients with IBD</w:t>
      </w:r>
    </w:p>
    <w:p w14:paraId="3395A77B" w14:textId="77777777" w:rsidR="00A77B3E" w:rsidRDefault="00A77B3E">
      <w:pPr>
        <w:spacing w:line="360" w:lineRule="auto"/>
        <w:jc w:val="both"/>
      </w:pPr>
    </w:p>
    <w:p w14:paraId="0F46FBC5" w14:textId="77777777" w:rsidR="00A77B3E" w:rsidRDefault="00B724AE">
      <w:pPr>
        <w:spacing w:line="360" w:lineRule="auto"/>
        <w:jc w:val="both"/>
      </w:pPr>
      <w:r>
        <w:rPr>
          <w:rFonts w:ascii="Book Antiqua" w:eastAsia="Book Antiqua" w:hAnsi="Book Antiqua" w:cs="Book Antiqua"/>
          <w:color w:val="000000"/>
        </w:rPr>
        <w:t xml:space="preserve">Darko </w:t>
      </w: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Dinko</w:t>
      </w:r>
      <w:proofErr w:type="spellEnd"/>
      <w:r>
        <w:rPr>
          <w:rFonts w:ascii="Book Antiqua" w:eastAsia="Book Antiqua" w:hAnsi="Book Antiqua" w:cs="Book Antiqua"/>
          <w:color w:val="000000"/>
        </w:rPr>
        <w:t xml:space="preserve"> Martinovic, Piero Marin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Daria </w:t>
      </w:r>
      <w:proofErr w:type="spellStart"/>
      <w:r>
        <w:rPr>
          <w:rFonts w:ascii="Book Antiqua" w:eastAsia="Book Antiqua" w:hAnsi="Book Antiqua" w:cs="Book Antiqua"/>
          <w:color w:val="000000"/>
        </w:rPr>
        <w:t>Tokic</w:t>
      </w:r>
      <w:proofErr w:type="spellEnd"/>
      <w:r>
        <w:rPr>
          <w:rFonts w:ascii="Book Antiqua" w:eastAsia="Book Antiqua" w:hAnsi="Book Antiqua" w:cs="Book Antiqua"/>
          <w:color w:val="000000"/>
        </w:rPr>
        <w:t xml:space="preserve">, Marino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Doris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Ivana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Christian Libers, Sandro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Daniela Supe-</w:t>
      </w:r>
      <w:proofErr w:type="spellStart"/>
      <w:r>
        <w:rPr>
          <w:rFonts w:ascii="Book Antiqua" w:eastAsia="Book Antiqua" w:hAnsi="Book Antiqua" w:cs="Book Antiqua"/>
          <w:color w:val="000000"/>
        </w:rPr>
        <w:t>Domic</w:t>
      </w:r>
      <w:proofErr w:type="spellEnd"/>
      <w:r>
        <w:rPr>
          <w:rFonts w:ascii="Book Antiqua" w:eastAsia="Book Antiqua" w:hAnsi="Book Antiqua" w:cs="Book Antiqua"/>
          <w:color w:val="000000"/>
        </w:rPr>
        <w:t xml:space="preserve">, Ante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p>
    <w:p w14:paraId="31355F20" w14:textId="77777777" w:rsidR="00A77B3E" w:rsidRDefault="00A77B3E">
      <w:pPr>
        <w:spacing w:line="360" w:lineRule="auto"/>
        <w:jc w:val="both"/>
      </w:pPr>
    </w:p>
    <w:p w14:paraId="678F2F0E" w14:textId="77777777" w:rsidR="00A77B3E" w:rsidRDefault="00B724AE">
      <w:pPr>
        <w:spacing w:line="360" w:lineRule="auto"/>
        <w:jc w:val="both"/>
      </w:pPr>
      <w:r>
        <w:rPr>
          <w:rFonts w:ascii="Book Antiqua" w:eastAsia="Book Antiqua" w:hAnsi="Book Antiqua" w:cs="Book Antiqua"/>
          <w:b/>
          <w:bCs/>
          <w:color w:val="000000"/>
        </w:rPr>
        <w:t xml:space="preserve">Darko </w:t>
      </w:r>
      <w:proofErr w:type="spellStart"/>
      <w:r>
        <w:rPr>
          <w:rFonts w:ascii="Book Antiqua" w:eastAsia="Book Antiqua" w:hAnsi="Book Antiqua" w:cs="Book Antiqua"/>
          <w:b/>
          <w:bCs/>
          <w:color w:val="000000"/>
        </w:rPr>
        <w:t>Brnic</w:t>
      </w:r>
      <w:proofErr w:type="spellEnd"/>
      <w:r>
        <w:rPr>
          <w:rFonts w:ascii="Book Antiqua" w:eastAsia="Book Antiqua" w:hAnsi="Book Antiqua" w:cs="Book Antiqua"/>
          <w:b/>
          <w:bCs/>
          <w:color w:val="000000"/>
        </w:rPr>
        <w:t xml:space="preserve">, Piero Marin </w:t>
      </w:r>
      <w:proofErr w:type="spellStart"/>
      <w:r>
        <w:rPr>
          <w:rFonts w:ascii="Book Antiqua" w:eastAsia="Book Antiqua" w:hAnsi="Book Antiqua" w:cs="Book Antiqua"/>
          <w:b/>
          <w:bCs/>
          <w:color w:val="000000"/>
        </w:rPr>
        <w:t>Zivkovic</w:t>
      </w:r>
      <w:proofErr w:type="spellEnd"/>
      <w:r>
        <w:rPr>
          <w:rFonts w:ascii="Book Antiqua" w:eastAsia="Book Antiqua" w:hAnsi="Book Antiqua" w:cs="Book Antiqua"/>
          <w:b/>
          <w:bCs/>
          <w:color w:val="000000"/>
        </w:rPr>
        <w:t xml:space="preserve">, Ivana </w:t>
      </w:r>
      <w:proofErr w:type="spellStart"/>
      <w:r>
        <w:rPr>
          <w:rFonts w:ascii="Book Antiqua" w:eastAsia="Book Antiqua" w:hAnsi="Book Antiqua" w:cs="Book Antiqua"/>
          <w:b/>
          <w:bCs/>
          <w:color w:val="000000"/>
        </w:rPr>
        <w:t>Tadin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Hadjina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Hospital of Split, Split 21000, Croatia</w:t>
      </w:r>
    </w:p>
    <w:p w14:paraId="7B0D2385" w14:textId="77777777" w:rsidR="00A77B3E" w:rsidRDefault="00A77B3E">
      <w:pPr>
        <w:spacing w:line="360" w:lineRule="auto"/>
        <w:jc w:val="both"/>
      </w:pPr>
    </w:p>
    <w:p w14:paraId="421893B0" w14:textId="20C6B31E" w:rsidR="00A77B3E" w:rsidRDefault="00B724AE">
      <w:pPr>
        <w:spacing w:line="360" w:lineRule="auto"/>
        <w:jc w:val="both"/>
      </w:pPr>
      <w:proofErr w:type="spellStart"/>
      <w:r>
        <w:rPr>
          <w:rFonts w:ascii="Book Antiqua" w:eastAsia="Book Antiqua" w:hAnsi="Book Antiqua" w:cs="Book Antiqua"/>
          <w:b/>
          <w:bCs/>
          <w:color w:val="000000"/>
        </w:rPr>
        <w:t>Dinko</w:t>
      </w:r>
      <w:proofErr w:type="spellEnd"/>
      <w:r>
        <w:rPr>
          <w:rFonts w:ascii="Book Antiqua" w:eastAsia="Book Antiqua" w:hAnsi="Book Antiqua" w:cs="Book Antiqua"/>
          <w:b/>
          <w:bCs/>
          <w:color w:val="000000"/>
        </w:rPr>
        <w:t xml:space="preserve"> Martinovic, Daria </w:t>
      </w:r>
      <w:proofErr w:type="spellStart"/>
      <w:r>
        <w:rPr>
          <w:rFonts w:ascii="Book Antiqua" w:eastAsia="Book Antiqua" w:hAnsi="Book Antiqua" w:cs="Book Antiqua"/>
          <w:b/>
          <w:bCs/>
          <w:color w:val="000000"/>
        </w:rPr>
        <w:t>Tokic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Institute of Emergency Medicine of Split-Dalmatia County, Split 21000, Croatia</w:t>
      </w:r>
    </w:p>
    <w:p w14:paraId="43E68FD8" w14:textId="77777777" w:rsidR="00A77B3E" w:rsidRDefault="00A77B3E">
      <w:pPr>
        <w:spacing w:line="360" w:lineRule="auto"/>
        <w:jc w:val="both"/>
      </w:pPr>
    </w:p>
    <w:p w14:paraId="7F292130" w14:textId="77777777" w:rsidR="00A77B3E" w:rsidRDefault="00B724AE">
      <w:pPr>
        <w:spacing w:line="360" w:lineRule="auto"/>
        <w:jc w:val="both"/>
      </w:pPr>
      <w:r>
        <w:rPr>
          <w:rFonts w:ascii="Book Antiqua" w:eastAsia="Book Antiqua" w:hAnsi="Book Antiqua" w:cs="Book Antiqua"/>
          <w:b/>
          <w:bCs/>
          <w:color w:val="000000"/>
        </w:rPr>
        <w:t xml:space="preserve">Marino </w:t>
      </w:r>
      <w:proofErr w:type="spellStart"/>
      <w:r>
        <w:rPr>
          <w:rFonts w:ascii="Book Antiqua" w:eastAsia="Book Antiqua" w:hAnsi="Book Antiqua" w:cs="Book Antiqua"/>
          <w:b/>
          <w:bCs/>
          <w:color w:val="000000"/>
        </w:rPr>
        <w:t>Vilovic</w:t>
      </w:r>
      <w:proofErr w:type="spellEnd"/>
      <w:r>
        <w:rPr>
          <w:rFonts w:ascii="Book Antiqua" w:eastAsia="Book Antiqua" w:hAnsi="Book Antiqua" w:cs="Book Antiqua"/>
          <w:b/>
          <w:bCs/>
          <w:color w:val="000000"/>
        </w:rPr>
        <w:t xml:space="preserve">, Christian Libers,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Pathophysiology, University of Split School of Medicine, Split 21000, Croatia</w:t>
      </w:r>
    </w:p>
    <w:p w14:paraId="67EB38D4" w14:textId="77777777" w:rsidR="00A77B3E" w:rsidRDefault="00A77B3E">
      <w:pPr>
        <w:spacing w:line="360" w:lineRule="auto"/>
        <w:jc w:val="both"/>
      </w:pPr>
    </w:p>
    <w:p w14:paraId="45F009BD" w14:textId="77777777" w:rsidR="00A77B3E" w:rsidRDefault="00B724AE">
      <w:pPr>
        <w:spacing w:line="360" w:lineRule="auto"/>
        <w:jc w:val="both"/>
      </w:pPr>
      <w:r>
        <w:rPr>
          <w:rFonts w:ascii="Book Antiqua" w:eastAsia="Book Antiqua" w:hAnsi="Book Antiqua" w:cs="Book Antiqua"/>
          <w:b/>
          <w:bCs/>
          <w:color w:val="000000"/>
        </w:rPr>
        <w:t xml:space="preserve">Doris </w:t>
      </w:r>
      <w:proofErr w:type="spellStart"/>
      <w:r>
        <w:rPr>
          <w:rFonts w:ascii="Book Antiqua" w:eastAsia="Book Antiqua" w:hAnsi="Book Antiqua" w:cs="Book Antiqua"/>
          <w:b/>
          <w:bCs/>
          <w:color w:val="000000"/>
        </w:rPr>
        <w:t>Rusic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University of Split School of Medicine, Split 21000, Croatia</w:t>
      </w:r>
    </w:p>
    <w:p w14:paraId="24B260A4" w14:textId="77777777" w:rsidR="00A77B3E" w:rsidRDefault="00A77B3E">
      <w:pPr>
        <w:spacing w:line="360" w:lineRule="auto"/>
        <w:jc w:val="both"/>
      </w:pPr>
    </w:p>
    <w:p w14:paraId="6A324A45" w14:textId="77777777" w:rsidR="00A77B3E" w:rsidRDefault="00B724AE">
      <w:pPr>
        <w:spacing w:line="360" w:lineRule="auto"/>
        <w:jc w:val="both"/>
      </w:pPr>
      <w:r>
        <w:rPr>
          <w:rFonts w:ascii="Book Antiqua" w:eastAsia="Book Antiqua" w:hAnsi="Book Antiqua" w:cs="Book Antiqua"/>
          <w:b/>
          <w:bCs/>
          <w:color w:val="000000"/>
        </w:rPr>
        <w:t xml:space="preserve">Sandro </w:t>
      </w:r>
      <w:proofErr w:type="spellStart"/>
      <w:r>
        <w:rPr>
          <w:rFonts w:ascii="Book Antiqua" w:eastAsia="Book Antiqua" w:hAnsi="Book Antiqua" w:cs="Book Antiqua"/>
          <w:b/>
          <w:bCs/>
          <w:color w:val="000000"/>
        </w:rPr>
        <w:t>Glumac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and Intensive Care, University Hospital of Split, Split 21000, Croatia</w:t>
      </w:r>
    </w:p>
    <w:p w14:paraId="265818FA" w14:textId="77777777" w:rsidR="00A77B3E" w:rsidRDefault="00A77B3E">
      <w:pPr>
        <w:spacing w:line="360" w:lineRule="auto"/>
        <w:jc w:val="both"/>
      </w:pPr>
    </w:p>
    <w:p w14:paraId="1CC2F57B" w14:textId="77777777" w:rsidR="00A77B3E" w:rsidRDefault="00B724AE">
      <w:pPr>
        <w:spacing w:line="360" w:lineRule="auto"/>
        <w:jc w:val="both"/>
      </w:pPr>
      <w:r>
        <w:rPr>
          <w:rFonts w:ascii="Book Antiqua" w:eastAsia="Book Antiqua" w:hAnsi="Book Antiqua" w:cs="Book Antiqua"/>
          <w:b/>
          <w:bCs/>
          <w:color w:val="000000"/>
        </w:rPr>
        <w:t>Daniela Supe-</w:t>
      </w:r>
      <w:proofErr w:type="spellStart"/>
      <w:r>
        <w:rPr>
          <w:rFonts w:ascii="Book Antiqua" w:eastAsia="Book Antiqua" w:hAnsi="Book Antiqua" w:cs="Book Antiqua"/>
          <w:b/>
          <w:bCs/>
          <w:color w:val="000000"/>
        </w:rPr>
        <w:t>Domic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Laboratory Diagnostics, University Hospital of Split, Split 21000, Croatia</w:t>
      </w:r>
    </w:p>
    <w:p w14:paraId="7E502E2C" w14:textId="77777777" w:rsidR="00A77B3E" w:rsidRDefault="00A77B3E">
      <w:pPr>
        <w:spacing w:line="360" w:lineRule="auto"/>
        <w:jc w:val="both"/>
      </w:pPr>
    </w:p>
    <w:p w14:paraId="65083A8E" w14:textId="77777777" w:rsidR="00A77B3E" w:rsidRDefault="00B724AE">
      <w:pPr>
        <w:spacing w:line="360" w:lineRule="auto"/>
        <w:jc w:val="both"/>
      </w:pPr>
      <w:r>
        <w:rPr>
          <w:rFonts w:ascii="Book Antiqua" w:eastAsia="Book Antiqua" w:hAnsi="Book Antiqua" w:cs="Book Antiqua"/>
          <w:b/>
          <w:bCs/>
          <w:color w:val="000000"/>
        </w:rPr>
        <w:t xml:space="preserve">Ante </w:t>
      </w:r>
      <w:proofErr w:type="spellStart"/>
      <w:r>
        <w:rPr>
          <w:rFonts w:ascii="Book Antiqua" w:eastAsia="Book Antiqua" w:hAnsi="Book Antiqua" w:cs="Book Antiqua"/>
          <w:b/>
          <w:bCs/>
          <w:color w:val="000000"/>
        </w:rPr>
        <w:t>Tonkic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Split School of Medicine, Split 21000, Croatia</w:t>
      </w:r>
    </w:p>
    <w:p w14:paraId="07BB3B12" w14:textId="77777777" w:rsidR="00A77B3E" w:rsidRDefault="00A77B3E">
      <w:pPr>
        <w:spacing w:line="360" w:lineRule="auto"/>
        <w:jc w:val="both"/>
      </w:pPr>
    </w:p>
    <w:p w14:paraId="34D5E114" w14:textId="008A1193" w:rsidR="00A77B3E" w:rsidRDefault="00B724AE">
      <w:pPr>
        <w:spacing w:line="360" w:lineRule="auto"/>
        <w:jc w:val="both"/>
      </w:pPr>
      <w:r>
        <w:rPr>
          <w:rFonts w:ascii="Book Antiqua" w:eastAsia="Book Antiqua" w:hAnsi="Book Antiqua" w:cs="Book Antiqua"/>
          <w:b/>
          <w:bCs/>
          <w:color w:val="000000"/>
        </w:rPr>
        <w:t xml:space="preserve">Author contributions: </w:t>
      </w:r>
      <w:proofErr w:type="spellStart"/>
      <w:r w:rsidR="00D73382" w:rsidRPr="00172B6D">
        <w:rPr>
          <w:rFonts w:ascii="Book Antiqua" w:eastAsia="Book Antiqua" w:hAnsi="Book Antiqua" w:cs="Book Antiqua"/>
          <w:color w:val="000000"/>
        </w:rPr>
        <w:t>Brnic</w:t>
      </w:r>
      <w:proofErr w:type="spellEnd"/>
      <w:r w:rsidR="00D73382" w:rsidRPr="00172B6D">
        <w:rPr>
          <w:rFonts w:ascii="Book Antiqua" w:eastAsia="Book Antiqua" w:hAnsi="Book Antiqua" w:cs="Book Antiqua"/>
          <w:color w:val="000000"/>
        </w:rPr>
        <w:t xml:space="preserve"> D, Martinovic D and </w:t>
      </w:r>
      <w:proofErr w:type="spellStart"/>
      <w:r w:rsidR="00D73382" w:rsidRPr="00172B6D">
        <w:rPr>
          <w:rFonts w:ascii="Book Antiqua" w:eastAsia="Book Antiqua" w:hAnsi="Book Antiqua" w:cs="Book Antiqua"/>
          <w:color w:val="000000"/>
        </w:rPr>
        <w:t>Bozic</w:t>
      </w:r>
      <w:proofErr w:type="spellEnd"/>
      <w:r w:rsidR="00D73382" w:rsidRPr="00172B6D">
        <w:rPr>
          <w:rFonts w:ascii="Book Antiqua" w:eastAsia="Book Antiqua" w:hAnsi="Book Antiqua" w:cs="Book Antiqua"/>
          <w:color w:val="000000"/>
        </w:rPr>
        <w:t xml:space="preserve"> J</w:t>
      </w:r>
      <w:r w:rsidR="00EF2A15" w:rsidRPr="00172B6D">
        <w:rPr>
          <w:rFonts w:ascii="Book Antiqua" w:eastAsia="Book Antiqua" w:hAnsi="Book Antiqua" w:cs="Book Antiqua"/>
          <w:color w:val="000000"/>
        </w:rPr>
        <w:t xml:space="preserve"> w</w:t>
      </w:r>
      <w:r w:rsidR="00D73382" w:rsidRPr="00172B6D">
        <w:rPr>
          <w:rFonts w:ascii="Book Antiqua" w:eastAsia="Book Antiqua" w:hAnsi="Book Antiqua" w:cs="Book Antiqua"/>
          <w:color w:val="000000"/>
        </w:rPr>
        <w:t>ere</w:t>
      </w:r>
      <w:r w:rsidR="00EF2A15" w:rsidRPr="00172B6D">
        <w:rPr>
          <w:rFonts w:ascii="Book Antiqua" w:eastAsia="Book Antiqua" w:hAnsi="Book Antiqua" w:cs="Book Antiqua"/>
          <w:color w:val="000000"/>
        </w:rPr>
        <w:t xml:space="preserve"> involved in the study conceptualization, methodology</w:t>
      </w:r>
      <w:r w:rsidR="00C707E9" w:rsidRPr="00172B6D">
        <w:rPr>
          <w:rFonts w:ascii="Book Antiqua" w:eastAsia="Book Antiqua" w:hAnsi="Book Antiqua" w:cs="Book Antiqua"/>
          <w:color w:val="000000"/>
        </w:rPr>
        <w:t xml:space="preserve"> design</w:t>
      </w:r>
      <w:r w:rsidR="00EF2A15" w:rsidRPr="00172B6D">
        <w:rPr>
          <w:rFonts w:ascii="Book Antiqua" w:eastAsia="Book Antiqua" w:hAnsi="Book Antiqua" w:cs="Book Antiqua"/>
          <w:color w:val="000000"/>
        </w:rPr>
        <w:t xml:space="preserve">, </w:t>
      </w:r>
      <w:r w:rsidR="00404E55" w:rsidRPr="00172B6D">
        <w:rPr>
          <w:rFonts w:ascii="Book Antiqua" w:eastAsia="Book Antiqua" w:hAnsi="Book Antiqua" w:cs="Book Antiqua"/>
          <w:color w:val="000000"/>
        </w:rPr>
        <w:t>funding acquisition</w:t>
      </w:r>
      <w:r w:rsidR="000C4D48" w:rsidRPr="00172B6D">
        <w:rPr>
          <w:rFonts w:ascii="Book Antiqua" w:eastAsia="Book Antiqua" w:hAnsi="Book Antiqua" w:cs="Book Antiqua"/>
          <w:color w:val="000000"/>
        </w:rPr>
        <w:t xml:space="preserve"> and manuscript drafting and writing</w:t>
      </w:r>
      <w:r w:rsidR="007630BE" w:rsidRPr="00172B6D">
        <w:rPr>
          <w:rFonts w:ascii="Book Antiqua" w:eastAsia="Book Antiqua" w:hAnsi="Book Antiqua" w:cs="Book Antiqua"/>
          <w:color w:val="000000"/>
        </w:rPr>
        <w:t>;</w:t>
      </w:r>
      <w:r w:rsidR="00404E55" w:rsidRPr="00172B6D">
        <w:rPr>
          <w:rFonts w:ascii="Book Antiqua" w:eastAsia="Book Antiqua" w:hAnsi="Book Antiqua" w:cs="Book Antiqua"/>
          <w:color w:val="000000"/>
        </w:rPr>
        <w:t xml:space="preserve"> </w:t>
      </w:r>
      <w:proofErr w:type="spellStart"/>
      <w:r w:rsidR="0068113C">
        <w:rPr>
          <w:rFonts w:ascii="Book Antiqua" w:eastAsia="Book Antiqua" w:hAnsi="Book Antiqua" w:cs="Book Antiqua"/>
          <w:color w:val="000000"/>
        </w:rPr>
        <w:t>Zivkovic</w:t>
      </w:r>
      <w:proofErr w:type="spellEnd"/>
      <w:r w:rsidR="0068113C">
        <w:rPr>
          <w:rFonts w:ascii="Book Antiqua" w:eastAsia="Book Antiqua" w:hAnsi="Book Antiqua" w:cs="Book Antiqua"/>
          <w:color w:val="000000"/>
        </w:rPr>
        <w:t xml:space="preserve"> P</w:t>
      </w:r>
      <w:r w:rsidR="00C707E9" w:rsidRPr="00172B6D">
        <w:rPr>
          <w:rFonts w:ascii="Book Antiqua" w:eastAsia="Book Antiqua" w:hAnsi="Book Antiqua" w:cs="Book Antiqua"/>
          <w:color w:val="000000"/>
        </w:rPr>
        <w:t xml:space="preserve">M, </w:t>
      </w:r>
      <w:proofErr w:type="spellStart"/>
      <w:r w:rsidR="00C707E9" w:rsidRPr="00172B6D">
        <w:rPr>
          <w:rFonts w:ascii="Book Antiqua" w:eastAsia="Book Antiqua" w:hAnsi="Book Antiqua" w:cs="Book Antiqua"/>
          <w:color w:val="000000"/>
        </w:rPr>
        <w:t>Tokic</w:t>
      </w:r>
      <w:proofErr w:type="spellEnd"/>
      <w:r w:rsidR="00C707E9" w:rsidRPr="00172B6D">
        <w:rPr>
          <w:rFonts w:ascii="Book Antiqua" w:eastAsia="Book Antiqua" w:hAnsi="Book Antiqua" w:cs="Book Antiqua"/>
          <w:color w:val="000000"/>
        </w:rPr>
        <w:t xml:space="preserve"> D, </w:t>
      </w:r>
      <w:proofErr w:type="spellStart"/>
      <w:r w:rsidR="00C707E9" w:rsidRPr="00172B6D">
        <w:rPr>
          <w:rFonts w:ascii="Book Antiqua" w:eastAsia="Book Antiqua" w:hAnsi="Book Antiqua" w:cs="Book Antiqua"/>
          <w:color w:val="000000"/>
        </w:rPr>
        <w:t>Vilovic</w:t>
      </w:r>
      <w:proofErr w:type="spellEnd"/>
      <w:r w:rsidR="00C707E9" w:rsidRPr="00172B6D">
        <w:rPr>
          <w:rFonts w:ascii="Book Antiqua" w:eastAsia="Book Antiqua" w:hAnsi="Book Antiqua" w:cs="Book Antiqua"/>
          <w:color w:val="000000"/>
        </w:rPr>
        <w:t xml:space="preserve"> M, </w:t>
      </w:r>
      <w:proofErr w:type="spellStart"/>
      <w:r w:rsidR="00C707E9" w:rsidRPr="00172B6D">
        <w:rPr>
          <w:rFonts w:ascii="Book Antiqua" w:eastAsia="Book Antiqua" w:hAnsi="Book Antiqua" w:cs="Book Antiqua"/>
          <w:color w:val="000000"/>
        </w:rPr>
        <w:t>Tadin</w:t>
      </w:r>
      <w:proofErr w:type="spellEnd"/>
      <w:r w:rsidR="00C707E9" w:rsidRPr="00172B6D">
        <w:rPr>
          <w:rFonts w:ascii="Book Antiqua" w:eastAsia="Book Antiqua" w:hAnsi="Book Antiqua" w:cs="Book Antiqua"/>
          <w:color w:val="000000"/>
        </w:rPr>
        <w:t xml:space="preserve"> H and Libers C were involved in the literature investigation, software statistical analysis and manuscript visualization and editing</w:t>
      </w:r>
      <w:r w:rsidR="0068113C">
        <w:rPr>
          <w:rFonts w:ascii="Book Antiqua" w:eastAsia="Book Antiqua" w:hAnsi="Book Antiqua" w:cs="Book Antiqua"/>
          <w:color w:val="000000"/>
        </w:rPr>
        <w:t>;</w:t>
      </w:r>
      <w:r w:rsidR="000C4D48" w:rsidRPr="00172B6D">
        <w:rPr>
          <w:rFonts w:ascii="Book Antiqua" w:eastAsia="Book Antiqua" w:hAnsi="Book Antiqua" w:cs="Book Antiqua"/>
          <w:color w:val="000000"/>
        </w:rPr>
        <w:t xml:space="preserve"> Supe-</w:t>
      </w:r>
      <w:proofErr w:type="spellStart"/>
      <w:r w:rsidR="000C4D48" w:rsidRPr="00172B6D">
        <w:rPr>
          <w:rFonts w:ascii="Book Antiqua" w:eastAsia="Book Antiqua" w:hAnsi="Book Antiqua" w:cs="Book Antiqua"/>
          <w:color w:val="000000"/>
        </w:rPr>
        <w:t>Domic</w:t>
      </w:r>
      <w:proofErr w:type="spellEnd"/>
      <w:r w:rsidR="000C4D48" w:rsidRPr="00172B6D">
        <w:rPr>
          <w:rFonts w:ascii="Book Antiqua" w:eastAsia="Book Antiqua" w:hAnsi="Book Antiqua" w:cs="Book Antiqua"/>
          <w:color w:val="000000"/>
        </w:rPr>
        <w:t xml:space="preserve"> D, </w:t>
      </w:r>
      <w:proofErr w:type="spellStart"/>
      <w:r w:rsidR="000C4D48" w:rsidRPr="00172B6D">
        <w:rPr>
          <w:rFonts w:ascii="Book Antiqua" w:eastAsia="Book Antiqua" w:hAnsi="Book Antiqua" w:cs="Book Antiqua"/>
          <w:color w:val="000000"/>
        </w:rPr>
        <w:t>Rusic</w:t>
      </w:r>
      <w:proofErr w:type="spellEnd"/>
      <w:r w:rsidR="000C4D48" w:rsidRPr="00172B6D">
        <w:rPr>
          <w:rFonts w:ascii="Book Antiqua" w:eastAsia="Book Antiqua" w:hAnsi="Book Antiqua" w:cs="Book Antiqua"/>
          <w:color w:val="000000"/>
        </w:rPr>
        <w:t xml:space="preserve"> D and </w:t>
      </w:r>
      <w:proofErr w:type="spellStart"/>
      <w:r w:rsidR="000C4D48" w:rsidRPr="00172B6D">
        <w:rPr>
          <w:rFonts w:ascii="Book Antiqua" w:eastAsia="Book Antiqua" w:hAnsi="Book Antiqua" w:cs="Book Antiqua"/>
          <w:color w:val="000000"/>
        </w:rPr>
        <w:t>Glumac</w:t>
      </w:r>
      <w:proofErr w:type="spellEnd"/>
      <w:r w:rsidR="000C4D48" w:rsidRPr="00172B6D">
        <w:rPr>
          <w:rFonts w:ascii="Book Antiqua" w:eastAsia="Book Antiqua" w:hAnsi="Book Antiqua" w:cs="Book Antiqua"/>
          <w:color w:val="000000"/>
        </w:rPr>
        <w:t xml:space="preserve"> S were involved in patient sampling, laboratory analysis and manuscript editing</w:t>
      </w:r>
      <w:r w:rsidR="0068113C">
        <w:rPr>
          <w:rFonts w:ascii="Book Antiqua" w:eastAsia="Book Antiqua" w:hAnsi="Book Antiqua" w:cs="Book Antiqua"/>
          <w:color w:val="000000"/>
        </w:rPr>
        <w:t>;</w:t>
      </w:r>
      <w:r w:rsidR="00C707E9" w:rsidRPr="00172B6D">
        <w:rPr>
          <w:rFonts w:ascii="Book Antiqua" w:eastAsia="Book Antiqua" w:hAnsi="Book Antiqua" w:cs="Book Antiqua"/>
          <w:color w:val="000000"/>
        </w:rPr>
        <w:t xml:space="preserve"> </w:t>
      </w:r>
      <w:proofErr w:type="spellStart"/>
      <w:r w:rsidR="000C4D48" w:rsidRPr="00172B6D">
        <w:rPr>
          <w:rFonts w:ascii="Book Antiqua" w:eastAsia="Book Antiqua" w:hAnsi="Book Antiqua" w:cs="Book Antiqua"/>
          <w:color w:val="000000"/>
        </w:rPr>
        <w:t>Tonkic</w:t>
      </w:r>
      <w:proofErr w:type="spellEnd"/>
      <w:r w:rsidR="000C4D48" w:rsidRPr="00172B6D">
        <w:rPr>
          <w:rFonts w:ascii="Book Antiqua" w:eastAsia="Book Antiqua" w:hAnsi="Book Antiqua" w:cs="Book Antiqua"/>
          <w:color w:val="000000"/>
        </w:rPr>
        <w:t xml:space="preserve"> A was involved in supervision and project administration. </w:t>
      </w:r>
    </w:p>
    <w:p w14:paraId="0C28974F" w14:textId="77777777" w:rsidR="00A77B3E" w:rsidRDefault="00A77B3E">
      <w:pPr>
        <w:spacing w:line="360" w:lineRule="auto"/>
        <w:jc w:val="both"/>
      </w:pPr>
    </w:p>
    <w:p w14:paraId="0C41596A" w14:textId="77777777" w:rsidR="00A77B3E" w:rsidRDefault="00B724A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Pathophysiology, University of Split School of Medicine, </w:t>
      </w:r>
      <w:proofErr w:type="spellStart"/>
      <w:r>
        <w:rPr>
          <w:rFonts w:ascii="Book Antiqua" w:eastAsia="Book Antiqua" w:hAnsi="Book Antiqua" w:cs="Book Antiqua"/>
          <w:color w:val="000000"/>
        </w:rPr>
        <w:t>Soltanska</w:t>
      </w:r>
      <w:proofErr w:type="spellEnd"/>
      <w:r>
        <w:rPr>
          <w:rFonts w:ascii="Book Antiqua" w:eastAsia="Book Antiqua" w:hAnsi="Book Antiqua" w:cs="Book Antiqua"/>
          <w:color w:val="000000"/>
        </w:rPr>
        <w:t xml:space="preserve"> 2, Split 21000, Croatia. josko.bozic@mefst.hr</w:t>
      </w:r>
    </w:p>
    <w:p w14:paraId="420FF553" w14:textId="77777777" w:rsidR="00A77B3E" w:rsidRDefault="00A77B3E">
      <w:pPr>
        <w:spacing w:line="360" w:lineRule="auto"/>
        <w:jc w:val="both"/>
      </w:pPr>
    </w:p>
    <w:p w14:paraId="7943455E" w14:textId="77777777" w:rsidR="00A77B3E" w:rsidRDefault="00B724A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2020</w:t>
      </w:r>
    </w:p>
    <w:p w14:paraId="24C92DA6" w14:textId="77777777" w:rsidR="00A77B3E" w:rsidRDefault="00B724A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14:paraId="54E8EE94" w14:textId="2EF229E0" w:rsidR="00A77B3E" w:rsidRDefault="00B724AE">
      <w:pPr>
        <w:spacing w:line="360" w:lineRule="auto"/>
        <w:jc w:val="both"/>
      </w:pPr>
      <w:r>
        <w:rPr>
          <w:rFonts w:ascii="Book Antiqua" w:eastAsia="Book Antiqua" w:hAnsi="Book Antiqua" w:cs="Book Antiqua"/>
          <w:b/>
          <w:bCs/>
          <w:color w:val="000000"/>
        </w:rPr>
        <w:t xml:space="preserve">Accepted: </w:t>
      </w:r>
      <w:r w:rsidR="00181C38" w:rsidRPr="00181C38">
        <w:rPr>
          <w:rFonts w:ascii="Book Antiqua" w:eastAsia="Book Antiqua" w:hAnsi="Book Antiqua" w:cs="Book Antiqua"/>
          <w:color w:val="000000"/>
        </w:rPr>
        <w:t>August 15, 2020</w:t>
      </w:r>
    </w:p>
    <w:p w14:paraId="0715833A" w14:textId="77777777" w:rsidR="00A77B3E" w:rsidRDefault="00B724AE">
      <w:pPr>
        <w:spacing w:line="360" w:lineRule="auto"/>
        <w:jc w:val="both"/>
      </w:pPr>
      <w:r>
        <w:rPr>
          <w:rFonts w:ascii="Book Antiqua" w:eastAsia="Book Antiqua" w:hAnsi="Book Antiqua" w:cs="Book Antiqua"/>
          <w:b/>
          <w:bCs/>
          <w:color w:val="000000"/>
        </w:rPr>
        <w:t xml:space="preserve">Published online: </w:t>
      </w:r>
    </w:p>
    <w:p w14:paraId="5F580B4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B5A05F" w14:textId="77777777" w:rsidR="00A77B3E" w:rsidRDefault="00B724AE">
      <w:pPr>
        <w:spacing w:line="360" w:lineRule="auto"/>
        <w:jc w:val="both"/>
      </w:pPr>
      <w:r>
        <w:rPr>
          <w:rFonts w:ascii="Book Antiqua" w:eastAsia="Book Antiqua" w:hAnsi="Book Antiqua" w:cs="Book Antiqua"/>
          <w:b/>
          <w:color w:val="000000"/>
        </w:rPr>
        <w:lastRenderedPageBreak/>
        <w:t>Abstract</w:t>
      </w:r>
    </w:p>
    <w:p w14:paraId="05D646D7" w14:textId="77777777" w:rsidR="00A77B3E" w:rsidRDefault="00B724AE">
      <w:pPr>
        <w:spacing w:line="360" w:lineRule="auto"/>
        <w:jc w:val="both"/>
      </w:pPr>
      <w:r>
        <w:rPr>
          <w:rFonts w:ascii="Book Antiqua" w:eastAsia="Book Antiqua" w:hAnsi="Book Antiqua" w:cs="Book Antiqua"/>
          <w:color w:val="000000"/>
        </w:rPr>
        <w:t>BACKGROUND</w:t>
      </w:r>
    </w:p>
    <w:p w14:paraId="08684FEB" w14:textId="77777777" w:rsidR="00A77B3E" w:rsidRDefault="00B724AE">
      <w:pPr>
        <w:spacing w:line="360" w:lineRule="auto"/>
        <w:jc w:val="both"/>
      </w:pP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(MGP) is a vitamin K dependent peptide which has an established role in suppression of vascular calcification. Recent studies have pointed to a possible link between immunomodulatory effect of MGP and inflammatory bowel disease (IBD). </w:t>
      </w:r>
    </w:p>
    <w:p w14:paraId="24CEAB7C" w14:textId="77777777" w:rsidR="00A77B3E" w:rsidRDefault="00A77B3E">
      <w:pPr>
        <w:spacing w:line="360" w:lineRule="auto"/>
        <w:jc w:val="both"/>
      </w:pPr>
    </w:p>
    <w:p w14:paraId="279587F8" w14:textId="77777777" w:rsidR="00A77B3E" w:rsidRDefault="00B724AE">
      <w:pPr>
        <w:spacing w:line="360" w:lineRule="auto"/>
        <w:jc w:val="both"/>
      </w:pPr>
      <w:r>
        <w:rPr>
          <w:rFonts w:ascii="Book Antiqua" w:eastAsia="Book Antiqua" w:hAnsi="Book Antiqua" w:cs="Book Antiqua"/>
          <w:color w:val="000000"/>
        </w:rPr>
        <w:t>AIM</w:t>
      </w:r>
    </w:p>
    <w:p w14:paraId="2E8DF95B" w14:textId="77777777" w:rsidR="00A77B3E" w:rsidRDefault="00B724AE">
      <w:pPr>
        <w:spacing w:line="360" w:lineRule="auto"/>
        <w:jc w:val="both"/>
      </w:pPr>
      <w:r>
        <w:rPr>
          <w:rFonts w:ascii="Book Antiqua" w:eastAsia="Book Antiqua" w:hAnsi="Book Antiqua" w:cs="Book Antiqua"/>
          <w:color w:val="000000"/>
        </w:rPr>
        <w:t xml:space="preserve">To compare plasma levels of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MGP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between IBD patients and controls. </w:t>
      </w:r>
    </w:p>
    <w:p w14:paraId="17A3DDBF" w14:textId="77777777" w:rsidR="00A77B3E" w:rsidRDefault="00A77B3E">
      <w:pPr>
        <w:spacing w:line="360" w:lineRule="auto"/>
        <w:jc w:val="both"/>
      </w:pPr>
    </w:p>
    <w:p w14:paraId="047E9905" w14:textId="77777777" w:rsidR="00A77B3E" w:rsidRDefault="00B724AE">
      <w:pPr>
        <w:spacing w:line="360" w:lineRule="auto"/>
        <w:jc w:val="both"/>
      </w:pPr>
      <w:r>
        <w:rPr>
          <w:rFonts w:ascii="Book Antiqua" w:eastAsia="Book Antiqua" w:hAnsi="Book Antiqua" w:cs="Book Antiqua"/>
          <w:color w:val="000000"/>
        </w:rPr>
        <w:t>METHODS</w:t>
      </w:r>
    </w:p>
    <w:p w14:paraId="07C103E0" w14:textId="3A282A9F" w:rsidR="00A77B3E" w:rsidRDefault="00B724AE">
      <w:pPr>
        <w:spacing w:line="360" w:lineRule="auto"/>
        <w:jc w:val="both"/>
      </w:pPr>
      <w:r>
        <w:rPr>
          <w:rFonts w:ascii="Book Antiqua" w:eastAsia="Book Antiqua" w:hAnsi="Book Antiqua" w:cs="Book Antiqua"/>
          <w:color w:val="000000"/>
        </w:rPr>
        <w:t xml:space="preserve">This cross-sectional study was conducted on 70 patients with IBD (30 patients with ulcerative colitis and 40 patients with Crohn’s disease) and 60 age and gender matching healthy controls.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from blood samples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according to the manufacturer's instructions. fecal calprotectin (FC) levels were determined from stool samples by turbidimetric immunoassay method using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sidR="00F53485">
        <w:rPr>
          <w:rFonts w:ascii="Book Antiqua" w:eastAsia="Book Antiqua" w:hAnsi="Book Antiqua" w:cs="Book Antiqua"/>
          <w:color w:val="000000"/>
        </w:rPr>
        <w:t xml:space="preserve"> fecal calprotectin </w:t>
      </w:r>
      <w:r>
        <w:rPr>
          <w:rFonts w:ascii="Book Antiqua" w:eastAsia="Book Antiqua" w:hAnsi="Book Antiqua" w:cs="Book Antiqua"/>
          <w:color w:val="000000"/>
        </w:rPr>
        <w:t>turbo assay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Laboratories </w:t>
      </w:r>
      <w:proofErr w:type="spellStart"/>
      <w:r w:rsidR="00F53485">
        <w:rPr>
          <w:rFonts w:ascii="Book Antiqua" w:eastAsia="Book Antiqua" w:hAnsi="Book Antiqua" w:cs="Book Antiqua"/>
          <w:color w:val="000000"/>
        </w:rPr>
        <w:t>Aktiengesellschaft</w:t>
      </w:r>
      <w:proofErr w:type="spellEnd"/>
      <w:r w:rsidR="00F5348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Schonenbuch</w:t>
      </w:r>
      <w:proofErr w:type="spellEnd"/>
      <w:r>
        <w:rPr>
          <w:rFonts w:ascii="Book Antiqua" w:eastAsia="Book Antiqua" w:hAnsi="Book Antiqua" w:cs="Book Antiqua"/>
          <w:color w:val="000000"/>
        </w:rPr>
        <w:t>, Switzerland)</w:t>
      </w:r>
      <w:r>
        <w:rPr>
          <w:rFonts w:ascii="Book Antiqua" w:eastAsia="Book Antiqua" w:hAnsi="Book Antiqua" w:cs="Book Antiqua"/>
          <w:b/>
          <w:bCs/>
          <w:color w:val="000000"/>
        </w:rPr>
        <w:t xml:space="preserve">. </w:t>
      </w:r>
      <w:r>
        <w:rPr>
          <w:rFonts w:ascii="Book Antiqua" w:eastAsia="Book Antiqua" w:hAnsi="Book Antiqua" w:cs="Book Antiqua"/>
          <w:color w:val="000000"/>
        </w:rPr>
        <w:t>Other parameters were analyzed according to the standard laboratory procedures.</w:t>
      </w:r>
    </w:p>
    <w:p w14:paraId="12BE5E8D" w14:textId="77777777" w:rsidR="00A77B3E" w:rsidRDefault="00A77B3E">
      <w:pPr>
        <w:spacing w:line="360" w:lineRule="auto"/>
        <w:jc w:val="both"/>
      </w:pPr>
    </w:p>
    <w:p w14:paraId="2C3E0737" w14:textId="77777777" w:rsidR="00A77B3E" w:rsidRDefault="00B724AE">
      <w:pPr>
        <w:spacing w:line="360" w:lineRule="auto"/>
        <w:jc w:val="both"/>
      </w:pPr>
      <w:r>
        <w:rPr>
          <w:rFonts w:ascii="Book Antiqua" w:eastAsia="Book Antiqua" w:hAnsi="Book Antiqua" w:cs="Book Antiqua"/>
          <w:color w:val="000000"/>
        </w:rPr>
        <w:t>RESULTS</w:t>
      </w:r>
    </w:p>
    <w:p w14:paraId="62A7811A" w14:textId="0984FA89" w:rsidR="00A77B3E" w:rsidRDefault="00B724AE">
      <w:pPr>
        <w:spacing w:line="360" w:lineRule="auto"/>
        <w:jc w:val="both"/>
      </w:pPr>
      <w:r>
        <w:rPr>
          <w:rFonts w:ascii="Book Antiqua" w:eastAsia="Book Antiqua" w:hAnsi="Book Antiqua" w:cs="Book Antiqua"/>
          <w:color w:val="000000"/>
        </w:rPr>
        <w:t xml:space="preserve">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were significantly higher in patients with IBD compared to the healthy control group (629.83 ± 124.20 </w:t>
      </w:r>
      <w:proofErr w:type="spellStart"/>
      <w:r w:rsidR="0068113C">
        <w:rPr>
          <w:rFonts w:ascii="Book Antiqua" w:eastAsia="Book Antiqua" w:hAnsi="Book Antiqua" w:cs="Book Antiqua"/>
          <w:color w:val="000000"/>
        </w:rPr>
        <w:t>pmol</w:t>
      </w:r>
      <w:proofErr w:type="spellEnd"/>
      <w:r w:rsidR="0068113C">
        <w:rPr>
          <w:rFonts w:ascii="Book Antiqua" w:eastAsia="Book Antiqua" w:hAnsi="Book Antiqua" w:cs="Book Antiqua"/>
          <w:color w:val="000000"/>
        </w:rPr>
        <w:t>/mL</w:t>
      </w:r>
      <w:r w:rsidR="0068113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546.7 ± 122.09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Crohn’s disease and patients with ulcerative colitis (640.02 ± 131.88 </w:t>
      </w:r>
      <w:proofErr w:type="spellStart"/>
      <w:r w:rsidR="0068113C">
        <w:rPr>
          <w:rFonts w:ascii="Book Antiqua" w:eastAsia="Book Antiqua" w:hAnsi="Book Antiqua" w:cs="Book Antiqua"/>
          <w:color w:val="000000"/>
        </w:rPr>
        <w:t>pmol</w:t>
      </w:r>
      <w:proofErr w:type="spellEnd"/>
      <w:r w:rsidR="0068113C">
        <w:rPr>
          <w:rFonts w:ascii="Book Antiqua" w:eastAsia="Book Antiqua" w:hAnsi="Book Antiqua" w:cs="Book Antiqua"/>
          <w:color w:val="000000"/>
        </w:rPr>
        <w:t>/mL</w:t>
      </w:r>
      <w:r w:rsidR="0068113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616.23 ± 113.92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Furthermore, a significant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was found with both FC levels (</w:t>
      </w:r>
      <w:r w:rsidRPr="0057381D">
        <w:rPr>
          <w:rFonts w:ascii="Book Antiqua" w:eastAsia="Book Antiqua" w:hAnsi="Book Antiqua" w:cs="Book Antiqua"/>
          <w:i/>
          <w:color w:val="000000"/>
        </w:rPr>
        <w:t>r</w:t>
      </w:r>
      <w:r>
        <w:rPr>
          <w:rFonts w:ascii="Book Antiqua" w:eastAsia="Book Antiqua" w:hAnsi="Book Antiqua" w:cs="Book Antiqua"/>
          <w:color w:val="000000"/>
        </w:rPr>
        <w:t xml:space="preserve"> = 0.396,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high sensitivity C-reactive protein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levels (</w:t>
      </w:r>
      <w:r w:rsidRPr="0057381D">
        <w:rPr>
          <w:rFonts w:ascii="Book Antiqua" w:eastAsia="Book Antiqua" w:hAnsi="Book Antiqua" w:cs="Book Antiqua"/>
          <w:i/>
          <w:color w:val="000000"/>
        </w:rPr>
        <w:t>r</w:t>
      </w:r>
      <w:r>
        <w:rPr>
          <w:rFonts w:ascii="Book Antiqua" w:eastAsia="Book Antiqua" w:hAnsi="Book Antiqua" w:cs="Book Antiqua"/>
          <w:color w:val="000000"/>
        </w:rPr>
        <w:t xml:space="preserve"> = 0.477,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Moreover, in the total study population a significant </w:t>
      </w:r>
      <w:r>
        <w:rPr>
          <w:rFonts w:ascii="Book Antiqua" w:eastAsia="Book Antiqua" w:hAnsi="Book Antiqua" w:cs="Book Antiqua"/>
          <w:color w:val="000000"/>
        </w:rPr>
        <w:lastRenderedPageBreak/>
        <w:t xml:space="preserve">positive correlation was found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age (</w:t>
      </w:r>
      <w:r w:rsidRPr="00C76EF7">
        <w:rPr>
          <w:rFonts w:ascii="Book Antiqua" w:eastAsia="Book Antiqua" w:hAnsi="Book Antiqua" w:cs="Book Antiqua"/>
          <w:i/>
          <w:color w:val="000000"/>
        </w:rPr>
        <w:t>r</w:t>
      </w:r>
      <w:r>
        <w:rPr>
          <w:rFonts w:ascii="Book Antiqua" w:eastAsia="Book Antiqua" w:hAnsi="Book Antiqua" w:cs="Book Antiqua"/>
          <w:color w:val="000000"/>
        </w:rPr>
        <w:t xml:space="preserve"> = 0.210,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waist circumference (r = 0.264,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Multiple linear regression analysis showed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retained significant association with FC (β ± SE, 0.06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p>
    <w:p w14:paraId="4F109E28" w14:textId="77777777" w:rsidR="00A77B3E" w:rsidRDefault="00A77B3E">
      <w:pPr>
        <w:spacing w:line="360" w:lineRule="auto"/>
        <w:jc w:val="both"/>
      </w:pPr>
    </w:p>
    <w:p w14:paraId="4B904AF5" w14:textId="77777777" w:rsidR="00A77B3E" w:rsidRDefault="00B724AE">
      <w:pPr>
        <w:spacing w:line="360" w:lineRule="auto"/>
        <w:jc w:val="both"/>
      </w:pPr>
      <w:r>
        <w:rPr>
          <w:rFonts w:ascii="Book Antiqua" w:eastAsia="Book Antiqua" w:hAnsi="Book Antiqua" w:cs="Book Antiqua"/>
          <w:color w:val="000000"/>
        </w:rPr>
        <w:t>CONCLUSION</w:t>
      </w:r>
    </w:p>
    <w:p w14:paraId="79987E74" w14:textId="77777777" w:rsidR="00A77B3E" w:rsidRDefault="00B724AE">
      <w:pPr>
        <w:spacing w:line="360" w:lineRule="auto"/>
        <w:jc w:val="both"/>
      </w:pPr>
      <w:r>
        <w:rPr>
          <w:rFonts w:ascii="Book Antiqua" w:eastAsia="Book Antiqua" w:hAnsi="Book Antiqua" w:cs="Book Antiqua"/>
          <w:color w:val="000000"/>
        </w:rPr>
        <w:t>Study results support experimental data of MGP immunomodulatory IBD effect and indicate potential involvement in the pathophysiology of the disease, and possibly extraintestinal manifestations.</w:t>
      </w:r>
    </w:p>
    <w:p w14:paraId="6A382618" w14:textId="77777777" w:rsidR="00A77B3E" w:rsidRDefault="00A77B3E">
      <w:pPr>
        <w:spacing w:line="360" w:lineRule="auto"/>
        <w:jc w:val="both"/>
      </w:pPr>
    </w:p>
    <w:p w14:paraId="071A4D99" w14:textId="6E7ACF20" w:rsidR="00A77B3E" w:rsidRDefault="00B724A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Inflammatory bowel disease; Fecal calprotectin; Ulcerative colitis; Crohn's disease</w:t>
      </w:r>
    </w:p>
    <w:p w14:paraId="171FA91F" w14:textId="77777777" w:rsidR="00A77B3E" w:rsidRDefault="00A77B3E">
      <w:pPr>
        <w:spacing w:line="360" w:lineRule="auto"/>
        <w:jc w:val="both"/>
      </w:pPr>
    </w:p>
    <w:p w14:paraId="34A7C921" w14:textId="57F4F914" w:rsidR="00A77B3E" w:rsidRDefault="00B724AE">
      <w:pPr>
        <w:spacing w:line="360" w:lineRule="auto"/>
        <w:jc w:val="both"/>
      </w:pP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D, Martinovic D,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Tokic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Libers C,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S, Supe-</w:t>
      </w:r>
      <w:proofErr w:type="spellStart"/>
      <w:r>
        <w:rPr>
          <w:rFonts w:ascii="Book Antiqua" w:eastAsia="Book Antiqua" w:hAnsi="Book Antiqua" w:cs="Book Antiqua"/>
          <w:color w:val="000000"/>
        </w:rPr>
        <w:t>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Inactive </w:t>
      </w:r>
      <w:r w:rsidR="00195B98">
        <w:rPr>
          <w:rFonts w:ascii="Book Antiqua" w:eastAsia="Book Antiqua" w:hAnsi="Book Antiqua" w:cs="Book Antiqua"/>
          <w:color w:val="000000"/>
        </w:rPr>
        <w:t>m</w:t>
      </w:r>
      <w:r>
        <w:rPr>
          <w:rFonts w:ascii="Book Antiqua" w:eastAsia="Book Antiqua" w:hAnsi="Book Antiqua" w:cs="Book Antiqua"/>
          <w:color w:val="000000"/>
        </w:rPr>
        <w:t xml:space="preserve">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elevated in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3DBB9AD" w14:textId="77777777" w:rsidR="00A77B3E" w:rsidRDefault="00A77B3E">
      <w:pPr>
        <w:spacing w:line="360" w:lineRule="auto"/>
        <w:jc w:val="both"/>
      </w:pPr>
    </w:p>
    <w:p w14:paraId="3F6EEEA6" w14:textId="70FF58C0" w:rsidR="00A77B3E" w:rsidRDefault="00B724A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sidR="00417EA0">
        <w:rPr>
          <w:rFonts w:ascii="Book Antiqua" w:eastAsia="Book Antiqua" w:hAnsi="Book Antiqua" w:cs="Book Antiqua"/>
          <w:color w:val="000000"/>
        </w:rPr>
        <w:t xml:space="preserve">(MGP) </w:t>
      </w:r>
      <w:r>
        <w:rPr>
          <w:rFonts w:ascii="Book Antiqua" w:eastAsia="Book Antiqua" w:hAnsi="Book Antiqua" w:cs="Book Antiqua"/>
          <w:color w:val="000000"/>
        </w:rPr>
        <w:t xml:space="preserve">is well-established as a protector against vascular calcification. Recent studies pointed to a possible link between </w:t>
      </w:r>
      <w:r w:rsidR="00A7157E">
        <w:rPr>
          <w:rFonts w:ascii="Book Antiqua" w:eastAsia="Book Antiqua" w:hAnsi="Book Antiqua" w:cs="Book Antiqua"/>
          <w:color w:val="000000"/>
        </w:rPr>
        <w:t>MGP</w:t>
      </w:r>
      <w:r>
        <w:rPr>
          <w:rFonts w:ascii="Book Antiqua" w:eastAsia="Book Antiqua" w:hAnsi="Book Antiqua" w:cs="Book Antiqua"/>
          <w:color w:val="000000"/>
        </w:rPr>
        <w:t xml:space="preserve"> and inflammatory bowel disease</w:t>
      </w:r>
      <w:r w:rsidR="00A7157E">
        <w:rPr>
          <w:rFonts w:ascii="Book Antiqua" w:eastAsia="Book Antiqua" w:hAnsi="Book Antiqua" w:cs="Book Antiqua"/>
          <w:color w:val="000000"/>
        </w:rPr>
        <w:t xml:space="preserve"> (IBD)</w:t>
      </w:r>
      <w:r>
        <w:rPr>
          <w:rFonts w:ascii="Book Antiqua" w:eastAsia="Book Antiqua" w:hAnsi="Book Antiqua" w:cs="Book Antiqua"/>
          <w:color w:val="000000"/>
        </w:rPr>
        <w:t xml:space="preserve">. Our study found significantly higher inactive plasma </w:t>
      </w:r>
      <w:r w:rsidR="00417EA0">
        <w:rPr>
          <w:rFonts w:ascii="Book Antiqua" w:eastAsia="Book Antiqua" w:hAnsi="Book Antiqua" w:cs="Book Antiqua"/>
          <w:color w:val="000000"/>
        </w:rPr>
        <w:t>MGP</w:t>
      </w:r>
      <w:r>
        <w:rPr>
          <w:rFonts w:ascii="Book Antiqua" w:eastAsia="Book Antiqua" w:hAnsi="Book Antiqua" w:cs="Book Antiqua"/>
          <w:color w:val="000000"/>
        </w:rPr>
        <w:t xml:space="preserve"> levels in patients with</w:t>
      </w:r>
      <w:r w:rsidR="00A7157E">
        <w:rPr>
          <w:rFonts w:ascii="Book Antiqua" w:eastAsia="Book Antiqua" w:hAnsi="Book Antiqua" w:cs="Book Antiqua"/>
          <w:color w:val="000000"/>
        </w:rPr>
        <w:t xml:space="preserve"> </w:t>
      </w:r>
      <w:r>
        <w:rPr>
          <w:rFonts w:ascii="Book Antiqua" w:eastAsia="Book Antiqua" w:hAnsi="Book Antiqua" w:cs="Book Antiqua"/>
          <w:color w:val="000000"/>
        </w:rPr>
        <w:t>IBD</w:t>
      </w:r>
      <w:r w:rsidR="00A7157E">
        <w:rPr>
          <w:rFonts w:ascii="Book Antiqua" w:eastAsia="Book Antiqua" w:hAnsi="Book Antiqua" w:cs="Book Antiqua"/>
          <w:color w:val="000000"/>
        </w:rPr>
        <w:t xml:space="preserve"> </w:t>
      </w:r>
      <w:r>
        <w:rPr>
          <w:rFonts w:ascii="Book Antiqua" w:eastAsia="Book Antiqua" w:hAnsi="Book Antiqua" w:cs="Book Antiqua"/>
          <w:color w:val="000000"/>
        </w:rPr>
        <w:t>compared to the healthy controls and there were no differences between patients with ulcerative colitis and Crohn’s disease. Furthermore, there was a significant positive correlation between inactive plasma MGP levels with both fecal calprotectin and high sensitivity C-reactive protein levels. These results imply that MGP is somehow involved in complex IBD pathophysiology.</w:t>
      </w:r>
    </w:p>
    <w:p w14:paraId="1DC6371D" w14:textId="77777777" w:rsidR="00A77B3E" w:rsidRDefault="00A77B3E">
      <w:pPr>
        <w:spacing w:line="360" w:lineRule="auto"/>
        <w:jc w:val="both"/>
      </w:pPr>
    </w:p>
    <w:p w14:paraId="583D2116" w14:textId="77777777" w:rsidR="00A77B3E" w:rsidRDefault="00B724AE">
      <w:pPr>
        <w:spacing w:line="360" w:lineRule="auto"/>
        <w:jc w:val="both"/>
      </w:pPr>
      <w:r>
        <w:rPr>
          <w:rFonts w:ascii="Book Antiqua" w:eastAsia="Book Antiqua" w:hAnsi="Book Antiqua" w:cs="Book Antiqua"/>
          <w:b/>
          <w:caps/>
          <w:color w:val="000000"/>
          <w:u w:val="single"/>
        </w:rPr>
        <w:t>INTRODUCTION</w:t>
      </w:r>
    </w:p>
    <w:p w14:paraId="3C2B22C2" w14:textId="77777777" w:rsidR="00A77B3E" w:rsidRDefault="00B724AE">
      <w:pPr>
        <w:spacing w:line="360" w:lineRule="auto"/>
        <w:jc w:val="both"/>
      </w:pPr>
      <w:r>
        <w:rPr>
          <w:rFonts w:ascii="Book Antiqua" w:eastAsia="Book Antiqua" w:hAnsi="Book Antiqua" w:cs="Book Antiqua"/>
          <w:color w:val="000000"/>
        </w:rPr>
        <w:t xml:space="preserve">Inflammatory bowel disease (IBD) is a chronic, intermittent inflammatory disorder with an unstable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While the exact etiology of the disease is unknown, it is currently considered to be a complex interaction between genetics, environmental factors, </w:t>
      </w:r>
      <w:r>
        <w:rPr>
          <w:rFonts w:ascii="Book Antiqua" w:eastAsia="Book Antiqua" w:hAnsi="Book Antiqua" w:cs="Book Antiqua"/>
          <w:color w:val="000000"/>
        </w:rPr>
        <w:lastRenderedPageBreak/>
        <w:t xml:space="preserve">immunological disorders and microbial </w:t>
      </w:r>
      <w:proofErr w:type="gramStart"/>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Although the globally highest prevalence of IBD has been reported to be in Europe and North America, incidence in these regions appears to be stable or even on the decline. Yet it is important to stress that the incidence of IBD is rising in newly developing countries in Africa, South America and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phenotypical classification approach put forward by the Montreal Working Group in 2003 encompasses the forms and the extents of IBD and classifies them as ulcerative colitis (UC), Crohn´s disease (CD) and indeterminate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is well established that IBD has numerous extraintestinal manifestations which can affect the joints, eyes, kidneys, liver, skin, blood circulation and neurocognitive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there is an increased risk of ischemic heart disease that had been reported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Previous studies compared endothelial-dependent dilatation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reactive hyperemia and compared it to endothelial-independent dilatation elicited by sublingual isosorbide </w:t>
      </w:r>
      <w:proofErr w:type="spellStart"/>
      <w:r>
        <w:rPr>
          <w:rFonts w:ascii="Book Antiqua" w:eastAsia="Book Antiqua" w:hAnsi="Book Antiqua" w:cs="Book Antiqua"/>
          <w:color w:val="000000"/>
        </w:rPr>
        <w:t>dinatrate</w:t>
      </w:r>
      <w:proofErr w:type="spellEnd"/>
      <w:r>
        <w:rPr>
          <w:rFonts w:ascii="Book Antiqua" w:eastAsia="Book Antiqua" w:hAnsi="Book Antiqua" w:cs="Book Antiqua"/>
          <w:color w:val="000000"/>
        </w:rPr>
        <w:t xml:space="preserve"> in a set of UC patients with variable disease severity. The endothelial dependent dilatation was significantly worse in patients with severe UC compared to its milder forms. It can be assumed that the systemic inflammatory state evoked by IBD drives the impairment of endothelial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5DE1372E" w14:textId="34A148C1" w:rsidR="00A77B3E" w:rsidRDefault="00B724AE">
      <w:pPr>
        <w:spacing w:line="360" w:lineRule="auto"/>
        <w:ind w:firstLine="480"/>
        <w:jc w:val="both"/>
      </w:pP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(MGP) is a 12-kD</w:t>
      </w:r>
      <w:r w:rsidR="00D14A2F">
        <w:rPr>
          <w:rFonts w:ascii="Book Antiqua" w:eastAsia="Book Antiqua" w:hAnsi="Book Antiqua" w:cs="Book Antiqua"/>
          <w:color w:val="000000"/>
        </w:rPr>
        <w:t>a</w:t>
      </w:r>
      <w:r>
        <w:rPr>
          <w:rFonts w:ascii="Book Antiqua" w:eastAsia="Book Antiqua" w:hAnsi="Book Antiqua" w:cs="Book Antiqua"/>
          <w:color w:val="000000"/>
        </w:rPr>
        <w:t xml:space="preserve"> vitamin K–dependent extracellular matrix protein synthesized mostly by vascular smooth muscle cells and chondrocytes. With high binding affinity to hydroxyapatite crystals, it is considered as one of the most important biological agents in the prevention of vascular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Furthermore, increased levels of its inactive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form, designated as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have been associated with number of different cardiovascular consequences and complications, including endothelial dysfunction, retinal arteriolar narrowing, atherosclerosis, increased aortic stiffness, and higher overall cardiovascular, non-cancer and total mortality</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w:t>
      </w:r>
    </w:p>
    <w:p w14:paraId="240EBD39" w14:textId="77777777" w:rsidR="00A77B3E" w:rsidRDefault="00B724AE">
      <w:pPr>
        <w:spacing w:line="360" w:lineRule="auto"/>
        <w:ind w:firstLine="480"/>
        <w:jc w:val="both"/>
      </w:pPr>
      <w:r>
        <w:rPr>
          <w:rFonts w:ascii="Book Antiqua" w:eastAsia="Book Antiqua" w:hAnsi="Book Antiqua" w:cs="Book Antiqua"/>
          <w:color w:val="000000"/>
        </w:rPr>
        <w:t xml:space="preserve">However, aside from its cardiovascular importance, experimental studies indicate that MGP might be a novel important mediator of mesenchymal stromal cell-mediated immunomodulation in treating experimental Crohn´s disease in mice. In a recent experiment, lentiviral transfected short hairpin RNA (shRNA) targeting the MGP gene in </w:t>
      </w:r>
      <w:r>
        <w:rPr>
          <w:rFonts w:ascii="Book Antiqua" w:eastAsia="Book Antiqua" w:hAnsi="Book Antiqua" w:cs="Book Antiqua"/>
          <w:color w:val="000000"/>
        </w:rPr>
        <w:lastRenderedPageBreak/>
        <w:t>mesenchymal stromal cells (MSC) of mice was introduced, decreasing MGP secretion compared to insert-free mice. MSCs are known to inhibit the secretion mediated by T-cells of proinflammatory cytokines such as TNF-α and INF-γ. By comparing the inhibition proinflammatory cytokine secretion of T-cells in insert-free mice MSCs to the shRNA modified MSCs, it has been proposed that higher levels of MSC-derived MGP are likely to be the reason for suppressed cytokine production and a possible alleviation of experimental colitis in mice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47E018E" w14:textId="77777777" w:rsidR="00A77B3E" w:rsidRDefault="00B724AE">
      <w:pPr>
        <w:spacing w:line="360" w:lineRule="auto"/>
        <w:ind w:firstLine="480"/>
        <w:jc w:val="both"/>
      </w:pPr>
      <w:r>
        <w:rPr>
          <w:rFonts w:ascii="Book Antiqua" w:eastAsia="Book Antiqua" w:hAnsi="Book Antiqua" w:cs="Book Antiqua"/>
          <w:color w:val="000000"/>
        </w:rPr>
        <w:t xml:space="preserve">The possible immunomodulatory role of MGP and its inactive counterpart stresses the importance of further necessary research in this field. However, while experimental studies showed the potential that MGP could bring in managing IBD, clinical studies are still lacking. Therefore, the aim of this study was to investigate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 in comparison with the control group and evaluate the difference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between UC and CD patients. The additional goal was to investigate the association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the anthropometric, clinical and laboratory parameters. </w:t>
      </w:r>
    </w:p>
    <w:p w14:paraId="510E9A39" w14:textId="77777777" w:rsidR="00A77B3E" w:rsidRDefault="00A77B3E">
      <w:pPr>
        <w:spacing w:line="360" w:lineRule="auto"/>
        <w:ind w:firstLine="480"/>
        <w:jc w:val="both"/>
      </w:pPr>
    </w:p>
    <w:p w14:paraId="383F5D4A" w14:textId="77777777" w:rsidR="00A77B3E" w:rsidRDefault="00B724AE">
      <w:pPr>
        <w:spacing w:line="360" w:lineRule="auto"/>
        <w:jc w:val="both"/>
      </w:pPr>
      <w:r>
        <w:rPr>
          <w:rFonts w:ascii="Book Antiqua" w:eastAsia="Book Antiqua" w:hAnsi="Book Antiqua" w:cs="Book Antiqua"/>
          <w:b/>
          <w:caps/>
          <w:color w:val="000000"/>
          <w:u w:val="single"/>
        </w:rPr>
        <w:t>MATERIALS AND METHODS</w:t>
      </w:r>
    </w:p>
    <w:p w14:paraId="71EABEE4" w14:textId="77777777" w:rsidR="00A77B3E" w:rsidRDefault="00B724AE">
      <w:pPr>
        <w:spacing w:line="360" w:lineRule="auto"/>
        <w:jc w:val="both"/>
      </w:pPr>
      <w:r>
        <w:rPr>
          <w:rFonts w:ascii="Book Antiqua" w:eastAsia="Book Antiqua" w:hAnsi="Book Antiqua" w:cs="Book Antiqua"/>
          <w:b/>
          <w:bCs/>
          <w:i/>
          <w:iCs/>
          <w:color w:val="000000"/>
        </w:rPr>
        <w:t>Study design and ethical considerations</w:t>
      </w:r>
    </w:p>
    <w:p w14:paraId="55AA16F4" w14:textId="77777777" w:rsidR="00A77B3E" w:rsidRDefault="00B724AE">
      <w:pPr>
        <w:spacing w:line="360" w:lineRule="auto"/>
        <w:jc w:val="both"/>
      </w:pPr>
      <w:r>
        <w:rPr>
          <w:rFonts w:ascii="Book Antiqua" w:eastAsia="Book Antiqua" w:hAnsi="Book Antiqua" w:cs="Book Antiqua"/>
          <w:color w:val="000000"/>
        </w:rPr>
        <w:t>This cross-sectional study was performed at the University Hospital of Split during the period from 1 January 2018 to 1 September 2018.</w:t>
      </w:r>
    </w:p>
    <w:p w14:paraId="793F7EA8" w14:textId="77777777" w:rsidR="00A77B3E" w:rsidRDefault="00B724AE">
      <w:pPr>
        <w:spacing w:line="360" w:lineRule="auto"/>
        <w:ind w:firstLine="480"/>
        <w:jc w:val="both"/>
      </w:pPr>
      <w:r>
        <w:rPr>
          <w:rFonts w:ascii="Book Antiqua" w:eastAsia="Book Antiqua" w:hAnsi="Book Antiqua" w:cs="Book Antiqua"/>
          <w:color w:val="000000"/>
        </w:rPr>
        <w:t>The study was approved by the Ethics Committee of University Hospital of Split, and was conducted in accordance with all ethical principles of the Helsinki Declaration from 2013. Prior to the commencement of the study, every participant was informed about the procedures, course and purpose of this research, and they individually signed an informed written agreement.</w:t>
      </w:r>
    </w:p>
    <w:p w14:paraId="104E4660" w14:textId="77777777" w:rsidR="008A3E48" w:rsidRDefault="008A3E48">
      <w:pPr>
        <w:spacing w:line="360" w:lineRule="auto"/>
        <w:jc w:val="both"/>
        <w:rPr>
          <w:rFonts w:ascii="Book Antiqua" w:eastAsia="Book Antiqua" w:hAnsi="Book Antiqua" w:cs="Book Antiqua"/>
          <w:b/>
          <w:bCs/>
          <w:i/>
          <w:iCs/>
          <w:color w:val="000000"/>
        </w:rPr>
      </w:pPr>
    </w:p>
    <w:p w14:paraId="13EAE214" w14:textId="77777777" w:rsidR="00A77B3E" w:rsidRDefault="00B724AE">
      <w:pPr>
        <w:spacing w:line="360" w:lineRule="auto"/>
        <w:jc w:val="both"/>
      </w:pPr>
      <w:r>
        <w:rPr>
          <w:rFonts w:ascii="Book Antiqua" w:eastAsia="Book Antiqua" w:hAnsi="Book Antiqua" w:cs="Book Antiqua"/>
          <w:b/>
          <w:bCs/>
          <w:i/>
          <w:iCs/>
          <w:color w:val="000000"/>
        </w:rPr>
        <w:t>Subjects</w:t>
      </w:r>
    </w:p>
    <w:p w14:paraId="34EFD43C" w14:textId="77777777" w:rsidR="00A77B3E" w:rsidRDefault="00B724AE">
      <w:pPr>
        <w:spacing w:line="360" w:lineRule="auto"/>
        <w:jc w:val="both"/>
      </w:pPr>
      <w:r>
        <w:rPr>
          <w:rFonts w:ascii="Book Antiqua" w:eastAsia="Book Antiqua" w:hAnsi="Book Antiqua" w:cs="Book Antiqua"/>
          <w:color w:val="000000"/>
        </w:rPr>
        <w:t xml:space="preserve">The study included 70 adult patients with pre-diagnosed IBD (30 patients with ulcerative colitis and 40 patients with Crohn’s disease) and 60 healthy control subjects. IBD was </w:t>
      </w:r>
      <w:r>
        <w:rPr>
          <w:rFonts w:ascii="Book Antiqua" w:eastAsia="Book Antiqua" w:hAnsi="Book Antiqua" w:cs="Book Antiqua"/>
          <w:color w:val="000000"/>
        </w:rPr>
        <w:lastRenderedPageBreak/>
        <w:t>diagnosed in accordance with the European Consensus on Crohn's Disease and Ulcerative Colitis (ECCO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control group consisted of healthy volunteers, matched with the age and gender of the investigated group. Inclusion criteria for participation were: at least one year of disease duration and age between 18 and 65 years. Exclusion criteria were: malignancies; diabetes mellitus; chronic cardiovascular, renal, endocrine and pulmonary diseases; therapy with corticosteroids during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study onset. Detailed medical records of the control subjects were checked relating to gastrointestinal conditions and additional screening was performed regarding the presence of symptoms according to Rome IV criteria for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as well as any other indications which could suggest gluten and lactose intolerance. If any of these disorders were found, the subject was excluded from the control group.</w:t>
      </w:r>
    </w:p>
    <w:p w14:paraId="6FADD9C3" w14:textId="77777777" w:rsidR="00A77B3E" w:rsidRDefault="00A77B3E">
      <w:pPr>
        <w:spacing w:line="360" w:lineRule="auto"/>
        <w:jc w:val="both"/>
      </w:pPr>
    </w:p>
    <w:p w14:paraId="7B87F11E" w14:textId="77777777" w:rsidR="00A77B3E" w:rsidRDefault="00B724AE">
      <w:pPr>
        <w:spacing w:line="360" w:lineRule="auto"/>
        <w:jc w:val="both"/>
      </w:pPr>
      <w:r>
        <w:rPr>
          <w:rFonts w:ascii="Book Antiqua" w:eastAsia="Book Antiqua" w:hAnsi="Book Antiqua" w:cs="Book Antiqua"/>
          <w:b/>
          <w:bCs/>
          <w:i/>
          <w:iCs/>
          <w:color w:val="000000"/>
        </w:rPr>
        <w:t>Clinical and laboratory evaluation</w:t>
      </w:r>
    </w:p>
    <w:p w14:paraId="2939FFAA" w14:textId="77777777" w:rsidR="00A77B3E" w:rsidRDefault="00B724AE">
      <w:pPr>
        <w:spacing w:line="360" w:lineRule="auto"/>
        <w:jc w:val="both"/>
      </w:pPr>
      <w:r>
        <w:rPr>
          <w:rFonts w:ascii="Book Antiqua" w:eastAsia="Book Antiqua" w:hAnsi="Book Antiqua" w:cs="Book Antiqua"/>
          <w:color w:val="000000"/>
        </w:rPr>
        <w:t>All participants were subjected to detailed physical examination and measurements of anthropometric traits</w:t>
      </w:r>
      <w:r>
        <w:rPr>
          <w:rFonts w:ascii="Book Antiqua" w:eastAsia="Book Antiqua" w:hAnsi="Book Antiqua" w:cs="Book Antiqua"/>
          <w:b/>
          <w:bCs/>
          <w:color w:val="000000"/>
        </w:rPr>
        <w:t xml:space="preserve"> </w:t>
      </w:r>
      <w:r>
        <w:rPr>
          <w:rFonts w:ascii="Book Antiqua" w:eastAsia="Book Antiqua" w:hAnsi="Book Antiqua" w:cs="Book Antiqua"/>
          <w:color w:val="000000"/>
        </w:rPr>
        <w:t>while relevant clinical information was collected from patient’s medical records while anamnestic data were taken directly from all study participants.</w:t>
      </w:r>
    </w:p>
    <w:p w14:paraId="3111E8A9" w14:textId="25EE9C68" w:rsidR="00A77B3E" w:rsidRDefault="00B724AE">
      <w:pPr>
        <w:spacing w:line="360" w:lineRule="auto"/>
        <w:ind w:firstLine="480"/>
        <w:jc w:val="both"/>
      </w:pPr>
      <w:r>
        <w:rPr>
          <w:rFonts w:ascii="Book Antiqua" w:eastAsia="Book Antiqua" w:hAnsi="Book Antiqua" w:cs="Book Antiqua"/>
          <w:color w:val="000000"/>
        </w:rPr>
        <w:t xml:space="preserve">Disease severity was evaluated by the same experienced gastroenterologist according to the latest recommendations and the colonoscopy used for the assessment was performed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blood sampling. Disease activity in patients with UC was assessed using Ulcerative colitis endoscopic index of severity (UCEIS) while disease activity in patients with CD was assessed using Simple endoscopic score for Crohn’s disease (SES-</w:t>
      </w:r>
      <w:proofErr w:type="gramStart"/>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p>
    <w:p w14:paraId="17177550" w14:textId="073C9FB3" w:rsidR="00A77B3E" w:rsidRDefault="00B724AE">
      <w:pPr>
        <w:spacing w:line="360" w:lineRule="auto"/>
        <w:ind w:firstLine="480"/>
        <w:jc w:val="both"/>
      </w:pPr>
      <w:r>
        <w:rPr>
          <w:rFonts w:ascii="Book Antiqua" w:eastAsia="Book Antiqua" w:hAnsi="Book Antiqua" w:cs="Book Antiqua"/>
          <w:color w:val="000000"/>
        </w:rPr>
        <w:t>UCEIS is a grading system used for scoring mucosal inflammation based on the specific endoscopic findings. Three parameters are graded: vascular pattern; bleeding; erosions and ulcers. Depending on the score there are four possible grades for disease activity: ≤ 1 remission; 2</w:t>
      </w:r>
      <w:r w:rsidR="008A3E48">
        <w:rPr>
          <w:rFonts w:ascii="Book Antiqua" w:eastAsia="Book Antiqua" w:hAnsi="Book Antiqua" w:cs="Book Antiqua"/>
          <w:color w:val="000000"/>
        </w:rPr>
        <w:t>-</w:t>
      </w:r>
      <w:r>
        <w:rPr>
          <w:rFonts w:ascii="Book Antiqua" w:eastAsia="Book Antiqua" w:hAnsi="Book Antiqua" w:cs="Book Antiqua"/>
          <w:color w:val="000000"/>
        </w:rPr>
        <w:t>4 mild activity; 5</w:t>
      </w:r>
      <w:r w:rsidR="008A3E48">
        <w:rPr>
          <w:rFonts w:ascii="Book Antiqua" w:eastAsia="Book Antiqua" w:hAnsi="Book Antiqua" w:cs="Book Antiqua"/>
          <w:color w:val="000000"/>
        </w:rPr>
        <w:t>-</w:t>
      </w:r>
      <w:r>
        <w:rPr>
          <w:rFonts w:ascii="Book Antiqua" w:eastAsia="Book Antiqua" w:hAnsi="Book Antiqua" w:cs="Book Antiqua"/>
          <w:color w:val="000000"/>
        </w:rPr>
        <w:t xml:space="preserve">6 moderate activity; and ≥ 7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9FC3056" w14:textId="051EED80" w:rsidR="00A77B3E" w:rsidRDefault="00B724AE">
      <w:pPr>
        <w:spacing w:line="360" w:lineRule="auto"/>
        <w:ind w:firstLine="480"/>
        <w:jc w:val="both"/>
      </w:pPr>
      <w:r>
        <w:rPr>
          <w:rFonts w:ascii="Book Antiqua" w:eastAsia="Book Antiqua" w:hAnsi="Book Antiqua" w:cs="Book Antiqua"/>
          <w:color w:val="000000"/>
        </w:rPr>
        <w:t xml:space="preserve">SES-CD is a grading system used for endoscopic evaluation of CD activity based on four parameters: ulcers; extent of affected surface; extent of ulcerated surface; presence and type of narrowing. According to the majority of studies the threshold values for </w:t>
      </w:r>
      <w:r>
        <w:rPr>
          <w:rFonts w:ascii="Book Antiqua" w:eastAsia="Book Antiqua" w:hAnsi="Book Antiqua" w:cs="Book Antiqua"/>
          <w:color w:val="000000"/>
        </w:rPr>
        <w:lastRenderedPageBreak/>
        <w:t>interpretation of the results are: ≤ 2 remission; 3</w:t>
      </w:r>
      <w:r w:rsidR="008A3E48">
        <w:rPr>
          <w:rFonts w:ascii="Book Antiqua" w:eastAsia="Book Antiqua" w:hAnsi="Book Antiqua" w:cs="Book Antiqua"/>
          <w:color w:val="000000"/>
        </w:rPr>
        <w:t>-</w:t>
      </w:r>
      <w:r>
        <w:rPr>
          <w:rFonts w:ascii="Book Antiqua" w:eastAsia="Book Antiqua" w:hAnsi="Book Antiqua" w:cs="Book Antiqua"/>
          <w:color w:val="000000"/>
        </w:rPr>
        <w:t>7 mild activity; 7</w:t>
      </w:r>
      <w:r w:rsidR="008A3E48">
        <w:rPr>
          <w:rFonts w:ascii="Book Antiqua" w:eastAsia="Book Antiqua" w:hAnsi="Book Antiqua" w:cs="Book Antiqua"/>
          <w:color w:val="000000"/>
        </w:rPr>
        <w:t>-</w:t>
      </w:r>
      <w:r>
        <w:rPr>
          <w:rFonts w:ascii="Book Antiqua" w:eastAsia="Book Antiqua" w:hAnsi="Book Antiqua" w:cs="Book Antiqua"/>
          <w:color w:val="000000"/>
        </w:rPr>
        <w:t xml:space="preserve">15 moderate activity; and ≥ 16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5AD74EDF" w14:textId="724430EA" w:rsidR="00A77B3E" w:rsidRDefault="00B724AE">
      <w:pPr>
        <w:spacing w:line="360" w:lineRule="auto"/>
        <w:ind w:firstLine="480"/>
        <w:jc w:val="both"/>
      </w:pPr>
      <w:r>
        <w:rPr>
          <w:rFonts w:ascii="Book Antiqua" w:eastAsia="Book Antiqua" w:hAnsi="Book Antiqua" w:cs="Book Antiqua"/>
          <w:color w:val="000000"/>
        </w:rPr>
        <w:t>Blood samples were collected after 12-h fasting in test tubes with anticoagulant and after extraction were centrifuged and stored a</w:t>
      </w:r>
      <w:r w:rsidR="008A3E48">
        <w:rPr>
          <w:rFonts w:ascii="Book Antiqua" w:eastAsia="Book Antiqua" w:hAnsi="Book Antiqua" w:cs="Book Antiqua"/>
          <w:color w:val="000000"/>
        </w:rPr>
        <w:t>t -80 °</w:t>
      </w:r>
      <w:r>
        <w:rPr>
          <w:rFonts w:ascii="Book Antiqua" w:eastAsia="Book Antiqua" w:hAnsi="Book Antiqua" w:cs="Book Antiqua"/>
          <w:color w:val="000000"/>
        </w:rPr>
        <w:t xml:space="preserve">C for further analysis. Blood samples were handled by the same, qualified medical biochemist, who was blinded to the subject’s group in the study.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according to the manufacturer's instructions. Minimum limit of detection was 200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Intra-assay coefficient of variability (CV) was 4.5% and inter-assay CV of 7.9%. Plasma high sensitivity C-reactive protein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levels were determined using a latex turbidimetric method (Abbott Laboratories, Chicago, USA).</w:t>
      </w:r>
    </w:p>
    <w:p w14:paraId="10F9B621" w14:textId="283B3174" w:rsidR="00A77B3E" w:rsidRDefault="00B724AE">
      <w:pPr>
        <w:spacing w:line="360" w:lineRule="auto"/>
        <w:ind w:firstLine="480"/>
        <w:jc w:val="both"/>
      </w:pPr>
      <w:r>
        <w:rPr>
          <w:rFonts w:ascii="Book Antiqua" w:eastAsia="Book Antiqua" w:hAnsi="Book Antiqua" w:cs="Book Antiqua"/>
          <w:color w:val="000000"/>
        </w:rPr>
        <w:t xml:space="preserve">Stool samples were collected within 3 d of sampling. FC levels were determined by turbidimetric immunoassay method using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w:t>
      </w:r>
      <w:r w:rsidR="00F53485">
        <w:rPr>
          <w:rFonts w:ascii="Book Antiqua" w:eastAsia="Book Antiqua" w:hAnsi="Book Antiqua" w:cs="Book Antiqua"/>
          <w:color w:val="000000"/>
        </w:rPr>
        <w:t xml:space="preserve">fecal calprotectin </w:t>
      </w:r>
      <w:r>
        <w:rPr>
          <w:rFonts w:ascii="Book Antiqua" w:eastAsia="Book Antiqua" w:hAnsi="Book Antiqua" w:cs="Book Antiqua"/>
          <w:color w:val="000000"/>
        </w:rPr>
        <w:t>turbo assay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Laboratories </w:t>
      </w:r>
      <w:proofErr w:type="spellStart"/>
      <w:r w:rsidR="00F53485">
        <w:rPr>
          <w:rFonts w:ascii="Book Antiqua" w:eastAsia="Book Antiqua" w:hAnsi="Book Antiqua" w:cs="Book Antiqua"/>
          <w:color w:val="000000"/>
        </w:rPr>
        <w:t>Aktiengesellschaft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Schonenbuch</w:t>
      </w:r>
      <w:proofErr w:type="spellEnd"/>
      <w:r>
        <w:rPr>
          <w:rFonts w:ascii="Book Antiqua" w:eastAsia="Book Antiqua" w:hAnsi="Book Antiqua" w:cs="Book Antiqua"/>
          <w:color w:val="000000"/>
        </w:rPr>
        <w:t>, Switzerland)</w:t>
      </w:r>
      <w:r>
        <w:rPr>
          <w:rFonts w:ascii="Book Antiqua" w:eastAsia="Book Antiqua" w:hAnsi="Book Antiqua" w:cs="Book Antiqua"/>
          <w:b/>
          <w:bCs/>
          <w:color w:val="000000"/>
        </w:rPr>
        <w:t>.</w:t>
      </w:r>
    </w:p>
    <w:p w14:paraId="56CCBFCB" w14:textId="77777777" w:rsidR="00A77B3E" w:rsidRDefault="00A77B3E">
      <w:pPr>
        <w:spacing w:line="360" w:lineRule="auto"/>
        <w:ind w:firstLine="480"/>
        <w:jc w:val="both"/>
      </w:pPr>
    </w:p>
    <w:p w14:paraId="07E6A43E" w14:textId="77777777" w:rsidR="00A77B3E" w:rsidRDefault="00B724AE">
      <w:pPr>
        <w:spacing w:line="360" w:lineRule="auto"/>
        <w:jc w:val="both"/>
      </w:pPr>
      <w:r>
        <w:rPr>
          <w:rFonts w:ascii="Book Antiqua" w:eastAsia="Book Antiqua" w:hAnsi="Book Antiqua" w:cs="Book Antiqua"/>
          <w:b/>
          <w:bCs/>
          <w:i/>
          <w:iCs/>
          <w:color w:val="000000"/>
        </w:rPr>
        <w:t>Statistical analysis</w:t>
      </w:r>
    </w:p>
    <w:p w14:paraId="36379BAA" w14:textId="77777777" w:rsidR="00A77B3E" w:rsidRDefault="00B724AE">
      <w:pPr>
        <w:spacing w:line="360" w:lineRule="auto"/>
        <w:jc w:val="both"/>
      </w:pPr>
      <w:r>
        <w:rPr>
          <w:rFonts w:ascii="Book Antiqua" w:eastAsia="Book Antiqua" w:hAnsi="Book Antiqua" w:cs="Book Antiqua"/>
          <w:color w:val="000000"/>
        </w:rPr>
        <w:t xml:space="preserve">Statistical analysis was performed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for Microsoft Windows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Ostend, Belgium, version 17.4.1). Data distribution was analyzed with D'Agostino-Pearson test, and according to results quantitative data was expressed as mean ± standard deviation or median and interquartile range. Qualitative data was expressed as whole number and percentage, with Chi-squared test used for comparison between such variables. Comparison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and anthropometrics between groups was performed with t-test for independent samples, while Mann-Whitney U test was used to test differences in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concentrations between IBD and control group. Correlation analysis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FC, disease duration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was estimated with Spearman rank correlation, while Pearson’s correlation coefficient was used to test association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and age, BMI and waist circumference. Furthermore, multiple linear regression analysis adjusted for age and anthropometric measurements was used to determine significant independent predictors of plasma </w:t>
      </w:r>
      <w:proofErr w:type="spellStart"/>
      <w:r>
        <w:rPr>
          <w:rFonts w:ascii="Book Antiqua" w:eastAsia="Book Antiqua" w:hAnsi="Book Antiqua" w:cs="Book Antiqua"/>
          <w:color w:val="000000"/>
        </w:rPr>
        <w:t>dp-</w:t>
      </w:r>
      <w:r>
        <w:rPr>
          <w:rFonts w:ascii="Book Antiqua" w:eastAsia="Book Antiqua" w:hAnsi="Book Antiqua" w:cs="Book Antiqua"/>
          <w:color w:val="000000"/>
        </w:rPr>
        <w:lastRenderedPageBreak/>
        <w:t>ucMGP</w:t>
      </w:r>
      <w:proofErr w:type="spellEnd"/>
      <w:r>
        <w:rPr>
          <w:rFonts w:ascii="Book Antiqua" w:eastAsia="Book Antiqua" w:hAnsi="Book Antiqua" w:cs="Book Antiqua"/>
          <w:color w:val="000000"/>
        </w:rPr>
        <w:t xml:space="preserve"> levels. From these analyses, we reported respective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with unstandardized β-coefficients, standard error and t-values. In addition, independent predictors for positive IBD status were analyzed with multivariable logistic regression, with OR (odds ratio), 95% CI (95% confidence interval) and </w:t>
      </w:r>
      <w:r>
        <w:rPr>
          <w:rFonts w:ascii="Book Antiqua" w:eastAsia="Book Antiqua" w:hAnsi="Book Antiqua" w:cs="Book Antiqua"/>
          <w:i/>
          <w:iCs/>
          <w:color w:val="000000"/>
        </w:rPr>
        <w:t>P</w:t>
      </w:r>
      <w:r>
        <w:rPr>
          <w:rFonts w:ascii="Book Antiqua" w:eastAsia="Book Antiqua" w:hAnsi="Book Antiqua" w:cs="Book Antiqua"/>
          <w:color w:val="000000"/>
        </w:rPr>
        <w:t xml:space="preserve">-value reported. Finally, FC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concentrations were divided into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and according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calculated and compared using one-way ANOVA with </w:t>
      </w:r>
      <w:r>
        <w:rPr>
          <w:rFonts w:ascii="Book Antiqua" w:eastAsia="Book Antiqua" w:hAnsi="Book Antiqua" w:cs="Book Antiqua"/>
          <w:i/>
          <w:iCs/>
          <w:color w:val="000000"/>
        </w:rPr>
        <w:t xml:space="preserve">post hoc </w:t>
      </w:r>
      <w:proofErr w:type="spellStart"/>
      <w:r>
        <w:rPr>
          <w:rFonts w:ascii="Book Antiqua" w:eastAsia="Book Antiqua" w:hAnsi="Book Antiqua" w:cs="Book Antiqua"/>
          <w:color w:val="000000"/>
        </w:rPr>
        <w:t>Sceffé</w:t>
      </w:r>
      <w:proofErr w:type="spellEnd"/>
      <w:r>
        <w:rPr>
          <w:rFonts w:ascii="Book Antiqua" w:eastAsia="Book Antiqua" w:hAnsi="Book Antiqua" w:cs="Book Antiqua"/>
          <w:color w:val="000000"/>
        </w:rPr>
        <w:t xml:space="preserve"> test.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-value &lt; 0.05.</w:t>
      </w:r>
    </w:p>
    <w:p w14:paraId="0E5BAAFE" w14:textId="77777777" w:rsidR="00A77B3E" w:rsidRDefault="00A77B3E">
      <w:pPr>
        <w:spacing w:line="360" w:lineRule="auto"/>
        <w:jc w:val="both"/>
      </w:pPr>
    </w:p>
    <w:p w14:paraId="6DBB8AC4" w14:textId="77777777" w:rsidR="00A77B3E" w:rsidRDefault="00B724AE">
      <w:pPr>
        <w:spacing w:line="360" w:lineRule="auto"/>
        <w:jc w:val="both"/>
      </w:pPr>
      <w:r>
        <w:rPr>
          <w:rFonts w:ascii="Book Antiqua" w:eastAsia="Book Antiqua" w:hAnsi="Book Antiqua" w:cs="Book Antiqua"/>
          <w:b/>
          <w:caps/>
          <w:color w:val="000000"/>
          <w:u w:val="single"/>
        </w:rPr>
        <w:t>RESULTS</w:t>
      </w:r>
    </w:p>
    <w:p w14:paraId="4EC77FC2" w14:textId="74A5B3E0" w:rsidR="00A77B3E" w:rsidRDefault="00B724AE">
      <w:pPr>
        <w:spacing w:line="360" w:lineRule="auto"/>
        <w:jc w:val="both"/>
      </w:pPr>
      <w:r>
        <w:rPr>
          <w:rFonts w:ascii="Book Antiqua" w:eastAsia="Book Antiqua" w:hAnsi="Book Antiqua" w:cs="Book Antiqua"/>
          <w:color w:val="000000"/>
        </w:rPr>
        <w:t>There was no statistically significant difference regarding age, gender and anthropometric features between the patients with IBD and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for all analysis) (Table 1). Endoscopic scores determined that 8 patients were in remission, 9 had mild disease, 33 moderate and 20 severe form of disease. Laboratory analysis showed significantly higher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in IBD patients compared to the control group </w:t>
      </w:r>
      <w:r w:rsidR="008A3E48">
        <w:rPr>
          <w:rFonts w:ascii="Book Antiqua" w:eastAsia="Book Antiqua" w:hAnsi="Book Antiqua" w:cs="Book Antiqua"/>
          <w:color w:val="000000"/>
        </w:rPr>
        <w:t>[</w:t>
      </w:r>
      <w:r>
        <w:rPr>
          <w:rFonts w:ascii="Book Antiqua" w:eastAsia="Book Antiqua" w:hAnsi="Book Antiqua" w:cs="Book Antiqua"/>
          <w:color w:val="000000"/>
        </w:rPr>
        <w:t xml:space="preserve">2.65 (1.0-7.8) </w:t>
      </w:r>
      <w:r w:rsidR="008A3E48">
        <w:rPr>
          <w:rFonts w:ascii="Book Antiqua" w:eastAsia="Book Antiqua" w:hAnsi="Book Antiqua" w:cs="Book Antiqua"/>
          <w:color w:val="000000"/>
        </w:rPr>
        <w:t>mg/L</w:t>
      </w:r>
      <w:r w:rsidR="008A3E48">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0.75 (0.4-1.75) mg/L,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8A3E48">
        <w:rPr>
          <w:rFonts w:ascii="Book Antiqua" w:eastAsia="Book Antiqua" w:hAnsi="Book Antiqua" w:cs="Book Antiqua"/>
          <w:color w:val="000000"/>
        </w:rPr>
        <w:t>]</w:t>
      </w:r>
      <w:r>
        <w:rPr>
          <w:rFonts w:ascii="Book Antiqua" w:eastAsia="Book Antiqua" w:hAnsi="Book Antiqua" w:cs="Book Antiqua"/>
          <w:color w:val="000000"/>
        </w:rPr>
        <w:t xml:space="preserve"> (Table 1).</w:t>
      </w:r>
    </w:p>
    <w:p w14:paraId="567D075F" w14:textId="40D911C7" w:rsidR="00A77B3E" w:rsidRDefault="00B724AE">
      <w:pPr>
        <w:spacing w:line="360" w:lineRule="auto"/>
        <w:ind w:firstLine="480"/>
        <w:jc w:val="both"/>
      </w:pP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significantly higher in patients with IBD compared with the control group (629.83 ± 124.20 </w:t>
      </w:r>
      <w:proofErr w:type="spellStart"/>
      <w:r w:rsidR="000251B3">
        <w:rPr>
          <w:rFonts w:ascii="Book Antiqua" w:eastAsia="Book Antiqua" w:hAnsi="Book Antiqua" w:cs="Book Antiqua"/>
          <w:color w:val="000000"/>
        </w:rPr>
        <w:t>pmol</w:t>
      </w:r>
      <w:proofErr w:type="spellEnd"/>
      <w:r w:rsidR="000251B3">
        <w:rPr>
          <w:rFonts w:ascii="Book Antiqua" w:eastAsia="Book Antiqua" w:hAnsi="Book Antiqua" w:cs="Book Antiqua"/>
          <w:color w:val="000000"/>
        </w:rPr>
        <w:t>/mL</w:t>
      </w:r>
      <w:r w:rsidR="000251B3">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546.7 ± 122.09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CD and patients with UC (640.02 ± 131.88 </w:t>
      </w:r>
      <w:proofErr w:type="spellStart"/>
      <w:r w:rsidR="000251B3">
        <w:rPr>
          <w:rFonts w:ascii="Book Antiqua" w:eastAsia="Book Antiqua" w:hAnsi="Book Antiqua" w:cs="Book Antiqua"/>
          <w:color w:val="000000"/>
        </w:rPr>
        <w:t>pmol</w:t>
      </w:r>
      <w:proofErr w:type="spellEnd"/>
      <w:r w:rsidR="000251B3">
        <w:rPr>
          <w:rFonts w:ascii="Book Antiqua" w:eastAsia="Book Antiqua" w:hAnsi="Book Antiqua" w:cs="Book Antiqua"/>
          <w:color w:val="000000"/>
        </w:rPr>
        <w:t>/mL</w:t>
      </w:r>
      <w:r w:rsidR="000251B3">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616.23 ± 113.92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(Figure 1).</w:t>
      </w:r>
    </w:p>
    <w:p w14:paraId="1590B5CF" w14:textId="77777777" w:rsidR="00A77B3E" w:rsidRDefault="00B724AE">
      <w:pPr>
        <w:spacing w:line="360" w:lineRule="auto"/>
        <w:ind w:firstLine="480"/>
        <w:jc w:val="both"/>
      </w:pPr>
      <w:r>
        <w:rPr>
          <w:rFonts w:ascii="Book Antiqua" w:eastAsia="Book Antiqua" w:hAnsi="Book Antiqua" w:cs="Book Antiqua"/>
          <w:color w:val="000000"/>
        </w:rPr>
        <w:t xml:space="preserve">A significant positive correlation was found in patients with IBD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fecal calprotectin (FC) levels (</w:t>
      </w:r>
      <w:r w:rsidRPr="002D06B8">
        <w:rPr>
          <w:rFonts w:ascii="Book Antiqua" w:eastAsia="Book Antiqua" w:hAnsi="Book Antiqua" w:cs="Book Antiqua"/>
          <w:i/>
          <w:color w:val="000000"/>
        </w:rPr>
        <w:t>r</w:t>
      </w:r>
      <w:r>
        <w:rPr>
          <w:rFonts w:ascii="Book Antiqua" w:eastAsia="Book Antiqua" w:hAnsi="Book Antiqua" w:cs="Book Antiqua"/>
          <w:color w:val="000000"/>
        </w:rPr>
        <w:t xml:space="preserve"> = 0.396,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but there was no significant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the disease duration (</w:t>
      </w:r>
      <w:r w:rsidRPr="00E97701">
        <w:rPr>
          <w:rFonts w:ascii="Book Antiqua" w:eastAsia="Book Antiqua" w:hAnsi="Book Antiqua" w:cs="Book Antiqua"/>
          <w:i/>
          <w:color w:val="000000"/>
        </w:rPr>
        <w:t xml:space="preserve">r </w:t>
      </w:r>
      <w:r>
        <w:rPr>
          <w:rFonts w:ascii="Book Antiqua" w:eastAsia="Book Antiqua" w:hAnsi="Book Antiqua" w:cs="Book Antiqua"/>
          <w:color w:val="000000"/>
        </w:rPr>
        <w:t xml:space="preserve">= -0.190, </w:t>
      </w:r>
      <w:r>
        <w:rPr>
          <w:rFonts w:ascii="Book Antiqua" w:eastAsia="Book Antiqua" w:hAnsi="Book Antiqua" w:cs="Book Antiqua"/>
          <w:i/>
          <w:iCs/>
          <w:color w:val="000000"/>
        </w:rPr>
        <w:t>P</w:t>
      </w:r>
      <w:r>
        <w:rPr>
          <w:rFonts w:ascii="Book Antiqua" w:eastAsia="Book Antiqua" w:hAnsi="Book Antiqua" w:cs="Book Antiqua"/>
          <w:color w:val="000000"/>
        </w:rPr>
        <w:t xml:space="preserve"> = 0.115) (Figure 2). Moreover, in the total study population a significant positive correlation was found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r w:rsidRPr="002D06B8">
        <w:rPr>
          <w:rFonts w:ascii="Book Antiqua" w:eastAsia="Book Antiqua" w:hAnsi="Book Antiqua" w:cs="Book Antiqua"/>
          <w:i/>
          <w:color w:val="000000"/>
        </w:rPr>
        <w:t>r</w:t>
      </w:r>
      <w:r>
        <w:rPr>
          <w:rFonts w:ascii="Book Antiqua" w:eastAsia="Book Antiqua" w:hAnsi="Book Antiqua" w:cs="Book Antiqua"/>
          <w:color w:val="000000"/>
        </w:rPr>
        <w:t xml:space="preserve"> = 0.477,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w:t>
      </w:r>
      <w:r w:rsidRPr="00E97701">
        <w:rPr>
          <w:rFonts w:ascii="Book Antiqua" w:eastAsia="Book Antiqua" w:hAnsi="Book Antiqua" w:cs="Book Antiqua"/>
          <w:i/>
          <w:color w:val="000000"/>
        </w:rPr>
        <w:t>r</w:t>
      </w:r>
      <w:r>
        <w:rPr>
          <w:rFonts w:ascii="Book Antiqua" w:eastAsia="Book Antiqua" w:hAnsi="Book Antiqua" w:cs="Book Antiqua"/>
          <w:color w:val="000000"/>
        </w:rPr>
        <w:t xml:space="preserve"> = 0.210,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waist circumference (</w:t>
      </w:r>
      <w:r w:rsidRPr="00653373">
        <w:rPr>
          <w:rFonts w:ascii="Book Antiqua" w:eastAsia="Book Antiqua" w:hAnsi="Book Antiqua" w:cs="Book Antiqua"/>
          <w:i/>
          <w:color w:val="000000"/>
        </w:rPr>
        <w:t>r</w:t>
      </w:r>
      <w:r>
        <w:rPr>
          <w:rFonts w:ascii="Book Antiqua" w:eastAsia="Book Antiqua" w:hAnsi="Book Antiqua" w:cs="Book Antiqua"/>
          <w:color w:val="000000"/>
        </w:rPr>
        <w:t xml:space="preserve"> = 0.264,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3).</w:t>
      </w:r>
    </w:p>
    <w:p w14:paraId="6B9B880F" w14:textId="77777777" w:rsidR="00A77B3E" w:rsidRDefault="00B724AE">
      <w:pPr>
        <w:spacing w:line="360" w:lineRule="auto"/>
        <w:ind w:firstLine="480"/>
        <w:jc w:val="both"/>
      </w:pPr>
      <w:r>
        <w:rPr>
          <w:rFonts w:ascii="Book Antiqua" w:eastAsia="Book Antiqua" w:hAnsi="Book Antiqua" w:cs="Book Antiqua"/>
          <w:color w:val="000000"/>
        </w:rPr>
        <w:t xml:space="preserve">Comparison of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in patients with IBD (F-ratio = 11.22,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showed a significantly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plasma levels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both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 Moreover, comparison of FC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in patients with IBD (F-ratio = 7.81,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also showed a significantly higher levels of plasma </w:t>
      </w:r>
      <w:proofErr w:type="spellStart"/>
      <w:r>
        <w:rPr>
          <w:rFonts w:ascii="Book Antiqua" w:eastAsia="Book Antiqua" w:hAnsi="Book Antiqua" w:cs="Book Antiqua"/>
          <w:color w:val="000000"/>
        </w:rPr>
        <w:lastRenderedPageBreak/>
        <w:t>dp-ucMGP</w:t>
      </w:r>
      <w:proofErr w:type="spellEnd"/>
      <w:r>
        <w:rPr>
          <w:rFonts w:ascii="Book Antiqua" w:eastAsia="Book Antiqua" w:hAnsi="Book Antiqua" w:cs="Book Antiqua"/>
          <w:color w:val="000000"/>
        </w:rPr>
        <w:t xml:space="preserve">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both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48BF9AB0" w14:textId="5314F3F8" w:rsidR="00A77B3E" w:rsidRDefault="00B724AE">
      <w:pPr>
        <w:spacing w:line="360" w:lineRule="auto"/>
        <w:ind w:firstLine="480"/>
        <w:jc w:val="both"/>
      </w:pPr>
      <w:r>
        <w:rPr>
          <w:rFonts w:ascii="Book Antiqua" w:eastAsia="Book Antiqua" w:hAnsi="Book Antiqua" w:cs="Book Antiqua"/>
          <w:color w:val="000000"/>
        </w:rPr>
        <w:t xml:space="preserve">Multiple linear regression analysis showed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retained significant association with FC (β ± SE, 0.06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waist circumference (4.35 ± 1.72,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after model adjustment for BMI, age and disease duration, with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as a dependent variable (Table 2). Furthermore, multivariable logistic regression showed that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was a significant predictor of positive IBD status when computed along with baseline</w:t>
      </w:r>
      <w:r w:rsidR="00EB7976">
        <w:rPr>
          <w:rFonts w:ascii="Book Antiqua" w:eastAsia="Book Antiqua" w:hAnsi="Book Antiqua" w:cs="Book Antiqua"/>
          <w:color w:val="000000"/>
        </w:rPr>
        <w:t xml:space="preserve"> characteristics (OR 1.006, 95%</w:t>
      </w:r>
      <w:r>
        <w:rPr>
          <w:rFonts w:ascii="Book Antiqua" w:eastAsia="Book Antiqua" w:hAnsi="Book Antiqua" w:cs="Book Antiqua"/>
          <w:color w:val="000000"/>
        </w:rPr>
        <w:t>CI</w:t>
      </w:r>
      <w:r w:rsidR="00EB7976">
        <w:rPr>
          <w:rFonts w:ascii="Book Antiqua" w:eastAsia="Book Antiqua" w:hAnsi="Book Antiqua" w:cs="Book Antiqua"/>
          <w:color w:val="000000"/>
        </w:rPr>
        <w:t>:</w:t>
      </w:r>
      <w:r>
        <w:rPr>
          <w:rFonts w:ascii="Book Antiqua" w:eastAsia="Book Antiqua" w:hAnsi="Book Antiqua" w:cs="Book Antiqua"/>
          <w:color w:val="000000"/>
        </w:rPr>
        <w:t xml:space="preserve"> 1.002-1.009,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There was no significant difference in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between patients with IBD who are using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and those who are not using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(621.37 ± 115.03 </w:t>
      </w:r>
      <w:proofErr w:type="spellStart"/>
      <w:r w:rsidR="00EB7976">
        <w:rPr>
          <w:rFonts w:ascii="Book Antiqua" w:eastAsia="Book Antiqua" w:hAnsi="Book Antiqua" w:cs="Book Antiqua"/>
          <w:color w:val="000000"/>
        </w:rPr>
        <w:t>pmol</w:t>
      </w:r>
      <w:proofErr w:type="spellEnd"/>
      <w:r w:rsidR="00EB7976">
        <w:rPr>
          <w:rFonts w:ascii="Book Antiqua" w:eastAsia="Book Antiqua" w:hAnsi="Book Antiqua" w:cs="Book Antiqua"/>
          <w:color w:val="000000"/>
        </w:rPr>
        <w:t>/L</w:t>
      </w:r>
      <w:r w:rsidR="00EB7976">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648.27 ± 143.36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Book Antiqua" w:hAnsi="Book Antiqua" w:cs="Book Antiqua"/>
          <w:color w:val="000000"/>
        </w:rPr>
        <w:t xml:space="preserve"> = 0.404).</w:t>
      </w:r>
    </w:p>
    <w:p w14:paraId="799E39DC" w14:textId="77777777" w:rsidR="00A77B3E" w:rsidRDefault="00A77B3E">
      <w:pPr>
        <w:spacing w:line="360" w:lineRule="auto"/>
        <w:ind w:firstLine="480"/>
        <w:jc w:val="both"/>
      </w:pPr>
    </w:p>
    <w:p w14:paraId="461EAAA7" w14:textId="77777777" w:rsidR="00A77B3E" w:rsidRDefault="00B724AE">
      <w:pPr>
        <w:spacing w:line="360" w:lineRule="auto"/>
        <w:jc w:val="both"/>
      </w:pPr>
      <w:r>
        <w:rPr>
          <w:rFonts w:ascii="Book Antiqua" w:eastAsia="Book Antiqua" w:hAnsi="Book Antiqua" w:cs="Book Antiqua"/>
          <w:b/>
          <w:caps/>
          <w:color w:val="000000"/>
          <w:u w:val="single"/>
        </w:rPr>
        <w:t>DISCUSSION</w:t>
      </w:r>
    </w:p>
    <w:p w14:paraId="21859AB7" w14:textId="77777777" w:rsidR="00A77B3E" w:rsidRDefault="00B724AE">
      <w:pPr>
        <w:spacing w:line="360" w:lineRule="auto"/>
        <w:jc w:val="both"/>
      </w:pPr>
      <w:r>
        <w:rPr>
          <w:rFonts w:ascii="Book Antiqua" w:eastAsia="Book Antiqua" w:hAnsi="Book Antiqua" w:cs="Book Antiqua"/>
          <w:color w:val="000000"/>
        </w:rPr>
        <w:t xml:space="preserve">This cross-sectional study showed that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are significantly higher in patients with IBD compared to the healthy control group, while there was no significant difference between UC and CD patients. Furthermore, there was a significant positive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both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and FC levels. As far as we know, this is the first clinical study that investigated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w:t>
      </w:r>
    </w:p>
    <w:p w14:paraId="1D8D345A" w14:textId="77777777" w:rsidR="00A77B3E" w:rsidRDefault="00B724AE">
      <w:pPr>
        <w:spacing w:line="360" w:lineRule="auto"/>
        <w:ind w:firstLine="480"/>
        <w:jc w:val="both"/>
      </w:pPr>
      <w:r>
        <w:rPr>
          <w:rFonts w:ascii="Book Antiqua" w:eastAsia="Book Antiqua" w:hAnsi="Book Antiqua" w:cs="Book Antiqua"/>
          <w:color w:val="000000"/>
        </w:rPr>
        <w:t xml:space="preserve">Given results are in line with the outcomes of a recent study conducted on human patients with UC and on mice with dextran sulfate sodium (DSS) 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They showed that MGP mRNA levels are significantly higher in both UC patients and DSS-induced colitis mice compared to their control groups. Additionally, they showed that the expression of MGP mRNA increases with the disease severity while patients in remission had a similar MGP mRNA expression as the healthy controls. Feng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their study conducted on MSC reported an immunomodulatory effect of MGP by showing that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MGP reduces proliferation and production of proinflammatory cytokines in T-</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Furthermore, by using mouse models with experimentally induced colitis, they compared results from intraperitoneal injection of MSC with </w:t>
      </w:r>
      <w:r>
        <w:rPr>
          <w:rFonts w:ascii="Book Antiqua" w:eastAsia="Book Antiqua" w:hAnsi="Book Antiqua" w:cs="Book Antiqua"/>
          <w:color w:val="000000"/>
        </w:rPr>
        <w:lastRenderedPageBreak/>
        <w:t>knockout MGP and those with insert free MSC. The results showed that MGP improved the clinical and histopathological severity of colonic inflammation, alleviated the T-cells infiltration and suppressed the production of pro-inflammatory cytokines in colon tissues. These results indicate that MGP could play an important role in IBD inflammation and it could even have a therapeutic effect.</w:t>
      </w:r>
    </w:p>
    <w:p w14:paraId="4D1E1A51" w14:textId="77777777" w:rsidR="00A77B3E" w:rsidRDefault="00B724AE">
      <w:pPr>
        <w:spacing w:line="360" w:lineRule="auto"/>
        <w:ind w:firstLine="480"/>
        <w:jc w:val="both"/>
      </w:pPr>
      <w:r>
        <w:rPr>
          <w:rFonts w:ascii="Book Antiqua" w:eastAsia="Book Antiqua" w:hAnsi="Book Antiqua" w:cs="Book Antiqua"/>
          <w:color w:val="000000"/>
        </w:rPr>
        <w:t xml:space="preserve">Another common feature that could link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in IBD patients and positive association with inflammatory markers is endothelial dysfunction. It is well-established that intestinal inflammation leads to functional and structural changes of the vascular endothelium, which can consequently lead to increased cardiovascular risk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Moreover, as disease severity and inflammation rise, greater endothelial dysfunction accompanies these changes. On the other hand, studies have also linked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with markers of endothelial dysfunction in patients on hemodialysis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brachial artery flow-mediated dilation (FMD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in healthy postmenopausal women </w:t>
      </w:r>
      <w:r>
        <w:rPr>
          <w:rFonts w:ascii="Book Antiqua" w:eastAsia="Book Antiqua" w:hAnsi="Book Antiqua" w:cs="Book Antiqua"/>
          <w:i/>
          <w:iCs/>
          <w:color w:val="000000"/>
        </w:rPr>
        <w:t>via</w:t>
      </w:r>
      <w:r>
        <w:rPr>
          <w:rFonts w:ascii="Book Antiqua" w:eastAsia="Book Antiqua" w:hAnsi="Book Antiqua" w:cs="Book Antiqua"/>
          <w:color w:val="000000"/>
        </w:rPr>
        <w:t xml:space="preserve"> biochemical markers (Vascular Cell Adhesion Molecule, VCAM; E-selectin;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AGEs)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According to these data, it is evident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 could easily be increased due to combined features of its ameliorative effect on active inflammatory process, increased endothelial dysfunction present in such process, but also due to vitamin K deficiency as well.</w:t>
      </w:r>
    </w:p>
    <w:p w14:paraId="16E4630E" w14:textId="77777777" w:rsidR="00A77B3E" w:rsidRDefault="00B724AE">
      <w:pPr>
        <w:spacing w:line="360" w:lineRule="auto"/>
        <w:ind w:firstLine="480"/>
        <w:jc w:val="both"/>
      </w:pPr>
      <w:r>
        <w:rPr>
          <w:rFonts w:ascii="Book Antiqua" w:eastAsia="Book Antiqua" w:hAnsi="Book Antiqua" w:cs="Book Antiqua"/>
          <w:color w:val="000000"/>
        </w:rPr>
        <w:t xml:space="preserve">It is known that MGP depends on vitamin K for its full activation through carboxylation of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residues, followed by phosphorylation of serine residues. Furthermore, its inactive form has been acknowledged as a direct marker of vitamin K deficiency, due to its inability to be contained in artery wall, and consequent plasmatic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Moreover, there is a well-established connection between IBD and vitamin K deficiency, with malnutrition stated as a leading cause of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Due to exacerbation of abdominal pain, patients tend to avoid food entirely, or they are using parenteral nutrition without administrating proper </w:t>
      </w:r>
      <w:proofErr w:type="gramStart"/>
      <w:r>
        <w:rPr>
          <w:rFonts w:ascii="Book Antiqua" w:eastAsia="Book Antiqua" w:hAnsi="Book Antiqua" w:cs="Book Antiqua"/>
          <w:color w:val="000000"/>
        </w:rPr>
        <w:t>supplements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Additionally, due to ulcerations, erosions and surgical resections they have a reduction of the intestinal absorptive surface and consequently vitamin K </w:t>
      </w:r>
      <w:proofErr w:type="gramStart"/>
      <w:r>
        <w:rPr>
          <w:rFonts w:ascii="Book Antiqua" w:eastAsia="Book Antiqua" w:hAnsi="Book Antiqua" w:cs="Book Antiqua"/>
          <w:color w:val="000000"/>
        </w:rPr>
        <w:t>malabsorption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However, in a recent </w:t>
      </w:r>
      <w:r>
        <w:rPr>
          <w:rFonts w:ascii="Book Antiqua" w:eastAsia="Book Antiqua" w:hAnsi="Book Antiqua" w:cs="Book Antiqua"/>
          <w:color w:val="000000"/>
        </w:rPr>
        <w:lastRenderedPageBreak/>
        <w:t>RCT study, IBD patients were given daily supplementation of 1000 µg of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(phylloquinone) during a 12-mo period, with results showing no significant effect of the indices of their bone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Those results imply that although the patients were taking a large supplementation dose of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there was no significant beneficial effect coming along with the improvement of their vitamin K status. It is possible that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(menaquinone) deficiency is the main reason for such results due to a recent study showing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as a more potent and effective bone and vascular protector than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Furthermore, two large scale studies showed that an adequate dietary intake of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significantly correlates with better cardiovascular and bone health, while they failed to prove that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demonstrates any protective value against vascular calcification and </w:t>
      </w:r>
      <w:proofErr w:type="gramStart"/>
      <w:r>
        <w:rPr>
          <w:rFonts w:ascii="Book Antiqua" w:eastAsia="Book Antiqua" w:hAnsi="Book Antiqua" w:cs="Book Antiqua"/>
          <w:color w:val="000000"/>
        </w:rPr>
        <w:t>osteoporosis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Interestingly, patients with IBD have a higher risk of coronary heart disease and heart failure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while the prevalence of high BMI, diabetes, hyperlipidemia, obesity, hypertension, lack of physical activity and other traditional cardiovascular risk factors is fairly lower in comparison with the general population</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Possible reason for cumulative increase in cardiovascular risks could lie in accelerated promotion of vascular calcification, one of the most prominent risk factors for cardiovascular diseases, due to inability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to fully activate in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deficiency. Furthermore, several studies already confirmed significant association of elevated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with promotion of vascular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conducted an RCT study that further confirms these results. They showed that three years of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supplementation in healthy postmenopausal women significantly improved arterial stiffness parameters, and decreased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by 50% in comparison with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Additionally, a recent study conducted on mice with DSS induced colitis reported that mice supplemented with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showed reduced symptoms of colitis along with a decrease of IL-6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Nevertheless, MGP and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are tightly related, and all these evidence stresses the need of addressing their involvement and possible therapeutic admission for IBD in future studies. </w:t>
      </w:r>
    </w:p>
    <w:p w14:paraId="52B8CA74" w14:textId="77777777" w:rsidR="00A77B3E" w:rsidRDefault="00B724AE">
      <w:pPr>
        <w:spacing w:line="360" w:lineRule="auto"/>
        <w:ind w:firstLine="480"/>
        <w:jc w:val="both"/>
      </w:pPr>
      <w:r>
        <w:rPr>
          <w:rFonts w:ascii="Book Antiqua" w:eastAsia="Book Antiqua" w:hAnsi="Book Antiqua" w:cs="Book Antiqua"/>
          <w:color w:val="000000"/>
        </w:rPr>
        <w:t xml:space="preserve">Another interesting finding of this study is the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both FC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 recent study showed that MGP is synthesized </w:t>
      </w:r>
      <w:r>
        <w:rPr>
          <w:rFonts w:ascii="Book Antiqua" w:eastAsia="Book Antiqua" w:hAnsi="Book Antiqua" w:cs="Book Antiqua"/>
          <w:color w:val="000000"/>
        </w:rPr>
        <w:lastRenderedPageBreak/>
        <w:t xml:space="preserve">and </w:t>
      </w:r>
      <w:proofErr w:type="spellStart"/>
      <w:r>
        <w:rPr>
          <w:rFonts w:ascii="Book Antiqua" w:eastAsia="Book Antiqua" w:hAnsi="Book Antiqua" w:cs="Book Antiqua"/>
          <w:color w:val="000000"/>
        </w:rPr>
        <w:t>carboxylated</w:t>
      </w:r>
      <w:proofErr w:type="spellEnd"/>
      <w:r>
        <w:rPr>
          <w:rFonts w:ascii="Book Antiqua" w:eastAsia="Book Antiqua" w:hAnsi="Book Antiqua" w:cs="Book Antiqua"/>
          <w:color w:val="000000"/>
        </w:rPr>
        <w:t xml:space="preserve"> in the majority of human immune system cells which are either involved in innate or adaptive immune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it showed that stimulation of monocytes and macrophages with LPS or hydroxyapatite triggered an inflammatory response which up regulated MGP expression following the up-regulation pattern of IL-1β. These results indicate that MGP is somehow involved in the inflammatory response mechanisms of monocytes and macrophages. Inflammation is considered as a potential leading cause in promotion of vascular calcification, and it is closely associated with endothelial dysfunction, with both conditions being hallmarks of IBD. Both FC and CRP are established and used as markers of IBD activity and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while several studies showed a significant correlation between CRP and coronary artery calcification</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Our findings could be implying that increased IBD activity up regulates MGP through complex inflammatory mechanisms, but due to possible vitamin K deficiency, the peptide cannot be fully activated and therefore loses its inhibitory effect on vascular calcification. This would be in line with the results of a Danish cohort study, which reported that flares and persistent IBD activity increases the risk of myocardial infarction, stroke and cardiovascular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and the previously mentioned study on UC patients which showed that the expression of MGP mRNA increases with the disease severity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Moreover, after division of patients with IBD into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depending on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and FC levels our study showed in both cases significantly higher 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which further indicates the possible association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the IBD activity. However, additional research is needed to give us a better insight of the relationship between MGP and IBD activity.</w:t>
      </w:r>
    </w:p>
    <w:p w14:paraId="163BB117" w14:textId="77777777" w:rsidR="00A77B3E" w:rsidRDefault="00B724AE">
      <w:pPr>
        <w:spacing w:line="360" w:lineRule="auto"/>
        <w:ind w:firstLine="480"/>
        <w:jc w:val="both"/>
      </w:pPr>
      <w:r>
        <w:rPr>
          <w:rFonts w:ascii="Book Antiqua" w:eastAsia="Book Antiqua" w:hAnsi="Book Antiqua" w:cs="Book Antiqua"/>
          <w:color w:val="000000"/>
        </w:rPr>
        <w:t>The limitation of our study was its cross-sectional design and a relatively small sample size. Additionally, due to technical reasons we were not able to determine vitamin K</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 in patients with IBD.</w:t>
      </w:r>
    </w:p>
    <w:p w14:paraId="6BAE6011" w14:textId="77777777" w:rsidR="00A77B3E" w:rsidRDefault="00A77B3E">
      <w:pPr>
        <w:spacing w:line="360" w:lineRule="auto"/>
        <w:ind w:firstLine="480"/>
        <w:jc w:val="both"/>
      </w:pPr>
    </w:p>
    <w:p w14:paraId="1BA84D36" w14:textId="77777777" w:rsidR="00A77B3E" w:rsidRDefault="00B724AE">
      <w:pPr>
        <w:spacing w:line="360" w:lineRule="auto"/>
        <w:jc w:val="both"/>
      </w:pPr>
      <w:r>
        <w:rPr>
          <w:rFonts w:ascii="Book Antiqua" w:eastAsia="Book Antiqua" w:hAnsi="Book Antiqua" w:cs="Book Antiqua"/>
          <w:b/>
          <w:caps/>
          <w:color w:val="000000"/>
          <w:u w:val="single"/>
        </w:rPr>
        <w:t>CONCLUSION</w:t>
      </w:r>
    </w:p>
    <w:p w14:paraId="585753FD" w14:textId="77777777" w:rsidR="003A6499" w:rsidRDefault="003A6499" w:rsidP="009A78B9">
      <w:pPr>
        <w:spacing w:line="360" w:lineRule="auto"/>
        <w:jc w:val="both"/>
      </w:pPr>
      <w:r>
        <w:rPr>
          <w:rFonts w:ascii="Book Antiqua" w:eastAsia="Book Antiqua" w:hAnsi="Book Antiqua" w:cs="Book Antiqua"/>
          <w:color w:val="000000"/>
        </w:rPr>
        <w:lastRenderedPageBreak/>
        <w:t xml:space="preserve">This is the first study that proved higher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 and showed a significant positive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both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and FC levels. Overall, our results support previous experimental data of MGP involvement in IBD pathophysiology through inflammation process and disease activity. However, these findings should be addressed in future larger studies.</w:t>
      </w:r>
    </w:p>
    <w:p w14:paraId="740B0F63" w14:textId="77777777" w:rsidR="00A77B3E" w:rsidRDefault="00A77B3E">
      <w:pPr>
        <w:spacing w:line="360" w:lineRule="auto"/>
        <w:jc w:val="both"/>
      </w:pPr>
    </w:p>
    <w:p w14:paraId="675A3708" w14:textId="77777777" w:rsidR="00A77B3E" w:rsidRDefault="00B724AE">
      <w:pPr>
        <w:spacing w:line="360" w:lineRule="auto"/>
        <w:jc w:val="both"/>
      </w:pPr>
      <w:r>
        <w:rPr>
          <w:rFonts w:ascii="Book Antiqua" w:eastAsia="Book Antiqua" w:hAnsi="Book Antiqua" w:cs="Book Antiqua"/>
          <w:b/>
          <w:caps/>
          <w:color w:val="000000"/>
          <w:u w:val="single"/>
        </w:rPr>
        <w:t>ARTICLE HIGHLIGHTS</w:t>
      </w:r>
    </w:p>
    <w:p w14:paraId="0AFE27AB" w14:textId="77777777" w:rsidR="00A77B3E" w:rsidRDefault="00B724AE">
      <w:pPr>
        <w:spacing w:line="360" w:lineRule="auto"/>
        <w:jc w:val="both"/>
      </w:pPr>
      <w:r>
        <w:rPr>
          <w:rFonts w:ascii="Book Antiqua" w:eastAsia="Book Antiqua" w:hAnsi="Book Antiqua" w:cs="Book Antiqua"/>
          <w:b/>
          <w:i/>
          <w:color w:val="000000"/>
        </w:rPr>
        <w:t>Research background</w:t>
      </w:r>
    </w:p>
    <w:p w14:paraId="534484F7" w14:textId="6244355F" w:rsidR="00A77B3E" w:rsidRDefault="00B724AE">
      <w:pPr>
        <w:spacing w:line="360" w:lineRule="auto"/>
        <w:jc w:val="both"/>
      </w:pPr>
      <w:r>
        <w:rPr>
          <w:rFonts w:ascii="Book Antiqua" w:eastAsia="Book Antiqua" w:hAnsi="Book Antiqua" w:cs="Book Antiqua"/>
          <w:color w:val="000000"/>
        </w:rPr>
        <w:t xml:space="preserve">Several recent studies have pointed to a possible link between immunomodulatory effect of </w:t>
      </w:r>
      <w:r w:rsidR="000F371B">
        <w:rPr>
          <w:rFonts w:ascii="Book Antiqua" w:eastAsia="Book Antiqua" w:hAnsi="Book Antiqua" w:cs="Book Antiqua"/>
          <w:color w:val="000000"/>
        </w:rPr>
        <w:t>m</w:t>
      </w:r>
      <w:r>
        <w:rPr>
          <w:rFonts w:ascii="Book Antiqua" w:eastAsia="Book Antiqua" w:hAnsi="Book Antiqua" w:cs="Book Antiqua"/>
          <w:color w:val="000000"/>
        </w:rPr>
        <w:t xml:space="preserve">atrix </w:t>
      </w:r>
      <w:proofErr w:type="spellStart"/>
      <w:r w:rsidRPr="00394C21">
        <w:rPr>
          <w:rFonts w:ascii="Book Antiqua" w:eastAsia="Book Antiqua" w:hAnsi="Book Antiqua" w:cs="Book Antiqua"/>
          <w:caps/>
          <w:color w:val="000000"/>
        </w:rPr>
        <w:t>g</w:t>
      </w:r>
      <w:r>
        <w:rPr>
          <w:rFonts w:ascii="Book Antiqua" w:eastAsia="Book Antiqua" w:hAnsi="Book Antiqua" w:cs="Book Antiqua"/>
          <w:color w:val="000000"/>
        </w:rPr>
        <w:t>la</w:t>
      </w:r>
      <w:proofErr w:type="spellEnd"/>
      <w:r>
        <w:rPr>
          <w:rFonts w:ascii="Book Antiqua" w:eastAsia="Book Antiqua" w:hAnsi="Book Antiqua" w:cs="Book Antiqua"/>
          <w:color w:val="000000"/>
        </w:rPr>
        <w:t xml:space="preserve"> protein (MGP) and inflammatory bowel disease (IBD). Their results showed that MGP improved the clinical and histopathological severity of colonic inflammation, alleviated the T-cells infiltration and suppressed the production of pro-inflammatory cytokines in colon tissues.</w:t>
      </w:r>
    </w:p>
    <w:p w14:paraId="06ADDA44" w14:textId="77777777" w:rsidR="00A77B3E" w:rsidRDefault="00A77B3E">
      <w:pPr>
        <w:spacing w:line="360" w:lineRule="auto"/>
        <w:jc w:val="both"/>
      </w:pPr>
    </w:p>
    <w:p w14:paraId="569B10B5" w14:textId="77777777" w:rsidR="00A77B3E" w:rsidRDefault="00B724AE">
      <w:pPr>
        <w:spacing w:line="360" w:lineRule="auto"/>
        <w:jc w:val="both"/>
      </w:pPr>
      <w:r>
        <w:rPr>
          <w:rFonts w:ascii="Book Antiqua" w:eastAsia="Book Antiqua" w:hAnsi="Book Antiqua" w:cs="Book Antiqua"/>
          <w:b/>
          <w:i/>
          <w:color w:val="000000"/>
        </w:rPr>
        <w:t>Research motivation</w:t>
      </w:r>
    </w:p>
    <w:p w14:paraId="15DCDDD4" w14:textId="77777777" w:rsidR="00A77B3E" w:rsidRDefault="00B724AE">
      <w:pPr>
        <w:spacing w:line="360" w:lineRule="auto"/>
        <w:jc w:val="both"/>
      </w:pPr>
      <w:r>
        <w:rPr>
          <w:rFonts w:ascii="Book Antiqua" w:eastAsia="Book Antiqua" w:hAnsi="Book Antiqua" w:cs="Book Antiqua"/>
          <w:color w:val="000000"/>
        </w:rPr>
        <w:t>While experimental studies showed the potential that MGP could bring in managing IBD, clinical studies are still lacking.</w:t>
      </w:r>
    </w:p>
    <w:p w14:paraId="5536BAF9" w14:textId="77777777" w:rsidR="00A77B3E" w:rsidRDefault="00A77B3E">
      <w:pPr>
        <w:spacing w:line="360" w:lineRule="auto"/>
        <w:jc w:val="both"/>
      </w:pPr>
    </w:p>
    <w:p w14:paraId="2FAFBBB3" w14:textId="77777777" w:rsidR="00A77B3E" w:rsidRDefault="00B724AE">
      <w:pPr>
        <w:spacing w:line="360" w:lineRule="auto"/>
        <w:jc w:val="both"/>
      </w:pPr>
      <w:r>
        <w:rPr>
          <w:rFonts w:ascii="Book Antiqua" w:eastAsia="Book Antiqua" w:hAnsi="Book Antiqua" w:cs="Book Antiqua"/>
          <w:b/>
          <w:i/>
          <w:color w:val="000000"/>
        </w:rPr>
        <w:t>Research objectives</w:t>
      </w:r>
    </w:p>
    <w:p w14:paraId="03C08252" w14:textId="77777777" w:rsidR="00A77B3E" w:rsidRDefault="00B724AE">
      <w:pPr>
        <w:spacing w:line="360" w:lineRule="auto"/>
        <w:jc w:val="both"/>
      </w:pPr>
      <w:r>
        <w:rPr>
          <w:rFonts w:ascii="Book Antiqua" w:eastAsia="Book Antiqua" w:hAnsi="Book Antiqua" w:cs="Book Antiqua"/>
          <w:color w:val="000000"/>
        </w:rPr>
        <w:t xml:space="preserve">The aim of this study was to compare plasma levels of inactive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between patients with IBD and healthy controls. The additional goal was to investigate the association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the anthropometric, clinical and laboratory parameters.</w:t>
      </w:r>
    </w:p>
    <w:p w14:paraId="0B54316D" w14:textId="77777777" w:rsidR="00A77B3E" w:rsidRDefault="00A77B3E">
      <w:pPr>
        <w:spacing w:line="360" w:lineRule="auto"/>
        <w:jc w:val="both"/>
      </w:pPr>
    </w:p>
    <w:p w14:paraId="37F8C777" w14:textId="77777777" w:rsidR="00A77B3E" w:rsidRDefault="00B724AE">
      <w:pPr>
        <w:spacing w:line="360" w:lineRule="auto"/>
        <w:jc w:val="both"/>
      </w:pPr>
      <w:r>
        <w:rPr>
          <w:rFonts w:ascii="Book Antiqua" w:eastAsia="Book Antiqua" w:hAnsi="Book Antiqua" w:cs="Book Antiqua"/>
          <w:b/>
          <w:i/>
          <w:color w:val="000000"/>
        </w:rPr>
        <w:t>Research methods</w:t>
      </w:r>
    </w:p>
    <w:p w14:paraId="5E08E1CB" w14:textId="77777777" w:rsidR="00A77B3E" w:rsidRDefault="00B724AE">
      <w:pPr>
        <w:spacing w:line="360" w:lineRule="auto"/>
        <w:jc w:val="both"/>
      </w:pPr>
      <w:r>
        <w:rPr>
          <w:rFonts w:ascii="Book Antiqua" w:eastAsia="Book Antiqua" w:hAnsi="Book Antiqua" w:cs="Book Antiqua"/>
          <w:color w:val="000000"/>
        </w:rPr>
        <w:t xml:space="preserve">This cross-sectional study was conducted on 70 patients with IBD (30 patients with ulcerative colitis and 40 patients with Crohn’s disease) and 60 age and gender matching healthy controls.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from blood samples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w:t>
      </w:r>
      <w:r>
        <w:rPr>
          <w:rFonts w:ascii="Book Antiqua" w:eastAsia="Book Antiqua" w:hAnsi="Book Antiqua" w:cs="Book Antiqua"/>
          <w:color w:val="000000"/>
        </w:rPr>
        <w:lastRenderedPageBreak/>
        <w:t xml:space="preserve">according to the manufacturer's instructions. Other parameters were analyzed according to the standard laboratory procedures. </w:t>
      </w:r>
    </w:p>
    <w:p w14:paraId="15CB001E" w14:textId="77777777" w:rsidR="00A77B3E" w:rsidRDefault="00A77B3E">
      <w:pPr>
        <w:spacing w:line="360" w:lineRule="auto"/>
        <w:jc w:val="both"/>
      </w:pPr>
    </w:p>
    <w:p w14:paraId="27D02A6F" w14:textId="77777777" w:rsidR="00A77B3E" w:rsidRDefault="00B724AE">
      <w:pPr>
        <w:spacing w:line="360" w:lineRule="auto"/>
        <w:jc w:val="both"/>
      </w:pPr>
      <w:r>
        <w:rPr>
          <w:rFonts w:ascii="Book Antiqua" w:eastAsia="Book Antiqua" w:hAnsi="Book Antiqua" w:cs="Book Antiqua"/>
          <w:b/>
          <w:i/>
          <w:color w:val="000000"/>
        </w:rPr>
        <w:t>Research results</w:t>
      </w:r>
    </w:p>
    <w:p w14:paraId="77F8AC41" w14:textId="77777777" w:rsidR="00A77B3E" w:rsidRDefault="00B724AE">
      <w:pPr>
        <w:spacing w:line="360" w:lineRule="auto"/>
        <w:jc w:val="both"/>
      </w:pPr>
      <w:r>
        <w:rPr>
          <w:rFonts w:ascii="Book Antiqua" w:eastAsia="Book Antiqua" w:hAnsi="Book Antiqua" w:cs="Book Antiqua"/>
          <w:color w:val="000000"/>
        </w:rPr>
        <w:t xml:space="preserve">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were significantly higher in patients with IBD compared to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Crohn’s disease and patients with ulcerative colitis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Furthermore, a significant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was found with both fecal calprotectin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19F521D7" w14:textId="77777777" w:rsidR="00A77B3E" w:rsidRDefault="00A77B3E">
      <w:pPr>
        <w:spacing w:line="360" w:lineRule="auto"/>
        <w:jc w:val="both"/>
      </w:pPr>
    </w:p>
    <w:p w14:paraId="6C20020E" w14:textId="77777777" w:rsidR="00A77B3E" w:rsidRDefault="00B724AE">
      <w:pPr>
        <w:spacing w:line="360" w:lineRule="auto"/>
        <w:jc w:val="both"/>
      </w:pPr>
      <w:r>
        <w:rPr>
          <w:rFonts w:ascii="Book Antiqua" w:eastAsia="Book Antiqua" w:hAnsi="Book Antiqua" w:cs="Book Antiqua"/>
          <w:b/>
          <w:i/>
          <w:color w:val="000000"/>
        </w:rPr>
        <w:t>Research conclusions</w:t>
      </w:r>
    </w:p>
    <w:p w14:paraId="22FBC1D5" w14:textId="77777777" w:rsidR="00A77B3E" w:rsidRDefault="00B724AE">
      <w:pPr>
        <w:spacing w:line="360" w:lineRule="auto"/>
        <w:jc w:val="both"/>
      </w:pPr>
      <w:r>
        <w:rPr>
          <w:rFonts w:ascii="Book Antiqua" w:eastAsia="Book Antiqua" w:hAnsi="Book Antiqua" w:cs="Book Antiqua"/>
          <w:color w:val="000000"/>
        </w:rPr>
        <w:t>Our clinical results support previous experimental data of MGP involvement in IBD pathophysiology through inflammation process and disease activity.</w:t>
      </w:r>
    </w:p>
    <w:p w14:paraId="2F47CDD7" w14:textId="77777777" w:rsidR="00A77B3E" w:rsidRDefault="00A77B3E">
      <w:pPr>
        <w:spacing w:line="360" w:lineRule="auto"/>
        <w:jc w:val="both"/>
      </w:pPr>
    </w:p>
    <w:p w14:paraId="70B07331" w14:textId="77777777" w:rsidR="00A77B3E" w:rsidRDefault="00B724AE">
      <w:pPr>
        <w:spacing w:line="360" w:lineRule="auto"/>
        <w:jc w:val="both"/>
      </w:pPr>
      <w:r>
        <w:rPr>
          <w:rFonts w:ascii="Book Antiqua" w:eastAsia="Book Antiqua" w:hAnsi="Book Antiqua" w:cs="Book Antiqua"/>
          <w:b/>
          <w:i/>
          <w:color w:val="000000"/>
        </w:rPr>
        <w:t>Research perspectives</w:t>
      </w:r>
    </w:p>
    <w:p w14:paraId="3C400095" w14:textId="77777777" w:rsidR="00A77B3E" w:rsidRDefault="00B724AE">
      <w:pPr>
        <w:spacing w:line="360" w:lineRule="auto"/>
        <w:jc w:val="both"/>
      </w:pPr>
      <w:r>
        <w:rPr>
          <w:rFonts w:ascii="Book Antiqua" w:eastAsia="Book Antiqua" w:hAnsi="Book Antiqua" w:cs="Book Antiqua"/>
          <w:color w:val="000000"/>
        </w:rPr>
        <w:t>The potential MGP immunomodulatory effect should be addressed with larger scale studies in the future.</w:t>
      </w:r>
    </w:p>
    <w:p w14:paraId="7E632F9D" w14:textId="77777777" w:rsidR="00A77B3E" w:rsidRDefault="00A77B3E">
      <w:pPr>
        <w:spacing w:line="360" w:lineRule="auto"/>
        <w:jc w:val="both"/>
      </w:pPr>
    </w:p>
    <w:p w14:paraId="3E2691EC" w14:textId="77777777" w:rsidR="00A77B3E" w:rsidRDefault="00B724AE">
      <w:pPr>
        <w:spacing w:line="360" w:lineRule="auto"/>
        <w:jc w:val="both"/>
      </w:pPr>
      <w:r>
        <w:rPr>
          <w:rFonts w:ascii="Book Antiqua" w:eastAsia="Book Antiqua" w:hAnsi="Book Antiqua" w:cs="Book Antiqua"/>
          <w:b/>
          <w:color w:val="000000"/>
        </w:rPr>
        <w:t>REFERENCES</w:t>
      </w:r>
    </w:p>
    <w:p w14:paraId="68B8D62F" w14:textId="77777777" w:rsidR="00A77B3E" w:rsidRDefault="00B724A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Kim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Pathogenesis of Inflammatory Bowel Disease and Recent Advances in Biologic Therapies. </w:t>
      </w:r>
      <w:r>
        <w:rPr>
          <w:rFonts w:ascii="Book Antiqua" w:eastAsia="Book Antiqua" w:hAnsi="Book Antiqua" w:cs="Book Antiqua"/>
          <w:i/>
          <w:iCs/>
          <w:color w:val="000000"/>
        </w:rPr>
        <w:t xml:space="preserve">Immune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25-40 [PMID: 28261018 DOI: 10.4110/in.2017.17.1.25]</w:t>
      </w:r>
    </w:p>
    <w:p w14:paraId="15FDC5E8" w14:textId="77777777" w:rsidR="00A77B3E" w:rsidRDefault="00B724A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YZ</w:t>
      </w:r>
      <w:r>
        <w:rPr>
          <w:rFonts w:ascii="Book Antiqua" w:eastAsia="Book Antiqua" w:hAnsi="Book Antiqua" w:cs="Book Antiqua"/>
          <w:color w:val="000000"/>
        </w:rPr>
        <w:t xml:space="preserve">, Li YY. Inflammatory bowel disease: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91-99 [PMID: 24415861 DOI: 10.3748/wjg.v20.i1.91]</w:t>
      </w:r>
    </w:p>
    <w:p w14:paraId="439E2049" w14:textId="77777777" w:rsidR="00A77B3E" w:rsidRDefault="00B724A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2449638B" w14:textId="77777777" w:rsidR="00A77B3E" w:rsidRDefault="00B724AE">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2E7C88DD" w14:textId="77777777" w:rsidR="00A77B3E" w:rsidRDefault="00B724A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Vavricka</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Schoepfer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Scharl</w:t>
      </w:r>
      <w:proofErr w:type="spellEnd"/>
      <w:r>
        <w:rPr>
          <w:rFonts w:ascii="Book Antiqua" w:eastAsia="Book Antiqua" w:hAnsi="Book Antiqua" w:cs="Book Antiqua"/>
          <w:color w:val="000000"/>
        </w:rPr>
        <w:t xml:space="preserve"> M, Lakatos PL, </w:t>
      </w:r>
      <w:proofErr w:type="spellStart"/>
      <w:r>
        <w:rPr>
          <w:rFonts w:ascii="Book Antiqua" w:eastAsia="Book Antiqua" w:hAnsi="Book Antiqua" w:cs="Book Antiqua"/>
          <w:color w:val="000000"/>
        </w:rPr>
        <w:t>Navarini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Extraintestinal Manifestations of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1982-1992 [PMID: 26154136 DOI: 10.1097/mib.0000000000000392]</w:t>
      </w:r>
    </w:p>
    <w:p w14:paraId="7A9B570E" w14:textId="77777777" w:rsidR="00A77B3E" w:rsidRDefault="00B724A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Tadin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Hadjina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Matetic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Bajo D, </w:t>
      </w:r>
      <w:proofErr w:type="spellStart"/>
      <w:r>
        <w:rPr>
          <w:rFonts w:ascii="Book Antiqua" w:eastAsia="Book Antiqua" w:hAnsi="Book Antiqua" w:cs="Book Antiqua"/>
          <w:color w:val="000000"/>
        </w:rPr>
        <w:t>Puljiz</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Impaired neurocognitive and psychomotor performance in patients with inflammatory bowel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13740 [PMID: 31551482 DOI: 10.1030/s41598-019-50192-2]</w:t>
      </w:r>
    </w:p>
    <w:p w14:paraId="3467ACF2" w14:textId="77777777" w:rsidR="00A77B3E" w:rsidRDefault="00B724A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Singh H, Loftus EV Jr,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Risk of cerebrovascular accidents and ischemic heart disease in patients with inflammatory bowel disease: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382-93.e1: quiz e22 [PMID: 23978350 DOI: 10.1016/j.cgh.2013.08.023]</w:t>
      </w:r>
    </w:p>
    <w:p w14:paraId="0862994F" w14:textId="77777777" w:rsidR="00A77B3E" w:rsidRDefault="00B724A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Schicho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Storr</w:t>
      </w:r>
      <w:proofErr w:type="spellEnd"/>
      <w:r>
        <w:rPr>
          <w:rFonts w:ascii="Book Antiqua" w:eastAsia="Book Antiqua" w:hAnsi="Book Antiqua" w:cs="Book Antiqua"/>
          <w:color w:val="000000"/>
        </w:rPr>
        <w:t xml:space="preserve"> M. Cardiovascular complications in inflammatory bowel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181-188 [PMID: 25642719 DOI: 10.2174/138945011666650202161500]</w:t>
      </w:r>
    </w:p>
    <w:p w14:paraId="49A01390" w14:textId="77777777" w:rsidR="00A77B3E" w:rsidRDefault="00B724A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Kocaman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Aygun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Senturk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Hulagu</w:t>
      </w:r>
      <w:proofErr w:type="spellEnd"/>
      <w:r>
        <w:rPr>
          <w:rFonts w:ascii="Book Antiqua" w:eastAsia="Book Antiqua" w:hAnsi="Book Antiqua" w:cs="Book Antiqua"/>
          <w:color w:val="000000"/>
        </w:rPr>
        <w:t xml:space="preserve"> S. Endothelial dysfunction in patients with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166-171 [PMID: 16534416 DOI: 10.1097/01.mib.0000217764.88980.74]</w:t>
      </w:r>
    </w:p>
    <w:p w14:paraId="1D1B4711" w14:textId="77777777" w:rsidR="00A77B3E" w:rsidRDefault="00B724A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Principi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Mastrolonardo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Scicchitano</w:t>
      </w:r>
      <w:proofErr w:type="spellEnd"/>
      <w:r>
        <w:rPr>
          <w:rFonts w:ascii="Book Antiqua" w:eastAsia="Book Antiqua" w:hAnsi="Book Antiqua" w:cs="Book Antiqua"/>
          <w:color w:val="000000"/>
        </w:rPr>
        <w:t xml:space="preserve"> P, Gesualdo M, </w:t>
      </w:r>
      <w:proofErr w:type="spellStart"/>
      <w:r>
        <w:rPr>
          <w:rFonts w:ascii="Book Antiqua" w:eastAsia="Book Antiqua" w:hAnsi="Book Antiqua" w:cs="Book Antiqua"/>
          <w:color w:val="000000"/>
        </w:rPr>
        <w:t>Sassara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P, Bucci A, Zito A, Caputo P, Albano F,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Ciccone MM. Endothelial function and cardiovascular risk in active 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e427-e433 [PMID: 23473915 DOI: 10.1016/j.crohns.2013.02.001]</w:t>
      </w:r>
    </w:p>
    <w:p w14:paraId="3A822327" w14:textId="77777777" w:rsidR="00A77B3E" w:rsidRDefault="00B724A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Hackeng</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HM, Vermeer C. Total chemical synthesis of human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Protein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864-870 [PMID: 11274477 DOI: 10.1110/ps.44701]</w:t>
      </w:r>
    </w:p>
    <w:p w14:paraId="2D8B700D" w14:textId="77777777" w:rsidR="00A77B3E" w:rsidRDefault="00B724A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Barrett H</w:t>
      </w:r>
      <w:r>
        <w:rPr>
          <w:rFonts w:ascii="Book Antiqua" w:eastAsia="Book Antiqua" w:hAnsi="Book Antiqua" w:cs="Book Antiqua"/>
          <w:color w:val="000000"/>
        </w:rPr>
        <w:t xml:space="preserve">, O'Keeffe M, Kavanagh E, Walsh M, O'Connor EM. Is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Associated with Vascular Calcification? 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[PMID: 29584693 DOI: 10.3390/nu10040415]</w:t>
      </w:r>
    </w:p>
    <w:p w14:paraId="5956773E" w14:textId="77777777" w:rsidR="00A77B3E" w:rsidRDefault="00B724AE">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Vilovic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Dogas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Ticinovic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Borovac</w:t>
      </w:r>
      <w:proofErr w:type="spellEnd"/>
      <w:r>
        <w:rPr>
          <w:rFonts w:ascii="Book Antiqua" w:eastAsia="Book Antiqua" w:hAnsi="Book Antiqua" w:cs="Book Antiqua"/>
          <w:color w:val="000000"/>
        </w:rPr>
        <w:t xml:space="preserve"> JA, Supe-</w:t>
      </w:r>
      <w:proofErr w:type="spellStart"/>
      <w:r>
        <w:rPr>
          <w:rFonts w:ascii="Book Antiqua" w:eastAsia="Book Antiqua" w:hAnsi="Book Antiqua" w:cs="Book Antiqua"/>
          <w:color w:val="000000"/>
        </w:rPr>
        <w:t>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Ivkovic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Novak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Bone metabolism parameters and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in patients with obstructive sleep apnea†.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[PMID: 31631227 DOI: 10.1093/sleep/zsz243]</w:t>
      </w:r>
    </w:p>
    <w:p w14:paraId="65295B2A" w14:textId="77777777" w:rsidR="00A77B3E" w:rsidRDefault="00B724A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 FF</w:t>
      </w:r>
      <w:r>
        <w:rPr>
          <w:rFonts w:ascii="Book Antiqua" w:eastAsia="Book Antiqua" w:hAnsi="Book Antiqua" w:cs="Book Antiqua"/>
          <w:color w:val="000000"/>
        </w:rPr>
        <w:t xml:space="preserve">, Huang QF, Zhang ZY, Van </w:t>
      </w:r>
      <w:proofErr w:type="spellStart"/>
      <w:r>
        <w:rPr>
          <w:rFonts w:ascii="Book Antiqua" w:eastAsia="Book Antiqua" w:hAnsi="Book Antiqua" w:cs="Book Antiqua"/>
          <w:color w:val="000000"/>
        </w:rPr>
        <w:t>Keer</w:t>
      </w:r>
      <w:proofErr w:type="spellEnd"/>
      <w:r>
        <w:rPr>
          <w:rFonts w:ascii="Book Antiqua" w:eastAsia="Book Antiqua" w:hAnsi="Book Antiqua" w:cs="Book Antiqua"/>
          <w:color w:val="000000"/>
        </w:rPr>
        <w:t xml:space="preserve"> K, Thijs L, </w:t>
      </w:r>
      <w:proofErr w:type="spellStart"/>
      <w:r>
        <w:rPr>
          <w:rFonts w:ascii="Book Antiqua" w:eastAsia="Book Antiqua" w:hAnsi="Book Antiqua" w:cs="Book Antiqua"/>
          <w:color w:val="000000"/>
        </w:rPr>
        <w:t>Trenson</w:t>
      </w:r>
      <w:proofErr w:type="spellEnd"/>
      <w:r>
        <w:rPr>
          <w:rFonts w:ascii="Book Antiqua" w:eastAsia="Book Antiqua" w:hAnsi="Book Antiqua" w:cs="Book Antiqua"/>
          <w:color w:val="000000"/>
        </w:rPr>
        <w:t xml:space="preserve"> S, Yang WY, </w:t>
      </w:r>
      <w:proofErr w:type="spellStart"/>
      <w:r>
        <w:rPr>
          <w:rFonts w:ascii="Book Antiqua" w:eastAsia="Book Antiqua" w:hAnsi="Book Antiqua" w:cs="Book Antiqua"/>
          <w:color w:val="000000"/>
        </w:rPr>
        <w:t>Cauwenberghs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Mujaj</w:t>
      </w:r>
      <w:proofErr w:type="spellEnd"/>
      <w:r>
        <w:rPr>
          <w:rFonts w:ascii="Book Antiqua" w:eastAsia="Book Antiqua" w:hAnsi="Book Antiqua" w:cs="Book Antiqua"/>
          <w:color w:val="000000"/>
        </w:rPr>
        <w:t xml:space="preserve"> B, Kuznetsova T, </w:t>
      </w:r>
      <w:proofErr w:type="spellStart"/>
      <w:r>
        <w:rPr>
          <w:rFonts w:ascii="Book Antiqua" w:eastAsia="Book Antiqua" w:hAnsi="Book Antiqua" w:cs="Book Antiqua"/>
          <w:color w:val="000000"/>
        </w:rPr>
        <w:t>Allegaert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Struijker-Boudier</w:t>
      </w:r>
      <w:proofErr w:type="spellEnd"/>
      <w:r>
        <w:rPr>
          <w:rFonts w:ascii="Book Antiqua" w:eastAsia="Book Antiqua" w:hAnsi="Book Antiqua" w:cs="Book Antiqua"/>
          <w:color w:val="000000"/>
        </w:rPr>
        <w:t xml:space="preserve"> HAJ,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Vermeer C, </w:t>
      </w:r>
      <w:proofErr w:type="spellStart"/>
      <w:r>
        <w:rPr>
          <w:rFonts w:ascii="Book Antiqua" w:eastAsia="Book Antiqua" w:hAnsi="Book Antiqua" w:cs="Book Antiqua"/>
          <w:color w:val="000000"/>
        </w:rPr>
        <w:t>Staessen</w:t>
      </w:r>
      <w:proofErr w:type="spellEnd"/>
      <w:r>
        <w:rPr>
          <w:rFonts w:ascii="Book Antiqua" w:eastAsia="Book Antiqua" w:hAnsi="Book Antiqua" w:cs="Book Antiqua"/>
          <w:color w:val="000000"/>
        </w:rPr>
        <w:t xml:space="preserve"> JA.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 novel circulating biomarker predicting retinal arteriolar narrowing in humans.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15088 [PMID: 30305657 DOI: 10.1038/s41598-018-33257-6]</w:t>
      </w:r>
    </w:p>
    <w:p w14:paraId="7E9B4BB2" w14:textId="77777777" w:rsidR="00A77B3E" w:rsidRDefault="00B724A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YP</w:t>
      </w:r>
      <w:r>
        <w:rPr>
          <w:rFonts w:ascii="Book Antiqua" w:eastAsia="Book Antiqua" w:hAnsi="Book Antiqua" w:cs="Book Antiqua"/>
          <w:color w:val="000000"/>
        </w:rPr>
        <w:t xml:space="preserve">, Gu YM, Thijs L,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Salvi 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L, Petit T, </w:t>
      </w:r>
      <w:proofErr w:type="spellStart"/>
      <w:r>
        <w:rPr>
          <w:rFonts w:ascii="Book Antiqua" w:eastAsia="Book Antiqua" w:hAnsi="Book Antiqua" w:cs="Book Antiqua"/>
          <w:color w:val="000000"/>
        </w:rPr>
        <w:t>Carpini</w:t>
      </w:r>
      <w:proofErr w:type="spellEnd"/>
      <w:r>
        <w:rPr>
          <w:rFonts w:ascii="Book Antiqua" w:eastAsia="Book Antiqua" w:hAnsi="Book Antiqua" w:cs="Book Antiqua"/>
          <w:color w:val="000000"/>
        </w:rPr>
        <w:t xml:space="preserve"> SD, Zhang Z, Jacobs L,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Barlassina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Manunta</w:t>
      </w:r>
      <w:proofErr w:type="spellEnd"/>
      <w:r>
        <w:rPr>
          <w:rFonts w:ascii="Book Antiqua" w:eastAsia="Book Antiqua" w:hAnsi="Book Antiqua" w:cs="Book Antiqua"/>
          <w:color w:val="000000"/>
        </w:rPr>
        <w:t xml:space="preserve"> P, Kuznetsova T,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Struijker-Boudier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D, Vermeer C, </w:t>
      </w:r>
      <w:proofErr w:type="spellStart"/>
      <w:r>
        <w:rPr>
          <w:rFonts w:ascii="Book Antiqua" w:eastAsia="Book Antiqua" w:hAnsi="Book Antiqua" w:cs="Book Antiqua"/>
          <w:color w:val="000000"/>
        </w:rPr>
        <w:t>Staessen</w:t>
      </w:r>
      <w:proofErr w:type="spellEnd"/>
      <w:r>
        <w:rPr>
          <w:rFonts w:ascii="Book Antiqua" w:eastAsia="Book Antiqua" w:hAnsi="Book Antiqua" w:cs="Book Antiqua"/>
          <w:color w:val="000000"/>
        </w:rPr>
        <w:t xml:space="preserve"> JA.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causally related to adverse health outcomes: a Mendelian randomization study in a Flemish population.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463-470 [PMID: 25421980 DOI: 10.1161/hypertensionaha.114.04494]</w:t>
      </w:r>
    </w:p>
    <w:p w14:paraId="26B3EC05" w14:textId="77777777" w:rsidR="00A77B3E" w:rsidRDefault="00B724A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Mayer O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Seidlerová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Wohlfahrt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Filipovský</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VanÄ›k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Cífková</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Windrichová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TopolÄan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Drummen</w:t>
      </w:r>
      <w:proofErr w:type="spellEnd"/>
      <w:r>
        <w:rPr>
          <w:rFonts w:ascii="Book Antiqua" w:eastAsia="Book Antiqua" w:hAnsi="Book Antiqua" w:cs="Book Antiqua"/>
          <w:color w:val="000000"/>
        </w:rPr>
        <w:t xml:space="preserve"> NE, Vermeer C. </w:t>
      </w:r>
      <w:proofErr w:type="spellStart"/>
      <w:r>
        <w:rPr>
          <w:rFonts w:ascii="Book Antiqua" w:eastAsia="Book Antiqua" w:hAnsi="Book Antiqua" w:cs="Book Antiqua"/>
          <w:color w:val="000000"/>
        </w:rPr>
        <w:t>Desphospho-uncarboxylated</w:t>
      </w:r>
      <w:proofErr w:type="spellEnd"/>
      <w:r>
        <w:rPr>
          <w:rFonts w:ascii="Book Antiqua" w:eastAsia="Book Antiqua" w:hAnsi="Book Antiqua" w:cs="Book Antiqua"/>
          <w:color w:val="000000"/>
        </w:rPr>
        <w:t xml:space="preser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associated with increased aortic stiffness in a general population.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418-423 [PMID: 26016598 DOI: 10.1038/jhh.2015.55]</w:t>
      </w:r>
    </w:p>
    <w:p w14:paraId="5F723523" w14:textId="77777777" w:rsidR="00A77B3E" w:rsidRDefault="00B724A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Guihard</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Blazquez-Medela</w:t>
      </w:r>
      <w:proofErr w:type="spellEnd"/>
      <w:r>
        <w:rPr>
          <w:rFonts w:ascii="Book Antiqua" w:eastAsia="Book Antiqua" w:hAnsi="Book Antiqua" w:cs="Book Antiqua"/>
          <w:color w:val="000000"/>
        </w:rPr>
        <w:t xml:space="preserve"> AM, Guo Y, Liu T, </w:t>
      </w:r>
      <w:proofErr w:type="spellStart"/>
      <w:r>
        <w:rPr>
          <w:rFonts w:ascii="Book Antiqua" w:eastAsia="Book Antiqua" w:hAnsi="Book Antiqua" w:cs="Book Antiqua"/>
          <w:color w:val="000000"/>
        </w:rPr>
        <w:t>Boström</w:t>
      </w:r>
      <w:proofErr w:type="spellEnd"/>
      <w:r>
        <w:rPr>
          <w:rFonts w:ascii="Book Antiqua" w:eastAsia="Book Antiqua" w:hAnsi="Book Antiqua" w:cs="Book Antiqua"/>
          <w:color w:val="000000"/>
        </w:rPr>
        <w:t xml:space="preserve"> KI, Yao Y.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regulates differentiation of endothelial cells derived from mouse embryonic stem cells.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1-7 [PMID: 26364300 DOI: 10.1007/s10456-015-9484-3]</w:t>
      </w:r>
    </w:p>
    <w:p w14:paraId="3B6D57D5" w14:textId="77777777" w:rsidR="00A77B3E" w:rsidRDefault="00B724A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Liao Y, Huang W, Lai X, Luo J, Du C, Lin J, Zhang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D, Liu Q, Shen H, Xiang AP, Zhang Q. Mesenchymal stromal cells-derived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contribute to the alleviation of experimental colitis.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691 [PMID: 29880866 DOI: 10.1038/s41419-018-0734-3]</w:t>
      </w:r>
    </w:p>
    <w:p w14:paraId="6CCF513B" w14:textId="77777777" w:rsidR="00A77B3E" w:rsidRDefault="00B724A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Eliakim R,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Barreiro-de Acosta M,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Hart AL,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Zagórowicz</w:t>
      </w:r>
      <w:proofErr w:type="spellEnd"/>
      <w:r>
        <w:rPr>
          <w:rFonts w:ascii="Book Antiqua" w:eastAsia="Book Antiqua" w:hAnsi="Book Antiqua" w:cs="Book Antiqua"/>
          <w:color w:val="000000"/>
        </w:rPr>
        <w:t xml:space="preserve"> E, Raine T,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w:t>
      </w:r>
      <w:r>
        <w:rPr>
          <w:rFonts w:ascii="Book Antiqua" w:eastAsia="Book Antiqua" w:hAnsi="Book Antiqua" w:cs="Book Antiqua"/>
          <w:color w:val="000000"/>
        </w:rPr>
        <w:lastRenderedPageBreak/>
        <w:t xml:space="preserve">Colitis. Part 1: Definitions, Diagnosis, Extra-intestinal Manifestations, Pregnancy, Cancer Surveillance, Surgery, and Ileo-anal Pouch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649-670 [PMID: 28158501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/jjx008]</w:t>
      </w:r>
    </w:p>
    <w:p w14:paraId="686C2FE1" w14:textId="77777777" w:rsidR="00A77B3E" w:rsidRDefault="00B724A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Schmulson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What Is New in Rome IV.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151-163 [PMID: 28274109 DOI: 10.5056/jnm16214]</w:t>
      </w:r>
    </w:p>
    <w:p w14:paraId="1975B6DD" w14:textId="77777777" w:rsidR="00A77B3E" w:rsidRDefault="00B724A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Sturm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Calabrese E,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Fiorino G,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Tolan D, Taylor SA,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KrustiÅ†š</w:t>
      </w:r>
      <w:proofErr w:type="spellEnd"/>
      <w:r>
        <w:rPr>
          <w:rFonts w:ascii="Book Antiqua" w:eastAsia="Book Antiqua" w:hAnsi="Book Antiqua" w:cs="Book Antiqua"/>
          <w:color w:val="000000"/>
        </w:rPr>
        <w:t xml:space="preserve"> E, Kotze PG,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Halligan S, Gordon H, González Lama Y, Ellul P, Eliakim R, Castiglione F,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Nunes P,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Baumgart DC,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2: IBD scores and general principles and technical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273-284 [PMID: 30137278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/jjy114]</w:t>
      </w:r>
    </w:p>
    <w:p w14:paraId="53F4F3E2" w14:textId="77777777" w:rsidR="00A77B3E" w:rsidRDefault="00B724AE">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Travis SP</w:t>
      </w:r>
      <w:r>
        <w:rPr>
          <w:rFonts w:ascii="Book Antiqua" w:eastAsia="Book Antiqua" w:hAnsi="Book Antiqua" w:cs="Book Antiqua"/>
          <w:color w:val="000000"/>
        </w:rPr>
        <w:t xml:space="preserve">, Schnell D, </w:t>
      </w:r>
      <w:proofErr w:type="spellStart"/>
      <w:r>
        <w:rPr>
          <w:rFonts w:ascii="Book Antiqua" w:eastAsia="Book Antiqua" w:hAnsi="Book Antiqua" w:cs="Book Antiqua"/>
          <w:color w:val="000000"/>
        </w:rPr>
        <w:t>Krzeski</w:t>
      </w:r>
      <w:proofErr w:type="spellEnd"/>
      <w:r>
        <w:rPr>
          <w:rFonts w:ascii="Book Antiqua" w:eastAsia="Book Antiqua" w:hAnsi="Book Antiqua" w:cs="Book Antiqua"/>
          <w:color w:val="000000"/>
        </w:rPr>
        <w:t xml:space="preserve"> P, Abreu MT, Altman DG,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Lichtenstein GR, Marteau PR,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Sands BE, </w:t>
      </w:r>
      <w:proofErr w:type="spellStart"/>
      <w:r>
        <w:rPr>
          <w:rFonts w:ascii="Book Antiqua" w:eastAsia="Book Antiqua" w:hAnsi="Book Antiqua" w:cs="Book Antiqua"/>
          <w:color w:val="000000"/>
        </w:rPr>
        <w:t>Yacyshyn</w:t>
      </w:r>
      <w:proofErr w:type="spellEnd"/>
      <w:r>
        <w:rPr>
          <w:rFonts w:ascii="Book Antiqua" w:eastAsia="Book Antiqua" w:hAnsi="Book Antiqua" w:cs="Book Antiqua"/>
          <w:color w:val="000000"/>
        </w:rPr>
        <w:t xml:space="preserve"> BR, Schnell P, Bernhardt CA, Mary JY,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Reliability and initial validation of the ulcerative colitis endoscopic index of severity.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987-995 [PMID: 23891974 DOI: 10.1053/j.gastro.2013.07.024]</w:t>
      </w:r>
    </w:p>
    <w:p w14:paraId="773CF665" w14:textId="77777777" w:rsidR="00A77B3E" w:rsidRDefault="00B724A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Daperno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Sostegni</w:t>
      </w:r>
      <w:proofErr w:type="spellEnd"/>
      <w:r>
        <w:rPr>
          <w:rFonts w:ascii="Book Antiqua" w:eastAsia="Book Antiqua" w:hAnsi="Book Antiqua" w:cs="Book Antiqua"/>
          <w:color w:val="000000"/>
        </w:rPr>
        <w:t xml:space="preserve"> R, Rocca R,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A, Mary JY,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Development and validation of a new, simplified endoscopic activity score for Crohn's disease: the SES-CD.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505-512 [PMID: 15472670 DOI: 10.1016/s0016-5107(04)01878-4]</w:t>
      </w:r>
    </w:p>
    <w:p w14:paraId="78C583F6" w14:textId="77777777" w:rsidR="00A77B3E" w:rsidRDefault="00B724A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Dong XY</w:t>
      </w:r>
      <w:r>
        <w:rPr>
          <w:rFonts w:ascii="Book Antiqua" w:eastAsia="Book Antiqua" w:hAnsi="Book Antiqua" w:cs="Book Antiqua"/>
          <w:color w:val="000000"/>
        </w:rPr>
        <w:t xml:space="preserve">, Wu MX, Zhang HM,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H, Qian JM, Yang H. Association between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and ulcerative colitis according to DNA microarray data.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66-75 [PMID: 32257220 DOI: 10.1093/gastro/goz038]</w:t>
      </w:r>
    </w:p>
    <w:p w14:paraId="4C647D8F" w14:textId="77777777" w:rsidR="00A77B3E" w:rsidRDefault="00B724A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Cibor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Domagala-Rodacka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Rodacki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Jurczyszyn</w:t>
      </w:r>
      <w:proofErr w:type="spellEnd"/>
      <w:r>
        <w:rPr>
          <w:rFonts w:ascii="Book Antiqua" w:eastAsia="Book Antiqua" w:hAnsi="Book Antiqua" w:cs="Book Antiqua"/>
          <w:color w:val="000000"/>
        </w:rPr>
        <w:t xml:space="preserve"> A, Mach T, </w:t>
      </w:r>
      <w:proofErr w:type="spellStart"/>
      <w:r>
        <w:rPr>
          <w:rFonts w:ascii="Book Antiqua" w:eastAsia="Book Antiqua" w:hAnsi="Book Antiqua" w:cs="Book Antiqua"/>
          <w:color w:val="000000"/>
        </w:rPr>
        <w:t>Owczarek</w:t>
      </w:r>
      <w:proofErr w:type="spellEnd"/>
      <w:r>
        <w:rPr>
          <w:rFonts w:ascii="Book Antiqua" w:eastAsia="Book Antiqua" w:hAnsi="Book Antiqua" w:cs="Book Antiqua"/>
          <w:color w:val="000000"/>
        </w:rPr>
        <w:t xml:space="preserve"> D. Endothelial dysfunction in inflammatory bowel diseases: Pathogenesis, assessment and </w:t>
      </w:r>
      <w:r>
        <w:rPr>
          <w:rFonts w:ascii="Book Antiqua" w:eastAsia="Book Antiqua" w:hAnsi="Book Antiqua" w:cs="Book Antiqua"/>
          <w:color w:val="000000"/>
        </w:rPr>
        <w:lastRenderedPageBreak/>
        <w:t xml:space="preserve">implications.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1067-1077 [PMID: 26811647 DOI: 10.3748/wjg.v22.i3.1067]</w:t>
      </w:r>
    </w:p>
    <w:p w14:paraId="4631C744" w14:textId="77777777" w:rsidR="00A77B3E" w:rsidRDefault="00B724A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Zivkovic</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Supe-</w:t>
      </w:r>
      <w:proofErr w:type="spellStart"/>
      <w:r>
        <w:rPr>
          <w:rFonts w:ascii="Book Antiqua" w:eastAsia="Book Antiqua" w:hAnsi="Book Antiqua" w:cs="Book Antiqua"/>
          <w:color w:val="000000"/>
        </w:rPr>
        <w:t>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Borovac</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Mudnic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Serum </w:t>
      </w:r>
      <w:proofErr w:type="spellStart"/>
      <w:r>
        <w:rPr>
          <w:rFonts w:ascii="Book Antiqua" w:eastAsia="Book Antiqua" w:hAnsi="Book Antiqua" w:cs="Book Antiqua"/>
          <w:color w:val="000000"/>
        </w:rPr>
        <w:t>Catestatin</w:t>
      </w:r>
      <w:proofErr w:type="spellEnd"/>
      <w:r>
        <w:rPr>
          <w:rFonts w:ascii="Book Antiqua" w:eastAsia="Book Antiqua" w:hAnsi="Book Antiqua" w:cs="Book Antiqua"/>
          <w:color w:val="000000"/>
        </w:rPr>
        <w:t xml:space="preserve"> Levels and Arterial Stiffness Parameters Are Increased in Patients with Inflammatory Bowel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32110996 DOI: 10.3390/jcm9030628]</w:t>
      </w:r>
    </w:p>
    <w:p w14:paraId="7EB66041" w14:textId="77777777" w:rsidR="00A77B3E" w:rsidRDefault="00B724A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Fain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Kapuku</w:t>
      </w:r>
      <w:proofErr w:type="spellEnd"/>
      <w:r>
        <w:rPr>
          <w:rFonts w:ascii="Book Antiqua" w:eastAsia="Book Antiqua" w:hAnsi="Book Antiqua" w:cs="Book Antiqua"/>
          <w:color w:val="000000"/>
        </w:rPr>
        <w:t xml:space="preserve"> GK, Paulson WD, Williams CF, </w:t>
      </w:r>
      <w:proofErr w:type="spellStart"/>
      <w:r>
        <w:rPr>
          <w:rFonts w:ascii="Book Antiqua" w:eastAsia="Book Antiqua" w:hAnsi="Book Antiqua" w:cs="Book Antiqua"/>
          <w:color w:val="000000"/>
        </w:rPr>
        <w:t>Raed</w:t>
      </w:r>
      <w:proofErr w:type="spellEnd"/>
      <w:r>
        <w:rPr>
          <w:rFonts w:ascii="Book Antiqua" w:eastAsia="Book Antiqua" w:hAnsi="Book Antiqua" w:cs="Book Antiqua"/>
          <w:color w:val="000000"/>
        </w:rPr>
        <w:t xml:space="preserve"> A, Dong Y,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MHJ, Vermeer C, Pollock NK.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Arterial Stiffness, and Endothelial Function in African American Hemodialysis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735-741 [PMID: 29635270 DOI: 10.1093/</w:t>
      </w:r>
      <w:proofErr w:type="spellStart"/>
      <w:r>
        <w:rPr>
          <w:rFonts w:ascii="Book Antiqua" w:eastAsia="Book Antiqua" w:hAnsi="Book Antiqua" w:cs="Book Antiqua"/>
          <w:color w:val="000000"/>
        </w:rPr>
        <w:t>ajh</w:t>
      </w:r>
      <w:proofErr w:type="spellEnd"/>
      <w:r>
        <w:rPr>
          <w:rFonts w:ascii="Book Antiqua" w:eastAsia="Book Antiqua" w:hAnsi="Book Antiqua" w:cs="Book Antiqua"/>
          <w:color w:val="000000"/>
        </w:rPr>
        <w:t>/hpy049]</w:t>
      </w:r>
    </w:p>
    <w:p w14:paraId="359794AD" w14:textId="77777777" w:rsidR="00A77B3E" w:rsidRDefault="00B724A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Knapen</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Braam</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Drummen</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Bekers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Hoeks</w:t>
      </w:r>
      <w:proofErr w:type="spellEnd"/>
      <w:r>
        <w:rPr>
          <w:rFonts w:ascii="Book Antiqua" w:eastAsia="Book Antiqua" w:hAnsi="Book Antiqua" w:cs="Book Antiqua"/>
          <w:color w:val="000000"/>
        </w:rPr>
        <w:t xml:space="preserve"> AP, Vermeer C. Menaquinone-7 supplementation improves arterial stiffness in healthy postmenopausal women.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1135-1144 [PMID: 25694037 DOI: 10.1160/th14-08-0675]</w:t>
      </w:r>
    </w:p>
    <w:p w14:paraId="132F7C74" w14:textId="77777777" w:rsidR="00A77B3E" w:rsidRDefault="00B724AE">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Dalmeijer</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van der Schouw YT, </w:t>
      </w:r>
      <w:proofErr w:type="spellStart"/>
      <w:r>
        <w:rPr>
          <w:rFonts w:ascii="Book Antiqua" w:eastAsia="Book Antiqua" w:hAnsi="Book Antiqua" w:cs="Book Antiqua"/>
          <w:color w:val="000000"/>
        </w:rPr>
        <w:t>Magdeleyns</w:t>
      </w:r>
      <w:proofErr w:type="spellEnd"/>
      <w:r>
        <w:rPr>
          <w:rFonts w:ascii="Book Antiqua" w:eastAsia="Book Antiqua" w:hAnsi="Book Antiqua" w:cs="Book Antiqua"/>
          <w:color w:val="000000"/>
        </w:rPr>
        <w:t xml:space="preserve"> E, Ahmed N, Vermeer C,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The effect of menaquinone-7 supplementation on circulating species of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225</w:t>
      </w:r>
      <w:r>
        <w:rPr>
          <w:rFonts w:ascii="Book Antiqua" w:eastAsia="Book Antiqua" w:hAnsi="Book Antiqua" w:cs="Book Antiqua"/>
          <w:color w:val="000000"/>
        </w:rPr>
        <w:t>: 397-402 [PMID: 23062766 DOI: 10.1016/j.atherosclerosis.2012.09.019]</w:t>
      </w:r>
    </w:p>
    <w:p w14:paraId="1FC62C2F" w14:textId="77777777" w:rsidR="00A77B3E" w:rsidRDefault="00B724A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Fabisiak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Fabisiak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Watala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Fichna</w:t>
      </w:r>
      <w:proofErr w:type="spellEnd"/>
      <w:r>
        <w:rPr>
          <w:rFonts w:ascii="Book Antiqua" w:eastAsia="Book Antiqua" w:hAnsi="Book Antiqua" w:cs="Book Antiqua"/>
          <w:color w:val="000000"/>
        </w:rPr>
        <w:t xml:space="preserve"> J. Fat-soluble Vitamin Deficiencies and Inflammatory Bowel Disease: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878-889 [PMID: 28858940 DOI: 10.1097/mcg.0000000000000911]</w:t>
      </w:r>
    </w:p>
    <w:p w14:paraId="1099C9D7" w14:textId="77777777" w:rsidR="00A77B3E" w:rsidRDefault="00B724A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Kuwabara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Tanaka K, </w:t>
      </w:r>
      <w:proofErr w:type="spellStart"/>
      <w:r>
        <w:rPr>
          <w:rFonts w:ascii="Book Antiqua" w:eastAsia="Book Antiqua" w:hAnsi="Book Antiqua" w:cs="Book Antiqua"/>
          <w:color w:val="000000"/>
        </w:rPr>
        <w:t>Tsugawa</w:t>
      </w:r>
      <w:proofErr w:type="spellEnd"/>
      <w:r>
        <w:rPr>
          <w:rFonts w:ascii="Book Antiqua" w:eastAsia="Book Antiqua" w:hAnsi="Book Antiqua" w:cs="Book Antiqua"/>
          <w:color w:val="000000"/>
        </w:rPr>
        <w:t xml:space="preserve"> N, Nakase H, Tsuji H, </w:t>
      </w:r>
      <w:proofErr w:type="spellStart"/>
      <w:r>
        <w:rPr>
          <w:rFonts w:ascii="Book Antiqua" w:eastAsia="Book Antiqua" w:hAnsi="Book Antiqua" w:cs="Book Antiqua"/>
          <w:color w:val="000000"/>
        </w:rPr>
        <w:t>Shide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Kamao</w:t>
      </w:r>
      <w:proofErr w:type="spellEnd"/>
      <w:r>
        <w:rPr>
          <w:rFonts w:ascii="Book Antiqua" w:eastAsia="Book Antiqua" w:hAnsi="Book Antiqua" w:cs="Book Antiqua"/>
          <w:color w:val="000000"/>
        </w:rPr>
        <w:t xml:space="preserve"> M, Chiba T, Inagaki N, Okano T, Kido S. High prevalence of vitamin K and D deficiency and decreased BMD in inflammatory bowel disease.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935-942 [PMID: 18825300 DOI: 10.1007/s00198-008-0764-2]</w:t>
      </w:r>
    </w:p>
    <w:p w14:paraId="76E0EA82" w14:textId="77777777" w:rsidR="00A77B3E" w:rsidRDefault="00B724A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Zallot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Quilliot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Guéant</w:t>
      </w:r>
      <w:proofErr w:type="spellEnd"/>
      <w:r>
        <w:rPr>
          <w:rFonts w:ascii="Book Antiqua" w:eastAsia="Book Antiqua" w:hAnsi="Book Antiqua" w:cs="Book Antiqua"/>
          <w:color w:val="000000"/>
        </w:rPr>
        <w:t xml:space="preserve">-Rodriguez RM, </w:t>
      </w:r>
      <w:proofErr w:type="spellStart"/>
      <w:r>
        <w:rPr>
          <w:rFonts w:ascii="Book Antiqua" w:eastAsia="Book Antiqua" w:hAnsi="Book Antiqua" w:cs="Book Antiqua"/>
          <w:color w:val="000000"/>
        </w:rPr>
        <w:t>Freling</w:t>
      </w:r>
      <w:proofErr w:type="spellEnd"/>
      <w:r>
        <w:rPr>
          <w:rFonts w:ascii="Book Antiqua" w:eastAsia="Book Antiqua" w:hAnsi="Book Antiqua" w:cs="Book Antiqua"/>
          <w:color w:val="000000"/>
        </w:rPr>
        <w:t xml:space="preserve"> E, Collet-</w:t>
      </w:r>
      <w:proofErr w:type="spellStart"/>
      <w:r>
        <w:rPr>
          <w:rFonts w:ascii="Book Antiqua" w:eastAsia="Book Antiqua" w:hAnsi="Book Antiqua" w:cs="Book Antiqua"/>
          <w:color w:val="000000"/>
        </w:rPr>
        <w:t>Fenetrier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Williet</w:t>
      </w:r>
      <w:proofErr w:type="spellEnd"/>
      <w:r>
        <w:rPr>
          <w:rFonts w:ascii="Book Antiqua" w:eastAsia="Book Antiqua" w:hAnsi="Book Antiqua" w:cs="Book Antiqua"/>
          <w:color w:val="000000"/>
        </w:rPr>
        <w:t xml:space="preserve"> N, Ziegler O, </w:t>
      </w:r>
      <w:proofErr w:type="spellStart"/>
      <w:r>
        <w:rPr>
          <w:rFonts w:ascii="Book Antiqua" w:eastAsia="Book Antiqua" w:hAnsi="Book Antiqua" w:cs="Book Antiqua"/>
          <w:color w:val="000000"/>
        </w:rPr>
        <w:t>Bigard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Guéant</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Dietary beliefs and behavior among inflammatory bowel disease patients.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66-72 [PMID: 22467242 DOI: 10.1002/ibd.22965]</w:t>
      </w:r>
    </w:p>
    <w:p w14:paraId="2D918047" w14:textId="77777777" w:rsidR="00A77B3E" w:rsidRDefault="00B724AE">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Lucendo</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De Rezende LC. Importance of nutrition in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2081-2088 [PMID: 19418580 DOI: 10.3748/wjg.15.]</w:t>
      </w:r>
    </w:p>
    <w:p w14:paraId="41F2F1CB" w14:textId="77777777" w:rsidR="00A77B3E" w:rsidRDefault="00B724A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O'Connor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Grealy</w:t>
      </w:r>
      <w:proofErr w:type="spellEnd"/>
      <w:r>
        <w:rPr>
          <w:rFonts w:ascii="Book Antiqua" w:eastAsia="Book Antiqua" w:hAnsi="Book Antiqua" w:cs="Book Antiqua"/>
          <w:color w:val="000000"/>
        </w:rPr>
        <w:t xml:space="preserve"> G, McCarthy J, Desmond A, Craig O, Shanahan F, Cashman KD. Effect of phylloquinone (vitamin K1) supplementation for 12 months on the indices of vitamin K status and bone health in adult patients with Crohn's disease.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112</w:t>
      </w:r>
      <w:r>
        <w:rPr>
          <w:rFonts w:ascii="Book Antiqua" w:eastAsia="Book Antiqua" w:hAnsi="Book Antiqua" w:cs="Book Antiqua"/>
          <w:color w:val="000000"/>
        </w:rPr>
        <w:t>: 1163-1174 [PMID: 25181575 DOI: 10.1017/s0007114514001913]</w:t>
      </w:r>
    </w:p>
    <w:p w14:paraId="2032D5F6" w14:textId="77777777" w:rsidR="00A77B3E" w:rsidRDefault="00B724A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Ballegooijen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The Role of Vitamin K Status in Cardiovascular Health: Evidence from Observational and Clinical Studies.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197-205 [PMID: 28944098 DOI: 10.1007/s13668-017-0208-8]</w:t>
      </w:r>
    </w:p>
    <w:p w14:paraId="5946F058" w14:textId="77777777" w:rsidR="00A77B3E" w:rsidRDefault="00B724A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Geleijnse</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Vermeer C,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van der Meer IM,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JC. Dietary intake of menaquinone is associated with a reduced risk of coronary heart disease: the Rotterdam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134</w:t>
      </w:r>
      <w:r>
        <w:rPr>
          <w:rFonts w:ascii="Book Antiqua" w:eastAsia="Book Antiqua" w:hAnsi="Book Antiqua" w:cs="Book Antiqua"/>
          <w:color w:val="000000"/>
        </w:rPr>
        <w:t>: 3100-3105 [PMID: 15514282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/134.11.3100]</w:t>
      </w:r>
    </w:p>
    <w:p w14:paraId="117F3FBB" w14:textId="77777777" w:rsidR="00A77B3E" w:rsidRDefault="00B724A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Gast GC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Sluijs</w:t>
      </w:r>
      <w:proofErr w:type="spellEnd"/>
      <w:r>
        <w:rPr>
          <w:rFonts w:ascii="Book Antiqua" w:eastAsia="Book Antiqua" w:hAnsi="Book Antiqua" w:cs="Book Antiqua"/>
          <w:color w:val="000000"/>
        </w:rPr>
        <w:t xml:space="preserve"> I, Bots ML,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Geleijnse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van der Schouw YT. A high menaquinone intake reduces the incidence of coronary heart disease.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Cardiovasc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504-510 [PMID: 19179058 DOI: 10.1016/j.numecd.2008.10.004]</w:t>
      </w:r>
    </w:p>
    <w:p w14:paraId="59BCA1A7" w14:textId="77777777" w:rsidR="00A77B3E" w:rsidRDefault="00B724A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Yarur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Deshpande AR, </w:t>
      </w:r>
      <w:proofErr w:type="spellStart"/>
      <w:r>
        <w:rPr>
          <w:rFonts w:ascii="Book Antiqua" w:eastAsia="Book Antiqua" w:hAnsi="Book Antiqua" w:cs="Book Antiqua"/>
          <w:color w:val="000000"/>
        </w:rPr>
        <w:t>Pechman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Tamariz</w:t>
      </w:r>
      <w:proofErr w:type="spellEnd"/>
      <w:r>
        <w:rPr>
          <w:rFonts w:ascii="Book Antiqua" w:eastAsia="Book Antiqua" w:hAnsi="Book Antiqua" w:cs="Book Antiqua"/>
          <w:color w:val="000000"/>
        </w:rPr>
        <w:t xml:space="preserve"> L, Abreu MT, Sussman DA. Inflammatory bowel disease is associated with an increased incidence of cardiovascular events.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741-747 [PMID: 21386828 DOI: 10.1038/ajg.2011.63]</w:t>
      </w:r>
    </w:p>
    <w:p w14:paraId="349270C4" w14:textId="77777777" w:rsidR="00A77B3E" w:rsidRDefault="00B724AE">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w:t>
      </w:r>
      <w:proofErr w:type="spellEnd"/>
      <w:r>
        <w:rPr>
          <w:rFonts w:ascii="Book Antiqua" w:eastAsia="Book Antiqua" w:hAnsi="Book Antiqua" w:cs="Book Antiqua"/>
          <w:color w:val="000000"/>
        </w:rPr>
        <w:t xml:space="preserve"> JA, Mowinckel P, </w:t>
      </w:r>
      <w:proofErr w:type="spellStart"/>
      <w:r>
        <w:rPr>
          <w:rFonts w:ascii="Book Antiqua" w:eastAsia="Book Antiqua" w:hAnsi="Book Antiqua" w:cs="Book Antiqua"/>
          <w:color w:val="000000"/>
        </w:rPr>
        <w:t>Aadland</w:t>
      </w:r>
      <w:proofErr w:type="spellEnd"/>
      <w:r>
        <w:rPr>
          <w:rFonts w:ascii="Book Antiqua" w:eastAsia="Book Antiqua" w:hAnsi="Book Antiqua" w:cs="Book Antiqua"/>
          <w:color w:val="000000"/>
        </w:rPr>
        <w:t xml:space="preserve"> E. Body composition in patients with inflammatory bowel disease: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1556-1562 [PMID: 12873577 DOI: 10.1111/j.1572-0241.2003.07520.x]</w:t>
      </w:r>
    </w:p>
    <w:p w14:paraId="70FCD4A9" w14:textId="77777777" w:rsidR="00A77B3E" w:rsidRDefault="00B724A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Geerling</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Badart-Smook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RW, Brummer RJ. Comprehensive nutritional status in recently diagnosed patients with inflammatory bowel disease compared with population controls.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54</w:t>
      </w:r>
      <w:r>
        <w:rPr>
          <w:rFonts w:ascii="Book Antiqua" w:eastAsia="Book Antiqua" w:hAnsi="Book Antiqua" w:cs="Book Antiqua"/>
          <w:color w:val="000000"/>
        </w:rPr>
        <w:t>: 514-521 [PMID: 10878655 DOI: 10.1038/sj.ejcn.1601049]</w:t>
      </w:r>
    </w:p>
    <w:p w14:paraId="2E773FD9" w14:textId="77777777" w:rsidR="00A77B3E" w:rsidRDefault="00B724A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Dalmeijer</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van der Schouw YT, Vermeer C, </w:t>
      </w:r>
      <w:proofErr w:type="spellStart"/>
      <w:r>
        <w:rPr>
          <w:rFonts w:ascii="Book Antiqua" w:eastAsia="Book Antiqua" w:hAnsi="Book Antiqua" w:cs="Book Antiqua"/>
          <w:color w:val="000000"/>
        </w:rPr>
        <w:t>Magdeleyns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Circulating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associated with coronary artery calcification and </w:t>
      </w:r>
      <w:r>
        <w:rPr>
          <w:rFonts w:ascii="Book Antiqua" w:eastAsia="Book Antiqua" w:hAnsi="Book Antiqua" w:cs="Book Antiqua"/>
          <w:color w:val="000000"/>
        </w:rPr>
        <w:lastRenderedPageBreak/>
        <w:t xml:space="preserve">vitamin K status in healthy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624-628 [PMID: 22819559 DOI: 10.1016/j.jnutbio.2012.02.012]</w:t>
      </w:r>
    </w:p>
    <w:p w14:paraId="2FD92367" w14:textId="77777777" w:rsidR="00A77B3E" w:rsidRDefault="00B724A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Budoff</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Shaw LJ, Liu ST, Weinstein SR, </w:t>
      </w:r>
      <w:proofErr w:type="spellStart"/>
      <w:r>
        <w:rPr>
          <w:rFonts w:ascii="Book Antiqua" w:eastAsia="Book Antiqua" w:hAnsi="Book Antiqua" w:cs="Book Antiqua"/>
          <w:color w:val="000000"/>
        </w:rPr>
        <w:t>Mosler</w:t>
      </w:r>
      <w:proofErr w:type="spellEnd"/>
      <w:r>
        <w:rPr>
          <w:rFonts w:ascii="Book Antiqua" w:eastAsia="Book Antiqua" w:hAnsi="Book Antiqua" w:cs="Book Antiqua"/>
          <w:color w:val="000000"/>
        </w:rPr>
        <w:t xml:space="preserve"> TP, Tseng PH, Flores FR, Callister TQ, Raggi P, Berman DS. Long-term prognosis associated with coronary calcification: observations from a registry of 25,253 patients.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1860-1870 [PMID: 17481445 DOI: 10.1016/j.jacc.2006.10.079]</w:t>
      </w:r>
    </w:p>
    <w:p w14:paraId="382FE968" w14:textId="77777777" w:rsidR="00A77B3E" w:rsidRDefault="00B724AE">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Shiraishi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Nakajima S, Inoue T, </w:t>
      </w:r>
      <w:proofErr w:type="spellStart"/>
      <w:r>
        <w:rPr>
          <w:rFonts w:ascii="Book Antiqua" w:eastAsia="Book Antiqua" w:hAnsi="Book Antiqua" w:cs="Book Antiqua"/>
          <w:color w:val="000000"/>
        </w:rPr>
        <w:t>Hiyama</w:t>
      </w:r>
      <w:proofErr w:type="spellEnd"/>
      <w:r>
        <w:rPr>
          <w:rFonts w:ascii="Book Antiqua" w:eastAsia="Book Antiqua" w:hAnsi="Book Antiqua" w:cs="Book Antiqua"/>
          <w:color w:val="000000"/>
        </w:rPr>
        <w:t xml:space="preserve"> S, Kawai S, Araki M, Yamaguchi T, Hayashi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Nishida T,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Vitamin K deficiency leads to exacerbation of murine dextran sulfate sodium-induced colitis.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346-356 [PMID: 26314836 DOI: 10.1007/s00535-015-1112-x]</w:t>
      </w:r>
    </w:p>
    <w:p w14:paraId="2119FD18" w14:textId="77777777" w:rsidR="00A77B3E" w:rsidRDefault="00B724A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Viegas</w:t>
      </w:r>
      <w:proofErr w:type="spellEnd"/>
      <w:r>
        <w:rPr>
          <w:rFonts w:ascii="Book Antiqua" w:eastAsia="Book Antiqua" w:hAnsi="Book Antiqua" w:cs="Book Antiqua"/>
          <w:b/>
          <w:bCs/>
          <w:color w:val="000000"/>
        </w:rPr>
        <w:t xml:space="preserve"> CSB</w:t>
      </w:r>
      <w:r>
        <w:rPr>
          <w:rFonts w:ascii="Book Antiqua" w:eastAsia="Book Antiqua" w:hAnsi="Book Antiqua" w:cs="Book Antiqua"/>
          <w:color w:val="000000"/>
        </w:rPr>
        <w:t xml:space="preserve">, Costa RM, Santos L, </w:t>
      </w:r>
      <w:proofErr w:type="spellStart"/>
      <w:r>
        <w:rPr>
          <w:rFonts w:ascii="Book Antiqua" w:eastAsia="Book Antiqua" w:hAnsi="Book Antiqua" w:cs="Book Antiqua"/>
          <w:color w:val="000000"/>
        </w:rPr>
        <w:t>Videira</w:t>
      </w:r>
      <w:proofErr w:type="spellEnd"/>
      <w:r>
        <w:rPr>
          <w:rFonts w:ascii="Book Antiqua" w:eastAsia="Book Antiqua" w:hAnsi="Book Antiqua" w:cs="Book Antiqua"/>
          <w:color w:val="000000"/>
        </w:rPr>
        <w:t xml:space="preserve"> PA, Silva Z, Araújo N, Macedo AL, Matos AP, Vermeer C,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-rich protein function as an anti-inflammatory agent in monocytes/macrophages: Implications for calcification-related chronic inflammatory diseases.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e0177829 [PMID: 28542410 DOI: 10.1371/journal.pone.0177829]</w:t>
      </w:r>
    </w:p>
    <w:p w14:paraId="7D0F520A" w14:textId="77777777" w:rsidR="00A77B3E" w:rsidRDefault="00B724A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Norouzinia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Chaleshi</w:t>
      </w:r>
      <w:proofErr w:type="spellEnd"/>
      <w:r>
        <w:rPr>
          <w:rFonts w:ascii="Book Antiqua" w:eastAsia="Book Antiqua" w:hAnsi="Book Antiqua" w:cs="Book Antiqua"/>
          <w:color w:val="000000"/>
        </w:rPr>
        <w:t xml:space="preserve"> V, Alizadeh AHM, Zali MR. Biomarkers in inflammatory bowel diseases: insight into diagnosis, prognosis and treatment.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155-167 [PMID: 29118930]</w:t>
      </w:r>
    </w:p>
    <w:p w14:paraId="4FCB3F0B" w14:textId="77777777" w:rsidR="00A77B3E" w:rsidRDefault="00B724A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 JJ</w:t>
      </w:r>
      <w:r>
        <w:rPr>
          <w:rFonts w:ascii="Book Antiqua" w:eastAsia="Book Antiqua" w:hAnsi="Book Antiqua" w:cs="Book Antiqua"/>
          <w:color w:val="000000"/>
        </w:rPr>
        <w:t xml:space="preserve">, Zhu CG, Yu B, Liu YX, Yu MY. The role of inflammation in coronary artery calcification.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263-270 [PMID: 17964226 DOI: 10.1016/j.arr.2007.09.001]</w:t>
      </w:r>
    </w:p>
    <w:p w14:paraId="433E7B1D" w14:textId="77777777" w:rsidR="00A77B3E" w:rsidRDefault="00B724A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Stompór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SulÅ‚owicz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DembiÅ„ska-KieÄ</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Janda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Tracz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Zdzienicka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Klimeczek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Janusz-Grzybowska</w:t>
      </w:r>
      <w:proofErr w:type="spellEnd"/>
      <w:r>
        <w:rPr>
          <w:rFonts w:ascii="Book Antiqua" w:eastAsia="Book Antiqua" w:hAnsi="Book Antiqua" w:cs="Book Antiqua"/>
          <w:color w:val="000000"/>
        </w:rPr>
        <w:t xml:space="preserve"> E. An association between coronary artery calcification score, lipid profile, and selected markers of chronic inflammation in ESRD patients treated with peritoneal dialysis.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203-211 [PMID: 12500238 DOI: 10.1053/ajkd.2003.50005]</w:t>
      </w:r>
    </w:p>
    <w:p w14:paraId="4F05D383" w14:textId="77777777" w:rsidR="00A77B3E" w:rsidRDefault="00B724A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TJ</w:t>
      </w:r>
      <w:r>
        <w:rPr>
          <w:rFonts w:ascii="Book Antiqua" w:eastAsia="Book Antiqua" w:hAnsi="Book Antiqua" w:cs="Book Antiqua"/>
          <w:color w:val="000000"/>
        </w:rPr>
        <w:t xml:space="preserve">, Larson MG, Levy D, Benjamin EJ, </w:t>
      </w:r>
      <w:proofErr w:type="spellStart"/>
      <w:r>
        <w:rPr>
          <w:rFonts w:ascii="Book Antiqua" w:eastAsia="Book Antiqua" w:hAnsi="Book Antiqua" w:cs="Book Antiqua"/>
          <w:color w:val="000000"/>
        </w:rPr>
        <w:t>Kupka</w:t>
      </w:r>
      <w:proofErr w:type="spellEnd"/>
      <w:r>
        <w:rPr>
          <w:rFonts w:ascii="Book Antiqua" w:eastAsia="Book Antiqua" w:hAnsi="Book Antiqua" w:cs="Book Antiqua"/>
          <w:color w:val="000000"/>
        </w:rPr>
        <w:t xml:space="preserve"> MJ, Manning WJ, Clouse ME, D'Agostino RB, Wilson PW, O'Donnell CJ. C-reactive protein is associated with subclinical epicardial coronary calcification in men and women: the Framingham Heart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1189-1191 [PMID: 12208790 DOI: 10.1161/01.cir.0000032135.98011.c4]</w:t>
      </w:r>
    </w:p>
    <w:p w14:paraId="2D902979" w14:textId="77777777" w:rsidR="00A77B3E" w:rsidRDefault="00B724A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Kristensen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Ahlehoff</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Lindhardsen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R, Jensen GV, Torp-Pedersen C, Nielsen OH,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GH, Hansen PR. Disease activity in inflammatory bowel disease is associated with increased risk of myocardial infarction, stroke and cardiovascular death--a Danish nationwide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e56944 [PMID: 23457642 DOI: 10.1371/journal.pone.0056944]</w:t>
      </w:r>
    </w:p>
    <w:p w14:paraId="186B3862" w14:textId="77777777" w:rsidR="00E513AD" w:rsidRDefault="00E513AD">
      <w:pPr>
        <w:spacing w:line="360" w:lineRule="auto"/>
        <w:jc w:val="both"/>
        <w:rPr>
          <w:rFonts w:ascii="Book Antiqua" w:eastAsia="Book Antiqua" w:hAnsi="Book Antiqua" w:cs="Book Antiqua"/>
          <w:b/>
          <w:color w:val="000000"/>
        </w:rPr>
      </w:pPr>
    </w:p>
    <w:p w14:paraId="21867C94" w14:textId="77777777" w:rsidR="00E513AD" w:rsidRDefault="00E513AD">
      <w:pPr>
        <w:spacing w:line="360" w:lineRule="auto"/>
        <w:jc w:val="both"/>
        <w:rPr>
          <w:rFonts w:ascii="Book Antiqua" w:eastAsia="Book Antiqua" w:hAnsi="Book Antiqua" w:cs="Book Antiqua"/>
          <w:b/>
          <w:color w:val="000000"/>
        </w:rPr>
      </w:pPr>
    </w:p>
    <w:p w14:paraId="5957ACF6" w14:textId="645EBD06" w:rsidR="00A77B3E" w:rsidRDefault="00B724AE">
      <w:pPr>
        <w:spacing w:line="360" w:lineRule="auto"/>
        <w:jc w:val="both"/>
      </w:pPr>
      <w:r>
        <w:rPr>
          <w:rFonts w:ascii="Book Antiqua" w:eastAsia="Book Antiqua" w:hAnsi="Book Antiqua" w:cs="Book Antiqua"/>
          <w:b/>
          <w:color w:val="000000"/>
        </w:rPr>
        <w:t>Footnotes</w:t>
      </w:r>
    </w:p>
    <w:p w14:paraId="13934AD0" w14:textId="77777777" w:rsidR="00A77B3E" w:rsidRDefault="00B724A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 Hospital of Split Institutional Review Board (Approval No. 2181-147-01/06/M.S.-17-2).</w:t>
      </w:r>
    </w:p>
    <w:p w14:paraId="14A9C131" w14:textId="77777777" w:rsidR="00A77B3E" w:rsidRDefault="00A77B3E">
      <w:pPr>
        <w:spacing w:line="360" w:lineRule="auto"/>
        <w:jc w:val="both"/>
      </w:pPr>
    </w:p>
    <w:p w14:paraId="4F652E0C" w14:textId="77777777" w:rsidR="00A77B3E" w:rsidRDefault="00B724A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77A45381" w14:textId="77777777" w:rsidR="00A77B3E" w:rsidRDefault="00A77B3E">
      <w:pPr>
        <w:spacing w:line="360" w:lineRule="auto"/>
        <w:jc w:val="both"/>
      </w:pPr>
    </w:p>
    <w:p w14:paraId="76247133" w14:textId="77777777" w:rsidR="00A77B3E" w:rsidRDefault="00B724A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set is available from the corresponding author at email: josko.bozic@mefst.hr.</w:t>
      </w:r>
    </w:p>
    <w:p w14:paraId="6F179CBF" w14:textId="77777777" w:rsidR="00A77B3E" w:rsidRDefault="00A77B3E">
      <w:pPr>
        <w:spacing w:line="360" w:lineRule="auto"/>
        <w:jc w:val="both"/>
      </w:pPr>
    </w:p>
    <w:p w14:paraId="77E548E3" w14:textId="77777777" w:rsidR="00A77B3E" w:rsidRDefault="00B724A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2A3642" w14:textId="77777777" w:rsidR="00A77B3E" w:rsidRDefault="00A77B3E">
      <w:pPr>
        <w:spacing w:line="360" w:lineRule="auto"/>
        <w:jc w:val="both"/>
      </w:pPr>
    </w:p>
    <w:p w14:paraId="18705D51" w14:textId="77777777" w:rsidR="00A77B3E" w:rsidRDefault="00B724A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DC07A31" w14:textId="77777777" w:rsidR="000F371B" w:rsidRDefault="000F371B">
      <w:pPr>
        <w:spacing w:line="360" w:lineRule="auto"/>
        <w:jc w:val="both"/>
      </w:pPr>
    </w:p>
    <w:p w14:paraId="29B8B003" w14:textId="77777777" w:rsidR="00A77B3E" w:rsidRDefault="00B724A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ECCO, 42093.</w:t>
      </w:r>
    </w:p>
    <w:p w14:paraId="2D4536C9" w14:textId="77777777" w:rsidR="00A77B3E" w:rsidRDefault="00A77B3E">
      <w:pPr>
        <w:spacing w:line="360" w:lineRule="auto"/>
        <w:jc w:val="both"/>
      </w:pPr>
    </w:p>
    <w:p w14:paraId="535392BD" w14:textId="77777777" w:rsidR="00A77B3E" w:rsidRDefault="00B724A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2020</w:t>
      </w:r>
    </w:p>
    <w:p w14:paraId="48312EB5" w14:textId="77777777" w:rsidR="00A77B3E" w:rsidRDefault="00B724A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14:paraId="21D9ABA0" w14:textId="77777777" w:rsidR="00A77B3E" w:rsidRDefault="00B724AE">
      <w:pPr>
        <w:spacing w:line="360" w:lineRule="auto"/>
        <w:jc w:val="both"/>
      </w:pPr>
      <w:r>
        <w:rPr>
          <w:rFonts w:ascii="Book Antiqua" w:eastAsia="Book Antiqua" w:hAnsi="Book Antiqua" w:cs="Book Antiqua"/>
          <w:b/>
          <w:color w:val="000000"/>
        </w:rPr>
        <w:t xml:space="preserve">Article in press: </w:t>
      </w:r>
    </w:p>
    <w:p w14:paraId="3699D2BF" w14:textId="77777777" w:rsidR="00A77B3E" w:rsidRDefault="00A77B3E">
      <w:pPr>
        <w:spacing w:line="360" w:lineRule="auto"/>
        <w:jc w:val="both"/>
      </w:pPr>
    </w:p>
    <w:p w14:paraId="4636B703" w14:textId="5AD1E3D4" w:rsidR="00A77B3E" w:rsidRDefault="00B724A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F371B">
        <w:rPr>
          <w:rFonts w:ascii="Book Antiqua" w:eastAsia="Book Antiqua" w:hAnsi="Book Antiqua" w:cs="Book Antiqua"/>
          <w:color w:val="000000"/>
        </w:rPr>
        <w:t>h</w:t>
      </w:r>
      <w:r>
        <w:rPr>
          <w:rFonts w:ascii="Book Antiqua" w:eastAsia="Book Antiqua" w:hAnsi="Book Antiqua" w:cs="Book Antiqua"/>
          <w:color w:val="000000"/>
        </w:rPr>
        <w:t>epatology</w:t>
      </w:r>
    </w:p>
    <w:p w14:paraId="3C17CED3" w14:textId="77777777" w:rsidR="00A77B3E" w:rsidRDefault="00B724A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8663B3B" w14:textId="77777777" w:rsidR="00A77B3E" w:rsidRDefault="00B724AE">
      <w:pPr>
        <w:spacing w:line="360" w:lineRule="auto"/>
        <w:jc w:val="both"/>
      </w:pPr>
      <w:r>
        <w:rPr>
          <w:rFonts w:ascii="Book Antiqua" w:eastAsia="Book Antiqua" w:hAnsi="Book Antiqua" w:cs="Book Antiqua"/>
          <w:b/>
          <w:color w:val="000000"/>
        </w:rPr>
        <w:t>Peer-review report’s scientific quality classification</w:t>
      </w:r>
    </w:p>
    <w:p w14:paraId="04FB4AB0" w14:textId="77777777" w:rsidR="00A77B3E" w:rsidRDefault="00B724AE">
      <w:pPr>
        <w:spacing w:line="360" w:lineRule="auto"/>
        <w:jc w:val="both"/>
      </w:pPr>
      <w:r>
        <w:rPr>
          <w:rFonts w:ascii="Book Antiqua" w:eastAsia="Book Antiqua" w:hAnsi="Book Antiqua" w:cs="Book Antiqua"/>
          <w:color w:val="000000"/>
        </w:rPr>
        <w:t>Grade A (Excellent): 0</w:t>
      </w:r>
    </w:p>
    <w:p w14:paraId="376CE5FB" w14:textId="77777777" w:rsidR="00A77B3E" w:rsidRDefault="00B724AE">
      <w:pPr>
        <w:spacing w:line="360" w:lineRule="auto"/>
        <w:jc w:val="both"/>
      </w:pPr>
      <w:r>
        <w:rPr>
          <w:rFonts w:ascii="Book Antiqua" w:eastAsia="Book Antiqua" w:hAnsi="Book Antiqua" w:cs="Book Antiqua"/>
          <w:color w:val="000000"/>
        </w:rPr>
        <w:t>Grade B (Very good): 0</w:t>
      </w:r>
    </w:p>
    <w:p w14:paraId="67BF8FD2" w14:textId="77777777" w:rsidR="00A77B3E" w:rsidRDefault="00B724AE">
      <w:pPr>
        <w:spacing w:line="360" w:lineRule="auto"/>
        <w:jc w:val="both"/>
      </w:pPr>
      <w:r>
        <w:rPr>
          <w:rFonts w:ascii="Book Antiqua" w:eastAsia="Book Antiqua" w:hAnsi="Book Antiqua" w:cs="Book Antiqua"/>
          <w:color w:val="000000"/>
        </w:rPr>
        <w:t>Grade C (Good): C</w:t>
      </w:r>
    </w:p>
    <w:p w14:paraId="3AFD49A0" w14:textId="77777777" w:rsidR="00A77B3E" w:rsidRDefault="00B724AE">
      <w:pPr>
        <w:spacing w:line="360" w:lineRule="auto"/>
        <w:jc w:val="both"/>
      </w:pPr>
      <w:r>
        <w:rPr>
          <w:rFonts w:ascii="Book Antiqua" w:eastAsia="Book Antiqua" w:hAnsi="Book Antiqua" w:cs="Book Antiqua"/>
          <w:color w:val="000000"/>
        </w:rPr>
        <w:t>Grade D (Fair): 0</w:t>
      </w:r>
    </w:p>
    <w:p w14:paraId="21FE4CE7" w14:textId="77777777" w:rsidR="00A77B3E" w:rsidRDefault="00B724AE">
      <w:pPr>
        <w:spacing w:line="360" w:lineRule="auto"/>
        <w:jc w:val="both"/>
      </w:pPr>
      <w:r>
        <w:rPr>
          <w:rFonts w:ascii="Book Antiqua" w:eastAsia="Book Antiqua" w:hAnsi="Book Antiqua" w:cs="Book Antiqua"/>
          <w:color w:val="000000"/>
        </w:rPr>
        <w:t>Grade E (Poor): 0</w:t>
      </w:r>
    </w:p>
    <w:p w14:paraId="33D9023A" w14:textId="77777777" w:rsidR="00A77B3E" w:rsidRDefault="00A77B3E">
      <w:pPr>
        <w:spacing w:line="360" w:lineRule="auto"/>
        <w:jc w:val="both"/>
      </w:pPr>
    </w:p>
    <w:p w14:paraId="11494E2B" w14:textId="77777777" w:rsidR="00D158A2" w:rsidRDefault="00B724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Poullis</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7630BE">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2DC0C792" w14:textId="77777777" w:rsidR="00D158A2" w:rsidRDefault="00D158A2">
      <w:pPr>
        <w:spacing w:line="360" w:lineRule="auto"/>
        <w:jc w:val="both"/>
        <w:rPr>
          <w:rFonts w:ascii="Book Antiqua" w:eastAsia="Book Antiqua" w:hAnsi="Book Antiqua" w:cs="Book Antiqua"/>
          <w:b/>
          <w:color w:val="000000"/>
        </w:rPr>
      </w:pPr>
    </w:p>
    <w:p w14:paraId="561CC101" w14:textId="77777777" w:rsidR="00D158A2" w:rsidRDefault="00D158A2">
      <w:pPr>
        <w:spacing w:line="360" w:lineRule="auto"/>
        <w:jc w:val="both"/>
        <w:rPr>
          <w:rFonts w:ascii="Book Antiqua" w:eastAsia="Book Antiqua" w:hAnsi="Book Antiqua" w:cs="Book Antiqua"/>
          <w:b/>
          <w:color w:val="000000"/>
        </w:rPr>
      </w:pPr>
    </w:p>
    <w:p w14:paraId="0A3C7FC8" w14:textId="57B5020E" w:rsidR="00A77B3E" w:rsidRDefault="00B724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BE9078F" w14:textId="77777777" w:rsidR="00D158A2" w:rsidRDefault="00D158A2">
      <w:pPr>
        <w:spacing w:line="360" w:lineRule="auto"/>
        <w:jc w:val="both"/>
        <w:rPr>
          <w:noProof/>
        </w:rPr>
      </w:pPr>
    </w:p>
    <w:p w14:paraId="13F30BDD" w14:textId="560794EC" w:rsidR="00D158A2" w:rsidRDefault="00D158A2">
      <w:pPr>
        <w:spacing w:line="360" w:lineRule="auto"/>
        <w:jc w:val="both"/>
      </w:pPr>
      <w:r>
        <w:rPr>
          <w:noProof/>
          <w:lang w:eastAsia="zh-CN"/>
        </w:rPr>
        <w:drawing>
          <wp:inline distT="0" distB="0" distL="0" distR="0" wp14:anchorId="5ABB12DF" wp14:editId="71D36647">
            <wp:extent cx="4983480" cy="21945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6924" t="9801" r="9231" b="24557"/>
                    <a:stretch/>
                  </pic:blipFill>
                  <pic:spPr bwMode="auto">
                    <a:xfrm>
                      <a:off x="0" y="0"/>
                      <a:ext cx="4983480"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45BBA1BC" w14:textId="7C583A8B" w:rsidR="00A77B3E" w:rsidRDefault="00B724AE">
      <w:pPr>
        <w:spacing w:line="360" w:lineRule="auto"/>
        <w:jc w:val="both"/>
      </w:pPr>
      <w:r>
        <w:rPr>
          <w:rFonts w:ascii="Book Antiqua" w:eastAsia="Book Antiqua" w:hAnsi="Book Antiqua" w:cs="Book Antiqua"/>
          <w:b/>
          <w:bCs/>
          <w:color w:val="000000"/>
        </w:rPr>
        <w:t xml:space="preserve">Figure 1 Plasma </w:t>
      </w:r>
      <w:r w:rsidR="008119EB" w:rsidRPr="008119EB">
        <w:rPr>
          <w:rFonts w:ascii="Book Antiqua" w:eastAsia="Book Antiqua" w:hAnsi="Book Antiqua" w:cs="Book Antiqua"/>
          <w:b/>
          <w:bCs/>
          <w:color w:val="000000"/>
        </w:rPr>
        <w:t xml:space="preserve">dephosphorylated and </w:t>
      </w:r>
      <w:proofErr w:type="spellStart"/>
      <w:r w:rsidR="008119EB" w:rsidRPr="008119EB">
        <w:rPr>
          <w:rFonts w:ascii="Book Antiqua" w:eastAsia="Book Antiqua" w:hAnsi="Book Antiqua" w:cs="Book Antiqua"/>
          <w:b/>
          <w:bCs/>
          <w:color w:val="000000"/>
        </w:rPr>
        <w:t>uncarboxylated</w:t>
      </w:r>
      <w:proofErr w:type="spellEnd"/>
      <w:r w:rsidR="008119EB" w:rsidRPr="008119EB">
        <w:rPr>
          <w:rFonts w:ascii="Book Antiqua" w:eastAsia="Book Antiqua" w:hAnsi="Book Antiqua" w:cs="Book Antiqua"/>
          <w:b/>
          <w:bCs/>
          <w:color w:val="000000"/>
        </w:rPr>
        <w:t xml:space="preserve"> matrix </w:t>
      </w:r>
      <w:proofErr w:type="spellStart"/>
      <w:r w:rsidR="008119EB" w:rsidRPr="008119EB">
        <w:rPr>
          <w:rFonts w:ascii="Book Antiqua" w:eastAsia="Book Antiqua" w:hAnsi="Book Antiqua" w:cs="Book Antiqua"/>
          <w:b/>
          <w:bCs/>
          <w:color w:val="000000"/>
        </w:rPr>
        <w:t>Gla</w:t>
      </w:r>
      <w:proofErr w:type="spellEnd"/>
      <w:r w:rsidR="008119EB" w:rsidRPr="008119EB">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levels in inflammatory bowel disease patients and control group (A) and between patients with </w:t>
      </w:r>
      <w:r>
        <w:rPr>
          <w:rFonts w:ascii="Book Antiqua" w:eastAsia="Book Antiqua" w:hAnsi="Book Antiqua" w:cs="Book Antiqua"/>
          <w:b/>
          <w:bCs/>
          <w:color w:val="000000"/>
        </w:rPr>
        <w:lastRenderedPageBreak/>
        <w:t>Crohn’s disease and ulcerative colitis (B).</w:t>
      </w:r>
      <w:r w:rsidR="00B9219D">
        <w:rPr>
          <w:rFonts w:hint="eastAsia"/>
          <w:lang w:eastAsia="zh-CN"/>
        </w:rPr>
        <w:t xml:space="preserve"> </w:t>
      </w:r>
      <w:proofErr w:type="spellStart"/>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0.432 </w:t>
      </w:r>
      <w:r>
        <w:rPr>
          <w:rFonts w:ascii="Book Antiqua" w:eastAsia="Book Antiqua" w:hAnsi="Book Antiqua" w:cs="Book Antiqua"/>
          <w:i/>
          <w:iCs/>
          <w:color w:val="000000"/>
        </w:rPr>
        <w:t xml:space="preserve">vs </w:t>
      </w:r>
      <w:r>
        <w:rPr>
          <w:rFonts w:ascii="Book Antiqua" w:eastAsia="Book Antiqua" w:hAnsi="Book Antiqua" w:cs="Book Antiqua"/>
          <w:color w:val="000000"/>
        </w:rPr>
        <w:t>ulcerative colitis group.</w:t>
      </w:r>
      <w:r w:rsidR="008119EB">
        <w:rPr>
          <w:rFonts w:ascii="Book Antiqua" w:eastAsia="Book Antiqua" w:hAnsi="Book Antiqua" w:cs="Book Antiqua"/>
          <w:color w:val="000000"/>
        </w:rPr>
        <w:t xml:space="preserve"> </w:t>
      </w:r>
      <w:proofErr w:type="spellStart"/>
      <w:r w:rsidR="008119EB" w:rsidRPr="00F42DB8">
        <w:rPr>
          <w:rFonts w:ascii="Book Antiqua" w:eastAsia="Book Antiqua" w:hAnsi="Book Antiqua" w:cs="Book Antiqua"/>
          <w:bCs/>
          <w:color w:val="000000"/>
        </w:rPr>
        <w:t>dp-ucMGP</w:t>
      </w:r>
      <w:proofErr w:type="spellEnd"/>
      <w:r w:rsidR="008119EB" w:rsidRPr="00F42DB8">
        <w:rPr>
          <w:rFonts w:ascii="Book Antiqua" w:eastAsia="Book Antiqua" w:hAnsi="Book Antiqua" w:cs="Book Antiqua"/>
          <w:bCs/>
          <w:color w:val="000000"/>
        </w:rPr>
        <w:t>:</w:t>
      </w:r>
      <w:r w:rsidR="008119EB">
        <w:rPr>
          <w:rFonts w:ascii="Book Antiqua" w:eastAsia="Book Antiqua" w:hAnsi="Book Antiqua" w:cs="Book Antiqua"/>
          <w:color w:val="000000"/>
        </w:rPr>
        <w:t xml:space="preserve"> </w:t>
      </w:r>
      <w:r w:rsidR="008119EB" w:rsidRPr="00F42DB8">
        <w:rPr>
          <w:rFonts w:ascii="Book Antiqua" w:eastAsia="Book Antiqua" w:hAnsi="Book Antiqua" w:cs="Book Antiqua"/>
          <w:caps/>
          <w:color w:val="000000"/>
        </w:rPr>
        <w:t>d</w:t>
      </w:r>
      <w:r w:rsidR="008119EB" w:rsidRPr="00F42DB8">
        <w:rPr>
          <w:rFonts w:ascii="Book Antiqua" w:eastAsia="Book Antiqua" w:hAnsi="Book Antiqua" w:cs="Book Antiqua"/>
          <w:color w:val="000000"/>
        </w:rPr>
        <w:t xml:space="preserve">ephosphorylated and </w:t>
      </w:r>
      <w:proofErr w:type="spellStart"/>
      <w:r w:rsidR="008119EB" w:rsidRPr="00F42DB8">
        <w:rPr>
          <w:rFonts w:ascii="Book Antiqua" w:eastAsia="Book Antiqua" w:hAnsi="Book Antiqua" w:cs="Book Antiqua"/>
          <w:color w:val="000000"/>
        </w:rPr>
        <w:t>uncarboxylated</w:t>
      </w:r>
      <w:proofErr w:type="spellEnd"/>
      <w:r w:rsidR="008119EB" w:rsidRPr="00F42DB8">
        <w:rPr>
          <w:rFonts w:ascii="Book Antiqua" w:eastAsia="Book Antiqua" w:hAnsi="Book Antiqua" w:cs="Book Antiqua"/>
          <w:color w:val="000000"/>
        </w:rPr>
        <w:t xml:space="preserve"> matrix </w:t>
      </w:r>
      <w:proofErr w:type="spellStart"/>
      <w:r w:rsidR="008119EB" w:rsidRPr="00F42DB8">
        <w:rPr>
          <w:rFonts w:ascii="Book Antiqua" w:eastAsia="Book Antiqua" w:hAnsi="Book Antiqua" w:cs="Book Antiqua"/>
          <w:color w:val="000000"/>
        </w:rPr>
        <w:t>Gla</w:t>
      </w:r>
      <w:proofErr w:type="spellEnd"/>
      <w:r w:rsidR="008119EB" w:rsidRPr="00F42DB8">
        <w:rPr>
          <w:rFonts w:ascii="Book Antiqua" w:eastAsia="Book Antiqua" w:hAnsi="Book Antiqua" w:cs="Book Antiqua"/>
          <w:color w:val="000000"/>
        </w:rPr>
        <w:t xml:space="preserve"> protein</w:t>
      </w:r>
      <w:r w:rsidR="008119EB">
        <w:rPr>
          <w:rFonts w:ascii="Book Antiqua" w:eastAsia="Book Antiqua" w:hAnsi="Book Antiqua" w:cs="Book Antiqua"/>
          <w:color w:val="000000"/>
        </w:rPr>
        <w:t>.</w:t>
      </w:r>
    </w:p>
    <w:p w14:paraId="79CE7215" w14:textId="77777777" w:rsidR="00D158A2" w:rsidRDefault="00D158A2">
      <w:pPr>
        <w:spacing w:line="360" w:lineRule="auto"/>
        <w:jc w:val="both"/>
        <w:rPr>
          <w:noProof/>
        </w:rPr>
      </w:pPr>
    </w:p>
    <w:p w14:paraId="4A388F80" w14:textId="595DAD4E" w:rsidR="00A77B3E" w:rsidRDefault="00D158A2">
      <w:pPr>
        <w:spacing w:line="360" w:lineRule="auto"/>
        <w:jc w:val="both"/>
      </w:pPr>
      <w:r>
        <w:rPr>
          <w:noProof/>
          <w:lang w:eastAsia="zh-CN"/>
        </w:rPr>
        <w:drawing>
          <wp:inline distT="0" distB="0" distL="0" distR="0" wp14:anchorId="0BB54589" wp14:editId="28F4FB69">
            <wp:extent cx="5219700" cy="2438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6794" t="12308" r="5386" b="14757"/>
                    <a:stretch/>
                  </pic:blipFill>
                  <pic:spPr bwMode="auto">
                    <a:xfrm>
                      <a:off x="0" y="0"/>
                      <a:ext cx="5219700"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6E839A50" w14:textId="06E07ECF" w:rsidR="00A77B3E" w:rsidRDefault="00B724AE">
      <w:pPr>
        <w:spacing w:line="360" w:lineRule="auto"/>
        <w:jc w:val="both"/>
      </w:pPr>
      <w:r>
        <w:rPr>
          <w:rFonts w:ascii="Book Antiqua" w:eastAsia="Book Antiqua" w:hAnsi="Book Antiqua" w:cs="Book Antiqua"/>
          <w:b/>
          <w:bCs/>
          <w:color w:val="000000"/>
        </w:rPr>
        <w:t xml:space="preserve">Figure 2 Correlation analysis between plasma </w:t>
      </w:r>
      <w:r w:rsidR="008119EB" w:rsidRPr="008119EB">
        <w:rPr>
          <w:rFonts w:ascii="Book Antiqua" w:eastAsia="Book Antiqua" w:hAnsi="Book Antiqua" w:cs="Book Antiqua"/>
          <w:b/>
          <w:bCs/>
          <w:color w:val="000000"/>
        </w:rPr>
        <w:t xml:space="preserve">dephosphorylated and </w:t>
      </w:r>
      <w:proofErr w:type="spellStart"/>
      <w:r w:rsidR="008119EB" w:rsidRPr="008119EB">
        <w:rPr>
          <w:rFonts w:ascii="Book Antiqua" w:eastAsia="Book Antiqua" w:hAnsi="Book Antiqua" w:cs="Book Antiqua"/>
          <w:b/>
          <w:bCs/>
          <w:color w:val="000000"/>
        </w:rPr>
        <w:t>uncarboxylated</w:t>
      </w:r>
      <w:proofErr w:type="spellEnd"/>
      <w:r w:rsidR="008119EB" w:rsidRPr="008119EB">
        <w:rPr>
          <w:rFonts w:ascii="Book Antiqua" w:eastAsia="Book Antiqua" w:hAnsi="Book Antiqua" w:cs="Book Antiqua"/>
          <w:b/>
          <w:bCs/>
          <w:color w:val="000000"/>
        </w:rPr>
        <w:t xml:space="preserve"> matrix </w:t>
      </w:r>
      <w:proofErr w:type="spellStart"/>
      <w:r w:rsidR="008119EB" w:rsidRPr="008119EB">
        <w:rPr>
          <w:rFonts w:ascii="Book Antiqua" w:eastAsia="Book Antiqua" w:hAnsi="Book Antiqua" w:cs="Book Antiqua"/>
          <w:b/>
          <w:bCs/>
          <w:color w:val="000000"/>
        </w:rPr>
        <w:t>Gla</w:t>
      </w:r>
      <w:proofErr w:type="spellEnd"/>
      <w:r w:rsidR="008119EB" w:rsidRPr="008119EB">
        <w:rPr>
          <w:rFonts w:ascii="Book Antiqua" w:eastAsia="Book Antiqua" w:hAnsi="Book Antiqua" w:cs="Book Antiqua"/>
          <w:b/>
          <w:bCs/>
          <w:color w:val="000000"/>
        </w:rPr>
        <w:t xml:space="preserve"> protein</w:t>
      </w:r>
      <w:r w:rsidR="002B5FE5">
        <w:rPr>
          <w:rFonts w:ascii="Book Antiqua" w:eastAsia="Book Antiqua" w:hAnsi="Book Antiqua" w:cs="Book Antiqua"/>
          <w:b/>
          <w:bCs/>
          <w:color w:val="000000"/>
        </w:rPr>
        <w:t xml:space="preserve"> </w:t>
      </w:r>
      <w:r>
        <w:rPr>
          <w:rFonts w:ascii="Book Antiqua" w:eastAsia="Book Antiqua" w:hAnsi="Book Antiqua" w:cs="Book Antiqua"/>
          <w:b/>
          <w:bCs/>
          <w:color w:val="000000"/>
        </w:rPr>
        <w:t>levels and fecal calprotectin (A) and disease duration (B) in patients with inflammatory bowel disease (</w:t>
      </w:r>
      <w:r>
        <w:rPr>
          <w:rFonts w:ascii="Book Antiqua" w:eastAsia="Book Antiqua" w:hAnsi="Book Antiqua" w:cs="Book Antiqua"/>
          <w:b/>
          <w:bCs/>
          <w:i/>
          <w:iCs/>
          <w:color w:val="000000"/>
        </w:rPr>
        <w:t xml:space="preserve">n </w:t>
      </w:r>
      <w:r>
        <w:rPr>
          <w:rFonts w:ascii="Book Antiqua" w:eastAsia="Book Antiqua" w:hAnsi="Book Antiqua" w:cs="Book Antiqua"/>
          <w:b/>
          <w:bCs/>
          <w:color w:val="000000"/>
        </w:rPr>
        <w:t>= 70).</w:t>
      </w:r>
      <w:r w:rsidR="0022133E">
        <w:rPr>
          <w:rFonts w:hint="eastAsi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Pr="0022133E">
        <w:rPr>
          <w:rFonts w:ascii="Book Antiqua" w:eastAsia="Book Antiqua" w:hAnsi="Book Antiqua" w:cs="Book Antiqua"/>
          <w:i/>
          <w:color w:val="000000"/>
        </w:rPr>
        <w:t>r</w:t>
      </w:r>
      <w:r>
        <w:rPr>
          <w:rFonts w:ascii="Book Antiqua" w:eastAsia="Book Antiqua" w:hAnsi="Book Antiqua" w:cs="Book Antiqua"/>
          <w:color w:val="000000"/>
        </w:rPr>
        <w:t xml:space="preserve"> = 0.396; </w:t>
      </w:r>
      <w:proofErr w:type="spellStart"/>
      <w:r>
        <w:rPr>
          <w:rFonts w:ascii="Book Antiqua" w:eastAsia="Book Antiqua" w:hAnsi="Book Antiqua" w:cs="Book Antiqua"/>
          <w:i/>
          <w:iCs/>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0.115, </w:t>
      </w:r>
      <w:r w:rsidRPr="0022133E">
        <w:rPr>
          <w:rFonts w:ascii="Book Antiqua" w:eastAsia="Book Antiqua" w:hAnsi="Book Antiqua" w:cs="Book Antiqua"/>
          <w:i/>
          <w:color w:val="000000"/>
        </w:rPr>
        <w:t>r</w:t>
      </w:r>
      <w:r>
        <w:rPr>
          <w:rFonts w:ascii="Book Antiqua" w:eastAsia="Book Antiqua" w:hAnsi="Book Antiqua" w:cs="Book Antiqua"/>
          <w:color w:val="000000"/>
        </w:rPr>
        <w:t xml:space="preserve"> = -0.190.</w:t>
      </w:r>
      <w:r w:rsidR="00F42DB8" w:rsidRPr="00F42DB8">
        <w:rPr>
          <w:rFonts w:ascii="Book Antiqua" w:eastAsia="Book Antiqua" w:hAnsi="Book Antiqua" w:cs="Book Antiqua"/>
          <w:b/>
          <w:bCs/>
          <w:color w:val="000000"/>
        </w:rPr>
        <w:t xml:space="preserve"> </w:t>
      </w:r>
      <w:proofErr w:type="spellStart"/>
      <w:r w:rsidR="00F42DB8" w:rsidRPr="00F42DB8">
        <w:rPr>
          <w:rFonts w:ascii="Book Antiqua" w:eastAsia="Book Antiqua" w:hAnsi="Book Antiqua" w:cs="Book Antiqua"/>
          <w:bCs/>
          <w:color w:val="000000"/>
        </w:rPr>
        <w:t>dp-ucMGP</w:t>
      </w:r>
      <w:proofErr w:type="spellEnd"/>
      <w:r w:rsidR="00F42DB8" w:rsidRPr="00F42DB8">
        <w:rPr>
          <w:rFonts w:ascii="Book Antiqua" w:eastAsia="Book Antiqua" w:hAnsi="Book Antiqua" w:cs="Book Antiqua"/>
          <w:bCs/>
          <w:color w:val="000000"/>
        </w:rPr>
        <w:t>:</w:t>
      </w:r>
      <w:r w:rsidR="00F42DB8">
        <w:rPr>
          <w:rFonts w:ascii="Book Antiqua" w:eastAsia="Book Antiqua" w:hAnsi="Book Antiqua" w:cs="Book Antiqua"/>
          <w:color w:val="000000"/>
        </w:rPr>
        <w:t xml:space="preserve"> </w:t>
      </w:r>
      <w:r w:rsidR="00F42DB8" w:rsidRPr="00F42DB8">
        <w:rPr>
          <w:rFonts w:ascii="Book Antiqua" w:eastAsia="Book Antiqua" w:hAnsi="Book Antiqua" w:cs="Book Antiqua"/>
          <w:caps/>
          <w:color w:val="000000"/>
        </w:rPr>
        <w:t>d</w:t>
      </w:r>
      <w:r w:rsidR="00F42DB8" w:rsidRPr="00F42DB8">
        <w:rPr>
          <w:rFonts w:ascii="Book Antiqua" w:eastAsia="Book Antiqua" w:hAnsi="Book Antiqua" w:cs="Book Antiqua"/>
          <w:color w:val="000000"/>
        </w:rPr>
        <w:t xml:space="preserve">ephosphorylated and </w:t>
      </w:r>
      <w:proofErr w:type="spellStart"/>
      <w:r w:rsidR="00F42DB8" w:rsidRPr="00F42DB8">
        <w:rPr>
          <w:rFonts w:ascii="Book Antiqua" w:eastAsia="Book Antiqua" w:hAnsi="Book Antiqua" w:cs="Book Antiqua"/>
          <w:color w:val="000000"/>
        </w:rPr>
        <w:t>uncarboxylated</w:t>
      </w:r>
      <w:proofErr w:type="spellEnd"/>
      <w:r w:rsidR="00F42DB8" w:rsidRPr="00F42DB8">
        <w:rPr>
          <w:rFonts w:ascii="Book Antiqua" w:eastAsia="Book Antiqua" w:hAnsi="Book Antiqua" w:cs="Book Antiqua"/>
          <w:color w:val="000000"/>
        </w:rPr>
        <w:t xml:space="preserve"> matrix </w:t>
      </w:r>
      <w:proofErr w:type="spellStart"/>
      <w:r w:rsidR="00F42DB8" w:rsidRPr="00F42DB8">
        <w:rPr>
          <w:rFonts w:ascii="Book Antiqua" w:eastAsia="Book Antiqua" w:hAnsi="Book Antiqua" w:cs="Book Antiqua"/>
          <w:color w:val="000000"/>
        </w:rPr>
        <w:t>Gla</w:t>
      </w:r>
      <w:proofErr w:type="spellEnd"/>
      <w:r w:rsidR="00F42DB8" w:rsidRPr="00F42DB8">
        <w:rPr>
          <w:rFonts w:ascii="Book Antiqua" w:eastAsia="Book Antiqua" w:hAnsi="Book Antiqua" w:cs="Book Antiqua"/>
          <w:color w:val="000000"/>
        </w:rPr>
        <w:t xml:space="preserve"> protein</w:t>
      </w:r>
      <w:r w:rsidR="00F42DB8">
        <w:rPr>
          <w:rFonts w:ascii="Book Antiqua" w:eastAsia="Book Antiqua" w:hAnsi="Book Antiqua" w:cs="Book Antiqua"/>
          <w:color w:val="000000"/>
        </w:rPr>
        <w:t>.</w:t>
      </w:r>
    </w:p>
    <w:p w14:paraId="494537D7" w14:textId="7F7C0945" w:rsidR="00D158A2" w:rsidRDefault="00D158A2">
      <w:pPr>
        <w:spacing w:line="360" w:lineRule="auto"/>
        <w:jc w:val="both"/>
        <w:rPr>
          <w:rFonts w:ascii="Book Antiqua" w:eastAsia="Book Antiqua" w:hAnsi="Book Antiqua" w:cs="Book Antiqua"/>
          <w:b/>
          <w:bCs/>
          <w:color w:val="000000"/>
        </w:rPr>
      </w:pPr>
    </w:p>
    <w:p w14:paraId="547C97EC" w14:textId="0D6006D8" w:rsidR="00D158A2" w:rsidRDefault="00D158A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62EB2AD4" wp14:editId="2B98B1A4">
            <wp:extent cx="5943600" cy="3343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F3DE3A0" w14:textId="5945A99F" w:rsidR="00A77B3E" w:rsidRPr="00485FDB" w:rsidRDefault="00B724AE">
      <w:pPr>
        <w:spacing w:line="360" w:lineRule="auto"/>
        <w:jc w:val="both"/>
      </w:pPr>
      <w:r>
        <w:rPr>
          <w:rFonts w:ascii="Book Antiqua" w:eastAsia="Book Antiqua" w:hAnsi="Book Antiqua" w:cs="Book Antiqua"/>
          <w:b/>
          <w:bCs/>
          <w:color w:val="000000"/>
        </w:rPr>
        <w:t xml:space="preserve">Figure 3 Correlation analysis between plasma </w:t>
      </w:r>
      <w:r w:rsidR="00F42DB8" w:rsidRPr="00F42DB8">
        <w:rPr>
          <w:rFonts w:ascii="Book Antiqua" w:eastAsia="Book Antiqua" w:hAnsi="Book Antiqua" w:cs="Book Antiqua"/>
          <w:b/>
          <w:bCs/>
          <w:color w:val="000000"/>
        </w:rPr>
        <w:t xml:space="preserve">dephosphorylated and </w:t>
      </w:r>
      <w:proofErr w:type="spellStart"/>
      <w:r w:rsidR="00F42DB8" w:rsidRPr="00F42DB8">
        <w:rPr>
          <w:rFonts w:ascii="Book Antiqua" w:eastAsia="Book Antiqua" w:hAnsi="Book Antiqua" w:cs="Book Antiqua"/>
          <w:b/>
          <w:bCs/>
          <w:color w:val="000000"/>
        </w:rPr>
        <w:t>uncarboxylated</w:t>
      </w:r>
      <w:proofErr w:type="spellEnd"/>
      <w:r w:rsidR="00F42DB8" w:rsidRPr="00F42DB8">
        <w:rPr>
          <w:rFonts w:ascii="Book Antiqua" w:eastAsia="Book Antiqua" w:hAnsi="Book Antiqua" w:cs="Book Antiqua"/>
          <w:b/>
          <w:bCs/>
          <w:color w:val="000000"/>
        </w:rPr>
        <w:t xml:space="preserve"> matrix </w:t>
      </w:r>
      <w:proofErr w:type="spellStart"/>
      <w:r w:rsidR="00F42DB8" w:rsidRPr="00F42DB8">
        <w:rPr>
          <w:rFonts w:ascii="Book Antiqua" w:eastAsia="Book Antiqua" w:hAnsi="Book Antiqua" w:cs="Book Antiqua"/>
          <w:b/>
          <w:bCs/>
          <w:color w:val="000000"/>
        </w:rPr>
        <w:t>Gla</w:t>
      </w:r>
      <w:proofErr w:type="spellEnd"/>
      <w:r w:rsidR="00F42DB8" w:rsidRPr="00F42DB8">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levels and age (A), body Mass Index (B) waist circumference (C) and </w:t>
      </w:r>
      <w:proofErr w:type="spellStart"/>
      <w:r>
        <w:rPr>
          <w:rFonts w:ascii="Book Antiqua" w:eastAsia="Book Antiqua" w:hAnsi="Book Antiqua" w:cs="Book Antiqua"/>
          <w:b/>
          <w:bCs/>
          <w:color w:val="000000"/>
        </w:rPr>
        <w:t>hsCRP</w:t>
      </w:r>
      <w:proofErr w:type="spellEnd"/>
      <w:r>
        <w:rPr>
          <w:rFonts w:ascii="Book Antiqua" w:eastAsia="Book Antiqua" w:hAnsi="Book Antiqua" w:cs="Book Antiqua"/>
          <w:b/>
          <w:bCs/>
          <w:color w:val="000000"/>
        </w:rPr>
        <w:t xml:space="preserve"> (D) in total study population (</w:t>
      </w:r>
      <w:r>
        <w:rPr>
          <w:rFonts w:ascii="Book Antiqua" w:eastAsia="Book Antiqua" w:hAnsi="Book Antiqua" w:cs="Book Antiqua"/>
          <w:b/>
          <w:bCs/>
          <w:i/>
          <w:iCs/>
          <w:color w:val="000000"/>
        </w:rPr>
        <w:t xml:space="preserve">n </w:t>
      </w:r>
      <w:r>
        <w:rPr>
          <w:rFonts w:ascii="Book Antiqua" w:eastAsia="Book Antiqua" w:hAnsi="Book Antiqua" w:cs="Book Antiqua"/>
          <w:b/>
          <w:bCs/>
          <w:color w:val="000000"/>
        </w:rPr>
        <w:t>= 130).</w:t>
      </w:r>
      <w:r w:rsidR="00485FDB">
        <w:rPr>
          <w:rFonts w:hint="eastAsi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0.016, r = 0.210; </w:t>
      </w:r>
      <w:proofErr w:type="spellStart"/>
      <w:r>
        <w:rPr>
          <w:rFonts w:ascii="Book Antiqua" w:eastAsia="Book Antiqua" w:hAnsi="Book Antiqua" w:cs="Book Antiqua"/>
          <w:i/>
          <w:iCs/>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0.289, r = 0.094; </w:t>
      </w:r>
      <w:proofErr w:type="spellStart"/>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0.002, </w:t>
      </w:r>
      <w:r w:rsidRPr="00396B18">
        <w:rPr>
          <w:rFonts w:ascii="Book Antiqua" w:eastAsia="Book Antiqua" w:hAnsi="Book Antiqua" w:cs="Book Antiqua"/>
          <w:i/>
          <w:color w:val="000000"/>
        </w:rPr>
        <w:t>r</w:t>
      </w:r>
      <w:r>
        <w:rPr>
          <w:rFonts w:ascii="Book Antiqua" w:eastAsia="Book Antiqua" w:hAnsi="Book Antiqua" w:cs="Book Antiqua"/>
          <w:color w:val="000000"/>
        </w:rPr>
        <w:t xml:space="preserve"> = 0.264; </w:t>
      </w:r>
      <w:proofErr w:type="spellStart"/>
      <w:r w:rsidRPr="00396B18">
        <w:rPr>
          <w:rFonts w:ascii="Book Antiqua" w:eastAsia="Book Antiqua" w:hAnsi="Book Antiqua" w:cs="Book Antiqua"/>
          <w:iCs/>
          <w:color w:val="000000"/>
          <w:szCs w:val="20"/>
          <w:vertAlign w:val="superscript"/>
        </w:rPr>
        <w:t>d</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Pr="00396B18">
        <w:rPr>
          <w:rFonts w:ascii="Book Antiqua" w:eastAsia="Book Antiqua" w:hAnsi="Book Antiqua" w:cs="Book Antiqua"/>
          <w:i/>
          <w:color w:val="000000"/>
        </w:rPr>
        <w:t>r</w:t>
      </w:r>
      <w:r>
        <w:rPr>
          <w:rFonts w:ascii="Book Antiqua" w:eastAsia="Book Antiqua" w:hAnsi="Book Antiqua" w:cs="Book Antiqua"/>
          <w:color w:val="000000"/>
        </w:rPr>
        <w:t xml:space="preserve"> = 0.477.</w:t>
      </w:r>
    </w:p>
    <w:p w14:paraId="654F606E" w14:textId="77777777" w:rsidR="007E3DC1" w:rsidRDefault="007E3DC1">
      <w:pPr>
        <w:spacing w:line="360" w:lineRule="auto"/>
        <w:jc w:val="both"/>
      </w:pPr>
    </w:p>
    <w:p w14:paraId="24522A99" w14:textId="1126F17B" w:rsidR="00A77B3E" w:rsidRDefault="00D158A2">
      <w:pPr>
        <w:spacing w:line="360" w:lineRule="auto"/>
        <w:jc w:val="both"/>
      </w:pPr>
      <w:r>
        <w:rPr>
          <w:noProof/>
          <w:lang w:eastAsia="zh-CN"/>
        </w:rPr>
        <w:drawing>
          <wp:inline distT="0" distB="0" distL="0" distR="0" wp14:anchorId="3AB70BF3" wp14:editId="539CCC37">
            <wp:extent cx="5943600" cy="3343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640130A" w14:textId="0AA86E4E" w:rsidR="00A77B3E" w:rsidRPr="00553930" w:rsidRDefault="00B724AE">
      <w:pPr>
        <w:spacing w:line="360" w:lineRule="auto"/>
        <w:jc w:val="both"/>
      </w:pPr>
      <w:r>
        <w:rPr>
          <w:rFonts w:ascii="Book Antiqua" w:eastAsia="Book Antiqua" w:hAnsi="Book Antiqua" w:cs="Book Antiqua"/>
          <w:b/>
          <w:bCs/>
          <w:color w:val="000000"/>
        </w:rPr>
        <w:lastRenderedPageBreak/>
        <w:t xml:space="preserve">Figure 4 </w:t>
      </w:r>
      <w:r w:rsidR="00F42DB8" w:rsidRPr="00F42DB8">
        <w:rPr>
          <w:rFonts w:ascii="Book Antiqua" w:eastAsia="Book Antiqua" w:hAnsi="Book Antiqua" w:cs="Book Antiqua"/>
          <w:b/>
          <w:bCs/>
          <w:caps/>
          <w:color w:val="000000"/>
        </w:rPr>
        <w:t>d</w:t>
      </w:r>
      <w:r w:rsidR="00F42DB8" w:rsidRPr="00F42DB8">
        <w:rPr>
          <w:rFonts w:ascii="Book Antiqua" w:eastAsia="Book Antiqua" w:hAnsi="Book Antiqua" w:cs="Book Antiqua"/>
          <w:b/>
          <w:bCs/>
          <w:color w:val="000000"/>
        </w:rPr>
        <w:t xml:space="preserve">ephosphorylated and </w:t>
      </w:r>
      <w:proofErr w:type="spellStart"/>
      <w:r w:rsidR="00F42DB8" w:rsidRPr="00F42DB8">
        <w:rPr>
          <w:rFonts w:ascii="Book Antiqua" w:eastAsia="Book Antiqua" w:hAnsi="Book Antiqua" w:cs="Book Antiqua"/>
          <w:b/>
          <w:bCs/>
          <w:color w:val="000000"/>
        </w:rPr>
        <w:t>uncarboxylated</w:t>
      </w:r>
      <w:proofErr w:type="spellEnd"/>
      <w:r w:rsidR="00F42DB8" w:rsidRPr="00F42DB8">
        <w:rPr>
          <w:rFonts w:ascii="Book Antiqua" w:eastAsia="Book Antiqua" w:hAnsi="Book Antiqua" w:cs="Book Antiqua"/>
          <w:b/>
          <w:bCs/>
          <w:color w:val="000000"/>
        </w:rPr>
        <w:t xml:space="preserve"> matrix </w:t>
      </w:r>
      <w:proofErr w:type="spellStart"/>
      <w:r w:rsidR="00F42DB8" w:rsidRPr="00F42DB8">
        <w:rPr>
          <w:rFonts w:ascii="Book Antiqua" w:eastAsia="Book Antiqua" w:hAnsi="Book Antiqua" w:cs="Book Antiqua"/>
          <w:b/>
          <w:bCs/>
          <w:color w:val="000000"/>
        </w:rPr>
        <w:t>Gla</w:t>
      </w:r>
      <w:proofErr w:type="spellEnd"/>
      <w:r w:rsidR="00F42DB8" w:rsidRPr="00F42DB8">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concentrations between </w:t>
      </w:r>
      <w:proofErr w:type="spellStart"/>
      <w:r>
        <w:rPr>
          <w:rFonts w:ascii="Book Antiqua" w:eastAsia="Book Antiqua" w:hAnsi="Book Antiqua" w:cs="Book Antiqua"/>
          <w:b/>
          <w:bCs/>
          <w:color w:val="000000"/>
        </w:rPr>
        <w:t>tertiles</w:t>
      </w:r>
      <w:proofErr w:type="spellEnd"/>
      <w:r>
        <w:rPr>
          <w:rFonts w:ascii="Book Antiqua" w:eastAsia="Book Antiqua" w:hAnsi="Book Antiqua" w:cs="Book Antiqua"/>
          <w:b/>
          <w:bCs/>
          <w:color w:val="000000"/>
        </w:rPr>
        <w:t xml:space="preserve"> of high sensitivity C-reactive protein (A) and FC levels (B) fecal calprotectin-fecal calprotectin; high sensitivity C-reactive protein-high sensitivity C-reactive protein.</w:t>
      </w:r>
      <w:r w:rsidR="00553930">
        <w:rPr>
          <w:rFonts w:hint="eastAsia"/>
          <w:lang w:eastAsia="zh-CN"/>
        </w:rPr>
        <w:t xml:space="preserve"> </w:t>
      </w:r>
      <w:r>
        <w:rPr>
          <w:rFonts w:ascii="Book Antiqua" w:eastAsia="Book Antiqua" w:hAnsi="Book Antiqua" w:cs="Book Antiqua"/>
          <w:color w:val="000000"/>
        </w:rPr>
        <w:t xml:space="preserve">Tested with one-way analysis of variance with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Sceffé</w:t>
      </w:r>
      <w:proofErr w:type="spellEnd"/>
      <w:r>
        <w:rPr>
          <w:rFonts w:ascii="Book Antiqua" w:eastAsia="Book Antiqua" w:hAnsi="Book Antiqua" w:cs="Book Antiqua"/>
          <w:color w:val="000000"/>
        </w:rPr>
        <w:t xml:space="preserve"> test to examine differences between each of the groups; </w:t>
      </w:r>
      <w:proofErr w:type="spellStart"/>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first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second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first FC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d</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second FC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High sensitivity C-reactive protein; FC: Fecal calprotectin.</w:t>
      </w:r>
    </w:p>
    <w:p w14:paraId="56AE6438" w14:textId="77777777" w:rsidR="00D158A2" w:rsidRDefault="00D158A2" w:rsidP="00D158A2">
      <w:pPr>
        <w:pStyle w:val="MDPI32textnoindent"/>
        <w:spacing w:line="360" w:lineRule="auto"/>
        <w:ind w:leftChars="100" w:left="240"/>
        <w:rPr>
          <w:rFonts w:ascii="Book Antiqua" w:hAnsi="Book Antiqua"/>
          <w:b/>
          <w:sz w:val="24"/>
          <w:szCs w:val="24"/>
        </w:rPr>
      </w:pPr>
    </w:p>
    <w:p w14:paraId="373BCA76" w14:textId="77777777" w:rsidR="00654EF5" w:rsidRDefault="00654EF5">
      <w:pPr>
        <w:rPr>
          <w:rFonts w:ascii="Book Antiqua" w:eastAsia="Times New Roman" w:hAnsi="Book Antiqua"/>
          <w:b/>
          <w:snapToGrid w:val="0"/>
          <w:color w:val="000000"/>
          <w:lang w:eastAsia="de-DE" w:bidi="en-US"/>
        </w:rPr>
      </w:pPr>
      <w:r>
        <w:rPr>
          <w:rFonts w:ascii="Book Antiqua" w:hAnsi="Book Antiqua"/>
          <w:b/>
        </w:rPr>
        <w:br w:type="page"/>
      </w:r>
    </w:p>
    <w:p w14:paraId="64916015" w14:textId="2666223A" w:rsidR="00D158A2" w:rsidRPr="00620BF6" w:rsidRDefault="00D158A2" w:rsidP="00D158A2">
      <w:pPr>
        <w:pStyle w:val="MDPI32textnoindent"/>
        <w:spacing w:line="360" w:lineRule="auto"/>
        <w:ind w:leftChars="100" w:left="240"/>
        <w:rPr>
          <w:rFonts w:ascii="Book Antiqua" w:hAnsi="Book Antiqua"/>
          <w:b/>
          <w:bCs/>
          <w:sz w:val="24"/>
          <w:szCs w:val="24"/>
        </w:rPr>
      </w:pPr>
      <w:r w:rsidRPr="00620BF6">
        <w:rPr>
          <w:rFonts w:ascii="Book Antiqua" w:hAnsi="Book Antiqua"/>
          <w:b/>
          <w:sz w:val="24"/>
          <w:szCs w:val="24"/>
        </w:rPr>
        <w:lastRenderedPageBreak/>
        <w:t>Table 1</w:t>
      </w:r>
      <w:r w:rsidRPr="00620BF6">
        <w:rPr>
          <w:rFonts w:ascii="Book Antiqua" w:hAnsi="Book Antiqua"/>
          <w:sz w:val="24"/>
          <w:szCs w:val="24"/>
        </w:rPr>
        <w:t xml:space="preserve"> </w:t>
      </w:r>
      <w:r w:rsidRPr="00620BF6">
        <w:rPr>
          <w:rFonts w:ascii="Book Antiqua" w:hAnsi="Book Antiqua"/>
          <w:b/>
          <w:bCs/>
          <w:sz w:val="24"/>
          <w:szCs w:val="24"/>
        </w:rPr>
        <w:t xml:space="preserve">Baseline characteristics of </w:t>
      </w:r>
      <w:r w:rsidRPr="00620BF6">
        <w:rPr>
          <w:rFonts w:ascii="Book Antiqua" w:eastAsia="Book Antiqua" w:hAnsi="Book Antiqua" w:cs="Book Antiqua"/>
          <w:b/>
          <w:bCs/>
          <w:sz w:val="24"/>
          <w:szCs w:val="24"/>
        </w:rPr>
        <w:t>inflammatory bowel disease</w:t>
      </w:r>
      <w:r w:rsidRPr="00620BF6">
        <w:rPr>
          <w:rFonts w:ascii="Book Antiqua" w:hAnsi="Book Antiqua"/>
          <w:b/>
          <w:bCs/>
          <w:sz w:val="24"/>
          <w:szCs w:val="24"/>
        </w:rPr>
        <w:t xml:space="preserve"> patients and healthy controls</w:t>
      </w:r>
    </w:p>
    <w:tbl>
      <w:tblPr>
        <w:tblW w:w="5000" w:type="pct"/>
        <w:tblBorders>
          <w:top w:val="single" w:sz="4" w:space="0" w:color="BFBFBF"/>
          <w:bottom w:val="single" w:sz="4" w:space="0" w:color="auto"/>
        </w:tblBorders>
        <w:tblLook w:val="04A0" w:firstRow="1" w:lastRow="0" w:firstColumn="1" w:lastColumn="0" w:noHBand="0" w:noVBand="1"/>
      </w:tblPr>
      <w:tblGrid>
        <w:gridCol w:w="3426"/>
        <w:gridCol w:w="2239"/>
        <w:gridCol w:w="2239"/>
        <w:gridCol w:w="1456"/>
      </w:tblGrid>
      <w:tr w:rsidR="00D158A2" w:rsidRPr="00620BF6" w14:paraId="38288F74" w14:textId="77777777" w:rsidTr="00654EF5">
        <w:trPr>
          <w:trHeight w:val="710"/>
        </w:trPr>
        <w:tc>
          <w:tcPr>
            <w:tcW w:w="1830" w:type="pct"/>
            <w:tcBorders>
              <w:top w:val="single" w:sz="4" w:space="0" w:color="auto"/>
              <w:bottom w:val="single" w:sz="4" w:space="0" w:color="auto"/>
            </w:tcBorders>
            <w:shd w:val="clear" w:color="auto" w:fill="FFFFFF"/>
            <w:vAlign w:val="center"/>
          </w:tcPr>
          <w:p w14:paraId="381FE8A6" w14:textId="77777777" w:rsidR="00D158A2" w:rsidRPr="00620BF6" w:rsidRDefault="00D158A2" w:rsidP="0014051F">
            <w:pPr>
              <w:pStyle w:val="MDPI32textnoindent"/>
              <w:spacing w:line="360" w:lineRule="auto"/>
              <w:ind w:leftChars="100" w:left="240"/>
              <w:rPr>
                <w:rFonts w:ascii="Book Antiqua" w:hAnsi="Book Antiqua"/>
                <w:b/>
                <w:sz w:val="24"/>
                <w:szCs w:val="24"/>
              </w:rPr>
            </w:pPr>
            <w:r w:rsidRPr="00620BF6">
              <w:rPr>
                <w:rFonts w:ascii="Book Antiqua" w:hAnsi="Book Antiqua"/>
                <w:b/>
                <w:sz w:val="24"/>
                <w:szCs w:val="24"/>
              </w:rPr>
              <w:t>Parameter</w:t>
            </w:r>
          </w:p>
        </w:tc>
        <w:tc>
          <w:tcPr>
            <w:tcW w:w="1196" w:type="pct"/>
            <w:tcBorders>
              <w:top w:val="single" w:sz="4" w:space="0" w:color="auto"/>
              <w:bottom w:val="single" w:sz="4" w:space="0" w:color="auto"/>
            </w:tcBorders>
            <w:shd w:val="clear" w:color="auto" w:fill="FFFFFF"/>
            <w:vAlign w:val="center"/>
          </w:tcPr>
          <w:p w14:paraId="460ED5C3" w14:textId="51467295" w:rsidR="00D158A2" w:rsidRPr="00DF6415" w:rsidRDefault="00D158A2" w:rsidP="00DF6415">
            <w:pPr>
              <w:pStyle w:val="MDPI32textnoindent"/>
              <w:spacing w:line="360" w:lineRule="auto"/>
              <w:ind w:leftChars="100" w:left="240"/>
              <w:rPr>
                <w:rFonts w:ascii="Book Antiqua" w:hAnsi="Book Antiqua"/>
                <w:b/>
                <w:sz w:val="24"/>
                <w:szCs w:val="24"/>
              </w:rPr>
            </w:pPr>
            <w:r w:rsidRPr="00620BF6">
              <w:rPr>
                <w:rFonts w:ascii="Book Antiqua" w:hAnsi="Book Antiqua"/>
                <w:b/>
                <w:sz w:val="24"/>
                <w:szCs w:val="24"/>
              </w:rPr>
              <w:t>IBD group</w:t>
            </w:r>
            <w:r w:rsidR="00DF6415">
              <w:rPr>
                <w:rFonts w:ascii="Book Antiqua" w:eastAsiaTheme="minorEastAsia" w:hAnsi="Book Antiqua" w:hint="eastAsia"/>
                <w:b/>
                <w:sz w:val="24"/>
                <w:szCs w:val="24"/>
                <w:lang w:eastAsia="zh-CN"/>
              </w:rPr>
              <w:t xml:space="preserve"> </w:t>
            </w:r>
            <w:r w:rsidRPr="00620BF6">
              <w:rPr>
                <w:rFonts w:ascii="Book Antiqua" w:hAnsi="Book Antiqua"/>
                <w:b/>
                <w:sz w:val="24"/>
                <w:szCs w:val="24"/>
              </w:rPr>
              <w:t>(</w:t>
            </w:r>
            <w:r w:rsidRPr="00620BF6">
              <w:rPr>
                <w:rFonts w:ascii="Book Antiqua" w:hAnsi="Book Antiqua"/>
                <w:b/>
                <w:i/>
                <w:sz w:val="24"/>
                <w:szCs w:val="24"/>
              </w:rPr>
              <w:t xml:space="preserve">n </w:t>
            </w:r>
            <w:r w:rsidRPr="00620BF6">
              <w:rPr>
                <w:rFonts w:ascii="Book Antiqua" w:hAnsi="Book Antiqua"/>
                <w:b/>
                <w:sz w:val="24"/>
                <w:szCs w:val="24"/>
              </w:rPr>
              <w:t>= 70)</w:t>
            </w:r>
          </w:p>
        </w:tc>
        <w:tc>
          <w:tcPr>
            <w:tcW w:w="1196" w:type="pct"/>
            <w:tcBorders>
              <w:top w:val="single" w:sz="4" w:space="0" w:color="auto"/>
              <w:bottom w:val="single" w:sz="4" w:space="0" w:color="auto"/>
            </w:tcBorders>
            <w:shd w:val="clear" w:color="auto" w:fill="FFFFFF"/>
            <w:vAlign w:val="center"/>
          </w:tcPr>
          <w:p w14:paraId="422B84D6" w14:textId="01016BAE"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b/>
                <w:sz w:val="24"/>
                <w:szCs w:val="24"/>
              </w:rPr>
              <w:t>Control group</w:t>
            </w:r>
            <w:r w:rsidR="00DF6415">
              <w:rPr>
                <w:rFonts w:ascii="Book Antiqua" w:hAnsi="Book Antiqua"/>
                <w:b/>
                <w:sz w:val="24"/>
                <w:szCs w:val="24"/>
              </w:rPr>
              <w:t xml:space="preserve"> </w:t>
            </w:r>
            <w:r w:rsidRPr="00620BF6">
              <w:rPr>
                <w:rFonts w:ascii="Book Antiqua" w:hAnsi="Book Antiqua"/>
                <w:b/>
                <w:sz w:val="24"/>
                <w:szCs w:val="24"/>
              </w:rPr>
              <w:t>(</w:t>
            </w:r>
            <w:r w:rsidRPr="00620BF6">
              <w:rPr>
                <w:rFonts w:ascii="Book Antiqua" w:hAnsi="Book Antiqua"/>
                <w:b/>
                <w:i/>
                <w:sz w:val="24"/>
                <w:szCs w:val="24"/>
              </w:rPr>
              <w:t xml:space="preserve">n </w:t>
            </w:r>
            <w:r w:rsidRPr="00620BF6">
              <w:rPr>
                <w:rFonts w:ascii="Book Antiqua" w:hAnsi="Book Antiqua"/>
                <w:b/>
                <w:sz w:val="24"/>
                <w:szCs w:val="24"/>
              </w:rPr>
              <w:t>= 60)</w:t>
            </w:r>
          </w:p>
        </w:tc>
        <w:tc>
          <w:tcPr>
            <w:tcW w:w="778" w:type="pct"/>
            <w:tcBorders>
              <w:top w:val="single" w:sz="4" w:space="0" w:color="auto"/>
              <w:bottom w:val="single" w:sz="4" w:space="0" w:color="auto"/>
            </w:tcBorders>
            <w:shd w:val="clear" w:color="auto" w:fill="FFFFFF"/>
            <w:vAlign w:val="center"/>
          </w:tcPr>
          <w:p w14:paraId="1A93EE45" w14:textId="08982B47" w:rsidR="00D158A2" w:rsidRPr="00620BF6" w:rsidRDefault="00D158A2" w:rsidP="0014051F">
            <w:pPr>
              <w:pStyle w:val="MDPI32textnoindent"/>
              <w:spacing w:line="360" w:lineRule="auto"/>
              <w:ind w:leftChars="100" w:left="240"/>
              <w:rPr>
                <w:rFonts w:ascii="Book Antiqua" w:hAnsi="Book Antiqua"/>
                <w:b/>
                <w:i/>
                <w:sz w:val="24"/>
                <w:szCs w:val="24"/>
              </w:rPr>
            </w:pPr>
            <w:r w:rsidRPr="00620BF6">
              <w:rPr>
                <w:rFonts w:ascii="Book Antiqua" w:hAnsi="Book Antiqua"/>
                <w:b/>
                <w:i/>
                <w:sz w:val="24"/>
                <w:szCs w:val="24"/>
              </w:rPr>
              <w:t>P</w:t>
            </w:r>
            <w:r w:rsidR="0000656A">
              <w:rPr>
                <w:rFonts w:ascii="Book Antiqua" w:hAnsi="Book Antiqua"/>
                <w:b/>
                <w:i/>
                <w:sz w:val="24"/>
                <w:szCs w:val="24"/>
              </w:rPr>
              <w:t xml:space="preserve"> </w:t>
            </w:r>
            <w:r w:rsidR="0000656A" w:rsidRPr="0000656A">
              <w:rPr>
                <w:rFonts w:ascii="Book Antiqua" w:hAnsi="Book Antiqua"/>
                <w:b/>
                <w:sz w:val="24"/>
                <w:szCs w:val="24"/>
              </w:rPr>
              <w:t>value</w:t>
            </w:r>
          </w:p>
        </w:tc>
      </w:tr>
      <w:tr w:rsidR="00D158A2" w:rsidRPr="00620BF6" w14:paraId="0A390C13" w14:textId="77777777" w:rsidTr="00654EF5">
        <w:trPr>
          <w:trHeight w:val="323"/>
        </w:trPr>
        <w:tc>
          <w:tcPr>
            <w:tcW w:w="1830" w:type="pct"/>
            <w:tcBorders>
              <w:top w:val="single" w:sz="4" w:space="0" w:color="auto"/>
              <w:bottom w:val="nil"/>
            </w:tcBorders>
            <w:shd w:val="clear" w:color="auto" w:fill="auto"/>
            <w:vAlign w:val="center"/>
          </w:tcPr>
          <w:p w14:paraId="07142C70" w14:textId="0A085DF5"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Men (</w:t>
            </w:r>
            <w:r w:rsidR="00DF6415" w:rsidRPr="00DF6415">
              <w:rPr>
                <w:rFonts w:ascii="Book Antiqua" w:hAnsi="Book Antiqua"/>
                <w:i/>
                <w:sz w:val="24"/>
                <w:szCs w:val="24"/>
              </w:rPr>
              <w:t>n</w:t>
            </w:r>
            <w:r w:rsidRPr="00620BF6">
              <w:rPr>
                <w:rFonts w:ascii="Book Antiqua" w:hAnsi="Book Antiqua"/>
                <w:sz w:val="24"/>
                <w:szCs w:val="24"/>
              </w:rPr>
              <w:t>, %)</w:t>
            </w:r>
          </w:p>
        </w:tc>
        <w:tc>
          <w:tcPr>
            <w:tcW w:w="1196" w:type="pct"/>
            <w:tcBorders>
              <w:top w:val="single" w:sz="4" w:space="0" w:color="auto"/>
              <w:bottom w:val="nil"/>
            </w:tcBorders>
            <w:shd w:val="clear" w:color="auto" w:fill="auto"/>
            <w:vAlign w:val="center"/>
          </w:tcPr>
          <w:p w14:paraId="2BF96941"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46 (65.7)</w:t>
            </w:r>
          </w:p>
        </w:tc>
        <w:tc>
          <w:tcPr>
            <w:tcW w:w="1196" w:type="pct"/>
            <w:tcBorders>
              <w:top w:val="single" w:sz="4" w:space="0" w:color="auto"/>
              <w:bottom w:val="nil"/>
            </w:tcBorders>
            <w:shd w:val="clear" w:color="auto" w:fill="auto"/>
            <w:vAlign w:val="center"/>
          </w:tcPr>
          <w:p w14:paraId="1A47AEA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38 (63.3)</w:t>
            </w:r>
          </w:p>
        </w:tc>
        <w:tc>
          <w:tcPr>
            <w:tcW w:w="778" w:type="pct"/>
            <w:vMerge w:val="restart"/>
            <w:tcBorders>
              <w:top w:val="single" w:sz="4" w:space="0" w:color="auto"/>
              <w:bottom w:val="nil"/>
            </w:tcBorders>
            <w:shd w:val="clear" w:color="auto" w:fill="auto"/>
            <w:vAlign w:val="center"/>
          </w:tcPr>
          <w:p w14:paraId="4B04979C" w14:textId="53502147" w:rsidR="00D158A2" w:rsidRPr="00620BF6" w:rsidRDefault="00D158A2" w:rsidP="002030BB">
            <w:pPr>
              <w:pStyle w:val="MDPI32textnoindent"/>
              <w:spacing w:line="360" w:lineRule="auto"/>
              <w:ind w:leftChars="100" w:left="240"/>
              <w:rPr>
                <w:rFonts w:ascii="Book Antiqua" w:hAnsi="Book Antiqua"/>
                <w:sz w:val="24"/>
                <w:szCs w:val="24"/>
                <w:vertAlign w:val="superscript"/>
              </w:rPr>
            </w:pPr>
            <w:r w:rsidRPr="00620BF6">
              <w:rPr>
                <w:rFonts w:ascii="Book Antiqua" w:hAnsi="Book Antiqua"/>
                <w:sz w:val="24"/>
                <w:szCs w:val="24"/>
              </w:rPr>
              <w:t>0.778</w:t>
            </w:r>
            <w:r w:rsidR="002030BB">
              <w:rPr>
                <w:rFonts w:ascii="Book Antiqua" w:hAnsi="Book Antiqua"/>
                <w:sz w:val="24"/>
                <w:szCs w:val="24"/>
                <w:vertAlign w:val="superscript"/>
              </w:rPr>
              <w:t>1</w:t>
            </w:r>
          </w:p>
        </w:tc>
      </w:tr>
      <w:tr w:rsidR="00D158A2" w:rsidRPr="00620BF6" w14:paraId="7FB62511" w14:textId="77777777" w:rsidTr="00654EF5">
        <w:trPr>
          <w:trHeight w:val="323"/>
        </w:trPr>
        <w:tc>
          <w:tcPr>
            <w:tcW w:w="1830" w:type="pct"/>
            <w:tcBorders>
              <w:top w:val="nil"/>
              <w:bottom w:val="nil"/>
            </w:tcBorders>
            <w:shd w:val="clear" w:color="auto" w:fill="auto"/>
            <w:vAlign w:val="center"/>
          </w:tcPr>
          <w:p w14:paraId="4990E48E" w14:textId="725C014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Women (</w:t>
            </w:r>
            <w:r w:rsidR="00DF6415" w:rsidRPr="00DF6415">
              <w:rPr>
                <w:rFonts w:ascii="Book Antiqua" w:hAnsi="Book Antiqua"/>
                <w:i/>
                <w:sz w:val="24"/>
                <w:szCs w:val="24"/>
              </w:rPr>
              <w:t>n</w:t>
            </w:r>
            <w:r w:rsidRPr="00620BF6">
              <w:rPr>
                <w:rFonts w:ascii="Book Antiqua" w:hAnsi="Book Antiqua"/>
                <w:color w:val="auto"/>
                <w:sz w:val="24"/>
                <w:szCs w:val="24"/>
              </w:rPr>
              <w:t>, %)</w:t>
            </w:r>
          </w:p>
        </w:tc>
        <w:tc>
          <w:tcPr>
            <w:tcW w:w="1196" w:type="pct"/>
            <w:tcBorders>
              <w:top w:val="nil"/>
              <w:bottom w:val="nil"/>
            </w:tcBorders>
            <w:shd w:val="clear" w:color="auto" w:fill="auto"/>
            <w:vAlign w:val="center"/>
          </w:tcPr>
          <w:p w14:paraId="569D0981" w14:textId="7777777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24 (34.3)</w:t>
            </w:r>
          </w:p>
        </w:tc>
        <w:tc>
          <w:tcPr>
            <w:tcW w:w="1196" w:type="pct"/>
            <w:tcBorders>
              <w:top w:val="nil"/>
              <w:bottom w:val="nil"/>
            </w:tcBorders>
            <w:shd w:val="clear" w:color="auto" w:fill="auto"/>
            <w:vAlign w:val="center"/>
          </w:tcPr>
          <w:p w14:paraId="6182859C" w14:textId="7777777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22 (36.7)</w:t>
            </w:r>
          </w:p>
        </w:tc>
        <w:tc>
          <w:tcPr>
            <w:tcW w:w="778" w:type="pct"/>
            <w:vMerge/>
            <w:tcBorders>
              <w:top w:val="nil"/>
              <w:bottom w:val="nil"/>
            </w:tcBorders>
            <w:shd w:val="clear" w:color="auto" w:fill="auto"/>
            <w:vAlign w:val="center"/>
          </w:tcPr>
          <w:p w14:paraId="674C9327" w14:textId="77777777" w:rsidR="00D158A2" w:rsidRPr="00620BF6" w:rsidRDefault="00D158A2" w:rsidP="0014051F">
            <w:pPr>
              <w:pStyle w:val="MDPI32textnoindent"/>
              <w:spacing w:line="360" w:lineRule="auto"/>
              <w:ind w:leftChars="100" w:left="240"/>
              <w:rPr>
                <w:rFonts w:ascii="Book Antiqua" w:hAnsi="Book Antiqua"/>
                <w:sz w:val="24"/>
                <w:szCs w:val="24"/>
              </w:rPr>
            </w:pPr>
          </w:p>
        </w:tc>
      </w:tr>
      <w:tr w:rsidR="00D158A2" w:rsidRPr="00620BF6" w14:paraId="6046F7FF" w14:textId="77777777" w:rsidTr="00654EF5">
        <w:trPr>
          <w:trHeight w:val="323"/>
        </w:trPr>
        <w:tc>
          <w:tcPr>
            <w:tcW w:w="1830" w:type="pct"/>
            <w:tcBorders>
              <w:top w:val="nil"/>
              <w:bottom w:val="nil"/>
            </w:tcBorders>
            <w:shd w:val="clear" w:color="auto" w:fill="auto"/>
            <w:vAlign w:val="center"/>
          </w:tcPr>
          <w:p w14:paraId="09B8FE9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Age (</w:t>
            </w:r>
            <w:proofErr w:type="spellStart"/>
            <w:r w:rsidRPr="00620BF6">
              <w:rPr>
                <w:rFonts w:ascii="Book Antiqua" w:hAnsi="Book Antiqua"/>
                <w:sz w:val="24"/>
                <w:szCs w:val="24"/>
              </w:rPr>
              <w:t>yr</w:t>
            </w:r>
            <w:proofErr w:type="spellEnd"/>
            <w:r w:rsidRPr="00620BF6">
              <w:rPr>
                <w:rFonts w:ascii="Book Antiqua" w:hAnsi="Book Antiqua"/>
                <w:sz w:val="24"/>
                <w:szCs w:val="24"/>
              </w:rPr>
              <w:t>)</w:t>
            </w:r>
          </w:p>
        </w:tc>
        <w:tc>
          <w:tcPr>
            <w:tcW w:w="1196" w:type="pct"/>
            <w:tcBorders>
              <w:top w:val="nil"/>
              <w:bottom w:val="nil"/>
            </w:tcBorders>
            <w:shd w:val="clear" w:color="auto" w:fill="auto"/>
            <w:vAlign w:val="center"/>
          </w:tcPr>
          <w:p w14:paraId="190B41E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40.8 ± 14.9</w:t>
            </w:r>
          </w:p>
        </w:tc>
        <w:tc>
          <w:tcPr>
            <w:tcW w:w="1196" w:type="pct"/>
            <w:tcBorders>
              <w:top w:val="nil"/>
              <w:bottom w:val="nil"/>
            </w:tcBorders>
            <w:shd w:val="clear" w:color="auto" w:fill="auto"/>
            <w:vAlign w:val="center"/>
          </w:tcPr>
          <w:p w14:paraId="5FEC9927"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38.7 ± 12.6</w:t>
            </w:r>
          </w:p>
        </w:tc>
        <w:tc>
          <w:tcPr>
            <w:tcW w:w="778" w:type="pct"/>
            <w:tcBorders>
              <w:top w:val="nil"/>
              <w:bottom w:val="nil"/>
            </w:tcBorders>
            <w:shd w:val="clear" w:color="auto" w:fill="auto"/>
            <w:vAlign w:val="center"/>
          </w:tcPr>
          <w:p w14:paraId="12BC63A2" w14:textId="215720F5" w:rsidR="00D158A2" w:rsidRPr="00620BF6" w:rsidRDefault="00D158A2" w:rsidP="002030BB">
            <w:pPr>
              <w:pStyle w:val="MDPI32textnoindent"/>
              <w:spacing w:line="360" w:lineRule="auto"/>
              <w:ind w:leftChars="100" w:left="240"/>
              <w:rPr>
                <w:rFonts w:ascii="Book Antiqua" w:hAnsi="Book Antiqua"/>
                <w:sz w:val="24"/>
                <w:szCs w:val="24"/>
                <w:vertAlign w:val="superscript"/>
              </w:rPr>
            </w:pPr>
            <w:r w:rsidRPr="00620BF6">
              <w:rPr>
                <w:rFonts w:ascii="Book Antiqua" w:hAnsi="Book Antiqua"/>
                <w:sz w:val="24"/>
                <w:szCs w:val="24"/>
              </w:rPr>
              <w:t>0.390</w:t>
            </w:r>
            <w:r w:rsidR="002030BB">
              <w:rPr>
                <w:rFonts w:ascii="Book Antiqua" w:hAnsi="Book Antiqua"/>
                <w:sz w:val="24"/>
                <w:szCs w:val="24"/>
                <w:vertAlign w:val="superscript"/>
              </w:rPr>
              <w:t>2</w:t>
            </w:r>
          </w:p>
        </w:tc>
      </w:tr>
      <w:tr w:rsidR="00D158A2" w:rsidRPr="00620BF6" w14:paraId="1EE85272" w14:textId="77777777" w:rsidTr="00654EF5">
        <w:trPr>
          <w:trHeight w:val="348"/>
        </w:trPr>
        <w:tc>
          <w:tcPr>
            <w:tcW w:w="1830" w:type="pct"/>
            <w:tcBorders>
              <w:top w:val="nil"/>
              <w:bottom w:val="nil"/>
            </w:tcBorders>
            <w:shd w:val="clear" w:color="auto" w:fill="auto"/>
            <w:vAlign w:val="center"/>
          </w:tcPr>
          <w:p w14:paraId="1DA4C9AE"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weight (kg)</w:t>
            </w:r>
          </w:p>
        </w:tc>
        <w:tc>
          <w:tcPr>
            <w:tcW w:w="1196" w:type="pct"/>
            <w:tcBorders>
              <w:top w:val="nil"/>
            </w:tcBorders>
            <w:shd w:val="clear" w:color="auto" w:fill="auto"/>
            <w:vAlign w:val="center"/>
          </w:tcPr>
          <w:p w14:paraId="55D9DC1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77.7 ± 12.5</w:t>
            </w:r>
          </w:p>
        </w:tc>
        <w:tc>
          <w:tcPr>
            <w:tcW w:w="1196" w:type="pct"/>
            <w:tcBorders>
              <w:top w:val="nil"/>
            </w:tcBorders>
            <w:shd w:val="clear" w:color="auto" w:fill="auto"/>
            <w:vAlign w:val="center"/>
          </w:tcPr>
          <w:p w14:paraId="21DD744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81.3 ± 13.2</w:t>
            </w:r>
          </w:p>
        </w:tc>
        <w:tc>
          <w:tcPr>
            <w:tcW w:w="778" w:type="pct"/>
            <w:tcBorders>
              <w:top w:val="nil"/>
            </w:tcBorders>
            <w:shd w:val="clear" w:color="auto" w:fill="auto"/>
            <w:vAlign w:val="center"/>
          </w:tcPr>
          <w:p w14:paraId="47C3001E" w14:textId="32105FC5"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0.111</w:t>
            </w:r>
            <w:r w:rsidR="002030BB">
              <w:rPr>
                <w:rFonts w:ascii="Book Antiqua" w:hAnsi="Book Antiqua"/>
                <w:sz w:val="24"/>
                <w:szCs w:val="24"/>
                <w:vertAlign w:val="superscript"/>
              </w:rPr>
              <w:t>2</w:t>
            </w:r>
          </w:p>
        </w:tc>
      </w:tr>
      <w:tr w:rsidR="00D158A2" w:rsidRPr="00620BF6" w14:paraId="2788F3D7" w14:textId="77777777" w:rsidTr="00654EF5">
        <w:trPr>
          <w:trHeight w:val="196"/>
        </w:trPr>
        <w:tc>
          <w:tcPr>
            <w:tcW w:w="1830" w:type="pct"/>
            <w:tcBorders>
              <w:top w:val="nil"/>
              <w:bottom w:val="nil"/>
            </w:tcBorders>
            <w:shd w:val="clear" w:color="auto" w:fill="auto"/>
            <w:vAlign w:val="center"/>
          </w:tcPr>
          <w:p w14:paraId="51AFA73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height (cm)</w:t>
            </w:r>
          </w:p>
        </w:tc>
        <w:tc>
          <w:tcPr>
            <w:tcW w:w="1196" w:type="pct"/>
            <w:shd w:val="clear" w:color="auto" w:fill="auto"/>
            <w:vAlign w:val="center"/>
          </w:tcPr>
          <w:p w14:paraId="5AAE0374"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177.7 ± 8.2</w:t>
            </w:r>
          </w:p>
        </w:tc>
        <w:tc>
          <w:tcPr>
            <w:tcW w:w="1196" w:type="pct"/>
            <w:shd w:val="clear" w:color="auto" w:fill="auto"/>
            <w:vAlign w:val="center"/>
          </w:tcPr>
          <w:p w14:paraId="60C74E4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180.1 ± 9.1</w:t>
            </w:r>
          </w:p>
        </w:tc>
        <w:tc>
          <w:tcPr>
            <w:tcW w:w="778" w:type="pct"/>
            <w:shd w:val="clear" w:color="auto" w:fill="auto"/>
            <w:vAlign w:val="center"/>
          </w:tcPr>
          <w:p w14:paraId="59122100" w14:textId="08ACCC10"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0.132</w:t>
            </w:r>
            <w:r w:rsidR="002030BB">
              <w:rPr>
                <w:rFonts w:ascii="Book Antiqua" w:hAnsi="Book Antiqua"/>
                <w:sz w:val="24"/>
                <w:szCs w:val="24"/>
                <w:vertAlign w:val="superscript"/>
              </w:rPr>
              <w:t>2</w:t>
            </w:r>
          </w:p>
        </w:tc>
      </w:tr>
      <w:tr w:rsidR="00D158A2" w:rsidRPr="00620BF6" w14:paraId="0489E2D8" w14:textId="77777777" w:rsidTr="00654EF5">
        <w:trPr>
          <w:trHeight w:val="121"/>
        </w:trPr>
        <w:tc>
          <w:tcPr>
            <w:tcW w:w="1830" w:type="pct"/>
            <w:tcBorders>
              <w:top w:val="nil"/>
              <w:bottom w:val="nil"/>
            </w:tcBorders>
            <w:shd w:val="clear" w:color="auto" w:fill="auto"/>
            <w:vAlign w:val="center"/>
          </w:tcPr>
          <w:p w14:paraId="4BFF35B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mass index (kg/m</w:t>
            </w:r>
            <w:r w:rsidRPr="00620BF6">
              <w:rPr>
                <w:rFonts w:ascii="Book Antiqua" w:hAnsi="Book Antiqua"/>
                <w:sz w:val="24"/>
                <w:szCs w:val="24"/>
                <w:vertAlign w:val="superscript"/>
              </w:rPr>
              <w:t>2</w:t>
            </w:r>
            <w:r w:rsidRPr="00620BF6">
              <w:rPr>
                <w:rFonts w:ascii="Book Antiqua" w:hAnsi="Book Antiqua"/>
                <w:sz w:val="24"/>
                <w:szCs w:val="24"/>
              </w:rPr>
              <w:t>)</w:t>
            </w:r>
          </w:p>
        </w:tc>
        <w:tc>
          <w:tcPr>
            <w:tcW w:w="1196" w:type="pct"/>
            <w:shd w:val="clear" w:color="auto" w:fill="auto"/>
            <w:vAlign w:val="center"/>
          </w:tcPr>
          <w:p w14:paraId="18BD0A5F"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24.6 ± 3.5</w:t>
            </w:r>
          </w:p>
        </w:tc>
        <w:tc>
          <w:tcPr>
            <w:tcW w:w="1196" w:type="pct"/>
            <w:shd w:val="clear" w:color="auto" w:fill="auto"/>
            <w:vAlign w:val="center"/>
          </w:tcPr>
          <w:p w14:paraId="2743A44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25.0 ± 2.8</w:t>
            </w:r>
          </w:p>
        </w:tc>
        <w:tc>
          <w:tcPr>
            <w:tcW w:w="778" w:type="pct"/>
            <w:shd w:val="clear" w:color="auto" w:fill="auto"/>
            <w:vAlign w:val="center"/>
          </w:tcPr>
          <w:p w14:paraId="6901C906" w14:textId="42673701"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0.493</w:t>
            </w:r>
            <w:r w:rsidR="002030BB">
              <w:rPr>
                <w:rFonts w:ascii="Book Antiqua" w:hAnsi="Book Antiqua"/>
                <w:sz w:val="24"/>
                <w:szCs w:val="24"/>
                <w:vertAlign w:val="superscript"/>
              </w:rPr>
              <w:t>2</w:t>
            </w:r>
          </w:p>
        </w:tc>
      </w:tr>
      <w:tr w:rsidR="00D158A2" w:rsidRPr="00620BF6" w14:paraId="7AF90B65" w14:textId="77777777" w:rsidTr="00654EF5">
        <w:trPr>
          <w:trHeight w:val="136"/>
        </w:trPr>
        <w:tc>
          <w:tcPr>
            <w:tcW w:w="1830" w:type="pct"/>
            <w:tcBorders>
              <w:top w:val="nil"/>
              <w:bottom w:val="nil"/>
            </w:tcBorders>
            <w:shd w:val="clear" w:color="auto" w:fill="auto"/>
            <w:vAlign w:val="center"/>
          </w:tcPr>
          <w:p w14:paraId="38D02F04"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Waist circumference (cm)</w:t>
            </w:r>
          </w:p>
        </w:tc>
        <w:tc>
          <w:tcPr>
            <w:tcW w:w="1196" w:type="pct"/>
            <w:tcBorders>
              <w:bottom w:val="nil"/>
            </w:tcBorders>
            <w:shd w:val="clear" w:color="auto" w:fill="auto"/>
            <w:vAlign w:val="center"/>
          </w:tcPr>
          <w:p w14:paraId="25A88F4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88.1 ± 12.6</w:t>
            </w:r>
          </w:p>
        </w:tc>
        <w:tc>
          <w:tcPr>
            <w:tcW w:w="1196" w:type="pct"/>
            <w:tcBorders>
              <w:bottom w:val="nil"/>
            </w:tcBorders>
            <w:shd w:val="clear" w:color="auto" w:fill="auto"/>
            <w:vAlign w:val="center"/>
          </w:tcPr>
          <w:p w14:paraId="4E8DAD6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88.0 ± 12.1</w:t>
            </w:r>
          </w:p>
        </w:tc>
        <w:tc>
          <w:tcPr>
            <w:tcW w:w="778" w:type="pct"/>
            <w:shd w:val="clear" w:color="auto" w:fill="auto"/>
            <w:vAlign w:val="center"/>
          </w:tcPr>
          <w:p w14:paraId="2C41FFA4" w14:textId="3D5E80F5"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0.997</w:t>
            </w:r>
            <w:r w:rsidR="002030BB">
              <w:rPr>
                <w:rFonts w:ascii="Book Antiqua" w:hAnsi="Book Antiqua"/>
                <w:sz w:val="24"/>
                <w:szCs w:val="24"/>
                <w:vertAlign w:val="superscript"/>
              </w:rPr>
              <w:t>2</w:t>
            </w:r>
          </w:p>
        </w:tc>
      </w:tr>
      <w:tr w:rsidR="00D158A2" w:rsidRPr="00620BF6" w14:paraId="0241898A" w14:textId="77777777" w:rsidTr="00654EF5">
        <w:trPr>
          <w:trHeight w:val="121"/>
        </w:trPr>
        <w:tc>
          <w:tcPr>
            <w:tcW w:w="1830" w:type="pct"/>
            <w:tcBorders>
              <w:top w:val="nil"/>
              <w:bottom w:val="nil"/>
            </w:tcBorders>
            <w:shd w:val="clear" w:color="auto" w:fill="auto"/>
          </w:tcPr>
          <w:p w14:paraId="3F371335" w14:textId="77777777" w:rsidR="00D158A2" w:rsidRPr="00620BF6" w:rsidRDefault="00D158A2" w:rsidP="0014051F">
            <w:pPr>
              <w:pStyle w:val="MDPI32textnoindent"/>
              <w:spacing w:line="360" w:lineRule="auto"/>
              <w:ind w:leftChars="100" w:left="240"/>
              <w:rPr>
                <w:rFonts w:ascii="Book Antiqua" w:hAnsi="Book Antiqua"/>
                <w:sz w:val="24"/>
                <w:szCs w:val="24"/>
              </w:rPr>
            </w:pPr>
            <w:proofErr w:type="spellStart"/>
            <w:r w:rsidRPr="00620BF6">
              <w:rPr>
                <w:rFonts w:ascii="Book Antiqua" w:hAnsi="Book Antiqua"/>
                <w:sz w:val="24"/>
                <w:szCs w:val="24"/>
              </w:rPr>
              <w:t>hsCRP</w:t>
            </w:r>
            <w:proofErr w:type="spellEnd"/>
            <w:r w:rsidRPr="00620BF6">
              <w:rPr>
                <w:rFonts w:ascii="Book Antiqua" w:hAnsi="Book Antiqua"/>
                <w:sz w:val="24"/>
                <w:szCs w:val="24"/>
              </w:rPr>
              <w:t xml:space="preserve"> (mg/L)</w:t>
            </w:r>
          </w:p>
        </w:tc>
        <w:tc>
          <w:tcPr>
            <w:tcW w:w="1196" w:type="pct"/>
            <w:tcBorders>
              <w:top w:val="nil"/>
              <w:bottom w:val="nil"/>
            </w:tcBorders>
            <w:shd w:val="clear" w:color="auto" w:fill="auto"/>
          </w:tcPr>
          <w:p w14:paraId="3EE8B94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2.65 (1.0-7.8)</w:t>
            </w:r>
          </w:p>
        </w:tc>
        <w:tc>
          <w:tcPr>
            <w:tcW w:w="1196" w:type="pct"/>
            <w:tcBorders>
              <w:top w:val="nil"/>
              <w:bottom w:val="nil"/>
            </w:tcBorders>
            <w:shd w:val="clear" w:color="auto" w:fill="auto"/>
          </w:tcPr>
          <w:p w14:paraId="011907F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0.75 (0.4-1.75)</w:t>
            </w:r>
          </w:p>
        </w:tc>
        <w:tc>
          <w:tcPr>
            <w:tcW w:w="778" w:type="pct"/>
            <w:shd w:val="clear" w:color="auto" w:fill="auto"/>
            <w:vAlign w:val="center"/>
          </w:tcPr>
          <w:p w14:paraId="3853CF39" w14:textId="38FD4C8F"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&lt;</w:t>
            </w:r>
            <w:r w:rsidR="002030BB">
              <w:rPr>
                <w:rFonts w:ascii="Book Antiqua" w:hAnsi="Book Antiqua"/>
                <w:sz w:val="24"/>
                <w:szCs w:val="24"/>
              </w:rPr>
              <w:t xml:space="preserve"> </w:t>
            </w:r>
            <w:r w:rsidRPr="00620BF6">
              <w:rPr>
                <w:rFonts w:ascii="Book Antiqua" w:hAnsi="Book Antiqua"/>
                <w:sz w:val="24"/>
                <w:szCs w:val="24"/>
              </w:rPr>
              <w:t>0.001</w:t>
            </w:r>
            <w:r w:rsidR="002030BB">
              <w:rPr>
                <w:rFonts w:ascii="Book Antiqua" w:hAnsi="Book Antiqua"/>
                <w:sz w:val="24"/>
                <w:szCs w:val="24"/>
                <w:vertAlign w:val="superscript"/>
              </w:rPr>
              <w:t>3</w:t>
            </w:r>
          </w:p>
        </w:tc>
      </w:tr>
      <w:tr w:rsidR="00D158A2" w:rsidRPr="00620BF6" w14:paraId="7E66E5FF" w14:textId="77777777" w:rsidTr="00654EF5">
        <w:trPr>
          <w:trHeight w:val="121"/>
        </w:trPr>
        <w:tc>
          <w:tcPr>
            <w:tcW w:w="1830" w:type="pct"/>
            <w:tcBorders>
              <w:top w:val="nil"/>
              <w:bottom w:val="nil"/>
            </w:tcBorders>
            <w:shd w:val="clear" w:color="auto" w:fill="auto"/>
          </w:tcPr>
          <w:p w14:paraId="27462B2E"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Fecal calprotectin (</w:t>
            </w:r>
            <w:proofErr w:type="spellStart"/>
            <w:r w:rsidRPr="00620BF6">
              <w:rPr>
                <w:rFonts w:ascii="Book Antiqua" w:hAnsi="Book Antiqua"/>
                <w:sz w:val="24"/>
                <w:szCs w:val="24"/>
              </w:rPr>
              <w:t>μg</w:t>
            </w:r>
            <w:proofErr w:type="spellEnd"/>
            <w:r w:rsidRPr="00620BF6">
              <w:rPr>
                <w:rFonts w:ascii="Book Antiqua" w:hAnsi="Book Antiqua"/>
                <w:sz w:val="24"/>
                <w:szCs w:val="24"/>
              </w:rPr>
              <w:t>/g)</w:t>
            </w:r>
          </w:p>
        </w:tc>
        <w:tc>
          <w:tcPr>
            <w:tcW w:w="1196" w:type="pct"/>
            <w:tcBorders>
              <w:top w:val="nil"/>
              <w:bottom w:val="nil"/>
            </w:tcBorders>
            <w:shd w:val="clear" w:color="auto" w:fill="auto"/>
            <w:vAlign w:val="center"/>
          </w:tcPr>
          <w:p w14:paraId="49F3587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235 (56.0-658)</w:t>
            </w:r>
          </w:p>
        </w:tc>
        <w:tc>
          <w:tcPr>
            <w:tcW w:w="1196" w:type="pct"/>
            <w:tcBorders>
              <w:top w:val="nil"/>
              <w:bottom w:val="nil"/>
            </w:tcBorders>
            <w:shd w:val="clear" w:color="auto" w:fill="auto"/>
            <w:vAlign w:val="center"/>
          </w:tcPr>
          <w:p w14:paraId="17955BB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shd w:val="clear" w:color="auto" w:fill="auto"/>
            <w:vAlign w:val="center"/>
          </w:tcPr>
          <w:p w14:paraId="57EB7150"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71C487A5" w14:textId="77777777" w:rsidTr="00654EF5">
        <w:trPr>
          <w:trHeight w:val="121"/>
        </w:trPr>
        <w:tc>
          <w:tcPr>
            <w:tcW w:w="1830" w:type="pct"/>
            <w:tcBorders>
              <w:top w:val="nil"/>
              <w:bottom w:val="nil"/>
            </w:tcBorders>
            <w:shd w:val="clear" w:color="auto" w:fill="auto"/>
            <w:vAlign w:val="center"/>
          </w:tcPr>
          <w:p w14:paraId="4C9262F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Disease duration (years)</w:t>
            </w:r>
          </w:p>
        </w:tc>
        <w:tc>
          <w:tcPr>
            <w:tcW w:w="1196" w:type="pct"/>
            <w:tcBorders>
              <w:top w:val="nil"/>
              <w:bottom w:val="nil"/>
            </w:tcBorders>
            <w:shd w:val="clear" w:color="auto" w:fill="auto"/>
            <w:vAlign w:val="center"/>
          </w:tcPr>
          <w:p w14:paraId="26EB9D5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8.5 (3.5-13.0)</w:t>
            </w:r>
          </w:p>
        </w:tc>
        <w:tc>
          <w:tcPr>
            <w:tcW w:w="1196" w:type="pct"/>
            <w:tcBorders>
              <w:top w:val="nil"/>
              <w:bottom w:val="nil"/>
            </w:tcBorders>
            <w:shd w:val="clear" w:color="auto" w:fill="auto"/>
            <w:vAlign w:val="center"/>
          </w:tcPr>
          <w:p w14:paraId="37FFAC8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shd w:val="clear" w:color="auto" w:fill="auto"/>
            <w:vAlign w:val="center"/>
          </w:tcPr>
          <w:p w14:paraId="668AB16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4EF6E18D" w14:textId="77777777" w:rsidTr="00654EF5">
        <w:trPr>
          <w:trHeight w:val="121"/>
        </w:trPr>
        <w:tc>
          <w:tcPr>
            <w:tcW w:w="1830" w:type="pct"/>
            <w:tcBorders>
              <w:top w:val="nil"/>
              <w:bottom w:val="nil"/>
            </w:tcBorders>
            <w:shd w:val="clear" w:color="auto" w:fill="auto"/>
            <w:vAlign w:val="center"/>
          </w:tcPr>
          <w:p w14:paraId="1B94ACDF"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UCEIS score</w:t>
            </w:r>
          </w:p>
        </w:tc>
        <w:tc>
          <w:tcPr>
            <w:tcW w:w="1196" w:type="pct"/>
            <w:tcBorders>
              <w:top w:val="nil"/>
              <w:bottom w:val="nil"/>
            </w:tcBorders>
            <w:shd w:val="clear" w:color="auto" w:fill="auto"/>
            <w:vAlign w:val="center"/>
          </w:tcPr>
          <w:p w14:paraId="31B89817"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6.0 (5.0-7.0)</w:t>
            </w:r>
          </w:p>
        </w:tc>
        <w:tc>
          <w:tcPr>
            <w:tcW w:w="1196" w:type="pct"/>
            <w:tcBorders>
              <w:top w:val="nil"/>
              <w:bottom w:val="nil"/>
            </w:tcBorders>
            <w:shd w:val="clear" w:color="auto" w:fill="auto"/>
          </w:tcPr>
          <w:p w14:paraId="11AF833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nil"/>
            </w:tcBorders>
            <w:shd w:val="clear" w:color="auto" w:fill="auto"/>
          </w:tcPr>
          <w:p w14:paraId="1549E58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1EE27F4B" w14:textId="77777777" w:rsidTr="00654EF5">
        <w:trPr>
          <w:trHeight w:val="121"/>
        </w:trPr>
        <w:tc>
          <w:tcPr>
            <w:tcW w:w="1830" w:type="pct"/>
            <w:tcBorders>
              <w:top w:val="nil"/>
              <w:bottom w:val="nil"/>
            </w:tcBorders>
            <w:shd w:val="clear" w:color="auto" w:fill="auto"/>
            <w:vAlign w:val="center"/>
          </w:tcPr>
          <w:p w14:paraId="7037CDF0"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SES-CD</w:t>
            </w:r>
          </w:p>
        </w:tc>
        <w:tc>
          <w:tcPr>
            <w:tcW w:w="1196" w:type="pct"/>
            <w:tcBorders>
              <w:top w:val="nil"/>
              <w:bottom w:val="nil"/>
            </w:tcBorders>
            <w:shd w:val="clear" w:color="auto" w:fill="auto"/>
            <w:vAlign w:val="center"/>
          </w:tcPr>
          <w:p w14:paraId="27E469B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10.3 (5.2-13.6)</w:t>
            </w:r>
          </w:p>
        </w:tc>
        <w:tc>
          <w:tcPr>
            <w:tcW w:w="1196" w:type="pct"/>
            <w:tcBorders>
              <w:top w:val="nil"/>
              <w:bottom w:val="nil"/>
            </w:tcBorders>
            <w:shd w:val="clear" w:color="auto" w:fill="auto"/>
          </w:tcPr>
          <w:p w14:paraId="00B8A9A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nil"/>
            </w:tcBorders>
            <w:shd w:val="clear" w:color="auto" w:fill="auto"/>
          </w:tcPr>
          <w:p w14:paraId="47518EDD"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064200C4" w14:textId="77777777" w:rsidTr="00654EF5">
        <w:trPr>
          <w:trHeight w:val="121"/>
        </w:trPr>
        <w:tc>
          <w:tcPr>
            <w:tcW w:w="1830" w:type="pct"/>
            <w:tcBorders>
              <w:top w:val="nil"/>
              <w:bottom w:val="single" w:sz="4" w:space="0" w:color="auto"/>
            </w:tcBorders>
            <w:shd w:val="clear" w:color="auto" w:fill="auto"/>
            <w:vAlign w:val="center"/>
          </w:tcPr>
          <w:p w14:paraId="723A185D" w14:textId="66887B56" w:rsidR="00D158A2" w:rsidRPr="00620BF6" w:rsidRDefault="00D158A2" w:rsidP="0014051F">
            <w:pPr>
              <w:pStyle w:val="MDPI32textnoindent"/>
              <w:spacing w:line="360" w:lineRule="auto"/>
              <w:ind w:leftChars="100" w:left="240"/>
              <w:rPr>
                <w:rFonts w:ascii="Book Antiqua" w:hAnsi="Book Antiqua"/>
                <w:sz w:val="24"/>
                <w:szCs w:val="24"/>
              </w:rPr>
            </w:pPr>
            <w:proofErr w:type="spellStart"/>
            <w:r w:rsidRPr="00620BF6">
              <w:rPr>
                <w:rFonts w:ascii="Book Antiqua" w:hAnsi="Book Antiqua"/>
                <w:sz w:val="24"/>
                <w:szCs w:val="24"/>
              </w:rPr>
              <w:t>mAb</w:t>
            </w:r>
            <w:proofErr w:type="spellEnd"/>
            <w:r w:rsidRPr="00620BF6">
              <w:rPr>
                <w:rFonts w:ascii="Book Antiqua" w:hAnsi="Book Antiqua"/>
                <w:sz w:val="24"/>
                <w:szCs w:val="24"/>
              </w:rPr>
              <w:t xml:space="preserve"> therapy (</w:t>
            </w:r>
            <w:r w:rsidR="00DF6415" w:rsidRPr="00DF6415">
              <w:rPr>
                <w:rFonts w:ascii="Book Antiqua" w:hAnsi="Book Antiqua"/>
                <w:i/>
                <w:sz w:val="24"/>
                <w:szCs w:val="24"/>
              </w:rPr>
              <w:t>n</w:t>
            </w:r>
            <w:r w:rsidRPr="00620BF6">
              <w:rPr>
                <w:rFonts w:ascii="Book Antiqua" w:hAnsi="Book Antiqua"/>
                <w:sz w:val="24"/>
                <w:szCs w:val="24"/>
              </w:rPr>
              <w:t>, %)</w:t>
            </w:r>
          </w:p>
        </w:tc>
        <w:tc>
          <w:tcPr>
            <w:tcW w:w="1196" w:type="pct"/>
            <w:tcBorders>
              <w:top w:val="nil"/>
              <w:bottom w:val="single" w:sz="4" w:space="0" w:color="auto"/>
            </w:tcBorders>
            <w:shd w:val="clear" w:color="auto" w:fill="auto"/>
            <w:vAlign w:val="center"/>
          </w:tcPr>
          <w:p w14:paraId="39C5A9DD"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48 (68.5%)</w:t>
            </w:r>
          </w:p>
        </w:tc>
        <w:tc>
          <w:tcPr>
            <w:tcW w:w="1196" w:type="pct"/>
            <w:tcBorders>
              <w:top w:val="nil"/>
              <w:bottom w:val="single" w:sz="4" w:space="0" w:color="auto"/>
            </w:tcBorders>
            <w:shd w:val="clear" w:color="auto" w:fill="auto"/>
          </w:tcPr>
          <w:p w14:paraId="6F12435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single" w:sz="4" w:space="0" w:color="auto"/>
            </w:tcBorders>
            <w:shd w:val="clear" w:color="auto" w:fill="auto"/>
          </w:tcPr>
          <w:p w14:paraId="2AAE92C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bl>
    <w:p w14:paraId="2D240737" w14:textId="4F83E1F1" w:rsidR="00D158A2" w:rsidRDefault="00DF6415" w:rsidP="00D158A2">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Data are presented as mean ± standard deviation or median or n (%)</w:t>
      </w:r>
      <w:r>
        <w:rPr>
          <w:rFonts w:ascii="Book Antiqua" w:eastAsiaTheme="minorEastAsia" w:hAnsi="Book Antiqua" w:hint="eastAsi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1</w:t>
      </w:r>
      <w:r w:rsidRPr="00DF6415">
        <w:rPr>
          <w:rFonts w:ascii="Book Antiqua" w:hAnsi="Book Antiqua"/>
          <w:caps/>
          <w:sz w:val="24"/>
          <w:szCs w:val="24"/>
        </w:rPr>
        <w:t>c</w:t>
      </w:r>
      <w:r w:rsidRPr="00620BF6">
        <w:rPr>
          <w:rFonts w:ascii="Book Antiqua" w:hAnsi="Book Antiqua"/>
          <w:sz w:val="24"/>
          <w:szCs w:val="24"/>
        </w:rPr>
        <w:t>hi-squared test</w:t>
      </w:r>
      <w:r w:rsidR="004C44A9">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2</w:t>
      </w:r>
      <w:r w:rsidRPr="00DF6415">
        <w:rPr>
          <w:rFonts w:ascii="Book Antiqua" w:hAnsi="Book Antiqua"/>
          <w:i/>
          <w:sz w:val="24"/>
          <w:szCs w:val="24"/>
        </w:rPr>
        <w:t>t</w:t>
      </w:r>
      <w:r w:rsidRPr="00620BF6">
        <w:rPr>
          <w:rFonts w:ascii="Book Antiqua" w:hAnsi="Book Antiqua"/>
          <w:sz w:val="24"/>
          <w:szCs w:val="24"/>
        </w:rPr>
        <w:t>-test for independent samples</w:t>
      </w:r>
      <w:r w:rsidR="004C44A9">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3</w:t>
      </w:r>
      <w:r w:rsidRPr="00620BF6">
        <w:rPr>
          <w:rFonts w:ascii="Book Antiqua" w:hAnsi="Book Antiqua"/>
          <w:sz w:val="24"/>
          <w:szCs w:val="24"/>
        </w:rPr>
        <w:t xml:space="preserve">Mann-Whitney </w:t>
      </w:r>
      <w:r w:rsidRPr="00DF6415">
        <w:rPr>
          <w:rFonts w:ascii="Book Antiqua" w:hAnsi="Book Antiqua"/>
          <w:i/>
          <w:sz w:val="24"/>
          <w:szCs w:val="24"/>
        </w:rPr>
        <w:t>U</w:t>
      </w:r>
      <w:r w:rsidRPr="00620BF6">
        <w:rPr>
          <w:rFonts w:ascii="Book Antiqua" w:hAnsi="Book Antiqua"/>
          <w:sz w:val="24"/>
          <w:szCs w:val="24"/>
        </w:rPr>
        <w:t xml:space="preserve"> test</w:t>
      </w:r>
      <w:r>
        <w:rPr>
          <w:rFonts w:ascii="Book Antiqua" w:hAnsi="Book Antiqua"/>
          <w:sz w:val="24"/>
          <w:szCs w:val="24"/>
        </w:rPr>
        <w:t xml:space="preserve">. </w:t>
      </w:r>
      <w:r w:rsidR="00D158A2" w:rsidRPr="00620BF6">
        <w:rPr>
          <w:rFonts w:ascii="Book Antiqua" w:hAnsi="Book Antiqua"/>
          <w:bCs/>
          <w:sz w:val="24"/>
          <w:szCs w:val="24"/>
        </w:rPr>
        <w:t xml:space="preserve">UCEIS: </w:t>
      </w:r>
      <w:r w:rsidR="00D158A2" w:rsidRPr="00620BF6">
        <w:rPr>
          <w:rFonts w:ascii="Book Antiqua" w:hAnsi="Book Antiqua"/>
          <w:sz w:val="24"/>
          <w:szCs w:val="24"/>
        </w:rPr>
        <w:t xml:space="preserve">Ulcerative Colitis Endoscopic Index of Severity; </w:t>
      </w:r>
      <w:r w:rsidR="00D158A2" w:rsidRPr="00620BF6">
        <w:rPr>
          <w:rFonts w:ascii="Book Antiqua" w:hAnsi="Book Antiqua"/>
          <w:bCs/>
          <w:sz w:val="24"/>
          <w:szCs w:val="24"/>
        </w:rPr>
        <w:t>SES-CD</w:t>
      </w:r>
      <w:r w:rsidRPr="00DF6415">
        <w:rPr>
          <w:rFonts w:ascii="Book Antiqua" w:eastAsia="宋体" w:hAnsi="Book Antiqua" w:cs="宋体"/>
          <w:bCs/>
          <w:sz w:val="24"/>
          <w:szCs w:val="24"/>
          <w:lang w:eastAsia="zh-CN"/>
        </w:rPr>
        <w:t>:</w:t>
      </w:r>
      <w:r w:rsidR="00D158A2" w:rsidRPr="00DF6415">
        <w:rPr>
          <w:rFonts w:ascii="Book Antiqua" w:eastAsia="宋体" w:hAnsi="Book Antiqua" w:cs="宋体"/>
          <w:bCs/>
          <w:sz w:val="24"/>
          <w:szCs w:val="24"/>
          <w:lang w:eastAsia="zh-CN"/>
        </w:rPr>
        <w:t xml:space="preserve"> </w:t>
      </w:r>
      <w:r w:rsidR="00D158A2" w:rsidRPr="00620BF6">
        <w:rPr>
          <w:rFonts w:ascii="Book Antiqua" w:hAnsi="Book Antiqua"/>
          <w:sz w:val="24"/>
          <w:szCs w:val="24"/>
        </w:rPr>
        <w:t xml:space="preserve">Simple Endoscopic Score for Crohn's Disease; </w:t>
      </w:r>
      <w:proofErr w:type="spellStart"/>
      <w:r w:rsidR="00D158A2" w:rsidRPr="00620BF6">
        <w:rPr>
          <w:rFonts w:ascii="Book Antiqua" w:hAnsi="Book Antiqua"/>
          <w:bCs/>
          <w:sz w:val="24"/>
          <w:szCs w:val="24"/>
        </w:rPr>
        <w:t>mAb</w:t>
      </w:r>
      <w:proofErr w:type="spellEnd"/>
      <w:r w:rsidR="00D158A2" w:rsidRPr="00620BF6">
        <w:rPr>
          <w:rFonts w:ascii="Book Antiqua" w:hAnsi="Book Antiqua"/>
          <w:bCs/>
          <w:sz w:val="24"/>
          <w:szCs w:val="24"/>
        </w:rPr>
        <w:t>:</w:t>
      </w:r>
      <w:r w:rsidR="00D158A2" w:rsidRPr="00620BF6">
        <w:rPr>
          <w:rFonts w:ascii="Book Antiqua" w:hAnsi="Book Antiqua"/>
          <w:b/>
          <w:sz w:val="24"/>
          <w:szCs w:val="24"/>
        </w:rPr>
        <w:t xml:space="preserve"> </w:t>
      </w:r>
      <w:r w:rsidR="00D158A2" w:rsidRPr="00620BF6">
        <w:rPr>
          <w:rFonts w:ascii="Book Antiqua" w:hAnsi="Book Antiqua"/>
          <w:sz w:val="24"/>
          <w:szCs w:val="24"/>
        </w:rPr>
        <w:t xml:space="preserve">Monoclonal </w:t>
      </w:r>
      <w:r w:rsidRPr="00620BF6">
        <w:rPr>
          <w:rFonts w:ascii="Book Antiqua" w:hAnsi="Book Antiqua"/>
          <w:sz w:val="24"/>
          <w:szCs w:val="24"/>
        </w:rPr>
        <w:t>a</w:t>
      </w:r>
      <w:r w:rsidR="00D158A2" w:rsidRPr="00620BF6">
        <w:rPr>
          <w:rFonts w:ascii="Book Antiqua" w:hAnsi="Book Antiqua"/>
          <w:sz w:val="24"/>
          <w:szCs w:val="24"/>
        </w:rPr>
        <w:t>ntibody</w:t>
      </w:r>
      <w:r w:rsidR="00D158A2" w:rsidRPr="00DF6415">
        <w:rPr>
          <w:rFonts w:ascii="Book Antiqua" w:hAnsi="Book Antiqua"/>
          <w:sz w:val="24"/>
          <w:szCs w:val="24"/>
        </w:rPr>
        <w:t xml:space="preserve">; </w:t>
      </w:r>
      <w:proofErr w:type="spellStart"/>
      <w:r w:rsidR="00D158A2" w:rsidRPr="00620BF6">
        <w:rPr>
          <w:rFonts w:ascii="Book Antiqua" w:hAnsi="Book Antiqua"/>
          <w:bCs/>
          <w:sz w:val="24"/>
          <w:szCs w:val="24"/>
        </w:rPr>
        <w:t>hsCRP</w:t>
      </w:r>
      <w:proofErr w:type="spellEnd"/>
      <w:r w:rsidR="00D158A2" w:rsidRPr="00620BF6">
        <w:rPr>
          <w:rFonts w:ascii="Book Antiqua" w:hAnsi="Book Antiqua"/>
          <w:bCs/>
          <w:sz w:val="24"/>
          <w:szCs w:val="24"/>
        </w:rPr>
        <w:t>:</w:t>
      </w:r>
      <w:r w:rsidR="00D158A2" w:rsidRPr="00620BF6">
        <w:rPr>
          <w:rFonts w:ascii="Book Antiqua" w:hAnsi="Book Antiqua"/>
          <w:b/>
          <w:sz w:val="24"/>
          <w:szCs w:val="24"/>
        </w:rPr>
        <w:t xml:space="preserve"> </w:t>
      </w:r>
      <w:r w:rsidR="00D158A2" w:rsidRPr="00620BF6">
        <w:rPr>
          <w:rFonts w:ascii="Book Antiqua" w:eastAsiaTheme="minorEastAsia" w:hAnsi="Book Antiqua"/>
          <w:sz w:val="24"/>
          <w:szCs w:val="24"/>
          <w:lang w:eastAsia="zh-CN"/>
        </w:rPr>
        <w:t>H</w:t>
      </w:r>
      <w:r w:rsidR="00D158A2" w:rsidRPr="00620BF6">
        <w:rPr>
          <w:rFonts w:ascii="Book Antiqua" w:hAnsi="Book Antiqua"/>
          <w:sz w:val="24"/>
          <w:szCs w:val="24"/>
        </w:rPr>
        <w:t>igh sensitivity C-reactive protein</w:t>
      </w:r>
      <w:r w:rsidR="003347F9">
        <w:rPr>
          <w:rFonts w:ascii="Book Antiqua" w:eastAsia="宋体" w:hAnsi="Book Antiqua" w:cs="宋体"/>
          <w:sz w:val="24"/>
          <w:szCs w:val="24"/>
          <w:lang w:eastAsia="zh-CN"/>
        </w:rPr>
        <w:t>.</w:t>
      </w:r>
    </w:p>
    <w:p w14:paraId="42C32BF8" w14:textId="547AAFE5" w:rsidR="00E513AD" w:rsidRDefault="00E513AD" w:rsidP="00D158A2">
      <w:pPr>
        <w:pStyle w:val="MDPI32textnoindent"/>
        <w:spacing w:line="360" w:lineRule="auto"/>
        <w:ind w:leftChars="100" w:left="240"/>
        <w:rPr>
          <w:rFonts w:ascii="Book Antiqua" w:hAnsi="Book Antiqua"/>
          <w:sz w:val="24"/>
          <w:szCs w:val="24"/>
        </w:rPr>
      </w:pPr>
    </w:p>
    <w:p w14:paraId="339A496A" w14:textId="77777777" w:rsidR="00654EF5" w:rsidRDefault="00654EF5">
      <w:pPr>
        <w:rPr>
          <w:rFonts w:ascii="Book Antiqua" w:eastAsia="Times New Roman" w:hAnsi="Book Antiqua"/>
          <w:b/>
          <w:snapToGrid w:val="0"/>
          <w:color w:val="000000"/>
          <w:lang w:eastAsia="de-DE" w:bidi="en-US"/>
        </w:rPr>
      </w:pPr>
      <w:r>
        <w:rPr>
          <w:rFonts w:ascii="Book Antiqua" w:hAnsi="Book Antiqua"/>
          <w:b/>
        </w:rPr>
        <w:br w:type="page"/>
      </w:r>
    </w:p>
    <w:p w14:paraId="754F7C9C" w14:textId="324826B3" w:rsidR="00E513AD" w:rsidRPr="008E227C" w:rsidRDefault="00E513AD" w:rsidP="00E513AD">
      <w:pPr>
        <w:pStyle w:val="MDPI31text"/>
        <w:spacing w:line="360" w:lineRule="auto"/>
        <w:ind w:firstLine="0"/>
        <w:rPr>
          <w:rFonts w:ascii="Book Antiqua" w:hAnsi="Book Antiqua"/>
          <w:b/>
          <w:bCs/>
          <w:sz w:val="24"/>
          <w:szCs w:val="24"/>
        </w:rPr>
      </w:pPr>
      <w:r w:rsidRPr="00620BF6">
        <w:rPr>
          <w:rFonts w:ascii="Book Antiqua" w:hAnsi="Book Antiqua"/>
          <w:b/>
          <w:sz w:val="24"/>
          <w:szCs w:val="24"/>
        </w:rPr>
        <w:lastRenderedPageBreak/>
        <w:t>Table 2</w:t>
      </w:r>
      <w:r w:rsidRPr="008E227C">
        <w:rPr>
          <w:rFonts w:ascii="Book Antiqua" w:hAnsi="Book Antiqua"/>
          <w:b/>
          <w:bCs/>
          <w:sz w:val="24"/>
          <w:szCs w:val="24"/>
        </w:rPr>
        <w:t xml:space="preserve"> Multiple linear regression model of independent predictors for </w:t>
      </w:r>
      <w:r w:rsidR="00374CF1" w:rsidRPr="00374CF1">
        <w:rPr>
          <w:rFonts w:ascii="Book Antiqua" w:hAnsi="Book Antiqua"/>
          <w:b/>
          <w:bCs/>
          <w:sz w:val="24"/>
          <w:szCs w:val="24"/>
        </w:rPr>
        <w:t xml:space="preserve">dephosphorylated and </w:t>
      </w:r>
      <w:proofErr w:type="spellStart"/>
      <w:r w:rsidR="00374CF1" w:rsidRPr="00374CF1">
        <w:rPr>
          <w:rFonts w:ascii="Book Antiqua" w:hAnsi="Book Antiqua"/>
          <w:b/>
          <w:bCs/>
          <w:sz w:val="24"/>
          <w:szCs w:val="24"/>
        </w:rPr>
        <w:t>uncarboxylated</w:t>
      </w:r>
      <w:proofErr w:type="spellEnd"/>
      <w:r w:rsidR="00374CF1" w:rsidRPr="00374CF1">
        <w:rPr>
          <w:rFonts w:ascii="Book Antiqua" w:hAnsi="Book Antiqua"/>
          <w:b/>
          <w:bCs/>
          <w:sz w:val="24"/>
          <w:szCs w:val="24"/>
        </w:rPr>
        <w:t xml:space="preserve"> matrix </w:t>
      </w:r>
      <w:proofErr w:type="spellStart"/>
      <w:r w:rsidR="00374CF1" w:rsidRPr="00374CF1">
        <w:rPr>
          <w:rFonts w:ascii="Book Antiqua" w:hAnsi="Book Antiqua"/>
          <w:b/>
          <w:bCs/>
          <w:sz w:val="24"/>
          <w:szCs w:val="24"/>
        </w:rPr>
        <w:t>Gla</w:t>
      </w:r>
      <w:proofErr w:type="spellEnd"/>
      <w:r w:rsidR="00374CF1" w:rsidRPr="00374CF1">
        <w:rPr>
          <w:rFonts w:ascii="Book Antiqua" w:hAnsi="Book Antiqua"/>
          <w:b/>
          <w:bCs/>
          <w:sz w:val="24"/>
          <w:szCs w:val="24"/>
        </w:rPr>
        <w:t xml:space="preserve"> protein</w:t>
      </w:r>
      <w:r w:rsidRPr="008E227C">
        <w:rPr>
          <w:rFonts w:ascii="Book Antiqua" w:hAnsi="Book Antiqua"/>
          <w:b/>
          <w:bCs/>
          <w:sz w:val="24"/>
          <w:szCs w:val="24"/>
        </w:rPr>
        <w:t xml:space="preserve"> concentration</w:t>
      </w:r>
    </w:p>
    <w:tbl>
      <w:tblPr>
        <w:tblW w:w="9001" w:type="dxa"/>
        <w:jc w:val="center"/>
        <w:tblBorders>
          <w:top w:val="single" w:sz="4" w:space="0" w:color="auto"/>
          <w:bottom w:val="single" w:sz="4" w:space="0" w:color="auto"/>
        </w:tblBorders>
        <w:tblLook w:val="04A0" w:firstRow="1" w:lastRow="0" w:firstColumn="1" w:lastColumn="0" w:noHBand="0" w:noVBand="1"/>
      </w:tblPr>
      <w:tblGrid>
        <w:gridCol w:w="2975"/>
        <w:gridCol w:w="1698"/>
        <w:gridCol w:w="1643"/>
        <w:gridCol w:w="1476"/>
        <w:gridCol w:w="1209"/>
      </w:tblGrid>
      <w:tr w:rsidR="00E513AD" w:rsidRPr="00620BF6" w14:paraId="0865818B" w14:textId="77777777" w:rsidTr="0014051F">
        <w:trPr>
          <w:trHeight w:val="270"/>
          <w:jc w:val="center"/>
        </w:trPr>
        <w:tc>
          <w:tcPr>
            <w:tcW w:w="2975" w:type="dxa"/>
            <w:tcBorders>
              <w:top w:val="single" w:sz="4" w:space="0" w:color="auto"/>
              <w:bottom w:val="single" w:sz="4" w:space="0" w:color="auto"/>
            </w:tcBorders>
            <w:shd w:val="clear" w:color="auto" w:fill="auto"/>
          </w:tcPr>
          <w:p w14:paraId="056C555A" w14:textId="77777777" w:rsidR="00E513AD" w:rsidRPr="00620BF6" w:rsidRDefault="00E513AD" w:rsidP="0014051F">
            <w:pPr>
              <w:pStyle w:val="MDPI31text"/>
              <w:spacing w:line="360" w:lineRule="auto"/>
              <w:ind w:firstLine="0"/>
              <w:rPr>
                <w:rFonts w:ascii="Book Antiqua" w:hAnsi="Book Antiqua"/>
                <w:b/>
                <w:sz w:val="24"/>
                <w:szCs w:val="24"/>
              </w:rPr>
            </w:pPr>
            <w:r w:rsidRPr="00620BF6">
              <w:rPr>
                <w:rFonts w:ascii="Book Antiqua" w:hAnsi="Book Antiqua"/>
                <w:b/>
                <w:sz w:val="24"/>
                <w:szCs w:val="24"/>
              </w:rPr>
              <w:t>Variable</w:t>
            </w:r>
          </w:p>
        </w:tc>
        <w:tc>
          <w:tcPr>
            <w:tcW w:w="1698" w:type="dxa"/>
            <w:tcBorders>
              <w:top w:val="single" w:sz="4" w:space="0" w:color="auto"/>
              <w:bottom w:val="single" w:sz="4" w:space="0" w:color="auto"/>
            </w:tcBorders>
            <w:shd w:val="clear" w:color="auto" w:fill="auto"/>
          </w:tcPr>
          <w:p w14:paraId="28131EA9" w14:textId="77777777" w:rsidR="00E513AD" w:rsidRPr="00620BF6" w:rsidRDefault="00E513AD" w:rsidP="0014051F">
            <w:pPr>
              <w:pStyle w:val="MDPI31text"/>
              <w:spacing w:line="360" w:lineRule="auto"/>
              <w:ind w:firstLine="0"/>
              <w:rPr>
                <w:rFonts w:ascii="Book Antiqua" w:hAnsi="Book Antiqua"/>
                <w:b/>
                <w:sz w:val="24"/>
                <w:szCs w:val="24"/>
                <w:vertAlign w:val="superscript"/>
              </w:rPr>
            </w:pPr>
            <w:r w:rsidRPr="00620BF6">
              <w:rPr>
                <w:rFonts w:ascii="Book Antiqua" w:hAnsi="Book Antiqua"/>
                <w:b/>
                <w:sz w:val="24"/>
                <w:szCs w:val="24"/>
              </w:rPr>
              <w:t>β</w:t>
            </w:r>
            <w:r w:rsidRPr="00620BF6">
              <w:rPr>
                <w:rFonts w:ascii="Book Antiqua" w:hAnsi="Book Antiqua"/>
                <w:sz w:val="24"/>
                <w:szCs w:val="24"/>
                <w:vertAlign w:val="superscript"/>
              </w:rPr>
              <w:t>1</w:t>
            </w:r>
          </w:p>
        </w:tc>
        <w:tc>
          <w:tcPr>
            <w:tcW w:w="1643" w:type="dxa"/>
            <w:tcBorders>
              <w:top w:val="single" w:sz="4" w:space="0" w:color="auto"/>
              <w:bottom w:val="single" w:sz="4" w:space="0" w:color="auto"/>
            </w:tcBorders>
            <w:shd w:val="clear" w:color="auto" w:fill="auto"/>
          </w:tcPr>
          <w:p w14:paraId="008BFF62" w14:textId="1339A631" w:rsidR="00E513AD" w:rsidRPr="00620BF6" w:rsidRDefault="00E513AD" w:rsidP="0014051F">
            <w:pPr>
              <w:pStyle w:val="MDPI31text"/>
              <w:spacing w:line="360" w:lineRule="auto"/>
              <w:ind w:firstLine="0"/>
              <w:rPr>
                <w:rFonts w:ascii="Book Antiqua" w:hAnsi="Book Antiqua"/>
                <w:b/>
                <w:sz w:val="24"/>
                <w:szCs w:val="24"/>
                <w:vertAlign w:val="superscript"/>
              </w:rPr>
            </w:pPr>
            <w:r w:rsidRPr="00620BF6">
              <w:rPr>
                <w:rFonts w:ascii="Book Antiqua" w:hAnsi="Book Antiqua"/>
                <w:b/>
                <w:sz w:val="24"/>
                <w:szCs w:val="24"/>
              </w:rPr>
              <w:t>SE</w:t>
            </w:r>
          </w:p>
        </w:tc>
        <w:tc>
          <w:tcPr>
            <w:tcW w:w="1476" w:type="dxa"/>
            <w:tcBorders>
              <w:top w:val="single" w:sz="4" w:space="0" w:color="auto"/>
              <w:bottom w:val="single" w:sz="4" w:space="0" w:color="auto"/>
            </w:tcBorders>
            <w:shd w:val="clear" w:color="auto" w:fill="auto"/>
          </w:tcPr>
          <w:p w14:paraId="15D0F8BE" w14:textId="0BF5A933" w:rsidR="00E513AD" w:rsidRPr="00620BF6" w:rsidRDefault="00D36768" w:rsidP="00654EF5">
            <w:pPr>
              <w:pStyle w:val="MDPI31text"/>
              <w:spacing w:line="360" w:lineRule="auto"/>
              <w:ind w:firstLine="0"/>
              <w:rPr>
                <w:rFonts w:ascii="Book Antiqua" w:hAnsi="Book Antiqua"/>
                <w:b/>
                <w:sz w:val="24"/>
                <w:szCs w:val="24"/>
              </w:rPr>
            </w:pPr>
            <w:r w:rsidRPr="00654EF5">
              <w:rPr>
                <w:rFonts w:ascii="Book Antiqua" w:hAnsi="Book Antiqua"/>
                <w:b/>
                <w:i/>
                <w:sz w:val="24"/>
                <w:szCs w:val="24"/>
              </w:rPr>
              <w:t>t</w:t>
            </w:r>
            <w:r>
              <w:rPr>
                <w:rFonts w:ascii="Book Antiqua" w:hAnsi="Book Antiqua"/>
                <w:b/>
                <w:sz w:val="24"/>
                <w:szCs w:val="24"/>
              </w:rPr>
              <w:t xml:space="preserve"> </w:t>
            </w:r>
            <w:r w:rsidR="00E513AD" w:rsidRPr="00620BF6">
              <w:rPr>
                <w:rFonts w:ascii="Book Antiqua" w:hAnsi="Book Antiqua"/>
                <w:b/>
                <w:sz w:val="24"/>
                <w:szCs w:val="24"/>
              </w:rPr>
              <w:t>value</w:t>
            </w:r>
          </w:p>
        </w:tc>
        <w:tc>
          <w:tcPr>
            <w:tcW w:w="1209" w:type="dxa"/>
            <w:tcBorders>
              <w:top w:val="single" w:sz="4" w:space="0" w:color="auto"/>
              <w:bottom w:val="single" w:sz="4" w:space="0" w:color="auto"/>
            </w:tcBorders>
            <w:shd w:val="clear" w:color="auto" w:fill="auto"/>
          </w:tcPr>
          <w:p w14:paraId="0CE355F6" w14:textId="6645BABC" w:rsidR="00E513AD" w:rsidRPr="00620BF6" w:rsidRDefault="00E513AD" w:rsidP="0014051F">
            <w:pPr>
              <w:pStyle w:val="MDPI31text"/>
              <w:spacing w:line="360" w:lineRule="auto"/>
              <w:ind w:firstLine="0"/>
              <w:rPr>
                <w:rFonts w:ascii="Book Antiqua" w:hAnsi="Book Antiqua"/>
                <w:b/>
                <w:i/>
                <w:sz w:val="24"/>
                <w:szCs w:val="24"/>
              </w:rPr>
            </w:pPr>
            <w:r w:rsidRPr="00620BF6">
              <w:rPr>
                <w:rFonts w:ascii="Book Antiqua" w:hAnsi="Book Antiqua"/>
                <w:b/>
                <w:i/>
                <w:sz w:val="24"/>
                <w:szCs w:val="24"/>
              </w:rPr>
              <w:t>P</w:t>
            </w:r>
            <w:r w:rsidR="00654EF5">
              <w:rPr>
                <w:rFonts w:ascii="Book Antiqua" w:hAnsi="Book Antiqua"/>
                <w:b/>
                <w:i/>
                <w:sz w:val="24"/>
                <w:szCs w:val="24"/>
              </w:rPr>
              <w:t xml:space="preserve"> </w:t>
            </w:r>
            <w:r w:rsidR="00654EF5" w:rsidRPr="00620BF6">
              <w:rPr>
                <w:rFonts w:ascii="Book Antiqua" w:hAnsi="Book Antiqua"/>
                <w:b/>
                <w:sz w:val="24"/>
                <w:szCs w:val="24"/>
              </w:rPr>
              <w:t>value</w:t>
            </w:r>
          </w:p>
        </w:tc>
      </w:tr>
      <w:tr w:rsidR="00E513AD" w:rsidRPr="00620BF6" w14:paraId="2A940ECD" w14:textId="77777777" w:rsidTr="0014051F">
        <w:trPr>
          <w:trHeight w:val="345"/>
          <w:jc w:val="center"/>
        </w:trPr>
        <w:tc>
          <w:tcPr>
            <w:tcW w:w="2975" w:type="dxa"/>
            <w:tcBorders>
              <w:top w:val="single" w:sz="4" w:space="0" w:color="auto"/>
              <w:bottom w:val="nil"/>
            </w:tcBorders>
          </w:tcPr>
          <w:p w14:paraId="3927720C"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Fecal calprotectin (</w:t>
            </w:r>
            <w:proofErr w:type="spellStart"/>
            <w:r w:rsidRPr="00620BF6">
              <w:rPr>
                <w:rFonts w:ascii="Book Antiqua" w:hAnsi="Book Antiqua"/>
                <w:sz w:val="24"/>
                <w:szCs w:val="24"/>
              </w:rPr>
              <w:t>μg</w:t>
            </w:r>
            <w:proofErr w:type="spellEnd"/>
            <w:r w:rsidRPr="00620BF6">
              <w:rPr>
                <w:rFonts w:ascii="Book Antiqua" w:hAnsi="Book Antiqua"/>
                <w:sz w:val="24"/>
                <w:szCs w:val="24"/>
              </w:rPr>
              <w:t>/g)</w:t>
            </w:r>
          </w:p>
        </w:tc>
        <w:tc>
          <w:tcPr>
            <w:tcW w:w="1698" w:type="dxa"/>
            <w:tcBorders>
              <w:top w:val="single" w:sz="4" w:space="0" w:color="auto"/>
              <w:bottom w:val="nil"/>
            </w:tcBorders>
          </w:tcPr>
          <w:p w14:paraId="394F0F90"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0.06</w:t>
            </w:r>
          </w:p>
        </w:tc>
        <w:tc>
          <w:tcPr>
            <w:tcW w:w="1643" w:type="dxa"/>
            <w:tcBorders>
              <w:top w:val="single" w:sz="4" w:space="0" w:color="auto"/>
              <w:bottom w:val="nil"/>
            </w:tcBorders>
          </w:tcPr>
          <w:p w14:paraId="2914D756"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0.02</w:t>
            </w:r>
          </w:p>
        </w:tc>
        <w:tc>
          <w:tcPr>
            <w:tcW w:w="1476" w:type="dxa"/>
            <w:tcBorders>
              <w:top w:val="single" w:sz="4" w:space="0" w:color="auto"/>
              <w:bottom w:val="nil"/>
            </w:tcBorders>
          </w:tcPr>
          <w:p w14:paraId="1F95D7C9"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3.08</w:t>
            </w:r>
          </w:p>
        </w:tc>
        <w:tc>
          <w:tcPr>
            <w:tcW w:w="1209" w:type="dxa"/>
            <w:tcBorders>
              <w:top w:val="single" w:sz="4" w:space="0" w:color="auto"/>
              <w:bottom w:val="nil"/>
            </w:tcBorders>
          </w:tcPr>
          <w:p w14:paraId="5283EFD1"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0.003</w:t>
            </w:r>
          </w:p>
        </w:tc>
      </w:tr>
      <w:tr w:rsidR="00E513AD" w:rsidRPr="00620BF6" w14:paraId="0272CA72" w14:textId="77777777" w:rsidTr="0014051F">
        <w:trPr>
          <w:trHeight w:val="345"/>
          <w:jc w:val="center"/>
        </w:trPr>
        <w:tc>
          <w:tcPr>
            <w:tcW w:w="2975" w:type="dxa"/>
            <w:tcBorders>
              <w:top w:val="nil"/>
              <w:bottom w:val="nil"/>
            </w:tcBorders>
          </w:tcPr>
          <w:p w14:paraId="0D089B34" w14:textId="77777777" w:rsidR="00E513AD" w:rsidRPr="00620BF6" w:rsidRDefault="00E513AD" w:rsidP="0014051F">
            <w:pPr>
              <w:pStyle w:val="MDPI31text"/>
              <w:spacing w:line="360" w:lineRule="auto"/>
              <w:ind w:firstLine="0"/>
              <w:rPr>
                <w:rFonts w:ascii="Book Antiqua" w:hAnsi="Book Antiqua"/>
                <w:sz w:val="24"/>
                <w:szCs w:val="24"/>
              </w:rPr>
            </w:pPr>
            <w:proofErr w:type="spellStart"/>
            <w:r w:rsidRPr="00620BF6">
              <w:rPr>
                <w:rFonts w:ascii="Book Antiqua" w:hAnsi="Book Antiqua"/>
                <w:sz w:val="24"/>
                <w:szCs w:val="24"/>
              </w:rPr>
              <w:t>hsCRP</w:t>
            </w:r>
            <w:proofErr w:type="spellEnd"/>
            <w:r w:rsidRPr="00620BF6">
              <w:rPr>
                <w:rFonts w:ascii="Book Antiqua" w:hAnsi="Book Antiqua"/>
                <w:sz w:val="24"/>
                <w:szCs w:val="24"/>
              </w:rPr>
              <w:t xml:space="preserve"> (mg/L)</w:t>
            </w:r>
          </w:p>
        </w:tc>
        <w:tc>
          <w:tcPr>
            <w:tcW w:w="1698" w:type="dxa"/>
            <w:tcBorders>
              <w:top w:val="nil"/>
              <w:bottom w:val="nil"/>
            </w:tcBorders>
          </w:tcPr>
          <w:p w14:paraId="1E36CD5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0.66</w:t>
            </w:r>
          </w:p>
        </w:tc>
        <w:tc>
          <w:tcPr>
            <w:tcW w:w="1643" w:type="dxa"/>
            <w:tcBorders>
              <w:top w:val="nil"/>
              <w:bottom w:val="nil"/>
            </w:tcBorders>
          </w:tcPr>
          <w:p w14:paraId="377160D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0.47</w:t>
            </w:r>
          </w:p>
        </w:tc>
        <w:tc>
          <w:tcPr>
            <w:tcW w:w="1476" w:type="dxa"/>
            <w:tcBorders>
              <w:top w:val="nil"/>
              <w:bottom w:val="nil"/>
            </w:tcBorders>
          </w:tcPr>
          <w:p w14:paraId="139C31A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1.41</w:t>
            </w:r>
          </w:p>
        </w:tc>
        <w:tc>
          <w:tcPr>
            <w:tcW w:w="1209" w:type="dxa"/>
            <w:tcBorders>
              <w:top w:val="nil"/>
              <w:bottom w:val="nil"/>
            </w:tcBorders>
          </w:tcPr>
          <w:p w14:paraId="6A2AAE6F"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0.162</w:t>
            </w:r>
          </w:p>
        </w:tc>
      </w:tr>
      <w:tr w:rsidR="00E513AD" w:rsidRPr="00620BF6" w14:paraId="62A3BCB8" w14:textId="77777777" w:rsidTr="0014051F">
        <w:trPr>
          <w:trHeight w:val="135"/>
          <w:jc w:val="center"/>
        </w:trPr>
        <w:tc>
          <w:tcPr>
            <w:tcW w:w="2975" w:type="dxa"/>
            <w:tcBorders>
              <w:top w:val="nil"/>
            </w:tcBorders>
          </w:tcPr>
          <w:p w14:paraId="08CD1D0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Body mass index (kg/m</w:t>
            </w:r>
            <w:r w:rsidRPr="00620BF6">
              <w:rPr>
                <w:rFonts w:ascii="Book Antiqua" w:hAnsi="Book Antiqua"/>
                <w:sz w:val="24"/>
                <w:szCs w:val="24"/>
                <w:vertAlign w:val="superscript"/>
              </w:rPr>
              <w:t>2</w:t>
            </w:r>
            <w:r w:rsidRPr="00620BF6">
              <w:rPr>
                <w:rFonts w:ascii="Book Antiqua" w:hAnsi="Book Antiqua"/>
                <w:sz w:val="24"/>
                <w:szCs w:val="24"/>
              </w:rPr>
              <w:t>)</w:t>
            </w:r>
          </w:p>
        </w:tc>
        <w:tc>
          <w:tcPr>
            <w:tcW w:w="1698" w:type="dxa"/>
            <w:tcBorders>
              <w:top w:val="nil"/>
            </w:tcBorders>
          </w:tcPr>
          <w:p w14:paraId="3FDF766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-11.15</w:t>
            </w:r>
          </w:p>
        </w:tc>
        <w:tc>
          <w:tcPr>
            <w:tcW w:w="1643" w:type="dxa"/>
            <w:tcBorders>
              <w:top w:val="nil"/>
            </w:tcBorders>
          </w:tcPr>
          <w:p w14:paraId="7ACF1F1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5.82</w:t>
            </w:r>
          </w:p>
        </w:tc>
        <w:tc>
          <w:tcPr>
            <w:tcW w:w="1476" w:type="dxa"/>
            <w:tcBorders>
              <w:top w:val="nil"/>
            </w:tcBorders>
          </w:tcPr>
          <w:p w14:paraId="76E958D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-1.92</w:t>
            </w:r>
          </w:p>
        </w:tc>
        <w:tc>
          <w:tcPr>
            <w:tcW w:w="1209" w:type="dxa"/>
            <w:tcBorders>
              <w:top w:val="nil"/>
            </w:tcBorders>
          </w:tcPr>
          <w:p w14:paraId="710186F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0.058</w:t>
            </w:r>
          </w:p>
        </w:tc>
      </w:tr>
      <w:tr w:rsidR="00E513AD" w:rsidRPr="00620BF6" w14:paraId="379EF1BC" w14:textId="77777777" w:rsidTr="0014051F">
        <w:trPr>
          <w:trHeight w:val="225"/>
          <w:jc w:val="center"/>
        </w:trPr>
        <w:tc>
          <w:tcPr>
            <w:tcW w:w="2975" w:type="dxa"/>
          </w:tcPr>
          <w:p w14:paraId="3E8BDCF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Age (years)</w:t>
            </w:r>
          </w:p>
        </w:tc>
        <w:tc>
          <w:tcPr>
            <w:tcW w:w="1698" w:type="dxa"/>
          </w:tcPr>
          <w:p w14:paraId="16A824A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1.87</w:t>
            </w:r>
          </w:p>
        </w:tc>
        <w:tc>
          <w:tcPr>
            <w:tcW w:w="1643" w:type="dxa"/>
          </w:tcPr>
          <w:p w14:paraId="4B92F45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1.13</w:t>
            </w:r>
          </w:p>
        </w:tc>
        <w:tc>
          <w:tcPr>
            <w:tcW w:w="1476" w:type="dxa"/>
          </w:tcPr>
          <w:p w14:paraId="5FB5312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1.65</w:t>
            </w:r>
          </w:p>
        </w:tc>
        <w:tc>
          <w:tcPr>
            <w:tcW w:w="1209" w:type="dxa"/>
          </w:tcPr>
          <w:p w14:paraId="452BAD2A"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0.102</w:t>
            </w:r>
          </w:p>
        </w:tc>
      </w:tr>
      <w:tr w:rsidR="00E513AD" w:rsidRPr="00620BF6" w14:paraId="636B4F33" w14:textId="77777777" w:rsidTr="0014051F">
        <w:trPr>
          <w:trHeight w:val="225"/>
          <w:jc w:val="center"/>
        </w:trPr>
        <w:tc>
          <w:tcPr>
            <w:tcW w:w="2975" w:type="dxa"/>
          </w:tcPr>
          <w:p w14:paraId="67AC8C17"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Waist circumference (cm)</w:t>
            </w:r>
          </w:p>
        </w:tc>
        <w:tc>
          <w:tcPr>
            <w:tcW w:w="1698" w:type="dxa"/>
          </w:tcPr>
          <w:p w14:paraId="6187438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4.35</w:t>
            </w:r>
          </w:p>
        </w:tc>
        <w:tc>
          <w:tcPr>
            <w:tcW w:w="1643" w:type="dxa"/>
          </w:tcPr>
          <w:p w14:paraId="1D3708A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1.72</w:t>
            </w:r>
          </w:p>
        </w:tc>
        <w:tc>
          <w:tcPr>
            <w:tcW w:w="1476" w:type="dxa"/>
          </w:tcPr>
          <w:p w14:paraId="63530039"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2.54</w:t>
            </w:r>
          </w:p>
        </w:tc>
        <w:tc>
          <w:tcPr>
            <w:tcW w:w="1209" w:type="dxa"/>
          </w:tcPr>
          <w:p w14:paraId="023C6E97"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0.013</w:t>
            </w:r>
          </w:p>
        </w:tc>
      </w:tr>
      <w:tr w:rsidR="00E513AD" w:rsidRPr="00620BF6" w14:paraId="1B026ADF" w14:textId="77777777" w:rsidTr="0014051F">
        <w:trPr>
          <w:trHeight w:val="225"/>
          <w:jc w:val="center"/>
        </w:trPr>
        <w:tc>
          <w:tcPr>
            <w:tcW w:w="2975" w:type="dxa"/>
          </w:tcPr>
          <w:p w14:paraId="26CA4826"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Disease duration (years)</w:t>
            </w:r>
          </w:p>
        </w:tc>
        <w:tc>
          <w:tcPr>
            <w:tcW w:w="1698" w:type="dxa"/>
          </w:tcPr>
          <w:p w14:paraId="393EA48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-3.96</w:t>
            </w:r>
          </w:p>
        </w:tc>
        <w:tc>
          <w:tcPr>
            <w:tcW w:w="1643" w:type="dxa"/>
          </w:tcPr>
          <w:p w14:paraId="3339ECBD"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1.81</w:t>
            </w:r>
          </w:p>
        </w:tc>
        <w:tc>
          <w:tcPr>
            <w:tcW w:w="1476" w:type="dxa"/>
          </w:tcPr>
          <w:p w14:paraId="503BDC8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-1.84</w:t>
            </w:r>
          </w:p>
        </w:tc>
        <w:tc>
          <w:tcPr>
            <w:tcW w:w="1209" w:type="dxa"/>
          </w:tcPr>
          <w:p w14:paraId="23875CD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0.062</w:t>
            </w:r>
          </w:p>
        </w:tc>
      </w:tr>
    </w:tbl>
    <w:p w14:paraId="10FD6827" w14:textId="06CE636B" w:rsidR="00D158A2" w:rsidRPr="00D264A6" w:rsidRDefault="00E513AD" w:rsidP="00D264A6">
      <w:pPr>
        <w:pStyle w:val="MDPI31text"/>
        <w:spacing w:line="360" w:lineRule="auto"/>
        <w:ind w:firstLine="0"/>
        <w:rPr>
          <w:rFonts w:ascii="Book Antiqua" w:hAnsi="Book Antiqua"/>
          <w:sz w:val="24"/>
          <w:szCs w:val="24"/>
        </w:rPr>
      </w:pPr>
      <w:r w:rsidRPr="00620BF6">
        <w:rPr>
          <w:rFonts w:ascii="Book Antiqua" w:hAnsi="Book Antiqua"/>
          <w:sz w:val="24"/>
          <w:szCs w:val="24"/>
          <w:vertAlign w:val="superscript"/>
        </w:rPr>
        <w:t>1</w:t>
      </w:r>
      <w:r>
        <w:rPr>
          <w:rFonts w:ascii="Book Antiqua" w:hAnsi="Book Antiqua"/>
          <w:sz w:val="24"/>
          <w:szCs w:val="24"/>
        </w:rPr>
        <w:t>U</w:t>
      </w:r>
      <w:r w:rsidRPr="00620BF6">
        <w:rPr>
          <w:rFonts w:ascii="Book Antiqua" w:hAnsi="Book Antiqua"/>
          <w:sz w:val="24"/>
          <w:szCs w:val="24"/>
        </w:rPr>
        <w:t>nstandardized coefficient β</w:t>
      </w:r>
      <w:r w:rsidR="009310CC">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9310CC" w:rsidRPr="00632596">
        <w:rPr>
          <w:rFonts w:ascii="Book Antiqua" w:hAnsi="Book Antiqua"/>
          <w:sz w:val="24"/>
          <w:szCs w:val="24"/>
        </w:rPr>
        <w:t xml:space="preserve">SE: </w:t>
      </w:r>
      <w:r>
        <w:rPr>
          <w:rFonts w:ascii="Book Antiqua" w:hAnsi="Book Antiqua"/>
          <w:sz w:val="24"/>
          <w:szCs w:val="24"/>
        </w:rPr>
        <w:t>S</w:t>
      </w:r>
      <w:r w:rsidRPr="00620BF6">
        <w:rPr>
          <w:rFonts w:ascii="Book Antiqua" w:hAnsi="Book Antiqua"/>
          <w:sz w:val="24"/>
          <w:szCs w:val="24"/>
        </w:rPr>
        <w:t>tandard error</w:t>
      </w:r>
      <w:r w:rsidR="00632596">
        <w:rPr>
          <w:rFonts w:ascii="Book Antiqua" w:hAnsi="Book Antiqua"/>
          <w:sz w:val="24"/>
          <w:szCs w:val="24"/>
        </w:rPr>
        <w:t xml:space="preserve">; </w:t>
      </w:r>
      <w:proofErr w:type="spellStart"/>
      <w:r w:rsidR="003347F9" w:rsidRPr="00620BF6">
        <w:rPr>
          <w:rFonts w:ascii="Book Antiqua" w:hAnsi="Book Antiqua"/>
          <w:bCs/>
          <w:sz w:val="24"/>
          <w:szCs w:val="24"/>
        </w:rPr>
        <w:t>hsCRP</w:t>
      </w:r>
      <w:proofErr w:type="spellEnd"/>
      <w:r w:rsidR="003347F9" w:rsidRPr="00620BF6">
        <w:rPr>
          <w:rFonts w:ascii="Book Antiqua" w:hAnsi="Book Antiqua"/>
          <w:bCs/>
          <w:sz w:val="24"/>
          <w:szCs w:val="24"/>
        </w:rPr>
        <w:t>:</w:t>
      </w:r>
      <w:r w:rsidR="003347F9" w:rsidRPr="00620BF6">
        <w:rPr>
          <w:rFonts w:ascii="Book Antiqua" w:hAnsi="Book Antiqua"/>
          <w:b/>
          <w:sz w:val="24"/>
          <w:szCs w:val="24"/>
        </w:rPr>
        <w:t xml:space="preserve"> </w:t>
      </w:r>
      <w:r w:rsidR="003347F9" w:rsidRPr="00620BF6">
        <w:rPr>
          <w:rFonts w:ascii="Book Antiqua" w:eastAsiaTheme="minorEastAsia" w:hAnsi="Book Antiqua"/>
          <w:sz w:val="24"/>
          <w:szCs w:val="24"/>
          <w:lang w:eastAsia="zh-CN"/>
        </w:rPr>
        <w:t>H</w:t>
      </w:r>
      <w:r w:rsidR="003347F9" w:rsidRPr="00620BF6">
        <w:rPr>
          <w:rFonts w:ascii="Book Antiqua" w:hAnsi="Book Antiqua"/>
          <w:sz w:val="24"/>
          <w:szCs w:val="24"/>
        </w:rPr>
        <w:t>igh sensitivity C-reactive protein</w:t>
      </w:r>
      <w:r w:rsidR="003347F9">
        <w:rPr>
          <w:rFonts w:ascii="Book Antiqua" w:eastAsia="宋体" w:hAnsi="Book Antiqua" w:cs="宋体"/>
          <w:sz w:val="24"/>
          <w:szCs w:val="24"/>
          <w:lang w:eastAsia="zh-CN"/>
        </w:rPr>
        <w:t>.</w:t>
      </w:r>
    </w:p>
    <w:sectPr w:rsidR="00D158A2" w:rsidRPr="00D26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8030" w14:textId="77777777" w:rsidR="007B25ED" w:rsidRDefault="007B25ED" w:rsidP="007630BE">
      <w:r>
        <w:separator/>
      </w:r>
    </w:p>
  </w:endnote>
  <w:endnote w:type="continuationSeparator" w:id="0">
    <w:p w14:paraId="131019B7" w14:textId="77777777" w:rsidR="007B25ED" w:rsidRDefault="007B25ED" w:rsidP="007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4093909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2ED78CC" w14:textId="46544714" w:rsidR="00D158A2" w:rsidRPr="00D158A2" w:rsidRDefault="00D158A2">
            <w:pPr>
              <w:pStyle w:val="ac"/>
              <w:jc w:val="right"/>
              <w:rPr>
                <w:rFonts w:ascii="Book Antiqua" w:hAnsi="Book Antiqua"/>
                <w:sz w:val="24"/>
                <w:szCs w:val="24"/>
              </w:rPr>
            </w:pPr>
            <w:r w:rsidRPr="00D158A2">
              <w:rPr>
                <w:rFonts w:ascii="Book Antiqua" w:hAnsi="Book Antiqua"/>
                <w:sz w:val="24"/>
                <w:szCs w:val="24"/>
              </w:rPr>
              <w:fldChar w:fldCharType="begin"/>
            </w:r>
            <w:r w:rsidRPr="00D158A2">
              <w:rPr>
                <w:rFonts w:ascii="Book Antiqua" w:hAnsi="Book Antiqua"/>
                <w:sz w:val="24"/>
                <w:szCs w:val="24"/>
              </w:rPr>
              <w:instrText>PAGE</w:instrText>
            </w:r>
            <w:r w:rsidRPr="00D158A2">
              <w:rPr>
                <w:rFonts w:ascii="Book Antiqua" w:hAnsi="Book Antiqua"/>
                <w:sz w:val="24"/>
                <w:szCs w:val="24"/>
              </w:rPr>
              <w:fldChar w:fldCharType="separate"/>
            </w:r>
            <w:r w:rsidR="00D264A6">
              <w:rPr>
                <w:rFonts w:ascii="Book Antiqua" w:hAnsi="Book Antiqua"/>
                <w:noProof/>
                <w:sz w:val="24"/>
                <w:szCs w:val="24"/>
              </w:rPr>
              <w:t>26</w:t>
            </w:r>
            <w:r w:rsidRPr="00D158A2">
              <w:rPr>
                <w:rFonts w:ascii="Book Antiqua" w:hAnsi="Book Antiqua"/>
                <w:sz w:val="24"/>
                <w:szCs w:val="24"/>
              </w:rPr>
              <w:fldChar w:fldCharType="end"/>
            </w:r>
            <w:r w:rsidRPr="00D158A2">
              <w:rPr>
                <w:rFonts w:ascii="Book Antiqua" w:hAnsi="Book Antiqua"/>
                <w:sz w:val="24"/>
                <w:szCs w:val="24"/>
                <w:lang w:val="zh-CN" w:eastAsia="zh-CN"/>
              </w:rPr>
              <w:t>/</w:t>
            </w:r>
            <w:r w:rsidRPr="00D158A2">
              <w:rPr>
                <w:rFonts w:ascii="Book Antiqua" w:hAnsi="Book Antiqua"/>
                <w:sz w:val="24"/>
                <w:szCs w:val="24"/>
              </w:rPr>
              <w:fldChar w:fldCharType="begin"/>
            </w:r>
            <w:r w:rsidRPr="00D158A2">
              <w:rPr>
                <w:rFonts w:ascii="Book Antiqua" w:hAnsi="Book Antiqua"/>
                <w:sz w:val="24"/>
                <w:szCs w:val="24"/>
              </w:rPr>
              <w:instrText>NUMPAGES</w:instrText>
            </w:r>
            <w:r w:rsidRPr="00D158A2">
              <w:rPr>
                <w:rFonts w:ascii="Book Antiqua" w:hAnsi="Book Antiqua"/>
                <w:sz w:val="24"/>
                <w:szCs w:val="24"/>
              </w:rPr>
              <w:fldChar w:fldCharType="separate"/>
            </w:r>
            <w:r w:rsidR="00D264A6">
              <w:rPr>
                <w:rFonts w:ascii="Book Antiqua" w:hAnsi="Book Antiqua"/>
                <w:noProof/>
                <w:sz w:val="24"/>
                <w:szCs w:val="24"/>
              </w:rPr>
              <w:t>28</w:t>
            </w:r>
            <w:r w:rsidRPr="00D158A2">
              <w:rPr>
                <w:rFonts w:ascii="Book Antiqua" w:hAnsi="Book Antiqua"/>
                <w:sz w:val="24"/>
                <w:szCs w:val="24"/>
              </w:rPr>
              <w:fldChar w:fldCharType="end"/>
            </w:r>
          </w:p>
        </w:sdtContent>
      </w:sdt>
    </w:sdtContent>
  </w:sdt>
  <w:p w14:paraId="1C4D7FC1" w14:textId="77777777" w:rsidR="00D158A2" w:rsidRPr="00D158A2" w:rsidRDefault="00D158A2">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DB18" w14:textId="77777777" w:rsidR="007B25ED" w:rsidRDefault="007B25ED" w:rsidP="007630BE">
      <w:r>
        <w:separator/>
      </w:r>
    </w:p>
  </w:footnote>
  <w:footnote w:type="continuationSeparator" w:id="0">
    <w:p w14:paraId="13014263" w14:textId="77777777" w:rsidR="007B25ED" w:rsidRDefault="007B25ED" w:rsidP="00763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56A"/>
    <w:rsid w:val="000251B3"/>
    <w:rsid w:val="00082244"/>
    <w:rsid w:val="00082836"/>
    <w:rsid w:val="000879C3"/>
    <w:rsid w:val="00096DF9"/>
    <w:rsid w:val="000C4D48"/>
    <w:rsid w:val="000F371B"/>
    <w:rsid w:val="00172B6D"/>
    <w:rsid w:val="00181C38"/>
    <w:rsid w:val="00195B98"/>
    <w:rsid w:val="001E7688"/>
    <w:rsid w:val="002030BB"/>
    <w:rsid w:val="0022133E"/>
    <w:rsid w:val="002B5FE5"/>
    <w:rsid w:val="002D06B8"/>
    <w:rsid w:val="003347F9"/>
    <w:rsid w:val="00374CF1"/>
    <w:rsid w:val="00394C21"/>
    <w:rsid w:val="00396B18"/>
    <w:rsid w:val="003A6499"/>
    <w:rsid w:val="00404E55"/>
    <w:rsid w:val="00417EA0"/>
    <w:rsid w:val="00430449"/>
    <w:rsid w:val="00485FDB"/>
    <w:rsid w:val="004C44A9"/>
    <w:rsid w:val="00522DA5"/>
    <w:rsid w:val="00553930"/>
    <w:rsid w:val="0057381D"/>
    <w:rsid w:val="00632596"/>
    <w:rsid w:val="00653373"/>
    <w:rsid w:val="00654EF5"/>
    <w:rsid w:val="0068113C"/>
    <w:rsid w:val="006C288A"/>
    <w:rsid w:val="006C628C"/>
    <w:rsid w:val="007630BE"/>
    <w:rsid w:val="007670C8"/>
    <w:rsid w:val="007B25ED"/>
    <w:rsid w:val="007D30FE"/>
    <w:rsid w:val="007E3DC1"/>
    <w:rsid w:val="007E7A2C"/>
    <w:rsid w:val="008119EB"/>
    <w:rsid w:val="008A3E48"/>
    <w:rsid w:val="008E7D9C"/>
    <w:rsid w:val="009310CC"/>
    <w:rsid w:val="009A78B9"/>
    <w:rsid w:val="00A7157E"/>
    <w:rsid w:val="00A71E9F"/>
    <w:rsid w:val="00A77B3E"/>
    <w:rsid w:val="00A879E4"/>
    <w:rsid w:val="00B33E0F"/>
    <w:rsid w:val="00B724AE"/>
    <w:rsid w:val="00B9219D"/>
    <w:rsid w:val="00BA3D47"/>
    <w:rsid w:val="00C707E9"/>
    <w:rsid w:val="00C76EF7"/>
    <w:rsid w:val="00CA2A55"/>
    <w:rsid w:val="00CE64A5"/>
    <w:rsid w:val="00D14A2F"/>
    <w:rsid w:val="00D158A2"/>
    <w:rsid w:val="00D264A6"/>
    <w:rsid w:val="00D36768"/>
    <w:rsid w:val="00D73382"/>
    <w:rsid w:val="00DF6415"/>
    <w:rsid w:val="00E41C23"/>
    <w:rsid w:val="00E513AD"/>
    <w:rsid w:val="00E97701"/>
    <w:rsid w:val="00EB7976"/>
    <w:rsid w:val="00EF2A15"/>
    <w:rsid w:val="00F42DB8"/>
    <w:rsid w:val="00F53485"/>
    <w:rsid w:val="00F5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453D1"/>
  <w15:docId w15:val="{E3BBCFF7-0D27-4285-86D8-3BB6682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uiPriority w:val="99"/>
    <w:qFormat/>
    <w:rsid w:val="00B724AE"/>
    <w:pPr>
      <w:keepNext/>
      <w:widowControl w:val="0"/>
      <w:jc w:val="both"/>
      <w:outlineLvl w:val="2"/>
    </w:pPr>
    <w:rPr>
      <w:rFonts w:eastAsia="宋体"/>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724AE"/>
    <w:rPr>
      <w:sz w:val="21"/>
      <w:szCs w:val="21"/>
    </w:rPr>
  </w:style>
  <w:style w:type="paragraph" w:styleId="a4">
    <w:name w:val="annotation text"/>
    <w:basedOn w:val="a"/>
    <w:link w:val="a5"/>
    <w:semiHidden/>
    <w:unhideWhenUsed/>
    <w:rsid w:val="00B724AE"/>
  </w:style>
  <w:style w:type="character" w:customStyle="1" w:styleId="a5">
    <w:name w:val="批注文字 字符"/>
    <w:basedOn w:val="a0"/>
    <w:link w:val="a4"/>
    <w:semiHidden/>
    <w:rsid w:val="00B724AE"/>
    <w:rPr>
      <w:sz w:val="24"/>
      <w:szCs w:val="24"/>
    </w:rPr>
  </w:style>
  <w:style w:type="paragraph" w:styleId="a6">
    <w:name w:val="annotation subject"/>
    <w:basedOn w:val="a4"/>
    <w:next w:val="a4"/>
    <w:link w:val="a7"/>
    <w:semiHidden/>
    <w:unhideWhenUsed/>
    <w:rsid w:val="00B724AE"/>
    <w:rPr>
      <w:b/>
      <w:bCs/>
    </w:rPr>
  </w:style>
  <w:style w:type="character" w:customStyle="1" w:styleId="a7">
    <w:name w:val="批注主题 字符"/>
    <w:basedOn w:val="a5"/>
    <w:link w:val="a6"/>
    <w:semiHidden/>
    <w:rsid w:val="00B724AE"/>
    <w:rPr>
      <w:b/>
      <w:bCs/>
      <w:sz w:val="24"/>
      <w:szCs w:val="24"/>
    </w:rPr>
  </w:style>
  <w:style w:type="paragraph" w:styleId="a8">
    <w:name w:val="Balloon Text"/>
    <w:basedOn w:val="a"/>
    <w:link w:val="a9"/>
    <w:rsid w:val="00B724AE"/>
    <w:rPr>
      <w:sz w:val="18"/>
      <w:szCs w:val="18"/>
    </w:rPr>
  </w:style>
  <w:style w:type="character" w:customStyle="1" w:styleId="a9">
    <w:name w:val="批注框文本 字符"/>
    <w:basedOn w:val="a0"/>
    <w:link w:val="a8"/>
    <w:rsid w:val="00B724AE"/>
    <w:rPr>
      <w:sz w:val="18"/>
      <w:szCs w:val="18"/>
    </w:rPr>
  </w:style>
  <w:style w:type="character" w:customStyle="1" w:styleId="30">
    <w:name w:val="标题 3 字符"/>
    <w:basedOn w:val="a0"/>
    <w:link w:val="3"/>
    <w:uiPriority w:val="99"/>
    <w:rsid w:val="00B724AE"/>
    <w:rPr>
      <w:rFonts w:eastAsia="宋体"/>
      <w:b/>
      <w:bCs/>
      <w:sz w:val="32"/>
      <w:szCs w:val="32"/>
      <w:lang w:eastAsia="zh-CN"/>
    </w:rPr>
  </w:style>
  <w:style w:type="paragraph" w:styleId="aa">
    <w:name w:val="header"/>
    <w:basedOn w:val="a"/>
    <w:link w:val="ab"/>
    <w:unhideWhenUsed/>
    <w:rsid w:val="007630B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630BE"/>
    <w:rPr>
      <w:sz w:val="18"/>
      <w:szCs w:val="18"/>
    </w:rPr>
  </w:style>
  <w:style w:type="paragraph" w:styleId="ac">
    <w:name w:val="footer"/>
    <w:basedOn w:val="a"/>
    <w:link w:val="ad"/>
    <w:uiPriority w:val="99"/>
    <w:unhideWhenUsed/>
    <w:rsid w:val="007630BE"/>
    <w:pPr>
      <w:tabs>
        <w:tab w:val="center" w:pos="4153"/>
        <w:tab w:val="right" w:pos="8306"/>
      </w:tabs>
      <w:snapToGrid w:val="0"/>
    </w:pPr>
    <w:rPr>
      <w:sz w:val="18"/>
      <w:szCs w:val="18"/>
    </w:rPr>
  </w:style>
  <w:style w:type="character" w:customStyle="1" w:styleId="ad">
    <w:name w:val="页脚 字符"/>
    <w:basedOn w:val="a0"/>
    <w:link w:val="ac"/>
    <w:uiPriority w:val="99"/>
    <w:rsid w:val="007630BE"/>
    <w:rPr>
      <w:sz w:val="18"/>
      <w:szCs w:val="18"/>
    </w:rPr>
  </w:style>
  <w:style w:type="paragraph" w:customStyle="1" w:styleId="MDPI32textnoindent">
    <w:name w:val="MDPI_3.2_text_no_indent"/>
    <w:basedOn w:val="a"/>
    <w:rsid w:val="00D158A2"/>
    <w:pPr>
      <w:adjustRightInd w:val="0"/>
      <w:snapToGrid w:val="0"/>
      <w:spacing w:line="260" w:lineRule="atLeast"/>
      <w:jc w:val="both"/>
    </w:pPr>
    <w:rPr>
      <w:rFonts w:ascii="Palatino Linotype" w:eastAsia="Times New Roman" w:hAnsi="Palatino Linotype"/>
      <w:snapToGrid w:val="0"/>
      <w:color w:val="000000"/>
      <w:sz w:val="20"/>
      <w:szCs w:val="22"/>
      <w:lang w:eastAsia="de-DE" w:bidi="en-US"/>
    </w:rPr>
  </w:style>
  <w:style w:type="paragraph" w:customStyle="1" w:styleId="MDPI31text">
    <w:name w:val="MDPI_3.1_text"/>
    <w:rsid w:val="00E513A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3F2F-1E03-45B0-A538-53CE4B55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6993</Words>
  <Characters>39865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2020-08-14T16:41:00Z</dcterms:created>
  <dcterms:modified xsi:type="dcterms:W3CDTF">2020-08-14T16:41:00Z</dcterms:modified>
</cp:coreProperties>
</file>