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858E6" w14:textId="77777777" w:rsidR="00A77B3E" w:rsidRDefault="00D8132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1B73071" w14:textId="77777777" w:rsidR="00A77B3E" w:rsidRDefault="00D8132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57378</w:t>
      </w:r>
    </w:p>
    <w:p w14:paraId="7BCA446D" w14:textId="77777777" w:rsidR="00A77B3E" w:rsidRDefault="00D8132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9B00096" w14:textId="77777777" w:rsidR="00A77B3E" w:rsidRDefault="00A77B3E">
      <w:pPr>
        <w:spacing w:line="360" w:lineRule="auto"/>
        <w:jc w:val="both"/>
      </w:pPr>
    </w:p>
    <w:p w14:paraId="10133F0E" w14:textId="40C898D7" w:rsidR="00A77B3E" w:rsidRDefault="00D8132F">
      <w:pPr>
        <w:spacing w:line="360" w:lineRule="auto"/>
        <w:jc w:val="both"/>
      </w:pPr>
      <w:r>
        <w:rPr>
          <w:rFonts w:ascii="Book Antiqua" w:eastAsia="Book Antiqua" w:hAnsi="Book Antiqua" w:cs="Book Antiqua"/>
          <w:b/>
          <w:bCs/>
          <w:color w:val="000000"/>
        </w:rPr>
        <w:t xml:space="preserve">Transjugular </w:t>
      </w:r>
      <w:r w:rsidR="000B2168">
        <w:rPr>
          <w:rFonts w:ascii="Book Antiqua" w:eastAsia="Book Antiqua" w:hAnsi="Book Antiqua" w:cs="Book Antiqua"/>
          <w:b/>
          <w:bCs/>
          <w:color w:val="000000"/>
        </w:rPr>
        <w:t>intrahepatic portosystemic shunt in ci</w:t>
      </w:r>
      <w:r>
        <w:rPr>
          <w:rFonts w:ascii="Book Antiqua" w:eastAsia="Book Antiqua" w:hAnsi="Book Antiqua" w:cs="Book Antiqua"/>
          <w:b/>
          <w:bCs/>
          <w:color w:val="000000"/>
        </w:rPr>
        <w:t xml:space="preserve">rrhosis: An </w:t>
      </w:r>
      <w:r w:rsidR="000B2168">
        <w:rPr>
          <w:rFonts w:ascii="Book Antiqua" w:eastAsia="Book Antiqua" w:hAnsi="Book Antiqua" w:cs="Book Antiqua"/>
          <w:b/>
          <w:bCs/>
          <w:color w:val="000000"/>
        </w:rPr>
        <w:t>exhaustive critical updat</w:t>
      </w:r>
      <w:r>
        <w:rPr>
          <w:rFonts w:ascii="Book Antiqua" w:eastAsia="Book Antiqua" w:hAnsi="Book Antiqua" w:cs="Book Antiqua"/>
          <w:b/>
          <w:bCs/>
          <w:color w:val="000000"/>
        </w:rPr>
        <w:t>e</w:t>
      </w:r>
    </w:p>
    <w:p w14:paraId="4D66B747" w14:textId="77777777" w:rsidR="00A77B3E" w:rsidRDefault="00A77B3E">
      <w:pPr>
        <w:spacing w:line="360" w:lineRule="auto"/>
        <w:jc w:val="both"/>
      </w:pPr>
    </w:p>
    <w:p w14:paraId="78920BA9" w14:textId="77777777" w:rsidR="00A77B3E" w:rsidRDefault="00D8132F">
      <w:pPr>
        <w:spacing w:line="360" w:lineRule="auto"/>
        <w:jc w:val="both"/>
      </w:pPr>
      <w:r>
        <w:rPr>
          <w:rFonts w:ascii="Book Antiqua" w:eastAsia="Book Antiqua" w:hAnsi="Book Antiqua" w:cs="Book Antiqua"/>
          <w:color w:val="000000"/>
        </w:rPr>
        <w:t xml:space="preserve">Rajesh S </w:t>
      </w:r>
      <w:r>
        <w:rPr>
          <w:rFonts w:ascii="Book Antiqua" w:eastAsia="Book Antiqua" w:hAnsi="Book Antiqua" w:cs="Book Antiqua"/>
          <w:i/>
          <w:iCs/>
          <w:color w:val="000000"/>
        </w:rPr>
        <w:t>et al</w:t>
      </w:r>
      <w:r>
        <w:rPr>
          <w:rFonts w:ascii="Book Antiqua" w:eastAsia="Book Antiqua" w:hAnsi="Book Antiqua" w:cs="Book Antiqua"/>
          <w:color w:val="000000"/>
        </w:rPr>
        <w:t>. Critical update on TIPS in cirrhosis</w:t>
      </w:r>
    </w:p>
    <w:p w14:paraId="15D64FAD" w14:textId="77777777" w:rsidR="00A77B3E" w:rsidRDefault="00A77B3E">
      <w:pPr>
        <w:spacing w:line="360" w:lineRule="auto"/>
        <w:jc w:val="both"/>
      </w:pPr>
    </w:p>
    <w:p w14:paraId="59BB6E4C" w14:textId="77777777" w:rsidR="00A77B3E" w:rsidRDefault="00D8132F">
      <w:pPr>
        <w:spacing w:line="360" w:lineRule="auto"/>
        <w:jc w:val="both"/>
      </w:pPr>
      <w:r>
        <w:rPr>
          <w:rFonts w:ascii="Book Antiqua" w:eastAsia="Book Antiqua" w:hAnsi="Book Antiqua" w:cs="Book Antiqua"/>
          <w:color w:val="000000"/>
        </w:rPr>
        <w:t>Sasidharan Rajesh, Tom George, Cyriac Abby Philips, Rizwan Ahamed, Sandeep Kumbar, Narain Mohan, Meera Mohanan, Philip Augustine</w:t>
      </w:r>
    </w:p>
    <w:p w14:paraId="06833A45" w14:textId="77777777" w:rsidR="00A77B3E" w:rsidRDefault="00A77B3E">
      <w:pPr>
        <w:spacing w:line="360" w:lineRule="auto"/>
        <w:jc w:val="both"/>
      </w:pPr>
    </w:p>
    <w:p w14:paraId="735F28AD" w14:textId="77777777" w:rsidR="00A77B3E" w:rsidRDefault="00D8132F">
      <w:pPr>
        <w:spacing w:line="360" w:lineRule="auto"/>
        <w:jc w:val="both"/>
      </w:pPr>
      <w:r>
        <w:rPr>
          <w:rFonts w:ascii="Book Antiqua" w:eastAsia="Book Antiqua" w:hAnsi="Book Antiqua" w:cs="Book Antiqua"/>
          <w:b/>
          <w:bCs/>
          <w:color w:val="000000"/>
        </w:rPr>
        <w:t xml:space="preserve">Sasidharan Rajesh, Tom George, </w:t>
      </w:r>
      <w:r>
        <w:rPr>
          <w:rFonts w:ascii="Book Antiqua" w:eastAsia="Book Antiqua" w:hAnsi="Book Antiqua" w:cs="Book Antiqua"/>
          <w:color w:val="000000"/>
        </w:rPr>
        <w:t>Division of Hepatobiliary Interventional Radiology, Cochin Gastroenterology Group, Ernakulam Medical Center, Kochi 682028, Kerala, India</w:t>
      </w:r>
    </w:p>
    <w:p w14:paraId="24A87D38" w14:textId="77777777" w:rsidR="00A77B3E" w:rsidRDefault="00A77B3E">
      <w:pPr>
        <w:spacing w:line="360" w:lineRule="auto"/>
        <w:jc w:val="both"/>
      </w:pPr>
    </w:p>
    <w:p w14:paraId="6ED8974C" w14:textId="5C2ABCDD" w:rsidR="00A77B3E" w:rsidRDefault="00D8132F">
      <w:pPr>
        <w:spacing w:line="360" w:lineRule="auto"/>
        <w:jc w:val="both"/>
      </w:pPr>
      <w:r>
        <w:rPr>
          <w:rFonts w:ascii="Book Antiqua" w:eastAsia="Book Antiqua" w:hAnsi="Book Antiqua" w:cs="Book Antiqua"/>
          <w:b/>
          <w:bCs/>
          <w:color w:val="000000"/>
        </w:rPr>
        <w:t xml:space="preserve">Cyriac Abby Philips, Narain Mohan, </w:t>
      </w:r>
      <w:r w:rsidR="00EB09A1">
        <w:rPr>
          <w:rFonts w:ascii="Book Antiqua" w:eastAsia="Book Antiqua" w:hAnsi="Book Antiqua" w:cs="Book Antiqua"/>
          <w:color w:val="000000"/>
        </w:rPr>
        <w:t>T</w:t>
      </w:r>
      <w:r>
        <w:rPr>
          <w:rFonts w:ascii="Book Antiqua" w:eastAsia="Book Antiqua" w:hAnsi="Book Antiqua" w:cs="Book Antiqua"/>
          <w:color w:val="000000"/>
        </w:rPr>
        <w:t>he Liver Unit and Monarch</w:t>
      </w:r>
      <w:r w:rsidR="00EB09A1">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Kochi 682028, Kerala, India</w:t>
      </w:r>
    </w:p>
    <w:p w14:paraId="0631232B" w14:textId="77777777" w:rsidR="00A77B3E" w:rsidRDefault="00A77B3E">
      <w:pPr>
        <w:spacing w:line="360" w:lineRule="auto"/>
        <w:jc w:val="both"/>
      </w:pPr>
    </w:p>
    <w:p w14:paraId="261ED31B" w14:textId="77777777" w:rsidR="00A77B3E" w:rsidRDefault="00D8132F">
      <w:pPr>
        <w:spacing w:line="360" w:lineRule="auto"/>
        <w:jc w:val="both"/>
      </w:pPr>
      <w:r>
        <w:rPr>
          <w:rFonts w:ascii="Book Antiqua" w:eastAsia="Book Antiqua" w:hAnsi="Book Antiqua" w:cs="Book Antiqua"/>
          <w:b/>
          <w:bCs/>
          <w:color w:val="000000"/>
        </w:rPr>
        <w:t xml:space="preserve">Rizwan Ahamed, Sandeep Kumbar, Philip Augustine, </w:t>
      </w:r>
      <w:r>
        <w:rPr>
          <w:rFonts w:ascii="Book Antiqua" w:eastAsia="Book Antiqua" w:hAnsi="Book Antiqua" w:cs="Book Antiqua"/>
          <w:color w:val="000000"/>
        </w:rPr>
        <w:t>Gastroenterology and Advanced GI Endoscopy, Cochin Gastroenterology Group, Ernakulam Medical Center, Kochi 682028, Kerala, India</w:t>
      </w:r>
    </w:p>
    <w:p w14:paraId="07958C47" w14:textId="77777777" w:rsidR="00A77B3E" w:rsidRDefault="00A77B3E">
      <w:pPr>
        <w:spacing w:line="360" w:lineRule="auto"/>
        <w:jc w:val="both"/>
      </w:pPr>
    </w:p>
    <w:p w14:paraId="0F332EA0" w14:textId="77777777" w:rsidR="00A77B3E" w:rsidRDefault="00D8132F">
      <w:pPr>
        <w:spacing w:line="360" w:lineRule="auto"/>
        <w:jc w:val="both"/>
      </w:pPr>
      <w:r>
        <w:rPr>
          <w:rFonts w:ascii="Book Antiqua" w:eastAsia="Book Antiqua" w:hAnsi="Book Antiqua" w:cs="Book Antiqua"/>
          <w:b/>
          <w:bCs/>
          <w:color w:val="000000"/>
        </w:rPr>
        <w:t xml:space="preserve">Meera Mohanan, </w:t>
      </w:r>
      <w:r>
        <w:rPr>
          <w:rFonts w:ascii="Book Antiqua" w:eastAsia="Book Antiqua" w:hAnsi="Book Antiqua" w:cs="Book Antiqua"/>
          <w:color w:val="000000"/>
        </w:rPr>
        <w:t>Anesthesia and Critical Care, Cochin Gastroenterology Group, Ernakulam Medical Center, Kochi 682028, Kerala, India</w:t>
      </w:r>
    </w:p>
    <w:p w14:paraId="399077C2" w14:textId="77777777" w:rsidR="00A77B3E" w:rsidRDefault="00A77B3E">
      <w:pPr>
        <w:spacing w:line="360" w:lineRule="auto"/>
        <w:jc w:val="both"/>
      </w:pPr>
    </w:p>
    <w:p w14:paraId="764F19D3" w14:textId="5564B376" w:rsidR="00A77B3E" w:rsidRDefault="00D8132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Rajesh S designed the study and wrote manuscript and was involved in revision, editing and review; </w:t>
      </w:r>
      <w:r w:rsidR="00EB09A1">
        <w:rPr>
          <w:rFonts w:ascii="Book Antiqua" w:eastAsia="Book Antiqua" w:hAnsi="Book Antiqua" w:cs="Book Antiqua"/>
          <w:color w:val="000000"/>
        </w:rPr>
        <w:t xml:space="preserve">George T was involved in writing, editing and reformatting of the manuscript; </w:t>
      </w:r>
      <w:r>
        <w:rPr>
          <w:rFonts w:ascii="Book Antiqua" w:eastAsia="Book Antiqua" w:hAnsi="Book Antiqua" w:cs="Book Antiqua"/>
          <w:color w:val="000000"/>
        </w:rPr>
        <w:t xml:space="preserve">Philips CA was involved in the writing, revision and </w:t>
      </w:r>
      <w:r>
        <w:rPr>
          <w:rFonts w:ascii="Book Antiqua" w:eastAsia="Book Antiqua" w:hAnsi="Book Antiqua" w:cs="Book Antiqua"/>
          <w:color w:val="000000"/>
        </w:rPr>
        <w:lastRenderedPageBreak/>
        <w:t>editing of the manuscript; Ahamed R was involved in the review and editing of the manuscript; Kumbar S was involved in the editing and review of the manuscript; Mohan N was involved in the editing and review of the manuscript; Mohanan M was involved in the editing and review of the manuscript; Augustine P was involved in the editing and review of the manuscript; all authors read and approve</w:t>
      </w:r>
      <w:r w:rsidR="00EB09A1">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539EB760" w14:textId="77777777" w:rsidR="00A77B3E" w:rsidRDefault="00A77B3E">
      <w:pPr>
        <w:spacing w:line="360" w:lineRule="auto"/>
        <w:jc w:val="both"/>
      </w:pPr>
    </w:p>
    <w:p w14:paraId="0AEDC44E" w14:textId="27A93223" w:rsidR="00A77B3E" w:rsidRDefault="00D8132F">
      <w:pPr>
        <w:spacing w:line="360" w:lineRule="auto"/>
        <w:jc w:val="both"/>
      </w:pPr>
      <w:r>
        <w:rPr>
          <w:rFonts w:ascii="Book Antiqua" w:eastAsia="Book Antiqua" w:hAnsi="Book Antiqua" w:cs="Book Antiqua"/>
          <w:b/>
          <w:bCs/>
          <w:color w:val="000000"/>
        </w:rPr>
        <w:t xml:space="preserve">Corresponding author: Cyriac Abby Philips, MBBS, MD, </w:t>
      </w:r>
      <w:r w:rsidR="00EB09A1">
        <w:rPr>
          <w:rFonts w:ascii="Book Antiqua" w:eastAsia="Book Antiqua" w:hAnsi="Book Antiqua" w:cs="Book Antiqua"/>
          <w:b/>
          <w:bCs/>
          <w:color w:val="000000"/>
        </w:rPr>
        <w:t>DM, Consultant Physician</w:t>
      </w:r>
      <w:r w:rsidR="003D073F">
        <w:rPr>
          <w:rFonts w:ascii="Book Antiqua" w:eastAsia="Book Antiqua" w:hAnsi="Book Antiqua" w:cs="Book Antiqua"/>
          <w:b/>
          <w:bCs/>
          <w:color w:val="000000"/>
        </w:rPr>
        <w:t>-</w:t>
      </w:r>
      <w:r w:rsidR="00EB09A1">
        <w:rPr>
          <w:rFonts w:ascii="Book Antiqua" w:eastAsia="Book Antiqua" w:hAnsi="Book Antiqua" w:cs="Book Antiqua"/>
          <w:b/>
          <w:bCs/>
          <w:color w:val="000000"/>
        </w:rPr>
        <w:t>Scientist</w:t>
      </w:r>
      <w:r>
        <w:rPr>
          <w:rFonts w:ascii="Book Antiqua" w:eastAsia="Book Antiqua" w:hAnsi="Book Antiqua" w:cs="Book Antiqua"/>
          <w:b/>
          <w:bCs/>
          <w:color w:val="000000"/>
        </w:rPr>
        <w:t xml:space="preserve">, </w:t>
      </w:r>
      <w:r w:rsidR="00EB09A1">
        <w:rPr>
          <w:rFonts w:ascii="Book Antiqua" w:eastAsia="Book Antiqua" w:hAnsi="Book Antiqua" w:cs="Book Antiqua"/>
          <w:color w:val="000000"/>
        </w:rPr>
        <w:t>T</w:t>
      </w:r>
      <w:r>
        <w:rPr>
          <w:rFonts w:ascii="Book Antiqua" w:eastAsia="Book Antiqua" w:hAnsi="Book Antiqua" w:cs="Book Antiqua"/>
          <w:color w:val="000000"/>
        </w:rPr>
        <w:t>he Liver Unit and Monarch</w:t>
      </w:r>
      <w:r w:rsidR="00EB09A1">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NH-Bypass, Palarivattom, Kochi 682028, Kerala, India. abbyphilips@gmail.com</w:t>
      </w:r>
    </w:p>
    <w:p w14:paraId="5E90A36D" w14:textId="77777777" w:rsidR="00A77B3E" w:rsidRDefault="00A77B3E">
      <w:pPr>
        <w:spacing w:line="360" w:lineRule="auto"/>
        <w:jc w:val="both"/>
      </w:pPr>
    </w:p>
    <w:p w14:paraId="6DDA6430" w14:textId="77777777" w:rsidR="00A77B3E" w:rsidRDefault="00D8132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5, 2020</w:t>
      </w:r>
    </w:p>
    <w:p w14:paraId="6E426C3D" w14:textId="77777777" w:rsidR="00A77B3E" w:rsidRDefault="00D8132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31, 2020</w:t>
      </w:r>
    </w:p>
    <w:p w14:paraId="053F4218" w14:textId="659B3629" w:rsidR="00A77B3E" w:rsidRDefault="00D8132F">
      <w:pPr>
        <w:spacing w:line="360" w:lineRule="auto"/>
        <w:jc w:val="both"/>
      </w:pPr>
      <w:r>
        <w:rPr>
          <w:rFonts w:ascii="Book Antiqua" w:eastAsia="Book Antiqua" w:hAnsi="Book Antiqua" w:cs="Book Antiqua"/>
          <w:b/>
          <w:bCs/>
          <w:color w:val="000000"/>
        </w:rPr>
        <w:t>Accepted:</w:t>
      </w:r>
      <w:r w:rsidR="00C62265" w:rsidRPr="00C62265">
        <w:t xml:space="preserve"> </w:t>
      </w:r>
      <w:r w:rsidR="00C62265" w:rsidRPr="00C62265">
        <w:rPr>
          <w:rFonts w:ascii="Book Antiqua" w:eastAsia="Book Antiqua" w:hAnsi="Book Antiqua" w:cs="Book Antiqua"/>
          <w:color w:val="000000"/>
        </w:rPr>
        <w:t>August 29, 2020</w:t>
      </w:r>
      <w:r w:rsidRPr="00C62265">
        <w:rPr>
          <w:rFonts w:ascii="Book Antiqua" w:eastAsia="Book Antiqua" w:hAnsi="Book Antiqua" w:cs="Book Antiqua"/>
          <w:color w:val="000000"/>
        </w:rPr>
        <w:t xml:space="preserve"> </w:t>
      </w:r>
    </w:p>
    <w:p w14:paraId="6E02A2EF" w14:textId="5A49239E" w:rsidR="00A77B3E" w:rsidRDefault="00D8132F" w:rsidP="00E07C53">
      <w:pPr>
        <w:spacing w:line="360" w:lineRule="auto"/>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E07C53">
        <w:rPr>
          <w:rFonts w:ascii="Book Antiqua" w:hAnsi="Book Antiqua" w:cs="Book Antiqua" w:hint="eastAsia"/>
          <w:color w:val="000000"/>
          <w:lang w:eastAsia="zh-CN"/>
        </w:rPr>
        <w:t>October</w:t>
      </w:r>
      <w:r w:rsidR="00E07C53" w:rsidRPr="00C62265">
        <w:rPr>
          <w:rFonts w:ascii="Book Antiqua" w:eastAsia="Book Antiqua" w:hAnsi="Book Antiqua" w:cs="Book Antiqua"/>
          <w:color w:val="000000"/>
        </w:rPr>
        <w:t xml:space="preserve"> </w:t>
      </w:r>
      <w:r w:rsidR="00E07C53">
        <w:rPr>
          <w:rFonts w:ascii="Book Antiqua" w:hAnsi="Book Antiqua" w:cs="Book Antiqua" w:hint="eastAsia"/>
          <w:color w:val="000000"/>
          <w:lang w:eastAsia="zh-CN"/>
        </w:rPr>
        <w:t>7</w:t>
      </w:r>
      <w:r w:rsidR="00E07C53" w:rsidRPr="00C62265">
        <w:rPr>
          <w:rFonts w:ascii="Book Antiqua" w:eastAsia="Book Antiqua" w:hAnsi="Book Antiqua" w:cs="Book Antiqua"/>
          <w:color w:val="000000"/>
        </w:rPr>
        <w:t>, 2020</w:t>
      </w:r>
    </w:p>
    <w:p w14:paraId="76319D63" w14:textId="77777777" w:rsidR="00A77B3E" w:rsidRDefault="00D8132F">
      <w:pPr>
        <w:spacing w:line="360" w:lineRule="auto"/>
        <w:jc w:val="both"/>
      </w:pPr>
      <w:r>
        <w:rPr>
          <w:rFonts w:ascii="Book Antiqua" w:eastAsia="Book Antiqua" w:hAnsi="Book Antiqua" w:cs="Book Antiqua"/>
          <w:b/>
          <w:color w:val="000000"/>
        </w:rPr>
        <w:lastRenderedPageBreak/>
        <w:t>Abstract</w:t>
      </w:r>
    </w:p>
    <w:p w14:paraId="686FD4D3" w14:textId="1D12B68B" w:rsidR="00A77B3E" w:rsidRDefault="00D8132F">
      <w:pPr>
        <w:spacing w:line="360" w:lineRule="auto"/>
        <w:jc w:val="both"/>
      </w:pPr>
      <w:r>
        <w:rPr>
          <w:rFonts w:ascii="Book Antiqua" w:eastAsia="Book Antiqua" w:hAnsi="Book Antiqua" w:cs="Book Antiqua"/>
          <w:color w:val="000000"/>
        </w:rPr>
        <w:t xml:space="preserve">More than five decades after it was originally conceptualized as rescue therapy for patients with intractable variceal bleeding, the transjugular intrahepatic portosystemic shunt (TIPS) procedure continues to remain a focus of intense clinical and biomedical research. By the impressive reduction in portal pressure achieved by this intervention, coupled with its minimally invasive nature, TIPS has gained increasing acceptance in the treatment of complications of portal hypertension. The early years of TIPS were plagued by poor long-term patency of the stents and increased incidence of hepatic encephalopathy. Moreover, the diversion of portal flow after placement of TIPS often resulted in derangement of hepatic functions, which was occasionally severe. While the incidence of shunt dysfunction has markedly reduced with the advent of covered stents, </w:t>
      </w:r>
      <w:r w:rsidR="000B2168">
        <w:rPr>
          <w:rFonts w:ascii="Book Antiqua" w:eastAsia="Book Antiqua" w:hAnsi="Book Antiqua" w:cs="Book Antiqua"/>
          <w:color w:val="000000"/>
        </w:rPr>
        <w:t>hepatic encephalopathy</w:t>
      </w:r>
      <w:r>
        <w:rPr>
          <w:rFonts w:ascii="Book Antiqua" w:eastAsia="Book Antiqua" w:hAnsi="Book Antiqua" w:cs="Book Antiqua"/>
          <w:color w:val="000000"/>
        </w:rPr>
        <w:t xml:space="preserve"> and instances of early liver failure continue to remain a significant issue after TIPS. It has emerged over the years that careful selection of patients and diligent post-procedural care is of paramount importance to optimize the outcome after TIPS. The past twenty years have seen multiple studies redefining the role of TIPS in the management of variceal bleeding and refractory ascites while exploring its application in other complications of cirrhosis like hepatic hydrothorax, portal hypertensive gastropathy, ectopic varices, hepatorenal and hepatopulmonary syndromes, non-tumoral portal vein thrombosis and chylous ascites. It has also been utilized to good effect before extrahepatic abdominal surgery to reduce perioperative morbidity and mortality. The current article aims to review the updated literature on the status of TIPS in the management of patients with liver cirrhosis.</w:t>
      </w:r>
    </w:p>
    <w:p w14:paraId="25449837" w14:textId="77777777" w:rsidR="00A77B3E" w:rsidRDefault="00A77B3E">
      <w:pPr>
        <w:spacing w:line="360" w:lineRule="auto"/>
        <w:jc w:val="both"/>
      </w:pPr>
    </w:p>
    <w:p w14:paraId="53904F98" w14:textId="77777777" w:rsidR="00A77B3E" w:rsidRDefault="00D8132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Early transjugular portosystemic shunt; Preemptive transjugular intrahepatic portosystemic shunt; Portal hypertension; Esophageal varices; Gastric varices; Refractory ascites</w:t>
      </w:r>
    </w:p>
    <w:p w14:paraId="624A5D59" w14:textId="77777777" w:rsidR="00A77B3E" w:rsidRDefault="00A77B3E">
      <w:pPr>
        <w:spacing w:line="360" w:lineRule="auto"/>
        <w:jc w:val="both"/>
      </w:pPr>
    </w:p>
    <w:p w14:paraId="3908B628" w14:textId="77777777" w:rsidR="00E07C53" w:rsidRDefault="00E07C53" w:rsidP="00E07C53">
      <w:pPr>
        <w:spacing w:line="360" w:lineRule="auto"/>
        <w:rPr>
          <w:rFonts w:ascii="Book Antiqua" w:hAnsi="Book Antiqua" w:cs="Book Antiqua" w:hint="eastAsia"/>
          <w:color w:val="000000"/>
          <w:lang w:eastAsia="zh-CN"/>
        </w:rPr>
      </w:pPr>
      <w:r w:rsidRPr="00E07C53">
        <w:rPr>
          <w:rFonts w:ascii="Book Antiqua" w:hAnsi="Book Antiqua" w:cs="Book Antiqua" w:hint="eastAsia"/>
          <w:b/>
          <w:color w:val="000000"/>
          <w:lang w:eastAsia="zh-CN"/>
        </w:rPr>
        <w:lastRenderedPageBreak/>
        <w:t xml:space="preserve">Citation: </w:t>
      </w:r>
      <w:r>
        <w:rPr>
          <w:rFonts w:ascii="Book Antiqua" w:eastAsia="Book Antiqua" w:hAnsi="Book Antiqua" w:cs="Book Antiqua"/>
          <w:color w:val="000000"/>
        </w:rPr>
        <w:t xml:space="preserve">Rajesh S, George T, Philips CA, Ahamed R, Kumbar S, Mohan N, Mohanan M, Augustine P. Transjugular intrahepatic portosystemic shunt in cirrhosis: An exhaustive critical update.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sidRPr="00C637E9">
        <w:rPr>
          <w:rFonts w:ascii="Book Antiqua" w:eastAsia="Book Antiqua" w:hAnsi="Book Antiqua" w:cs="Book Antiqua"/>
          <w:color w:val="000000"/>
        </w:rPr>
        <w:t xml:space="preserve">26(37): </w:t>
      </w:r>
      <w:r>
        <w:rPr>
          <w:rFonts w:ascii="Book Antiqua" w:hAnsi="Book Antiqua" w:cs="Book Antiqua" w:hint="eastAsia"/>
          <w:color w:val="000000"/>
        </w:rPr>
        <w:t>5561</w:t>
      </w:r>
      <w:r w:rsidRPr="00C637E9">
        <w:rPr>
          <w:rFonts w:ascii="Book Antiqua" w:eastAsia="Book Antiqua" w:hAnsi="Book Antiqua" w:cs="Book Antiqua"/>
          <w:color w:val="000000"/>
        </w:rPr>
        <w:t>-</w:t>
      </w:r>
      <w:r>
        <w:rPr>
          <w:rFonts w:ascii="Book Antiqua" w:hAnsi="Book Antiqua" w:cs="Book Antiqua" w:hint="eastAsia"/>
          <w:color w:val="000000"/>
        </w:rPr>
        <w:t>5596</w:t>
      </w:r>
      <w:r w:rsidRPr="00C637E9">
        <w:rPr>
          <w:rFonts w:ascii="Book Antiqua" w:eastAsia="Book Antiqua" w:hAnsi="Book Antiqua" w:cs="Book Antiqua"/>
          <w:color w:val="000000"/>
        </w:rPr>
        <w:t xml:space="preserve">  </w:t>
      </w:r>
    </w:p>
    <w:p w14:paraId="3B9A7ECF" w14:textId="77777777" w:rsidR="00E07C53" w:rsidRDefault="00E07C53" w:rsidP="00E07C53">
      <w:pPr>
        <w:spacing w:line="360" w:lineRule="auto"/>
        <w:rPr>
          <w:rFonts w:ascii="Book Antiqua" w:hAnsi="Book Antiqua" w:cs="Book Antiqua" w:hint="eastAsia"/>
          <w:color w:val="000000"/>
          <w:lang w:eastAsia="zh-CN"/>
        </w:rPr>
      </w:pPr>
      <w:r w:rsidRPr="00E07C53">
        <w:rPr>
          <w:rFonts w:ascii="Book Antiqua" w:eastAsia="Book Antiqua" w:hAnsi="Book Antiqua" w:cs="Book Antiqua"/>
          <w:b/>
          <w:color w:val="000000"/>
        </w:rPr>
        <w:t xml:space="preserve">URL: </w:t>
      </w:r>
      <w:r w:rsidRPr="00C637E9">
        <w:rPr>
          <w:rFonts w:ascii="Book Antiqua" w:eastAsia="Book Antiqua" w:hAnsi="Book Antiqua" w:cs="Book Antiqua"/>
          <w:color w:val="000000"/>
        </w:rPr>
        <w:t>https://www.wjgnet.com/1007-9327/full/v26/i37/</w:t>
      </w:r>
      <w:r>
        <w:rPr>
          <w:rFonts w:ascii="Book Antiqua" w:hAnsi="Book Antiqua" w:cs="Book Antiqua" w:hint="eastAsia"/>
          <w:color w:val="000000"/>
        </w:rPr>
        <w:t>5561</w:t>
      </w:r>
      <w:r w:rsidRPr="00C637E9">
        <w:rPr>
          <w:rFonts w:ascii="Book Antiqua" w:eastAsia="Book Antiqua" w:hAnsi="Book Antiqua" w:cs="Book Antiqua"/>
          <w:color w:val="000000"/>
        </w:rPr>
        <w:t xml:space="preserve">.htm  </w:t>
      </w:r>
    </w:p>
    <w:p w14:paraId="162FBBED" w14:textId="30FF9036" w:rsidR="00E07C53" w:rsidRPr="00257704" w:rsidRDefault="00E07C53" w:rsidP="00E07C53">
      <w:pPr>
        <w:spacing w:line="360" w:lineRule="auto"/>
        <w:rPr>
          <w:rFonts w:hint="eastAsia"/>
        </w:rPr>
      </w:pPr>
      <w:r w:rsidRPr="00E07C53">
        <w:rPr>
          <w:rFonts w:ascii="Book Antiqua" w:eastAsia="Book Antiqua" w:hAnsi="Book Antiqua" w:cs="Book Antiqua"/>
          <w:b/>
          <w:color w:val="000000"/>
        </w:rPr>
        <w:t>DOI:</w:t>
      </w:r>
      <w:r w:rsidRPr="00C637E9">
        <w:rPr>
          <w:rFonts w:ascii="Book Antiqua" w:eastAsia="Book Antiqua" w:hAnsi="Book Antiqua" w:cs="Book Antiqua"/>
          <w:color w:val="000000"/>
        </w:rPr>
        <w:t xml:space="preserve"> https://dx.doi.org/10.3748/wjg.v26.i37.</w:t>
      </w:r>
      <w:r>
        <w:rPr>
          <w:rFonts w:ascii="Book Antiqua" w:hAnsi="Book Antiqua" w:cs="Book Antiqua" w:hint="eastAsia"/>
          <w:color w:val="000000"/>
        </w:rPr>
        <w:t>5561</w:t>
      </w:r>
    </w:p>
    <w:p w14:paraId="4E8BEA18" w14:textId="77777777" w:rsidR="00A77B3E" w:rsidRDefault="00A77B3E">
      <w:pPr>
        <w:spacing w:line="360" w:lineRule="auto"/>
        <w:jc w:val="both"/>
      </w:pPr>
    </w:p>
    <w:p w14:paraId="68A07109" w14:textId="5EBE1006" w:rsidR="00A77B3E" w:rsidRDefault="00D8132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Covered </w:t>
      </w:r>
      <w:r w:rsidR="000B2168">
        <w:rPr>
          <w:rFonts w:ascii="Book Antiqua" w:eastAsia="Book Antiqua" w:hAnsi="Book Antiqua" w:cs="Book Antiqua"/>
          <w:color w:val="000000"/>
        </w:rPr>
        <w:t>transjugular intrahepatic portosystemic shunt</w:t>
      </w:r>
      <w:r>
        <w:rPr>
          <w:rFonts w:ascii="Book Antiqua" w:eastAsia="Book Antiqua" w:hAnsi="Book Antiqua" w:cs="Book Antiqua"/>
          <w:color w:val="000000"/>
        </w:rPr>
        <w:t xml:space="preserve"> has proven effective in ameliorating the symptoms associated with cirrhosis and portal hypertension in a subset of patients. However, hepatic encephalopathy (HE) and deterioration of liver function remain a concern. The meticulous selection of patients is the most fruitful measure to improve patient outcomes. While patients having preserved hepatic and renal functions and without any prior history of, HE and cardiopulmonary disease are ideal candidates, patients with high liver disease severity scores, poor cardiac reserve, and risk of HE should be considered for </w:t>
      </w:r>
      <w:r w:rsidR="000B2168">
        <w:rPr>
          <w:rFonts w:ascii="Book Antiqua" w:eastAsia="Book Antiqua" w:hAnsi="Book Antiqua" w:cs="Book Antiqua"/>
          <w:color w:val="000000"/>
        </w:rPr>
        <w:t>transjugular intrahepatic portosystemic shunt</w:t>
      </w:r>
      <w:r>
        <w:rPr>
          <w:rFonts w:ascii="Book Antiqua" w:eastAsia="Book Antiqua" w:hAnsi="Book Antiqua" w:cs="Book Antiqua"/>
          <w:color w:val="000000"/>
        </w:rPr>
        <w:t xml:space="preserve"> only as a last resort or a bridge to transplant. With the advent of controlled expansion stent, and improvements in patient selection criteria, the incidence of HE and early liver failure is expected to reduce further.</w:t>
      </w:r>
    </w:p>
    <w:p w14:paraId="74A1334A" w14:textId="50E29B44" w:rsidR="00A77B3E" w:rsidRDefault="000B2168">
      <w:pPr>
        <w:spacing w:line="360" w:lineRule="auto"/>
        <w:jc w:val="both"/>
      </w:pPr>
      <w:r>
        <w:br w:type="page"/>
      </w:r>
      <w:r w:rsidR="00D8132F" w:rsidRPr="004664B9">
        <w:rPr>
          <w:rFonts w:ascii="Book Antiqua" w:eastAsia="Book Antiqua" w:hAnsi="Book Antiqua" w:cs="Book Antiqua"/>
          <w:b/>
          <w:caps/>
          <w:color w:val="000000"/>
          <w:u w:val="single"/>
        </w:rPr>
        <w:lastRenderedPageBreak/>
        <w:t>INTRODUCTION</w:t>
      </w:r>
    </w:p>
    <w:p w14:paraId="67398103" w14:textId="60D74001" w:rsidR="00A77B3E" w:rsidRDefault="00D8132F">
      <w:pPr>
        <w:spacing w:line="360" w:lineRule="auto"/>
        <w:jc w:val="both"/>
      </w:pPr>
      <w:r>
        <w:rPr>
          <w:rFonts w:ascii="Book Antiqua" w:eastAsia="Book Antiqua" w:hAnsi="Book Antiqua" w:cs="Book Antiqua"/>
          <w:color w:val="000000"/>
        </w:rPr>
        <w:t xml:space="preserve">Portal hypertension (PH) is the primary vascular consequence of cirrhosis and responsible for the majority of its potentially life-threatening complications. Transjugular intrahepatic portosystemic shunt (TIPS), involving the creation of a side-to-side shunt between the portal and hepatic vein, was envisaged as a salvage therapy for patients with acute variceal hemorrhage (VH) not responding to standard medical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With the discovery of self-expandable metal stents, TIPS started gaining wider acceptance not only for managing episodes of acute VH but also in other complications of PH like refractory ascites </w:t>
      </w:r>
      <w:r w:rsidR="00517095">
        <w:rPr>
          <w:rFonts w:ascii="Book Antiqua" w:eastAsia="Book Antiqua" w:hAnsi="Book Antiqua" w:cs="Book Antiqua"/>
          <w:color w:val="000000"/>
        </w:rPr>
        <w:t>(RA</w:t>
      </w:r>
      <w:proofErr w:type="gramStart"/>
      <w:r w:rsidR="00517095">
        <w:rPr>
          <w:rFonts w:ascii="Book Antiqua" w:eastAsia="Book Antiqua" w:hAnsi="Book Antiqua" w:cs="Book Antiqua"/>
          <w:color w:val="000000"/>
        </w:rPr>
        <w:t>)</w:t>
      </w:r>
      <w:r>
        <w:rPr>
          <w:rFonts w:ascii="Book Antiqua" w:eastAsia="Book Antiqua" w:hAnsi="Book Antiqua" w:cs="Book Antiqua"/>
          <w:color w:val="000000"/>
        </w:rPr>
        <w:t>and</w:t>
      </w:r>
      <w:proofErr w:type="gramEnd"/>
      <w:r>
        <w:rPr>
          <w:rFonts w:ascii="Book Antiqua" w:eastAsia="Book Antiqua" w:hAnsi="Book Antiqua" w:cs="Book Antiqua"/>
          <w:color w:val="000000"/>
        </w:rPr>
        <w:t xml:space="preserve"> hepatic hydrothorax</w:t>
      </w:r>
      <w:r w:rsidR="004664B9">
        <w:rPr>
          <w:rFonts w:ascii="Book Antiqua" w:eastAsia="Book Antiqua" w:hAnsi="Book Antiqua" w:cs="Book Antiqua"/>
          <w:color w:val="000000"/>
        </w:rPr>
        <w:t xml:space="preserve"> (HH)</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diversion of portal flow, so effectively achieved by TIPS, also resulted in hepatic hypoperfusion resulting in hepatic encephalopathy (HE) and deterioration in liver functions. Moreover, the uncovered </w:t>
      </w:r>
      <w:r w:rsidR="004664B9">
        <w:rPr>
          <w:rFonts w:ascii="Book Antiqua" w:eastAsia="Book Antiqua" w:hAnsi="Book Antiqua" w:cs="Book Antiqua"/>
          <w:color w:val="000000"/>
        </w:rPr>
        <w:t>self-expandable metal stents</w:t>
      </w:r>
      <w:r>
        <w:rPr>
          <w:rFonts w:ascii="Book Antiqua" w:eastAsia="Book Antiqua" w:hAnsi="Book Antiqua" w:cs="Book Antiqua"/>
          <w:color w:val="000000"/>
        </w:rPr>
        <w:t xml:space="preserve"> used in the initial years of TIPS were notorious for early thrombosis due to leakage of bile into the stent within the hepatic parenchymal tract and pseudointimal hyperplasia at the hepatic venous end of the stent. This resulted in frequent shunt dysfunctions necessitating multiple re-interventions. With the advent of expanded-polytetrafluoroethylene (e-PTFE) covered stents for TIPS in 2004, the incidence of shunt dysfunction reduced markedly. Additional studies showed that the use of covered stents for TIPS may not increase episodes of de novo or worsening HE, although this issue is still </w:t>
      </w:r>
      <w:proofErr w:type="gramStart"/>
      <w:r>
        <w:rPr>
          <w:rFonts w:ascii="Book Antiqua" w:eastAsia="Book Antiqua" w:hAnsi="Book Antiqua" w:cs="Book Antiqua"/>
          <w:color w:val="000000"/>
        </w:rPr>
        <w:t>debatable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Liver failure after TIPS continues to remain an area of concern. Appropriate patient selection for TIPS plays a major role in clinical outcomes. Significant modifications in patient selection criteria for TIPS have occurred in the recent past. The role of TIPS in management of other complications of cirrhosis and PH such as HH, portal hypertensive gastropathy (PHG), ectopic varices, hepatorenal </w:t>
      </w:r>
      <w:r w:rsidR="001228A4">
        <w:rPr>
          <w:rFonts w:ascii="Book Antiqua" w:eastAsia="Book Antiqua" w:hAnsi="Book Antiqua" w:cs="Book Antiqua"/>
          <w:color w:val="000000"/>
        </w:rPr>
        <w:t xml:space="preserve">syndrome </w:t>
      </w:r>
      <w:r>
        <w:rPr>
          <w:rFonts w:ascii="Book Antiqua" w:eastAsia="Book Antiqua" w:hAnsi="Book Antiqua" w:cs="Book Antiqua"/>
          <w:color w:val="000000"/>
        </w:rPr>
        <w:t xml:space="preserve">(HRS) and hepatopulmonary </w:t>
      </w:r>
      <w:r w:rsidR="001228A4">
        <w:rPr>
          <w:rFonts w:ascii="Book Antiqua" w:eastAsia="Book Antiqua" w:hAnsi="Book Antiqua" w:cs="Book Antiqua"/>
          <w:color w:val="000000"/>
        </w:rPr>
        <w:t xml:space="preserve">syndrome </w:t>
      </w:r>
      <w:r>
        <w:rPr>
          <w:rFonts w:ascii="Book Antiqua" w:eastAsia="Book Antiqua" w:hAnsi="Book Antiqua" w:cs="Book Antiqua"/>
          <w:color w:val="000000"/>
        </w:rPr>
        <w:t xml:space="preserve">(HPS), non-tumoral portal vein thrombosis (PVT) and chylous ascites has also been explored. With the introduction of the novel controlled-expansion stent, options for modulation of the portosystemic gradient (PSPG) after placement of TIPS stent has evolved. Recent studies have demonstrated a reduction in the incidence of HE, stent dysfunction, readmission for sepsis, and ascites with the use of these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this review, we </w:t>
      </w:r>
      <w:r>
        <w:rPr>
          <w:rFonts w:ascii="Book Antiqua" w:eastAsia="Book Antiqua" w:hAnsi="Book Antiqua" w:cs="Book Antiqua"/>
          <w:color w:val="000000"/>
        </w:rPr>
        <w:lastRenderedPageBreak/>
        <w:t>present an exhaustive update of current literature on the role of TIPS in the management of PH in patients with cirrhosis with emphasis on emerging indications of TIPS, evolving patient selection criteria, and technical aspects of the procedure.</w:t>
      </w:r>
    </w:p>
    <w:p w14:paraId="241735EB" w14:textId="77777777" w:rsidR="00A77B3E" w:rsidRDefault="00A77B3E">
      <w:pPr>
        <w:spacing w:line="360" w:lineRule="auto"/>
        <w:jc w:val="both"/>
      </w:pPr>
    </w:p>
    <w:p w14:paraId="297C4C71" w14:textId="77777777" w:rsidR="00A77B3E" w:rsidRDefault="00D8132F">
      <w:pPr>
        <w:spacing w:line="360" w:lineRule="auto"/>
        <w:jc w:val="both"/>
      </w:pPr>
      <w:r>
        <w:rPr>
          <w:rFonts w:ascii="Book Antiqua" w:eastAsia="Book Antiqua" w:hAnsi="Book Antiqua" w:cs="Book Antiqua"/>
          <w:b/>
          <w:bCs/>
          <w:caps/>
          <w:color w:val="000000"/>
          <w:u w:val="single"/>
        </w:rPr>
        <w:t>ESTABLISHED AND EMERGING INDICATIONS FOR TIPS</w:t>
      </w:r>
    </w:p>
    <w:p w14:paraId="208D5D40" w14:textId="3CBF5DCD" w:rsidR="00A77B3E" w:rsidRPr="00657162" w:rsidRDefault="00D8132F">
      <w:pPr>
        <w:spacing w:line="360" w:lineRule="auto"/>
        <w:jc w:val="both"/>
        <w:rPr>
          <w:i/>
          <w:iCs/>
        </w:rPr>
      </w:pPr>
      <w:r w:rsidRPr="00657162">
        <w:rPr>
          <w:rFonts w:ascii="Book Antiqua" w:eastAsia="Book Antiqua" w:hAnsi="Book Antiqua" w:cs="Book Antiqua"/>
          <w:b/>
          <w:bCs/>
          <w:i/>
          <w:iCs/>
          <w:color w:val="000000"/>
        </w:rPr>
        <w:t xml:space="preserve">Acute esophageal </w:t>
      </w:r>
      <w:r w:rsidR="004664B9" w:rsidRPr="00657162">
        <w:rPr>
          <w:rFonts w:ascii="Book Antiqua" w:eastAsia="Book Antiqua" w:hAnsi="Book Antiqua" w:cs="Book Antiqua"/>
          <w:b/>
          <w:bCs/>
          <w:i/>
          <w:iCs/>
          <w:color w:val="000000"/>
        </w:rPr>
        <w:t>VH</w:t>
      </w:r>
    </w:p>
    <w:p w14:paraId="6A3F1DB0" w14:textId="4BD5BC83" w:rsidR="00A77B3E" w:rsidRDefault="00D8132F">
      <w:pPr>
        <w:spacing w:line="360" w:lineRule="auto"/>
        <w:jc w:val="both"/>
      </w:pPr>
      <w:r>
        <w:rPr>
          <w:rFonts w:ascii="Book Antiqua" w:eastAsia="Book Antiqua" w:hAnsi="Book Antiqua" w:cs="Book Antiqua"/>
          <w:color w:val="000000"/>
        </w:rPr>
        <w:t>V</w:t>
      </w:r>
      <w:r w:rsidR="004664B9">
        <w:rPr>
          <w:rFonts w:ascii="Book Antiqua" w:eastAsia="Book Antiqua" w:hAnsi="Book Antiqua" w:cs="Book Antiqua"/>
          <w:color w:val="000000"/>
        </w:rPr>
        <w:t>H</w:t>
      </w:r>
      <w:r>
        <w:rPr>
          <w:rFonts w:ascii="Book Antiqua" w:eastAsia="Book Antiqua" w:hAnsi="Book Antiqua" w:cs="Book Antiqua"/>
          <w:color w:val="000000"/>
        </w:rPr>
        <w:t xml:space="preserve"> is one of the most severe and life-threatening complications in cirrhosis patients and constitutes the second most frequent decompensating event after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About 10</w:t>
      </w:r>
      <w:r w:rsidR="001228A4">
        <w:rPr>
          <w:rFonts w:ascii="Book Antiqua" w:eastAsia="Book Antiqua" w:hAnsi="Book Antiqua" w:cs="Book Antiqua"/>
          <w:color w:val="000000"/>
        </w:rPr>
        <w:t>%</w:t>
      </w:r>
      <w:r>
        <w:rPr>
          <w:rFonts w:ascii="Book Antiqua" w:eastAsia="Book Antiqua" w:hAnsi="Book Antiqua" w:cs="Book Antiqua"/>
          <w:color w:val="000000"/>
        </w:rPr>
        <w:t xml:space="preserve">-15% of patients experience treatment failure, warranting repeated endoscopic interventions, with up to 80%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The overall mortality at 6 wk with each episode of VH also remains high at around 15</w:t>
      </w:r>
      <w:r w:rsidR="001228A4">
        <w:rPr>
          <w:rFonts w:ascii="Book Antiqua" w:eastAsia="Book Antiqua" w:hAnsi="Book Antiqua" w:cs="Book Antiqua"/>
          <w:color w:val="000000"/>
        </w:rPr>
        <w:t>%</w:t>
      </w:r>
      <w:r>
        <w:rPr>
          <w:rFonts w:ascii="Book Antiqua" w:eastAsia="Book Antiqua" w:hAnsi="Book Antiqua" w:cs="Book Antiqua"/>
          <w:color w:val="000000"/>
        </w:rPr>
        <w:t xml:space="preserve">-25%, despite improvements in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w:t>
      </w:r>
    </w:p>
    <w:p w14:paraId="1262E70B" w14:textId="77777777" w:rsidR="00A77B3E" w:rsidRDefault="00A77B3E">
      <w:pPr>
        <w:spacing w:line="360" w:lineRule="auto"/>
        <w:jc w:val="both"/>
      </w:pPr>
    </w:p>
    <w:p w14:paraId="61C59933" w14:textId="65F8F3E7" w:rsidR="00A77B3E" w:rsidRDefault="00D8132F">
      <w:pPr>
        <w:spacing w:line="360" w:lineRule="auto"/>
        <w:jc w:val="both"/>
      </w:pPr>
      <w:r w:rsidRPr="00657162">
        <w:rPr>
          <w:rFonts w:ascii="Book Antiqua" w:eastAsia="Book Antiqua" w:hAnsi="Book Antiqua" w:cs="Book Antiqua"/>
          <w:b/>
          <w:bCs/>
          <w:color w:val="000000"/>
        </w:rPr>
        <w:t>Rescue TIPS and the role of early/preemptive TIPS</w:t>
      </w:r>
      <w:r w:rsidR="006E6FDF">
        <w:rPr>
          <w:rFonts w:ascii="Book Antiqua" w:eastAsia="Book Antiqua" w:hAnsi="Book Antiqua" w:cs="Book Antiqua"/>
          <w:b/>
          <w:bCs/>
          <w:color w:val="000000"/>
        </w:rPr>
        <w:t xml:space="preserve">: </w:t>
      </w:r>
      <w:r>
        <w:rPr>
          <w:rFonts w:ascii="Book Antiqua" w:eastAsia="Book Antiqua" w:hAnsi="Book Antiqua" w:cs="Book Antiqua"/>
          <w:color w:val="000000"/>
        </w:rPr>
        <w:t>TIPS is highly effective in reducing the portal pressure, control of bleed, and prevention of early rebleeding. Due to the increased risk of HE and the absence of survival benefit with the use of uncovered stents, TIPS was traditionally recommended as rescue therapy for uncontrolled bleeding. The prognosis of patients undergoing rescue (or salvage) TIPS is dismal, with 35</w:t>
      </w:r>
      <w:r w:rsidR="006E6FDF">
        <w:rPr>
          <w:rFonts w:ascii="Book Antiqua" w:eastAsia="Book Antiqua" w:hAnsi="Book Antiqua" w:cs="Book Antiqua"/>
          <w:color w:val="000000"/>
        </w:rPr>
        <w:t>%</w:t>
      </w:r>
      <w:r>
        <w:rPr>
          <w:rFonts w:ascii="Book Antiqua" w:eastAsia="Book Antiqua" w:hAnsi="Book Antiqua" w:cs="Book Antiqua"/>
          <w:color w:val="000000"/>
        </w:rPr>
        <w:t xml:space="preserve">-55% mortality due to failure to control bleeding or early rebleeding. The time-delay associated with the decision on performing TIPS also contributes to poor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7,10,11]</w:t>
      </w:r>
      <w:r>
        <w:rPr>
          <w:rFonts w:ascii="Book Antiqua" w:eastAsia="Book Antiqua" w:hAnsi="Book Antiqua" w:cs="Book Antiqua"/>
          <w:color w:val="000000"/>
        </w:rPr>
        <w:t xml:space="preserve">. A recent large observational study showed a 6-wk mortality of 36% in patients undergoing rescue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model for end-stage liver disease (MELD) and Child–Turcotte-Pugh (CTP) scores were predictive of short- and long-term mortality, respectively, and pre-TIPS intensive care unit stay was independently associated with TIPS failure and mortality at 6 wk and 12 mo. Rescue TIPS was found futile in patients with CTP score &gt; 13. With the advent of e-PTFE–covered stents, the incidence of TIPS dysfunction and recurrence of complications related to PH reduced drastically. Additionally, it was found that covered TIPS did not significantly increase the frequency and severity of episodes of de-novo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Hepatic venous pressure </w:t>
      </w:r>
      <w:r>
        <w:rPr>
          <w:rFonts w:ascii="Book Antiqua" w:eastAsia="Book Antiqua" w:hAnsi="Book Antiqua" w:cs="Book Antiqua"/>
          <w:color w:val="000000"/>
        </w:rPr>
        <w:lastRenderedPageBreak/>
        <w:t xml:space="preserve">gradient (HVPG), the surrogate marker of portal pressure, is an objective and reproducible measurement. Moitinho </w:t>
      </w:r>
      <w:r>
        <w:rPr>
          <w:rFonts w:ascii="Book Antiqua" w:eastAsia="Book Antiqua" w:hAnsi="Book Antiqua" w:cs="Book Antiqua"/>
          <w:i/>
          <w:iCs/>
          <w:color w:val="000000"/>
        </w:rPr>
        <w:t>et al</w:t>
      </w:r>
      <w:r w:rsidR="006E6FDF">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found that measurement of HVPG in patients with cirrhosis admitted with acute VH provided useful prognostic information, and those with HVPG &gt; 20 mmHg required closer surveillance. Monescillo and colleagues showed that early portal decompression by TIPS placement in those with HVPG &gt; 20 mmHg significantly reduced the risk of treatment failure, prevented recurrent VH, and improved short and long-term survival despite having higher baseline bilirubin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HVPG was more found more accurate than the CTP score for 6 wk survival prediction. This study, however, used endoscopic sclerotherapy in the medical treatment group, and bare stents were used in the early-TIPS group, both of which are not the current standard of care. </w:t>
      </w:r>
    </w:p>
    <w:p w14:paraId="4BCD72A0" w14:textId="35E89745" w:rsidR="00A77B3E" w:rsidRDefault="00D8132F" w:rsidP="006E6FDF">
      <w:pPr>
        <w:spacing w:line="360" w:lineRule="auto"/>
        <w:ind w:firstLineChars="100" w:firstLine="240"/>
        <w:jc w:val="both"/>
      </w:pPr>
      <w:r>
        <w:rPr>
          <w:rFonts w:ascii="Book Antiqua" w:eastAsia="Book Antiqua" w:hAnsi="Book Antiqua" w:cs="Book Antiqua"/>
          <w:color w:val="000000"/>
        </w:rPr>
        <w:t xml:space="preserve">To address these issues, a multicentre randomized controlled trial (RCT) was conducted in which patient selection was based on clinical and endoscopic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this study, early treatment with covered TIPS (within 72 h, and preferably within 24 h) in high-risk patients-defined as CTP score 10-13 points and CTP class B with active bleeding at endoscopy-resulted in significant bleed control and reduction in mortality, without an increase in the risk of HE. Additionally, the study found lower rates of ascites formation, HRS, and reduced hospital stay. A retrospective post-RCT surveillance study by the same group</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found only a trend to improvement in survival when compared with standard medical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Baveno VI consensus endorsed these findings and recommended that "an early TIPS within 72 h (ideally &lt; 24 h) should be considered in patients at high risk of treatment failure after initial pharmacological and endoscopic therapy"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3B353D8" w14:textId="1DF1C9B7"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Further, a meta-analysis confirmed the survival benefit offered by early TIPS in high-risk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original trial by Garcia-Pagan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F5686" w:rsidRPr="00657162">
        <w:rPr>
          <w:rFonts w:ascii="Book Antiqua" w:eastAsia="Book Antiqua" w:hAnsi="Book Antiqua" w:cs="Book Antiqua"/>
          <w:color w:val="000000"/>
          <w:vertAlign w:val="superscript"/>
        </w:rPr>
        <w:t>[</w:t>
      </w:r>
      <w:proofErr w:type="gramEnd"/>
      <w:r w:rsidR="007F5686" w:rsidRPr="00657162">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was not powered to conduct appropriate subgroup analyses to identify benefits on survival between CTP B and C groups. Studies conducted later showed that clinical outcomes among CTP B patients on standard medical treatment were significantly better than that of Child-Pugh C patients without added benefits with early-</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re-calibrated MELD score as an </w:t>
      </w:r>
      <w:r>
        <w:rPr>
          <w:rFonts w:ascii="Book Antiqua" w:eastAsia="Book Antiqua" w:hAnsi="Book Antiqua" w:cs="Book Antiqua"/>
          <w:color w:val="000000"/>
        </w:rPr>
        <w:lastRenderedPageBreak/>
        <w:t xml:space="preserve">alternative to the CTP score was shown to have better prognostic value in patients with acute VH on standard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CTP C patients with a baseline creatinine ≥ 1 mg/dL (Child C-C1 criteria) were found to have high-risk of death after </w:t>
      </w:r>
      <w:proofErr w:type="gramStart"/>
      <w:r>
        <w:rPr>
          <w:rFonts w:ascii="Book Antiqua" w:eastAsia="Book Antiqua" w:hAnsi="Book Antiqua" w:cs="Book Antiqua"/>
          <w:color w:val="000000"/>
        </w:rPr>
        <w:t>VH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 recent multicentre study showed that the mortality risk among CTP B compared to CTP class C patients with active bleeding at endoscopy, on the standard of care was </w:t>
      </w:r>
      <w:proofErr w:type="gramStart"/>
      <w:r>
        <w:rPr>
          <w:rFonts w:ascii="Book Antiqua" w:eastAsia="Book Antiqua" w:hAnsi="Book Antiqua" w:cs="Book Antiqua"/>
          <w:color w:val="000000"/>
        </w:rPr>
        <w:t>lower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study also identified MELD score ≥ 19 as a high risk for death with standard care alone. This implied that the grouping of Child-Pugh B and Child-Pugh C as high-risk for mortality on standard therapy of acute VH was inaccurate. Subsequently, observational studies showed that the early use of TIPS was justified in those with MELD ≥ 19 or Child-Pugh class </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For patients with MELD 12–18 or Child-Pugh B patients, survival benefit could not be uniformly demonstrated. </w:t>
      </w:r>
    </w:p>
    <w:p w14:paraId="08E956E2" w14:textId="2AE6EF30" w:rsidR="00A77B3E" w:rsidRDefault="00D8132F" w:rsidP="00657162">
      <w:pPr>
        <w:spacing w:line="360" w:lineRule="auto"/>
        <w:ind w:firstLineChars="100" w:firstLine="240"/>
        <w:jc w:val="both"/>
      </w:pPr>
      <w:r>
        <w:rPr>
          <w:rFonts w:ascii="Book Antiqua" w:eastAsia="Book Antiqua" w:hAnsi="Book Antiqua" w:cs="Book Antiqua"/>
          <w:color w:val="000000"/>
        </w:rPr>
        <w:t>An RCT from a single center in China reported improved control of bleeding and rebleeding and better transplant-free survival</w:t>
      </w:r>
      <w:r w:rsidR="00EA3269">
        <w:rPr>
          <w:rFonts w:ascii="Book Antiqua" w:eastAsia="Book Antiqua" w:hAnsi="Book Antiqua" w:cs="Book Antiqua"/>
          <w:color w:val="000000"/>
        </w:rPr>
        <w:t xml:space="preserve"> (TFS)</w:t>
      </w:r>
      <w:r>
        <w:rPr>
          <w:rFonts w:ascii="Book Antiqua" w:eastAsia="Book Antiqua" w:hAnsi="Book Antiqua" w:cs="Book Antiqua"/>
          <w:color w:val="000000"/>
        </w:rPr>
        <w:t xml:space="preserve"> at 6 wk and one year with early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benefit was seen in all groups regardless of active bleeding or stage of liver disease. There was no difference in the incidence of HE. Besides, the actuarial probability of remaining free from new or worsening ascites was higher in the early TIPS group than in the control group at one year. A slight increase of median bilirubin levels and the international normalized ratio at 1 and 3 mo was observed in the early-TIPS group, which improved after </w:t>
      </w:r>
      <w:r w:rsidR="007F5686">
        <w:rPr>
          <w:rFonts w:ascii="Book Antiqua" w:eastAsia="Book Antiqua" w:hAnsi="Book Antiqua" w:cs="Book Antiqua"/>
          <w:color w:val="000000"/>
        </w:rPr>
        <w:t xml:space="preserve">6 </w:t>
      </w:r>
      <w:r>
        <w:rPr>
          <w:rFonts w:ascii="Book Antiqua" w:eastAsia="Book Antiqua" w:hAnsi="Book Antiqua" w:cs="Book Antiqua"/>
          <w:color w:val="000000"/>
        </w:rPr>
        <w:t xml:space="preserve">mo. Similarly, median MELD scores were significantly higher at 1 and 3 mo in the TIPS group disappearing after six mo. Notably, all patients with Child-Pugh class B and class C disease were included irrespective of active bleeding, and 75% had a chronic hepatitis-B infection. Therefore, antiviral therapy could have influenced the outcome. Another recent RCT from the </w:t>
      </w:r>
      <w:r w:rsidR="0075034A" w:rsidRPr="0075034A">
        <w:rPr>
          <w:rFonts w:ascii="Book Antiqua" w:eastAsia="Book Antiqua" w:hAnsi="Book Antiqua" w:cs="Book Antiqua"/>
          <w:color w:val="000000"/>
        </w:rPr>
        <w:t>United Kingdom</w:t>
      </w:r>
      <w:r>
        <w:rPr>
          <w:rFonts w:ascii="Book Antiqua" w:eastAsia="Book Antiqua" w:hAnsi="Book Antiqua" w:cs="Book Antiqua"/>
          <w:color w:val="000000"/>
        </w:rPr>
        <w:t xml:space="preserve"> reported that early-TIPS reduced rebleeding without survival benefit and higher incidence of HE in those undergoing early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However, out of the 29 patients enrolled in the TIPS-arm of this study, only 13 underwent TIPS stent placement within 72 h of index bleeding, making it underpowered to derive any conclusions. Despite the contradictory results shown by these two recent RCTs, there is enough evidence now </w:t>
      </w:r>
      <w:r w:rsidRPr="00657162">
        <w:rPr>
          <w:rFonts w:ascii="Book Antiqua" w:eastAsia="Book Antiqua" w:hAnsi="Book Antiqua" w:cs="Book Antiqua"/>
          <w:color w:val="000000"/>
        </w:rPr>
        <w:t>(Table 1)</w:t>
      </w:r>
      <w:r>
        <w:rPr>
          <w:rFonts w:ascii="Book Antiqua" w:eastAsia="Book Antiqua" w:hAnsi="Book Antiqua" w:cs="Book Antiqua"/>
          <w:color w:val="000000"/>
        </w:rPr>
        <w:t xml:space="preserve"> to recommend early TIPS in patients with Child-Pugh class C </w:t>
      </w:r>
      <w:r>
        <w:rPr>
          <w:rFonts w:ascii="Book Antiqua" w:eastAsia="Book Antiqua" w:hAnsi="Book Antiqua" w:cs="Book Antiqua"/>
          <w:color w:val="000000"/>
        </w:rPr>
        <w:lastRenderedPageBreak/>
        <w:t>disease and MELD &gt; 19; however, the upper limit of MELD requires confirmation. Even though the question of survival benefit in patients with Child-Pugh class B and MELD score of 12-18 remains open to debate, the reduction in rebleeding and ascites, without increasing the risk or severity of HE could also justify the use of early TIPS in this subgroup of patients. In keeping with this, the British society of interventional radiology and British association of the study of the liver recommends that "in patients who have Child’s C disease (C 10-13) or MELD ≥ 19, and bleeding from esophageal varices</w:t>
      </w:r>
      <w:r w:rsidR="00A31FC1">
        <w:rPr>
          <w:rFonts w:ascii="Book Antiqua" w:eastAsia="Book Antiqua" w:hAnsi="Book Antiqua" w:cs="Book Antiqua"/>
          <w:color w:val="000000"/>
        </w:rPr>
        <w:t xml:space="preserve"> (EV)</w:t>
      </w:r>
      <w:r>
        <w:rPr>
          <w:rFonts w:ascii="Book Antiqua" w:eastAsia="Book Antiqua" w:hAnsi="Book Antiqua" w:cs="Book Antiqua"/>
          <w:color w:val="000000"/>
        </w:rPr>
        <w:t xml:space="preserve"> or GOV1 and GOV2 gastric varices</w:t>
      </w:r>
      <w:r w:rsidR="00A31FC1">
        <w:rPr>
          <w:rFonts w:ascii="Book Antiqua" w:eastAsia="Book Antiqua" w:hAnsi="Book Antiqua" w:cs="Book Antiqua"/>
          <w:color w:val="000000"/>
        </w:rPr>
        <w:t xml:space="preserve"> (GV)</w:t>
      </w:r>
      <w:r>
        <w:rPr>
          <w:rFonts w:ascii="Book Antiqua" w:eastAsia="Book Antiqua" w:hAnsi="Book Antiqua" w:cs="Book Antiqua"/>
          <w:color w:val="000000"/>
        </w:rPr>
        <w:t xml:space="preserve"> and are hemodynamically stable, early or pre-emptive TIPS should be considered within 72 h of a variceal bleed where local resources allow"</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Despite these recommendations, the rate of implementation of early TIPS in a real-world situation is dismal, with only 6</w:t>
      </w:r>
      <w:r w:rsidR="0075034A">
        <w:rPr>
          <w:rFonts w:ascii="Book Antiqua" w:eastAsia="Book Antiqua" w:hAnsi="Book Antiqua" w:cs="Book Antiqua"/>
          <w:color w:val="000000"/>
        </w:rPr>
        <w:t>%</w:t>
      </w:r>
      <w:r>
        <w:rPr>
          <w:rFonts w:ascii="Book Antiqua" w:eastAsia="Book Antiqua" w:hAnsi="Book Antiqua" w:cs="Book Antiqua"/>
          <w:color w:val="000000"/>
        </w:rPr>
        <w:t xml:space="preserve">-13% of eligible candidates undergoing the procedure according to two recent large multicentre observational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w:t>
      </w:r>
    </w:p>
    <w:p w14:paraId="7AB6E4A1" w14:textId="77777777" w:rsidR="00A77B3E" w:rsidRDefault="00A77B3E">
      <w:pPr>
        <w:spacing w:line="360" w:lineRule="auto"/>
        <w:jc w:val="both"/>
      </w:pPr>
    </w:p>
    <w:p w14:paraId="7554076D" w14:textId="318FECB6" w:rsidR="00A77B3E" w:rsidRDefault="00D8132F">
      <w:pPr>
        <w:spacing w:line="360" w:lineRule="auto"/>
        <w:jc w:val="both"/>
      </w:pPr>
      <w:r w:rsidRPr="00657162">
        <w:rPr>
          <w:rFonts w:ascii="Book Antiqua" w:eastAsia="Book Antiqua" w:hAnsi="Book Antiqua" w:cs="Book Antiqua"/>
          <w:b/>
          <w:bCs/>
          <w:color w:val="000000"/>
        </w:rPr>
        <w:t>Secondary prophylaxis of variceal bleeding</w:t>
      </w:r>
      <w:r w:rsidR="006E6FDF" w:rsidRPr="00657162">
        <w:rPr>
          <w:rFonts w:ascii="Book Antiqua" w:eastAsia="Book Antiqua" w:hAnsi="Book Antiqua" w:cs="Book Antiqua"/>
          <w:b/>
          <w:bCs/>
          <w:color w:val="000000"/>
        </w:rPr>
        <w:t>:</w:t>
      </w:r>
      <w:r w:rsidR="006E6FDF">
        <w:rPr>
          <w:rFonts w:ascii="Book Antiqua" w:eastAsia="Book Antiqua" w:hAnsi="Book Antiqua" w:cs="Book Antiqua"/>
          <w:color w:val="000000"/>
        </w:rPr>
        <w:t xml:space="preserve"> </w:t>
      </w:r>
      <w:r>
        <w:rPr>
          <w:rFonts w:ascii="Book Antiqua" w:eastAsia="Book Antiqua" w:hAnsi="Book Antiqua" w:cs="Book Antiqua"/>
          <w:color w:val="000000"/>
        </w:rPr>
        <w:t>Patients who survive an episode of acute VH are at high risk of rebleeding and death. The 1-year rate of recurrent VH is approximately 60% in patients without treatment, with a mortality rate approaching 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It is recommended that endoscopic band ligation (EBL), in combination with non-selective beta-blockers (NSBB), be the first line of therapy for the prevention of recurrent VH with reservation of TIPS only for non-</w:t>
      </w:r>
      <w:proofErr w:type="gramStart"/>
      <w:r>
        <w:rPr>
          <w:rFonts w:ascii="Book Antiqua" w:eastAsia="Book Antiqua" w:hAnsi="Book Antiqua" w:cs="Book Antiqua"/>
          <w:color w:val="000000"/>
        </w:rPr>
        <w:t>responders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15,22]</w:t>
      </w:r>
      <w:r>
        <w:rPr>
          <w:rFonts w:ascii="Book Antiqua" w:eastAsia="Book Antiqua" w:hAnsi="Book Antiqua" w:cs="Book Antiqua"/>
          <w:color w:val="000000"/>
        </w:rPr>
        <w:t xml:space="preserve">. In this regard, two RCTs compared covered stents with </w:t>
      </w:r>
      <w:proofErr w:type="gramStart"/>
      <w:r>
        <w:rPr>
          <w:rFonts w:ascii="Book Antiqua" w:eastAsia="Book Antiqua" w:hAnsi="Book Antiqua" w:cs="Book Antiqua"/>
          <w:color w:val="000000"/>
        </w:rPr>
        <w:t>EBL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TIPS significantly reduced VH without any remarkable effect on overall survival. In one study, 8 mm stents were used, leading to a comparatively lower rate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in the other trial using 10</w:t>
      </w:r>
      <w:r w:rsidR="0075034A">
        <w:rPr>
          <w:rFonts w:ascii="Book Antiqua" w:eastAsia="Book Antiqua" w:hAnsi="Book Antiqua" w:cs="Book Antiqua"/>
          <w:color w:val="000000"/>
        </w:rPr>
        <w:t xml:space="preserve"> </w:t>
      </w:r>
      <w:r>
        <w:rPr>
          <w:rFonts w:ascii="Book Antiqua" w:eastAsia="Book Antiqua" w:hAnsi="Book Antiqua" w:cs="Book Antiqua"/>
          <w:color w:val="000000"/>
        </w:rPr>
        <w:t xml:space="preserve">mm stents, although early HE (within one year) was significantly more frequent in the TIPS group (35% </w:t>
      </w:r>
      <w:r>
        <w:rPr>
          <w:rFonts w:ascii="Book Antiqua" w:eastAsia="Book Antiqua" w:hAnsi="Book Antiqua" w:cs="Book Antiqua"/>
          <w:i/>
          <w:iCs/>
          <w:color w:val="000000"/>
        </w:rPr>
        <w:t>vs</w:t>
      </w:r>
      <w:r>
        <w:rPr>
          <w:rFonts w:ascii="Book Antiqua" w:eastAsia="Book Antiqua" w:hAnsi="Book Antiqua" w:cs="Book Antiqua"/>
          <w:color w:val="000000"/>
        </w:rPr>
        <w:t xml:space="preserve"> 14%), during long-term follow-up, this difference disappeared</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the previous study, there was no difference in rebleeding or mortality rates beyond 6 wk. Two RCTs conducted later comparing TIPS with EBL plus NSBB in patients with PVT found no increase in the rates of HE in the two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The absence of survival benefit offered by TIPS in this clinical setting when compared to early TIPS can be </w:t>
      </w:r>
      <w:r>
        <w:rPr>
          <w:rFonts w:ascii="Book Antiqua" w:eastAsia="Book Antiqua" w:hAnsi="Book Antiqua" w:cs="Book Antiqua"/>
          <w:color w:val="000000"/>
        </w:rPr>
        <w:lastRenderedPageBreak/>
        <w:t xml:space="preserve">explained by the fact that liver failure and infection were the most common cause of death of patients in studies for secondary prevention of variceal bleeding. Contrarily, in the studies on the role of early TIPS, the most common cause of death was early rebleeding, which can be effectively controlled by TIPS, thus conferring survival benefit. A recent study, published in abstract form, demonstrated that TIPS performed at first </w:t>
      </w:r>
      <w:r w:rsidR="00024964">
        <w:rPr>
          <w:rFonts w:ascii="Book Antiqua" w:eastAsia="Book Antiqua" w:hAnsi="Book Antiqua" w:cs="Book Antiqua"/>
          <w:color w:val="000000"/>
        </w:rPr>
        <w:t xml:space="preserve">symptomatic portal hypertension related </w:t>
      </w:r>
      <w:r>
        <w:rPr>
          <w:rFonts w:ascii="Book Antiqua" w:eastAsia="Book Antiqua" w:hAnsi="Book Antiqua" w:cs="Book Antiqua"/>
          <w:color w:val="000000"/>
        </w:rPr>
        <w:t>decompensation (VH or ascites requiring paracentesis) event termed ‘anticipant TIPS‘ improved overall survival even on sub-group analysis for VH. On further grouping, based on CTP and MELD scores, a higher proportion of patients survived after anticipant-TIPS for all-cause</w:t>
      </w:r>
      <w:r w:rsidR="00024964">
        <w:rPr>
          <w:rFonts w:ascii="Book Antiqua" w:eastAsia="Book Antiqua" w:hAnsi="Book Antiqua" w:cs="Book Antiqua"/>
          <w:color w:val="000000"/>
        </w:rPr>
        <w:t>s</w:t>
      </w:r>
      <w:r>
        <w:rPr>
          <w:rFonts w:ascii="Book Antiqua" w:eastAsia="Book Antiqua" w:hAnsi="Book Antiqua" w:cs="Book Antiqua"/>
          <w:color w:val="000000"/>
        </w:rPr>
        <w:t xml:space="preserve"> at 1</w:t>
      </w:r>
      <w:r w:rsidR="00A31FC1">
        <w:rPr>
          <w:rFonts w:ascii="Book Antiqua" w:eastAsia="Book Antiqua" w:hAnsi="Book Antiqua" w:cs="Book Antiqua"/>
          <w:color w:val="000000"/>
        </w:rPr>
        <w:t xml:space="preserve"> </w:t>
      </w:r>
      <w:r>
        <w:rPr>
          <w:rFonts w:ascii="Book Antiqua" w:eastAsia="Book Antiqua" w:hAnsi="Book Antiqua" w:cs="Book Antiqua"/>
          <w:color w:val="000000"/>
        </w:rPr>
        <w:t>year. Compared to standard treatment, those undergoing anticipant TIPS had significantly lesser sepsis events and hospitalization and recurrence of varices at one year, even though overall and grouped survival outcomes and were similar</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TIPS is not indicated for the prevention of varices (pre-primary prophylaxis) or prevention of the first episode of bleeding from varices (primary prophylaxis), since the risks associated with TIPS, clearly outweighs the potential benefits in this group. Based on the current evidence, it may be appropriate to stratify the patients with cirrhosis with index VH into a 'high-risk' and 'low-risk' group based on their CTP score and endoscopic findings (</w:t>
      </w:r>
      <w:r w:rsidRPr="00657162">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33ADD257" w14:textId="77777777" w:rsidR="00A77B3E" w:rsidRDefault="00A77B3E">
      <w:pPr>
        <w:spacing w:line="360" w:lineRule="auto"/>
        <w:jc w:val="both"/>
      </w:pPr>
    </w:p>
    <w:p w14:paraId="2E6B2341" w14:textId="0A7BB955" w:rsidR="00A77B3E" w:rsidRPr="00657162" w:rsidRDefault="00D8132F">
      <w:pPr>
        <w:spacing w:line="360" w:lineRule="auto"/>
        <w:jc w:val="both"/>
        <w:rPr>
          <w:i/>
          <w:iCs/>
        </w:rPr>
      </w:pPr>
      <w:r w:rsidRPr="00657162">
        <w:rPr>
          <w:rFonts w:ascii="Book Antiqua" w:eastAsia="Book Antiqua" w:hAnsi="Book Antiqua" w:cs="Book Antiqua"/>
          <w:b/>
          <w:bCs/>
          <w:i/>
          <w:iCs/>
          <w:color w:val="000000"/>
        </w:rPr>
        <w:t xml:space="preserve">Gastric </w:t>
      </w:r>
      <w:r w:rsidR="004664B9" w:rsidRPr="00657162">
        <w:rPr>
          <w:rFonts w:ascii="Book Antiqua" w:eastAsia="Book Antiqua" w:hAnsi="Book Antiqua" w:cs="Book Antiqua"/>
          <w:b/>
          <w:bCs/>
          <w:i/>
          <w:iCs/>
          <w:color w:val="000000"/>
        </w:rPr>
        <w:t>VH</w:t>
      </w:r>
    </w:p>
    <w:p w14:paraId="752E2440" w14:textId="5DFBE9DF" w:rsidR="00A77B3E" w:rsidRDefault="00A31FC1">
      <w:pPr>
        <w:spacing w:line="360" w:lineRule="auto"/>
        <w:jc w:val="both"/>
      </w:pPr>
      <w:r>
        <w:rPr>
          <w:rFonts w:ascii="Book Antiqua" w:eastAsia="Book Antiqua" w:hAnsi="Book Antiqua" w:cs="Book Antiqua"/>
          <w:color w:val="000000"/>
        </w:rPr>
        <w:t>GV</w:t>
      </w:r>
      <w:r w:rsidR="00D8132F">
        <w:rPr>
          <w:rFonts w:ascii="Book Antiqua" w:eastAsia="Book Antiqua" w:hAnsi="Book Antiqua" w:cs="Book Antiqua"/>
          <w:color w:val="000000"/>
        </w:rPr>
        <w:t xml:space="preserve"> are seen in 5</w:t>
      </w:r>
      <w:r w:rsidR="003D073F">
        <w:rPr>
          <w:rFonts w:ascii="Book Antiqua" w:eastAsia="Book Antiqua" w:hAnsi="Book Antiqua" w:cs="Book Antiqua"/>
          <w:color w:val="000000"/>
        </w:rPr>
        <w:t>%</w:t>
      </w:r>
      <w:r w:rsidR="00D8132F">
        <w:rPr>
          <w:rFonts w:ascii="Book Antiqua" w:eastAsia="Book Antiqua" w:hAnsi="Book Antiqua" w:cs="Book Antiqua"/>
          <w:color w:val="000000"/>
        </w:rPr>
        <w:t xml:space="preserve">-33% of patients with cirrhosis and </w:t>
      </w:r>
      <w:proofErr w:type="gramStart"/>
      <w:r w:rsidR="00D8132F">
        <w:rPr>
          <w:rFonts w:ascii="Book Antiqua" w:eastAsia="Book Antiqua" w:hAnsi="Book Antiqua" w:cs="Book Antiqua"/>
          <w:color w:val="000000"/>
        </w:rPr>
        <w:t>PH</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31]</w:t>
      </w:r>
      <w:r w:rsidR="00D8132F">
        <w:rPr>
          <w:rFonts w:ascii="Book Antiqua" w:eastAsia="Book Antiqua" w:hAnsi="Book Antiqua" w:cs="Book Antiqua"/>
          <w:color w:val="000000"/>
        </w:rPr>
        <w:t xml:space="preserve">.  Although they bleed less often than </w:t>
      </w:r>
      <w:r>
        <w:rPr>
          <w:rFonts w:ascii="Book Antiqua" w:eastAsia="Book Antiqua" w:hAnsi="Book Antiqua" w:cs="Book Antiqua"/>
          <w:color w:val="000000"/>
        </w:rPr>
        <w:t>EV</w:t>
      </w:r>
      <w:r w:rsidR="00D8132F">
        <w:rPr>
          <w:rFonts w:ascii="Book Antiqua" w:eastAsia="Book Antiqua" w:hAnsi="Book Antiqua" w:cs="Book Antiqua"/>
          <w:color w:val="000000"/>
        </w:rPr>
        <w:t>-accounting for only 10%</w:t>
      </w:r>
      <w:r w:rsidR="003D073F">
        <w:rPr>
          <w:rFonts w:ascii="Book Antiqua" w:eastAsia="Book Antiqua" w:hAnsi="Book Antiqua" w:cs="Book Antiqua"/>
          <w:color w:val="000000"/>
        </w:rPr>
        <w:t>-</w:t>
      </w:r>
      <w:r w:rsidR="00D8132F">
        <w:rPr>
          <w:rFonts w:ascii="Book Antiqua" w:eastAsia="Book Antiqua" w:hAnsi="Book Antiqua" w:cs="Book Antiqua"/>
          <w:color w:val="000000"/>
        </w:rPr>
        <w:t xml:space="preserve">30% episodes of </w:t>
      </w:r>
      <w:r w:rsidR="004664B9">
        <w:rPr>
          <w:rFonts w:ascii="Book Antiqua" w:eastAsia="Book Antiqua" w:hAnsi="Book Antiqua" w:cs="Book Antiqua"/>
          <w:color w:val="000000"/>
        </w:rPr>
        <w:t>VH</w:t>
      </w:r>
      <w:r w:rsidR="00D8132F">
        <w:rPr>
          <w:rFonts w:ascii="Book Antiqua" w:eastAsia="Book Antiqua" w:hAnsi="Book Antiqua" w:cs="Book Antiqua"/>
          <w:color w:val="000000"/>
        </w:rPr>
        <w:t xml:space="preserve">–the bleeding is often severe with higher transfusion </w:t>
      </w:r>
      <w:proofErr w:type="gramStart"/>
      <w:r w:rsidR="00D8132F">
        <w:rPr>
          <w:rFonts w:ascii="Book Antiqua" w:eastAsia="Book Antiqua" w:hAnsi="Book Antiqua" w:cs="Book Antiqua"/>
          <w:color w:val="000000"/>
        </w:rPr>
        <w:t>requirements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31]</w:t>
      </w:r>
      <w:r w:rsidR="00D8132F">
        <w:rPr>
          <w:rFonts w:ascii="Book Antiqua" w:eastAsia="Book Antiqua" w:hAnsi="Book Antiqua" w:cs="Book Antiqua"/>
          <w:color w:val="000000"/>
        </w:rPr>
        <w:t xml:space="preserve">. GV is frequently associated with large gastrorenal shunts (GRS) and have a 'downhill' drainage as opposed to 'uphill' drainage of EV </w:t>
      </w:r>
      <w:r w:rsidR="00D8132F" w:rsidRPr="00657162">
        <w:rPr>
          <w:rFonts w:ascii="Book Antiqua" w:eastAsia="Book Antiqua" w:hAnsi="Book Antiqua" w:cs="Book Antiqua"/>
          <w:i/>
          <w:iCs/>
          <w:color w:val="000000"/>
        </w:rPr>
        <w:t>via</w:t>
      </w:r>
      <w:r w:rsidR="00D8132F">
        <w:rPr>
          <w:rFonts w:ascii="Book Antiqua" w:eastAsia="Book Antiqua" w:hAnsi="Book Antiqua" w:cs="Book Antiqua"/>
          <w:color w:val="000000"/>
        </w:rPr>
        <w:t xml:space="preserve"> azygos-hemiazygos venous </w:t>
      </w:r>
      <w:proofErr w:type="gramStart"/>
      <w:r w:rsidR="00D8132F">
        <w:rPr>
          <w:rFonts w:ascii="Book Antiqua" w:eastAsia="Book Antiqua" w:hAnsi="Book Antiqua" w:cs="Book Antiqua"/>
          <w:color w:val="000000"/>
        </w:rPr>
        <w:t>system</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32]</w:t>
      </w:r>
      <w:r w:rsidR="00D8132F">
        <w:rPr>
          <w:rFonts w:ascii="Book Antiqua" w:eastAsia="Book Antiqua" w:hAnsi="Book Antiqua" w:cs="Book Antiqua"/>
          <w:color w:val="000000"/>
        </w:rPr>
        <w:t xml:space="preserve">. GVs exist as 'low pressure, high volume' channels, and can bleed at lower portal pressures than </w:t>
      </w:r>
      <w:proofErr w:type="gramStart"/>
      <w:r w:rsidR="00D8132F">
        <w:rPr>
          <w:rFonts w:ascii="Book Antiqua" w:eastAsia="Book Antiqua" w:hAnsi="Book Antiqua" w:cs="Book Antiqua"/>
          <w:color w:val="000000"/>
        </w:rPr>
        <w:t>EVs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33,22]</w:t>
      </w:r>
      <w:r w:rsidR="00D8132F">
        <w:rPr>
          <w:rFonts w:ascii="Book Antiqua" w:eastAsia="Book Antiqua" w:hAnsi="Book Antiqua" w:cs="Book Antiqua"/>
          <w:color w:val="000000"/>
        </w:rPr>
        <w:t>. Between 10</w:t>
      </w:r>
      <w:r>
        <w:rPr>
          <w:rFonts w:ascii="Book Antiqua" w:eastAsia="Book Antiqua" w:hAnsi="Book Antiqua" w:cs="Book Antiqua"/>
          <w:color w:val="000000"/>
        </w:rPr>
        <w:t>%</w:t>
      </w:r>
      <w:r w:rsidR="00D8132F">
        <w:rPr>
          <w:rFonts w:ascii="Book Antiqua" w:eastAsia="Book Antiqua" w:hAnsi="Book Antiqua" w:cs="Book Antiqua"/>
          <w:color w:val="000000"/>
        </w:rPr>
        <w:t xml:space="preserve">-16% of </w:t>
      </w:r>
      <w:r>
        <w:rPr>
          <w:rFonts w:ascii="Book Antiqua" w:eastAsia="Book Antiqua" w:hAnsi="Book Antiqua" w:cs="Book Antiqua"/>
          <w:color w:val="000000"/>
        </w:rPr>
        <w:t>GV</w:t>
      </w:r>
      <w:r w:rsidR="00D8132F">
        <w:rPr>
          <w:rFonts w:ascii="Book Antiqua" w:eastAsia="Book Antiqua" w:hAnsi="Book Antiqua" w:cs="Book Antiqua"/>
          <w:color w:val="000000"/>
        </w:rPr>
        <w:t xml:space="preserve"> can bleed at PSPG &lt; 12 </w:t>
      </w:r>
      <w:proofErr w:type="gramStart"/>
      <w:r w:rsidR="00D8132F">
        <w:rPr>
          <w:rFonts w:ascii="Book Antiqua" w:eastAsia="Book Antiqua" w:hAnsi="Book Antiqua" w:cs="Book Antiqua"/>
          <w:color w:val="000000"/>
        </w:rPr>
        <w:t>mmHg</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33]</w:t>
      </w:r>
      <w:r w:rsidR="00D8132F">
        <w:rPr>
          <w:rFonts w:ascii="Book Antiqua" w:eastAsia="Book Antiqua" w:hAnsi="Book Antiqua" w:cs="Book Antiqua"/>
          <w:color w:val="000000"/>
        </w:rPr>
        <w:t>. Thus, the management of GV hemorrhage (GVH) requires a different therapeutic approach compared to EV.</w:t>
      </w:r>
    </w:p>
    <w:p w14:paraId="06319341" w14:textId="2862484E"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Recently, endosonographic coiling and glue have shown promising results in the management of </w:t>
      </w:r>
      <w:r w:rsidR="00A31FC1">
        <w:rPr>
          <w:rFonts w:ascii="Book Antiqua" w:eastAsia="Book Antiqua" w:hAnsi="Book Antiqua" w:cs="Book Antiqua"/>
          <w:color w:val="000000"/>
        </w:rPr>
        <w:t>GV</w:t>
      </w:r>
      <w:r>
        <w:rPr>
          <w:rFonts w:ascii="Book Antiqua" w:eastAsia="Book Antiqua" w:hAnsi="Book Antiqua" w:cs="Book Antiqua"/>
          <w:color w:val="000000"/>
        </w:rPr>
        <w:t xml:space="preserve"> but may not suffice for those associated with large portosystemic </w:t>
      </w:r>
      <w:proofErr w:type="gramStart"/>
      <w:r>
        <w:rPr>
          <w:rFonts w:ascii="Book Antiqua" w:eastAsia="Book Antiqua" w:hAnsi="Book Antiqua" w:cs="Book Antiqua"/>
          <w:color w:val="000000"/>
        </w:rPr>
        <w:lastRenderedPageBreak/>
        <w:t>shunts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Significantly more failure to control bleeding, early rebleeding, and recurrent bleeding were notable in GOV2 and IGV1 related bleeds, with mortality rates reaching up to 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For cases unresponsive to pharmacological and endoscopic management, percutaneous endovascular therapy is indicated. Although TIPS can establish initial hemostasis in up to 90% of cases of acute GVH, it has not proven to be as efficacious as in EV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22,33,35]</w:t>
      </w:r>
      <w:r>
        <w:rPr>
          <w:rFonts w:ascii="Book Antiqua" w:eastAsia="Book Antiqua" w:hAnsi="Book Antiqua" w:cs="Book Antiqua"/>
          <w:color w:val="000000"/>
        </w:rPr>
        <w:t>. Indeed, multiple studies have shown that GV can persist and rebleed (incidence of 25</w:t>
      </w:r>
      <w:r w:rsidR="000E7AF0">
        <w:rPr>
          <w:rFonts w:ascii="Book Antiqua" w:eastAsia="Book Antiqua" w:hAnsi="Book Antiqua" w:cs="Book Antiqua"/>
          <w:color w:val="000000"/>
        </w:rPr>
        <w:t>%</w:t>
      </w:r>
      <w:r>
        <w:rPr>
          <w:rFonts w:ascii="Book Antiqua" w:eastAsia="Book Antiqua" w:hAnsi="Book Antiqua" w:cs="Book Antiqua"/>
          <w:color w:val="000000"/>
        </w:rPr>
        <w:t xml:space="preserve">-30%) after successful TIPS </w:t>
      </w:r>
      <w:proofErr w:type="gramStart"/>
      <w:r>
        <w:rPr>
          <w:rFonts w:ascii="Book Antiqua" w:eastAsia="Book Antiqua" w:hAnsi="Book Antiqua" w:cs="Book Antiqua"/>
          <w:color w:val="000000"/>
        </w:rPr>
        <w:t>placement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Other explanations proposed for the suboptimal efficacy of TIPS in controlling GVH are the 'proximity,' 'throughput,' and 'recruitment' </w:t>
      </w:r>
      <w:proofErr w:type="gramStart"/>
      <w:r>
        <w:rPr>
          <w:rFonts w:ascii="Book Antiqua" w:eastAsia="Book Antiqua" w:hAnsi="Book Antiqua" w:cs="Book Antiqua"/>
          <w:color w:val="000000"/>
        </w:rPr>
        <w:t>theories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 The 'proximity theory' suggests that since GV (supplied more commonly by posterior and short gastric veins) are anatomically farther away from the TIPS shunt, they are less likely to be decompressed as compared to EV (supplied predominantly by left gastric vein). The 'throughput theory' states that large GRS associated with GV can compete with the TIPS stent and may lead to early TIPS dysfunction. The 'recruitment theory' describes the development of new feeders after the proximal embolization of a GV complex. These factors have led to the development of obliterative therapies, like balloon-occluded retrograde transvenous obliteration (B-RTO), in the management of GV. B-RTO and its other variants, like coil-assisted retrograde transvenous obliteration, plug-assisted retrograde transvenous obliteration, and balloon-assisted antegrade occlusion, have emerged as a popular method for treatment of GV. The goal of these therapies is to trap sclerosant within the gastric variceal complex by controlling both inflow and the outflow using balloon, coils, or plug. Since its introduction, multiple studies and meta-analyses have reported technical and clinical success rates over 95% for B-</w:t>
      </w:r>
      <w:proofErr w:type="gramStart"/>
      <w:r>
        <w:rPr>
          <w:rFonts w:ascii="Book Antiqua" w:eastAsia="Book Antiqua" w:hAnsi="Book Antiqua" w:cs="Book Antiqua"/>
          <w:color w:val="000000"/>
        </w:rPr>
        <w:t>RTO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Also, GV rebleed rates of patients who had undergone a successful B-RTO procedure range between 0-20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xml:space="preserve">. Notably, compared to TIPS, these shunt occlusion therapies divert blood towards the liver and have shown to preserve or improve the liver functions in the first 6-9 </w:t>
      </w:r>
      <w:proofErr w:type="gramStart"/>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sidR="00982B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36EADC96" w14:textId="1C8939A6"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Additionally, B-RTO is a proven therapy for patients with severe recurrent shunt-related </w:t>
      </w:r>
      <w:r w:rsidR="004664B9">
        <w:rPr>
          <w:rFonts w:ascii="Book Antiqua" w:eastAsia="Book Antiqua" w:hAnsi="Book Antiqua" w:cs="Book Antiqua"/>
          <w:color w:val="000000"/>
        </w:rPr>
        <w:t>HE</w:t>
      </w:r>
      <w:r>
        <w:rPr>
          <w:rFonts w:ascii="Book Antiqua" w:eastAsia="Book Antiqua" w:hAnsi="Book Antiqua" w:cs="Book Antiqua"/>
          <w:color w:val="000000"/>
        </w:rPr>
        <w:t xml:space="preserve">, unresponsive to medical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40,42]</w:t>
      </w:r>
      <w:r>
        <w:rPr>
          <w:rFonts w:ascii="Book Antiqua" w:eastAsia="Book Antiqua" w:hAnsi="Book Antiqua" w:cs="Book Antiqua"/>
          <w:color w:val="000000"/>
        </w:rPr>
        <w:t xml:space="preserve">. Thus, patients with spontaneous portosystemic shunts, who are at high risk of developing HE after TIPS can safely </w:t>
      </w:r>
      <w:r>
        <w:rPr>
          <w:rFonts w:ascii="Book Antiqua" w:eastAsia="Book Antiqua" w:hAnsi="Book Antiqua" w:cs="Book Antiqua"/>
          <w:color w:val="000000"/>
        </w:rPr>
        <w:lastRenderedPageBreak/>
        <w:t xml:space="preserve">undergo B-RTO. However, occlusion of GRS can also aggravate the PH. Long term follow-up of patients undergoing B-RTO revealed development or aggravation of esophageal and duodenal varices, ascites, hydrothorax, and </w:t>
      </w:r>
      <w:proofErr w:type="gramStart"/>
      <w:r w:rsidR="001228A4">
        <w:rPr>
          <w:rFonts w:ascii="Book Antiqua" w:eastAsia="Book Antiqua" w:hAnsi="Book Antiqua" w:cs="Book Antiqua"/>
          <w:color w:val="000000"/>
        </w:rPr>
        <w:t>PHG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Prospective studies and meta-analysis comparing TIPS and B-RTO in the management of GV have found that B-RTO is at least as efficacious as TIPS in controlling the acute bleeding with a trend towards a lower incidence of </w:t>
      </w:r>
      <w:proofErr w:type="gramStart"/>
      <w:r>
        <w:rPr>
          <w:rFonts w:ascii="Book Antiqua" w:eastAsia="Book Antiqua" w:hAnsi="Book Antiqua" w:cs="Book Antiqua"/>
          <w:color w:val="000000"/>
        </w:rPr>
        <w:t>rebleeding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43-46]</w:t>
      </w:r>
      <w:r>
        <w:rPr>
          <w:rFonts w:ascii="Book Antiqua" w:eastAsia="Book Antiqua" w:hAnsi="Book Antiqua" w:cs="Book Antiqua"/>
          <w:color w:val="000000"/>
        </w:rPr>
        <w:t>. Of note, B</w:t>
      </w:r>
      <w:r w:rsidR="00BB7C9C">
        <w:rPr>
          <w:rFonts w:ascii="Book Antiqua" w:eastAsia="Book Antiqua" w:hAnsi="Book Antiqua" w:cs="Book Antiqua"/>
          <w:color w:val="000000"/>
        </w:rPr>
        <w:t>-</w:t>
      </w:r>
      <w:r>
        <w:rPr>
          <w:rFonts w:ascii="Book Antiqua" w:eastAsia="Book Antiqua" w:hAnsi="Book Antiqua" w:cs="Book Antiqua"/>
          <w:color w:val="000000"/>
        </w:rPr>
        <w:t>RTO was associated with lower post</w:t>
      </w:r>
      <w:r w:rsidR="00024964">
        <w:rPr>
          <w:rFonts w:ascii="Book Antiqua" w:eastAsia="Book Antiqua" w:hAnsi="Book Antiqua" w:cs="Book Antiqua"/>
          <w:color w:val="000000"/>
        </w:rPr>
        <w:t xml:space="preserve"> </w:t>
      </w:r>
      <w:r>
        <w:rPr>
          <w:rFonts w:ascii="Book Antiqua" w:eastAsia="Book Antiqua" w:hAnsi="Book Antiqua" w:cs="Book Antiqua"/>
          <w:color w:val="000000"/>
        </w:rPr>
        <w:t>procedure HE and mortality at one year. More recently, a combination of TIPS and B-RTO (</w:t>
      </w:r>
      <w:r w:rsidRPr="00657162">
        <w:rPr>
          <w:rFonts w:ascii="Book Antiqua" w:eastAsia="Book Antiqua" w:hAnsi="Book Antiqua" w:cs="Book Antiqua"/>
          <w:color w:val="000000"/>
        </w:rPr>
        <w:t>Figure 2)</w:t>
      </w:r>
      <w:r>
        <w:rPr>
          <w:rFonts w:ascii="Book Antiqua" w:eastAsia="Book Antiqua" w:hAnsi="Book Antiqua" w:cs="Book Antiqua"/>
          <w:color w:val="000000"/>
        </w:rPr>
        <w:t xml:space="preserve"> has been utilized for the management of </w:t>
      </w:r>
      <w:proofErr w:type="gramStart"/>
      <w:r>
        <w:rPr>
          <w:rFonts w:ascii="Book Antiqua" w:eastAsia="Book Antiqua" w:hAnsi="Book Antiqua" w:cs="Book Antiqua"/>
          <w:color w:val="000000"/>
        </w:rPr>
        <w:t>GV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Since the obliteration of GRS can lead to worsening of PH, simultaneous or staged placement of TIPS could ameliorate the associated symptoms. The combined procedure can also reduce the risk of development of HE since GRS are often larger in diameter and have higher flow rates compared to TIPS.</w:t>
      </w:r>
    </w:p>
    <w:p w14:paraId="6B1D3444" w14:textId="77777777"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Moreover, occluding a competing GRS (shunt steal phenomenon) may decrease the risk of TIPS dysfunction in the long run. Typically, TIPS is performed first, and a splenoportal venogram is obtained. The GRS is cannulated retrogradely, and suitable sized coils or vascular plug deployed. The inflow vein is then occluded with a balloon and sclerosant injected into the variceal complex to achieve complete obliteration. Conversely, doing B-RTO first may make TIPS less technically challenging in cases where the portal vein is severely attenuated due to the siphoning of blood away from the liver by the large GRS. These tiny portal veins can be difficult to target during TIPS. Following B-RTO, due to the diversion of blood towards the liver, portal vein caliber may improve, making it easier to access. A proposed algorithm for the management of GVH is shown in </w:t>
      </w:r>
      <w:r w:rsidRPr="00657162">
        <w:rPr>
          <w:rFonts w:ascii="Book Antiqua" w:eastAsia="Book Antiqua" w:hAnsi="Book Antiqua" w:cs="Book Antiqua"/>
          <w:color w:val="000000"/>
        </w:rPr>
        <w:t>Figure 3</w:t>
      </w:r>
      <w:r>
        <w:rPr>
          <w:rFonts w:ascii="Book Antiqua" w:eastAsia="Book Antiqua" w:hAnsi="Book Antiqua" w:cs="Book Antiqua"/>
          <w:color w:val="000000"/>
        </w:rPr>
        <w:t>.</w:t>
      </w:r>
    </w:p>
    <w:p w14:paraId="5A6B035F" w14:textId="77777777" w:rsidR="00A77B3E" w:rsidRDefault="00A77B3E">
      <w:pPr>
        <w:spacing w:line="360" w:lineRule="auto"/>
        <w:jc w:val="both"/>
      </w:pPr>
    </w:p>
    <w:p w14:paraId="3715547D" w14:textId="77777777" w:rsidR="00A77B3E" w:rsidRPr="000E7AF0" w:rsidRDefault="00D8132F">
      <w:pPr>
        <w:spacing w:line="360" w:lineRule="auto"/>
        <w:jc w:val="both"/>
        <w:rPr>
          <w:i/>
          <w:iCs/>
        </w:rPr>
      </w:pPr>
      <w:r w:rsidRPr="000E7AF0">
        <w:rPr>
          <w:rFonts w:ascii="Book Antiqua" w:eastAsia="Book Antiqua" w:hAnsi="Book Antiqua" w:cs="Book Antiqua"/>
          <w:b/>
          <w:bCs/>
          <w:i/>
          <w:iCs/>
          <w:color w:val="000000"/>
        </w:rPr>
        <w:t>Ectopic varices</w:t>
      </w:r>
    </w:p>
    <w:p w14:paraId="4C712BF6" w14:textId="03E26E0D" w:rsidR="00A77B3E" w:rsidRDefault="00D8132F">
      <w:pPr>
        <w:spacing w:line="360" w:lineRule="auto"/>
        <w:jc w:val="both"/>
      </w:pPr>
      <w:r>
        <w:rPr>
          <w:rFonts w:ascii="Book Antiqua" w:eastAsia="Book Antiqua" w:hAnsi="Book Antiqua" w:cs="Book Antiqua"/>
          <w:color w:val="000000"/>
        </w:rPr>
        <w:t xml:space="preserve">The term ectopic varices are used to describe portosystemic collaterals located at sites other than the gastroesophageal region. Stomal varices are the most common, followed by small bowel (predominantly duodenum), </w:t>
      </w:r>
      <w:r w:rsidR="00024964">
        <w:rPr>
          <w:rFonts w:ascii="Book Antiqua" w:eastAsia="Book Antiqua" w:hAnsi="Book Antiqua" w:cs="Book Antiqua"/>
          <w:color w:val="000000"/>
        </w:rPr>
        <w:t>colon, rectum</w:t>
      </w:r>
      <w:r>
        <w:rPr>
          <w:rFonts w:ascii="Book Antiqua" w:eastAsia="Book Antiqua" w:hAnsi="Book Antiqua" w:cs="Book Antiqua"/>
          <w:color w:val="000000"/>
        </w:rPr>
        <w:t xml:space="preserve">, and peritoneum. Rare sites include the biliary tree, umbilicus, and pelvic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Bleeding from ectopic varices </w:t>
      </w:r>
      <w:r>
        <w:rPr>
          <w:rFonts w:ascii="Book Antiqua" w:eastAsia="Book Antiqua" w:hAnsi="Book Antiqua" w:cs="Book Antiqua"/>
          <w:color w:val="000000"/>
        </w:rPr>
        <w:lastRenderedPageBreak/>
        <w:t>represents an uncommon but challenging clinical problem. The prevalence ranges between 1</w:t>
      </w:r>
      <w:r w:rsidR="000E7AF0">
        <w:rPr>
          <w:rFonts w:ascii="Book Antiqua" w:eastAsia="Book Antiqua" w:hAnsi="Book Antiqua" w:cs="Book Antiqua"/>
          <w:color w:val="000000"/>
        </w:rPr>
        <w:t>%</w:t>
      </w:r>
      <w:r>
        <w:rPr>
          <w:rFonts w:ascii="Book Antiqua" w:eastAsia="Book Antiqua" w:hAnsi="Book Antiqua" w:cs="Book Antiqua"/>
          <w:color w:val="000000"/>
        </w:rPr>
        <w:t xml:space="preserve">-5% of all variceal bleeds with a higher prevalence (up to 40%) seen in patients with extrahepatic PH and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Postoperative adhesions and the creation of an enterostomy can facilitate the formation of portosystemic collaterals. Depending on the location of varices, clinical presentation, and available local expertise, the management of bleeding ectopic varices can differ. After initial resuscitation and pharmacological treatment, the treatment options include endoscopic management, percutaneous variceal embolization, TIPS, or surgical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Endoscopic therapy is often not feasible or successful due to an inaccessible location. Percutaneous variceal embolization using balloon-occluded sclerotherapy, coils, glue, gel foam, thrombin, or a combination of these is an effective short-term therapy for bleeding ectopic varices. However, it fails to decompress the portal venous system resulting in high 1-year rebleeding rates. Surgical treatment options such as local suturing, segmental bowel resection, devascularisation procedures, or stomal revision are associated with a high risk of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TIPS has shown excellent results in achieving initial hemostasis and reducing the incidence of recurrent bleeds. However, the available evidence is limited to case reports, small case series, and related </w:t>
      </w:r>
      <w:proofErr w:type="gramStart"/>
      <w:r>
        <w:rPr>
          <w:rFonts w:ascii="Book Antiqua" w:eastAsia="Book Antiqua" w:hAnsi="Book Antiqua" w:cs="Book Antiqua"/>
          <w:color w:val="000000"/>
        </w:rPr>
        <w:t>reviews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50-54]</w:t>
      </w:r>
      <w:r>
        <w:rPr>
          <w:rFonts w:ascii="Book Antiqua" w:eastAsia="Book Antiqua" w:hAnsi="Book Antiqua" w:cs="Book Antiqua"/>
          <w:color w:val="000000"/>
        </w:rPr>
        <w:t xml:space="preserve">. A recent multicentre cohort study showed that TIPS was particularly effective in patients with less severe liver disease and those with stomal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Contrarily, the rebleeding risk in patients with duodenal varices was surprisingly high. Rebleeding in 75% of patients was associated with TIPS stent dysfunction. Multiple studies have shown that patients with ectopic varices can rebleed after TIPS despite the achievement of hemodynamic target and stent </w:t>
      </w:r>
      <w:proofErr w:type="gramStart"/>
      <w:r>
        <w:rPr>
          <w:rFonts w:ascii="Book Antiqua" w:eastAsia="Book Antiqua" w:hAnsi="Book Antiqua" w:cs="Book Antiqua"/>
          <w:color w:val="000000"/>
        </w:rPr>
        <w:t>patency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xml:space="preserve">. Notably, the overall risk of rebleeding after TIPS in patients with ectopic varices was significantly higher than in patients with gastroesophageal variceal bleeding (23% </w:t>
      </w:r>
      <w:r>
        <w:rPr>
          <w:rFonts w:ascii="Book Antiqua" w:eastAsia="Book Antiqua" w:hAnsi="Book Antiqua" w:cs="Book Antiqua"/>
          <w:i/>
          <w:iCs/>
          <w:color w:val="000000"/>
        </w:rPr>
        <w:t xml:space="preserve">vs </w:t>
      </w:r>
      <w:r>
        <w:rPr>
          <w:rFonts w:ascii="Book Antiqua" w:eastAsia="Book Antiqua" w:hAnsi="Book Antiqua" w:cs="Book Antiqua"/>
          <w:color w:val="000000"/>
        </w:rPr>
        <w:t>0-6%, respectively, at 1</w:t>
      </w:r>
      <w:r w:rsidR="000E7AF0">
        <w:rPr>
          <w:rFonts w:ascii="Book Antiqua" w:eastAsia="Book Antiqua" w:hAnsi="Book Antiqua" w:cs="Book Antiqua"/>
          <w:color w:val="000000"/>
        </w:rPr>
        <w:t xml:space="preserve"> </w:t>
      </w:r>
      <w:r>
        <w:rPr>
          <w:rFonts w:ascii="Book Antiqua" w:eastAsia="Book Antiqua" w:hAnsi="Book Antiqua" w:cs="Book Antiqua"/>
          <w:color w:val="000000"/>
        </w:rPr>
        <w:t>year</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This discrepancy can be explained by the anatomical differences between varices at these two sites. It has been suggested that unlike gastroesophageal varices, ectopic varices are true veins and are likely to have larger diameters resulting in greater wall tension resulting in higher rates of bleeding</w:t>
      </w:r>
      <w:r>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w:t>
      </w:r>
    </w:p>
    <w:p w14:paraId="2CB05F0D" w14:textId="45F8A269" w:rsidR="00A77B3E" w:rsidRDefault="00D8132F" w:rsidP="00657162">
      <w:pPr>
        <w:spacing w:line="360" w:lineRule="auto"/>
        <w:ind w:firstLineChars="100" w:firstLine="240"/>
        <w:jc w:val="both"/>
      </w:pPr>
      <w:r>
        <w:rPr>
          <w:rFonts w:ascii="Book Antiqua" w:eastAsia="Book Antiqua" w:hAnsi="Book Antiqua" w:cs="Book Antiqua"/>
          <w:color w:val="000000"/>
        </w:rPr>
        <w:lastRenderedPageBreak/>
        <w:t>Based on this, few authors recommend concomitant embolization of variceal complex during TIPS (</w:t>
      </w:r>
      <w:r w:rsidRPr="00657162">
        <w:rPr>
          <w:rFonts w:ascii="Book Antiqua" w:eastAsia="Book Antiqua" w:hAnsi="Book Antiqua" w:cs="Book Antiqua"/>
          <w:color w:val="000000"/>
        </w:rPr>
        <w:t>Figure 4</w:t>
      </w:r>
      <w:r w:rsidRPr="000E7AF0">
        <w:rPr>
          <w:rFonts w:ascii="Book Antiqua" w:eastAsia="Book Antiqua" w:hAnsi="Book Antiqua" w:cs="Book Antiqua"/>
          <w:color w:val="000000"/>
        </w:rPr>
        <w:t>)</w:t>
      </w:r>
      <w:r>
        <w:rPr>
          <w:rFonts w:ascii="Book Antiqua" w:eastAsia="Book Antiqua" w:hAnsi="Book Antiqua" w:cs="Book Antiqua"/>
          <w:color w:val="000000"/>
        </w:rPr>
        <w:t xml:space="preserve">. In the series by Vangeli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7AF0">
        <w:rPr>
          <w:rFonts w:ascii="Book Antiqua" w:eastAsia="Book Antiqua" w:hAnsi="Book Antiqua" w:cs="Book Antiqua"/>
          <w:color w:val="000000"/>
          <w:szCs w:val="30"/>
          <w:vertAlign w:val="superscript"/>
        </w:rPr>
        <w:t>[</w:t>
      </w:r>
      <w:proofErr w:type="gramEnd"/>
      <w:r w:rsidR="000E7AF0">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rebleeding was more commonly seen in those who had TIPS alone compared to those who had concomitant variceal embolization. Furthermore, they also found that the rebleeding in the majority of patients responded to subsequent variceal embolization. However, multiple other studies have reported contradictory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52-54]</w:t>
      </w:r>
      <w:r>
        <w:rPr>
          <w:rFonts w:ascii="Book Antiqua" w:eastAsia="Book Antiqua" w:hAnsi="Book Antiqua" w:cs="Book Antiqua"/>
          <w:color w:val="000000"/>
        </w:rPr>
        <w:t xml:space="preserve">. Technically, </w:t>
      </w:r>
      <w:r w:rsidR="000E7AF0">
        <w:rPr>
          <w:rFonts w:ascii="Book Antiqua" w:eastAsia="Book Antiqua" w:hAnsi="Book Antiqua" w:cs="Book Antiqua"/>
          <w:color w:val="000000"/>
        </w:rPr>
        <w:t>variceal embolization</w:t>
      </w:r>
      <w:r>
        <w:rPr>
          <w:rFonts w:ascii="Book Antiqua" w:eastAsia="Book Antiqua" w:hAnsi="Book Antiqua" w:cs="Book Antiqua"/>
          <w:color w:val="000000"/>
        </w:rPr>
        <w:t xml:space="preserve"> in this setting can be difficult since ectopic varices are frequently multiple, tortuous, and complex, and access to them may be challenging. Even when accessible, complete obliteration of ectopic varices may not be possible because of the presence of other communications with the systemic or mesenteric venous system.</w:t>
      </w:r>
    </w:p>
    <w:p w14:paraId="053B31AB" w14:textId="0FFFAE2C"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Moreover, </w:t>
      </w:r>
      <w:r w:rsidR="000E7AF0">
        <w:rPr>
          <w:rFonts w:ascii="Book Antiqua" w:eastAsia="Book Antiqua" w:hAnsi="Book Antiqua" w:cs="Book Antiqua"/>
          <w:color w:val="000000"/>
        </w:rPr>
        <w:t>variceal embolization</w:t>
      </w:r>
      <w:r>
        <w:rPr>
          <w:rFonts w:ascii="Book Antiqua" w:eastAsia="Book Antiqua" w:hAnsi="Book Antiqua" w:cs="Book Antiqua"/>
          <w:color w:val="000000"/>
        </w:rPr>
        <w:t xml:space="preserve"> has the risk of inherent complications, such as propagative thrombus or paradoxical systemic embolization. Although a recent meta-analysis showed a trend favoring variceal embolization along with TIPS for ectopic variceal bleeding, the evidence is insufficient to recommend the same </w:t>
      </w:r>
      <w:proofErr w:type="gramStart"/>
      <w:r>
        <w:rPr>
          <w:rFonts w:ascii="Book Antiqua" w:eastAsia="Book Antiqua" w:hAnsi="Book Antiqua" w:cs="Book Antiqua"/>
          <w:color w:val="000000"/>
        </w:rPr>
        <w:t>routinely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However, when the target PSPG could not be achieved after TIPS stent placement and in whom the ectopic varices continue to be opacified on completion splenoportogram, concomitant </w:t>
      </w:r>
      <w:r w:rsidR="000E7AF0">
        <w:rPr>
          <w:rFonts w:ascii="Book Antiqua" w:eastAsia="Book Antiqua" w:hAnsi="Book Antiqua" w:cs="Book Antiqua"/>
          <w:color w:val="000000"/>
        </w:rPr>
        <w:t>variceal embolization</w:t>
      </w:r>
      <w:r>
        <w:rPr>
          <w:rFonts w:ascii="Book Antiqua" w:eastAsia="Book Antiqua" w:hAnsi="Book Antiqua" w:cs="Book Antiqua"/>
          <w:color w:val="000000"/>
        </w:rPr>
        <w:t xml:space="preserve"> may be appropriate. Variceal embolization alone can be offered to patients in whom TIPS is contraindicated due to advanced cirrhosis or overt HE (</w:t>
      </w:r>
      <w:r w:rsidRPr="00657162">
        <w:rPr>
          <w:rFonts w:ascii="Book Antiqua" w:eastAsia="Book Antiqua" w:hAnsi="Book Antiqua" w:cs="Book Antiqua"/>
          <w:color w:val="000000"/>
        </w:rPr>
        <w:t>Figure 5</w:t>
      </w:r>
      <w:r>
        <w:rPr>
          <w:rFonts w:ascii="Book Antiqua" w:eastAsia="Book Antiqua" w:hAnsi="Book Antiqua" w:cs="Book Antiqua"/>
          <w:color w:val="000000"/>
        </w:rPr>
        <w:t>).</w:t>
      </w:r>
    </w:p>
    <w:p w14:paraId="4AED2C96" w14:textId="77777777" w:rsidR="00A77B3E" w:rsidRDefault="00A77B3E">
      <w:pPr>
        <w:spacing w:line="360" w:lineRule="auto"/>
        <w:jc w:val="both"/>
      </w:pPr>
    </w:p>
    <w:p w14:paraId="07D44A91" w14:textId="7310E231" w:rsidR="00A77B3E" w:rsidRDefault="001228A4">
      <w:pPr>
        <w:spacing w:line="360" w:lineRule="auto"/>
        <w:jc w:val="both"/>
      </w:pPr>
      <w:r>
        <w:rPr>
          <w:rFonts w:ascii="Book Antiqua" w:eastAsia="Book Antiqua" w:hAnsi="Book Antiqua" w:cs="Book Antiqua"/>
          <w:b/>
          <w:bCs/>
          <w:color w:val="000000"/>
          <w:u w:val="single"/>
        </w:rPr>
        <w:t>PHG</w:t>
      </w:r>
    </w:p>
    <w:p w14:paraId="28138708" w14:textId="11872EAF" w:rsidR="00A77B3E" w:rsidRDefault="001228A4">
      <w:pPr>
        <w:spacing w:line="360" w:lineRule="auto"/>
        <w:jc w:val="both"/>
      </w:pPr>
      <w:r>
        <w:rPr>
          <w:rFonts w:ascii="Book Antiqua" w:eastAsia="Book Antiqua" w:hAnsi="Book Antiqua" w:cs="Book Antiqua"/>
          <w:color w:val="000000"/>
        </w:rPr>
        <w:t>PHG</w:t>
      </w:r>
      <w:r w:rsidR="00D8132F">
        <w:rPr>
          <w:rFonts w:ascii="Book Antiqua" w:eastAsia="Book Antiqua" w:hAnsi="Book Antiqua" w:cs="Book Antiqua"/>
          <w:color w:val="000000"/>
        </w:rPr>
        <w:t xml:space="preserve"> is characterized by vascular ectasia, which appears as a mosaic-like pattern of gastric mucosa on </w:t>
      </w:r>
      <w:proofErr w:type="gramStart"/>
      <w:r w:rsidR="00D8132F">
        <w:rPr>
          <w:rFonts w:ascii="Book Antiqua" w:eastAsia="Book Antiqua" w:hAnsi="Book Antiqua" w:cs="Book Antiqua"/>
          <w:color w:val="000000"/>
        </w:rPr>
        <w:t>endoscopy</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58,59]</w:t>
      </w:r>
      <w:r w:rsidR="00D8132F">
        <w:rPr>
          <w:rFonts w:ascii="Book Antiqua" w:eastAsia="Book Antiqua" w:hAnsi="Book Antiqua" w:cs="Book Antiqua"/>
          <w:color w:val="000000"/>
        </w:rPr>
        <w:t>. The reported prevalence of PHG ranges from 20</w:t>
      </w:r>
      <w:r w:rsidR="00517095">
        <w:rPr>
          <w:rFonts w:ascii="Book Antiqua" w:eastAsia="Book Antiqua" w:hAnsi="Book Antiqua" w:cs="Book Antiqua"/>
          <w:color w:val="000000"/>
        </w:rPr>
        <w:t>%</w:t>
      </w:r>
      <w:r w:rsidR="00D8132F">
        <w:rPr>
          <w:rFonts w:ascii="Book Antiqua" w:eastAsia="Book Antiqua" w:hAnsi="Book Antiqua" w:cs="Book Antiqua"/>
          <w:color w:val="000000"/>
        </w:rPr>
        <w:t xml:space="preserve">-98% in patients with known </w:t>
      </w:r>
      <w:proofErr w:type="gramStart"/>
      <w:r w:rsidR="00D8132F">
        <w:rPr>
          <w:rFonts w:ascii="Book Antiqua" w:eastAsia="Book Antiqua" w:hAnsi="Book Antiqua" w:cs="Book Antiqua"/>
          <w:color w:val="000000"/>
        </w:rPr>
        <w:t>cirrhosis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59-62]</w:t>
      </w:r>
      <w:r w:rsidR="00D8132F">
        <w:rPr>
          <w:rFonts w:ascii="Book Antiqua" w:eastAsia="Book Antiqua" w:hAnsi="Book Antiqua" w:cs="Book Antiqua"/>
          <w:color w:val="000000"/>
        </w:rPr>
        <w:t>. Studies have shown an increased prevalence in patients with high CTP scores, EV, or history of treatment for EV (sclerotherapy or ligation</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60,61]</w:t>
      </w:r>
      <w:r w:rsidR="00D8132F">
        <w:rPr>
          <w:rFonts w:ascii="Book Antiqua" w:eastAsia="Book Antiqua" w:hAnsi="Book Antiqua" w:cs="Book Antiqua"/>
          <w:color w:val="000000"/>
        </w:rPr>
        <w:t xml:space="preserve">. PHG is thought to be a direct consequence of passive congestion induced by increased portal pressure because it does not develop in the absence of established PH. A direct correlation between portal pressure values and severity of PHG remains to be </w:t>
      </w:r>
      <w:proofErr w:type="gramStart"/>
      <w:r w:rsidR="00D8132F">
        <w:rPr>
          <w:rFonts w:ascii="Book Antiqua" w:eastAsia="Book Antiqua" w:hAnsi="Book Antiqua" w:cs="Book Antiqua"/>
          <w:color w:val="000000"/>
        </w:rPr>
        <w:t>demonstrated</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63,64]</w:t>
      </w:r>
      <w:r w:rsidR="00D8132F">
        <w:rPr>
          <w:rFonts w:ascii="Book Antiqua" w:eastAsia="Book Antiqua" w:hAnsi="Book Antiqua" w:cs="Book Antiqua"/>
          <w:color w:val="000000"/>
        </w:rPr>
        <w:t>. The incidence of acute PHG related bleeding varies between 2</w:t>
      </w:r>
      <w:r w:rsidR="00517095">
        <w:rPr>
          <w:rFonts w:ascii="Book Antiqua" w:eastAsia="Book Antiqua" w:hAnsi="Book Antiqua" w:cs="Book Antiqua"/>
          <w:color w:val="000000"/>
        </w:rPr>
        <w:t>%</w:t>
      </w:r>
      <w:r w:rsidR="00D8132F">
        <w:rPr>
          <w:rFonts w:ascii="Book Antiqua" w:eastAsia="Book Antiqua" w:hAnsi="Book Antiqua" w:cs="Book Antiqua"/>
          <w:color w:val="000000"/>
        </w:rPr>
        <w:t>-</w:t>
      </w:r>
      <w:r w:rsidR="00D8132F">
        <w:rPr>
          <w:rFonts w:ascii="Book Antiqua" w:eastAsia="Book Antiqua" w:hAnsi="Book Antiqua" w:cs="Book Antiqua"/>
          <w:color w:val="000000"/>
        </w:rPr>
        <w:lastRenderedPageBreak/>
        <w:t>12</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60,61]</w:t>
      </w:r>
      <w:r w:rsidR="00D8132F">
        <w:rPr>
          <w:rFonts w:ascii="Book Antiqua" w:eastAsia="Book Antiqua" w:hAnsi="Book Antiqua" w:cs="Book Antiqua"/>
          <w:color w:val="000000"/>
        </w:rPr>
        <w:t xml:space="preserve">. </w:t>
      </w:r>
      <w:r w:rsidR="0075034A">
        <w:rPr>
          <w:rFonts w:ascii="Book Antiqua" w:eastAsia="Book Antiqua" w:hAnsi="Book Antiqua" w:cs="Book Antiqua"/>
          <w:color w:val="000000"/>
        </w:rPr>
        <w:t>NSBB</w:t>
      </w:r>
      <w:r w:rsidR="00D8132F">
        <w:rPr>
          <w:rFonts w:ascii="Book Antiqua" w:eastAsia="Book Antiqua" w:hAnsi="Book Antiqua" w:cs="Book Antiqua"/>
          <w:color w:val="000000"/>
        </w:rPr>
        <w:t>, octreotide, and terlipressin are effective in the initial treatment of PHG with reported rates of hemostasis between 93</w:t>
      </w:r>
      <w:r w:rsidR="00517095">
        <w:rPr>
          <w:rFonts w:ascii="Book Antiqua" w:eastAsia="Book Antiqua" w:hAnsi="Book Antiqua" w:cs="Book Antiqua"/>
          <w:color w:val="000000"/>
        </w:rPr>
        <w:t>%</w:t>
      </w:r>
      <w:r w:rsidR="00D8132F">
        <w:rPr>
          <w:rFonts w:ascii="Book Antiqua" w:eastAsia="Book Antiqua" w:hAnsi="Book Antiqua" w:cs="Book Antiqua"/>
          <w:color w:val="000000"/>
        </w:rPr>
        <w:t>-100</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65,66]</w:t>
      </w:r>
      <w:r w:rsidR="00D8132F">
        <w:rPr>
          <w:rFonts w:ascii="Book Antiqua" w:eastAsia="Book Antiqua" w:hAnsi="Book Antiqua" w:cs="Book Antiqua"/>
          <w:color w:val="000000"/>
        </w:rPr>
        <w:t xml:space="preserve">. Endoscopic argon plasma coagulation, sclerotherapy, and coagulation therapy with the heater probe may be considered with focal bleeding. Antioxidants like vitamin E, thalidomide, and prednisolone have also been used to treat acute PHG bleeding, with anecdotal success in case </w:t>
      </w:r>
      <w:proofErr w:type="gramStart"/>
      <w:r w:rsidR="00D8132F">
        <w:rPr>
          <w:rFonts w:ascii="Book Antiqua" w:eastAsia="Book Antiqua" w:hAnsi="Book Antiqua" w:cs="Book Antiqua"/>
          <w:color w:val="000000"/>
        </w:rPr>
        <w:t>reports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67,68]</w:t>
      </w:r>
      <w:r w:rsidR="00D8132F">
        <w:rPr>
          <w:rFonts w:ascii="Book Antiqua" w:eastAsia="Book Antiqua" w:hAnsi="Book Antiqua" w:cs="Book Antiqua"/>
          <w:color w:val="000000"/>
        </w:rPr>
        <w:t>. After the resolution of the episode of acute bleeding, </w:t>
      </w:r>
      <w:r w:rsidR="00024964">
        <w:rPr>
          <w:rFonts w:ascii="Book Antiqua" w:eastAsia="Book Antiqua" w:hAnsi="Book Antiqua" w:cs="Book Antiqua"/>
          <w:color w:val="000000"/>
        </w:rPr>
        <w:t>propranolol</w:t>
      </w:r>
      <w:r w:rsidR="00D8132F">
        <w:rPr>
          <w:rFonts w:ascii="Book Antiqua" w:eastAsia="Book Antiqua" w:hAnsi="Book Antiqua" w:cs="Book Antiqua"/>
          <w:color w:val="000000"/>
        </w:rPr>
        <w:t xml:space="preserve"> should be initiated as secondary prophylaxis. The published evidence for TIPS in the management of PHG is limited to a few case </w:t>
      </w:r>
      <w:proofErr w:type="gramStart"/>
      <w:r w:rsidR="00D8132F">
        <w:rPr>
          <w:rFonts w:ascii="Book Antiqua" w:eastAsia="Book Antiqua" w:hAnsi="Book Antiqua" w:cs="Book Antiqua"/>
          <w:color w:val="000000"/>
        </w:rPr>
        <w:t>reports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69-71]</w:t>
      </w:r>
      <w:r w:rsidR="00D8132F">
        <w:rPr>
          <w:rFonts w:ascii="Book Antiqua" w:eastAsia="Book Antiqua" w:hAnsi="Book Antiqua" w:cs="Book Antiqua"/>
          <w:color w:val="000000"/>
        </w:rPr>
        <w:t xml:space="preserve">. Current evidence suggests that TIPS reduces the severity of PHG, ameliorates mucosal lesions, and could be considered in patients with transfusion-dependent PHG when pharmacological measures and endoscopic interventions fail. It is important to differentiate PHG from gastric antral vascular ectasia (GAVE) as the latter can be seen in patients with and without PH or cirrhosis. GAVE has a characteristic endoscopic appearance but can co-exist with </w:t>
      </w:r>
      <w:proofErr w:type="gramStart"/>
      <w:r w:rsidR="00D8132F">
        <w:rPr>
          <w:rFonts w:ascii="Book Antiqua" w:eastAsia="Book Antiqua" w:hAnsi="Book Antiqua" w:cs="Book Antiqua"/>
          <w:color w:val="000000"/>
        </w:rPr>
        <w:t>PHG</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72,73]</w:t>
      </w:r>
      <w:r w:rsidR="00D8132F">
        <w:rPr>
          <w:rFonts w:ascii="Book Antiqua" w:eastAsia="Book Antiqua" w:hAnsi="Book Antiqua" w:cs="Book Antiqua"/>
          <w:color w:val="000000"/>
        </w:rPr>
        <w:t>. TIPS does not have a role in the management of bleeding solely from GAVE.</w:t>
      </w:r>
    </w:p>
    <w:p w14:paraId="103015A7" w14:textId="77777777" w:rsidR="00A77B3E" w:rsidRDefault="00A77B3E">
      <w:pPr>
        <w:spacing w:line="360" w:lineRule="auto"/>
        <w:jc w:val="both"/>
      </w:pPr>
    </w:p>
    <w:p w14:paraId="1FBB4FAF" w14:textId="77B1ED0B" w:rsidR="00A77B3E" w:rsidRDefault="003D073F">
      <w:pPr>
        <w:spacing w:line="360" w:lineRule="auto"/>
        <w:jc w:val="both"/>
      </w:pPr>
      <w:r>
        <w:rPr>
          <w:rFonts w:ascii="Book Antiqua" w:eastAsia="Book Antiqua" w:hAnsi="Book Antiqua" w:cs="Book Antiqua"/>
          <w:b/>
          <w:bCs/>
          <w:color w:val="000000"/>
          <w:u w:val="single"/>
        </w:rPr>
        <w:t>ASCITES</w:t>
      </w:r>
    </w:p>
    <w:p w14:paraId="6FEC9FE6" w14:textId="0A169C3C" w:rsidR="00A77B3E" w:rsidRDefault="00D8132F">
      <w:pPr>
        <w:spacing w:line="360" w:lineRule="auto"/>
        <w:jc w:val="both"/>
      </w:pPr>
      <w:r>
        <w:rPr>
          <w:rFonts w:ascii="Book Antiqua" w:eastAsia="Book Antiqua" w:hAnsi="Book Antiqua" w:cs="Book Antiqua"/>
          <w:color w:val="000000"/>
        </w:rPr>
        <w:t xml:space="preserve">Ascites is the most common complication of PH in cirrhosis, with approximately 60% of compensated cirrhosis patients developing the condition within ten years of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The </w:t>
      </w:r>
      <w:r w:rsidR="00517095">
        <w:rPr>
          <w:rFonts w:ascii="Book Antiqua" w:eastAsia="Book Antiqua" w:hAnsi="Book Antiqua" w:cs="Book Antiqua"/>
          <w:color w:val="000000"/>
        </w:rPr>
        <w:t>5</w:t>
      </w:r>
      <w:r>
        <w:rPr>
          <w:rFonts w:ascii="Book Antiqua" w:eastAsia="Book Antiqua" w:hAnsi="Book Antiqua" w:cs="Book Antiqua"/>
          <w:color w:val="000000"/>
        </w:rPr>
        <w:t xml:space="preserve">-year survival is approximately 30% in patients with decompensated cirrhosis and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Moreover, ascites </w:t>
      </w:r>
      <w:r w:rsidR="00024964">
        <w:rPr>
          <w:rFonts w:ascii="Book Antiqua" w:eastAsia="Book Antiqua" w:hAnsi="Book Antiqua" w:cs="Book Antiqua"/>
          <w:color w:val="000000"/>
        </w:rPr>
        <w:t>is</w:t>
      </w:r>
      <w:r>
        <w:rPr>
          <w:rFonts w:ascii="Book Antiqua" w:eastAsia="Book Antiqua" w:hAnsi="Book Antiqua" w:cs="Book Antiqua"/>
          <w:color w:val="000000"/>
        </w:rPr>
        <w:t xml:space="preserve"> a direct cause of further complications, such as </w:t>
      </w:r>
      <w:r w:rsidR="00517095">
        <w:rPr>
          <w:rFonts w:ascii="Book Antiqua" w:eastAsia="Book Antiqua" w:hAnsi="Book Antiqua" w:cs="Book Antiqua"/>
          <w:color w:val="000000"/>
        </w:rPr>
        <w:t>s</w:t>
      </w:r>
      <w:r w:rsidR="00517095" w:rsidRPr="00517095">
        <w:rPr>
          <w:rFonts w:ascii="Book Antiqua" w:eastAsia="Book Antiqua" w:hAnsi="Book Antiqua" w:cs="Book Antiqua"/>
          <w:color w:val="000000"/>
        </w:rPr>
        <w:t>pontaneous bacterial peritonitis</w:t>
      </w:r>
      <w:r>
        <w:rPr>
          <w:rFonts w:ascii="Book Antiqua" w:eastAsia="Book Antiqua" w:hAnsi="Book Antiqua" w:cs="Book Antiqua"/>
          <w:color w:val="000000"/>
        </w:rPr>
        <w:t>, hyponatremia, and HRS. For patients developing grade 3 ascites, large-volume paracentesis (LVP) with intravenous albumin (8</w:t>
      </w:r>
      <w:r w:rsidR="00517095">
        <w:rPr>
          <w:rFonts w:ascii="Book Antiqua" w:eastAsia="Book Antiqua" w:hAnsi="Book Antiqua" w:cs="Book Antiqua"/>
          <w:color w:val="000000"/>
        </w:rPr>
        <w:t xml:space="preserve"> </w:t>
      </w:r>
      <w:r>
        <w:rPr>
          <w:rFonts w:ascii="Book Antiqua" w:eastAsia="Book Antiqua" w:hAnsi="Book Antiqua" w:cs="Book Antiqua"/>
          <w:color w:val="000000"/>
        </w:rPr>
        <w:t xml:space="preserve">g for every L of fluid removed above 5 L) supplementation is the treatment of </w:t>
      </w:r>
      <w:proofErr w:type="gramStart"/>
      <w:r>
        <w:rPr>
          <w:rFonts w:ascii="Book Antiqua" w:eastAsia="Book Antiqua" w:hAnsi="Book Antiqua" w:cs="Book Antiqua"/>
          <w:color w:val="000000"/>
        </w:rPr>
        <w:t>choice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However, despite optimal medical therapy, 5</w:t>
      </w:r>
      <w:r w:rsidR="00517095">
        <w:rPr>
          <w:rFonts w:ascii="Book Antiqua" w:eastAsia="Book Antiqua" w:hAnsi="Book Antiqua" w:cs="Book Antiqua"/>
          <w:color w:val="000000"/>
        </w:rPr>
        <w:t>%</w:t>
      </w:r>
      <w:r>
        <w:rPr>
          <w:rFonts w:ascii="Book Antiqua" w:eastAsia="Book Antiqua" w:hAnsi="Book Antiqua" w:cs="Book Antiqua"/>
          <w:color w:val="000000"/>
        </w:rPr>
        <w:t xml:space="preserve">-10% of these patients develop RA, which is associated with an extremely poor prognosis and median survival of 6 </w:t>
      </w:r>
      <w:proofErr w:type="gramStart"/>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74,76,77]</w:t>
      </w:r>
      <w:r>
        <w:rPr>
          <w:rFonts w:ascii="Book Antiqua" w:eastAsia="Book Antiqua" w:hAnsi="Book Antiqua" w:cs="Book Antiqua"/>
          <w:color w:val="000000"/>
        </w:rPr>
        <w:t xml:space="preserve">. Liver transplantation, the only definitive treatment of RA, is limited by donor resources and high costs in developing countries. Repeated LVP with albumin infusion is currently recommended as the first-line therapy for </w:t>
      </w:r>
      <w:proofErr w:type="gramStart"/>
      <w:r>
        <w:rPr>
          <w:rFonts w:ascii="Book Antiqua" w:eastAsia="Book Antiqua" w:hAnsi="Book Antiqua" w:cs="Book Antiqua"/>
          <w:color w:val="000000"/>
        </w:rPr>
        <w:t>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Current guidelines </w:t>
      </w:r>
      <w:r>
        <w:rPr>
          <w:rFonts w:ascii="Book Antiqua" w:eastAsia="Book Antiqua" w:hAnsi="Book Antiqua" w:cs="Book Antiqua"/>
          <w:color w:val="000000"/>
        </w:rPr>
        <w:lastRenderedPageBreak/>
        <w:t xml:space="preserve">recommend consideration of TIPS placement if more than three sessions of LVP have to be performed per month for symptomatic relief or procedure </w:t>
      </w:r>
      <w:proofErr w:type="gramStart"/>
      <w:r>
        <w:rPr>
          <w:rFonts w:ascii="Book Antiqua" w:eastAsia="Book Antiqua" w:hAnsi="Book Antiqua" w:cs="Book Antiqua"/>
          <w:color w:val="000000"/>
        </w:rPr>
        <w:t>intolerance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p>
    <w:p w14:paraId="36EDFC4D" w14:textId="063CD204" w:rsidR="00A77B3E" w:rsidRDefault="00D8132F" w:rsidP="00657162">
      <w:pPr>
        <w:spacing w:line="360" w:lineRule="auto"/>
        <w:ind w:firstLineChars="100" w:firstLine="240"/>
        <w:jc w:val="both"/>
      </w:pPr>
      <w:r>
        <w:rPr>
          <w:rFonts w:ascii="Book Antiqua" w:eastAsia="Book Antiqua" w:hAnsi="Book Antiqua" w:cs="Book Antiqua"/>
          <w:color w:val="000000"/>
        </w:rPr>
        <w:t>Although the efficacy of TIPS in controlling ascites has been well validated by several RCT's (between 1996-2004) and subsequent meta-analysis (2005-2006), the increased incidence of HE and controversial results on survival benefit resulted in LVP to be continually recommended as the first-line therapy for RA, ahead of TIPS</w:t>
      </w:r>
      <w:r>
        <w:rPr>
          <w:rFonts w:ascii="Book Antiqua" w:eastAsia="Book Antiqua" w:hAnsi="Book Antiqua" w:cs="Book Antiqua"/>
          <w:color w:val="000000"/>
          <w:szCs w:val="30"/>
          <w:vertAlign w:val="superscript"/>
        </w:rPr>
        <w:t>[79-86]</w:t>
      </w:r>
      <w:r>
        <w:rPr>
          <w:rFonts w:ascii="Book Antiqua" w:eastAsia="Book Antiqua" w:hAnsi="Book Antiqua" w:cs="Book Antiqua"/>
          <w:color w:val="000000"/>
        </w:rPr>
        <w:t xml:space="preserve">. However, these RCTs were primarily evaluating the efficacy of ascites control rather than survival. Moreover, the early meta-analysis did not analyze survival as a time-dependent variable, and the confounding effect of liver transplantation on survival in patients with advanced cirrhosis was not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84-86]</w:t>
      </w:r>
      <w:r>
        <w:rPr>
          <w:rFonts w:ascii="Book Antiqua" w:eastAsia="Book Antiqua" w:hAnsi="Book Antiqua" w:cs="Book Antiqua"/>
          <w:color w:val="000000"/>
        </w:rPr>
        <w:t xml:space="preserve">. A meta-analysis conducted later using individual patient data of these RCTs confirmed that TIPS significantly improved </w:t>
      </w:r>
      <w:r w:rsidR="00EA3269">
        <w:rPr>
          <w:rFonts w:ascii="Book Antiqua" w:eastAsia="Book Antiqua" w:hAnsi="Book Antiqua" w:cs="Book Antiqua"/>
          <w:color w:val="000000"/>
        </w:rPr>
        <w:t>TFS</w:t>
      </w:r>
      <w:r>
        <w:rPr>
          <w:rFonts w:ascii="Book Antiqua" w:eastAsia="Book Antiqua" w:hAnsi="Book Antiqua" w:cs="Book Antiqua"/>
          <w:color w:val="000000"/>
        </w:rPr>
        <w:t xml:space="preserve"> and reduced the recurrence of tense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Another RCT conducted later employed even stricter inclusion criteria (Child-Pugh score of &lt; 11, serum bilirubin &lt; 3 mg/dL, and creatinine &lt; 1.9 mg/dL) and found that TIPS was significantly superior to paracentesis in the control of ascites in better cirrhotic patients with RA with response rates of up to 60% at one year</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More importantly, survival was significantly higher in the TIPS group attesting to the fact that careful patient selection is a pre-requisite for better outcomes after TIPS in patients with RA. This finding was confirmed in a recent updated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However, the probability of post-treatment HE was increased by TIPS in all the studies with a significantly higher average number of episodes per patient. Nevertheless, all these RCTs have used bare-metal stents for TIPS, and there was a high incidence of shunt dysfunction requiring stent revision. Thus, the conclusions drawn cannot be applied to the current clinical scenario where covered stents for TIPS are the current norm. </w:t>
      </w:r>
    </w:p>
    <w:p w14:paraId="67C68592" w14:textId="3AD7A3C5" w:rsidR="00A77B3E" w:rsidRDefault="00D8132F" w:rsidP="00517095">
      <w:pPr>
        <w:spacing w:line="360" w:lineRule="auto"/>
        <w:ind w:firstLineChars="100" w:firstLine="240"/>
        <w:jc w:val="both"/>
      </w:pPr>
      <w:r>
        <w:rPr>
          <w:rFonts w:ascii="Book Antiqua" w:eastAsia="Book Antiqua" w:hAnsi="Book Antiqua" w:cs="Book Antiqua"/>
          <w:color w:val="000000"/>
        </w:rPr>
        <w:t xml:space="preserve">Multiple retrospective studies since then have reported survival benefit after covered TIPS in this clinical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90,91]</w:t>
      </w:r>
      <w:r>
        <w:rPr>
          <w:rFonts w:ascii="Book Antiqua" w:eastAsia="Book Antiqua" w:hAnsi="Book Antiqua" w:cs="Book Antiqua"/>
          <w:color w:val="000000"/>
        </w:rPr>
        <w:t xml:space="preserve">. Interestingly, the most recent RCT comparing TIPS (using covered stents) with LVP in patients with ascites found that covered TIPS improved survival and did not increase the risk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Another retrospective study conducted later, which included patients with RA similarly showed that the risk of de-</w:t>
      </w:r>
      <w:r>
        <w:rPr>
          <w:rFonts w:ascii="Book Antiqua" w:eastAsia="Book Antiqua" w:hAnsi="Book Antiqua" w:cs="Book Antiqua"/>
          <w:color w:val="000000"/>
        </w:rPr>
        <w:lastRenderedPageBreak/>
        <w:t xml:space="preserve">novo HE was not increased in the TIPS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Notably, this study employed smaller 8 mm diameter TIPS stents and found that while ascites control was similarly effective between TIPS responders and non-responders (as defined by a decrease in portal pressure to &lt; 12 mmHg after TIPS implantation), HE occurred more often in patients with hemodynamic TIPS response, implying that a less aggressive PSPG reduction might be sufficiently effective for ascites control, while concomitantly decreasing the risk of post-TIPS HE. However, a randomized study comparing 8 mm </w:t>
      </w:r>
      <w:r>
        <w:rPr>
          <w:rFonts w:ascii="Book Antiqua" w:eastAsia="Book Antiqua" w:hAnsi="Book Antiqua" w:cs="Book Antiqua"/>
          <w:i/>
          <w:iCs/>
          <w:color w:val="000000"/>
        </w:rPr>
        <w:t>vs</w:t>
      </w:r>
      <w:r>
        <w:rPr>
          <w:rFonts w:ascii="Book Antiqua" w:eastAsia="Book Antiqua" w:hAnsi="Book Antiqua" w:cs="Book Antiqua"/>
          <w:color w:val="000000"/>
        </w:rPr>
        <w:t xml:space="preserve"> 10 mm covered TIPS for RA had to be stopped midway after early results revealed worse ascites control with 8 mm stents</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Another recent retrospective study reported higher post-TIPS PSPG and greater need for LVP with 8 mm stents, with similar rates of </w:t>
      </w:r>
      <w:proofErr w:type="gramStart"/>
      <w:r>
        <w:rPr>
          <w:rFonts w:ascii="Book Antiqua" w:eastAsia="Book Antiqua" w:hAnsi="Book Antiqua" w:cs="Book Antiqua"/>
          <w:color w:val="000000"/>
        </w:rPr>
        <w:t>encephalopathy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Therefore, the optimal diameter of covered TIPS stents for this indication remains unclear. Some studies have suggested that TIPS should not be undertaken in patients with a high (≥</w:t>
      </w:r>
      <w:r w:rsidR="00517095">
        <w:rPr>
          <w:rFonts w:ascii="Book Antiqua" w:eastAsia="Book Antiqua" w:hAnsi="Book Antiqua" w:cs="Book Antiqua"/>
          <w:color w:val="000000"/>
        </w:rPr>
        <w:t xml:space="preserve"> </w:t>
      </w:r>
      <w:r>
        <w:rPr>
          <w:rFonts w:ascii="Book Antiqua" w:eastAsia="Book Antiqua" w:hAnsi="Book Antiqua" w:cs="Book Antiqua"/>
          <w:color w:val="000000"/>
        </w:rPr>
        <w:t xml:space="preserve">18) MELD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96,97]</w:t>
      </w:r>
      <w:r>
        <w:rPr>
          <w:rFonts w:ascii="Book Antiqua" w:eastAsia="Book Antiqua" w:hAnsi="Book Antiqua" w:cs="Book Antiqua"/>
          <w:color w:val="000000"/>
        </w:rPr>
        <w:t xml:space="preserve">. However, the role of MELD in patient selection remains unclear. In the meta-analysis by </w:t>
      </w:r>
      <w:bookmarkStart w:id="0" w:name="OLE_LINK2008"/>
      <w:bookmarkStart w:id="1" w:name="OLE_LINK2009"/>
      <w:r>
        <w:rPr>
          <w:rFonts w:ascii="Book Antiqua" w:eastAsia="Book Antiqua" w:hAnsi="Book Antiqua" w:cs="Book Antiqua"/>
          <w:color w:val="000000"/>
        </w:rPr>
        <w:t xml:space="preserve">Salerno </w:t>
      </w:r>
      <w:bookmarkEnd w:id="0"/>
      <w:bookmarkEnd w:id="1"/>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D073F">
        <w:rPr>
          <w:rFonts w:ascii="Book Antiqua" w:eastAsia="Book Antiqua" w:hAnsi="Book Antiqua" w:cs="Book Antiqua"/>
          <w:color w:val="000000"/>
          <w:szCs w:val="30"/>
          <w:vertAlign w:val="superscript"/>
        </w:rPr>
        <w:t>[</w:t>
      </w:r>
      <w:proofErr w:type="gramEnd"/>
      <w:r w:rsidR="003D073F">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it was shown that compared with paracentesis, the benefit of TIPS on TFS could be seen across all MELD scores. More recently, two retrospective studies found no evidence that TIPS creation confers worse survival in patients with higher MELD scores compared with serial </w:t>
      </w:r>
      <w:proofErr w:type="gramStart"/>
      <w:r>
        <w:rPr>
          <w:rFonts w:ascii="Book Antiqua" w:eastAsia="Book Antiqua" w:hAnsi="Book Antiqua" w:cs="Book Antiqua"/>
          <w:color w:val="000000"/>
        </w:rPr>
        <w:t>LVP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 xml:space="preserve">. A higher MELD score predicted poor survival, but survival was equally poor among patients whose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was treated with serial LVP compared to TIPS. Another retrospective review showed that early death after elective TIPS was highest in patients with MELD greater than 24</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Gaba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A3269">
        <w:rPr>
          <w:rFonts w:ascii="Book Antiqua" w:eastAsia="Book Antiqua" w:hAnsi="Book Antiqua" w:cs="Book Antiqua"/>
          <w:color w:val="000000"/>
          <w:szCs w:val="30"/>
          <w:vertAlign w:val="superscript"/>
        </w:rPr>
        <w:t>[</w:t>
      </w:r>
      <w:proofErr w:type="gramEnd"/>
      <w:r w:rsidR="00EA3269">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compared various scores, including MELD and CTP score in the prediction of outcome after TIPS, and found that CTP score had the best overall capability at predicting mortality when TIPS is used for ascites. Bureau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A3269">
        <w:rPr>
          <w:rFonts w:ascii="Book Antiqua" w:eastAsia="Book Antiqua" w:hAnsi="Book Antiqua" w:cs="Book Antiqua"/>
          <w:color w:val="000000"/>
          <w:szCs w:val="30"/>
          <w:vertAlign w:val="superscript"/>
        </w:rPr>
        <w:t>[</w:t>
      </w:r>
      <w:proofErr w:type="gramEnd"/>
      <w:r w:rsidR="00EA3269">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have proposed the use of simple laboratory parameters (bilirubin &lt; 50 </w:t>
      </w:r>
      <w:r w:rsidR="00EA3269" w:rsidRPr="003C7BA3">
        <w:rPr>
          <w:rFonts w:ascii="Book Antiqua" w:hAnsi="Book Antiqua" w:cs="Arial"/>
          <w:color w:val="000000"/>
        </w:rPr>
        <w:sym w:font="Symbol" w:char="F06D"/>
      </w:r>
      <w:r>
        <w:rPr>
          <w:rFonts w:ascii="Book Antiqua" w:eastAsia="Book Antiqua" w:hAnsi="Book Antiqua" w:cs="Book Antiqua"/>
          <w:color w:val="000000"/>
        </w:rPr>
        <w:t>mol/L and platelets &gt; 75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to predict 1-year survival following TIPS for RA, which form the basis of </w:t>
      </w:r>
      <w:r w:rsidR="00EA3269" w:rsidRPr="00EA3269">
        <w:rPr>
          <w:rFonts w:ascii="Book Antiqua" w:eastAsia="Book Antiqua" w:hAnsi="Book Antiqua" w:cs="Book Antiqua"/>
          <w:color w:val="000000"/>
        </w:rPr>
        <w:t>European Association for the Study of Liver Disease</w:t>
      </w:r>
      <w:r>
        <w:rPr>
          <w:rFonts w:ascii="Book Antiqua" w:eastAsia="Book Antiqua" w:hAnsi="Book Antiqua" w:cs="Book Antiqua"/>
          <w:color w:val="000000"/>
        </w:rPr>
        <w:t xml:space="preserve"> guidelines. </w:t>
      </w:r>
    </w:p>
    <w:p w14:paraId="6890B934" w14:textId="0B97106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There has been a renewed interest in the role of TIPS in patients with recurrent ascites (three recurrences of symptomatic ascites within a year). Studies, including the initial RCT's comparing TIPS with LVP, have </w:t>
      </w:r>
      <w:r w:rsidR="00024964">
        <w:rPr>
          <w:rFonts w:ascii="Book Antiqua" w:eastAsia="Book Antiqua" w:hAnsi="Book Antiqua" w:cs="Book Antiqua"/>
          <w:color w:val="000000"/>
        </w:rPr>
        <w:t xml:space="preserve">grouped </w:t>
      </w:r>
      <w:r>
        <w:rPr>
          <w:rFonts w:ascii="Book Antiqua" w:eastAsia="Book Antiqua" w:hAnsi="Book Antiqua" w:cs="Book Antiqua"/>
          <w:color w:val="000000"/>
        </w:rPr>
        <w:t xml:space="preserve">patients having recurrent ascites with </w:t>
      </w:r>
      <w:r>
        <w:rPr>
          <w:rFonts w:ascii="Book Antiqua" w:eastAsia="Book Antiqua" w:hAnsi="Book Antiqua" w:cs="Book Antiqua"/>
          <w:color w:val="000000"/>
        </w:rPr>
        <w:lastRenderedPageBreak/>
        <w:t xml:space="preserve">those having RA. However, subgroup analyses performed on the pooled data of these RCTs showed that TIPS significantly improved TFS regardless of whether recurrent ascites patients were included or not in the </w:t>
      </w:r>
      <w:proofErr w:type="gramStart"/>
      <w:r>
        <w:rPr>
          <w:rFonts w:ascii="Book Antiqua" w:eastAsia="Book Antiqua" w:hAnsi="Book Antiqua" w:cs="Book Antiqua"/>
          <w:color w:val="000000"/>
        </w:rPr>
        <w:t>trials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 recent single-center retrospective study of 128 patients showed that placement of TIPS in patients with lower LVP frequency and creatinine levels is associated with superior ascites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Similar findings were reported by a prospective RCT comparing TIPS to LVP in patients with recurrent ascites and a limited LVP frequency, which demonstrated benefits in ascites control and survival in TIPS-treated patients but no difference in HE between the two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This was reiterated in the recent study on very early TIPS performed in patients with cirrhosis and first symptomatic ascites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Thus, currently available data </w:t>
      </w:r>
      <w:r w:rsidRPr="00657162">
        <w:rPr>
          <w:rFonts w:ascii="Book Antiqua" w:eastAsia="Book Antiqua" w:hAnsi="Book Antiqua" w:cs="Book Antiqua"/>
          <w:color w:val="000000"/>
        </w:rPr>
        <w:t>(Table 2)</w:t>
      </w:r>
      <w:r>
        <w:rPr>
          <w:rFonts w:ascii="Book Antiqua" w:eastAsia="Book Antiqua" w:hAnsi="Book Antiqua" w:cs="Book Antiqua"/>
          <w:color w:val="000000"/>
        </w:rPr>
        <w:t xml:space="preserve"> suggest that TIPS should be considered early in patients with difficult-to-treat ascites (not necessarily fulfilling the criteria of RA) having a stable underlying liver disease with relatively preserved renal function. However, a recent observational study on outcomes and mortality of </w:t>
      </w:r>
      <w:r w:rsidR="00024964">
        <w:rPr>
          <w:rFonts w:ascii="Book Antiqua" w:eastAsia="Book Antiqua" w:hAnsi="Book Antiqua" w:cs="Book Antiqua"/>
          <w:color w:val="000000"/>
        </w:rPr>
        <w:t xml:space="preserve">patients with </w:t>
      </w:r>
      <w:r>
        <w:rPr>
          <w:rFonts w:ascii="Book Antiqua" w:eastAsia="Book Antiqua" w:hAnsi="Book Antiqua" w:cs="Book Antiqua"/>
          <w:color w:val="000000"/>
        </w:rPr>
        <w:t>cirrho</w:t>
      </w:r>
      <w:r w:rsidR="00024964">
        <w:rPr>
          <w:rFonts w:ascii="Book Antiqua" w:eastAsia="Book Antiqua" w:hAnsi="Book Antiqua" w:cs="Book Antiqua"/>
          <w:color w:val="000000"/>
        </w:rPr>
        <w:t xml:space="preserve">sis </w:t>
      </w:r>
      <w:r>
        <w:rPr>
          <w:rFonts w:ascii="Book Antiqua" w:eastAsia="Book Antiqua" w:hAnsi="Book Antiqua" w:cs="Book Antiqua"/>
          <w:color w:val="000000"/>
        </w:rPr>
        <w:t xml:space="preserve"> with recurrent ascites found that mortality does not differ significantly between patients with recurrent ascites and patients with ascites responsive to medical treatment and that recurrent ascites is not necessarily a sign of worsening of the liver disease, implying that these patients should not be prioritized for TIPS or liver transplant</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Further large multicentre prospective RCTs are needed to assess the role of 'early TIPS' in ascites.</w:t>
      </w:r>
    </w:p>
    <w:p w14:paraId="131DF7A1" w14:textId="77777777" w:rsidR="00A77B3E" w:rsidRDefault="00A77B3E">
      <w:pPr>
        <w:spacing w:line="360" w:lineRule="auto"/>
        <w:jc w:val="both"/>
      </w:pPr>
    </w:p>
    <w:p w14:paraId="7FB19900" w14:textId="5D1A9A04" w:rsidR="00A77B3E" w:rsidRDefault="004664B9">
      <w:pPr>
        <w:spacing w:line="360" w:lineRule="auto"/>
        <w:jc w:val="both"/>
      </w:pPr>
      <w:r>
        <w:rPr>
          <w:rFonts w:ascii="Book Antiqua" w:eastAsia="Book Antiqua" w:hAnsi="Book Antiqua" w:cs="Book Antiqua"/>
          <w:b/>
          <w:bCs/>
          <w:color w:val="000000"/>
          <w:u w:val="single"/>
        </w:rPr>
        <w:t>HH</w:t>
      </w:r>
    </w:p>
    <w:p w14:paraId="64EE9528" w14:textId="1D8BADB4" w:rsidR="00A77B3E" w:rsidRDefault="004664B9">
      <w:pPr>
        <w:spacing w:line="360" w:lineRule="auto"/>
        <w:jc w:val="both"/>
      </w:pPr>
      <w:r>
        <w:rPr>
          <w:rFonts w:ascii="Book Antiqua" w:eastAsia="Book Antiqua" w:hAnsi="Book Antiqua" w:cs="Book Antiqua"/>
          <w:color w:val="000000"/>
        </w:rPr>
        <w:t>HH</w:t>
      </w:r>
      <w:r w:rsidR="00D8132F">
        <w:rPr>
          <w:rFonts w:ascii="Book Antiqua" w:eastAsia="Book Antiqua" w:hAnsi="Book Antiqua" w:cs="Book Antiqua"/>
          <w:color w:val="000000"/>
        </w:rPr>
        <w:t xml:space="preserve"> is the accumulation of a significant amount of transudative fluid, usually over 500 mL, in the pleural cavity of patients with decompensated liver cirrhosis without coexisting primary cardiopulmonary or pleural </w:t>
      </w:r>
      <w:proofErr w:type="gramStart"/>
      <w:r w:rsidR="00D8132F">
        <w:rPr>
          <w:rFonts w:ascii="Book Antiqua" w:eastAsia="Book Antiqua" w:hAnsi="Book Antiqua" w:cs="Book Antiqua"/>
          <w:color w:val="000000"/>
        </w:rPr>
        <w:t>diseases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105]</w:t>
      </w:r>
      <w:r w:rsidR="00D8132F">
        <w:rPr>
          <w:rFonts w:ascii="Book Antiqua" w:eastAsia="Book Antiqua" w:hAnsi="Book Antiqua" w:cs="Book Antiqua"/>
          <w:color w:val="000000"/>
        </w:rPr>
        <w:t>. It is a relatively uncommon complication of end-stage liver disease, seen in approximately 5</w:t>
      </w:r>
      <w:r w:rsidR="00EA3269">
        <w:rPr>
          <w:rFonts w:ascii="Book Antiqua" w:eastAsia="Book Antiqua" w:hAnsi="Book Antiqua" w:cs="Book Antiqua"/>
          <w:color w:val="000000"/>
        </w:rPr>
        <w:t>%</w:t>
      </w:r>
      <w:r w:rsidR="00D8132F">
        <w:rPr>
          <w:rFonts w:ascii="Book Antiqua" w:eastAsia="Book Antiqua" w:hAnsi="Book Antiqua" w:cs="Book Antiqua"/>
          <w:color w:val="000000"/>
        </w:rPr>
        <w:t>-10% of patients and constitutes 2</w:t>
      </w:r>
      <w:r w:rsidR="00EA3269">
        <w:rPr>
          <w:rFonts w:ascii="Book Antiqua" w:eastAsia="Book Antiqua" w:hAnsi="Book Antiqua" w:cs="Book Antiqua"/>
          <w:color w:val="000000"/>
        </w:rPr>
        <w:t>%</w:t>
      </w:r>
      <w:r w:rsidR="00D8132F">
        <w:rPr>
          <w:rFonts w:ascii="Book Antiqua" w:eastAsia="Book Antiqua" w:hAnsi="Book Antiqua" w:cs="Book Antiqua"/>
          <w:color w:val="000000"/>
        </w:rPr>
        <w:t xml:space="preserve">-3% of all cases of pleural </w:t>
      </w:r>
      <w:proofErr w:type="gramStart"/>
      <w:r w:rsidR="00D8132F">
        <w:rPr>
          <w:rFonts w:ascii="Book Antiqua" w:eastAsia="Book Antiqua" w:hAnsi="Book Antiqua" w:cs="Book Antiqua"/>
          <w:color w:val="000000"/>
        </w:rPr>
        <w:t>effusions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105,106]</w:t>
      </w:r>
      <w:r w:rsidR="00D8132F">
        <w:rPr>
          <w:rFonts w:ascii="Book Antiqua" w:eastAsia="Book Antiqua" w:hAnsi="Book Antiqua" w:cs="Book Antiqua"/>
          <w:color w:val="000000"/>
        </w:rPr>
        <w:t xml:space="preserve">. It has a dismal prognosis with a median survival of 8-12 </w:t>
      </w:r>
      <w:proofErr w:type="gramStart"/>
      <w:r w:rsidR="00D8132F">
        <w:rPr>
          <w:rFonts w:ascii="Book Antiqua" w:eastAsia="Book Antiqua" w:hAnsi="Book Antiqua" w:cs="Book Antiqua"/>
          <w:color w:val="000000"/>
        </w:rPr>
        <w:t>mo</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107]</w:t>
      </w:r>
      <w:r w:rsidR="00D8132F">
        <w:rPr>
          <w:rFonts w:ascii="Book Antiqua" w:eastAsia="Book Antiqua" w:hAnsi="Book Antiqua" w:cs="Book Antiqua"/>
          <w:color w:val="000000"/>
        </w:rPr>
        <w:t>. Approximately 20%</w:t>
      </w:r>
      <w:r w:rsidR="00EA3269">
        <w:rPr>
          <w:rFonts w:ascii="Book Antiqua" w:eastAsia="Book Antiqua" w:hAnsi="Book Antiqua" w:cs="Book Antiqua"/>
          <w:color w:val="000000"/>
        </w:rPr>
        <w:t>-</w:t>
      </w:r>
      <w:r w:rsidR="00D8132F">
        <w:rPr>
          <w:rFonts w:ascii="Book Antiqua" w:eastAsia="Book Antiqua" w:hAnsi="Book Antiqua" w:cs="Book Antiqua"/>
          <w:color w:val="000000"/>
        </w:rPr>
        <w:t xml:space="preserve">25% of patients with HH have persistent symptomatic rapidly refilling HH despite adequate dietary sodium restriction and maximum tolerated diuretic </w:t>
      </w:r>
      <w:proofErr w:type="gramStart"/>
      <w:r w:rsidR="00D8132F">
        <w:rPr>
          <w:rFonts w:ascii="Book Antiqua" w:eastAsia="Book Antiqua" w:hAnsi="Book Antiqua" w:cs="Book Antiqua"/>
          <w:color w:val="000000"/>
        </w:rPr>
        <w:t>dose</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107]</w:t>
      </w:r>
      <w:r w:rsidR="00D8132F">
        <w:rPr>
          <w:rFonts w:ascii="Book Antiqua" w:eastAsia="Book Antiqua" w:hAnsi="Book Antiqua" w:cs="Book Antiqua"/>
          <w:color w:val="000000"/>
        </w:rPr>
        <w:t xml:space="preserve">. Early liver transplantation is the </w:t>
      </w:r>
      <w:r w:rsidR="00D8132F">
        <w:rPr>
          <w:rFonts w:ascii="Book Antiqua" w:eastAsia="Book Antiqua" w:hAnsi="Book Antiqua" w:cs="Book Antiqua"/>
          <w:color w:val="000000"/>
        </w:rPr>
        <w:lastRenderedPageBreak/>
        <w:t xml:space="preserve">only curative treatment for these patients, but it is not always available because of recipient condition and limited donor availability. Therapeutic </w:t>
      </w:r>
      <w:r w:rsidR="00024964">
        <w:rPr>
          <w:rFonts w:ascii="Book Antiqua" w:eastAsia="Book Antiqua" w:hAnsi="Book Antiqua" w:cs="Book Antiqua"/>
          <w:color w:val="000000"/>
        </w:rPr>
        <w:t>thoracentesis</w:t>
      </w:r>
      <w:r w:rsidR="00D8132F">
        <w:rPr>
          <w:rFonts w:ascii="Book Antiqua" w:eastAsia="Book Antiqua" w:hAnsi="Book Antiqua" w:cs="Book Antiqua"/>
          <w:color w:val="000000"/>
        </w:rPr>
        <w:t xml:space="preserve"> can be offered as an alternative for symptomatic relief. However, therapeutic </w:t>
      </w:r>
      <w:r w:rsidR="00024964">
        <w:rPr>
          <w:rFonts w:ascii="Book Antiqua" w:eastAsia="Book Antiqua" w:hAnsi="Book Antiqua" w:cs="Book Antiqua"/>
          <w:color w:val="000000"/>
        </w:rPr>
        <w:t>thoracentesis</w:t>
      </w:r>
      <w:r w:rsidR="00D8132F">
        <w:rPr>
          <w:rFonts w:ascii="Book Antiqua" w:eastAsia="Book Antiqua" w:hAnsi="Book Antiqua" w:cs="Book Antiqua"/>
          <w:color w:val="000000"/>
        </w:rPr>
        <w:t xml:space="preserve"> is not recommended as a </w:t>
      </w:r>
      <w:r w:rsidR="00024964">
        <w:rPr>
          <w:rFonts w:ascii="Book Antiqua" w:eastAsia="Book Antiqua" w:hAnsi="Book Antiqua" w:cs="Book Antiqua"/>
          <w:color w:val="000000"/>
        </w:rPr>
        <w:t>long-term</w:t>
      </w:r>
      <w:r w:rsidR="00D8132F">
        <w:rPr>
          <w:rFonts w:ascii="Book Antiqua" w:eastAsia="Book Antiqua" w:hAnsi="Book Antiqua" w:cs="Book Antiqua"/>
          <w:color w:val="000000"/>
        </w:rPr>
        <w:t xml:space="preserve"> treatment due to the risk of re-expansion pulmonary edema, pneumothorax, bleeding, and infection. TIPS effectively reduce the portal pressure, thereby providing symptomatic relief in close to 2/3rds of </w:t>
      </w:r>
      <w:proofErr w:type="gramStart"/>
      <w:r w:rsidR="00D8132F">
        <w:rPr>
          <w:rFonts w:ascii="Book Antiqua" w:eastAsia="Book Antiqua" w:hAnsi="Book Antiqua" w:cs="Book Antiqua"/>
          <w:color w:val="000000"/>
        </w:rPr>
        <w:t>patients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108,109]</w:t>
      </w:r>
      <w:r w:rsidR="00D8132F">
        <w:rPr>
          <w:rFonts w:ascii="Book Antiqua" w:eastAsia="Book Antiqua" w:hAnsi="Book Antiqua" w:cs="Book Antiqua"/>
          <w:color w:val="000000"/>
        </w:rPr>
        <w:t xml:space="preserve">. However, since HH is relatively uncommon, controlled studies assessing the role of TIPS for this condition are lacking. Recently, Ditah </w:t>
      </w:r>
      <w:r w:rsidR="00E32DD9" w:rsidRPr="00657162">
        <w:rPr>
          <w:rFonts w:ascii="Book Antiqua" w:eastAsia="Book Antiqua" w:hAnsi="Book Antiqua" w:cs="Book Antiqua"/>
          <w:i/>
          <w:iCs/>
          <w:color w:val="000000"/>
        </w:rPr>
        <w:t xml:space="preserve">et </w:t>
      </w:r>
      <w:proofErr w:type="gramStart"/>
      <w:r w:rsidR="00E32DD9" w:rsidRPr="00657162">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110]</w:t>
      </w:r>
      <w:r w:rsidR="00E32DD9">
        <w:rPr>
          <w:rFonts w:ascii="Book Antiqua" w:eastAsia="Book Antiqua" w:hAnsi="Book Antiqua" w:cs="Book Antiqua"/>
          <w:color w:val="000000"/>
        </w:rPr>
        <w:t xml:space="preserve"> </w:t>
      </w:r>
      <w:r w:rsidR="00D8132F">
        <w:rPr>
          <w:rFonts w:ascii="Book Antiqua" w:eastAsia="Book Antiqua" w:hAnsi="Book Antiqua" w:cs="Book Antiqua"/>
          <w:color w:val="000000"/>
        </w:rPr>
        <w:t xml:space="preserve">and colleagues conducted a systematic review and meta-analysis of 6 retrospective studies involving a total of 198 patients suffering from HH. The analysis of pooled data showed that TIPS was successful in relieving the symptoms in 73% of cases, with complete response seen in 56% of patients. The occurrence of HE and overall mortality was found to fall within the observed range, as seen with TIPS performed for other established indications. In the absence of controlled studies comparing TIPS with standard medical treatment, the benefit of TIPS on </w:t>
      </w:r>
      <w:r w:rsidR="00EA3269">
        <w:rPr>
          <w:rFonts w:ascii="Book Antiqua" w:eastAsia="Book Antiqua" w:hAnsi="Book Antiqua" w:cs="Book Antiqua"/>
          <w:color w:val="000000"/>
        </w:rPr>
        <w:t>TFS</w:t>
      </w:r>
      <w:r w:rsidR="00D8132F">
        <w:rPr>
          <w:rFonts w:ascii="Book Antiqua" w:eastAsia="Book Antiqua" w:hAnsi="Book Antiqua" w:cs="Book Antiqua"/>
          <w:color w:val="000000"/>
        </w:rPr>
        <w:t xml:space="preserve"> in HH cannot be commented upon. In a recent retrospective single-center analysis, despite the selection of patients with lower mean CTP (9.9 ± 1.6) and MELD score (18.7 ± 5.4), the 6-mo mortality after TIPS for HH was close to 36</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111]</w:t>
      </w:r>
      <w:r w:rsidR="00D8132F">
        <w:rPr>
          <w:rFonts w:ascii="Book Antiqua" w:eastAsia="Book Antiqua" w:hAnsi="Book Antiqua" w:cs="Book Antiqua"/>
          <w:color w:val="000000"/>
        </w:rPr>
        <w:t xml:space="preserve">. The independent predictors of mortality were MELD &gt; 25, </w:t>
      </w:r>
      <w:r w:rsidR="00517095">
        <w:rPr>
          <w:rFonts w:ascii="Book Antiqua" w:eastAsia="Book Antiqua" w:hAnsi="Book Antiqua" w:cs="Book Antiqua"/>
          <w:color w:val="000000"/>
        </w:rPr>
        <w:t>s</w:t>
      </w:r>
      <w:r w:rsidR="00517095" w:rsidRPr="00517095">
        <w:rPr>
          <w:rFonts w:ascii="Book Antiqua" w:eastAsia="Book Antiqua" w:hAnsi="Book Antiqua" w:cs="Book Antiqua"/>
          <w:color w:val="000000"/>
        </w:rPr>
        <w:t>pontaneous bacterial peritonitis</w:t>
      </w:r>
      <w:r w:rsidR="00D8132F">
        <w:rPr>
          <w:rFonts w:ascii="Book Antiqua" w:eastAsia="Book Antiqua" w:hAnsi="Book Antiqua" w:cs="Book Antiqua"/>
          <w:color w:val="000000"/>
        </w:rPr>
        <w:t>, and septic shock. The study found no difference in 6</w:t>
      </w:r>
      <w:r w:rsidR="00E32DD9">
        <w:rPr>
          <w:rFonts w:ascii="Book Antiqua" w:eastAsia="Book Antiqua" w:hAnsi="Book Antiqua" w:cs="Book Antiqua"/>
          <w:color w:val="000000"/>
        </w:rPr>
        <w:t xml:space="preserve"> </w:t>
      </w:r>
      <w:r w:rsidR="00D8132F">
        <w:rPr>
          <w:rFonts w:ascii="Book Antiqua" w:eastAsia="Book Antiqua" w:hAnsi="Book Antiqua" w:cs="Book Antiqua"/>
          <w:color w:val="000000"/>
        </w:rPr>
        <w:t xml:space="preserve">mo mortality and complication rates when TIPS was compared to other treatment groups (standard medical therapy, </w:t>
      </w:r>
      <w:r w:rsidR="00024964">
        <w:rPr>
          <w:rFonts w:ascii="Book Antiqua" w:eastAsia="Book Antiqua" w:hAnsi="Book Antiqua" w:cs="Book Antiqua"/>
          <w:color w:val="000000"/>
        </w:rPr>
        <w:t>thoracentesis</w:t>
      </w:r>
      <w:r w:rsidR="00D8132F">
        <w:rPr>
          <w:rFonts w:ascii="Book Antiqua" w:eastAsia="Book Antiqua" w:hAnsi="Book Antiqua" w:cs="Book Antiqua"/>
          <w:color w:val="000000"/>
        </w:rPr>
        <w:t xml:space="preserve">, and catheter drainage) based on propensity matching analysis. Early TIPS in selected patients may be effective as a bridge to </w:t>
      </w:r>
      <w:r w:rsidR="00EA3269">
        <w:rPr>
          <w:rFonts w:ascii="Book Antiqua" w:eastAsia="Book Antiqua" w:hAnsi="Book Antiqua" w:cs="Book Antiqua"/>
          <w:color w:val="000000"/>
        </w:rPr>
        <w:t>liver transplantation</w:t>
      </w:r>
      <w:r w:rsidR="00D8132F">
        <w:rPr>
          <w:rFonts w:ascii="Book Antiqua" w:eastAsia="Book Antiqua" w:hAnsi="Book Antiqua" w:cs="Book Antiqua"/>
          <w:color w:val="000000"/>
        </w:rPr>
        <w:t xml:space="preserve">. </w:t>
      </w:r>
    </w:p>
    <w:p w14:paraId="2FDCF999" w14:textId="77777777" w:rsidR="00A77B3E" w:rsidRDefault="00A77B3E">
      <w:pPr>
        <w:spacing w:line="360" w:lineRule="auto"/>
        <w:jc w:val="both"/>
      </w:pPr>
    </w:p>
    <w:p w14:paraId="4B6022CC"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Chylous ascites and chylothorax</w:t>
      </w:r>
    </w:p>
    <w:p w14:paraId="6F824310" w14:textId="4454AD83" w:rsidR="00A77B3E" w:rsidRDefault="00D8132F">
      <w:pPr>
        <w:spacing w:line="360" w:lineRule="auto"/>
        <w:jc w:val="both"/>
      </w:pPr>
      <w:r>
        <w:rPr>
          <w:rFonts w:ascii="Book Antiqua" w:eastAsia="Book Antiqua" w:hAnsi="Book Antiqua" w:cs="Book Antiqua"/>
          <w:color w:val="000000"/>
        </w:rPr>
        <w:t>Of all cases of cirrhosis-related ascites, only 0.5%</w:t>
      </w:r>
      <w:r w:rsidR="003D073F">
        <w:rPr>
          <w:rFonts w:ascii="Book Antiqua" w:eastAsia="Book Antiqua" w:hAnsi="Book Antiqua" w:cs="Book Antiqua"/>
          <w:color w:val="000000"/>
        </w:rPr>
        <w:t>-</w:t>
      </w:r>
      <w:r>
        <w:rPr>
          <w:rFonts w:ascii="Book Antiqua" w:eastAsia="Book Antiqua" w:hAnsi="Book Antiqua" w:cs="Book Antiqua"/>
          <w:color w:val="000000"/>
        </w:rPr>
        <w:t xml:space="preserve">1% is </w:t>
      </w:r>
      <w:proofErr w:type="gramStart"/>
      <w:r>
        <w:rPr>
          <w:rFonts w:ascii="Book Antiqua" w:eastAsia="Book Antiqua" w:hAnsi="Book Antiqua" w:cs="Book Antiqua"/>
          <w:color w:val="000000"/>
        </w:rPr>
        <w:t>chylous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The underlying mechanism is believed to be excessive hepatic and gastrointestinal lymph flow and pressure secondary to PH, which may lead to spontaneous rupture of serosal lymphatic </w:t>
      </w:r>
      <w:proofErr w:type="gramStart"/>
      <w:r>
        <w:rPr>
          <w:rFonts w:ascii="Book Antiqua" w:eastAsia="Book Antiqua" w:hAnsi="Book Antiqua" w:cs="Book Antiqua"/>
          <w:color w:val="000000"/>
        </w:rPr>
        <w:t>channels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Triglyceride level &gt; 110 mg/dL or the presence of chylomicrons in pleural </w:t>
      </w:r>
      <w:r>
        <w:rPr>
          <w:rFonts w:ascii="Book Antiqua" w:eastAsia="Book Antiqua" w:hAnsi="Book Antiqua" w:cs="Book Antiqua"/>
          <w:color w:val="000000"/>
        </w:rPr>
        <w:lastRenderedPageBreak/>
        <w:t xml:space="preserve">or ascitic fluid is used to confirm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113-116]</w:t>
      </w:r>
      <w:r>
        <w:rPr>
          <w:rFonts w:ascii="Book Antiqua" w:eastAsia="Book Antiqua" w:hAnsi="Book Antiqua" w:cs="Book Antiqua"/>
          <w:color w:val="000000"/>
        </w:rPr>
        <w:t xml:space="preserve">. High protein, low-fat diet (supplemented with medium-chain triglycerides) with sodium restriction and diuretics form the first-line of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Octreotide, a somatostatin analog, has been used successfully in some patients but requires long-term therapy to achieve and maintain consistent symptom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Given the rarity of the disease, the evidence on the role of TIPS in this condition is limited to seven case reports and one series of 4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118-126]</w:t>
      </w:r>
      <w:r>
        <w:rPr>
          <w:rFonts w:ascii="Book Antiqua" w:eastAsia="Book Antiqua" w:hAnsi="Book Antiqua" w:cs="Book Antiqua"/>
          <w:color w:val="000000"/>
        </w:rPr>
        <w:t xml:space="preserve">. Four patients received covered stents, while five patients received bare stents. In two patients, the stent type was not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118,123]</w:t>
      </w:r>
      <w:r>
        <w:rPr>
          <w:rFonts w:ascii="Book Antiqua" w:eastAsia="Book Antiqua" w:hAnsi="Book Antiqua" w:cs="Book Antiqua"/>
          <w:color w:val="000000"/>
        </w:rPr>
        <w:t>. TIPS was uniformly successful in providing symptomatic relief in all these cases without any major procedure-related complications, except self-limiting HE in three patients. On mean patient follow-up of 13.9 mo (range 0.6-35), one patient had TIPS dysfunction with recurrence of chylous ascites twice (at 43 d and 70 d post</w:t>
      </w:r>
      <w:r w:rsidR="00024964">
        <w:rPr>
          <w:rFonts w:ascii="Book Antiqua" w:eastAsia="Book Antiqua" w:hAnsi="Book Antiqua" w:cs="Book Antiqua"/>
          <w:color w:val="000000"/>
        </w:rPr>
        <w:t xml:space="preserve"> </w:t>
      </w:r>
      <w:r>
        <w:rPr>
          <w:rFonts w:ascii="Book Antiqua" w:eastAsia="Book Antiqua" w:hAnsi="Book Antiqua" w:cs="Book Antiqua"/>
          <w:color w:val="000000"/>
        </w:rPr>
        <w:t>procedure), but the ascites improved after TIPS revision on both occasions. Based on available published literature and the fact that prospective controlled trials with adequate sample size are likely to remain unavailable shortly, TIPS can be considered an effective and safe method for treating chylothorax and chylous ascites in patients with cirrhosis.</w:t>
      </w:r>
    </w:p>
    <w:p w14:paraId="7353A45C" w14:textId="77777777" w:rsidR="00A77B3E" w:rsidRDefault="00A77B3E">
      <w:pPr>
        <w:spacing w:line="360" w:lineRule="auto"/>
        <w:jc w:val="both"/>
      </w:pPr>
    </w:p>
    <w:p w14:paraId="6AD55ED2"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Portal vein thrombus</w:t>
      </w:r>
    </w:p>
    <w:p w14:paraId="16A392CE" w14:textId="7F914F08" w:rsidR="00A77B3E" w:rsidRDefault="00D8132F">
      <w:pPr>
        <w:spacing w:line="360" w:lineRule="auto"/>
        <w:jc w:val="both"/>
      </w:pPr>
      <w:r>
        <w:rPr>
          <w:rFonts w:ascii="Book Antiqua" w:eastAsia="Book Antiqua" w:hAnsi="Book Antiqua" w:cs="Book Antiqua"/>
          <w:color w:val="000000"/>
        </w:rPr>
        <w:t>Non-tumoral PVT is the most common thrombotic event in patients with cirrhosis, with an annual incidence of up to 12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127,128]</w:t>
      </w:r>
      <w:r>
        <w:rPr>
          <w:rFonts w:ascii="Book Antiqua" w:eastAsia="Book Antiqua" w:hAnsi="Book Antiqua" w:cs="Book Antiqua"/>
          <w:color w:val="000000"/>
        </w:rPr>
        <w:t xml:space="preserve">. Asymptomatic presentation is common with incidental diagnosis during routine surveillance or pretransplant workup. PVT has a significant but variable influence on the outcome of patients with cirrhosis. Multiple studies have found that in the natural history of cirrhosis and PVT, 40%-70% of patients will have a progression of thrombus leading to complete occlusion of portal vein or extension to other splanchnic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129-131]</w:t>
      </w:r>
      <w:r>
        <w:rPr>
          <w:rFonts w:ascii="Book Antiqua" w:eastAsia="Book Antiqua" w:hAnsi="Book Antiqua" w:cs="Book Antiqua"/>
          <w:color w:val="000000"/>
        </w:rPr>
        <w:t xml:space="preserve">. While anticoagulation is considered to be the mainstay of therapy in PVT in the absence of cirrhosis, optimal management of PVT in cirrhosis has not been addressed adequately in clinical guidelines. In a prospective study on the role of anticoagulation and TIPS in 56 patients from Europe, only 36% of patients on anticoagulation showed complete recanalization, while 27% of patients </w:t>
      </w:r>
      <w:r>
        <w:rPr>
          <w:rFonts w:ascii="Book Antiqua" w:eastAsia="Book Antiqua" w:hAnsi="Book Antiqua" w:cs="Book Antiqua"/>
          <w:color w:val="000000"/>
        </w:rPr>
        <w:lastRenderedPageBreak/>
        <w:t xml:space="preserve">showed partial </w:t>
      </w:r>
      <w:proofErr w:type="gramStart"/>
      <w:r>
        <w:rPr>
          <w:rFonts w:ascii="Book Antiqua" w:eastAsia="Book Antiqua" w:hAnsi="Book Antiqua" w:cs="Book Antiqua"/>
          <w:color w:val="000000"/>
        </w:rPr>
        <w:t>recanalization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The presence of ascites and splenic vein thrombosis were independently associated with the failure of anticoagulation therapy. Previously considered a contraindication for TIPS, multiple case reports, and few case series have described the successful placement of TIPS in patients with cirrhosis with PVT with acute VH, and </w:t>
      </w:r>
      <w:proofErr w:type="gramStart"/>
      <w:r>
        <w:rPr>
          <w:rFonts w:ascii="Book Antiqua" w:eastAsia="Book Antiqua" w:hAnsi="Book Antiqua" w:cs="Book Antiqua"/>
          <w:color w:val="000000"/>
        </w:rPr>
        <w:t>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132-135]</w:t>
      </w:r>
      <w:r>
        <w:rPr>
          <w:rFonts w:ascii="Book Antiqua" w:eastAsia="Book Antiqua" w:hAnsi="Book Antiqua" w:cs="Book Antiqua"/>
          <w:color w:val="000000"/>
        </w:rPr>
        <w:t xml:space="preserve">. Besides, recently two RCTs comparing TIPS with </w:t>
      </w:r>
      <w:r w:rsidR="0075034A">
        <w:rPr>
          <w:rFonts w:ascii="Book Antiqua" w:eastAsia="Book Antiqua" w:hAnsi="Book Antiqua" w:cs="Book Antiqua"/>
          <w:color w:val="000000"/>
        </w:rPr>
        <w:t>EBL</w:t>
      </w:r>
      <w:r>
        <w:rPr>
          <w:rFonts w:ascii="Book Antiqua" w:eastAsia="Book Antiqua" w:hAnsi="Book Antiqua" w:cs="Book Antiqua"/>
          <w:color w:val="000000"/>
        </w:rPr>
        <w:t xml:space="preserve"> plus propranolol in patients with PVT showed that TIPS was more effective than medical and endoscopic therapy without an increase in the risk of HE in the vast majority of patients leading to a recanalization rate of 95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Studies had also shown that even when persistent thrombus on completion splenoportogram was not stented (to preserve the long length of the unstented portal vein for liver transplant) and TIPS was not followed by anticoagulation or thrombolytic therapy, recanalization was frequently observed, implying that PVT in these patients is mainly due to hemodynamic factors</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With the advent of multiple imaging techniques for real-time visualization of the portal vein during TIPS, PVT is no longer considered as an absolute contraindication to TIPS placement. Also, portal vein thrombolysis and balloon angioplasty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recently described percutaneous transhepatic and transsplenic routes allow better visualization of the portal vein before transjugular puncture, resulting in markedly improved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133,136]</w:t>
      </w:r>
      <w:r>
        <w:rPr>
          <w:rFonts w:ascii="Book Antiqua" w:eastAsia="Book Antiqua" w:hAnsi="Book Antiqua" w:cs="Book Antiqua"/>
          <w:color w:val="000000"/>
        </w:rPr>
        <w:t xml:space="preserve">. However, the presence of portal cavernoma has been associated with high failure rates despite the use of </w:t>
      </w:r>
      <w:r w:rsidR="00E86B1D">
        <w:rPr>
          <w:rFonts w:ascii="Book Antiqua" w:eastAsia="Book Antiqua" w:hAnsi="Book Antiqua" w:cs="Book Antiqua"/>
          <w:color w:val="000000"/>
        </w:rPr>
        <w:t>three dimensional (</w:t>
      </w:r>
      <w:r>
        <w:rPr>
          <w:rFonts w:ascii="Book Antiqua" w:eastAsia="Book Antiqua" w:hAnsi="Book Antiqua" w:cs="Book Antiqua"/>
          <w:color w:val="000000"/>
        </w:rPr>
        <w:t>3D</w:t>
      </w:r>
      <w:r w:rsidR="00E86B1D">
        <w:rPr>
          <w:rFonts w:ascii="Book Antiqua" w:eastAsia="Book Antiqua" w:hAnsi="Book Antiqua" w:cs="Book Antiqua"/>
          <w:color w:val="000000"/>
        </w:rPr>
        <w:t>)</w:t>
      </w:r>
      <w:r>
        <w:rPr>
          <w:rFonts w:ascii="Book Antiqua" w:eastAsia="Book Antiqua" w:hAnsi="Book Antiqua" w:cs="Book Antiqua"/>
          <w:color w:val="000000"/>
        </w:rPr>
        <w:t xml:space="preserve"> imaging and fusion technology during TIPS. Concomitant embolization of varices has also been found to increase the </w:t>
      </w:r>
      <w:r w:rsidR="00024964">
        <w:rPr>
          <w:rFonts w:ascii="Book Antiqua" w:eastAsia="Book Antiqua" w:hAnsi="Book Antiqua" w:cs="Book Antiqua"/>
          <w:color w:val="000000"/>
        </w:rPr>
        <w:t>long-term</w:t>
      </w:r>
      <w:r>
        <w:rPr>
          <w:rFonts w:ascii="Book Antiqua" w:eastAsia="Book Antiqua" w:hAnsi="Book Antiqua" w:cs="Book Antiqua"/>
          <w:color w:val="000000"/>
        </w:rPr>
        <w:t xml:space="preserve"> patency rates of TIPS and prevent thrombosis. Based on the current evidence, TIPS can be utilized for cirrhosis patients in whom thrombosis persists or progresses, despite optimal anticoagulation therapy and in those who present with complications of PH, such as acute variceal bleeding 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w:t>
      </w:r>
      <w:r w:rsidRPr="00657162">
        <w:rPr>
          <w:rFonts w:ascii="Book Antiqua" w:eastAsia="Book Antiqua" w:hAnsi="Book Antiqua" w:cs="Book Antiqua"/>
          <w:color w:val="000000"/>
        </w:rPr>
        <w:t>Figure 6</w:t>
      </w:r>
      <w:r>
        <w:rPr>
          <w:rFonts w:ascii="Book Antiqua" w:eastAsia="Book Antiqua" w:hAnsi="Book Antiqua" w:cs="Book Antiqua"/>
          <w:color w:val="000000"/>
        </w:rPr>
        <w:t>).  Standard anticoagulation following the TIPS procedure for other indications is not recommended.</w:t>
      </w:r>
    </w:p>
    <w:p w14:paraId="1C43ADB3" w14:textId="77777777" w:rsidR="00A77B3E" w:rsidRDefault="00A77B3E">
      <w:pPr>
        <w:spacing w:line="360" w:lineRule="auto"/>
        <w:jc w:val="both"/>
      </w:pPr>
    </w:p>
    <w:p w14:paraId="6B6B5CBA"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Pre-surgical/neoadjuvant TIPS</w:t>
      </w:r>
    </w:p>
    <w:p w14:paraId="48B67847" w14:textId="0491DAF3" w:rsidR="00A77B3E" w:rsidRDefault="00D8132F">
      <w:pPr>
        <w:spacing w:line="360" w:lineRule="auto"/>
        <w:jc w:val="both"/>
      </w:pPr>
      <w:r>
        <w:rPr>
          <w:rFonts w:ascii="Book Antiqua" w:eastAsia="Book Antiqua" w:hAnsi="Book Antiqua" w:cs="Book Antiqua"/>
          <w:color w:val="000000"/>
        </w:rPr>
        <w:lastRenderedPageBreak/>
        <w:t xml:space="preserve">Extrahepatic surgery is associated with higher postoperative morbidity and mortality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The reported mortality is between 10</w:t>
      </w:r>
      <w:r w:rsidR="00E32DD9">
        <w:rPr>
          <w:rFonts w:ascii="Book Antiqua" w:eastAsia="Book Antiqua" w:hAnsi="Book Antiqua" w:cs="Book Antiqua"/>
          <w:color w:val="000000"/>
        </w:rPr>
        <w:t>%</w:t>
      </w:r>
      <w:r>
        <w:rPr>
          <w:rFonts w:ascii="Book Antiqua" w:eastAsia="Book Antiqua" w:hAnsi="Book Antiqua" w:cs="Book Antiqua"/>
          <w:color w:val="000000"/>
        </w:rPr>
        <w:t xml:space="preserve"> to 30%, while the perioperative morbidity is about 30%. The outcome is mainly influenced by the severity of liver disease, type of surgery, and the degree of </w:t>
      </w:r>
      <w:proofErr w:type="gramStart"/>
      <w:r>
        <w:rPr>
          <w:rFonts w:ascii="Book Antiqua" w:eastAsia="Book Antiqua" w:hAnsi="Book Antiqua" w:cs="Book Antiqua"/>
          <w:color w:val="000000"/>
        </w:rPr>
        <w:t>PH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138,139]</w:t>
      </w:r>
      <w:r>
        <w:rPr>
          <w:rFonts w:ascii="Book Antiqua" w:eastAsia="Book Antiqua" w:hAnsi="Book Antiqua" w:cs="Book Antiqua"/>
          <w:color w:val="000000"/>
        </w:rPr>
        <w:t xml:space="preserve">. Pre-operative TIPS may reduce the portal pressure and decrease the risk of bleeding as well as help in managing pre-or-post operative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140-147]</w:t>
      </w:r>
      <w:r>
        <w:rPr>
          <w:rFonts w:ascii="Book Antiqua" w:eastAsia="Book Antiqua" w:hAnsi="Book Antiqua" w:cs="Book Antiqua"/>
          <w:color w:val="000000"/>
        </w:rPr>
        <w:t xml:space="preserve">. The optimal time between TIPS and the performance of surgery is also controversial. Nonetheless, a delay of 1 mo from TIPS to surgery has been suggested to be the most appropriate for optimal portal </w:t>
      </w:r>
      <w:proofErr w:type="gramStart"/>
      <w:r>
        <w:rPr>
          <w:rFonts w:ascii="Book Antiqua" w:eastAsia="Book Antiqua" w:hAnsi="Book Antiqua" w:cs="Book Antiqua"/>
          <w:color w:val="000000"/>
        </w:rPr>
        <w:t>decompression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w:t>
      </w:r>
      <w:r>
        <w:rPr>
          <w:rFonts w:ascii="Book Antiqua" w:eastAsia="Book Antiqua" w:hAnsi="Book Antiqua" w:cs="Book Antiqua"/>
          <w:color w:val="000000"/>
        </w:rPr>
        <w:t xml:space="preserve">. That being, the perceived benefit of TIPS must be weighed against the risk of the procedure itself and the associated time delay. All publications on the role of pre-operative TIPS are retrospective in the form of single clinical reports or case series with a fairly small number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140-147]</w:t>
      </w:r>
      <w:r>
        <w:rPr>
          <w:rFonts w:ascii="Book Antiqua" w:eastAsia="Book Antiqua" w:hAnsi="Book Antiqua" w:cs="Book Antiqua"/>
          <w:color w:val="000000"/>
        </w:rPr>
        <w:t xml:space="preserve">. Out of these, only two studies have had a control group, but both were retrospective comparative studies without </w:t>
      </w:r>
      <w:proofErr w:type="gramStart"/>
      <w:r>
        <w:rPr>
          <w:rFonts w:ascii="Book Antiqua" w:eastAsia="Book Antiqua" w:hAnsi="Book Antiqua" w:cs="Book Antiqua"/>
          <w:color w:val="000000"/>
        </w:rPr>
        <w:t>randomization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143,146]</w:t>
      </w:r>
      <w:r>
        <w:rPr>
          <w:rFonts w:ascii="Book Antiqua" w:eastAsia="Book Antiqua" w:hAnsi="Book Antiqua" w:cs="Book Antiqua"/>
          <w:color w:val="000000"/>
        </w:rPr>
        <w:t xml:space="preserve">. A systematic analysis of all the published data showed that there is marked heterogeneity with regards to patient selection based on the severity of the underlying liver disease, indication for TIPS, criteria for successful TIPS, and time-lapse between TIPS placement and surgical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The study by Vinet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xml:space="preserve"> compared patients who underwent an elective abdominal surgery after preoperative TIPS placement </w:t>
      </w:r>
      <w:r w:rsidR="00E32DD9">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18) with those who underwent surgery without TIPS (</w:t>
      </w:r>
      <w:r w:rsidR="00E32DD9" w:rsidRPr="00657162">
        <w:rPr>
          <w:rFonts w:ascii="Book Antiqua" w:eastAsia="Book Antiqua" w:hAnsi="Book Antiqua" w:cs="Book Antiqua"/>
          <w:i/>
          <w:iCs/>
          <w:color w:val="000000"/>
        </w:rPr>
        <w:t>n</w:t>
      </w:r>
      <w:r w:rsidR="00E32DD9">
        <w:rPr>
          <w:rFonts w:ascii="Book Antiqua" w:eastAsia="Book Antiqua" w:hAnsi="Book Antiqua" w:cs="Book Antiqua"/>
          <w:color w:val="000000"/>
        </w:rPr>
        <w:t xml:space="preserve"> </w:t>
      </w:r>
      <w:r>
        <w:rPr>
          <w:rFonts w:ascii="Book Antiqua" w:eastAsia="Book Antiqua" w:hAnsi="Book Antiqua" w:cs="Book Antiqua"/>
          <w:color w:val="000000"/>
        </w:rPr>
        <w:t xml:space="preserve">= 17) during the same period. The authors found that the preoperative portal decompression with TIPS did not improve outcome after abdominal surgery in patients with cirrhosis. However, the TIPS group in this study had a higher mean CTP score compared to the control group. The other retrospective, multi-institutional, comparative study by Tabchouri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xml:space="preserve"> also did not find any significant differences between TIPS and control groups in terms of severe postoperative complications and mortality. Notably, they found deterioration of hepatocellular function after TIPS placement, which persisted postoperatively despite a mean interval of 51 d between TIPS placement and planned surgery. In this study, a subset of patients with less severe PHT (HVPG ≤ 13 mmHg) and less advanced liver dysfunction (MELD-sodium score ≤ 15) seemed to benefit from </w:t>
      </w:r>
      <w:r>
        <w:rPr>
          <w:rFonts w:ascii="Book Antiqua" w:eastAsia="Book Antiqua" w:hAnsi="Book Antiqua" w:cs="Book Antiqua"/>
          <w:color w:val="000000"/>
        </w:rPr>
        <w:lastRenderedPageBreak/>
        <w:t xml:space="preserve">preoperative TIPS placement in terms of postsurgical complications in the absence of statistical significance. Contrarily, in the study by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despite a preoperative mean MELD score of 15 among the patients </w:t>
      </w:r>
      <w:r w:rsidR="00E32DD9">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1-year survival rate was 74%. A recent prospective study showed the value of HVPG in predicting outcomes in cirrhosis patients undergoing non-hepatic surgery, with no patient having HVPG &lt; 10 mmHg or indocyanine green clearance &gt;</w:t>
      </w:r>
      <w:r w:rsidR="00E32DD9">
        <w:rPr>
          <w:rFonts w:ascii="Book Antiqua" w:eastAsia="Book Antiqua" w:hAnsi="Book Antiqua" w:cs="Book Antiqua"/>
          <w:color w:val="000000"/>
        </w:rPr>
        <w:t xml:space="preserve"> </w:t>
      </w:r>
      <w:r>
        <w:rPr>
          <w:rFonts w:ascii="Book Antiqua" w:eastAsia="Book Antiqua" w:hAnsi="Book Antiqua" w:cs="Book Antiqua"/>
          <w:color w:val="000000"/>
        </w:rPr>
        <w:t>0.63 developing decompensation</w:t>
      </w:r>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On the other hand, HVPG &gt;</w:t>
      </w:r>
      <w:r w:rsidR="00E32DD9">
        <w:rPr>
          <w:rFonts w:ascii="Book Antiqua" w:eastAsia="Book Antiqua" w:hAnsi="Book Antiqua" w:cs="Book Antiqua"/>
          <w:color w:val="000000"/>
        </w:rPr>
        <w:t xml:space="preserve"> </w:t>
      </w:r>
      <w:r>
        <w:rPr>
          <w:rFonts w:ascii="Book Antiqua" w:eastAsia="Book Antiqua" w:hAnsi="Book Antiqua" w:cs="Book Antiqua"/>
          <w:color w:val="000000"/>
        </w:rPr>
        <w:t>16 mmHg was independently associated with higher mortality, and patients with HVPG &gt; 20 mmHg were found to be at the highest risk. Interestingly, MELD and CTP scores were not independent predictors of post-surgical mortality. The findings of this study reiterate that the potential of pre-surgical TIPS in high-risk patients deserves further research to improve outcomes. Based on all the available published evidence, routine TIPS placement cannot be recommended before surgical procedures in all patients with cirrhosis and PH. Pre-operative TIPS is likely to benefit cirrhosis patients having preserved liver function but with features of severe PH who are undergoing curative oncosurgery. For patients who require emergency surgery, TIPS might still be beneficial by decreasing the risk of perioperative hemorrhage related to venous congestion and varices.</w:t>
      </w:r>
    </w:p>
    <w:p w14:paraId="1B31297E" w14:textId="77777777" w:rsidR="00A77B3E" w:rsidRDefault="00A77B3E">
      <w:pPr>
        <w:spacing w:line="360" w:lineRule="auto"/>
        <w:jc w:val="both"/>
      </w:pPr>
    </w:p>
    <w:p w14:paraId="48117740" w14:textId="57EC3E56" w:rsidR="00A77B3E" w:rsidRDefault="00D8132F">
      <w:pPr>
        <w:spacing w:line="360" w:lineRule="auto"/>
        <w:jc w:val="both"/>
      </w:pPr>
      <w:r w:rsidRPr="006A1513">
        <w:rPr>
          <w:rFonts w:ascii="Book Antiqua" w:eastAsia="Book Antiqua" w:hAnsi="Book Antiqua" w:cs="Book Antiqua"/>
          <w:b/>
          <w:bCs/>
          <w:i/>
          <w:iCs/>
          <w:color w:val="000000"/>
        </w:rPr>
        <w:t>HRS</w:t>
      </w:r>
    </w:p>
    <w:p w14:paraId="0D8E3D80" w14:textId="69C7293A" w:rsidR="00A77B3E" w:rsidRDefault="00D8132F">
      <w:pPr>
        <w:spacing w:line="360" w:lineRule="auto"/>
        <w:jc w:val="both"/>
      </w:pPr>
      <w:r>
        <w:rPr>
          <w:rFonts w:ascii="Book Antiqua" w:eastAsia="Book Antiqua" w:hAnsi="Book Antiqua" w:cs="Book Antiqua"/>
          <w:color w:val="000000"/>
        </w:rPr>
        <w:t>HRS is usually manifested in the advanced stage of cirrhosis with PH.  International Club of Ascites has defined HRS as an increase in serum creatinine ≥</w:t>
      </w:r>
      <w:r w:rsidR="006A1513">
        <w:rPr>
          <w:rFonts w:ascii="Book Antiqua" w:eastAsia="Book Antiqua" w:hAnsi="Book Antiqua" w:cs="Book Antiqua"/>
          <w:color w:val="000000"/>
        </w:rPr>
        <w:t xml:space="preserve"> </w:t>
      </w:r>
      <w:r>
        <w:rPr>
          <w:rFonts w:ascii="Book Antiqua" w:eastAsia="Book Antiqua" w:hAnsi="Book Antiqua" w:cs="Book Antiqua"/>
          <w:color w:val="000000"/>
        </w:rPr>
        <w:t>0.3 mg/dL (≥</w:t>
      </w:r>
      <w:r w:rsidR="006A1513">
        <w:rPr>
          <w:rFonts w:ascii="Book Antiqua" w:eastAsia="Book Antiqua" w:hAnsi="Book Antiqua" w:cs="Book Antiqua"/>
          <w:color w:val="000000"/>
        </w:rPr>
        <w:t xml:space="preserve"> </w:t>
      </w:r>
      <w:r>
        <w:rPr>
          <w:rFonts w:ascii="Book Antiqua" w:eastAsia="Book Antiqua" w:hAnsi="Book Antiqua" w:cs="Book Antiqua"/>
          <w:color w:val="000000"/>
        </w:rPr>
        <w:t>26.5 mmol/L) within 48 h; or a percentage increase in serum creatinine ≥</w:t>
      </w:r>
      <w:r w:rsidR="006A1513">
        <w:rPr>
          <w:rFonts w:ascii="Book Antiqua" w:eastAsia="Book Antiqua" w:hAnsi="Book Antiqua" w:cs="Book Antiqua"/>
          <w:color w:val="000000"/>
        </w:rPr>
        <w:t xml:space="preserve"> </w:t>
      </w:r>
      <w:r>
        <w:rPr>
          <w:rFonts w:ascii="Book Antiqua" w:eastAsia="Book Antiqua" w:hAnsi="Book Antiqua" w:cs="Book Antiqua"/>
          <w:color w:val="000000"/>
        </w:rPr>
        <w:t xml:space="preserve">50% from the baseline that is known, or presumed, to have occurred within the previous seven </w:t>
      </w:r>
      <w:proofErr w:type="gramStart"/>
      <w:r>
        <w:rPr>
          <w:rFonts w:ascii="Book Antiqua" w:eastAsia="Book Antiqua" w:hAnsi="Book Antiqua" w:cs="Book Antiqua"/>
          <w:color w:val="000000"/>
        </w:rPr>
        <w:t>days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As per the recent </w:t>
      </w:r>
      <w:r w:rsidR="006A1513">
        <w:rPr>
          <w:rFonts w:ascii="Book Antiqua" w:eastAsia="Book Antiqua" w:hAnsi="Book Antiqua" w:cs="Book Antiqua"/>
          <w:color w:val="000000"/>
        </w:rPr>
        <w:t>International Club of Ascites</w:t>
      </w:r>
      <w:r>
        <w:rPr>
          <w:rFonts w:ascii="Book Antiqua" w:eastAsia="Book Antiqua" w:hAnsi="Book Antiqua" w:cs="Book Antiqua"/>
          <w:color w:val="000000"/>
        </w:rPr>
        <w:t xml:space="preserve"> classification, patients with cirrhosis and acute kidney injury (AKI) are subgrouped into HRS AKI and HRS non-</w:t>
      </w:r>
      <w:proofErr w:type="gramStart"/>
      <w:r>
        <w:rPr>
          <w:rFonts w:ascii="Book Antiqua" w:eastAsia="Book Antiqua" w:hAnsi="Book Antiqua" w:cs="Book Antiqua"/>
          <w:color w:val="000000"/>
        </w:rPr>
        <w:t>AKI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150,151]</w:t>
      </w:r>
      <w:r>
        <w:rPr>
          <w:rFonts w:ascii="Book Antiqua" w:eastAsia="Book Antiqua" w:hAnsi="Book Antiqua" w:cs="Book Antiqua"/>
          <w:color w:val="000000"/>
        </w:rPr>
        <w:t>. HRS non-AKI is further subdivided into HRS-acute kidney disease and HRS-chronic kidney disease. In the former, the calculated glomerular filtration rate (eGFR) is &lt; 60</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sidR="006A1513">
        <w:rPr>
          <w:rFonts w:ascii="Book Antiqua" w:eastAsia="Book Antiqua" w:hAnsi="Book Antiqua" w:cs="Book Antiqua"/>
          <w:color w:val="000000"/>
        </w:rPr>
        <w:t>L</w:t>
      </w:r>
      <w:r>
        <w:rPr>
          <w:rFonts w:ascii="Book Antiqua" w:eastAsia="Book Antiqua" w:hAnsi="Book Antiqua" w:cs="Book Antiqua"/>
          <w:color w:val="000000"/>
        </w:rPr>
        <w:t>/min per 1.73</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&lt; 3</w:t>
      </w:r>
      <w:r w:rsidR="006A1513">
        <w:rPr>
          <w:rFonts w:ascii="Book Antiqua" w:eastAsia="Book Antiqua" w:hAnsi="Book Antiqua" w:cs="Book Antiqua"/>
          <w:color w:val="000000"/>
        </w:rPr>
        <w:t xml:space="preserve"> </w:t>
      </w:r>
      <w:r>
        <w:rPr>
          <w:rFonts w:ascii="Book Antiqua" w:eastAsia="Book Antiqua" w:hAnsi="Book Antiqua" w:cs="Book Antiqua"/>
          <w:color w:val="000000"/>
        </w:rPr>
        <w:t xml:space="preserve">mo in the absence of other (structural) causes along with percent increase in serum creatinine &lt; 50% using the last available value of </w:t>
      </w:r>
      <w:r>
        <w:rPr>
          <w:rFonts w:ascii="Book Antiqua" w:eastAsia="Book Antiqua" w:hAnsi="Book Antiqua" w:cs="Book Antiqua"/>
          <w:color w:val="000000"/>
        </w:rPr>
        <w:lastRenderedPageBreak/>
        <w:t xml:space="preserve">outpatient creatinine value within </w:t>
      </w:r>
      <w:r w:rsidR="006A1513">
        <w:rPr>
          <w:rFonts w:ascii="Book Antiqua" w:eastAsia="Book Antiqua" w:hAnsi="Book Antiqua" w:cs="Book Antiqua"/>
          <w:color w:val="000000"/>
        </w:rPr>
        <w:t xml:space="preserve">3 </w:t>
      </w:r>
      <w:r>
        <w:rPr>
          <w:rFonts w:ascii="Book Antiqua" w:eastAsia="Book Antiqua" w:hAnsi="Book Antiqua" w:cs="Book Antiqua"/>
          <w:color w:val="000000"/>
        </w:rPr>
        <w:t>mo as the baseline value. In the latter, the eGFR is &lt; 60</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sidR="006A1513">
        <w:rPr>
          <w:rFonts w:ascii="Book Antiqua" w:eastAsia="Book Antiqua" w:hAnsi="Book Antiqua" w:cs="Book Antiqua"/>
          <w:color w:val="000000"/>
        </w:rPr>
        <w:t>L</w:t>
      </w:r>
      <w:r>
        <w:rPr>
          <w:rFonts w:ascii="Book Antiqua" w:eastAsia="Book Antiqua" w:hAnsi="Book Antiqua" w:cs="Book Antiqua"/>
          <w:color w:val="000000"/>
        </w:rPr>
        <w:t>/min per 1.73</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 </w:t>
      </w:r>
      <w:r w:rsidR="006A1513">
        <w:rPr>
          <w:rFonts w:ascii="Book Antiqua" w:eastAsia="Book Antiqua" w:hAnsi="Book Antiqua" w:cs="Book Antiqua"/>
          <w:color w:val="000000"/>
        </w:rPr>
        <w:t xml:space="preserve">3 </w:t>
      </w:r>
      <w:r>
        <w:rPr>
          <w:rFonts w:ascii="Book Antiqua" w:eastAsia="Book Antiqua" w:hAnsi="Book Antiqua" w:cs="Book Antiqua"/>
          <w:color w:val="000000"/>
        </w:rPr>
        <w:t>mo in the absence of other (structural) causes. In patients not responding to medical management in the presence of ascites, TIPS is a useful procedure in the management of HRS.</w:t>
      </w:r>
    </w:p>
    <w:p w14:paraId="24DA16BE" w14:textId="548E9D1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The utility of TIPS in patients with HRS non-AKI has been discussed previously in the section on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as most of these patients present with the need for repeated paracentesis. In a recent systematic review on TIPS in HRS, nine publications with 128 patients were analyzed. The pooled short-term and 1-year survival rates were 72% and 47% in HRS-AKI and 86% and 64% in HRS non-AKI. The pooled rate of HE after TIPS was 49%. The pooled rate of renal function improvement post-TIPS was 93% in HRS-AKI and 83% in any type of </w:t>
      </w:r>
      <w:r w:rsidR="001228A4">
        <w:rPr>
          <w:rFonts w:ascii="Book Antiqua" w:eastAsia="Book Antiqua" w:hAnsi="Book Antiqua" w:cs="Book Antiqua"/>
          <w:color w:val="000000"/>
        </w:rPr>
        <w:t>HRS</w:t>
      </w:r>
      <w:r>
        <w:rPr>
          <w:rFonts w:ascii="Book Antiqua" w:eastAsia="Book Antiqua" w:hAnsi="Book Antiqua" w:cs="Book Antiqua"/>
          <w:color w:val="000000"/>
        </w:rPr>
        <w:t xml:space="preserve">. Post-procedure, creatinine, blood urea nitrogen, serum sodium, sodium excretion, and urine volume significantly improved with a nonsignificant elevation in serum </w:t>
      </w:r>
      <w:proofErr w:type="gramStart"/>
      <w:r>
        <w:rPr>
          <w:rFonts w:ascii="Book Antiqua" w:eastAsia="Book Antiqua" w:hAnsi="Book Antiqua" w:cs="Book Antiqua"/>
          <w:color w:val="000000"/>
        </w:rPr>
        <w:t>bilirubin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xml:space="preserve">. The use of TIPS in patients with HRS-AKI remains controversial since a majority of these patients are sick at presentation with sepsis or acute decompensation. A recent retrospective cohort study in HRS patients showed TIPS is a relatively safe, bridging therapeutic option in patients who underwent TIPS in comparison to patients who received </w:t>
      </w:r>
      <w:proofErr w:type="gramStart"/>
      <w:r>
        <w:rPr>
          <w:rFonts w:ascii="Book Antiqua" w:eastAsia="Book Antiqua" w:hAnsi="Book Antiqua" w:cs="Book Antiqua"/>
          <w:color w:val="000000"/>
        </w:rPr>
        <w:t>dialysis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 xml:space="preserve">. Decreased recurrence of ascites and increased incidence of </w:t>
      </w:r>
      <w:r w:rsidR="004664B9">
        <w:rPr>
          <w:rFonts w:ascii="Book Antiqua" w:eastAsia="Book Antiqua" w:hAnsi="Book Antiqua" w:cs="Book Antiqua"/>
          <w:color w:val="000000"/>
        </w:rPr>
        <w:t>HE</w:t>
      </w:r>
      <w:r>
        <w:rPr>
          <w:rFonts w:ascii="Book Antiqua" w:eastAsia="Book Antiqua" w:hAnsi="Book Antiqua" w:cs="Book Antiqua"/>
          <w:color w:val="000000"/>
        </w:rPr>
        <w:t xml:space="preserve"> in the TIPS group was seen in a small randomized study where they compared patients with Type 2 HRS (HRS non-AKI) who underwent TIPS with another group of patients receiving paracentesis plus </w:t>
      </w:r>
      <w:proofErr w:type="gramStart"/>
      <w:r>
        <w:rPr>
          <w:rFonts w:ascii="Book Antiqua" w:eastAsia="Book Antiqua" w:hAnsi="Book Antiqua" w:cs="Book Antiqua"/>
          <w:color w:val="000000"/>
        </w:rPr>
        <w:t>albumin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TIPS may prevent permanent renal damage and the need for further liver-kidney transplantation due to portosystemic shunting and resultant hemodynamic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However, further RCTs showing the role of TIPS in HRS patients are required. </w:t>
      </w:r>
    </w:p>
    <w:p w14:paraId="5DA73630" w14:textId="77777777" w:rsidR="00A77B3E" w:rsidRDefault="00A77B3E">
      <w:pPr>
        <w:spacing w:line="360" w:lineRule="auto"/>
        <w:jc w:val="both"/>
      </w:pPr>
    </w:p>
    <w:p w14:paraId="72D6ADFF" w14:textId="35E380D7" w:rsidR="00A77B3E" w:rsidRDefault="00D8132F">
      <w:pPr>
        <w:spacing w:line="360" w:lineRule="auto"/>
        <w:jc w:val="both"/>
      </w:pPr>
      <w:r w:rsidRPr="00657162">
        <w:rPr>
          <w:rFonts w:ascii="Book Antiqua" w:eastAsia="Book Antiqua" w:hAnsi="Book Antiqua" w:cs="Book Antiqua"/>
          <w:b/>
          <w:bCs/>
          <w:i/>
          <w:iCs/>
          <w:color w:val="000000"/>
        </w:rPr>
        <w:t>HPS</w:t>
      </w:r>
    </w:p>
    <w:p w14:paraId="4DA5EFCE" w14:textId="6A894543" w:rsidR="00A77B3E" w:rsidRDefault="00D8132F">
      <w:pPr>
        <w:spacing w:line="360" w:lineRule="auto"/>
        <w:jc w:val="both"/>
      </w:pPr>
      <w:r>
        <w:rPr>
          <w:rFonts w:ascii="Book Antiqua" w:eastAsia="Book Antiqua" w:hAnsi="Book Antiqua" w:cs="Book Antiqua"/>
          <w:color w:val="000000"/>
        </w:rPr>
        <w:t xml:space="preserve">In HPS, patients with underlying chronic liver disease present with shortness of breath and hypoxemia, which occurs secondary to pulmonary vasodilation and intrapulmonary </w:t>
      </w:r>
      <w:proofErr w:type="gramStart"/>
      <w:r>
        <w:rPr>
          <w:rFonts w:ascii="Book Antiqua" w:eastAsia="Book Antiqua" w:hAnsi="Book Antiqua" w:cs="Book Antiqua"/>
          <w:color w:val="000000"/>
        </w:rPr>
        <w:t>shunts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Liver transplantation is considered as the most effective </w:t>
      </w:r>
      <w:r>
        <w:rPr>
          <w:rFonts w:ascii="Book Antiqua" w:eastAsia="Book Antiqua" w:hAnsi="Book Antiqua" w:cs="Book Antiqua"/>
          <w:color w:val="000000"/>
        </w:rPr>
        <w:lastRenderedPageBreak/>
        <w:t xml:space="preserve">treatment in </w:t>
      </w:r>
      <w:proofErr w:type="gramStart"/>
      <w:r>
        <w:rPr>
          <w:rFonts w:ascii="Book Antiqua" w:eastAsia="Book Antiqua" w:hAnsi="Book Antiqua" w:cs="Book Antiqua"/>
          <w:color w:val="000000"/>
        </w:rPr>
        <w:t>HPS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xml:space="preserve">. PH is one of the key events that is considered to play a role in the pathogenesis of this syndrome, and hence reduction of portal pressure using TIPS may be considered as an alternative therapeutic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157,158]</w:t>
      </w:r>
      <w:r>
        <w:rPr>
          <w:rFonts w:ascii="Book Antiqua" w:eastAsia="Book Antiqua" w:hAnsi="Book Antiqua" w:cs="Book Antiqua"/>
          <w:color w:val="000000"/>
        </w:rPr>
        <w:t xml:space="preserve">. Few studies have compared the difference between a left branch of the portal vein (LPV-TIPS) and right branch of the portal vein (RPV-TIPS) for performing TIPS and have shown that the incidence of </w:t>
      </w:r>
      <w:r w:rsidR="004664B9">
        <w:rPr>
          <w:rFonts w:ascii="Book Antiqua" w:eastAsia="Book Antiqua" w:hAnsi="Book Antiqua" w:cs="Book Antiqua"/>
          <w:color w:val="000000"/>
        </w:rPr>
        <w:t>HE</w:t>
      </w:r>
      <w:r>
        <w:rPr>
          <w:rFonts w:ascii="Book Antiqua" w:eastAsia="Book Antiqua" w:hAnsi="Book Antiqua" w:cs="Book Antiqua"/>
          <w:color w:val="000000"/>
        </w:rPr>
        <w:t xml:space="preserve"> is lower in LPV-TIPS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159,160]</w:t>
      </w:r>
      <w:r>
        <w:rPr>
          <w:rFonts w:ascii="Book Antiqua" w:eastAsia="Book Antiqua" w:hAnsi="Book Antiqua" w:cs="Book Antiqua"/>
          <w:color w:val="000000"/>
        </w:rPr>
        <w:t xml:space="preserve">.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1513">
        <w:rPr>
          <w:rFonts w:ascii="Book Antiqua" w:eastAsia="Book Antiqua" w:hAnsi="Book Antiqua" w:cs="Book Antiqua"/>
          <w:color w:val="000000"/>
          <w:szCs w:val="30"/>
          <w:vertAlign w:val="superscript"/>
        </w:rPr>
        <w:t>[</w:t>
      </w:r>
      <w:proofErr w:type="gramEnd"/>
      <w:r w:rsidR="006A1513">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in their study recommend LPV-TIPS over RPV-TIPS to improve the symptoms of hypoxemia and thereby improve the arterial oxygenation. Even though controlled studies assessing the role of TIPS in HPS are lacking, there is evidence of improvement in oxygenation after the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161-163]</w:t>
      </w:r>
      <w:r>
        <w:rPr>
          <w:rFonts w:ascii="Book Antiqua" w:eastAsia="Book Antiqua" w:hAnsi="Book Antiqua" w:cs="Book Antiqua"/>
          <w:color w:val="000000"/>
        </w:rPr>
        <w:t xml:space="preserve">. TIPS also has a role in patients awaiting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155,164,165]</w:t>
      </w:r>
      <w:r>
        <w:rPr>
          <w:rFonts w:ascii="Book Antiqua" w:eastAsia="Book Antiqua" w:hAnsi="Book Antiqua" w:cs="Book Antiqua"/>
          <w:color w:val="000000"/>
        </w:rPr>
        <w:t>. Additional prospective studies are required to understand the pathogenesis of this syndrome and identify the effects of reducing portal pressure.</w:t>
      </w:r>
    </w:p>
    <w:p w14:paraId="71ED9EA1" w14:textId="77777777" w:rsidR="00A77B3E" w:rsidRDefault="00A77B3E">
      <w:pPr>
        <w:spacing w:line="360" w:lineRule="auto"/>
        <w:jc w:val="both"/>
      </w:pPr>
    </w:p>
    <w:p w14:paraId="43EB7CCD" w14:textId="77777777" w:rsidR="00A77B3E" w:rsidRDefault="00D8132F">
      <w:pPr>
        <w:spacing w:line="360" w:lineRule="auto"/>
        <w:jc w:val="both"/>
      </w:pPr>
      <w:r>
        <w:rPr>
          <w:rFonts w:ascii="Book Antiqua" w:eastAsia="Book Antiqua" w:hAnsi="Book Antiqua" w:cs="Book Antiqua"/>
          <w:b/>
          <w:bCs/>
          <w:caps/>
          <w:color w:val="000000"/>
          <w:u w:val="single"/>
        </w:rPr>
        <w:t>CONSIDERATIONS DURING SELECTION OF PATIENTS FOR TIPS</w:t>
      </w:r>
    </w:p>
    <w:p w14:paraId="3C1F971E"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Age</w:t>
      </w:r>
    </w:p>
    <w:p w14:paraId="22F54127" w14:textId="2828DEB0" w:rsidR="00A77B3E" w:rsidRDefault="00D8132F">
      <w:pPr>
        <w:spacing w:line="360" w:lineRule="auto"/>
        <w:jc w:val="both"/>
      </w:pPr>
      <w:r>
        <w:rPr>
          <w:rFonts w:ascii="Book Antiqua" w:eastAsia="Book Antiqua" w:hAnsi="Book Antiqua" w:cs="Book Antiqua"/>
          <w:color w:val="000000"/>
        </w:rPr>
        <w:t xml:space="preserve">Initial studies identified advanced age as an independent predictor of early mortality after TIPS, attributing it to age-related physiologic decline in hepatic functional reserve, which might not be picked up on routine laboratory </w:t>
      </w:r>
      <w:proofErr w:type="gramStart"/>
      <w:r>
        <w:rPr>
          <w:rFonts w:ascii="Book Antiqua" w:eastAsia="Book Antiqua" w:hAnsi="Book Antiqua" w:cs="Book Antiqua"/>
          <w:color w:val="000000"/>
        </w:rPr>
        <w:t>tests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166,167]</w:t>
      </w:r>
      <w:r>
        <w:rPr>
          <w:rFonts w:ascii="Book Antiqua" w:eastAsia="Book Antiqua" w:hAnsi="Book Antiqua" w:cs="Book Antiqua"/>
          <w:color w:val="000000"/>
        </w:rPr>
        <w:t xml:space="preserve">. However, the majority of patients in these studies received bare-metal stents for TIPS. Also, there was significant heterogeneity in terms of severity of underlying disease in the study group with different cut-offs for defining advanced age, precluding drawing of any robust conclusions. Nevertheless, a recent study using covered stents for TIPS did find a trend towards greater mortality and hospitalization in the elderly, without reaching statistical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xml:space="preserve">. Another retrospective study in which the subjects were well matched for MELD score, indication for TIPS, and comorbidities showed that age is strongly and independently associated with 90-day post-TIPS mortality risk, particularly in those &gt; 70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Adlakha </w:t>
      </w:r>
      <w:r>
        <w:rPr>
          <w:rFonts w:ascii="Book Antiqua" w:eastAsia="Book Antiqua" w:hAnsi="Book Antiqua" w:cs="Book Antiqua"/>
          <w:i/>
          <w:iCs/>
          <w:color w:val="000000"/>
        </w:rPr>
        <w:t>et al</w:t>
      </w:r>
      <w:r w:rsidR="006A1513">
        <w:rPr>
          <w:rFonts w:ascii="Book Antiqua" w:eastAsia="Book Antiqua" w:hAnsi="Book Antiqua" w:cs="Book Antiqua"/>
          <w:color w:val="000000"/>
          <w:szCs w:val="30"/>
          <w:vertAlign w:val="superscript"/>
        </w:rPr>
        <w:t>[170]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 retrospective study of 100 patients, </w:t>
      </w:r>
      <w:r w:rsidR="00024964">
        <w:rPr>
          <w:rFonts w:ascii="Book Antiqua" w:eastAsia="Book Antiqua" w:hAnsi="Book Antiqua" w:cs="Book Antiqua"/>
          <w:color w:val="000000"/>
        </w:rPr>
        <w:t>similarly</w:t>
      </w:r>
      <w:r>
        <w:rPr>
          <w:rFonts w:ascii="Book Antiqua" w:eastAsia="Book Antiqua" w:hAnsi="Book Antiqua" w:cs="Book Antiqua"/>
          <w:color w:val="000000"/>
        </w:rPr>
        <w:t xml:space="preserve"> showed that re-admission rates and incidence of severe HE requiring hospital admission were higher in elderly patients, even after accounting for MELD score. They also found that </w:t>
      </w:r>
      <w:r>
        <w:rPr>
          <w:rFonts w:ascii="Book Antiqua" w:eastAsia="Book Antiqua" w:hAnsi="Book Antiqua" w:cs="Book Antiqua"/>
          <w:color w:val="000000"/>
        </w:rPr>
        <w:lastRenderedPageBreak/>
        <w:t xml:space="preserve">TIPS for secondary prophylaxis of variceal bleeding,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and </w:t>
      </w:r>
      <w:r w:rsidR="001228A4">
        <w:rPr>
          <w:rFonts w:ascii="Book Antiqua" w:eastAsia="Book Antiqua" w:hAnsi="Book Antiqua" w:cs="Book Antiqua"/>
          <w:color w:val="000000"/>
        </w:rPr>
        <w:t>HH</w:t>
      </w:r>
      <w:r>
        <w:rPr>
          <w:rFonts w:ascii="Book Antiqua" w:eastAsia="Book Antiqua" w:hAnsi="Book Antiqua" w:cs="Book Antiqua"/>
          <w:color w:val="000000"/>
        </w:rPr>
        <w:t xml:space="preserve"> had acceptable morbidity and mortality. However, there was high mortality when TIPS was placed for acute variceal bleed, even in patients with MELD score &lt; 18. There was a trend towards increased 30</w:t>
      </w:r>
      <w:r w:rsidR="00C14913">
        <w:rPr>
          <w:rFonts w:ascii="Book Antiqua" w:eastAsia="Book Antiqua" w:hAnsi="Book Antiqua" w:cs="Book Antiqua"/>
          <w:color w:val="000000"/>
        </w:rPr>
        <w:t xml:space="preserve"> </w:t>
      </w:r>
      <w:r>
        <w:rPr>
          <w:rFonts w:ascii="Book Antiqua" w:eastAsia="Book Antiqua" w:hAnsi="Book Antiqua" w:cs="Book Antiqua"/>
          <w:color w:val="000000"/>
        </w:rPr>
        <w:t xml:space="preserve">d mortality despite a low baseline MELD, particularly in patients aged 80 years and more, without reaching statistical significance. Current evidence suggests that older age (no absolute cut-off; generally accepted as &gt; 65 years) is a relevant consideration in assessing mortality risk of TIPS. However, advanced age alone should not be an absolute contraindication for TIPS, especially for conditions in which TIPS has proven benefit in terms of symptomatic relief and survival, like acute variceal bleeding 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These patients should be followed for </w:t>
      </w:r>
      <w:r w:rsidR="00024964">
        <w:rPr>
          <w:rFonts w:ascii="Book Antiqua" w:eastAsia="Book Antiqua" w:hAnsi="Book Antiqua" w:cs="Book Antiqua"/>
          <w:color w:val="000000"/>
        </w:rPr>
        <w:t>occurrence</w:t>
      </w:r>
      <w:r>
        <w:rPr>
          <w:rFonts w:ascii="Book Antiqua" w:eastAsia="Book Antiqua" w:hAnsi="Book Antiqua" w:cs="Book Antiqua"/>
          <w:color w:val="000000"/>
        </w:rPr>
        <w:t xml:space="preserve"> of HE after TIPS closely. Moreover, the need for frequent readmissions and the heightened risk of early mortality should be part of routine counseling before TIPS in this subset of patients. </w:t>
      </w:r>
    </w:p>
    <w:p w14:paraId="35D1342F" w14:textId="77777777" w:rsidR="00A77B3E" w:rsidRDefault="00A77B3E">
      <w:pPr>
        <w:spacing w:line="360" w:lineRule="auto"/>
        <w:jc w:val="both"/>
      </w:pPr>
    </w:p>
    <w:p w14:paraId="35CBBFB3" w14:textId="40857ECC" w:rsidR="00A77B3E" w:rsidRDefault="004664B9">
      <w:pPr>
        <w:spacing w:line="360" w:lineRule="auto"/>
        <w:jc w:val="both"/>
      </w:pPr>
      <w:r w:rsidRPr="00657162">
        <w:rPr>
          <w:rFonts w:ascii="Book Antiqua" w:eastAsia="Book Antiqua" w:hAnsi="Book Antiqua" w:cs="Book Antiqua"/>
          <w:b/>
          <w:bCs/>
          <w:i/>
          <w:iCs/>
          <w:color w:val="000000"/>
        </w:rPr>
        <w:t>HE</w:t>
      </w:r>
    </w:p>
    <w:p w14:paraId="6485FA96" w14:textId="42F3C34E" w:rsidR="00A77B3E" w:rsidRDefault="00D8132F">
      <w:pPr>
        <w:spacing w:line="360" w:lineRule="auto"/>
        <w:jc w:val="both"/>
      </w:pPr>
      <w:r>
        <w:rPr>
          <w:rFonts w:ascii="Book Antiqua" w:eastAsia="Book Antiqua" w:hAnsi="Book Antiqua" w:cs="Book Antiqua"/>
          <w:color w:val="000000"/>
        </w:rPr>
        <w:t xml:space="preserve">Multiple studies have shown that TIPS, by portosystemic shunting, increases the risk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171,172]</w:t>
      </w:r>
      <w:r>
        <w:rPr>
          <w:rFonts w:ascii="Book Antiqua" w:eastAsia="Book Antiqua" w:hAnsi="Book Antiqua" w:cs="Book Antiqua"/>
          <w:color w:val="000000"/>
        </w:rPr>
        <w:t>. The median cumulative 1-year incidence of overt HE after TIPS has been reported to be between 10% and 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172,173]</w:t>
      </w:r>
      <w:r>
        <w:rPr>
          <w:rFonts w:ascii="Book Antiqua" w:eastAsia="Book Antiqua" w:hAnsi="Book Antiqua" w:cs="Book Antiqua"/>
          <w:color w:val="000000"/>
        </w:rPr>
        <w:t>. The incidence of persistent overt HE is around 8% and that of de-novo, covert HE around 35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w:t>
      </w:r>
      <w:r>
        <w:rPr>
          <w:rFonts w:ascii="Book Antiqua" w:eastAsia="Book Antiqua" w:hAnsi="Book Antiqua" w:cs="Book Antiqua"/>
          <w:color w:val="000000"/>
        </w:rPr>
        <w:t xml:space="preserve">. However, even in the mildest form, HE significantly reduces health-related quality of life and reflects a poor outcome of TIPS, especially when the procedure was done as palliative therapy in an elective setting. One study showed that neither rifaximin nor lactulose prevented post-TIPS HE any better than the </w:t>
      </w:r>
      <w:proofErr w:type="gramStart"/>
      <w:r>
        <w:rPr>
          <w:rFonts w:ascii="Book Antiqua" w:eastAsia="Book Antiqua" w:hAnsi="Book Antiqua" w:cs="Book Antiqua"/>
          <w:color w:val="000000"/>
        </w:rPr>
        <w:t>placebo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174]</w:t>
      </w:r>
      <w:r>
        <w:rPr>
          <w:rFonts w:ascii="Book Antiqua" w:eastAsia="Book Antiqua" w:hAnsi="Book Antiqua" w:cs="Book Antiqua"/>
          <w:color w:val="000000"/>
        </w:rPr>
        <w:t xml:space="preserve">. Thus, careful case selection is the most effective way to reduce the incidence of HE after TIPS. Risk factors for HE post-TIPS include advanced age, the severity of the liver disease, sarcopenia, history of prior encephalopathy, and the presence of any pre-existing portosystemic </w:t>
      </w:r>
      <w:proofErr w:type="gramStart"/>
      <w:r>
        <w:rPr>
          <w:rFonts w:ascii="Book Antiqua" w:eastAsia="Book Antiqua" w:hAnsi="Book Antiqua" w:cs="Book Antiqua"/>
          <w:color w:val="000000"/>
        </w:rPr>
        <w:t>shunt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173]</w:t>
      </w:r>
      <w:r>
        <w:rPr>
          <w:rFonts w:ascii="Book Antiqua" w:eastAsia="Book Antiqua" w:hAnsi="Book Antiqua" w:cs="Book Antiqua"/>
          <w:color w:val="000000"/>
        </w:rPr>
        <w:t xml:space="preserve">. Diabetes has also recently been recognized as a risk factor for HE, which is particularly important in the current scenario where a significant proportion of patients who come for TIPS have NASH-related cirrhosis associated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175]</w:t>
      </w:r>
      <w:r>
        <w:rPr>
          <w:rFonts w:ascii="Book Antiqua" w:eastAsia="Book Antiqua" w:hAnsi="Book Antiqua" w:cs="Book Antiqua"/>
          <w:color w:val="000000"/>
        </w:rPr>
        <w:t xml:space="preserve">. Although age &gt; 65 is not an absolute contraindication, it might increase the risk of encephalopathy and should be </w:t>
      </w:r>
      <w:r>
        <w:rPr>
          <w:rFonts w:ascii="Book Antiqua" w:eastAsia="Book Antiqua" w:hAnsi="Book Antiqua" w:cs="Book Antiqua"/>
          <w:color w:val="000000"/>
        </w:rPr>
        <w:lastRenderedPageBreak/>
        <w:t xml:space="preserve">taken into account when deciding the eligibility, especially for elective TIPS. Similarly, although studies have suggested that sarcopenia and HE are causally related, an overall improvement in muscle mass and density after TIPS has also been reported in recent literature, which resulted in a reduction in episodes of overt HE and venous ammonia levels. Furthermore, the majority of patients who come for elective TIPS will have relatively well-preserved hepatic and renal functions without any documented history of overt HE. Diligent screening of these patients to identify signs of covert HE is crucial. Patients who have evidence of covert HE should ideally not undergo TIPS for an elective indication unless there is a large portosystemic shunt that can be </w:t>
      </w:r>
      <w:r w:rsidR="00024964">
        <w:rPr>
          <w:rFonts w:ascii="Book Antiqua" w:eastAsia="Book Antiqua" w:hAnsi="Book Antiqua" w:cs="Book Antiqua"/>
          <w:color w:val="000000"/>
        </w:rPr>
        <w:t>embolized</w:t>
      </w:r>
      <w:r>
        <w:rPr>
          <w:rFonts w:ascii="Book Antiqua" w:eastAsia="Book Antiqua" w:hAnsi="Book Antiqua" w:cs="Book Antiqua"/>
          <w:color w:val="000000"/>
        </w:rPr>
        <w:t xml:space="preserve"> during TIPS. Stent characteristics and desired portal pressure gradient reduction has been implicated in post TIPS HE. Recent studies have shown reduced rates of HE with covered TIPS stents compared to bare-metal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However, conclusive evidence is still lacking. Similarly, there is a lack of consensus on whether to aim to reduce PSPG by 20% or below 12 mmHg (discussed later). Too low a pressure because of large stent diameter has been shown to predispose to intractable HE in some studies.</w:t>
      </w:r>
    </w:p>
    <w:p w14:paraId="02EB2E0E" w14:textId="77777777" w:rsidR="00A77B3E" w:rsidRDefault="00A77B3E">
      <w:pPr>
        <w:spacing w:line="360" w:lineRule="auto"/>
        <w:jc w:val="both"/>
      </w:pPr>
    </w:p>
    <w:p w14:paraId="13526F3C"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Cardiopulmonary status</w:t>
      </w:r>
    </w:p>
    <w:p w14:paraId="5C82015A" w14:textId="35A16B25" w:rsidR="00A77B3E" w:rsidRDefault="00D8132F">
      <w:pPr>
        <w:spacing w:line="360" w:lineRule="auto"/>
        <w:jc w:val="both"/>
      </w:pPr>
      <w:r>
        <w:rPr>
          <w:rFonts w:ascii="Book Antiqua" w:eastAsia="Book Antiqua" w:hAnsi="Book Antiqua" w:cs="Book Antiqua"/>
          <w:color w:val="000000"/>
        </w:rPr>
        <w:t xml:space="preserve">In advanced stages of cirrhosis, structural, and functional cardiac abnormalities occur. This cirrhosis associated cardiomyopathy (CCM) leads to impaired contractile responsiveness to stress, diastolic dysfunction, myocardial hypertrophy, and electrophysiological abnormalities in the absence of other known cardiac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176,177]</w:t>
      </w:r>
      <w:r>
        <w:rPr>
          <w:rFonts w:ascii="Book Antiqua" w:eastAsia="Book Antiqua" w:hAnsi="Book Antiqua" w:cs="Book Antiqua"/>
          <w:color w:val="000000"/>
        </w:rPr>
        <w:t xml:space="preserve">. </w:t>
      </w:r>
      <w:r w:rsidR="00C14913">
        <w:rPr>
          <w:rFonts w:ascii="Book Antiqua" w:eastAsia="Book Antiqua" w:hAnsi="Book Antiqua" w:cs="Book Antiqua"/>
          <w:color w:val="000000"/>
        </w:rPr>
        <w:t>Cirrhosis associated cardiomyopathy</w:t>
      </w:r>
      <w:r>
        <w:rPr>
          <w:rFonts w:ascii="Book Antiqua" w:eastAsia="Book Antiqua" w:hAnsi="Book Antiqua" w:cs="Book Antiqua"/>
          <w:color w:val="000000"/>
        </w:rPr>
        <w:t xml:space="preserve"> has been suggested as a key factor in the development of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hyponatremia, and </w:t>
      </w:r>
      <w:r w:rsidR="001228A4">
        <w:rPr>
          <w:rFonts w:ascii="Book Antiqua" w:eastAsia="Book Antiqua" w:hAnsi="Book Antiqua" w:cs="Book Antiqua"/>
          <w:color w:val="000000"/>
        </w:rPr>
        <w:t>HRS</w:t>
      </w:r>
      <w:r>
        <w:rPr>
          <w:rFonts w:ascii="Book Antiqua" w:eastAsia="Book Antiqua" w:hAnsi="Book Antiqua" w:cs="Book Antiqua"/>
          <w:color w:val="000000"/>
        </w:rPr>
        <w:t xml:space="preserve">. As many as 50% of end-stage patients undergoing liver transplantation show signs of cardiac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177-179]</w:t>
      </w:r>
      <w:r>
        <w:rPr>
          <w:rFonts w:ascii="Book Antiqua" w:eastAsia="Book Antiqua" w:hAnsi="Book Antiqua" w:cs="Book Antiqua"/>
          <w:color w:val="000000"/>
        </w:rPr>
        <w:t xml:space="preserve">. Shunting of portal blood into the systemic circulation after TIPS leads to a sudden increase in cardiac preload and output that can rapidly worsen the hyperdynamic circulatory state in patients with cirrhosis. Cardiac complications noted post-TIPS commonly include clinically evident heart failure in those with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Long-term cardiovascular changes, including cardiac volume overload and an increased rate of pulmonary hypertension, </w:t>
      </w:r>
      <w:r>
        <w:rPr>
          <w:rFonts w:ascii="Book Antiqua" w:eastAsia="Book Antiqua" w:hAnsi="Book Antiqua" w:cs="Book Antiqua"/>
          <w:color w:val="000000"/>
        </w:rPr>
        <w:lastRenderedPageBreak/>
        <w:t xml:space="preserve">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180]</w:t>
      </w:r>
      <w:r>
        <w:rPr>
          <w:rFonts w:ascii="Book Antiqua" w:eastAsia="Book Antiqua" w:hAnsi="Book Antiqua" w:cs="Book Antiqua"/>
          <w:color w:val="000000"/>
        </w:rPr>
        <w:t xml:space="preserve">. Initial prospective studies reported that the presence of diastolic dysfunction before TIPS was associated with post-procedural mortality within one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178,181]</w:t>
      </w:r>
      <w:r>
        <w:rPr>
          <w:rFonts w:ascii="Book Antiqua" w:eastAsia="Book Antiqua" w:hAnsi="Book Antiqua" w:cs="Book Antiqua"/>
          <w:color w:val="000000"/>
        </w:rPr>
        <w:t>. However, these studies lacked an independent, blinded review of the echocardiography and relied solely on E/A (early maximal ventricular filling velocity/atrial maximal ventricular filling velocity) ratio &lt;</w:t>
      </w:r>
      <w:r w:rsidR="00C14913">
        <w:rPr>
          <w:rFonts w:ascii="Book Antiqua" w:eastAsia="Book Antiqua" w:hAnsi="Book Antiqua" w:cs="Book Antiqua"/>
          <w:color w:val="000000"/>
        </w:rPr>
        <w:t xml:space="preserve"> </w:t>
      </w:r>
      <w:r>
        <w:rPr>
          <w:rFonts w:ascii="Book Antiqua" w:eastAsia="Book Antiqua" w:hAnsi="Book Antiqua" w:cs="Book Antiqua"/>
          <w:color w:val="000000"/>
        </w:rPr>
        <w:t>1.0 to define diastolic dysfunction.</w:t>
      </w:r>
    </w:p>
    <w:p w14:paraId="027ABF27" w14:textId="497E3AA1" w:rsidR="00A77B3E" w:rsidRDefault="00D8132F" w:rsidP="00657162">
      <w:pPr>
        <w:spacing w:line="360" w:lineRule="auto"/>
        <w:ind w:firstLineChars="100" w:firstLine="240"/>
        <w:jc w:val="both"/>
      </w:pPr>
      <w:r>
        <w:rPr>
          <w:rFonts w:ascii="Book Antiqua" w:eastAsia="Book Antiqua" w:hAnsi="Book Antiqua" w:cs="Book Antiqua"/>
          <w:color w:val="000000"/>
        </w:rPr>
        <w:t>Recent studies have found no relationship between diastolic dysfunction and post-TIPS survival or cardiac failure despite pre-TIPS rates of diastolic dysfunction ranging from 30%</w:t>
      </w:r>
      <w:r w:rsidR="00C14913">
        <w:rPr>
          <w:rFonts w:ascii="Book Antiqua" w:eastAsia="Book Antiqua" w:hAnsi="Book Antiqua" w:cs="Book Antiqua"/>
          <w:color w:val="000000"/>
        </w:rPr>
        <w:t>-</w:t>
      </w:r>
      <w:r>
        <w:rPr>
          <w:rFonts w:ascii="Book Antiqua" w:eastAsia="Book Antiqua" w:hAnsi="Book Antiqua" w:cs="Book Antiqua"/>
          <w:color w:val="000000"/>
        </w:rPr>
        <w:t>45%</w:t>
      </w:r>
      <w:r>
        <w:rPr>
          <w:rFonts w:ascii="Book Antiqua" w:eastAsia="Book Antiqua" w:hAnsi="Book Antiqua" w:cs="Book Antiqua"/>
          <w:color w:val="000000"/>
          <w:szCs w:val="30"/>
          <w:vertAlign w:val="superscript"/>
        </w:rPr>
        <w:t>[180,182,183]</w:t>
      </w:r>
      <w:r>
        <w:rPr>
          <w:rFonts w:ascii="Book Antiqua" w:eastAsia="Book Antiqua" w:hAnsi="Book Antiqua" w:cs="Book Antiqua"/>
          <w:color w:val="000000"/>
        </w:rPr>
        <w:t>. Another study found that symptomatic heart failure was rare after TIPS (seen in &lt;</w:t>
      </w:r>
      <w:r w:rsidR="00C14913">
        <w:rPr>
          <w:rFonts w:ascii="Book Antiqua" w:eastAsia="Book Antiqua" w:hAnsi="Book Antiqua" w:cs="Book Antiqua"/>
          <w:color w:val="000000"/>
        </w:rPr>
        <w:t xml:space="preserve"> </w:t>
      </w:r>
      <w:r>
        <w:rPr>
          <w:rFonts w:ascii="Book Antiqua" w:eastAsia="Book Antiqua" w:hAnsi="Book Antiqua" w:cs="Book Antiqua"/>
          <w:color w:val="000000"/>
        </w:rPr>
        <w:t xml:space="preserve">1% of patients) and that this condition can be managed successfully when it is recognized </w:t>
      </w:r>
      <w:proofErr w:type="gramStart"/>
      <w:r>
        <w:rPr>
          <w:rFonts w:ascii="Book Antiqua" w:eastAsia="Book Antiqua" w:hAnsi="Book Antiqua" w:cs="Book Antiqua"/>
          <w:color w:val="000000"/>
        </w:rPr>
        <w:t>early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184]</w:t>
      </w:r>
      <w:r>
        <w:rPr>
          <w:rFonts w:ascii="Book Antiqua" w:eastAsia="Book Antiqua" w:hAnsi="Book Antiqua" w:cs="Book Antiqua"/>
          <w:color w:val="000000"/>
        </w:rPr>
        <w:t xml:space="preserve">. However, a recent prospective study of 100 patients from France undergoing a complete cardiac evaluation before TIPS found that hospitalization for cardiac decompensation was observed in 20% of patients in the year after TIPS </w:t>
      </w:r>
      <w:proofErr w:type="gramStart"/>
      <w:r>
        <w:rPr>
          <w:rFonts w:ascii="Book Antiqua" w:eastAsia="Book Antiqua" w:hAnsi="Book Antiqua" w:cs="Book Antiqua"/>
          <w:color w:val="000000"/>
        </w:rPr>
        <w:t>insertion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185]</w:t>
      </w:r>
      <w:r>
        <w:rPr>
          <w:rFonts w:ascii="Book Antiqua" w:eastAsia="Book Antiqua" w:hAnsi="Book Antiqua" w:cs="Book Antiqua"/>
          <w:color w:val="000000"/>
        </w:rPr>
        <w:t xml:space="preserve">. The serum N-Terminal pro-B-type natriuretic peptide (NT-proBNP) was found to be predictive of cardiac decompensation after TIPS, but not mortality. The authors recommended that combining BNP or NT-proBNP levels and echocardiographic parameters should help improve patient selection. Recently left ventricular global longitudinal strain has been utilized to identify cirrhotic patients with underlying cardiac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186]</w:t>
      </w:r>
      <w:r>
        <w:rPr>
          <w:rFonts w:ascii="Book Antiqua" w:eastAsia="Book Antiqua" w:hAnsi="Book Antiqua" w:cs="Book Antiqua"/>
          <w:color w:val="000000"/>
        </w:rPr>
        <w:t xml:space="preserve">. It was found that impaired cardiac contractility, reflected by higher </w:t>
      </w:r>
      <w:r w:rsidR="00C14913">
        <w:rPr>
          <w:rFonts w:ascii="Book Antiqua" w:eastAsia="Book Antiqua" w:hAnsi="Book Antiqua" w:cs="Book Antiqua"/>
          <w:color w:val="000000"/>
        </w:rPr>
        <w:t>left ventricular global longitudinal strain</w:t>
      </w:r>
      <w:r>
        <w:rPr>
          <w:rFonts w:ascii="Book Antiqua" w:eastAsia="Book Antiqua" w:hAnsi="Book Antiqua" w:cs="Book Antiqua"/>
          <w:color w:val="000000"/>
        </w:rPr>
        <w:t xml:space="preserve">, predisposes to the development of </w:t>
      </w:r>
      <w:r w:rsidR="00C14913" w:rsidRPr="00C14913">
        <w:rPr>
          <w:rFonts w:ascii="Book Antiqua" w:eastAsia="Book Antiqua" w:hAnsi="Book Antiqua" w:cs="Book Antiqua"/>
          <w:color w:val="000000"/>
        </w:rPr>
        <w:t>acute-on-chronic liver failure</w:t>
      </w:r>
      <w:r>
        <w:rPr>
          <w:rFonts w:ascii="Book Antiqua" w:eastAsia="Book Antiqua" w:hAnsi="Book Antiqua" w:cs="Book Antiqua"/>
          <w:color w:val="000000"/>
        </w:rPr>
        <w:t xml:space="preserve"> and death in cirrhosis.</w:t>
      </w:r>
    </w:p>
    <w:p w14:paraId="4390C57F" w14:textId="0753402D" w:rsidR="00A77B3E" w:rsidRDefault="00D8132F" w:rsidP="00C14913">
      <w:pPr>
        <w:spacing w:line="360" w:lineRule="auto"/>
        <w:ind w:firstLineChars="100" w:firstLine="240"/>
        <w:jc w:val="both"/>
      </w:pPr>
      <w:r>
        <w:rPr>
          <w:rFonts w:ascii="Book Antiqua" w:eastAsia="Book Antiqua" w:hAnsi="Book Antiqua" w:cs="Book Antiqua"/>
          <w:color w:val="000000"/>
        </w:rPr>
        <w:t xml:space="preserve">Current guidelines suggest a detailed cardiac history, physical examination, 12-lead </w:t>
      </w:r>
      <w:r w:rsidR="004D5BB8" w:rsidRPr="004D5BB8">
        <w:rPr>
          <w:rFonts w:ascii="Book Antiqua" w:eastAsia="Book Antiqua" w:hAnsi="Book Antiqua" w:cs="Book Antiqua"/>
          <w:color w:val="000000"/>
        </w:rPr>
        <w:t>electrocardiogram</w:t>
      </w:r>
      <w:r>
        <w:rPr>
          <w:rFonts w:ascii="Book Antiqua" w:eastAsia="Book Antiqua" w:hAnsi="Book Antiqua" w:cs="Book Antiqua"/>
          <w:color w:val="000000"/>
        </w:rPr>
        <w:t xml:space="preserve">, echocardiography, and NT-proBNP in all patients undergoing elective TIPS placement with invasive cardiac assessment reserved for patients in whom the initial evaluation is </w:t>
      </w:r>
      <w:proofErr w:type="gramStart"/>
      <w:r>
        <w:rPr>
          <w:rFonts w:ascii="Book Antiqua" w:eastAsia="Book Antiqua" w:hAnsi="Book Antiqua" w:cs="Book Antiqua"/>
          <w:color w:val="000000"/>
        </w:rPr>
        <w:t>abnormal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Severe PAH</w:t>
      </w:r>
      <w:r w:rsidR="004D5BB8">
        <w:rPr>
          <w:rFonts w:ascii="Book Antiqua" w:eastAsia="Book Antiqua" w:hAnsi="Book Antiqua" w:cs="Book Antiqua"/>
          <w:color w:val="000000"/>
        </w:rPr>
        <w:t>-</w:t>
      </w:r>
      <w:r>
        <w:rPr>
          <w:rFonts w:ascii="Book Antiqua" w:eastAsia="Book Antiqua" w:hAnsi="Book Antiqua" w:cs="Book Antiqua"/>
          <w:color w:val="000000"/>
        </w:rPr>
        <w:t>defined as mean pulmonary artery pressure (mPAP) &gt;</w:t>
      </w:r>
      <w:r w:rsidR="004D5BB8">
        <w:rPr>
          <w:rFonts w:ascii="Book Antiqua" w:eastAsia="Book Antiqua" w:hAnsi="Book Antiqua" w:cs="Book Antiqua"/>
          <w:color w:val="000000"/>
        </w:rPr>
        <w:t xml:space="preserve"> </w:t>
      </w:r>
      <w:r>
        <w:rPr>
          <w:rFonts w:ascii="Book Antiqua" w:eastAsia="Book Antiqua" w:hAnsi="Book Antiqua" w:cs="Book Antiqua"/>
          <w:color w:val="000000"/>
        </w:rPr>
        <w:t>45 mmHg</w:t>
      </w:r>
      <w:r w:rsidR="004D5BB8">
        <w:rPr>
          <w:rFonts w:ascii="Book Antiqua" w:eastAsia="Book Antiqua" w:hAnsi="Book Antiqua" w:cs="Book Antiqua"/>
          <w:color w:val="000000"/>
        </w:rPr>
        <w:t>-</w:t>
      </w:r>
      <w:r>
        <w:rPr>
          <w:rFonts w:ascii="Book Antiqua" w:eastAsia="Book Antiqua" w:hAnsi="Book Antiqua" w:cs="Book Antiqua"/>
          <w:color w:val="000000"/>
        </w:rPr>
        <w:t xml:space="preserve">represents an absolute contraindication to TIPS. In patients with moderate PAH (mPAP between 35-45 mmHg) with elevated pulmonary capillary wedge pressure (&gt; 15 mmHg), TIPS can be placed in emergencies for established indications (like variceal bleeding refractory to endoscopic and </w:t>
      </w:r>
      <w:r>
        <w:rPr>
          <w:rFonts w:ascii="Book Antiqua" w:eastAsia="Book Antiqua" w:hAnsi="Book Antiqua" w:cs="Book Antiqua"/>
          <w:color w:val="000000"/>
        </w:rPr>
        <w:lastRenderedPageBreak/>
        <w:t>pharmacologic treatment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xml:space="preserve">. In patients with severe left ventricular dysfunction, elective TIPS is contraindicated. The cardiologic workup should also include contrast echocardiography aimed to demonstrate a patent foramen ovale, particularly in patients with </w:t>
      </w:r>
      <w:r w:rsidR="001228A4">
        <w:rPr>
          <w:rFonts w:ascii="Book Antiqua" w:eastAsia="Book Antiqua" w:hAnsi="Book Antiqua" w:cs="Book Antiqua"/>
          <w:color w:val="000000"/>
        </w:rPr>
        <w:t>PVT</w:t>
      </w:r>
      <w:r>
        <w:rPr>
          <w:rFonts w:ascii="Book Antiqua" w:eastAsia="Book Antiqua" w:hAnsi="Book Antiqua" w:cs="Book Antiqua"/>
          <w:color w:val="000000"/>
        </w:rPr>
        <w:t xml:space="preserve">. Foramen ovale may serve as a conduit for paradoxical embolization, the occurrence of which has been reported following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188]</w:t>
      </w:r>
      <w:r>
        <w:rPr>
          <w:rFonts w:ascii="Book Antiqua" w:eastAsia="Book Antiqua" w:hAnsi="Book Antiqua" w:cs="Book Antiqua"/>
          <w:color w:val="000000"/>
        </w:rPr>
        <w:t>.</w:t>
      </w:r>
    </w:p>
    <w:p w14:paraId="1931DF0A" w14:textId="77777777" w:rsidR="00A77B3E" w:rsidRDefault="00A77B3E">
      <w:pPr>
        <w:spacing w:line="360" w:lineRule="auto"/>
        <w:jc w:val="both"/>
      </w:pPr>
    </w:p>
    <w:p w14:paraId="294645C5"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Nutritional status</w:t>
      </w:r>
    </w:p>
    <w:p w14:paraId="07EF66D1" w14:textId="26489A1B" w:rsidR="00A77B3E" w:rsidRDefault="00D8132F">
      <w:pPr>
        <w:spacing w:line="360" w:lineRule="auto"/>
        <w:jc w:val="both"/>
      </w:pPr>
      <w:r>
        <w:rPr>
          <w:rFonts w:ascii="Book Antiqua" w:eastAsia="Book Antiqua" w:hAnsi="Book Antiqua" w:cs="Book Antiqua"/>
          <w:color w:val="000000"/>
        </w:rPr>
        <w:t xml:space="preserve">Alterations in the nutritional status are one of the most frequent complications of cirrhosis that worsens with disease progression and negatively affects the outcome in these patients. The etiology is multifactorial and includes reduced caloric and protein intake, increased catabolism, malabsorption, reduced protein synthesis, and anabolic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 Malnutrition in cirrhosis can lead to reduced muscle mass and strength</w:t>
      </w:r>
      <w:r w:rsidR="004D5BB8">
        <w:rPr>
          <w:rFonts w:ascii="Book Antiqua" w:eastAsia="Book Antiqua" w:hAnsi="Book Antiqua" w:cs="Book Antiqua"/>
          <w:color w:val="000000"/>
        </w:rPr>
        <w:t>-</w:t>
      </w:r>
      <w:r>
        <w:rPr>
          <w:rFonts w:ascii="Book Antiqua" w:eastAsia="Book Antiqua" w:hAnsi="Book Antiqua" w:cs="Book Antiqua"/>
          <w:color w:val="000000"/>
        </w:rPr>
        <w:t>also called sarcopenia</w:t>
      </w:r>
      <w:r w:rsidR="004D5BB8">
        <w:rPr>
          <w:rFonts w:ascii="Book Antiqua" w:eastAsia="Book Antiqua" w:hAnsi="Book Antiqua" w:cs="Book Antiqua"/>
          <w:color w:val="000000"/>
        </w:rPr>
        <w:t>-</w:t>
      </w:r>
      <w:r>
        <w:rPr>
          <w:rFonts w:ascii="Book Antiqua" w:eastAsia="Book Antiqua" w:hAnsi="Book Antiqua" w:cs="Book Antiqua"/>
          <w:color w:val="000000"/>
        </w:rPr>
        <w:t xml:space="preserve">as well as the loss of subcutaneous and visceral fat mass called </w:t>
      </w:r>
      <w:proofErr w:type="gramStart"/>
      <w:r>
        <w:rPr>
          <w:rFonts w:ascii="Book Antiqua" w:eastAsia="Book Antiqua" w:hAnsi="Book Antiqua" w:cs="Book Antiqua"/>
          <w:color w:val="000000"/>
        </w:rPr>
        <w:t>adipopenia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190]</w:t>
      </w:r>
      <w:r>
        <w:rPr>
          <w:rFonts w:ascii="Book Antiqua" w:eastAsia="Book Antiqua" w:hAnsi="Book Antiqua" w:cs="Book Antiqua"/>
          <w:color w:val="000000"/>
        </w:rPr>
        <w:t>. Sarcopenia is the predominant nutritional consequence of cirrhosis, with a reported prevalence as high as 95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191]</w:t>
      </w:r>
      <w:r>
        <w:rPr>
          <w:rFonts w:ascii="Book Antiqua" w:eastAsia="Book Antiqua" w:hAnsi="Book Antiqua" w:cs="Book Antiqua"/>
          <w:color w:val="000000"/>
        </w:rPr>
        <w:t>. The risk of malnutrition is assumed to be high in Child-C patients and those with BMI &lt; 18.5</w:t>
      </w:r>
      <w:r>
        <w:rPr>
          <w:rFonts w:ascii="Book Antiqua" w:eastAsia="Book Antiqua" w:hAnsi="Book Antiqua" w:cs="Book Antiqua"/>
          <w:color w:val="000000"/>
          <w:szCs w:val="30"/>
          <w:vertAlign w:val="superscript"/>
        </w:rPr>
        <w:t>[192]</w:t>
      </w:r>
      <w:r>
        <w:rPr>
          <w:rFonts w:ascii="Book Antiqua" w:eastAsia="Book Antiqua" w:hAnsi="Book Antiqua" w:cs="Book Antiqua"/>
          <w:color w:val="000000"/>
        </w:rPr>
        <w:t xml:space="preserve">. The Royal free hospital-nutritional prioritizing tool is one such screening score that has been reported to correlate with clinical deterioration, the severity of the liver disease, and clinical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193]</w:t>
      </w:r>
      <w:r>
        <w:rPr>
          <w:rFonts w:ascii="Book Antiqua" w:eastAsia="Book Antiqua" w:hAnsi="Book Antiqua" w:cs="Book Antiqua"/>
          <w:color w:val="000000"/>
        </w:rPr>
        <w:t xml:space="preserve">. CT image analysis at L3 vertebra (L3 skeletal muscle index; L3SMI) is widely recognized as a specific method to quantify the loss of muscle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194]</w:t>
      </w:r>
      <w:r>
        <w:rPr>
          <w:rFonts w:ascii="Book Antiqua" w:eastAsia="Book Antiqua" w:hAnsi="Book Antiqua" w:cs="Book Antiqua"/>
          <w:color w:val="000000"/>
        </w:rPr>
        <w:t xml:space="preserve">. Bedside anthropometric methods like mid-arm muscle circumference, triceps skinfold, and mid-arm muscular area have also shown comparable predictive value to L3SMI with good intra and inter-observer </w:t>
      </w:r>
      <w:proofErr w:type="gramStart"/>
      <w:r>
        <w:rPr>
          <w:rFonts w:ascii="Book Antiqua" w:eastAsia="Book Antiqua" w:hAnsi="Book Antiqua" w:cs="Book Antiqua"/>
          <w:color w:val="000000"/>
        </w:rPr>
        <w:t>agreement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195,196]</w:t>
      </w:r>
      <w:r>
        <w:rPr>
          <w:rFonts w:ascii="Book Antiqua" w:eastAsia="Book Antiqua" w:hAnsi="Book Antiqua" w:cs="Book Antiqua"/>
          <w:color w:val="000000"/>
        </w:rPr>
        <w:t xml:space="preserve">. </w:t>
      </w:r>
    </w:p>
    <w:p w14:paraId="1933A487" w14:textId="4A4CCD8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TIPS has been shown to improve body composition and increase fat-free mass in cirrhotics in observational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189,197,198]</w:t>
      </w:r>
      <w:r>
        <w:rPr>
          <w:rFonts w:ascii="Book Antiqua" w:eastAsia="Book Antiqua" w:hAnsi="Book Antiqua" w:cs="Book Antiqua"/>
          <w:color w:val="000000"/>
        </w:rPr>
        <w:t>. Resolution of ascites leading to better nutritional intake, improvement in splanchnic venous return, a reversal of protein-losing enteropathy, prevention of further episodes of bleeding and paracentesis, and a possible reversal of hypermetabolism have been proposed as possible mechanisms by which TIPS improves the muscle mass</w:t>
      </w:r>
      <w:r>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 xml:space="preserve">. A recent study showed that the creation of </w:t>
      </w:r>
      <w:r>
        <w:rPr>
          <w:rFonts w:ascii="Book Antiqua" w:eastAsia="Book Antiqua" w:hAnsi="Book Antiqua" w:cs="Book Antiqua"/>
          <w:color w:val="000000"/>
        </w:rPr>
        <w:lastRenderedPageBreak/>
        <w:t xml:space="preserve">TIPS was strongly associated with an increase in cross-sectional area and attenuation of truncal musculature with maximal gains noted by </w:t>
      </w:r>
      <w:r w:rsidR="004D5BB8">
        <w:rPr>
          <w:rFonts w:ascii="Book Antiqua" w:eastAsia="Book Antiqua" w:hAnsi="Book Antiqua" w:cs="Book Antiqua"/>
          <w:color w:val="000000"/>
        </w:rPr>
        <w:t xml:space="preserve">6 </w:t>
      </w:r>
      <w:r>
        <w:rPr>
          <w:rFonts w:ascii="Book Antiqua" w:eastAsia="Book Antiqua" w:hAnsi="Book Antiqua" w:cs="Book Antiqua"/>
          <w:color w:val="000000"/>
        </w:rPr>
        <w:t xml:space="preserve">mo after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198]</w:t>
      </w:r>
      <w:r>
        <w:rPr>
          <w:rFonts w:ascii="Book Antiqua" w:eastAsia="Book Antiqua" w:hAnsi="Book Antiqua" w:cs="Book Antiqua"/>
          <w:color w:val="000000"/>
        </w:rPr>
        <w:t xml:space="preserve">. Furthermore, TIPS related increase in muscle mass was independently associated with lower patient mortality. This study also identified a positive effect of TIPS on muscle attenuation, an indicator of myosteatosis that has been associated with sarcopenia and mortality in patients with cirrhosis. This survival advantage could prove crucial in patients awaiting a liver transplant. Multiple other studies have shown that reversal of sarcopenia and improvement of muscle attenuation after TIPS were independently associated with a reduction in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197]</w:t>
      </w:r>
      <w:r>
        <w:rPr>
          <w:rFonts w:ascii="Book Antiqua" w:eastAsia="Book Antiqua" w:hAnsi="Book Antiqua" w:cs="Book Antiqua"/>
          <w:color w:val="000000"/>
        </w:rPr>
        <w:t>.</w:t>
      </w:r>
    </w:p>
    <w:p w14:paraId="6D3B93AD" w14:textId="77777777"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Similarly, the persistence of sarcopenia after TIPS is associated with a reduced response to TIPS and a higher risk of acute-on-chronic liver failure development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199]</w:t>
      </w:r>
      <w:r>
        <w:rPr>
          <w:rFonts w:ascii="Book Antiqua" w:eastAsia="Book Antiqua" w:hAnsi="Book Antiqua" w:cs="Book Antiqua"/>
          <w:color w:val="000000"/>
        </w:rPr>
        <w:t>. A retrospective observational study found that the measurement of psoas muscle density improved overall survival predictability in patients with cirrhosis undergoing TIPS creation when used in conjunction with the MELD score</w:t>
      </w:r>
      <w:r>
        <w:rPr>
          <w:rFonts w:ascii="Book Antiqua" w:eastAsia="Book Antiqua" w:hAnsi="Book Antiqua" w:cs="Book Antiqua"/>
          <w:color w:val="000000"/>
          <w:szCs w:val="30"/>
          <w:vertAlign w:val="superscript"/>
        </w:rPr>
        <w:t>[200]</w:t>
      </w:r>
      <w:r>
        <w:rPr>
          <w:rFonts w:ascii="Book Antiqua" w:eastAsia="Book Antiqua" w:hAnsi="Book Antiqua" w:cs="Book Antiqua"/>
          <w:color w:val="000000"/>
        </w:rPr>
        <w:t xml:space="preserve">. Another retrospective study found that sarcopenic obesity is a risk factor for mortality after TIPS and contributes additional prognostic information beyond the MELD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201]</w:t>
      </w:r>
      <w:r>
        <w:rPr>
          <w:rFonts w:ascii="Book Antiqua" w:eastAsia="Book Antiqua" w:hAnsi="Book Antiqua" w:cs="Book Antiqua"/>
          <w:color w:val="000000"/>
        </w:rPr>
        <w:t xml:space="preserve">. However, sarcopenia has also been shown to increase the incidence of post TIPS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202,203]</w:t>
      </w:r>
      <w:r>
        <w:rPr>
          <w:rFonts w:ascii="Book Antiqua" w:eastAsia="Book Antiqua" w:hAnsi="Book Antiqua" w:cs="Book Antiqua"/>
          <w:color w:val="000000"/>
        </w:rPr>
        <w:t xml:space="preserve">. This is because skeletal muscle is an important site for ammonia metabolism in cirrhosis. Also, hyperammonemia can impair muscle function and contribute to muscle loss, leading to a vicious </w:t>
      </w:r>
      <w:proofErr w:type="gramStart"/>
      <w:r>
        <w:rPr>
          <w:rFonts w:ascii="Book Antiqua" w:eastAsia="Book Antiqua" w:hAnsi="Book Antiqua" w:cs="Book Antiqua"/>
          <w:color w:val="000000"/>
        </w:rPr>
        <w:t>cycle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w:t>
      </w:r>
      <w:r>
        <w:rPr>
          <w:rFonts w:ascii="Book Antiqua" w:eastAsia="Book Antiqua" w:hAnsi="Book Antiqua" w:cs="Book Antiqua"/>
          <w:color w:val="000000"/>
        </w:rPr>
        <w:t xml:space="preserve">. A prospective study of 46 patients from Italy showed that sarcopenia was independently associated with the development of post TIPS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w:t>
      </w:r>
      <w:r>
        <w:rPr>
          <w:rFonts w:ascii="Book Antiqua" w:eastAsia="Book Antiqua" w:hAnsi="Book Antiqua" w:cs="Book Antiqua"/>
          <w:color w:val="000000"/>
        </w:rPr>
        <w:t>. However, compared to the patients without sarcopenia, patients with muscle depletion in this study were older, had a higher MELD score, and more often had a previous episode of HE before TIPS.</w:t>
      </w:r>
    </w:p>
    <w:p w14:paraId="219D3C60" w14:textId="1ABAD69F"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Nevertheless, all the patients who developed HE in this study could be managed medically. Another retrospective study found a correlation between sarcopenia and development of HE within </w:t>
      </w:r>
      <w:r w:rsidR="004D5BB8">
        <w:rPr>
          <w:rFonts w:ascii="Book Antiqua" w:eastAsia="Book Antiqua" w:hAnsi="Book Antiqua" w:cs="Book Antiqua"/>
          <w:color w:val="000000"/>
        </w:rPr>
        <w:t xml:space="preserve">6 </w:t>
      </w:r>
      <w:r>
        <w:rPr>
          <w:rFonts w:ascii="Book Antiqua" w:eastAsia="Book Antiqua" w:hAnsi="Book Antiqua" w:cs="Book Antiqua"/>
          <w:color w:val="000000"/>
        </w:rPr>
        <w:t xml:space="preserve">mo of a TIPS procedure without reaching statistical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203]</w:t>
      </w:r>
      <w:r>
        <w:rPr>
          <w:rFonts w:ascii="Book Antiqua" w:eastAsia="Book Antiqua" w:hAnsi="Book Antiqua" w:cs="Book Antiqua"/>
          <w:color w:val="000000"/>
        </w:rPr>
        <w:t xml:space="preserve">. More recently, a study published in abstract form showed that amelioration of muscle wasting after TIPS resulted in a decrease in the episodes of overt </w:t>
      </w:r>
      <w:r>
        <w:rPr>
          <w:rFonts w:ascii="Book Antiqua" w:eastAsia="Book Antiqua" w:hAnsi="Book Antiqua" w:cs="Book Antiqua"/>
          <w:color w:val="000000"/>
        </w:rPr>
        <w:lastRenderedPageBreak/>
        <w:t xml:space="preserve">HE and venous ammonia levels, suggesting that sarcopenia and HE are causally </w:t>
      </w:r>
      <w:proofErr w:type="gramStart"/>
      <w:r>
        <w:rPr>
          <w:rFonts w:ascii="Book Antiqua" w:eastAsia="Book Antiqua" w:hAnsi="Book Antiqua" w:cs="Book Antiqua"/>
          <w:color w:val="000000"/>
        </w:rPr>
        <w:t>related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204]</w:t>
      </w:r>
      <w:r>
        <w:rPr>
          <w:rFonts w:ascii="Book Antiqua" w:eastAsia="Book Antiqua" w:hAnsi="Book Antiqua" w:cs="Book Antiqua"/>
          <w:color w:val="000000"/>
        </w:rPr>
        <w:t xml:space="preserve">. Contrarily, another study published in abstract form showed that in patients undergoing TIPS for </w:t>
      </w:r>
      <w:r w:rsidR="00517095">
        <w:rPr>
          <w:rFonts w:ascii="Book Antiqua" w:eastAsia="Book Antiqua" w:hAnsi="Book Antiqua" w:cs="Book Antiqua"/>
          <w:color w:val="000000"/>
        </w:rPr>
        <w:t>AR</w:t>
      </w:r>
      <w:r>
        <w:rPr>
          <w:rFonts w:ascii="Book Antiqua" w:eastAsia="Book Antiqua" w:hAnsi="Book Antiqua" w:cs="Book Antiqua"/>
          <w:color w:val="000000"/>
        </w:rPr>
        <w:t xml:space="preserve">, sarcopenia did not have any impact on mortality, HE, or ascites control and that sarcopenia should not be considered as a contraindication for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205]</w:t>
      </w:r>
      <w:r>
        <w:rPr>
          <w:rFonts w:ascii="Book Antiqua" w:eastAsia="Book Antiqua" w:hAnsi="Book Antiqua" w:cs="Book Antiqua"/>
          <w:color w:val="000000"/>
        </w:rPr>
        <w:t xml:space="preserve">. Available evidence suggests that TIPS has a positive influence on muscle mass and overall body composition, and the addition of nutritional indices to the MELD score could enhance its predictive value. Although TIPS might increase the incidence of HE and </w:t>
      </w:r>
      <w:r w:rsidR="00C14913" w:rsidRPr="00C14913">
        <w:rPr>
          <w:rFonts w:ascii="Book Antiqua" w:eastAsia="Book Antiqua" w:hAnsi="Book Antiqua" w:cs="Book Antiqua"/>
          <w:color w:val="000000"/>
        </w:rPr>
        <w:t>acute-on-chronic liver failure</w:t>
      </w:r>
      <w:r>
        <w:rPr>
          <w:rFonts w:ascii="Book Antiqua" w:eastAsia="Book Antiqua" w:hAnsi="Book Antiqua" w:cs="Book Antiqua"/>
          <w:color w:val="000000"/>
        </w:rPr>
        <w:t xml:space="preserve"> in patients with sarcopenia, further studies are needed to identify patients who might be at risk of these complications.</w:t>
      </w:r>
    </w:p>
    <w:p w14:paraId="2821F157" w14:textId="77777777" w:rsidR="00A77B3E" w:rsidRDefault="00A77B3E">
      <w:pPr>
        <w:spacing w:line="360" w:lineRule="auto"/>
        <w:jc w:val="both"/>
      </w:pPr>
    </w:p>
    <w:p w14:paraId="39344E81" w14:textId="77777777" w:rsidR="00A77B3E" w:rsidRDefault="00D8132F">
      <w:pPr>
        <w:spacing w:line="360" w:lineRule="auto"/>
        <w:jc w:val="both"/>
      </w:pPr>
      <w:r>
        <w:rPr>
          <w:rFonts w:ascii="Book Antiqua" w:eastAsia="Book Antiqua" w:hAnsi="Book Antiqua" w:cs="Book Antiqua"/>
          <w:b/>
          <w:bCs/>
          <w:caps/>
          <w:color w:val="000000"/>
          <w:u w:val="single"/>
        </w:rPr>
        <w:t>UPDATE ON THE TECHNICAL ASPECTS OF TIPS</w:t>
      </w:r>
    </w:p>
    <w:p w14:paraId="73799FE9" w14:textId="27F7E1FB" w:rsidR="00A77B3E" w:rsidRDefault="00D8132F">
      <w:pPr>
        <w:spacing w:line="360" w:lineRule="auto"/>
        <w:jc w:val="both"/>
      </w:pPr>
      <w:r w:rsidRPr="00657162">
        <w:rPr>
          <w:rFonts w:ascii="Book Antiqua" w:eastAsia="Book Antiqua" w:hAnsi="Book Antiqua" w:cs="Book Antiqua"/>
          <w:b/>
          <w:bCs/>
          <w:i/>
          <w:iCs/>
          <w:color w:val="000000"/>
        </w:rPr>
        <w:t xml:space="preserve">Optimal stent diameter </w:t>
      </w:r>
    </w:p>
    <w:p w14:paraId="2A04DFB1" w14:textId="2F3302E4" w:rsidR="00A77B3E" w:rsidRDefault="00D8132F">
      <w:pPr>
        <w:spacing w:line="360" w:lineRule="auto"/>
        <w:jc w:val="both"/>
      </w:pPr>
      <w:r w:rsidRPr="004D5BB8">
        <w:rPr>
          <w:rFonts w:ascii="Book Antiqua" w:eastAsia="Book Antiqua" w:hAnsi="Book Antiqua" w:cs="Book Antiqua"/>
          <w:b/>
          <w:bCs/>
          <w:color w:val="000000"/>
        </w:rPr>
        <w:t xml:space="preserve">The 8-mm </w:t>
      </w:r>
      <w:r w:rsidRPr="007A020D">
        <w:rPr>
          <w:rFonts w:ascii="Book Antiqua" w:eastAsia="Book Antiqua" w:hAnsi="Book Antiqua" w:cs="Book Antiqua"/>
          <w:b/>
          <w:bCs/>
          <w:i/>
          <w:iCs/>
          <w:color w:val="000000"/>
        </w:rPr>
        <w:t>vs</w:t>
      </w:r>
      <w:r w:rsidRPr="004D5BB8">
        <w:rPr>
          <w:rFonts w:ascii="Book Antiqua" w:eastAsia="Book Antiqua" w:hAnsi="Book Antiqua" w:cs="Book Antiqua"/>
          <w:b/>
          <w:bCs/>
          <w:color w:val="000000"/>
        </w:rPr>
        <w:t xml:space="preserve"> 10-mm debate</w:t>
      </w:r>
      <w:r w:rsidR="004D5BB8">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availability of covered stents for TIPS has significantly reduced the incidence of stent dysfunction with attendant improvement in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206]</w:t>
      </w:r>
      <w:r>
        <w:rPr>
          <w:rFonts w:ascii="Book Antiqua" w:eastAsia="Book Antiqua" w:hAnsi="Book Antiqua" w:cs="Book Antiqua"/>
          <w:color w:val="000000"/>
        </w:rPr>
        <w:t xml:space="preserve">. While covered stents have become the standard of care for TIPS world over, the question of optimal stent diameter for TIPS remains unanswered. The diameter of the stent determines the amount of portal blood shunted into the systemic circulation and the PSPG. Several studies have found a relationship between the degree of portosystemic shunting and post TIPS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w:t>
      </w:r>
      <w:r>
        <w:rPr>
          <w:rFonts w:ascii="Book Antiqua" w:eastAsia="Book Antiqua" w:hAnsi="Book Antiqua" w:cs="Book Antiqua"/>
          <w:color w:val="000000"/>
        </w:rPr>
        <w:t xml:space="preserve">. Similarly, a lower PSPG has also been identified as a risk factor for HE after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207,208]</w:t>
      </w:r>
      <w:r>
        <w:rPr>
          <w:rFonts w:ascii="Book Antiqua" w:eastAsia="Book Antiqua" w:hAnsi="Book Antiqua" w:cs="Book Antiqua"/>
          <w:color w:val="000000"/>
        </w:rPr>
        <w:t xml:space="preserve">. Also, impairment of hepatic function often seen after TIPS could be reduced by decreasing the size of the stent to avoid significant portal flow diversion and maintain sufficient hepatic perfusion. According to Poiseuille's law, shunt flow is proportional to the fourth power of the stent radius. This underlines the impact of small variations of the stent diameter on shunt flow and, eventually, shunt-related complications. Thus, the use of a smaller diameter stent is desirable. However, placement of smaller diameter stent runs the risk of not achieving adequate portal pressure reduction defeating the purpose for which TIPS was done. The earliest RCT comparing 8-mm and 10-mm covered stents for TIPS had to stop early after the results in the first 45 patients showed significantly less efficient control of </w:t>
      </w:r>
      <w:r>
        <w:rPr>
          <w:rFonts w:ascii="Book Antiqua" w:eastAsia="Book Antiqua" w:hAnsi="Book Antiqua" w:cs="Book Antiqua"/>
          <w:color w:val="000000"/>
        </w:rPr>
        <w:lastRenderedPageBreak/>
        <w:t xml:space="preserve">complications of PH in the patients receiving 8-mm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Due to the premature closure of the study, the trial could not provide any evidence on the risk of development of HE. Contrarily, another randomized multicentre trial from Germany comparing covered 8-mm diameter TIPS with HVPG-guided medical therapy for prophylaxis of rebleeding from </w:t>
      </w:r>
      <w:r w:rsidR="00A31FC1">
        <w:rPr>
          <w:rFonts w:ascii="Book Antiqua" w:eastAsia="Book Antiqua" w:hAnsi="Book Antiqua" w:cs="Book Antiqua"/>
          <w:color w:val="000000"/>
        </w:rPr>
        <w:t>EV</w:t>
      </w:r>
      <w:r>
        <w:rPr>
          <w:rFonts w:ascii="Book Antiqua" w:eastAsia="Book Antiqua" w:hAnsi="Book Antiqua" w:cs="Book Antiqua"/>
          <w:color w:val="000000"/>
        </w:rPr>
        <w:t xml:space="preserve"> showed that TIPS prevented variceal rebleeding more effectively than drugs without any improvement in survival or quality of life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Compared to other studies using covered TIPS stents, the two-year incidence of overt encephalopathy in the TIPS group in this study was low at 18%. However, the patients included in this study had rather compensated liver disease (Child A or B cirrhosis), and there was no head-to-head comparison between 8-mm and 10-mm stents. Notably, only 43% of patients in the TIPS group had a reduction of PSPG below 10 mmHg. TIPS revisions were required in 8% of the patients with PSPG &lt; 10 mmHg and in 29% of patients with PSPG </w:t>
      </w:r>
      <w:r w:rsidR="00382FFE" w:rsidRPr="00382FFE">
        <w:rPr>
          <w:rFonts w:ascii="Book Antiqua" w:hAnsi="Book Antiqua" w:cs="Arial"/>
          <w:color w:val="333333"/>
          <w:shd w:val="clear" w:color="auto" w:fill="FFFFFF"/>
        </w:rPr>
        <w:t>≥</w:t>
      </w:r>
      <w:r>
        <w:rPr>
          <w:rFonts w:ascii="Book Antiqua" w:eastAsia="Book Antiqua" w:hAnsi="Book Antiqua" w:cs="Book Antiqua"/>
          <w:color w:val="000000"/>
        </w:rPr>
        <w:t xml:space="preserve"> 10 mmHg. Nevertheless, a recent RCT from China of 127 patients found that 8</w:t>
      </w:r>
      <w:r w:rsidR="00382FFE">
        <w:rPr>
          <w:rFonts w:ascii="Book Antiqua" w:eastAsia="Book Antiqua" w:hAnsi="Book Antiqua" w:cs="Book Antiqua"/>
          <w:color w:val="000000"/>
        </w:rPr>
        <w:t xml:space="preserve"> </w:t>
      </w:r>
      <w:r>
        <w:rPr>
          <w:rFonts w:ascii="Book Antiqua" w:eastAsia="Book Antiqua" w:hAnsi="Book Antiqua" w:cs="Book Antiqua"/>
          <w:color w:val="000000"/>
        </w:rPr>
        <w:t xml:space="preserve">mm covered TIPS stents showed similar shunt function to 10-mm stents, with the halved risk of spontaneous overt HE and less hepatic function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209]</w:t>
      </w:r>
      <w:r>
        <w:rPr>
          <w:rFonts w:ascii="Book Antiqua" w:eastAsia="Book Antiqua" w:hAnsi="Book Antiqua" w:cs="Book Antiqua"/>
          <w:color w:val="000000"/>
        </w:rPr>
        <w:t xml:space="preserve">. Notably, the majority of patients in this study had hepatitis-B as the etiology of cirrhosis, which is different from the earlier study by Sauerbruch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82FFE" w:rsidRPr="00657162">
        <w:rPr>
          <w:rFonts w:ascii="Book Antiqua" w:eastAsia="Book Antiqua" w:hAnsi="Book Antiqua" w:cs="Book Antiqua"/>
          <w:color w:val="000000"/>
          <w:vertAlign w:val="superscript"/>
        </w:rPr>
        <w:t>[</w:t>
      </w:r>
      <w:proofErr w:type="gramEnd"/>
      <w:r w:rsidR="00382FFE" w:rsidRPr="00657162">
        <w:rPr>
          <w:rFonts w:ascii="Book Antiqua" w:eastAsia="Book Antiqua" w:hAnsi="Book Antiqua" w:cs="Book Antiqua"/>
          <w:color w:val="000000"/>
          <w:vertAlign w:val="superscript"/>
        </w:rPr>
        <w:t>26]</w:t>
      </w:r>
      <w:r>
        <w:rPr>
          <w:rFonts w:ascii="Book Antiqua" w:eastAsia="Book Antiqua" w:hAnsi="Book Antiqua" w:cs="Book Antiqua"/>
          <w:color w:val="000000"/>
        </w:rPr>
        <w:t>, in which more than 60% of patients had alcoholic cirrhosis. Although the stent used for TIPS was Fluency</w:t>
      </w:r>
      <w:r w:rsidR="00024964" w:rsidRPr="00982BC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not Viatorr</w:t>
      </w:r>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same stent was used in both groups and might not have influenced the outcomes. Whether the trend towards beneficial effects of 8-mm stents could be extended to patients receiving TIPS for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is unclear. A retrospective study of 171 patients in this regard showed that 10-mm covered stents for TIPS resulted in better control of ascites compared to an 8-mm stent without increasing the incidence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They found that the mean PSPG after TIPS was significantly higher in the 8-mm stent group than in the 10-mm stent group, and in the overall study cohort, the need for paracentesis was associated with a higher PSPG. Another recent analysis of 185 patients from the German TIPS registry showed that patients receiving 8-mm stents had prolonged survival compared to those receiving 10-mm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However, in this study, 8-mm stents were used more frequently in patients with variceal bleeding, while </w:t>
      </w:r>
      <w:r>
        <w:rPr>
          <w:rFonts w:ascii="Book Antiqua" w:eastAsia="Book Antiqua" w:hAnsi="Book Antiqua" w:cs="Book Antiqua"/>
          <w:color w:val="000000"/>
        </w:rPr>
        <w:lastRenderedPageBreak/>
        <w:t xml:space="preserve">10-mm stents were placed more commonly in patients having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Since patients with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are generally at a more advanced stage of liver cirrhosis than those with variceal bleeding, derivation of any robust conclusion on survival benefit is not possible from this study. Moreover, although patients in the two groups were matched for age, MELD score, and serum bilirubin concentration, they remained different concerning CTP score and creatinine concentration. Thus, the 10 mm group had more patients with Child C cirrhosis, and the mean creatinine concentration of patients in this group was higher. Other confounding factors affecting survival like sarcopenia were not available for analysis, and the incidence of HE in both groups was not compared. The incidence of rebleeding and recurrence of ascites was also not analyzed in this study. Thus, comparisons on the clinical efficacy of TIPS in both groups of patients cannot be drawn and properly matched patient cohort with adequate sub-group analysis followed by quality prospective studies remain an unmet need to clarify the current issue at hand. Notably, 8-mm stents resulted in less reduction of the PSPG (45% </w:t>
      </w:r>
      <w:r>
        <w:rPr>
          <w:rFonts w:ascii="Book Antiqua" w:eastAsia="Book Antiqua" w:hAnsi="Book Antiqua" w:cs="Book Antiqua"/>
          <w:i/>
          <w:iCs/>
          <w:color w:val="000000"/>
        </w:rPr>
        <w:t>vs</w:t>
      </w:r>
      <w:r>
        <w:rPr>
          <w:rFonts w:ascii="Book Antiqua" w:eastAsia="Book Antiqua" w:hAnsi="Book Antiqua" w:cs="Book Antiqua"/>
          <w:color w:val="000000"/>
        </w:rPr>
        <w:t xml:space="preserve"> 65%) compared to 10-mm stents, and patients with an 8-mm stent required significantly more revisions. Current evidence is inadequate to recommend routine use of smaller diameter stents in all patients. However, in patients who are at higher risk of development of HE or liver failure, especially when TIPS is used in the setting of acute variceal bleeding, there may be a role of 8-mm stents. </w:t>
      </w:r>
    </w:p>
    <w:p w14:paraId="180641CD" w14:textId="77777777" w:rsidR="00A77B3E" w:rsidRDefault="00A77B3E">
      <w:pPr>
        <w:spacing w:line="360" w:lineRule="auto"/>
        <w:jc w:val="both"/>
      </w:pPr>
    </w:p>
    <w:p w14:paraId="657FE6CB" w14:textId="58C74E1B" w:rsidR="00A77B3E" w:rsidRDefault="00D8132F">
      <w:pPr>
        <w:spacing w:line="360" w:lineRule="auto"/>
        <w:jc w:val="both"/>
      </w:pPr>
      <w:r w:rsidRPr="00657162">
        <w:rPr>
          <w:rFonts w:ascii="Book Antiqua" w:eastAsia="Book Antiqua" w:hAnsi="Book Antiqua" w:cs="Book Antiqua"/>
          <w:b/>
          <w:bCs/>
          <w:color w:val="000000"/>
        </w:rPr>
        <w:t>Target PSPG reduction and passive expansion of under dilated TIPS stents</w:t>
      </w:r>
      <w:r w:rsidR="002E4B47">
        <w:rPr>
          <w:rFonts w:ascii="Book Antiqua" w:eastAsia="Book Antiqua" w:hAnsi="Book Antiqua" w:cs="Book Antiqua"/>
          <w:b/>
          <w:bCs/>
          <w:color w:val="000000"/>
        </w:rPr>
        <w:t xml:space="preserve">: </w:t>
      </w:r>
      <w:r>
        <w:rPr>
          <w:rFonts w:ascii="Book Antiqua" w:eastAsia="Book Antiqua" w:hAnsi="Book Antiqua" w:cs="Book Antiqua"/>
          <w:color w:val="000000"/>
        </w:rPr>
        <w:t>It has been found that barring few exceptions, patients with de novo or worsening HE after TIPS had PSPG of &lt;</w:t>
      </w:r>
      <w:r w:rsidR="002E4B47">
        <w:rPr>
          <w:rFonts w:ascii="Book Antiqua" w:eastAsia="Book Antiqua" w:hAnsi="Book Antiqua" w:cs="Book Antiqua"/>
          <w:color w:val="000000"/>
        </w:rPr>
        <w:t xml:space="preserve"> </w:t>
      </w:r>
      <w:r>
        <w:rPr>
          <w:rFonts w:ascii="Book Antiqua" w:eastAsia="Book Antiqua" w:hAnsi="Book Antiqua" w:cs="Book Antiqua"/>
          <w:color w:val="000000"/>
        </w:rPr>
        <w:t>12 mmHg, while those with rebleeding often had stent dysfunction with gradients of &gt;</w:t>
      </w:r>
      <w:r w:rsidR="002E4B47">
        <w:rPr>
          <w:rFonts w:ascii="Book Antiqua" w:eastAsia="Book Antiqua" w:hAnsi="Book Antiqua" w:cs="Book Antiqua"/>
          <w:color w:val="000000"/>
        </w:rPr>
        <w:t xml:space="preserve"> </w:t>
      </w:r>
      <w:r>
        <w:rPr>
          <w:rFonts w:ascii="Book Antiqua" w:eastAsia="Book Antiqua" w:hAnsi="Book Antiqua" w:cs="Book Antiqua"/>
          <w:color w:val="000000"/>
        </w:rPr>
        <w:t xml:space="preserve">12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207]</w:t>
      </w:r>
      <w:r>
        <w:rPr>
          <w:rFonts w:ascii="Book Antiqua" w:eastAsia="Book Antiqua" w:hAnsi="Book Antiqua" w:cs="Book Antiqua"/>
          <w:color w:val="000000"/>
        </w:rPr>
        <w:t xml:space="preserve">. Thus, a cut-off of 12 mmHg for post-TIPS PSPG is useful to stratify patients into high or low-risk groups when it comes to HE or </w:t>
      </w:r>
      <w:proofErr w:type="gramStart"/>
      <w:r>
        <w:rPr>
          <w:rFonts w:ascii="Book Antiqua" w:eastAsia="Book Antiqua" w:hAnsi="Book Antiqua" w:cs="Book Antiqua"/>
          <w:color w:val="000000"/>
        </w:rPr>
        <w:t>rebleeding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207]</w:t>
      </w:r>
      <w:r>
        <w:rPr>
          <w:rFonts w:ascii="Book Antiqua" w:eastAsia="Book Antiqua" w:hAnsi="Book Antiqua" w:cs="Book Antiqua"/>
          <w:color w:val="000000"/>
        </w:rPr>
        <w:t>. It is recommended that a relative reduction of PSPG by 20</w:t>
      </w:r>
      <w:r w:rsidR="002E4B47">
        <w:rPr>
          <w:rFonts w:ascii="Book Antiqua" w:eastAsia="Book Antiqua" w:hAnsi="Book Antiqua" w:cs="Book Antiqua"/>
          <w:color w:val="000000"/>
        </w:rPr>
        <w:t>%</w:t>
      </w:r>
      <w:r>
        <w:rPr>
          <w:rFonts w:ascii="Book Antiqua" w:eastAsia="Book Antiqua" w:hAnsi="Book Antiqua" w:cs="Book Antiqua"/>
          <w:color w:val="000000"/>
        </w:rPr>
        <w:t xml:space="preserve">-50% may be more </w:t>
      </w:r>
      <w:proofErr w:type="gramStart"/>
      <w:r>
        <w:rPr>
          <w:rFonts w:ascii="Book Antiqua" w:eastAsia="Book Antiqua" w:hAnsi="Book Antiqua" w:cs="Book Antiqua"/>
          <w:color w:val="000000"/>
        </w:rPr>
        <w:t>practical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211]</w:t>
      </w:r>
      <w:r>
        <w:rPr>
          <w:rFonts w:ascii="Book Antiqua" w:eastAsia="Book Antiqua" w:hAnsi="Book Antiqua" w:cs="Book Antiqua"/>
          <w:color w:val="000000"/>
        </w:rPr>
        <w:t xml:space="preserve">. In contrast to the situation for variceal bleeding, the optimum target PSPG when placing TIPS for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remains unclear. A threshold of 5 mmHg or 8 mmHg is not as useful in risk stratification as the cut-off of 12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w:t>
      </w:r>
      <w:r>
        <w:rPr>
          <w:rFonts w:ascii="Book Antiqua" w:eastAsia="Book Antiqua" w:hAnsi="Book Antiqua" w:cs="Book Antiqua"/>
          <w:color w:val="000000"/>
        </w:rPr>
        <w:t xml:space="preserve">. Despite this conflicting </w:t>
      </w:r>
      <w:r>
        <w:rPr>
          <w:rFonts w:ascii="Book Antiqua" w:eastAsia="Book Antiqua" w:hAnsi="Book Antiqua" w:cs="Book Antiqua"/>
          <w:color w:val="000000"/>
        </w:rPr>
        <w:lastRenderedPageBreak/>
        <w:t xml:space="preserve">evidence, quality improvement guidelines of the American Society of Interventional Radiology recommend that the PSPG after TIPS should not be less than 5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213]</w:t>
      </w:r>
      <w:r>
        <w:rPr>
          <w:rFonts w:ascii="Book Antiqua" w:eastAsia="Book Antiqua" w:hAnsi="Book Antiqua" w:cs="Book Antiqua"/>
          <w:color w:val="000000"/>
        </w:rPr>
        <w:t xml:space="preserve">. Many centers have anecdotally adopted a strategy of step-wise dilatation of 10-mm diameter covered TIPS stents by using balloon catheters of increasing diameter, starting with a 6 mm or 8 mm balloon. The extent of dilatation is considered acceptable when the target PSPG is reached. Further balloon dilatation is reserved for patients with insufficient clinical response. This approach is based on the assumption that TIPS stents which are made of nitinol do not have the necessary radial force to self-expand within a cirrhotic liver. However, it has been reported that under dilated stents passively auto-expand over a variable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214,215]</w:t>
      </w:r>
      <w:r>
        <w:rPr>
          <w:rFonts w:ascii="Book Antiqua" w:eastAsia="Book Antiqua" w:hAnsi="Book Antiqua" w:cs="Book Antiqua"/>
          <w:color w:val="000000"/>
        </w:rPr>
        <w:t xml:space="preserve">. Therefore, the practice of </w:t>
      </w:r>
      <w:r w:rsidR="00024964">
        <w:rPr>
          <w:rFonts w:ascii="Book Antiqua" w:eastAsia="Book Antiqua" w:hAnsi="Book Antiqua" w:cs="Book Antiqua"/>
          <w:color w:val="000000"/>
        </w:rPr>
        <w:t>under dilating</w:t>
      </w:r>
      <w:r>
        <w:rPr>
          <w:rFonts w:ascii="Book Antiqua" w:eastAsia="Book Antiqua" w:hAnsi="Book Antiqua" w:cs="Book Antiqua"/>
          <w:color w:val="000000"/>
        </w:rPr>
        <w:t xml:space="preserve"> the stent may only have a temporary benefit and may not sufficiently decrease the risk of shunt-related complications. To overcome this limitation, modifications in the TIPS technique have been described by multiple authors, which essentially involve deploying a covered TIPS stent within a smaller balloon-expandable stent allowing calibration of PSPG to a predetermined value at the time of TIPS creation or at a later time, as and when needed. This technique is called as 'incrementally expandable' TIPS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216]</w:t>
      </w:r>
      <w:r>
        <w:rPr>
          <w:rFonts w:ascii="Book Antiqua" w:eastAsia="Book Antiqua" w:hAnsi="Book Antiqua" w:cs="Book Antiqua"/>
          <w:color w:val="000000"/>
        </w:rPr>
        <w:t>. However, this requires the placement of an additional stent, adding to the cost and complexity of the procedure.</w:t>
      </w:r>
    </w:p>
    <w:p w14:paraId="76C5E112" w14:textId="77777777" w:rsidR="00A77B3E" w:rsidRDefault="00A77B3E">
      <w:pPr>
        <w:spacing w:line="360" w:lineRule="auto"/>
        <w:jc w:val="both"/>
      </w:pPr>
    </w:p>
    <w:p w14:paraId="78C9E01D" w14:textId="302B05E9" w:rsidR="00A77B3E" w:rsidRDefault="00D8132F">
      <w:pPr>
        <w:spacing w:line="360" w:lineRule="auto"/>
        <w:jc w:val="both"/>
      </w:pPr>
      <w:r w:rsidRPr="00657162">
        <w:rPr>
          <w:rFonts w:ascii="Book Antiqua" w:eastAsia="Book Antiqua" w:hAnsi="Book Antiqua" w:cs="Book Antiqua"/>
          <w:b/>
          <w:bCs/>
          <w:color w:val="000000"/>
        </w:rPr>
        <w:t>Controlled expansion stents</w:t>
      </w:r>
      <w:r w:rsidR="002E4B47">
        <w:rPr>
          <w:rFonts w:ascii="Book Antiqua" w:eastAsia="Book Antiqua" w:hAnsi="Book Antiqua" w:cs="Book Antiqua"/>
          <w:b/>
          <w:bCs/>
          <w:color w:val="000000"/>
        </w:rPr>
        <w:t xml:space="preserve">: </w:t>
      </w:r>
      <w:r>
        <w:rPr>
          <w:rFonts w:ascii="Book Antiqua" w:eastAsia="Book Antiqua" w:hAnsi="Book Antiqua" w:cs="Book Antiqua"/>
          <w:color w:val="000000"/>
        </w:rPr>
        <w:t>Recently, a new controlled expansion stent has been introduced into clinical practice by Gore and associates (Viatorr</w:t>
      </w:r>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controlled expansion endoprosthesis; VCX, Flagstaff, AZ, </w:t>
      </w:r>
      <w:r w:rsidR="002E4B47" w:rsidRPr="002E4B47">
        <w:rPr>
          <w:rFonts w:ascii="Book Antiqua" w:eastAsia="Book Antiqua" w:hAnsi="Book Antiqua" w:cs="Book Antiqua"/>
          <w:color w:val="000000"/>
        </w:rPr>
        <w:t>United States</w:t>
      </w:r>
      <w:r>
        <w:rPr>
          <w:rFonts w:ascii="Book Antiqua" w:eastAsia="Book Antiqua" w:hAnsi="Book Antiqua" w:cs="Book Antiqua"/>
          <w:color w:val="000000"/>
        </w:rPr>
        <w:t>), which allows more accurate diameter control in the diameter range 8 to 10 mm during implantation. VCX is similar to the regular 10-mm Viatorr</w:t>
      </w:r>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e-PTFE stent graft with the added feature of an outer constraining balloon-expandable sleeve that allows adjustment of the stent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 Thus, it allows the calibration of PSPG with a single device. In vivo studies have shown that VCX can assume and maintain the intended diameter on clinical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 xml:space="preserve">. VCX was associated with a good short term clinical success with a lower rate of HE and stent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Also, a reduced rate of readmission for sepsis and ascites was </w:t>
      </w:r>
      <w:r>
        <w:rPr>
          <w:rFonts w:ascii="Book Antiqua" w:eastAsia="Book Antiqua" w:hAnsi="Book Antiqua" w:cs="Book Antiqua"/>
          <w:color w:val="000000"/>
        </w:rPr>
        <w:lastRenderedPageBreak/>
        <w:t>observed over a three-month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 However, further studies with longer follow up are needed to confirm this data.</w:t>
      </w:r>
    </w:p>
    <w:p w14:paraId="73A7B1C4" w14:textId="77777777" w:rsidR="00A77B3E" w:rsidRDefault="00A77B3E">
      <w:pPr>
        <w:spacing w:line="360" w:lineRule="auto"/>
        <w:jc w:val="both"/>
      </w:pPr>
    </w:p>
    <w:p w14:paraId="035BA883" w14:textId="77777777" w:rsidR="00A77B3E" w:rsidRPr="002E4B47" w:rsidRDefault="00D8132F">
      <w:pPr>
        <w:spacing w:line="360" w:lineRule="auto"/>
        <w:jc w:val="both"/>
        <w:rPr>
          <w:i/>
          <w:iCs/>
        </w:rPr>
      </w:pPr>
      <w:r w:rsidRPr="002E4B47">
        <w:rPr>
          <w:rFonts w:ascii="Book Antiqua" w:eastAsia="Book Antiqua" w:hAnsi="Book Antiqua" w:cs="Book Antiqua"/>
          <w:b/>
          <w:bCs/>
          <w:i/>
          <w:iCs/>
          <w:color w:val="000000"/>
        </w:rPr>
        <w:t>Update on portal venous puncture technique</w:t>
      </w:r>
    </w:p>
    <w:p w14:paraId="6E5C6A40" w14:textId="046B5248" w:rsidR="00A77B3E" w:rsidRDefault="00D8132F">
      <w:pPr>
        <w:spacing w:line="360" w:lineRule="auto"/>
        <w:jc w:val="both"/>
      </w:pPr>
      <w:r>
        <w:rPr>
          <w:rFonts w:ascii="Book Antiqua" w:eastAsia="Book Antiqua" w:hAnsi="Book Antiqua" w:cs="Book Antiqua"/>
          <w:color w:val="000000"/>
        </w:rPr>
        <w:t xml:space="preserve">Cannulation of the portal vein is one of the most crucial and technically challenging steps during TIPS and often determines the duration of the procedure and total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218,219]</w:t>
      </w:r>
      <w:r>
        <w:rPr>
          <w:rFonts w:ascii="Book Antiqua" w:eastAsia="Book Antiqua" w:hAnsi="Book Antiqua" w:cs="Book Antiqua"/>
          <w:color w:val="000000"/>
        </w:rPr>
        <w:t xml:space="preserve">. The majority of potential intraoperative complications are also related to this part of the procedure, including arterial and biliary tract injury and hepatic capsular penetration. A 'blind' fluoroscopic approach was originally described to access the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during TIPS. Many centers have switched over to wedged carbon dioxide portovenography to facilitate the advancement of the needle towards the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under two dimensional (2D) </w:t>
      </w:r>
      <w:proofErr w:type="gramStart"/>
      <w:r>
        <w:rPr>
          <w:rFonts w:ascii="Book Antiqua" w:eastAsia="Book Antiqua" w:hAnsi="Book Antiqua" w:cs="Book Antiqua"/>
          <w:color w:val="000000"/>
        </w:rPr>
        <w:t>fluoroscopy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220]</w:t>
      </w:r>
      <w:r>
        <w:rPr>
          <w:rFonts w:ascii="Book Antiqua" w:eastAsia="Book Antiqua" w:hAnsi="Book Antiqua" w:cs="Book Antiqua"/>
          <w:color w:val="000000"/>
        </w:rPr>
        <w:t xml:space="preserve">.  However, it cannot be used in cases with occlusive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thrombus. Arterial portography is another technique of navigation but requires intra-arterial injection of contrast, and visualization of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may be suboptimal, particularly when the vein is small in caliber or shows hepatofugal </w:t>
      </w:r>
      <w:proofErr w:type="gramStart"/>
      <w:r>
        <w:rPr>
          <w:rFonts w:ascii="Book Antiqua" w:eastAsia="Book Antiqua" w:hAnsi="Book Antiqua" w:cs="Book Antiqua"/>
          <w:color w:val="000000"/>
        </w:rPr>
        <w:t>flow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221]</w:t>
      </w:r>
      <w:r>
        <w:rPr>
          <w:rFonts w:ascii="Book Antiqua" w:eastAsia="Book Antiqua" w:hAnsi="Book Antiqua" w:cs="Book Antiqua"/>
          <w:color w:val="000000"/>
        </w:rPr>
        <w:t xml:space="preserve">. Many studies have described </w:t>
      </w:r>
      <w:r w:rsidR="002E4B47" w:rsidRPr="002E4B47">
        <w:rPr>
          <w:rFonts w:ascii="Book Antiqua" w:eastAsia="Book Antiqua" w:hAnsi="Book Antiqua" w:cs="Book Antiqua"/>
          <w:color w:val="000000"/>
        </w:rPr>
        <w:t>computed tomography</w:t>
      </w:r>
      <w:r>
        <w:rPr>
          <w:rFonts w:ascii="Book Antiqua" w:eastAsia="Book Antiqua" w:hAnsi="Book Antiqua" w:cs="Book Antiqua"/>
          <w:color w:val="000000"/>
        </w:rPr>
        <w:t xml:space="preserve"> or</w:t>
      </w:r>
      <w:r w:rsidR="002E4B47">
        <w:rPr>
          <w:rFonts w:ascii="Book Antiqua" w:eastAsia="Book Antiqua" w:hAnsi="Book Antiqua" w:cs="Book Antiqua"/>
          <w:color w:val="000000"/>
        </w:rPr>
        <w:t xml:space="preserve"> </w:t>
      </w:r>
      <w:r w:rsidR="002E4B47" w:rsidRPr="002E4B47">
        <w:rPr>
          <w:rFonts w:ascii="Book Antiqua" w:eastAsia="Book Antiqua" w:hAnsi="Book Antiqua" w:cs="Book Antiqua"/>
          <w:color w:val="000000"/>
        </w:rPr>
        <w:t>ultrasound</w:t>
      </w:r>
      <w:r w:rsidR="002E4B47" w:rsidRPr="002E4B47" w:rsidDel="002E4B47">
        <w:rPr>
          <w:rFonts w:ascii="Book Antiqua" w:eastAsia="Book Antiqua" w:hAnsi="Book Antiqua" w:cs="Book Antiqua"/>
          <w:color w:val="000000"/>
        </w:rPr>
        <w:t xml:space="preserve"> </w:t>
      </w:r>
      <w:r>
        <w:rPr>
          <w:rFonts w:ascii="Book Antiqua" w:eastAsia="Book Antiqua" w:hAnsi="Book Antiqua" w:cs="Book Antiqua"/>
          <w:color w:val="000000"/>
        </w:rPr>
        <w:t xml:space="preserve">-guided percutaneous marking of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using guidewires or metallic coils, which is not without risk as patients with advanced cirrhosis</w:t>
      </w:r>
      <w:r>
        <w:rPr>
          <w:rFonts w:ascii="Book Antiqua" w:eastAsia="Book Antiqua" w:hAnsi="Book Antiqua" w:cs="Book Antiqua"/>
          <w:color w:val="000000"/>
          <w:szCs w:val="30"/>
          <w:vertAlign w:val="superscript"/>
        </w:rPr>
        <w:t>[222,223]</w:t>
      </w:r>
      <w:r>
        <w:rPr>
          <w:rFonts w:ascii="Book Antiqua" w:eastAsia="Book Antiqua" w:hAnsi="Book Antiqua" w:cs="Book Antiqua"/>
          <w:color w:val="000000"/>
        </w:rPr>
        <w:t xml:space="preserve">. The use of transabdominal ultrasound-guided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puncture (</w:t>
      </w:r>
      <w:r w:rsidRPr="00657162">
        <w:rPr>
          <w:rFonts w:ascii="Book Antiqua" w:eastAsia="Book Antiqua" w:hAnsi="Book Antiqua" w:cs="Book Antiqua"/>
          <w:color w:val="000000"/>
        </w:rPr>
        <w:t>Figure 7)</w:t>
      </w:r>
      <w:r>
        <w:rPr>
          <w:rFonts w:ascii="Book Antiqua" w:eastAsia="Book Antiqua" w:hAnsi="Book Antiqua" w:cs="Book Antiqua"/>
          <w:color w:val="000000"/>
        </w:rPr>
        <w:t xml:space="preserve"> overcomes these problems and has been shown to reduce the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224]</w:t>
      </w:r>
      <w:r>
        <w:rPr>
          <w:rFonts w:ascii="Book Antiqua" w:eastAsia="Book Antiqua" w:hAnsi="Book Antiqua" w:cs="Book Antiqua"/>
          <w:color w:val="000000"/>
        </w:rPr>
        <w:t xml:space="preserve">. It is also useful in patients with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thrombosis. Intravascular ultrasound guidance is a potentially exciting tool for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access and has been shown to reduce the radiation dose, several needles pass, and volume of contrast used compared to the conventional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225,226]</w:t>
      </w:r>
      <w:r>
        <w:rPr>
          <w:rFonts w:ascii="Book Antiqua" w:eastAsia="Book Antiqua" w:hAnsi="Book Antiqua" w:cs="Book Antiqua"/>
          <w:color w:val="000000"/>
        </w:rPr>
        <w:t xml:space="preserve">. However, </w:t>
      </w:r>
      <w:r w:rsidR="002E4B47">
        <w:rPr>
          <w:rFonts w:ascii="Book Antiqua" w:eastAsia="Book Antiqua" w:hAnsi="Book Antiqua" w:cs="Book Antiqua"/>
          <w:color w:val="000000"/>
        </w:rPr>
        <w:t>intravascular ultrasound</w:t>
      </w:r>
      <w:r>
        <w:rPr>
          <w:rFonts w:ascii="Book Antiqua" w:eastAsia="Book Antiqua" w:hAnsi="Book Antiqua" w:cs="Book Antiqua"/>
          <w:color w:val="000000"/>
        </w:rPr>
        <w:t xml:space="preserve"> has a learning curve and requires additional expensive equipment. Recently,</w:t>
      </w:r>
      <w:r w:rsidR="00E86B1D" w:rsidDel="00E86B1D">
        <w:rPr>
          <w:rFonts w:ascii="Book Antiqua" w:eastAsia="Book Antiqua" w:hAnsi="Book Antiqua" w:cs="Book Antiqua"/>
          <w:color w:val="000000"/>
        </w:rPr>
        <w:t xml:space="preserve"> </w:t>
      </w:r>
      <w:r>
        <w:rPr>
          <w:rFonts w:ascii="Book Antiqua" w:eastAsia="Book Antiqua" w:hAnsi="Book Antiqua" w:cs="Book Antiqua"/>
          <w:color w:val="000000"/>
        </w:rPr>
        <w:t xml:space="preserve">3D cone-beam </w:t>
      </w:r>
      <w:r w:rsidR="002E4B47" w:rsidRPr="002E4B47">
        <w:rPr>
          <w:rFonts w:ascii="Book Antiqua" w:eastAsia="Book Antiqua" w:hAnsi="Book Antiqua" w:cs="Book Antiqua"/>
          <w:color w:val="000000"/>
        </w:rPr>
        <w:t>computed tomography</w:t>
      </w:r>
      <w:r>
        <w:rPr>
          <w:rFonts w:ascii="Book Antiqua" w:eastAsia="Book Antiqua" w:hAnsi="Book Antiqua" w:cs="Book Antiqua"/>
          <w:color w:val="000000"/>
        </w:rPr>
        <w:t xml:space="preserve">-guided portal vein cannulation using image fusion technology has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227,228]</w:t>
      </w:r>
      <w:r>
        <w:rPr>
          <w:rFonts w:ascii="Book Antiqua" w:eastAsia="Book Antiqua" w:hAnsi="Book Antiqua" w:cs="Book Antiqua"/>
          <w:color w:val="000000"/>
        </w:rPr>
        <w:t xml:space="preserve">. It allows registration of pre-procedural 3D multimodality imaging data sets with 2D fluoroscopy for real-time instrument visualization and has been shown to reduce the number of liver puncture, complications, and failed attempts </w:t>
      </w:r>
      <w:r>
        <w:rPr>
          <w:rFonts w:ascii="Book Antiqua" w:eastAsia="Book Antiqua" w:hAnsi="Book Antiqua" w:cs="Book Antiqua"/>
          <w:color w:val="000000"/>
        </w:rPr>
        <w:lastRenderedPageBreak/>
        <w:t xml:space="preserve">at TIPS stent placement. Apart from the difficulty in portal venous access during procedure and associated technical challenges, various other complications of associated with the technical aspect of TIPS has been demonstrated. A comprehensive discussion on these technical aspects is beyond the scope of this review. Nonetheless, </w:t>
      </w:r>
      <w:r w:rsidR="00982BCE">
        <w:rPr>
          <w:rFonts w:ascii="Book Antiqua" w:eastAsia="Book Antiqua" w:hAnsi="Book Antiqua" w:cs="Book Antiqua"/>
          <w:color w:val="000000"/>
        </w:rPr>
        <w:t>T</w:t>
      </w:r>
      <w:r w:rsidRPr="00657162">
        <w:rPr>
          <w:rFonts w:ascii="Book Antiqua" w:eastAsia="Book Antiqua" w:hAnsi="Book Antiqua" w:cs="Book Antiqua"/>
          <w:color w:val="000000"/>
        </w:rPr>
        <w:t>able 3</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shows a concise and clarified discussion of these </w:t>
      </w:r>
      <w:r w:rsidR="00024964">
        <w:rPr>
          <w:rFonts w:ascii="Book Antiqua" w:eastAsia="Book Antiqua" w:hAnsi="Book Antiqua" w:cs="Book Antiqua"/>
          <w:color w:val="000000"/>
        </w:rPr>
        <w:t>pertinent</w:t>
      </w:r>
      <w:r>
        <w:rPr>
          <w:rFonts w:ascii="Book Antiqua" w:eastAsia="Book Antiqua" w:hAnsi="Book Antiqua" w:cs="Book Antiqua"/>
          <w:color w:val="000000"/>
        </w:rPr>
        <w:t xml:space="preserve"> challenges.</w:t>
      </w:r>
    </w:p>
    <w:p w14:paraId="6A651016" w14:textId="77777777" w:rsidR="00A77B3E" w:rsidRDefault="00A77B3E">
      <w:pPr>
        <w:spacing w:line="360" w:lineRule="auto"/>
        <w:jc w:val="both"/>
      </w:pPr>
    </w:p>
    <w:p w14:paraId="4226F921"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Adjunctive embolization of varices and portosystemic shunts</w:t>
      </w:r>
    </w:p>
    <w:p w14:paraId="6C30385C" w14:textId="36FE9EC7" w:rsidR="00A77B3E" w:rsidRDefault="00D8132F">
      <w:pPr>
        <w:spacing w:line="360" w:lineRule="auto"/>
        <w:jc w:val="both"/>
      </w:pPr>
      <w:r>
        <w:rPr>
          <w:rFonts w:ascii="Book Antiqua" w:eastAsia="Book Antiqua" w:hAnsi="Book Antiqua" w:cs="Book Antiqua"/>
          <w:color w:val="000000"/>
        </w:rPr>
        <w:t xml:space="preserve">Persistence of varices after deployment of TIPS can potentially cause recurrent variceal bleeding, especially in cases where adequate reduction of PSPG could not be achieved. Few retrospective studies and one RCT have explored this aspect of the TIPS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229-234]</w:t>
      </w:r>
      <w:r>
        <w:rPr>
          <w:rFonts w:ascii="Book Antiqua" w:eastAsia="Book Antiqua" w:hAnsi="Book Antiqua" w:cs="Book Antiqua"/>
          <w:color w:val="000000"/>
        </w:rPr>
        <w:t xml:space="preserve">. Angiographic filling of varices despite the adequate reduction of PSPG, presence of gastric or ectopic varices, and suboptimal reduction of PSPG after TIPS have been identified as some of the clinical situations in which patients may benefit from concomitant embolization of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xml:space="preserve">. Recently, a prospective RCT of 106 patients from China compared TIPS alone with TIPS and coronary vein embolization to assess the rates of rebleeding and stent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w:t>
      </w:r>
      <w:r>
        <w:rPr>
          <w:rFonts w:ascii="Book Antiqua" w:eastAsia="Book Antiqua" w:hAnsi="Book Antiqua" w:cs="Book Antiqua"/>
          <w:color w:val="000000"/>
        </w:rPr>
        <w:t xml:space="preserve">. They found that the cumulative rates of recurrent variceal bleeding in the two groups were not significantly different, except at </w:t>
      </w:r>
      <w:r w:rsidR="00E86B1D">
        <w:rPr>
          <w:rFonts w:ascii="Book Antiqua" w:eastAsia="Book Antiqua" w:hAnsi="Book Antiqua" w:cs="Book Antiqua"/>
          <w:color w:val="000000"/>
        </w:rPr>
        <w:t xml:space="preserve">6 </w:t>
      </w:r>
      <w:r>
        <w:rPr>
          <w:rFonts w:ascii="Book Antiqua" w:eastAsia="Book Antiqua" w:hAnsi="Book Antiqua" w:cs="Book Antiqua"/>
          <w:color w:val="000000"/>
        </w:rPr>
        <w:t>mo, when the bleeding rate in the embolotherapy group was 2.5-fold lower than that in the TIPS group, without any survival advantage.</w:t>
      </w:r>
    </w:p>
    <w:p w14:paraId="10EF054E" w14:textId="6BA2A1E0"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Interestingly, the primary stent patency rates in the adjunctive embolization group were higher than the TIPS group at </w:t>
      </w:r>
      <w:r w:rsidR="00E86B1D">
        <w:rPr>
          <w:rFonts w:ascii="Book Antiqua" w:eastAsia="Book Antiqua" w:hAnsi="Book Antiqua" w:cs="Book Antiqua"/>
          <w:color w:val="000000"/>
        </w:rPr>
        <w:t xml:space="preserve">6 </w:t>
      </w:r>
      <w:r>
        <w:rPr>
          <w:rFonts w:ascii="Book Antiqua" w:eastAsia="Book Antiqua" w:hAnsi="Book Antiqua" w:cs="Book Antiqua"/>
          <w:color w:val="000000"/>
        </w:rPr>
        <w:t xml:space="preserve">mo. This was attributed to the increased antegrade flow in the TIPS shunt due to the embolization of the varices. However, the incidence of stent dysfunction in the TIPS group in this study at </w:t>
      </w:r>
      <w:r w:rsidR="00E86B1D">
        <w:rPr>
          <w:rFonts w:ascii="Book Antiqua" w:eastAsia="Book Antiqua" w:hAnsi="Book Antiqua" w:cs="Book Antiqua"/>
          <w:color w:val="000000"/>
        </w:rPr>
        <w:t xml:space="preserve">6 </w:t>
      </w:r>
      <w:r>
        <w:rPr>
          <w:rFonts w:ascii="Book Antiqua" w:eastAsia="Book Antiqua" w:hAnsi="Book Antiqua" w:cs="Book Antiqua"/>
          <w:color w:val="000000"/>
        </w:rPr>
        <w:t>mo (18%) was worse than the 1-year incidence of shunt dysfunction (12.8%) reported by another RCT from Europe in which majority of the patients underwent placement of covered TIPS stents for variceal bleeding. One reason for this discrepancy could be that Fluency</w:t>
      </w:r>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stents, instead of Viatorr</w:t>
      </w:r>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were used for TIPS creation in the Chinese study, which tends to have a higher rate of dysfunction. A meta-analysis of these studies suggested that the incidence </w:t>
      </w:r>
      <w:r>
        <w:rPr>
          <w:rFonts w:ascii="Book Antiqua" w:eastAsia="Book Antiqua" w:hAnsi="Book Antiqua" w:cs="Book Antiqua"/>
          <w:color w:val="000000"/>
        </w:rPr>
        <w:lastRenderedPageBreak/>
        <w:t xml:space="preserve">of variceal rebleeding was significantly less in the group who underwent concomitant variceal embolization with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234]</w:t>
      </w:r>
      <w:r>
        <w:rPr>
          <w:rFonts w:ascii="Book Antiqua" w:eastAsia="Book Antiqua" w:hAnsi="Book Antiqua" w:cs="Book Antiqua"/>
          <w:color w:val="000000"/>
        </w:rPr>
        <w:t xml:space="preserve">. </w:t>
      </w:r>
    </w:p>
    <w:p w14:paraId="0FD398B4" w14:textId="0B810A0C"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It is generally accepted that liquid embolic agents should be used along with coils to achieve effective occlusion of the afferent veins as well as the variceal complex and prevent the persistent filling of varices. However, many studies have reported the use of coils alone for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xml:space="preserve">. Proximal embolization of the afferent vessels using only coils potentially allows persistent variceal perfusion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collaterals and has poor outcomes. Embolization before TIPS insertion allows for better visualization of collateral vessels, which may decompress after shunt creation. Furthermore, a patent TIPS stent represents a potential channel for systemic non-target embolization of misplaced coils or liquid embolic material into the pulmonary circulation.</w:t>
      </w:r>
    </w:p>
    <w:p w14:paraId="4395E0F8" w14:textId="7DD79B4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On the other hand, post-stent embolization allows the operator to determine the effect of PSPG reduction on the filling of varices. It is suggested that the use of extensive adjunctive variceal embolotherapy theoretically allows for the use of a smaller shunt diameter, which may lower rates of post-procedure </w:t>
      </w:r>
      <w:proofErr w:type="gramStart"/>
      <w:r>
        <w:rPr>
          <w:rFonts w:ascii="Book Antiqua" w:eastAsia="Book Antiqua" w:hAnsi="Book Antiqua" w:cs="Book Antiqua"/>
          <w:color w:val="000000"/>
        </w:rPr>
        <w:t>encephalopathy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xml:space="preserve">. However, the embolization of varices may lead to an increase in portal pressure necessitating placement of larger shunt for adequate decompression. Based on current evidence, adjunctive variceal embolization can be considered in patients in whom the target PSPG reduction could not be achieved after TIPS stent placement or when the persistent filling of variceal channels is noted on completion splenoportogram. It is important to note that the completion splenoportogram should be obtained from the catheter tip at the splenic vein near the splenic hilum to optimally assess the presence or absence of variceal filling after TIPS. Pre-existing large spontaneous portosystemic shunts can compete with the antegrade flow in the TIPS stent and theoretically lead to early stent dysfunction in addition to increasing the incidence of HE. While there are no dedicated studies to assess this aspect of TIPS, it is generally accepted that any large accessible portosystemic shunts should be </w:t>
      </w:r>
      <w:r w:rsidR="00024964">
        <w:rPr>
          <w:rFonts w:ascii="Book Antiqua" w:eastAsia="Book Antiqua" w:hAnsi="Book Antiqua" w:cs="Book Antiqua"/>
          <w:color w:val="000000"/>
        </w:rPr>
        <w:t>embolized</w:t>
      </w:r>
      <w:r>
        <w:rPr>
          <w:rFonts w:ascii="Book Antiqua" w:eastAsia="Book Antiqua" w:hAnsi="Book Antiqua" w:cs="Book Antiqua"/>
          <w:color w:val="000000"/>
        </w:rPr>
        <w:t xml:space="preserve"> during TIPS. </w:t>
      </w:r>
    </w:p>
    <w:p w14:paraId="67E4710B" w14:textId="77777777" w:rsidR="00A77B3E" w:rsidRDefault="00A77B3E">
      <w:pPr>
        <w:spacing w:line="360" w:lineRule="auto"/>
        <w:jc w:val="both"/>
      </w:pPr>
    </w:p>
    <w:p w14:paraId="41D1A2DD" w14:textId="706B1A0A" w:rsidR="00A77B3E" w:rsidRPr="00657162" w:rsidRDefault="00D8132F">
      <w:pPr>
        <w:spacing w:line="360" w:lineRule="auto"/>
        <w:jc w:val="both"/>
        <w:rPr>
          <w:i/>
          <w:iCs/>
        </w:rPr>
      </w:pPr>
      <w:r w:rsidRPr="00657162">
        <w:rPr>
          <w:rFonts w:ascii="Book Antiqua" w:eastAsia="Book Antiqua" w:hAnsi="Book Antiqua" w:cs="Book Antiqua"/>
          <w:b/>
          <w:bCs/>
          <w:i/>
          <w:iCs/>
          <w:color w:val="000000"/>
        </w:rPr>
        <w:t xml:space="preserve">Post-TIPS </w:t>
      </w:r>
      <w:r w:rsidR="004664B9" w:rsidRPr="00657162">
        <w:rPr>
          <w:rFonts w:ascii="Book Antiqua" w:eastAsia="Book Antiqua" w:hAnsi="Book Antiqua" w:cs="Book Antiqua"/>
          <w:b/>
          <w:bCs/>
          <w:i/>
          <w:iCs/>
          <w:color w:val="000000"/>
        </w:rPr>
        <w:t>HE</w:t>
      </w:r>
    </w:p>
    <w:p w14:paraId="2261D965" w14:textId="1CF99E95" w:rsidR="00A77B3E" w:rsidRDefault="00D8132F">
      <w:pPr>
        <w:spacing w:line="360" w:lineRule="auto"/>
        <w:jc w:val="both"/>
      </w:pPr>
      <w:r>
        <w:rPr>
          <w:rFonts w:ascii="Book Antiqua" w:eastAsia="Book Antiqua" w:hAnsi="Book Antiqua" w:cs="Book Antiqua"/>
          <w:color w:val="000000"/>
        </w:rPr>
        <w:lastRenderedPageBreak/>
        <w:t xml:space="preserve">The diagnosis and treatment of post-TIPS overt and covert HE </w:t>
      </w:r>
      <w:r w:rsidR="00024964">
        <w:rPr>
          <w:rFonts w:ascii="Book Antiqua" w:eastAsia="Book Antiqua" w:hAnsi="Book Antiqua" w:cs="Book Antiqua"/>
          <w:color w:val="000000"/>
        </w:rPr>
        <w:t>is</w:t>
      </w:r>
      <w:r>
        <w:rPr>
          <w:rFonts w:ascii="Book Antiqua" w:eastAsia="Book Antiqua" w:hAnsi="Book Antiqua" w:cs="Book Antiqua"/>
          <w:color w:val="000000"/>
        </w:rPr>
        <w:t xml:space="preserve"> not different from that of HE occurring independently of the procedure. Embolization of any large pre-existing spontaneous portosystemic shunts (if not already </w:t>
      </w:r>
      <w:r w:rsidR="00024964">
        <w:rPr>
          <w:rFonts w:ascii="Book Antiqua" w:eastAsia="Book Antiqua" w:hAnsi="Book Antiqua" w:cs="Book Antiqua"/>
          <w:color w:val="000000"/>
        </w:rPr>
        <w:t>embolized</w:t>
      </w:r>
      <w:r>
        <w:rPr>
          <w:rFonts w:ascii="Book Antiqua" w:eastAsia="Book Antiqua" w:hAnsi="Book Antiqua" w:cs="Book Antiqua"/>
          <w:color w:val="000000"/>
        </w:rPr>
        <w:t xml:space="preserve"> during TIPS) is an important step in the management of post TIPS HE. Stent lumen reduction or occlusion is indicated in case of severe persistent overt HE. Unfortunately, complete shunt occlusion with the help of vascular plug, multiple coils, or detachable balloons has often resulted in life-threatening sequelae due to the sudden hemodynamic alterations. Even intentional reversible TIPS stent occlusion using latex balloons kept inflated for up to 48 h carries the risk of recurrent </w:t>
      </w:r>
      <w:r w:rsidR="004664B9">
        <w:rPr>
          <w:rFonts w:ascii="Book Antiqua" w:eastAsia="Book Antiqua" w:hAnsi="Book Antiqua" w:cs="Book Antiqua"/>
          <w:color w:val="000000"/>
        </w:rPr>
        <w:t>VH</w:t>
      </w:r>
      <w:r>
        <w:rPr>
          <w:rFonts w:ascii="Book Antiqua" w:eastAsia="Book Antiqua" w:hAnsi="Book Antiqua" w:cs="Book Antiqua"/>
          <w:color w:val="000000"/>
        </w:rPr>
        <w:t xml:space="preserve"> and death. To overcome these problems, multiple techniques of stent reduction have been described. Initially, constrained uncovered stents were utilized for shunt reduction. These were either customized or required use of a parallel balloon-expandable stent. However, this technique was limited by inaccurate regulation of blood flow even after the embolization of dead space surrounding the narrowed portion of the stent using coils. Nowadays, stent reduction is almost exclusively done using stent-grafts, which provide a more predictable outcome in terms of blood flow regulation. On-table customization of balloon-expandable stent-grafts into an hourglass configuration using sutures was initially described. Later, Sze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86B1D">
        <w:rPr>
          <w:rFonts w:ascii="Book Antiqua" w:eastAsia="Book Antiqua" w:hAnsi="Book Antiqua" w:cs="Book Antiqua"/>
          <w:color w:val="000000"/>
          <w:szCs w:val="30"/>
          <w:vertAlign w:val="superscript"/>
        </w:rPr>
        <w:t>[</w:t>
      </w:r>
      <w:proofErr w:type="gramEnd"/>
      <w:r w:rsidR="00E86B1D">
        <w:rPr>
          <w:rFonts w:ascii="Book Antiqua" w:eastAsia="Book Antiqua" w:hAnsi="Book Antiqua" w:cs="Book Antiqua"/>
          <w:color w:val="000000"/>
          <w:szCs w:val="30"/>
          <w:vertAlign w:val="superscript"/>
        </w:rPr>
        <w:t>235]</w:t>
      </w:r>
      <w:r>
        <w:rPr>
          <w:rFonts w:ascii="Book Antiqua" w:eastAsia="Book Antiqua" w:hAnsi="Book Antiqua" w:cs="Book Antiqua"/>
          <w:color w:val="000000"/>
        </w:rPr>
        <w:t xml:space="preserve"> reported a technique of parallel placement of stent graft and balloon-expandable stent within the TIPS stent. The balloon-expandable stent is used to compress the stent-graft, which will determine the flow lumen. </w:t>
      </w:r>
    </w:p>
    <w:p w14:paraId="1EDDBAC1" w14:textId="77777777" w:rsidR="00A77B3E" w:rsidRDefault="00A77B3E">
      <w:pPr>
        <w:spacing w:line="360" w:lineRule="auto"/>
        <w:jc w:val="both"/>
      </w:pPr>
    </w:p>
    <w:p w14:paraId="3B524765"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Post TIPS liver failure</w:t>
      </w:r>
    </w:p>
    <w:p w14:paraId="5E89B9E4" w14:textId="23D8C132" w:rsidR="00A77B3E" w:rsidRDefault="00D8132F">
      <w:pPr>
        <w:spacing w:line="360" w:lineRule="auto"/>
        <w:jc w:val="both"/>
      </w:pPr>
      <w:r>
        <w:rPr>
          <w:rFonts w:ascii="Book Antiqua" w:eastAsia="Book Antiqua" w:hAnsi="Book Antiqua" w:cs="Book Antiqua"/>
          <w:color w:val="000000"/>
        </w:rPr>
        <w:t xml:space="preserve">Despite its minimally invasive nature, TIPS inevitably </w:t>
      </w:r>
      <w:r w:rsidR="00024964">
        <w:rPr>
          <w:rFonts w:ascii="Book Antiqua" w:eastAsia="Book Antiqua" w:hAnsi="Book Antiqua" w:cs="Book Antiqua"/>
          <w:color w:val="000000"/>
        </w:rPr>
        <w:t>cause</w:t>
      </w:r>
      <w:r>
        <w:rPr>
          <w:rFonts w:ascii="Book Antiqua" w:eastAsia="Book Antiqua" w:hAnsi="Book Antiqua" w:cs="Book Antiqua"/>
          <w:color w:val="000000"/>
        </w:rPr>
        <w:t xml:space="preserve"> stress on the liver due to the parenchymal injury and diversion of already compromised portal blood flow. Besides, depending on the location and configuration of the stent, one or more branches of the portal vein or hepatic artery might be obstructed or compressed, resulting in ischemia. Also, the covered portion of TIPS stent can occlude the drainage of one or more hepatic veins leading to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236-238]</w:t>
      </w:r>
      <w:r>
        <w:rPr>
          <w:rFonts w:ascii="Book Antiqua" w:eastAsia="Book Antiqua" w:hAnsi="Book Antiqua" w:cs="Book Antiqua"/>
          <w:color w:val="000000"/>
        </w:rPr>
        <w:t xml:space="preserve">. These can manifest as mild transient derangement of liver functions in the days after TIPS stent placement or liver </w:t>
      </w:r>
      <w:r>
        <w:rPr>
          <w:rFonts w:ascii="Book Antiqua" w:eastAsia="Book Antiqua" w:hAnsi="Book Antiqua" w:cs="Book Antiqua"/>
          <w:color w:val="000000"/>
        </w:rPr>
        <w:lastRenderedPageBreak/>
        <w:t xml:space="preserve">failure. Studies have shown a two-to-three fold increase in liver enzymes and bilirubin after TIPS, independent of </w:t>
      </w:r>
      <w:proofErr w:type="gramStart"/>
      <w:r>
        <w:rPr>
          <w:rFonts w:ascii="Book Antiqua" w:eastAsia="Book Antiqua" w:hAnsi="Book Antiqua" w:cs="Book Antiqua"/>
          <w:color w:val="000000"/>
        </w:rPr>
        <w:t>baseline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239,240]</w:t>
      </w:r>
      <w:r>
        <w:rPr>
          <w:rFonts w:ascii="Book Antiqua" w:eastAsia="Book Antiqua" w:hAnsi="Book Antiqua" w:cs="Book Antiqua"/>
          <w:color w:val="000000"/>
        </w:rPr>
        <w:t xml:space="preserve">. These alterations usually get resolved within </w:t>
      </w:r>
      <w:r w:rsidR="00E86B1D">
        <w:rPr>
          <w:rFonts w:ascii="Book Antiqua" w:eastAsia="Book Antiqua" w:hAnsi="Book Antiqua" w:cs="Book Antiqua"/>
          <w:color w:val="000000"/>
        </w:rPr>
        <w:t>2 wk</w:t>
      </w:r>
      <w:r>
        <w:rPr>
          <w:rFonts w:ascii="Book Antiqua" w:eastAsia="Book Antiqua" w:hAnsi="Book Antiqua" w:cs="Book Antiqua"/>
          <w:color w:val="000000"/>
        </w:rPr>
        <w:t xml:space="preserve"> because of a compensatory increase in hepatic arterial flow, also called as 'hepatic artery buffer response'</w:t>
      </w:r>
      <w:r>
        <w:rPr>
          <w:rFonts w:ascii="Book Antiqua" w:eastAsia="Book Antiqua" w:hAnsi="Book Antiqua" w:cs="Book Antiqua"/>
          <w:color w:val="000000"/>
          <w:szCs w:val="30"/>
          <w:vertAlign w:val="superscript"/>
        </w:rPr>
        <w:t>[239]</w:t>
      </w:r>
      <w:r>
        <w:rPr>
          <w:rFonts w:ascii="Book Antiqua" w:eastAsia="Book Antiqua" w:hAnsi="Book Antiqua" w:cs="Book Antiqua"/>
          <w:color w:val="000000"/>
        </w:rPr>
        <w:t>. However, marked derangement and delayed stabilization of liver functions might be an indicator of irreversible liver injury and liver failure. Bilirubin is an independent predictor of 30-d mortality after TIPS placement with a 40% increased risk of death for each 1</w:t>
      </w:r>
      <w:r w:rsidR="00E86B1D">
        <w:rPr>
          <w:rFonts w:ascii="Book Antiqua" w:eastAsia="Book Antiqua" w:hAnsi="Book Antiqua" w:cs="Book Antiqua"/>
          <w:color w:val="000000"/>
        </w:rPr>
        <w:t xml:space="preserve"> </w:t>
      </w:r>
      <w:r>
        <w:rPr>
          <w:rFonts w:ascii="Book Antiqua" w:eastAsia="Book Antiqua" w:hAnsi="Book Antiqua" w:cs="Book Antiqua"/>
          <w:color w:val="000000"/>
        </w:rPr>
        <w:t>mg/dL increase above 3.0 mg/</w:t>
      </w:r>
      <w:proofErr w:type="gramStart"/>
      <w:r>
        <w:rPr>
          <w:rFonts w:ascii="Book Antiqua" w:eastAsia="Book Antiqua" w:hAnsi="Book Antiqua" w:cs="Book Antiqua"/>
          <w:color w:val="000000"/>
        </w:rPr>
        <w:t>dL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241]</w:t>
      </w:r>
      <w:r>
        <w:rPr>
          <w:rFonts w:ascii="Book Antiqua" w:eastAsia="Book Antiqua" w:hAnsi="Book Antiqua" w:cs="Book Antiqua"/>
          <w:color w:val="000000"/>
        </w:rPr>
        <w:t xml:space="preserve">. Bilirubin levels increased to at least triple the baseline value in approximately 50% of dying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only 20% of surviving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240]</w:t>
      </w:r>
      <w:r>
        <w:rPr>
          <w:rFonts w:ascii="Book Antiqua" w:eastAsia="Book Antiqua" w:hAnsi="Book Antiqua" w:cs="Book Antiqua"/>
          <w:color w:val="000000"/>
        </w:rPr>
        <w:t xml:space="preserve">. Similarly, patients with a MELD score of 18 or more have a significantly lower 3-mo survival rate than those with a MELD score of 17 or </w:t>
      </w:r>
      <w:proofErr w:type="gramStart"/>
      <w:r>
        <w:rPr>
          <w:rFonts w:ascii="Book Antiqua" w:eastAsia="Book Antiqua" w:hAnsi="Book Antiqua" w:cs="Book Antiqua"/>
          <w:color w:val="000000"/>
        </w:rPr>
        <w:t>less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w:t>
      </w:r>
      <w:r>
        <w:rPr>
          <w:rFonts w:ascii="Book Antiqua" w:eastAsia="Book Antiqua" w:hAnsi="Book Antiqua" w:cs="Book Antiqua"/>
          <w:color w:val="000000"/>
        </w:rPr>
        <w:t>. It is recommended that patients with a CTP score &gt;</w:t>
      </w:r>
      <w:r w:rsidR="00E86B1D">
        <w:rPr>
          <w:rFonts w:ascii="Book Antiqua" w:eastAsia="Book Antiqua" w:hAnsi="Book Antiqua" w:cs="Book Antiqua"/>
          <w:color w:val="000000"/>
        </w:rPr>
        <w:t xml:space="preserve"> </w:t>
      </w:r>
      <w:r>
        <w:rPr>
          <w:rFonts w:ascii="Book Antiqua" w:eastAsia="Book Antiqua" w:hAnsi="Book Antiqua" w:cs="Book Antiqua"/>
          <w:color w:val="000000"/>
        </w:rPr>
        <w:t>10 or MELD score &gt;</w:t>
      </w:r>
      <w:r w:rsidR="00E86B1D">
        <w:rPr>
          <w:rFonts w:ascii="Book Antiqua" w:eastAsia="Book Antiqua" w:hAnsi="Book Antiqua" w:cs="Book Antiqua"/>
          <w:color w:val="000000"/>
        </w:rPr>
        <w:t xml:space="preserve"> </w:t>
      </w:r>
      <w:r>
        <w:rPr>
          <w:rFonts w:ascii="Book Antiqua" w:eastAsia="Book Antiqua" w:hAnsi="Book Antiqua" w:cs="Book Antiqua"/>
          <w:color w:val="000000"/>
        </w:rPr>
        <w:t xml:space="preserve">14 should not have their post-TIPS PSPG reduced to &lt; 5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243]</w:t>
      </w:r>
      <w:r>
        <w:rPr>
          <w:rFonts w:ascii="Book Antiqua" w:eastAsia="Book Antiqua" w:hAnsi="Book Antiqua" w:cs="Book Antiqua"/>
          <w:color w:val="000000"/>
        </w:rPr>
        <w:t xml:space="preserve">. Thus, patients showing a </w:t>
      </w:r>
      <w:r w:rsidR="00024964">
        <w:rPr>
          <w:rFonts w:ascii="Book Antiqua" w:eastAsia="Book Antiqua" w:hAnsi="Book Antiqua" w:cs="Book Antiqua"/>
          <w:color w:val="000000"/>
        </w:rPr>
        <w:t>persistent threefold</w:t>
      </w:r>
      <w:r>
        <w:rPr>
          <w:rFonts w:ascii="Book Antiqua" w:eastAsia="Book Antiqua" w:hAnsi="Book Antiqua" w:cs="Book Antiqua"/>
          <w:color w:val="000000"/>
        </w:rPr>
        <w:t xml:space="preserve"> increase in bilirubin after TIPS should be considered to be at risk of liver failure warranting aggressive management, including referral to a transplant center. </w:t>
      </w:r>
    </w:p>
    <w:p w14:paraId="64AD559D" w14:textId="77777777" w:rsidR="00A77B3E" w:rsidRDefault="00A77B3E">
      <w:pPr>
        <w:spacing w:line="360" w:lineRule="auto"/>
        <w:jc w:val="both"/>
      </w:pPr>
    </w:p>
    <w:p w14:paraId="68BA568D"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Follow-up imaging protocol and shunt revision</w:t>
      </w:r>
    </w:p>
    <w:p w14:paraId="4F975C5A" w14:textId="2E0B3293" w:rsidR="00A77B3E" w:rsidRDefault="00D8132F">
      <w:pPr>
        <w:spacing w:line="360" w:lineRule="auto"/>
        <w:jc w:val="both"/>
      </w:pPr>
      <w:r>
        <w:rPr>
          <w:rFonts w:ascii="Book Antiqua" w:eastAsia="Book Antiqua" w:hAnsi="Book Antiqua" w:cs="Book Antiqua"/>
          <w:color w:val="000000"/>
        </w:rPr>
        <w:t>No rigorous studies have addressed the issue of optimal follow-up time intervals for doppler surveillance after TIPS, while majority of the centers have anecdotally adopted a strategy of doing doppler ultrasonography at 1,</w:t>
      </w:r>
      <w:r w:rsidR="00E86B1D">
        <w:rPr>
          <w:rFonts w:ascii="Book Antiqua" w:eastAsia="Book Antiqua" w:hAnsi="Book Antiqua" w:cs="Book Antiqua"/>
          <w:color w:val="000000"/>
        </w:rPr>
        <w:t xml:space="preserve"> </w:t>
      </w:r>
      <w:r>
        <w:rPr>
          <w:rFonts w:ascii="Book Antiqua" w:eastAsia="Book Antiqua" w:hAnsi="Book Antiqua" w:cs="Book Antiqua"/>
          <w:color w:val="000000"/>
        </w:rPr>
        <w:t>2,</w:t>
      </w:r>
      <w:r w:rsidR="00E86B1D">
        <w:rPr>
          <w:rFonts w:ascii="Book Antiqua" w:eastAsia="Book Antiqua" w:hAnsi="Book Antiqua" w:cs="Book Antiqua"/>
          <w:color w:val="000000"/>
        </w:rPr>
        <w:t xml:space="preserve"> </w:t>
      </w:r>
      <w:r>
        <w:rPr>
          <w:rFonts w:ascii="Book Antiqua" w:eastAsia="Book Antiqua" w:hAnsi="Book Antiqua" w:cs="Book Antiqua"/>
          <w:color w:val="000000"/>
        </w:rPr>
        <w:t>6 and 12 mo following stent placement and every 6-12 mo after that unless there is the recurrence of symptoms for which TIPS was done (ascites or hydrothorax)</w:t>
      </w:r>
      <w:r>
        <w:rPr>
          <w:rFonts w:ascii="Book Antiqua" w:eastAsia="Book Antiqua" w:hAnsi="Book Antiqua" w:cs="Book Antiqua"/>
          <w:color w:val="000000"/>
          <w:szCs w:val="30"/>
          <w:vertAlign w:val="superscript"/>
        </w:rPr>
        <w:t>[244]</w:t>
      </w:r>
      <w:r>
        <w:rPr>
          <w:rFonts w:ascii="Book Antiqua" w:eastAsia="Book Antiqua" w:hAnsi="Book Antiqua" w:cs="Book Antiqua"/>
          <w:color w:val="000000"/>
        </w:rPr>
        <w:t xml:space="preserve">. For patients in whom TIPS stent was placed for </w:t>
      </w:r>
      <w:r w:rsidR="004664B9">
        <w:rPr>
          <w:rFonts w:ascii="Book Antiqua" w:eastAsia="Book Antiqua" w:hAnsi="Book Antiqua" w:cs="Book Antiqua"/>
          <w:color w:val="000000"/>
        </w:rPr>
        <w:t>VH</w:t>
      </w:r>
      <w:r>
        <w:rPr>
          <w:rFonts w:ascii="Book Antiqua" w:eastAsia="Book Antiqua" w:hAnsi="Book Antiqua" w:cs="Book Antiqua"/>
          <w:color w:val="000000"/>
        </w:rPr>
        <w:t>, a stringent doppler follow-up is required because they might not be immediately symptomatic even after shunt dysfunction. Evaluation of stent flow velocities is the primary tool for assessing shunt patency. Normal flow velocities within the stent fall within the range of 90</w:t>
      </w:r>
      <w:r w:rsidR="00E86B1D">
        <w:rPr>
          <w:rFonts w:ascii="Book Antiqua" w:eastAsia="Book Antiqua" w:hAnsi="Book Antiqua" w:cs="Book Antiqua"/>
          <w:color w:val="000000"/>
        </w:rPr>
        <w:t>-</w:t>
      </w:r>
      <w:r>
        <w:rPr>
          <w:rFonts w:ascii="Book Antiqua" w:eastAsia="Book Antiqua" w:hAnsi="Book Antiqua" w:cs="Book Antiqua"/>
          <w:color w:val="000000"/>
        </w:rPr>
        <w:t>190 cm/</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245]</w:t>
      </w:r>
      <w:r>
        <w:rPr>
          <w:rFonts w:ascii="Book Antiqua" w:eastAsia="Book Antiqua" w:hAnsi="Book Antiqua" w:cs="Book Antiqua"/>
          <w:color w:val="000000"/>
        </w:rPr>
        <w:t xml:space="preserve">. A main portal vein velocity below 30 cm/s is another useful </w:t>
      </w:r>
      <w:proofErr w:type="gramStart"/>
      <w:r>
        <w:rPr>
          <w:rFonts w:ascii="Book Antiqua" w:eastAsia="Book Antiqua" w:hAnsi="Book Antiqua" w:cs="Book Antiqua"/>
          <w:color w:val="000000"/>
        </w:rPr>
        <w:t>parameter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246]</w:t>
      </w:r>
      <w:r>
        <w:rPr>
          <w:rFonts w:ascii="Book Antiqua" w:eastAsia="Book Antiqua" w:hAnsi="Book Antiqua" w:cs="Book Antiqua"/>
          <w:color w:val="000000"/>
        </w:rPr>
        <w:t xml:space="preserve">. Another recent study found that a greater than 25% interval change in peak TIPS velocity was significantly more sensitive at detecting dysfunction in a covered TIPS </w:t>
      </w:r>
      <w:proofErr w:type="gramStart"/>
      <w:r>
        <w:rPr>
          <w:rFonts w:ascii="Book Antiqua" w:eastAsia="Book Antiqua" w:hAnsi="Book Antiqua" w:cs="Book Antiqua"/>
          <w:color w:val="000000"/>
        </w:rPr>
        <w:t>stent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247]</w:t>
      </w:r>
      <w:r>
        <w:rPr>
          <w:rFonts w:ascii="Book Antiqua" w:eastAsia="Book Antiqua" w:hAnsi="Book Antiqua" w:cs="Book Antiqua"/>
          <w:color w:val="000000"/>
        </w:rPr>
        <w:t xml:space="preserve">. If there is a suspicion of in-stent stenosis or </w:t>
      </w:r>
      <w:r>
        <w:rPr>
          <w:rFonts w:ascii="Book Antiqua" w:eastAsia="Book Antiqua" w:hAnsi="Book Antiqua" w:cs="Book Antiqua"/>
          <w:color w:val="000000"/>
        </w:rPr>
        <w:lastRenderedPageBreak/>
        <w:t xml:space="preserve">occlusion on surveillance Doppler </w:t>
      </w:r>
      <w:r w:rsidR="00E86B1D" w:rsidRPr="00E86B1D">
        <w:rPr>
          <w:rFonts w:ascii="Book Antiqua" w:eastAsia="Book Antiqua" w:hAnsi="Book Antiqua" w:cs="Book Antiqua"/>
          <w:color w:val="000000"/>
        </w:rPr>
        <w:t>ultrasound</w:t>
      </w:r>
      <w:r>
        <w:rPr>
          <w:rFonts w:ascii="Book Antiqua" w:eastAsia="Book Antiqua" w:hAnsi="Book Antiqua" w:cs="Book Antiqua"/>
          <w:color w:val="000000"/>
        </w:rPr>
        <w:t>, a TIPS venogram and pressure measurements should be carried out.</w:t>
      </w:r>
    </w:p>
    <w:p w14:paraId="3F2DFCF0" w14:textId="7A46FAC7" w:rsidR="00A77B3E" w:rsidRDefault="00D8132F" w:rsidP="003F0ED5">
      <w:pPr>
        <w:spacing w:line="360" w:lineRule="auto"/>
        <w:ind w:firstLineChars="100" w:firstLine="240"/>
        <w:jc w:val="both"/>
      </w:pPr>
      <w:r>
        <w:rPr>
          <w:rFonts w:ascii="Book Antiqua" w:eastAsia="Book Antiqua" w:hAnsi="Book Antiqua" w:cs="Book Antiqua"/>
          <w:color w:val="000000"/>
        </w:rPr>
        <w:t xml:space="preserve">In-stent stenosis most commonly occurs at the hepatico-caval junction. Multiple studies have shown that angioplasty with the placement of covered stents gives better long term results compared to angioplasty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248]</w:t>
      </w:r>
      <w:r>
        <w:rPr>
          <w:rFonts w:ascii="Book Antiqua" w:eastAsia="Book Antiqua" w:hAnsi="Book Antiqua" w:cs="Book Antiqua"/>
          <w:color w:val="000000"/>
        </w:rPr>
        <w:t xml:space="preserve">. Restenting is also useful in cases of stent shortening or portal venous stenosis. Shunt extension (placement of another stent in the portal venous or hepatic venous end) is used mainly to correct problems with angulation. In cases of chronic stent thrombosis, accessing the stent may be difficult from the transjugular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249]</w:t>
      </w:r>
      <w:r>
        <w:rPr>
          <w:rFonts w:ascii="Book Antiqua" w:eastAsia="Book Antiqua" w:hAnsi="Book Antiqua" w:cs="Book Antiqua"/>
          <w:color w:val="000000"/>
        </w:rPr>
        <w:t xml:space="preserve">. Percutaneous transhepatic and trans-splenic routes have been described for obtaining wire access in such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249,250]</w:t>
      </w:r>
      <w:r>
        <w:rPr>
          <w:rFonts w:ascii="Book Antiqua" w:eastAsia="Book Antiqua" w:hAnsi="Book Antiqua" w:cs="Book Antiqua"/>
          <w:color w:val="000000"/>
        </w:rPr>
        <w:t xml:space="preserve">. The transhepatic route requires percutaneously puncturing the midportion of the stent and snaring the wire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the internal jugular venous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249]</w:t>
      </w:r>
      <w:r>
        <w:rPr>
          <w:rFonts w:ascii="Book Antiqua" w:eastAsia="Book Antiqua" w:hAnsi="Book Antiqua" w:cs="Book Antiqua"/>
          <w:color w:val="000000"/>
        </w:rPr>
        <w:t xml:space="preserve">. For the trans-splenic approach, a small peripheral tributary of the splenic vein is punctured, and the caudal end of the stent is accessed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the portal </w:t>
      </w:r>
      <w:proofErr w:type="gramStart"/>
      <w:r>
        <w:rPr>
          <w:rFonts w:ascii="Book Antiqua" w:eastAsia="Book Antiqua" w:hAnsi="Book Antiqua" w:cs="Book Antiqua"/>
          <w:color w:val="000000"/>
        </w:rPr>
        <w:t>vein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250]</w:t>
      </w:r>
      <w:r>
        <w:rPr>
          <w:rFonts w:ascii="Book Antiqua" w:eastAsia="Book Antiqua" w:hAnsi="Book Antiqua" w:cs="Book Antiqua"/>
          <w:color w:val="000000"/>
        </w:rPr>
        <w:t xml:space="preserve">. In cases where the primary stent is </w:t>
      </w:r>
      <w:r w:rsidR="00024964">
        <w:rPr>
          <w:rFonts w:ascii="Book Antiqua" w:eastAsia="Book Antiqua" w:hAnsi="Book Antiqua" w:cs="Book Antiqua"/>
          <w:color w:val="000000"/>
        </w:rPr>
        <w:t>unsalvageable</w:t>
      </w:r>
      <w:r>
        <w:rPr>
          <w:rFonts w:ascii="Book Antiqua" w:eastAsia="Book Antiqua" w:hAnsi="Book Antiqua" w:cs="Book Antiqua"/>
          <w:color w:val="000000"/>
        </w:rPr>
        <w:t xml:space="preserve">, placement of a parallel TIPS stent has been described to provide symptomatic </w:t>
      </w:r>
      <w:proofErr w:type="gramStart"/>
      <w:r>
        <w:rPr>
          <w:rFonts w:ascii="Book Antiqua" w:eastAsia="Book Antiqua" w:hAnsi="Book Antiqua" w:cs="Book Antiqua"/>
          <w:color w:val="000000"/>
        </w:rPr>
        <w:t>relief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251]</w:t>
      </w:r>
      <w:r>
        <w:rPr>
          <w:rFonts w:ascii="Book Antiqua" w:eastAsia="Book Antiqua" w:hAnsi="Book Antiqua" w:cs="Book Antiqua"/>
          <w:color w:val="000000"/>
        </w:rPr>
        <w:t>.</w:t>
      </w:r>
    </w:p>
    <w:p w14:paraId="624D686A" w14:textId="77777777" w:rsidR="00A77B3E" w:rsidRDefault="00A77B3E">
      <w:pPr>
        <w:spacing w:line="360" w:lineRule="auto"/>
        <w:jc w:val="both"/>
      </w:pPr>
    </w:p>
    <w:p w14:paraId="4EAB938F" w14:textId="77777777" w:rsidR="00A77B3E" w:rsidRDefault="00D8132F">
      <w:pPr>
        <w:spacing w:line="360" w:lineRule="auto"/>
        <w:jc w:val="both"/>
      </w:pPr>
      <w:r>
        <w:rPr>
          <w:rFonts w:ascii="Book Antiqua" w:eastAsia="Book Antiqua" w:hAnsi="Book Antiqua" w:cs="Book Antiqua"/>
          <w:b/>
          <w:caps/>
          <w:color w:val="000000"/>
          <w:u w:val="single"/>
        </w:rPr>
        <w:t>CONCLUSION</w:t>
      </w:r>
    </w:p>
    <w:p w14:paraId="2872238F" w14:textId="221F43A7" w:rsidR="00A77B3E" w:rsidRDefault="00D8132F">
      <w:pPr>
        <w:spacing w:line="360" w:lineRule="auto"/>
        <w:jc w:val="both"/>
      </w:pPr>
      <w:r>
        <w:rPr>
          <w:rFonts w:ascii="Book Antiqua" w:eastAsia="Book Antiqua" w:hAnsi="Book Antiqua" w:cs="Book Antiqua"/>
          <w:color w:val="000000"/>
        </w:rPr>
        <w:t xml:space="preserve">Transjugular intrahepatic </w:t>
      </w:r>
      <w:r w:rsidR="00024964">
        <w:rPr>
          <w:rFonts w:ascii="Book Antiqua" w:eastAsia="Book Antiqua" w:hAnsi="Book Antiqua" w:cs="Book Antiqua"/>
          <w:color w:val="000000"/>
        </w:rPr>
        <w:t>portosystemic</w:t>
      </w:r>
      <w:r>
        <w:rPr>
          <w:rFonts w:ascii="Book Antiqua" w:eastAsia="Book Antiqua" w:hAnsi="Book Antiqua" w:cs="Book Antiqua"/>
          <w:color w:val="000000"/>
        </w:rPr>
        <w:t xml:space="preserve"> shunt placement has been demonstrated to have benefit on the control and recurrence of </w:t>
      </w:r>
      <w:r w:rsidR="004664B9">
        <w:rPr>
          <w:rFonts w:ascii="Book Antiqua" w:eastAsia="Book Antiqua" w:hAnsi="Book Antiqua" w:cs="Book Antiqua"/>
          <w:color w:val="000000"/>
        </w:rPr>
        <w:t>PH</w:t>
      </w:r>
      <w:r>
        <w:rPr>
          <w:rFonts w:ascii="Book Antiqua" w:eastAsia="Book Antiqua" w:hAnsi="Book Antiqua" w:cs="Book Antiqua"/>
          <w:color w:val="000000"/>
        </w:rPr>
        <w:t xml:space="preserve"> events and transplant free survival in patients with cirrhosis. Nonetheless, various applicability of TIPS among specific subsets of patients with cirrhosis need further validation and thus form prospects for future studies in the form of observation, hypothesis generation and validation in controlled trials. Of these the most important include utility among Child Pugh class B patients with variceal bleeding, role in non-responders to primary prophylaxis with beta blocker therapy and benefits with early use in patients with recurrent ascites who do not fulfil criteria for refractoriness. Other </w:t>
      </w:r>
      <w:r w:rsidR="00024964">
        <w:rPr>
          <w:rFonts w:ascii="Book Antiqua" w:eastAsia="Book Antiqua" w:hAnsi="Book Antiqua" w:cs="Book Antiqua"/>
          <w:color w:val="000000"/>
        </w:rPr>
        <w:t>pertinent</w:t>
      </w:r>
      <w:r>
        <w:rPr>
          <w:rFonts w:ascii="Book Antiqua" w:eastAsia="Book Antiqua" w:hAnsi="Book Antiqua" w:cs="Book Antiqua"/>
          <w:color w:val="000000"/>
        </w:rPr>
        <w:t xml:space="preserve"> areas for further research involve the role of TIPS in management of bleeding </w:t>
      </w:r>
      <w:r w:rsidR="00A31FC1">
        <w:rPr>
          <w:rFonts w:ascii="Book Antiqua" w:eastAsia="Book Antiqua" w:hAnsi="Book Antiqua" w:cs="Book Antiqua"/>
          <w:color w:val="000000"/>
        </w:rPr>
        <w:t>GV</w:t>
      </w:r>
      <w:r>
        <w:rPr>
          <w:rFonts w:ascii="Book Antiqua" w:eastAsia="Book Antiqua" w:hAnsi="Book Antiqua" w:cs="Book Antiqua"/>
          <w:color w:val="000000"/>
        </w:rPr>
        <w:t xml:space="preserve"> associated with large spontaneous shunts, in hepatopulmonary syndrome as a bridge to liver transplantation and biomarkers to predict post TIPS outcome such as stent dysfunction or death. </w:t>
      </w:r>
      <w:r>
        <w:rPr>
          <w:rFonts w:ascii="Book Antiqua" w:eastAsia="Book Antiqua" w:hAnsi="Book Antiqua" w:cs="Book Antiqua"/>
          <w:color w:val="000000"/>
        </w:rPr>
        <w:lastRenderedPageBreak/>
        <w:t xml:space="preserve">Furthermore, an exciting area would also be the use of controlled-expansion stents for TIPS placement in those with advanced liver disease and recurrent or uncontrolled </w:t>
      </w:r>
      <w:r w:rsidR="004664B9">
        <w:rPr>
          <w:rFonts w:ascii="Book Antiqua" w:eastAsia="Book Antiqua" w:hAnsi="Book Antiqua" w:cs="Book Antiqua"/>
          <w:color w:val="000000"/>
        </w:rPr>
        <w:t>PH</w:t>
      </w:r>
      <w:r>
        <w:rPr>
          <w:rFonts w:ascii="Book Antiqua" w:eastAsia="Book Antiqua" w:hAnsi="Book Antiqua" w:cs="Book Antiqua"/>
          <w:color w:val="000000"/>
        </w:rPr>
        <w:t xml:space="preserve"> related complications.  </w:t>
      </w:r>
    </w:p>
    <w:p w14:paraId="3DCAF280" w14:textId="77777777" w:rsidR="00A77B3E" w:rsidRDefault="00A77B3E">
      <w:pPr>
        <w:spacing w:line="360" w:lineRule="auto"/>
        <w:jc w:val="both"/>
      </w:pPr>
    </w:p>
    <w:p w14:paraId="2DC5F244" w14:textId="77777777" w:rsidR="00A77B3E" w:rsidRDefault="00D8132F">
      <w:pPr>
        <w:spacing w:line="360" w:lineRule="auto"/>
        <w:jc w:val="both"/>
      </w:pPr>
      <w:r>
        <w:rPr>
          <w:rFonts w:ascii="Book Antiqua" w:eastAsia="Book Antiqua" w:hAnsi="Book Antiqua" w:cs="Book Antiqua"/>
          <w:b/>
          <w:color w:val="000000"/>
        </w:rPr>
        <w:t>REFERENCES</w:t>
      </w:r>
    </w:p>
    <w:p w14:paraId="1DEBE569" w14:textId="77777777" w:rsidR="00A77B3E" w:rsidRDefault="00D8132F">
      <w:pPr>
        <w:spacing w:line="360" w:lineRule="auto"/>
        <w:jc w:val="both"/>
      </w:pPr>
      <w:bookmarkStart w:id="2" w:name="OLE_LINK2010"/>
      <w:bookmarkStart w:id="3" w:name="OLE_LINK2011"/>
      <w:r>
        <w:rPr>
          <w:rFonts w:ascii="Book Antiqua" w:eastAsia="Book Antiqua" w:hAnsi="Book Antiqua" w:cs="Book Antiqua"/>
          <w:color w:val="000000"/>
        </w:rPr>
        <w:t xml:space="preserve">1 </w:t>
      </w:r>
      <w:r>
        <w:rPr>
          <w:rFonts w:ascii="Book Antiqua" w:eastAsia="Book Antiqua" w:hAnsi="Book Antiqua" w:cs="Book Antiqua"/>
          <w:b/>
          <w:bCs/>
          <w:color w:val="000000"/>
        </w:rPr>
        <w:t>Rösch J</w:t>
      </w:r>
      <w:r>
        <w:rPr>
          <w:rFonts w:ascii="Book Antiqua" w:eastAsia="Book Antiqua" w:hAnsi="Book Antiqua" w:cs="Book Antiqua"/>
          <w:color w:val="000000"/>
        </w:rPr>
        <w:t xml:space="preserve">, Hanafee WN, Snow H. Transjugular portal venography and radiologic portacaval shunt: an experimental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1969; </w:t>
      </w:r>
      <w:r>
        <w:rPr>
          <w:rFonts w:ascii="Book Antiqua" w:eastAsia="Book Antiqua" w:hAnsi="Book Antiqua" w:cs="Book Antiqua"/>
          <w:b/>
          <w:bCs/>
          <w:color w:val="000000"/>
        </w:rPr>
        <w:t>92</w:t>
      </w:r>
      <w:r>
        <w:rPr>
          <w:rFonts w:ascii="Book Antiqua" w:eastAsia="Book Antiqua" w:hAnsi="Book Antiqua" w:cs="Book Antiqua"/>
          <w:color w:val="000000"/>
        </w:rPr>
        <w:t>: 1112-1114 [PMID: 5771827 DOI: 10.1148/92.5.1112]</w:t>
      </w:r>
    </w:p>
    <w:p w14:paraId="7DCCA44A" w14:textId="77777777" w:rsidR="00A77B3E" w:rsidRDefault="00D8132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Palmaz JC</w:t>
      </w:r>
      <w:r>
        <w:rPr>
          <w:rFonts w:ascii="Book Antiqua" w:eastAsia="Book Antiqua" w:hAnsi="Book Antiqua" w:cs="Book Antiqua"/>
          <w:color w:val="000000"/>
        </w:rPr>
        <w:t xml:space="preserve">, Garcia F, Sibbitt RR, Tio FO, Kopp DT, Schwesinger W, Lancaster JL, Chang P. Expandable intrahepatic portacaval shunt stents in dogs with chronic portal hypertension.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1986; </w:t>
      </w:r>
      <w:r>
        <w:rPr>
          <w:rFonts w:ascii="Book Antiqua" w:eastAsia="Book Antiqua" w:hAnsi="Book Antiqua" w:cs="Book Antiqua"/>
          <w:b/>
          <w:bCs/>
          <w:color w:val="000000"/>
        </w:rPr>
        <w:t>147</w:t>
      </w:r>
      <w:r>
        <w:rPr>
          <w:rFonts w:ascii="Book Antiqua" w:eastAsia="Book Antiqua" w:hAnsi="Book Antiqua" w:cs="Book Antiqua"/>
          <w:color w:val="000000"/>
        </w:rPr>
        <w:t>: 1251-1254 [PMID: 3490761 DOI: 10.2214/ajr.147.6.1251]</w:t>
      </w:r>
    </w:p>
    <w:p w14:paraId="2EC79F19" w14:textId="77777777" w:rsidR="00A77B3E" w:rsidRDefault="00D8132F">
      <w:pPr>
        <w:spacing w:line="360" w:lineRule="auto"/>
        <w:jc w:val="both"/>
      </w:pPr>
      <w:r>
        <w:rPr>
          <w:rFonts w:ascii="Book Antiqua" w:eastAsia="Book Antiqua" w:hAnsi="Book Antiqua" w:cs="Book Antiqua"/>
          <w:color w:val="000000"/>
        </w:rPr>
        <w:t xml:space="preserve">3 </w:t>
      </w:r>
      <w:bookmarkStart w:id="4" w:name="_Hlk49358516"/>
      <w:r>
        <w:rPr>
          <w:rFonts w:ascii="Book Antiqua" w:eastAsia="Book Antiqua" w:hAnsi="Book Antiqua" w:cs="Book Antiqua"/>
          <w:b/>
          <w:bCs/>
          <w:color w:val="000000"/>
        </w:rPr>
        <w:t>García-Pagán</w:t>
      </w:r>
      <w:bookmarkEnd w:id="4"/>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Caca K, Bureau C, Laleman W, Appenrodt B, Luca A, Abraldes JG, Nevens F, Vinel JP, Mössner J, Bosch J; Early TIPS (Transjugular Intrahepatic Portosystemic Shunt) Cooperative Study Group. Early use of TIPS in patients with cirrhosis and variceal bleeding.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2370-2379 [PMID: 20573925 DOI: 10.1056/NEJMoa0910102]</w:t>
      </w:r>
    </w:p>
    <w:p w14:paraId="3B2F516F" w14:textId="77777777" w:rsidR="00A77B3E" w:rsidRDefault="00D8132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Miraglia R</w:t>
      </w:r>
      <w:r>
        <w:rPr>
          <w:rFonts w:ascii="Book Antiqua" w:eastAsia="Book Antiqua" w:hAnsi="Book Antiqua" w:cs="Book Antiqua"/>
          <w:color w:val="000000"/>
        </w:rPr>
        <w:t xml:space="preserve">, Maruzzelli L, Di Piazza A, Mamone G, Caruso S, Gentile G, Tuzzolino F, Floridia G, Petridis I, Volpes R, Luca A. Transjugular Intrahepatic Portosystemic Shunt Using the New Gore Viatorr Controlled Expansion Endoprosthesis: Prospective, Single-Center, Preliminary Experience.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78-86 [PMID: 30073477 DOI: 10.1007/s00270-018-2040-y]</w:t>
      </w:r>
    </w:p>
    <w:p w14:paraId="2153D084" w14:textId="77777777" w:rsidR="00A77B3E" w:rsidRDefault="00D8132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Coronado WM</w:t>
      </w:r>
      <w:r>
        <w:rPr>
          <w:rFonts w:ascii="Book Antiqua" w:eastAsia="Book Antiqua" w:hAnsi="Book Antiqua" w:cs="Book Antiqua"/>
          <w:color w:val="000000"/>
        </w:rPr>
        <w:t xml:space="preserve">, Ju C, Bullen J, Kapoor B. Predictors of Occurrence and Risk of Hepatic Encephalopathy After TIPS Creation: A 15-Year Experience.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1156-1164 [PMID: 32435836 DOI: 10.1007/s00270-020-02512-7]</w:t>
      </w:r>
    </w:p>
    <w:p w14:paraId="27730C7B" w14:textId="77777777" w:rsidR="00A77B3E" w:rsidRDefault="00D8132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De Franchis R; Cooperative Study Group. Upper digestive bleeding in cirrhosis. Post-therapeutic outcome and prognostic indicators.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599-612 [PMID: 12939586 DOI: 10.1053/jhep.2003.50385]</w:t>
      </w:r>
    </w:p>
    <w:p w14:paraId="03B28AD4" w14:textId="77777777" w:rsidR="00A77B3E" w:rsidRDefault="00D8132F">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Azoulay D</w:t>
      </w:r>
      <w:r>
        <w:rPr>
          <w:rFonts w:ascii="Book Antiqua" w:eastAsia="Book Antiqua" w:hAnsi="Book Antiqua" w:cs="Book Antiqua"/>
          <w:color w:val="000000"/>
        </w:rPr>
        <w:t xml:space="preserve">, Castaing D, Majno P, Saliba F, Ichaï P, Smail A, Delvart V, Danaoui M, Samuel D, Bismuth H. Salvage transjugular intrahepatic portosystemic shunt for uncontrolled variceal bleeding in patients with decompensated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35</w:t>
      </w:r>
      <w:r>
        <w:rPr>
          <w:rFonts w:ascii="Book Antiqua" w:eastAsia="Book Antiqua" w:hAnsi="Book Antiqua" w:cs="Book Antiqua"/>
          <w:color w:val="000000"/>
        </w:rPr>
        <w:t>: 590-597 [PMID: 11690704 DOI: 10.1016/s0168-8278(01)00185-4]</w:t>
      </w:r>
    </w:p>
    <w:p w14:paraId="738486B5" w14:textId="74663FF9" w:rsidR="00A77B3E" w:rsidRDefault="00D8132F">
      <w:pPr>
        <w:spacing w:line="360" w:lineRule="auto"/>
        <w:jc w:val="both"/>
      </w:pPr>
      <w:r w:rsidRPr="00657162">
        <w:rPr>
          <w:rFonts w:ascii="Book Antiqua" w:eastAsia="Book Antiqua" w:hAnsi="Book Antiqua" w:cs="Book Antiqua"/>
          <w:color w:val="000000"/>
        </w:rPr>
        <w:t xml:space="preserve">8 </w:t>
      </w:r>
      <w:r w:rsidR="00D466BA" w:rsidRPr="00657162">
        <w:rPr>
          <w:rFonts w:ascii="Book Antiqua" w:eastAsia="Book Antiqua" w:hAnsi="Book Antiqua" w:cs="Book Antiqua"/>
          <w:b/>
          <w:bCs/>
          <w:color w:val="000000"/>
        </w:rPr>
        <w:t xml:space="preserve">Augustin S, </w:t>
      </w:r>
      <w:r w:rsidR="00D466BA" w:rsidRPr="00657162">
        <w:rPr>
          <w:rFonts w:ascii="Book Antiqua" w:eastAsia="Book Antiqua" w:hAnsi="Book Antiqua" w:cs="Book Antiqua"/>
          <w:color w:val="000000"/>
        </w:rPr>
        <w:t xml:space="preserve">Muntaner L, Altamirano JT, González A, Saperas E, Dot J, Abu-Suboh M, Armengol JR, Malagelada JR, Esteban R, Guardia J, Genescà J. Predicting early mortality after acute variceal hemorrhage based on classification and regression tree analysis. </w:t>
      </w:r>
      <w:r w:rsidR="00D466BA" w:rsidRPr="00657162">
        <w:rPr>
          <w:rFonts w:ascii="Book Antiqua" w:eastAsia="Book Antiqua" w:hAnsi="Book Antiqua" w:cs="Book Antiqua"/>
          <w:i/>
          <w:iCs/>
          <w:color w:val="000000"/>
        </w:rPr>
        <w:t>Clin Gastroenterol Hepatol</w:t>
      </w:r>
      <w:r w:rsidR="00D466BA" w:rsidRPr="00657162">
        <w:rPr>
          <w:rFonts w:ascii="Book Antiqua" w:eastAsia="Book Antiqua" w:hAnsi="Book Antiqua" w:cs="Book Antiqua"/>
          <w:color w:val="000000"/>
        </w:rPr>
        <w:t xml:space="preserve"> 2009; </w:t>
      </w:r>
      <w:r w:rsidR="00D466BA" w:rsidRPr="00657162">
        <w:rPr>
          <w:rFonts w:ascii="Book Antiqua" w:eastAsia="Book Antiqua" w:hAnsi="Book Antiqua" w:cs="Book Antiqua"/>
          <w:b/>
          <w:bCs/>
          <w:color w:val="000000"/>
        </w:rPr>
        <w:t>7</w:t>
      </w:r>
      <w:r w:rsidR="00D466BA" w:rsidRPr="00657162">
        <w:rPr>
          <w:rFonts w:ascii="Book Antiqua" w:eastAsia="Book Antiqua" w:hAnsi="Book Antiqua" w:cs="Book Antiqua"/>
          <w:color w:val="000000"/>
        </w:rPr>
        <w:t>: 1347-1354 [PMID: 19699816 DOI: 10.1016/j.cgh.2009.08.011]</w:t>
      </w:r>
    </w:p>
    <w:p w14:paraId="3E30C796" w14:textId="77777777" w:rsidR="00A77B3E" w:rsidRDefault="00D8132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Amitrano L</w:t>
      </w:r>
      <w:r>
        <w:rPr>
          <w:rFonts w:ascii="Book Antiqua" w:eastAsia="Book Antiqua" w:hAnsi="Book Antiqua" w:cs="Book Antiqua"/>
          <w:color w:val="000000"/>
        </w:rPr>
        <w:t xml:space="preserve">, Guardascione MA, Manguso F, Bennato R, Bove A, DeNucci C, Lombardi G, Martino R, Menchise A, Orsini L, Picascia S, Riccio E. The effectiveness of current acute variceal bleed treatments in unselected cirrhotic patients: refining short-term prognosis and risk factors.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107</w:t>
      </w:r>
      <w:r>
        <w:rPr>
          <w:rFonts w:ascii="Book Antiqua" w:eastAsia="Book Antiqua" w:hAnsi="Book Antiqua" w:cs="Book Antiqua"/>
          <w:color w:val="000000"/>
        </w:rPr>
        <w:t>: 1872-1878 [PMID: 23007003 DOI: 10.1038/ajg.2012.313]</w:t>
      </w:r>
    </w:p>
    <w:p w14:paraId="7065ACD1" w14:textId="77777777" w:rsidR="00A77B3E" w:rsidRDefault="00D8132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Vangeli M</w:t>
      </w:r>
      <w:r>
        <w:rPr>
          <w:rFonts w:ascii="Book Antiqua" w:eastAsia="Book Antiqua" w:hAnsi="Book Antiqua" w:cs="Book Antiqua"/>
          <w:color w:val="000000"/>
        </w:rPr>
        <w:t xml:space="preserve">, Patch D, Burroughs AK. Salvage tips for uncontrolled variceal bleeding.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37</w:t>
      </w:r>
      <w:r>
        <w:rPr>
          <w:rFonts w:ascii="Book Antiqua" w:eastAsia="Book Antiqua" w:hAnsi="Book Antiqua" w:cs="Book Antiqua"/>
          <w:color w:val="000000"/>
        </w:rPr>
        <w:t>: 703-704 [PMID: 12399244 DOI: 10.1016/s0168-8278(02)00321-5]</w:t>
      </w:r>
    </w:p>
    <w:p w14:paraId="07A3BA47" w14:textId="77777777" w:rsidR="00A77B3E" w:rsidRDefault="00D8132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Maimone S</w:t>
      </w:r>
      <w:r>
        <w:rPr>
          <w:rFonts w:ascii="Book Antiqua" w:eastAsia="Book Antiqua" w:hAnsi="Book Antiqua" w:cs="Book Antiqua"/>
          <w:color w:val="000000"/>
        </w:rPr>
        <w:t xml:space="preserve">, Saffioti F, Filomia R, Alibrandi A, Isgrò G, Calvaruso V, Xirouchakis E, Guerrini GP, Burroughs AK, Tsochatzis E, Patch D. Predictors of Re-bleeding and Mortality Among Patients with Refractory Variceal Bleeding Undergoing Salvage Transjugular Intrahepatic Portosystemic Shunt (TIPS).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1335-1345 [PMID: 30560334 DOI: 10.1007/s10620-018-5412-x]</w:t>
      </w:r>
    </w:p>
    <w:p w14:paraId="2F2DDC15" w14:textId="77777777" w:rsidR="00A77B3E" w:rsidRDefault="00D8132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Moitinho E</w:t>
      </w:r>
      <w:r>
        <w:rPr>
          <w:rFonts w:ascii="Book Antiqua" w:eastAsia="Book Antiqua" w:hAnsi="Book Antiqua" w:cs="Book Antiqua"/>
          <w:color w:val="000000"/>
        </w:rPr>
        <w:t xml:space="preserve">, Escorsell A, Bandi JC, Salmerón JM, García-Pagán JC, Rodés J, Bosch J. Prognostic value of early measurements of portal pressure in acute variceal bleeding.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117</w:t>
      </w:r>
      <w:r>
        <w:rPr>
          <w:rFonts w:ascii="Book Antiqua" w:eastAsia="Book Antiqua" w:hAnsi="Book Antiqua" w:cs="Book Antiqua"/>
          <w:color w:val="000000"/>
        </w:rPr>
        <w:t>: 626-631 [PMID: 10464138 DOI: 10.1016/s0016-5085(99)70455-5]</w:t>
      </w:r>
    </w:p>
    <w:p w14:paraId="0D60E481" w14:textId="77777777" w:rsidR="00A77B3E" w:rsidRDefault="00D8132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Monescillo A</w:t>
      </w:r>
      <w:r>
        <w:rPr>
          <w:rFonts w:ascii="Book Antiqua" w:eastAsia="Book Antiqua" w:hAnsi="Book Antiqua" w:cs="Book Antiqua"/>
          <w:color w:val="000000"/>
        </w:rPr>
        <w:t xml:space="preserve">, Martínez-Lagares F, Ruiz-del-Arbol L, Sierra A, Guevara C, Jiménez E, Marrero JM, Buceta E, Sánchez J, Castellot A, Peñate M, Cruz A, Peña E. Influence of portal hypertension and its early decompression by TIPS placement on the outcome of variceal bleeding.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793-801 [PMID: 15382120 DOI: 10.1002/hep.20386]</w:t>
      </w:r>
    </w:p>
    <w:p w14:paraId="592AD84B" w14:textId="77777777" w:rsidR="00A77B3E" w:rsidRDefault="00D8132F">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Garcia-Pagán JC</w:t>
      </w:r>
      <w:r>
        <w:rPr>
          <w:rFonts w:ascii="Book Antiqua" w:eastAsia="Book Antiqua" w:hAnsi="Book Antiqua" w:cs="Book Antiqua"/>
          <w:color w:val="000000"/>
        </w:rPr>
        <w:t xml:space="preserve">, Di Pascoli M, Caca K, Laleman W, Bureau C, Appenrodt B, Luca A, Zipprich A, Abraldes JG, Nevens F, Vinel JP, Sauerbruch T, Bosch J. Use of early-TIPS for high-risk variceal bleeding: results of a post-RCT surveillance study.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45-50 [PMID: 22940408 DOI: 10.1016/j.jhep.2012.08.020]</w:t>
      </w:r>
    </w:p>
    <w:p w14:paraId="5BB88E42" w14:textId="77777777" w:rsidR="00A77B3E" w:rsidRDefault="00D8132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 Franchis R</w:t>
      </w:r>
      <w:r>
        <w:rPr>
          <w:rFonts w:ascii="Book Antiqua" w:eastAsia="Book Antiqua" w:hAnsi="Book Antiqua" w:cs="Book Antiqua"/>
          <w:color w:val="000000"/>
        </w:rPr>
        <w:t xml:space="preserve">; Baveno VI Faculty. Expanding consensus in portal hypertension: Report of the Baveno VI Consensus Workshop: Stratifying risk and individualizing care 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14:paraId="52367216" w14:textId="77777777" w:rsidR="00A77B3E" w:rsidRDefault="00D8132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Deltenre P</w:t>
      </w:r>
      <w:r>
        <w:rPr>
          <w:rFonts w:ascii="Book Antiqua" w:eastAsia="Book Antiqua" w:hAnsi="Book Antiqua" w:cs="Book Antiqua"/>
          <w:color w:val="000000"/>
        </w:rPr>
        <w:t xml:space="preserve">, Trépo E, Rudler M, Monescillo A, Fraga M, Denys A, Doerig C, Fournier N, Moreno C, Moradpour D, Bureau C, Thabut D. Early transjugular intrahepatic portosystemic shunt in cirrhotic patients with acute variceal bleeding: a systematic review and meta-analysis of controlled trials.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e1-e9 [PMID: 26049710 DOI: 10.1097/MEG.0000000000000403]</w:t>
      </w:r>
    </w:p>
    <w:p w14:paraId="0DC3965A" w14:textId="77777777" w:rsidR="00A77B3E" w:rsidRDefault="00D8132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Conejo I</w:t>
      </w:r>
      <w:r>
        <w:rPr>
          <w:rFonts w:ascii="Book Antiqua" w:eastAsia="Book Antiqua" w:hAnsi="Book Antiqua" w:cs="Book Antiqua"/>
          <w:color w:val="000000"/>
        </w:rPr>
        <w:t xml:space="preserve">, Guardascione MA, Tandon P, Cachero A, Castellote J, Abraldes JG, Amitrano L, Genescà J, Augustin S. Multicenter External Validation of Risk Stratification Criteria for Patients With Variceal Bleeding.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132-139.e8 [PMID: 28501536 DOI: 10.1016/j.cgh.2017.04.042]</w:t>
      </w:r>
    </w:p>
    <w:p w14:paraId="236BC4CD" w14:textId="77777777" w:rsidR="00A77B3E" w:rsidRDefault="00D8132F">
      <w:pPr>
        <w:spacing w:line="360" w:lineRule="auto"/>
        <w:jc w:val="both"/>
      </w:pPr>
      <w:r w:rsidRPr="00D466BA">
        <w:rPr>
          <w:rFonts w:ascii="Book Antiqua" w:eastAsia="Book Antiqua" w:hAnsi="Book Antiqua" w:cs="Book Antiqua"/>
          <w:color w:val="000000"/>
        </w:rPr>
        <w:t xml:space="preserve">18 </w:t>
      </w:r>
      <w:r w:rsidRPr="00D466BA">
        <w:rPr>
          <w:rFonts w:ascii="Book Antiqua" w:eastAsia="Book Antiqua" w:hAnsi="Book Antiqua" w:cs="Book Antiqua"/>
          <w:b/>
          <w:bCs/>
          <w:color w:val="000000"/>
        </w:rPr>
        <w:t>Reverter E</w:t>
      </w:r>
      <w:r w:rsidRPr="00D466BA">
        <w:rPr>
          <w:rFonts w:ascii="Book Antiqua" w:eastAsia="Book Antiqua" w:hAnsi="Book Antiqua" w:cs="Book Antiqua"/>
          <w:color w:val="000000"/>
        </w:rPr>
        <w:t xml:space="preserve">, Tandon P, Augustin S, Turon F, Casu S, Bastiampillai R, Keough A, Llop E, González A, Seijo S, Berzigotti A, Ma M, Genescà J, Bosch J, García-Pagán JC, Abraldes JG. A MELD-based model to determine risk of mortality among patients with acute variceal bleeding. </w:t>
      </w:r>
      <w:r w:rsidRPr="00D466BA">
        <w:rPr>
          <w:rFonts w:ascii="Book Antiqua" w:eastAsia="Book Antiqua" w:hAnsi="Book Antiqua" w:cs="Book Antiqua"/>
          <w:i/>
          <w:iCs/>
          <w:color w:val="000000"/>
        </w:rPr>
        <w:t>Gastroenterology</w:t>
      </w:r>
      <w:r w:rsidRPr="00D466BA">
        <w:rPr>
          <w:rFonts w:ascii="Book Antiqua" w:eastAsia="Book Antiqua" w:hAnsi="Book Antiqua" w:cs="Book Antiqua"/>
          <w:color w:val="000000"/>
        </w:rPr>
        <w:t xml:space="preserve"> 2014; </w:t>
      </w:r>
      <w:r w:rsidRPr="00D466BA">
        <w:rPr>
          <w:rFonts w:ascii="Book Antiqua" w:eastAsia="Book Antiqua" w:hAnsi="Book Antiqua" w:cs="Book Antiqua"/>
          <w:b/>
          <w:bCs/>
          <w:color w:val="000000"/>
        </w:rPr>
        <w:t>146</w:t>
      </w:r>
      <w:r w:rsidRPr="00D466BA">
        <w:rPr>
          <w:rFonts w:ascii="Book Antiqua" w:eastAsia="Book Antiqua" w:hAnsi="Book Antiqua" w:cs="Book Antiqua"/>
          <w:color w:val="000000"/>
        </w:rPr>
        <w:t>: 412-19.e3 [PMID: 24148622 DOI: 10.1053/j.gastro.2013.10.018]</w:t>
      </w:r>
    </w:p>
    <w:p w14:paraId="7869B899" w14:textId="77777777" w:rsidR="00A77B3E" w:rsidRDefault="00D8132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Lv Y</w:t>
      </w:r>
      <w:r>
        <w:rPr>
          <w:rFonts w:ascii="Book Antiqua" w:eastAsia="Book Antiqua" w:hAnsi="Book Antiqua" w:cs="Book Antiqua"/>
          <w:color w:val="000000"/>
        </w:rPr>
        <w:t xml:space="preserve">, Zuo L, Zhu X, Zhao J, Xue H, Jiang Z, Zhuge Y, Zhang C, Sun J, Ding P, Ren W, Li Y, Zhang K, Zhang W, He C, Zhong J, Peng Q, Ma F, Luo J, Zhang M, Wang G, Sun M, Dong J, Bai W, Guo W, Wang Q, Yuan X, Wang Z, Yu T, Luo B, Li X, Yuan J, Han N, Zhu Y, Niu J, Li K, Yin Z, Nie Y, Fan D, Han G. Identifying optimal candidates for early TIPS among patients with cirrhosis and acute variceal bleeding: a multicentre observational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1297-1310 [PMID: 30415233 DOI: 10.1136/gutjnl-2018-317057]</w:t>
      </w:r>
    </w:p>
    <w:p w14:paraId="0ADBB468" w14:textId="77777777" w:rsidR="00A77B3E" w:rsidRDefault="00D8132F">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Lv Y</w:t>
      </w:r>
      <w:r>
        <w:rPr>
          <w:rFonts w:ascii="Book Antiqua" w:eastAsia="Book Antiqua" w:hAnsi="Book Antiqua" w:cs="Book Antiqua"/>
          <w:color w:val="000000"/>
        </w:rPr>
        <w:t xml:space="preserve">, Yang Z, Liu L, Li K, He C, Wang Z, Bai W, Guo W, Yu T, Yuan X, Zhang H, Xie H, Yao L, Wang J, Li T, Wang Q, Chen H, Wang E, Xia D, Luo B, Li X, Yuan J, Han N, Zhu Y, Niu J, Cai H, Xia J, Yin Z, Wu K, Fan D, Han G; AVB-TIPS Study Group. Early TIPS with covered stents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treatment for acute variceal bleeding in patients with advanced cirrhosis: a randomised controlled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587-598 [PMID: 31153882 DOI: 10.1016/S2468-1253(19)30090-1]</w:t>
      </w:r>
    </w:p>
    <w:p w14:paraId="29A49FC6" w14:textId="6124C2BB" w:rsidR="00A77B3E" w:rsidRDefault="00D8132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Dunne PDJ</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Sinha R, Stanley AJ, Lachlan N, Ireland H, Shams A, Kasthuri R, Forrest EH, Hayes PC. Randomised clinical trial: </w:t>
      </w:r>
      <w:r w:rsidR="00AF3539">
        <w:rPr>
          <w:rFonts w:ascii="Book Antiqua" w:eastAsia="Book Antiqua" w:hAnsi="Book Antiqua" w:cs="Book Antiqua"/>
          <w:color w:val="000000"/>
        </w:rPr>
        <w:t>s</w:t>
      </w:r>
      <w:r>
        <w:rPr>
          <w:rFonts w:ascii="Book Antiqua" w:eastAsia="Book Antiqua" w:hAnsi="Book Antiqua" w:cs="Book Antiqua"/>
          <w:color w:val="000000"/>
        </w:rPr>
        <w:t xml:space="preserve">tandard of care </w:t>
      </w:r>
      <w:r w:rsidR="00AF3539" w:rsidRPr="00657162">
        <w:rPr>
          <w:rFonts w:ascii="Book Antiqua" w:eastAsia="Book Antiqua" w:hAnsi="Book Antiqua" w:cs="Book Antiqua"/>
          <w:color w:val="000000"/>
        </w:rPr>
        <w:t>versus</w:t>
      </w:r>
      <w:r>
        <w:rPr>
          <w:rFonts w:ascii="Book Antiqua" w:eastAsia="Book Antiqua" w:hAnsi="Book Antiqua" w:cs="Book Antiqua"/>
          <w:color w:val="000000"/>
        </w:rPr>
        <w:t xml:space="preserve"> early-transjugular intrahepatic porto-systemic shunt (TIPSS) in patients with cirrhosis and oesophageal variceal bleeding. Aliment Pharmacol Ther 2020; </w:t>
      </w:r>
      <w:r w:rsidR="00AF3539" w:rsidRPr="00657162">
        <w:rPr>
          <w:rFonts w:ascii="Book Antiqua" w:eastAsia="Book Antiqua" w:hAnsi="Book Antiqua" w:cs="Book Antiqua"/>
          <w:b/>
          <w:bCs/>
          <w:color w:val="000000"/>
        </w:rPr>
        <w:t>52</w:t>
      </w:r>
      <w:r w:rsidR="00AF3539" w:rsidRPr="00AF3539">
        <w:rPr>
          <w:rFonts w:ascii="Book Antiqua" w:eastAsia="Book Antiqua" w:hAnsi="Book Antiqua" w:cs="Book Antiqua"/>
          <w:color w:val="000000"/>
        </w:rPr>
        <w:t>: 98-106</w:t>
      </w:r>
      <w:r>
        <w:rPr>
          <w:rFonts w:ascii="Book Antiqua" w:eastAsia="Book Antiqua" w:hAnsi="Book Antiqua" w:cs="Book Antiqua"/>
          <w:color w:val="000000"/>
        </w:rPr>
        <w:t xml:space="preserve"> [</w:t>
      </w:r>
      <w:r w:rsidR="00AF3539" w:rsidRPr="00AF3539">
        <w:rPr>
          <w:rFonts w:ascii="Book Antiqua" w:eastAsia="Book Antiqua" w:hAnsi="Book Antiqua" w:cs="Book Antiqua"/>
          <w:color w:val="000000"/>
        </w:rPr>
        <w:t>PMID: 32452561</w:t>
      </w:r>
      <w:r w:rsidR="00AF3539">
        <w:rPr>
          <w:rFonts w:ascii="Book Antiqua" w:eastAsia="Book Antiqua" w:hAnsi="Book Antiqua" w:cs="Book Antiqua"/>
          <w:color w:val="000000"/>
        </w:rPr>
        <w:t xml:space="preserve"> </w:t>
      </w:r>
      <w:r>
        <w:rPr>
          <w:rFonts w:ascii="Book Antiqua" w:eastAsia="Book Antiqua" w:hAnsi="Book Antiqua" w:cs="Book Antiqua"/>
          <w:color w:val="000000"/>
        </w:rPr>
        <w:t>DOI: 10.1111/apt.15797]</w:t>
      </w:r>
    </w:p>
    <w:p w14:paraId="2B9225EE" w14:textId="77777777" w:rsidR="00A77B3E" w:rsidRDefault="00D8132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Tripathi D</w:t>
      </w:r>
      <w:r>
        <w:rPr>
          <w:rFonts w:ascii="Book Antiqua" w:eastAsia="Book Antiqua" w:hAnsi="Book Antiqua" w:cs="Book Antiqua"/>
          <w:color w:val="000000"/>
        </w:rPr>
        <w:t xml:space="preserve">, Stanley AJ, Hayes PC, Travis S, Armstrong MJ, Tsochatzis EA, Rowe IA, Roslund N, Ireland H, Lomax M, Leithead JA, Mehrzad H, Aspinall RJ, McDonagh J, Patch D. Transjugular intrahepatic portosystemic stent-shunt in the management of portal hypertension.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1173-1192 [PMID: 32114503 DOI: 10.1136/gutjnl-2019-320221]</w:t>
      </w:r>
    </w:p>
    <w:p w14:paraId="20C5DB61" w14:textId="77777777" w:rsidR="00A77B3E" w:rsidRDefault="00D8132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Thabut D</w:t>
      </w:r>
      <w:r>
        <w:rPr>
          <w:rFonts w:ascii="Book Antiqua" w:eastAsia="Book Antiqua" w:hAnsi="Book Antiqua" w:cs="Book Antiqua"/>
          <w:color w:val="000000"/>
        </w:rPr>
        <w:t xml:space="preserve">, Pauwels A, Carbonell N, Remy AJ, Nahon P, Causse X, Cervoni JP, Cadranel JF, Archambeaud I, Bramli S, Ehrhard F, Ah-Soune P, Rostain F, Pariente A, Vergniol J, Dupuychaffray JP, Pelletier AL, Skinazi F, Guillygomarc'h A, Vitte RL, Henrion J, Combet S, Rudler M, Bureau C; des Hépato-Gastroentérologues des Hôpitaux Généraux (ANGH); Club Francophone pour l'Etude de l'Hypertension Portale (CFETHTP); CHOC Study Group collaborators:. Cirrhotic patients with portal hypertension-related bleeding and an indication for early-TIPS: a large multicentre audit with real-life results.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68</w:t>
      </w:r>
      <w:r>
        <w:rPr>
          <w:rFonts w:ascii="Book Antiqua" w:eastAsia="Book Antiqua" w:hAnsi="Book Antiqua" w:cs="Book Antiqua"/>
          <w:color w:val="000000"/>
        </w:rPr>
        <w:t>: 73-81 [PMID: 28918131 DOI: 10.1016/j.jhep.2017.09.002]</w:t>
      </w:r>
    </w:p>
    <w:p w14:paraId="617DC964" w14:textId="77777777" w:rsidR="00A77B3E" w:rsidRDefault="00D8132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Hernández-Gea V</w:t>
      </w:r>
      <w:r>
        <w:rPr>
          <w:rFonts w:ascii="Book Antiqua" w:eastAsia="Book Antiqua" w:hAnsi="Book Antiqua" w:cs="Book Antiqua"/>
          <w:color w:val="000000"/>
        </w:rPr>
        <w:t>, Procopet B, Giráldez Á, Amitrano L, Villanueva C, Thabut D, Ibañez-Samaniego L, Silva-Junior G, Martinez J, Genescà J, Bureau C, Trebicka J, Llop E, Laleman W, Palazon JM, Castellote J, Rodrigues S, Gluud LL, Noronha Ferreira C, Barcelo R, Cañete N, Rodríguez M, Ferlitsch A, Mundi JL, Gronbaek H, Hernández-</w:t>
      </w:r>
      <w:r>
        <w:rPr>
          <w:rFonts w:ascii="Book Antiqua" w:eastAsia="Book Antiqua" w:hAnsi="Book Antiqua" w:cs="Book Antiqua"/>
          <w:color w:val="000000"/>
        </w:rPr>
        <w:lastRenderedPageBreak/>
        <w:t xml:space="preserve">Guerra M, Sassatelli R, Dell'Era A, Senzolo M, Abraldes JG, Romero-Gómez M, Zipprich A, Casas M, Masnou H, Primignani M, Krag A, Nevens F, Calleja JL, Jansen C, Robic MA, Conejo I, Catalina MV, Albillos A, Rudler M, Alvarado E, Guardascione MA, Tantau M, Bosch J, Torres F, Garcia-Pagán JC; International Variceal Bleeding Observational Study Group and Baveno Cooperation. Preemptive-TIPS Improves Outcome in High-Risk Variceal Bleeding: An Observational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282-293 [PMID: 30014519 DOI: 10.1002/hep.30182]</w:t>
      </w:r>
    </w:p>
    <w:p w14:paraId="31A3E12A" w14:textId="77777777" w:rsidR="00A77B3E" w:rsidRDefault="00D8132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Garcia-Tsao G</w:t>
      </w:r>
      <w:r>
        <w:rPr>
          <w:rFonts w:ascii="Book Antiqua" w:eastAsia="Book Antiqua" w:hAnsi="Book Antiqua" w:cs="Book Antiqua"/>
          <w:color w:val="000000"/>
        </w:rPr>
        <w:t xml:space="preserve">, Abraldes JG, Berzigotti A, Bosch J. Portal hypertensive bleeding in cirrhosis: Risk stratification, diagnosis, and management: 2016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310-335 [PMID: 27786365 DOI: 10.1002/hep.28906]</w:t>
      </w:r>
    </w:p>
    <w:p w14:paraId="7701C7F2" w14:textId="77777777" w:rsidR="00A77B3E" w:rsidRDefault="00D8132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Sauerbruch T</w:t>
      </w:r>
      <w:r>
        <w:rPr>
          <w:rFonts w:ascii="Book Antiqua" w:eastAsia="Book Antiqua" w:hAnsi="Book Antiqua" w:cs="Book Antiqua"/>
          <w:color w:val="000000"/>
        </w:rPr>
        <w:t xml:space="preserve">, Mengel M, Dollinger M, Zipprich A, Rössle M, Panther E, Wiest R, Caca K, Hoffmeister A, Lutz H, Schoo R, Lorenzen H, Trebicka J, Appenrodt B, Schepke M, Fimmers R; German Study Group for Prophylaxis of Variceal Rebleeding. Prevention of Rebleeding From Esophageal Varices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Cirrhosis Receiving Small-Diameter Stents Versus Hemodynamically Controlled Medical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660-8.e1 [PMID: 25989386 DOI: 10.1053/j.gastro.2015.05.011]</w:t>
      </w:r>
    </w:p>
    <w:p w14:paraId="1A6077E4" w14:textId="77777777" w:rsidR="00A77B3E" w:rsidRDefault="00D8132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Holster IL</w:t>
      </w:r>
      <w:r>
        <w:rPr>
          <w:rFonts w:ascii="Book Antiqua" w:eastAsia="Book Antiqua" w:hAnsi="Book Antiqua" w:cs="Book Antiqua"/>
          <w:color w:val="000000"/>
        </w:rPr>
        <w:t xml:space="preserve">, Tjwa ET, Moelker A, Wils A, Hansen BE, Vermeijden JR, Scholten P, van Hoek B, Nicolai JJ, Kuipers EJ, Pattynama PM, van Buuren HR. Covered transjugular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therapy + β-blocker for prevention of variceal rebleeding.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581-589 [PMID: 26517576 DOI: 10.1002/hep.28318]</w:t>
      </w:r>
    </w:p>
    <w:p w14:paraId="01E42BBE" w14:textId="77777777" w:rsidR="00A77B3E" w:rsidRDefault="00D8132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Luo X</w:t>
      </w:r>
      <w:r>
        <w:rPr>
          <w:rFonts w:ascii="Book Antiqua" w:eastAsia="Book Antiqua" w:hAnsi="Book Antiqua" w:cs="Book Antiqua"/>
          <w:color w:val="000000"/>
        </w:rPr>
        <w:t xml:space="preserve">, Wang Z, Tsauo J, Zhou B, Zhang H, Li X. Advanced Cirrhosis Combined with Portal Vein Thrombosis: A Randomized Trial of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Band Ligation Plus Propranolol for the Prevention of Recurrent Esophageal Variceal Bleeding.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276</w:t>
      </w:r>
      <w:r>
        <w:rPr>
          <w:rFonts w:ascii="Book Antiqua" w:eastAsia="Book Antiqua" w:hAnsi="Book Antiqua" w:cs="Book Antiqua"/>
          <w:color w:val="000000"/>
        </w:rPr>
        <w:t>: 286-293 [PMID: 25759969 DOI: 10.1148/radiol.15141252]</w:t>
      </w:r>
    </w:p>
    <w:p w14:paraId="296EB732" w14:textId="77777777" w:rsidR="00A77B3E" w:rsidRDefault="00D8132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Lv Y</w:t>
      </w:r>
      <w:r>
        <w:rPr>
          <w:rFonts w:ascii="Book Antiqua" w:eastAsia="Book Antiqua" w:hAnsi="Book Antiqua" w:cs="Book Antiqua"/>
          <w:color w:val="000000"/>
        </w:rPr>
        <w:t xml:space="preserve">, Qi X, He C, Wang Z, Yin Z, Niu J, Guo W, Bai W, Zhang H, Xie H, Yao L, Wang J, Li T, Wang Q, Chen H, Liu H, Wang E, Xia D, Luo B, Li X, Yuan J, Han N, Zhu Y, Xia J, Cai H, Yang Z, Wu K, Fan D, Han G; PVT-TIPS Study Group. Covered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endoscopic band ligation plus propranolol for the prevention of variceal rebleeding in cirrhotic patients with portal vein thrombosis: a randomised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2156-2168 [PMID: 28970291 DOI: 10.1136/gutjnl-2017-314634]</w:t>
      </w:r>
    </w:p>
    <w:p w14:paraId="1776C239" w14:textId="77777777" w:rsidR="00A77B3E" w:rsidRDefault="00D8132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Philips CA</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Rajesh S, George T, Betgeri SS, Mohanan M, Augustine P. Transjugular-intrahepatic-portosystemic shunt placement at first portal hypertensive decompensation (very-early or ‘anticipant tips') compared to conventional tips and standard medical treatment in patients with cirrhosis. </w:t>
      </w:r>
      <w:r w:rsidRPr="00657162">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sidRPr="00657162">
        <w:rPr>
          <w:rFonts w:ascii="Book Antiqua" w:eastAsia="Book Antiqua" w:hAnsi="Book Antiqua" w:cs="Book Antiqua"/>
          <w:b/>
          <w:bCs/>
          <w:color w:val="000000"/>
        </w:rPr>
        <w:t>158</w:t>
      </w:r>
      <w:r>
        <w:rPr>
          <w:rFonts w:ascii="Book Antiqua" w:eastAsia="Book Antiqua" w:hAnsi="Book Antiqua" w:cs="Book Antiqua"/>
          <w:color w:val="000000"/>
        </w:rPr>
        <w:t>: S-128 [DOI: 10.1016/S0016-5085(20)33907-X]</w:t>
      </w:r>
    </w:p>
    <w:p w14:paraId="4205D302" w14:textId="77777777" w:rsidR="00A77B3E" w:rsidRDefault="00D8132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1343-1349 [PMID: 1446890 DOI: 10.1002/hep.1840160607]</w:t>
      </w:r>
    </w:p>
    <w:p w14:paraId="747CC672" w14:textId="5A4F7B30" w:rsidR="00A77B3E" w:rsidRDefault="00D8132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Lipnik AJ</w:t>
      </w:r>
      <w:r>
        <w:rPr>
          <w:rFonts w:ascii="Book Antiqua" w:eastAsia="Book Antiqua" w:hAnsi="Book Antiqua" w:cs="Book Antiqua"/>
          <w:color w:val="000000"/>
        </w:rPr>
        <w:t xml:space="preserve">, Pandhi MB, Khabbaz RC, Gaba RC. Endovascular Treatment for Variceal Hemorrhage: TIPS, BRTO, and Combined Approaches.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169-184 [PMID: 30087520 DOI: 10.1055/s-0038-1660795]</w:t>
      </w:r>
    </w:p>
    <w:p w14:paraId="71D5F1A2" w14:textId="77777777" w:rsidR="00A77B3E" w:rsidRDefault="00D8132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Morrison JD</w:t>
      </w:r>
      <w:r>
        <w:rPr>
          <w:rFonts w:ascii="Book Antiqua" w:eastAsia="Book Antiqua" w:hAnsi="Book Antiqua" w:cs="Book Antiqua"/>
          <w:color w:val="000000"/>
        </w:rPr>
        <w:t xml:space="preserve">, Mendoza-Elias N, Lipnik AJ, Lokken RP, Bui JT, Ray CE Jr, Gaba RC. Gastric Varices Bleed at Lower Portosystemic Pressure Gradients than Esophageal Varices.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636-641 [PMID: 29352698 DOI: 10.1016/j.jvir.2017.10.014]</w:t>
      </w:r>
    </w:p>
    <w:p w14:paraId="37A3B52F" w14:textId="77777777" w:rsidR="00A77B3E" w:rsidRDefault="00D8132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Khoury T</w:t>
      </w:r>
      <w:r>
        <w:rPr>
          <w:rFonts w:ascii="Book Antiqua" w:eastAsia="Book Antiqua" w:hAnsi="Book Antiqua" w:cs="Book Antiqua"/>
          <w:color w:val="000000"/>
        </w:rPr>
        <w:t xml:space="preserve">, Massarwa M, Daher S, Benson AA, Hazou W, Israeli E, Jacob H, Epstein J, Safadi R. Endoscopic Ultrasound-Guided Angiotherapy for Gastric Varices: A Single Center Experience. </w:t>
      </w:r>
      <w:r>
        <w:rPr>
          <w:rFonts w:ascii="Book Antiqua" w:eastAsia="Book Antiqua" w:hAnsi="Book Antiqua" w:cs="Book Antiqua"/>
          <w:i/>
          <w:iCs/>
          <w:color w:val="000000"/>
        </w:rPr>
        <w:t>Hepatol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207-212 [PMID: 30766958 DOI: 10.1002/hep4.1289]</w:t>
      </w:r>
    </w:p>
    <w:p w14:paraId="1E6AA41E" w14:textId="77777777" w:rsidR="00A77B3E" w:rsidRDefault="00D8132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Saad WE</w:t>
      </w:r>
      <w:r>
        <w:rPr>
          <w:rFonts w:ascii="Book Antiqua" w:eastAsia="Book Antiqua" w:hAnsi="Book Antiqua" w:cs="Book Antiqua"/>
          <w:color w:val="000000"/>
        </w:rPr>
        <w:t xml:space="preserve">, Darcy MD. Transjugular Intrahepatic Portosystemic Shunt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Balloon-occluded Retrograde Transvenous Obliteration (BRTO) for the Management of Gastric Varices.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339-349 [PMID: 22942552 DOI: 10.1055/s-0031-1284461]</w:t>
      </w:r>
    </w:p>
    <w:p w14:paraId="7C26D6C8" w14:textId="77777777" w:rsidR="00A77B3E" w:rsidRDefault="00D8132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Saad WE</w:t>
      </w:r>
      <w:r>
        <w:rPr>
          <w:rFonts w:ascii="Book Antiqua" w:eastAsia="Book Antiqua" w:hAnsi="Book Antiqua" w:cs="Book Antiqua"/>
          <w:color w:val="000000"/>
        </w:rPr>
        <w:t xml:space="preserve">. Vascular anatomy and the morphologic and hemodynamic classifications of gastric varices and spontaneous portosystemic shunts relevant to the BRTO </w:t>
      </w:r>
      <w:r>
        <w:rPr>
          <w:rFonts w:ascii="Book Antiqua" w:eastAsia="Book Antiqua" w:hAnsi="Book Antiqua" w:cs="Book Antiqua"/>
          <w:color w:val="000000"/>
        </w:rPr>
        <w:lastRenderedPageBreak/>
        <w:t xml:space="preserve">procedure. </w:t>
      </w:r>
      <w:r>
        <w:rPr>
          <w:rFonts w:ascii="Book Antiqua" w:eastAsia="Book Antiqua" w:hAnsi="Book Antiqua" w:cs="Book Antiqua"/>
          <w:i/>
          <w:iCs/>
          <w:color w:val="000000"/>
        </w:rPr>
        <w:t>Tech Vasc Interv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60-100 [PMID: 23830670 DOI: 10.1053/j.tvir.2013.02.002]</w:t>
      </w:r>
    </w:p>
    <w:p w14:paraId="790AA639" w14:textId="77777777" w:rsidR="00A77B3E" w:rsidRDefault="00D8132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Lakhoo J</w:t>
      </w:r>
      <w:r>
        <w:rPr>
          <w:rFonts w:ascii="Book Antiqua" w:eastAsia="Book Antiqua" w:hAnsi="Book Antiqua" w:cs="Book Antiqua"/>
          <w:color w:val="000000"/>
        </w:rPr>
        <w:t xml:space="preserve">, Bui JT, Lokken RP, Ray CE Jr, Gaba RC. Transjugular Intrahepatic Portosystemic Shunt Creation and Variceal Coil or Plug Embolization Ineffectively Attain Gastric Variceal Decompression or Occlusion: Results of a 26-Patient Retrospective Study.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1001-1011 [PMID: 27106732 DOI: 10.1016/j.jvir.2016.02.019]</w:t>
      </w:r>
    </w:p>
    <w:p w14:paraId="2897C461" w14:textId="0D7229F0" w:rsidR="00A77B3E" w:rsidRDefault="00D8132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Park JK</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Saab S, Kee ST, Busuttil RW, Kim HJ, Durazo F, Cho SK, Lee EW. Balloon-</w:t>
      </w:r>
      <w:r w:rsidR="00CB3FFA" w:rsidRPr="00CB3FFA">
        <w:rPr>
          <w:rFonts w:ascii="Book Antiqua" w:eastAsia="Book Antiqua" w:hAnsi="Book Antiqua" w:cs="Book Antiqua"/>
          <w:color w:val="000000"/>
        </w:rPr>
        <w:t>Occluded Retrograde Transvenous Obliteration (BRTO) for Treatment of Gastric Varices: Review and Meta-Analysis</w:t>
      </w:r>
      <w:r>
        <w:rPr>
          <w:rFonts w:ascii="Book Antiqua" w:eastAsia="Book Antiqua" w:hAnsi="Book Antiqua" w:cs="Book Antiqua"/>
          <w:color w:val="000000"/>
        </w:rPr>
        <w:t xml:space="preserve">. </w:t>
      </w:r>
      <w:r w:rsidRPr="00CB3FFA">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sidRPr="00CB3FFA">
        <w:rPr>
          <w:rFonts w:ascii="Book Antiqua" w:eastAsia="Book Antiqua" w:hAnsi="Book Antiqua" w:cs="Book Antiqua"/>
          <w:b/>
          <w:bCs/>
          <w:color w:val="000000"/>
        </w:rPr>
        <w:t>60</w:t>
      </w:r>
      <w:r>
        <w:rPr>
          <w:rFonts w:ascii="Book Antiqua" w:eastAsia="Book Antiqua" w:hAnsi="Book Antiqua" w:cs="Book Antiqua"/>
          <w:color w:val="000000"/>
        </w:rPr>
        <w:t>: 1543-1553 [PMID</w:t>
      </w:r>
      <w:r w:rsidR="00CB3FFA">
        <w:rPr>
          <w:rFonts w:ascii="Book Antiqua" w:eastAsia="Book Antiqua" w:hAnsi="Book Antiqua" w:cs="Book Antiqua"/>
          <w:color w:val="000000"/>
        </w:rPr>
        <w:t>:</w:t>
      </w:r>
      <w:r>
        <w:rPr>
          <w:rFonts w:ascii="Book Antiqua" w:eastAsia="Book Antiqua" w:hAnsi="Book Antiqua" w:cs="Book Antiqua"/>
          <w:color w:val="000000"/>
        </w:rPr>
        <w:t xml:space="preserve"> 25519690 DOI: 10.1007/s10620-014-3485-8]</w:t>
      </w:r>
    </w:p>
    <w:p w14:paraId="615597D3" w14:textId="77777777" w:rsidR="00A77B3E" w:rsidRDefault="00D8132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Cho SK</w:t>
      </w:r>
      <w:r>
        <w:rPr>
          <w:rFonts w:ascii="Book Antiqua" w:eastAsia="Book Antiqua" w:hAnsi="Book Antiqua" w:cs="Book Antiqua"/>
          <w:color w:val="000000"/>
        </w:rPr>
        <w:t xml:space="preserve">, Shin SW, Lee IH, Do YS, Choo SW, Park KB, Yoo BC. Balloon-occluded retrograde transvenous obliteration of gastric varices: outcomes and complications in 49 patients.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W365-W372 [PMID: 18029851 DOI: 10.2214/AJR.07.2266]</w:t>
      </w:r>
    </w:p>
    <w:p w14:paraId="2BAE6AA5" w14:textId="77777777" w:rsidR="00A77B3E" w:rsidRDefault="00D8132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Fukuda T</w:t>
      </w:r>
      <w:r>
        <w:rPr>
          <w:rFonts w:ascii="Book Antiqua" w:eastAsia="Book Antiqua" w:hAnsi="Book Antiqua" w:cs="Book Antiqua"/>
          <w:color w:val="000000"/>
        </w:rPr>
        <w:t xml:space="preserve">, Hirota S, Sugimura K. Long-term results of balloon-occluded retrograde transvenous obliteration for the treatment of gastric varices and hepatic encephalopathy.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12</w:t>
      </w:r>
      <w:r>
        <w:rPr>
          <w:rFonts w:ascii="Book Antiqua" w:eastAsia="Book Antiqua" w:hAnsi="Book Antiqua" w:cs="Book Antiqua"/>
          <w:color w:val="000000"/>
        </w:rPr>
        <w:t>: 327-336 [PMID: 11287510 DOI: 10.1016/s1051-0443(07)61912-5]</w:t>
      </w:r>
    </w:p>
    <w:p w14:paraId="5D3E127B" w14:textId="77777777" w:rsidR="00A77B3E" w:rsidRDefault="00D8132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Kumamoto M</w:t>
      </w:r>
      <w:r>
        <w:rPr>
          <w:rFonts w:ascii="Book Antiqua" w:eastAsia="Book Antiqua" w:hAnsi="Book Antiqua" w:cs="Book Antiqua"/>
          <w:color w:val="000000"/>
        </w:rPr>
        <w:t xml:space="preserve">, Toyonaga A, Inoue H, Miyakoda K, Morita Y, Emori K, Sakamoto Y, Oho K, Sata M. Long-term results of balloon-occluded retrograde transvenous obliteration for gastric fundal varices: hepatic deterioration links to portosystemic shunt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1129-1135 [PMID: 20594229 DOI: 10.1111/j.1440-1746.2010.06262.x]</w:t>
      </w:r>
    </w:p>
    <w:p w14:paraId="3157F105" w14:textId="77777777" w:rsidR="00A77B3E" w:rsidRDefault="00D8132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Rajesh S, Augustine P, Padsalgi G, Ahamed R. Portosystemic shunts and refractory hepatic encephalopathy: patient selection and current options. </w:t>
      </w:r>
      <w:r>
        <w:rPr>
          <w:rFonts w:ascii="Book Antiqua" w:eastAsia="Book Antiqua" w:hAnsi="Book Antiqua" w:cs="Book Antiqua"/>
          <w:i/>
          <w:iCs/>
          <w:color w:val="000000"/>
        </w:rPr>
        <w:t>Hepat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23-34 [PMID: 30774483 DOI: 10.2147/HMER.S169024]</w:t>
      </w:r>
    </w:p>
    <w:p w14:paraId="15C61BB8" w14:textId="77777777" w:rsidR="00A77B3E" w:rsidRDefault="00D8132F">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Choi YH</w:t>
      </w:r>
      <w:r>
        <w:rPr>
          <w:rFonts w:ascii="Book Antiqua" w:eastAsia="Book Antiqua" w:hAnsi="Book Antiqua" w:cs="Book Antiqua"/>
          <w:color w:val="000000"/>
        </w:rPr>
        <w:t xml:space="preserve">, Yoon CJ, Park JH, Chung JW, Kwon JW, Choi GM. Balloon-occluded retrograde transvenous obliteration for gastric variceal bleeding: its feasibility </w:t>
      </w:r>
      <w:r>
        <w:rPr>
          <w:rFonts w:ascii="Book Antiqua" w:eastAsia="Book Antiqua" w:hAnsi="Book Antiqua" w:cs="Book Antiqua"/>
          <w:color w:val="000000"/>
        </w:rPr>
        <w:lastRenderedPageBreak/>
        <w:t xml:space="preserve">compared with transjugular intrahepatic portosystemic shunt. </w:t>
      </w:r>
      <w:r>
        <w:rPr>
          <w:rFonts w:ascii="Book Antiqua" w:eastAsia="Book Antiqua" w:hAnsi="Book Antiqua" w:cs="Book Antiqua"/>
          <w:i/>
          <w:iCs/>
          <w:color w:val="000000"/>
        </w:rPr>
        <w:t>Korean J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109-116 [PMID: 12845306 DOI: 10.3348/kjr.2003.4.2.109]</w:t>
      </w:r>
    </w:p>
    <w:p w14:paraId="6C221F95" w14:textId="77777777" w:rsidR="00A77B3E" w:rsidRDefault="00D8132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Kim SK</w:t>
      </w:r>
      <w:r>
        <w:rPr>
          <w:rFonts w:ascii="Book Antiqua" w:eastAsia="Book Antiqua" w:hAnsi="Book Antiqua" w:cs="Book Antiqua"/>
          <w:color w:val="000000"/>
        </w:rPr>
        <w:t xml:space="preserve">, Lee KA, Sauk S, Korenblat K. Comparison of Transjugular Intrahepatic Portosystemic Shunt with Covered Stent and Balloon-Occluded Retrograde Transvenous Obliteration in Managing Isolated Gastric Varices. </w:t>
      </w:r>
      <w:r>
        <w:rPr>
          <w:rFonts w:ascii="Book Antiqua" w:eastAsia="Book Antiqua" w:hAnsi="Book Antiqua" w:cs="Book Antiqua"/>
          <w:i/>
          <w:iCs/>
          <w:color w:val="000000"/>
        </w:rPr>
        <w:t>Korean J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345-354 [PMID: 28246514 DOI: 10.3348/kjr.2017.18.2.345]</w:t>
      </w:r>
    </w:p>
    <w:p w14:paraId="74228ABE" w14:textId="77777777" w:rsidR="00A77B3E" w:rsidRDefault="00D8132F">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Ninoi T</w:t>
      </w:r>
      <w:r>
        <w:rPr>
          <w:rFonts w:ascii="Book Antiqua" w:eastAsia="Book Antiqua" w:hAnsi="Book Antiqua" w:cs="Book Antiqua"/>
          <w:color w:val="000000"/>
        </w:rPr>
        <w:t xml:space="preserve">, Nakamura K, Kaminou T, Nishida N, Sakai Y, Kitayama T, Hamuro M, Yamada R, Arakawa T, Inoue Y.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transcatheter sclerotherapy for gastric varices.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369-376 [PMID: 15269027 DOI: 10.2214/ajr.183.2.1830369]</w:t>
      </w:r>
    </w:p>
    <w:p w14:paraId="6C317F5A" w14:textId="77777777" w:rsidR="00A77B3E" w:rsidRDefault="00D8132F">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Sabri SS</w:t>
      </w:r>
      <w:r>
        <w:rPr>
          <w:rFonts w:ascii="Book Antiqua" w:eastAsia="Book Antiqua" w:hAnsi="Book Antiqua" w:cs="Book Antiqua"/>
          <w:color w:val="000000"/>
        </w:rPr>
        <w:t xml:space="preserve">, Abi-Jaoudeh N, Swee W, Saad WE, Turba UC, Caldwell SH, Angle JF, Matsumoto AH. Short-term rebleeding rates for isolated gastric varices managed by transjugular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balloon-occluded retrograde transvenous obliteration.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355-361 [PMID: 24468043 DOI: 10.1016/j.jvir.2013.12.001]</w:t>
      </w:r>
    </w:p>
    <w:p w14:paraId="41EF81ED" w14:textId="77777777" w:rsidR="00A77B3E" w:rsidRDefault="00D8132F">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Helmy A</w:t>
      </w:r>
      <w:r>
        <w:rPr>
          <w:rFonts w:ascii="Book Antiqua" w:eastAsia="Book Antiqua" w:hAnsi="Book Antiqua" w:cs="Book Antiqua"/>
          <w:color w:val="000000"/>
        </w:rPr>
        <w:t xml:space="preserve">, Al Kahtani K, Al Fadda M. Updates in the pathogenesis, diagnosis and management of ectopic varices.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322-334 [PMID: 19669261 DOI: 10.1007/s12072-008-9074-1]</w:t>
      </w:r>
    </w:p>
    <w:p w14:paraId="1C584009" w14:textId="77777777" w:rsidR="00A77B3E" w:rsidRDefault="00D8132F">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Norton ID</w:t>
      </w:r>
      <w:r>
        <w:rPr>
          <w:rFonts w:ascii="Book Antiqua" w:eastAsia="Book Antiqua" w:hAnsi="Book Antiqua" w:cs="Book Antiqua"/>
          <w:color w:val="000000"/>
        </w:rPr>
        <w:t xml:space="preserve">, Andrews JC, Kamath PS. Management of ectopic varices.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1154-1158 [PMID: 9755256 DOI: 10.1002/hep.510280434]</w:t>
      </w:r>
    </w:p>
    <w:p w14:paraId="009D5212" w14:textId="77777777" w:rsidR="00A77B3E" w:rsidRDefault="00D8132F">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Lebrec D</w:t>
      </w:r>
      <w:r>
        <w:rPr>
          <w:rFonts w:ascii="Book Antiqua" w:eastAsia="Book Antiqua" w:hAnsi="Book Antiqua" w:cs="Book Antiqua"/>
          <w:color w:val="000000"/>
        </w:rPr>
        <w:t xml:space="preserve">, Benhamou JP. Ectopic varices in portal hypertension. </w:t>
      </w:r>
      <w:r>
        <w:rPr>
          <w:rFonts w:ascii="Book Antiqua" w:eastAsia="Book Antiqua" w:hAnsi="Book Antiqua" w:cs="Book Antiqua"/>
          <w:i/>
          <w:iCs/>
          <w:color w:val="000000"/>
        </w:rPr>
        <w:t>Clin Gastroenterol</w:t>
      </w:r>
      <w:r>
        <w:rPr>
          <w:rFonts w:ascii="Book Antiqua" w:eastAsia="Book Antiqua" w:hAnsi="Book Antiqua" w:cs="Book Antiqua"/>
          <w:color w:val="000000"/>
        </w:rPr>
        <w:t xml:space="preserve"> 1985; </w:t>
      </w:r>
      <w:r>
        <w:rPr>
          <w:rFonts w:ascii="Book Antiqua" w:eastAsia="Book Antiqua" w:hAnsi="Book Antiqua" w:cs="Book Antiqua"/>
          <w:b/>
          <w:bCs/>
          <w:color w:val="000000"/>
        </w:rPr>
        <w:t>14</w:t>
      </w:r>
      <w:r>
        <w:rPr>
          <w:rFonts w:ascii="Book Antiqua" w:eastAsia="Book Antiqua" w:hAnsi="Book Antiqua" w:cs="Book Antiqua"/>
          <w:color w:val="000000"/>
        </w:rPr>
        <w:t>: 105-121 [PMID: 3872747]</w:t>
      </w:r>
    </w:p>
    <w:p w14:paraId="2E6223E1" w14:textId="77777777" w:rsidR="00A77B3E" w:rsidRDefault="00D8132F">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Oey RC</w:t>
      </w:r>
      <w:r>
        <w:rPr>
          <w:rFonts w:ascii="Book Antiqua" w:eastAsia="Book Antiqua" w:hAnsi="Book Antiqua" w:cs="Book Antiqua"/>
          <w:color w:val="000000"/>
        </w:rPr>
        <w:t xml:space="preserve">, de Wit K, Moelker A, Atalik T, van Delden OM, Maleux G, Erler NS, Takkenberg RB, de Man RA, Nevens F, van Buuren HR. Variable efficacy of TIPSS in the management of ectopic variceal bleeding: a multicentre retrospective study.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975-983 [PMID: 30136292 DOI: 10.1111/apt.14947]</w:t>
      </w:r>
    </w:p>
    <w:p w14:paraId="06073015" w14:textId="77777777" w:rsidR="00A77B3E" w:rsidRDefault="00D8132F">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Vangeli M</w:t>
      </w:r>
      <w:r>
        <w:rPr>
          <w:rFonts w:ascii="Book Antiqua" w:eastAsia="Book Antiqua" w:hAnsi="Book Antiqua" w:cs="Book Antiqua"/>
          <w:color w:val="000000"/>
        </w:rPr>
        <w:t xml:space="preserve">, Patch D, Terreni N, Tibballs J, Watkinson A, Davies N, Burroughs AK. Bleeding ectopic varices--treatment with transjugular intrahepatic porto-systemic shunt (TIPS) and embolisation.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41</w:t>
      </w:r>
      <w:r>
        <w:rPr>
          <w:rFonts w:ascii="Book Antiqua" w:eastAsia="Book Antiqua" w:hAnsi="Book Antiqua" w:cs="Book Antiqua"/>
          <w:color w:val="000000"/>
        </w:rPr>
        <w:t>: 560-566 [PMID: 15464235 DOI: 10.1016/j.jhep.2004.06.024]</w:t>
      </w:r>
    </w:p>
    <w:p w14:paraId="5CCC3D3A" w14:textId="77777777" w:rsidR="00A77B3E" w:rsidRDefault="00D8132F">
      <w:pPr>
        <w:spacing w:line="360" w:lineRule="auto"/>
        <w:jc w:val="both"/>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Vidal V</w:t>
      </w:r>
      <w:r>
        <w:rPr>
          <w:rFonts w:ascii="Book Antiqua" w:eastAsia="Book Antiqua" w:hAnsi="Book Antiqua" w:cs="Book Antiqua"/>
          <w:color w:val="000000"/>
        </w:rPr>
        <w:t xml:space="preserve">, Joly L, Perreault P, Bouchard L, Lafortune M, Pomier-Layrargues G. Usefulness of transjugular intrahepatic portosystemic shunt in the management of bleeding ectopic varices in cirrhotic patients.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216-219 [PMID: 16284702 DOI: 10.1007/s00270-004-0346-4]</w:t>
      </w:r>
    </w:p>
    <w:p w14:paraId="2255C6FB" w14:textId="77777777" w:rsidR="00A77B3E" w:rsidRDefault="00D8132F">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Shibata D</w:t>
      </w:r>
      <w:r>
        <w:rPr>
          <w:rFonts w:ascii="Book Antiqua" w:eastAsia="Book Antiqua" w:hAnsi="Book Antiqua" w:cs="Book Antiqua"/>
          <w:color w:val="000000"/>
        </w:rPr>
        <w:t xml:space="preserve">, Brophy DP, Gordon FD, Anastopoulos HT, Sentovich SM, Bleday R. Transjugular intrahepatic portosystemic shunt for treatment of bleeding ectopic varices with portal hypertension.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1999; </w:t>
      </w:r>
      <w:r>
        <w:rPr>
          <w:rFonts w:ascii="Book Antiqua" w:eastAsia="Book Antiqua" w:hAnsi="Book Antiqua" w:cs="Book Antiqua"/>
          <w:b/>
          <w:bCs/>
          <w:color w:val="000000"/>
        </w:rPr>
        <w:t>42</w:t>
      </w:r>
      <w:r>
        <w:rPr>
          <w:rFonts w:ascii="Book Antiqua" w:eastAsia="Book Antiqua" w:hAnsi="Book Antiqua" w:cs="Book Antiqua"/>
          <w:color w:val="000000"/>
        </w:rPr>
        <w:t>: 1581-1585 [PMID: 10613477 DOI: 10.1007/BF02236211]</w:t>
      </w:r>
    </w:p>
    <w:p w14:paraId="4FBF525D" w14:textId="77777777" w:rsidR="00A77B3E" w:rsidRDefault="00D8132F">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Kochar N</w:t>
      </w:r>
      <w:r>
        <w:rPr>
          <w:rFonts w:ascii="Book Antiqua" w:eastAsia="Book Antiqua" w:hAnsi="Book Antiqua" w:cs="Book Antiqua"/>
          <w:color w:val="000000"/>
        </w:rPr>
        <w:t xml:space="preserve">, Tripathi D, McAvoy NC, Ireland H, Redhead DN, Hayes PC. Bleeding ectopic varices in cirrhosis: the role of transjugular intrahepatic portosystemic stent shunts.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294-303 [PMID: 19086235 DOI: 10.1111/j.1365-2036.2008.03719.x]</w:t>
      </w:r>
    </w:p>
    <w:p w14:paraId="79C7A90D" w14:textId="77777777" w:rsidR="00A77B3E" w:rsidRDefault="00D8132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Miller LS</w:t>
      </w:r>
      <w:r>
        <w:rPr>
          <w:rFonts w:ascii="Book Antiqua" w:eastAsia="Book Antiqua" w:hAnsi="Book Antiqua" w:cs="Book Antiqua"/>
          <w:color w:val="000000"/>
        </w:rPr>
        <w:t xml:space="preserve">, Kim JK, Dai Q, Mekapati J, Izanec J, Chung C, Liu JB, Sanderson A, Bohning M, Desipio J, Gandegok J, Harberson JJ, Schneck C, Nicosia MA, Thangada V, Thomas B, Copeland B, Miller E, Miller A, Ahmed N, Brasseur JG. Mechanics and hemodynamics of esophageal varices during peristaltic contraction.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G830-G835 [PMID: 15361363 DOI: 10.1152/ajpgi.00015.2004]</w:t>
      </w:r>
    </w:p>
    <w:p w14:paraId="7BAD4DCE" w14:textId="77777777" w:rsidR="00A77B3E" w:rsidRDefault="00D8132F">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Arakawa M</w:t>
      </w:r>
      <w:r>
        <w:rPr>
          <w:rFonts w:ascii="Book Antiqua" w:eastAsia="Book Antiqua" w:hAnsi="Book Antiqua" w:cs="Book Antiqua"/>
          <w:color w:val="000000"/>
        </w:rPr>
        <w:t xml:space="preserve">, Masuzaki T, Okuda K. Pathomorphology of esophageal and gastric varices.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73-82 [PMID: 11928080 DOI: 10.1055/s-2002-23208]</w:t>
      </w:r>
    </w:p>
    <w:p w14:paraId="428EE23B" w14:textId="77777777" w:rsidR="00A77B3E" w:rsidRDefault="00D8132F">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Perricone G</w:t>
      </w:r>
      <w:r>
        <w:rPr>
          <w:rFonts w:ascii="Book Antiqua" w:eastAsia="Book Antiqua" w:hAnsi="Book Antiqua" w:cs="Book Antiqua"/>
          <w:color w:val="000000"/>
        </w:rPr>
        <w:t xml:space="preserve">, Vangeli M, De Nicola S, Airoldi A, Belli LS. Adding embolization to TIPS implantation: A better therapy to control bleeding from ectopic varices?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200-201 [PMID: 28347802 DOI: 10.1016/j.jhep.2017.03.016]</w:t>
      </w:r>
    </w:p>
    <w:p w14:paraId="7E89B7CA" w14:textId="77777777" w:rsidR="00A77B3E" w:rsidRDefault="00D8132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Thuluvath PJ</w:t>
      </w:r>
      <w:r>
        <w:rPr>
          <w:rFonts w:ascii="Book Antiqua" w:eastAsia="Book Antiqua" w:hAnsi="Book Antiqua" w:cs="Book Antiqua"/>
          <w:color w:val="000000"/>
        </w:rPr>
        <w:t xml:space="preserve">, Yoo HY. Portal Hypertensive gastropathy.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2973-2978 [PMID: 12492178 DOI: 10.1111/j.1572-0241.2002.07094.x]</w:t>
      </w:r>
    </w:p>
    <w:p w14:paraId="045CAFBB" w14:textId="77777777" w:rsidR="00A77B3E" w:rsidRDefault="00D8132F">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Misra SP, Singal A, Thorat V, Broor SL. Evaluation of the incidence and significance of the "mosaic pattern" in patients with cirrhosis, noncirrhotic portal fibrosis, and extrahepatic obstruction.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1988; </w:t>
      </w:r>
      <w:r>
        <w:rPr>
          <w:rFonts w:ascii="Book Antiqua" w:eastAsia="Book Antiqua" w:hAnsi="Book Antiqua" w:cs="Book Antiqua"/>
          <w:b/>
          <w:bCs/>
          <w:color w:val="000000"/>
        </w:rPr>
        <w:t>83</w:t>
      </w:r>
      <w:r>
        <w:rPr>
          <w:rFonts w:ascii="Book Antiqua" w:eastAsia="Book Antiqua" w:hAnsi="Book Antiqua" w:cs="Book Antiqua"/>
          <w:color w:val="000000"/>
        </w:rPr>
        <w:t>: 1235-1239 [PMID: 3263791]</w:t>
      </w:r>
    </w:p>
    <w:p w14:paraId="72CE4969" w14:textId="77777777" w:rsidR="00A77B3E" w:rsidRDefault="00D8132F">
      <w:pPr>
        <w:spacing w:line="360" w:lineRule="auto"/>
        <w:jc w:val="both"/>
      </w:pPr>
      <w:r>
        <w:rPr>
          <w:rFonts w:ascii="Book Antiqua" w:eastAsia="Book Antiqua" w:hAnsi="Book Antiqua" w:cs="Book Antiqua"/>
          <w:color w:val="000000"/>
        </w:rPr>
        <w:lastRenderedPageBreak/>
        <w:t xml:space="preserve">60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Montalbano L, Traina M, Pisa R, Menozzi M, Spanò C, Pagliaro L. Natural history of congestive gastropathy in cirrhosis. The Liver Study Group of V. Cervello Hospital.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99</w:t>
      </w:r>
      <w:r>
        <w:rPr>
          <w:rFonts w:ascii="Book Antiqua" w:eastAsia="Book Antiqua" w:hAnsi="Book Antiqua" w:cs="Book Antiqua"/>
          <w:color w:val="000000"/>
        </w:rPr>
        <w:t>: 1558-1564 [PMID: 2227271 DOI: 10.1016/0016-5085(90)90458-d]</w:t>
      </w:r>
    </w:p>
    <w:p w14:paraId="6EE32EFD" w14:textId="77777777" w:rsidR="00A77B3E" w:rsidRDefault="00D8132F">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Merli M</w:t>
      </w:r>
      <w:r>
        <w:rPr>
          <w:rFonts w:ascii="Book Antiqua" w:eastAsia="Book Antiqua" w:hAnsi="Book Antiqua" w:cs="Book Antiqua"/>
          <w:color w:val="000000"/>
        </w:rPr>
        <w:t xml:space="preserve">, Nicolini G, Angeloni S, Gentili F, Attili AF, Riggio O. The natural history of portal hypertensive gastropathy in patients with liver cirrhosis and mild portal hypertension.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99</w:t>
      </w:r>
      <w:r>
        <w:rPr>
          <w:rFonts w:ascii="Book Antiqua" w:eastAsia="Book Antiqua" w:hAnsi="Book Antiqua" w:cs="Book Antiqua"/>
          <w:color w:val="000000"/>
        </w:rPr>
        <w:t>: 1959-1965 [PMID: 15447756 DOI: 10.1111/j.1572-0241.2004.40246.x]</w:t>
      </w:r>
    </w:p>
    <w:p w14:paraId="1C8E84D7" w14:textId="77777777" w:rsidR="00A77B3E" w:rsidRDefault="00D8132F">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Iwao T</w:t>
      </w:r>
      <w:r>
        <w:rPr>
          <w:rFonts w:ascii="Book Antiqua" w:eastAsia="Book Antiqua" w:hAnsi="Book Antiqua" w:cs="Book Antiqua"/>
          <w:color w:val="000000"/>
        </w:rPr>
        <w:t xml:space="preserve">, Toyonaga A, Sumino M, Takagi K, Oho K, Nishizono M, Ohkubo K, Inoue R, Sasaki E, Tanikawa K. Portal hypertensive gastropathy in patients with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102</w:t>
      </w:r>
      <w:r>
        <w:rPr>
          <w:rFonts w:ascii="Book Antiqua" w:eastAsia="Book Antiqua" w:hAnsi="Book Antiqua" w:cs="Book Antiqua"/>
          <w:color w:val="000000"/>
        </w:rPr>
        <w:t>: 2060-2065 [PMID: 1587424 DOI: 10.1016/0016-5085(92)90332-s]</w:t>
      </w:r>
    </w:p>
    <w:p w14:paraId="228AF95C" w14:textId="77777777" w:rsidR="00A77B3E" w:rsidRDefault="00D8132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Perini RF</w:t>
      </w:r>
      <w:r>
        <w:rPr>
          <w:rFonts w:ascii="Book Antiqua" w:eastAsia="Book Antiqua" w:hAnsi="Book Antiqua" w:cs="Book Antiqua"/>
          <w:color w:val="000000"/>
        </w:rPr>
        <w:t xml:space="preserve">, Camara PR, Ferraz JG. Pathogenesis of portal hypertensive gastropathy: translating basic research into clinical practice. </w:t>
      </w:r>
      <w:r>
        <w:rPr>
          <w:rFonts w:ascii="Book Antiqua" w:eastAsia="Book Antiqua" w:hAnsi="Book Antiqua" w:cs="Book Antiqua"/>
          <w:i/>
          <w:iCs/>
          <w:color w:val="000000"/>
        </w:rPr>
        <w:t>Nat Clin Pract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150-158 [PMID: 19190600 DOI: 10.1038/ncpgasthep1356]</w:t>
      </w:r>
    </w:p>
    <w:p w14:paraId="488CFC50" w14:textId="77777777" w:rsidR="00A77B3E" w:rsidRDefault="00D8132F">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Ferraz JG</w:t>
      </w:r>
      <w:r>
        <w:rPr>
          <w:rFonts w:ascii="Book Antiqua" w:eastAsia="Book Antiqua" w:hAnsi="Book Antiqua" w:cs="Book Antiqua"/>
          <w:color w:val="000000"/>
        </w:rPr>
        <w:t xml:space="preserve">, Wallace JL. Underlying mechanisms of portal hypertensive gastropathy.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25 Suppl 1</w:t>
      </w:r>
      <w:r>
        <w:rPr>
          <w:rFonts w:ascii="Book Antiqua" w:eastAsia="Book Antiqua" w:hAnsi="Book Antiqua" w:cs="Book Antiqua"/>
          <w:color w:val="000000"/>
        </w:rPr>
        <w:t>: S73-S78 [PMID: 9479629 DOI: 10.1097/00004836-199700001-00012]</w:t>
      </w:r>
    </w:p>
    <w:p w14:paraId="63B86440" w14:textId="77777777" w:rsidR="00A77B3E" w:rsidRDefault="00D8132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Hosking SW</w:t>
      </w:r>
      <w:r>
        <w:rPr>
          <w:rFonts w:ascii="Book Antiqua" w:eastAsia="Book Antiqua" w:hAnsi="Book Antiqua" w:cs="Book Antiqua"/>
          <w:color w:val="000000"/>
        </w:rPr>
        <w:t xml:space="preserve">, Kennedy HJ, Seddon I, Triger DR. The role of propranolol in congestive gastropathy of portal hypertension.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7</w:t>
      </w:r>
      <w:r>
        <w:rPr>
          <w:rFonts w:ascii="Book Antiqua" w:eastAsia="Book Antiqua" w:hAnsi="Book Antiqua" w:cs="Book Antiqua"/>
          <w:color w:val="000000"/>
        </w:rPr>
        <w:t>: 437-441 [PMID: 3552921 DOI: 10.1002/hep.1840070304]</w:t>
      </w:r>
    </w:p>
    <w:p w14:paraId="33EAC743" w14:textId="77777777" w:rsidR="00A77B3E" w:rsidRDefault="00D8132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Zhou Y</w:t>
      </w:r>
      <w:r>
        <w:rPr>
          <w:rFonts w:ascii="Book Antiqua" w:eastAsia="Book Antiqua" w:hAnsi="Book Antiqua" w:cs="Book Antiqua"/>
          <w:color w:val="000000"/>
        </w:rPr>
        <w:t xml:space="preserve">, Qiao L, Wu J, Hu H, Xu C. Comparison of the efficacy of octreotide, vasopressin, and omeprazole in the control of acute bleeding in patients with portal hypertensive gastropathy: a controlled study.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973-979 [PMID: 12167118 DOI: 10.1046/j.1440-1746.2002.02775.x]</w:t>
      </w:r>
    </w:p>
    <w:p w14:paraId="50EB3147" w14:textId="77777777" w:rsidR="00A77B3E" w:rsidRDefault="00D8132F">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Kawanaka H</w:t>
      </w:r>
      <w:r>
        <w:rPr>
          <w:rFonts w:ascii="Book Antiqua" w:eastAsia="Book Antiqua" w:hAnsi="Book Antiqua" w:cs="Book Antiqua"/>
          <w:color w:val="000000"/>
        </w:rPr>
        <w:t xml:space="preserve">, Tomikawa M, Jones MK, Szabo IL, Pai R, Baatar D, Tsugawa K, Sugimachi K, Sarfeh IJ, Tarnawski AS. Defective mitogen-activated protein kinase (ERK2) signaling in gastric mucosa of portal hypertensive rats: potential therapeutic </w:t>
      </w:r>
      <w:r>
        <w:rPr>
          <w:rFonts w:ascii="Book Antiqua" w:eastAsia="Book Antiqua" w:hAnsi="Book Antiqua" w:cs="Book Antiqua"/>
          <w:color w:val="000000"/>
        </w:rPr>
        <w:lastRenderedPageBreak/>
        <w:t xml:space="preserve">implications.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990-999 [PMID: 11679970 DOI: 10.1053/jhep.2001.28507]</w:t>
      </w:r>
    </w:p>
    <w:p w14:paraId="69CE45C2" w14:textId="77777777" w:rsidR="00A77B3E" w:rsidRDefault="00D8132F">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Karajeh MA</w:t>
      </w:r>
      <w:r>
        <w:rPr>
          <w:rFonts w:ascii="Book Antiqua" w:eastAsia="Book Antiqua" w:hAnsi="Book Antiqua" w:cs="Book Antiqua"/>
          <w:color w:val="000000"/>
        </w:rPr>
        <w:t xml:space="preserve">, Hurlstone DP, Stephenson TJ, Ray-Chaudhuri D, Gleeson DC. Refractory bleeding from portal hypertensive gastropathy: a further novel role for thalidomide therapy?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w:t>
      </w:r>
      <w:r>
        <w:rPr>
          <w:rFonts w:ascii="Book Antiqua" w:eastAsia="Book Antiqua" w:hAnsi="Book Antiqua" w:cs="Book Antiqua"/>
          <w:color w:val="000000"/>
        </w:rPr>
        <w:t>: 545-548 [PMID: 16607153 DOI: 10.1097/00042737-200605000-00016]</w:t>
      </w:r>
    </w:p>
    <w:p w14:paraId="295722EE" w14:textId="77777777" w:rsidR="00A77B3E" w:rsidRDefault="00D8132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Urata J</w:t>
      </w:r>
      <w:r>
        <w:rPr>
          <w:rFonts w:ascii="Book Antiqua" w:eastAsia="Book Antiqua" w:hAnsi="Book Antiqua" w:cs="Book Antiqua"/>
          <w:color w:val="000000"/>
        </w:rPr>
        <w:t xml:space="preserve">, Yamashita Y, Tsuchigame T, Hatanaka Y, Matsukawa T, Sumi S, Matsuno Y, Takahashi M. The effects of transjugular intrahepatic portosystemic shunt on portal hypertensive gastropathy.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1061-1067 [PMID: 9835325 DOI: 10.1111/j.1440-1746.1998.tb00571.x]</w:t>
      </w:r>
    </w:p>
    <w:p w14:paraId="0EE3DD2E" w14:textId="77777777" w:rsidR="00A77B3E" w:rsidRDefault="00D8132F">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Mezawa S</w:t>
      </w:r>
      <w:r>
        <w:rPr>
          <w:rFonts w:ascii="Book Antiqua" w:eastAsia="Book Antiqua" w:hAnsi="Book Antiqua" w:cs="Book Antiqua"/>
          <w:color w:val="000000"/>
        </w:rPr>
        <w:t xml:space="preserve">, Homma H, Ohta H, Masuko E, Doi T, Miyanishi K, Takada K, Kukitsu T, Sato T, Niitsu Y. Effect of transjugular intrahepatic portosystemic shunt formation on portal hypertensive gastropathy and gastric circulation.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1155-1159 [PMID: 11316163 DOI: 10.1111/j.1572-0241.2001.03694.x]</w:t>
      </w:r>
    </w:p>
    <w:p w14:paraId="56A8E395" w14:textId="77777777" w:rsidR="00A77B3E" w:rsidRDefault="00D8132F">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Kamath PS</w:t>
      </w:r>
      <w:r>
        <w:rPr>
          <w:rFonts w:ascii="Book Antiqua" w:eastAsia="Book Antiqua" w:hAnsi="Book Antiqua" w:cs="Book Antiqua"/>
          <w:color w:val="000000"/>
        </w:rPr>
        <w:t xml:space="preserve">, Lacerda M, Ahlquist DA, McKusick MA, Andrews JC, Nagorney DA. Gastric mucosal responses to intrahepatic portosystemic shunting in patients with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118</w:t>
      </w:r>
      <w:r>
        <w:rPr>
          <w:rFonts w:ascii="Book Antiqua" w:eastAsia="Book Antiqua" w:hAnsi="Book Antiqua" w:cs="Book Antiqua"/>
          <w:color w:val="000000"/>
        </w:rPr>
        <w:t>: 905-911 [PMID: 10784589 DOI: 10.1016/S0016-5085(00)70176-4]</w:t>
      </w:r>
    </w:p>
    <w:p w14:paraId="282FBBF9" w14:textId="77777777" w:rsidR="00A77B3E" w:rsidRDefault="00D8132F">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Burak KW</w:t>
      </w:r>
      <w:r>
        <w:rPr>
          <w:rFonts w:ascii="Book Antiqua" w:eastAsia="Book Antiqua" w:hAnsi="Book Antiqua" w:cs="Book Antiqua"/>
          <w:color w:val="000000"/>
        </w:rPr>
        <w:t xml:space="preserve">, Lee SS, Beck PL. Portal hypertensive gastropathy and gastric antral vascular ectasia (GAVE) syndrome.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49</w:t>
      </w:r>
      <w:r>
        <w:rPr>
          <w:rFonts w:ascii="Book Antiqua" w:eastAsia="Book Antiqua" w:hAnsi="Book Antiqua" w:cs="Book Antiqua"/>
          <w:color w:val="000000"/>
        </w:rPr>
        <w:t>: 866-872 [PMID: 11709525 DOI: 10.1136/gut.49.6.866]</w:t>
      </w:r>
    </w:p>
    <w:p w14:paraId="4A4B0810" w14:textId="77777777" w:rsidR="00A77B3E" w:rsidRDefault="00D8132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Patwardhan VR</w:t>
      </w:r>
      <w:r>
        <w:rPr>
          <w:rFonts w:ascii="Book Antiqua" w:eastAsia="Book Antiqua" w:hAnsi="Book Antiqua" w:cs="Book Antiqua"/>
          <w:color w:val="000000"/>
        </w:rPr>
        <w:t xml:space="preserve">, Cardenas A. Review article: the management of portal hypertensive gastropathy and gastric antral vascular ectasia in cirrhosis.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354-362 [PMID: 24889902 DOI: 10.1111/apt.12824]</w:t>
      </w:r>
    </w:p>
    <w:p w14:paraId="3B812807" w14:textId="77777777" w:rsidR="00A77B3E" w:rsidRDefault="00D8132F">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Ginés P</w:t>
      </w:r>
      <w:r>
        <w:rPr>
          <w:rFonts w:ascii="Book Antiqua" w:eastAsia="Book Antiqua" w:hAnsi="Book Antiqua" w:cs="Book Antiqua"/>
          <w:color w:val="000000"/>
        </w:rPr>
        <w:t xml:space="preserve">, Quintero E, Arroyo V, Terés J, Bruguera M, Rimola A, Caballería J, Rodés J, Rozman C. Compensated cirrhosis: natural history and prognostic factors.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7</w:t>
      </w:r>
      <w:r>
        <w:rPr>
          <w:rFonts w:ascii="Book Antiqua" w:eastAsia="Book Antiqua" w:hAnsi="Book Antiqua" w:cs="Book Antiqua"/>
          <w:color w:val="000000"/>
        </w:rPr>
        <w:t>: 122-128 [PMID: 3804191 DOI: 10.1002/hep.1840070124]</w:t>
      </w:r>
    </w:p>
    <w:p w14:paraId="64E962B1" w14:textId="77777777" w:rsidR="00A77B3E" w:rsidRDefault="00D8132F">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Garcia-Tsao G, Pagliaro L. Natural history and prognostic indicators of survival in cirrhosis: a systematic review of 118 studies.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217-231 [PMID: 16298014 DOI: 10.1016/j.jhep.2005.10.013]</w:t>
      </w:r>
    </w:p>
    <w:p w14:paraId="687C0B72" w14:textId="77777777" w:rsidR="00A77B3E" w:rsidRDefault="00D8132F">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for the management of patients with decompensated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406-460 [PMID: 29653741 DOI: 10.1016/j.jhep.2018.03.024]</w:t>
      </w:r>
    </w:p>
    <w:p w14:paraId="79D00ADF" w14:textId="77777777" w:rsidR="00A77B3E" w:rsidRDefault="00D8132F">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Arroyo V</w:t>
      </w:r>
      <w:r>
        <w:rPr>
          <w:rFonts w:ascii="Book Antiqua" w:eastAsia="Book Antiqua" w:hAnsi="Book Antiqua" w:cs="Book Antiqua"/>
          <w:color w:val="000000"/>
        </w:rPr>
        <w:t xml:space="preserve">, Ginès P, Gerbes AL, Dudley FJ, Gentilini P, Laffi G, Reynolds TB, Ring-Larsen H, Schölmerich J. Definition and diagnostic criteria of refractory ascites and hepatorenal syndrome in cirrhosis. International Ascites Club.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23</w:t>
      </w:r>
      <w:r>
        <w:rPr>
          <w:rFonts w:ascii="Book Antiqua" w:eastAsia="Book Antiqua" w:hAnsi="Book Antiqua" w:cs="Book Antiqua"/>
          <w:color w:val="000000"/>
        </w:rPr>
        <w:t>: 164-176 [PMID: 8550036 DOI: 10.1002/hep.510230122]</w:t>
      </w:r>
    </w:p>
    <w:p w14:paraId="3D3E13E2" w14:textId="77777777" w:rsidR="00A77B3E" w:rsidRDefault="00D8132F">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Moore KP</w:t>
      </w:r>
      <w:r>
        <w:rPr>
          <w:rFonts w:ascii="Book Antiqua" w:eastAsia="Book Antiqua" w:hAnsi="Book Antiqua" w:cs="Book Antiqua"/>
          <w:color w:val="000000"/>
        </w:rPr>
        <w:t xml:space="preserve">, Wong F, Gines P, Bernardi M, Ochs A, Salerno F, Angeli P, Porayko M, Moreau R, Garcia-Tsao G, Jimenez W, Planas R, Arroyo V. The management of ascites in cirrhosis: report on the consensus conference of the International Ascites Club.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258-266 [PMID: 12830009 DOI: 10.1053/jhep.2003.50315]</w:t>
      </w:r>
    </w:p>
    <w:p w14:paraId="118D9D25" w14:textId="77777777" w:rsidR="00A77B3E" w:rsidRDefault="00D8132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Lebrec D</w:t>
      </w:r>
      <w:r>
        <w:rPr>
          <w:rFonts w:ascii="Book Antiqua" w:eastAsia="Book Antiqua" w:hAnsi="Book Antiqua" w:cs="Book Antiqua"/>
          <w:color w:val="000000"/>
        </w:rPr>
        <w:t xml:space="preserve">, Giuily N, Hadengue A, Vilgrain V, Moreau R, Poynard T, Gadano A, Lassen C, Benhamou JP, Erlinger S. Transjugular intrahepatic portosystemic shunts: comparison with paracentesis in patients with cirrhosis and refractory ascites: a randomized trial. French Group of Clinicians and a Group of Biologists.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1996; </w:t>
      </w:r>
      <w:r>
        <w:rPr>
          <w:rFonts w:ascii="Book Antiqua" w:eastAsia="Book Antiqua" w:hAnsi="Book Antiqua" w:cs="Book Antiqua"/>
          <w:b/>
          <w:bCs/>
          <w:color w:val="000000"/>
        </w:rPr>
        <w:t>25</w:t>
      </w:r>
      <w:r>
        <w:rPr>
          <w:rFonts w:ascii="Book Antiqua" w:eastAsia="Book Antiqua" w:hAnsi="Book Antiqua" w:cs="Book Antiqua"/>
          <w:color w:val="000000"/>
        </w:rPr>
        <w:t>: 135-144 [PMID: 8878773 DOI: 10.1016/s0168-8278(96)80065-1]</w:t>
      </w:r>
    </w:p>
    <w:p w14:paraId="00D25855" w14:textId="77777777" w:rsidR="00A77B3E" w:rsidRDefault="00D8132F">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Rössle M</w:t>
      </w:r>
      <w:r>
        <w:rPr>
          <w:rFonts w:ascii="Book Antiqua" w:eastAsia="Book Antiqua" w:hAnsi="Book Antiqua" w:cs="Book Antiqua"/>
          <w:color w:val="000000"/>
        </w:rPr>
        <w:t xml:space="preserve">, Ochs A, Gülberg V, Siegerstetter V, Holl J, Deibert P, Olschewski M, Reiser M, Gerbes AL. A comparison of paracentesis and transjugular intrahepatic portosystemic shunting in patients with ascites.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342</w:t>
      </w:r>
      <w:r>
        <w:rPr>
          <w:rFonts w:ascii="Book Antiqua" w:eastAsia="Book Antiqua" w:hAnsi="Book Antiqua" w:cs="Book Antiqua"/>
          <w:color w:val="000000"/>
        </w:rPr>
        <w:t>: 1701-1707 [PMID: 10841872 DOI: 10.1056/NEJM200006083422303]</w:t>
      </w:r>
    </w:p>
    <w:p w14:paraId="209357B9" w14:textId="77777777" w:rsidR="00A77B3E" w:rsidRDefault="00D8132F">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Ginès P</w:t>
      </w:r>
      <w:r>
        <w:rPr>
          <w:rFonts w:ascii="Book Antiqua" w:eastAsia="Book Antiqua" w:hAnsi="Book Antiqua" w:cs="Book Antiqua"/>
          <w:color w:val="000000"/>
        </w:rPr>
        <w:t xml:space="preserve">, Uriz J, Calahorra B, Garcia-Tsao G, Kamath PS, Del Arbol LR, Planas R, Bosch J, Arroyo V, Rodés J. Transjugular intrahepatic portosystemic shunting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plus albumin for refractory ascites in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123</w:t>
      </w:r>
      <w:r>
        <w:rPr>
          <w:rFonts w:ascii="Book Antiqua" w:eastAsia="Book Antiqua" w:hAnsi="Book Antiqua" w:cs="Book Antiqua"/>
          <w:color w:val="000000"/>
        </w:rPr>
        <w:t>: 1839-1847 [PMID: 12454841 DOI: 10.1053/gast.2002.37073]</w:t>
      </w:r>
    </w:p>
    <w:p w14:paraId="4F991971" w14:textId="77777777" w:rsidR="00A77B3E" w:rsidRDefault="00D8132F">
      <w:pPr>
        <w:spacing w:line="360" w:lineRule="auto"/>
        <w:jc w:val="both"/>
      </w:pPr>
      <w:r>
        <w:rPr>
          <w:rFonts w:ascii="Book Antiqua" w:eastAsia="Book Antiqua" w:hAnsi="Book Antiqua" w:cs="Book Antiqua"/>
          <w:color w:val="000000"/>
        </w:rPr>
        <w:lastRenderedPageBreak/>
        <w:t xml:space="preserve">82 </w:t>
      </w:r>
      <w:r>
        <w:rPr>
          <w:rFonts w:ascii="Book Antiqua" w:eastAsia="Book Antiqua" w:hAnsi="Book Antiqua" w:cs="Book Antiqua"/>
          <w:b/>
          <w:bCs/>
          <w:color w:val="000000"/>
        </w:rPr>
        <w:t>Sanyal AJ</w:t>
      </w:r>
      <w:r>
        <w:rPr>
          <w:rFonts w:ascii="Book Antiqua" w:eastAsia="Book Antiqua" w:hAnsi="Book Antiqua" w:cs="Book Antiqua"/>
          <w:color w:val="000000"/>
        </w:rPr>
        <w:t xml:space="preserve">, Genning C, Reddy KR, Wong F, Kowdley KV, Benner K, McCashland T; North American Study for the Treatment of Refractory Ascites Group. The North American Study for the Treatment of Refractory Ascites.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634-641 [PMID: 12612902 DOI: 10.1053/gast.2003.50088]</w:t>
      </w:r>
    </w:p>
    <w:p w14:paraId="3F71E319" w14:textId="77777777" w:rsidR="00A77B3E" w:rsidRDefault="00D8132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Salerno F</w:t>
      </w:r>
      <w:r>
        <w:rPr>
          <w:rFonts w:ascii="Book Antiqua" w:eastAsia="Book Antiqua" w:hAnsi="Book Antiqua" w:cs="Book Antiqua"/>
          <w:color w:val="000000"/>
        </w:rPr>
        <w:t xml:space="preserve">, Merli M, Riggio O, Cazzaniga M, Valeriano V, Pozzi M, Nicolini A, Salvatori F. Randomized controlled study of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plus albumin in cirrhosis with severe ascites.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629-635 [PMID: 15349901 DOI: 10.1002/hep.20364]</w:t>
      </w:r>
    </w:p>
    <w:p w14:paraId="0F220C8D" w14:textId="77777777" w:rsidR="00A77B3E" w:rsidRDefault="00D8132F">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Albillos A</w:t>
      </w:r>
      <w:r>
        <w:rPr>
          <w:rFonts w:ascii="Book Antiqua" w:eastAsia="Book Antiqua" w:hAnsi="Book Antiqua" w:cs="Book Antiqua"/>
          <w:color w:val="000000"/>
        </w:rPr>
        <w:t xml:space="preserve">, Bañares R, González M, Catalina MV, Molinero LM. A meta-analysis of transjugular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for refractory ascites.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43</w:t>
      </w:r>
      <w:r>
        <w:rPr>
          <w:rFonts w:ascii="Book Antiqua" w:eastAsia="Book Antiqua" w:hAnsi="Book Antiqua" w:cs="Book Antiqua"/>
          <w:color w:val="000000"/>
        </w:rPr>
        <w:t>: 990-996 [PMID: 16139922 DOI: 10.1016/j.jhep.2005.06.005]</w:t>
      </w:r>
    </w:p>
    <w:p w14:paraId="2848483A" w14:textId="77777777" w:rsidR="00A77B3E" w:rsidRDefault="00D8132F">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Luca A, Morabito A, Miraglia R, D'Amico M. Uncovered transjugular intrahepatic portosystemic shunt for refractory ascites: a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1282-1293 [PMID: 16230081 DOI: 10.1053/j.gastro.2005.07.031]</w:t>
      </w:r>
    </w:p>
    <w:p w14:paraId="7807AC16" w14:textId="77777777" w:rsidR="00A77B3E" w:rsidRDefault="00D8132F">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Deltenre P</w:t>
      </w:r>
      <w:r>
        <w:rPr>
          <w:rFonts w:ascii="Book Antiqua" w:eastAsia="Book Antiqua" w:hAnsi="Book Antiqua" w:cs="Book Antiqua"/>
          <w:color w:val="000000"/>
        </w:rPr>
        <w:t xml:space="preserve">, Mathurin P, Dharancy S, Moreau R, Bulois P, Henrion J, Pruvot FR, Ernst O, Paris JC, Lebrec D. Transjugular intrahepatic portosystemic shunt in refractory ascites: a meta-analysis.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349-356 [PMID: 15780061 DOI: 10.1111/j.1478-3231.2005.01095.x]</w:t>
      </w:r>
    </w:p>
    <w:p w14:paraId="5961D215" w14:textId="77777777" w:rsidR="00A77B3E" w:rsidRDefault="00D8132F">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Salerno F</w:t>
      </w:r>
      <w:r>
        <w:rPr>
          <w:rFonts w:ascii="Book Antiqua" w:eastAsia="Book Antiqua" w:hAnsi="Book Antiqua" w:cs="Book Antiqua"/>
          <w:color w:val="000000"/>
        </w:rPr>
        <w:t xml:space="preserve">, Cammà C, Enea M, Rössle M, Wong F. Transjugular intrahepatic portosystemic shunt for refractory ascites: a meta-analysis of individual patient data.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825-834 [PMID: 17678653 DOI: 10.1053/j.gastro.2007.06.020]</w:t>
      </w:r>
    </w:p>
    <w:p w14:paraId="18C566D8" w14:textId="77777777" w:rsidR="00A77B3E" w:rsidRDefault="00D8132F">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Narahara Y</w:t>
      </w:r>
      <w:r>
        <w:rPr>
          <w:rFonts w:ascii="Book Antiqua" w:eastAsia="Book Antiqua" w:hAnsi="Book Antiqua" w:cs="Book Antiqua"/>
          <w:color w:val="000000"/>
        </w:rPr>
        <w:t xml:space="preserve">, Kanazawa H, Fukuda T, Matsushita Y, Harimoto H, Kidokoro H, Katakura T, Atsukawa M, Taki Y, Kimura Y, Nakatsuka K, Sakamoto C. Transjugular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plus albumin in patients with refractory ascites who have good hepatic and renal function: a prospective randomized trial.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78-85 [PMID: 20632194 DOI: 10.1007/s00535-010-0282-9]</w:t>
      </w:r>
    </w:p>
    <w:p w14:paraId="68071F91" w14:textId="77777777" w:rsidR="00A77B3E" w:rsidRDefault="00D8132F">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Bai M</w:t>
      </w:r>
      <w:r>
        <w:rPr>
          <w:rFonts w:ascii="Book Antiqua" w:eastAsia="Book Antiqua" w:hAnsi="Book Antiqua" w:cs="Book Antiqua"/>
          <w:color w:val="000000"/>
        </w:rPr>
        <w:t xml:space="preserve">, Qi XS, Yang ZP, Yang M, Fan DM, Han GH. </w:t>
      </w:r>
      <w:proofErr w:type="gramStart"/>
      <w:r>
        <w:rPr>
          <w:rFonts w:ascii="Book Antiqua" w:eastAsia="Book Antiqua" w:hAnsi="Book Antiqua" w:cs="Book Antiqua"/>
          <w:color w:val="000000"/>
        </w:rPr>
        <w:t>TIPS improves</w:t>
      </w:r>
      <w:proofErr w:type="gramEnd"/>
      <w:r>
        <w:rPr>
          <w:rFonts w:ascii="Book Antiqua" w:eastAsia="Book Antiqua" w:hAnsi="Book Antiqua" w:cs="Book Antiqua"/>
          <w:color w:val="000000"/>
        </w:rPr>
        <w:t xml:space="preserve"> liver transplantation-free survival in cirrhotic patients with refractory ascites: an updated </w:t>
      </w:r>
      <w:r>
        <w:rPr>
          <w:rFonts w:ascii="Book Antiqua" w:eastAsia="Book Antiqua" w:hAnsi="Book Antiqua" w:cs="Book Antiqua"/>
          <w:color w:val="000000"/>
        </w:rPr>
        <w:lastRenderedPageBreak/>
        <w:t xml:space="preserve">meta-analysis.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2704-2714 [PMID: 24627607 DOI: 10.3748/wjg.v20.i10.2704]</w:t>
      </w:r>
    </w:p>
    <w:p w14:paraId="7452F93B" w14:textId="77777777" w:rsidR="00A77B3E" w:rsidRDefault="00D8132F">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Maleux G</w:t>
      </w:r>
      <w:r>
        <w:rPr>
          <w:rFonts w:ascii="Book Antiqua" w:eastAsia="Book Antiqua" w:hAnsi="Book Antiqua" w:cs="Book Antiqua"/>
          <w:color w:val="000000"/>
        </w:rPr>
        <w:t xml:space="preserve">, Perez-Gutierrez NA, Evrard S, Mroue A, Le Moine O, Laleman W, Nevens F. Covered stents are better than uncovered stents for transjugular intrahepatic portosystemic shunts in cirrhotic patients with refractory ascites: a retrospective cohort study. </w:t>
      </w:r>
      <w:r>
        <w:rPr>
          <w:rFonts w:ascii="Book Antiqua" w:eastAsia="Book Antiqua" w:hAnsi="Book Antiqua" w:cs="Book Antiqua"/>
          <w:i/>
          <w:iCs/>
          <w:color w:val="000000"/>
        </w:rPr>
        <w:t>Acta Gastroenterol Belg</w:t>
      </w:r>
      <w:r>
        <w:rPr>
          <w:rFonts w:ascii="Book Antiqua" w:eastAsia="Book Antiqua" w:hAnsi="Book Antiqua" w:cs="Book Antiqua"/>
          <w:color w:val="000000"/>
        </w:rPr>
        <w:t xml:space="preserve"> 2010; </w:t>
      </w:r>
      <w:r>
        <w:rPr>
          <w:rFonts w:ascii="Book Antiqua" w:eastAsia="Book Antiqua" w:hAnsi="Book Antiqua" w:cs="Book Antiqua"/>
          <w:b/>
          <w:bCs/>
          <w:color w:val="000000"/>
        </w:rPr>
        <w:t>73</w:t>
      </w:r>
      <w:r>
        <w:rPr>
          <w:rFonts w:ascii="Book Antiqua" w:eastAsia="Book Antiqua" w:hAnsi="Book Antiqua" w:cs="Book Antiqua"/>
          <w:color w:val="000000"/>
        </w:rPr>
        <w:t>: 336-341 [PMID: 21086935]</w:t>
      </w:r>
    </w:p>
    <w:p w14:paraId="2E303A6E" w14:textId="77777777" w:rsidR="00A77B3E" w:rsidRDefault="00D8132F">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Tan HK</w:t>
      </w:r>
      <w:r>
        <w:rPr>
          <w:rFonts w:ascii="Book Antiqua" w:eastAsia="Book Antiqua" w:hAnsi="Book Antiqua" w:cs="Book Antiqua"/>
          <w:color w:val="000000"/>
        </w:rPr>
        <w:t xml:space="preserve">, James PD, Sniderman KW, Wong F. Long-term clinical outcome of patients with cirrhosis and refractory ascites treated with transjugular intrahepatic portosystemic shunt insertion.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389-395 [PMID: 25168607 DOI: 10.1111/jgh.12725]</w:t>
      </w:r>
    </w:p>
    <w:p w14:paraId="0B3E5A51" w14:textId="77777777" w:rsidR="00A77B3E" w:rsidRDefault="00D8132F">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Bureau C</w:t>
      </w:r>
      <w:r>
        <w:rPr>
          <w:rFonts w:ascii="Book Antiqua" w:eastAsia="Book Antiqua" w:hAnsi="Book Antiqua" w:cs="Book Antiqua"/>
          <w:color w:val="000000"/>
        </w:rPr>
        <w:t xml:space="preserve">, Thabut D, Oberti F, Dharancy S, Carbonell N, Bouvier A, Mathurin P, Otal P, Cabarrou P, Péron JM, Vinel JP. Transjugular Intrahepatic Portosystemic Shunts With Covered Stents Increase Transplant-Free Survival of Patients With Cirrhosis and Recurrent Ascites.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157-163 [PMID: 27663604 DOI: 10.1053/j.gastro.2016.09.016]</w:t>
      </w:r>
    </w:p>
    <w:p w14:paraId="721B8C6C" w14:textId="71DF27BE" w:rsidR="00A77B3E" w:rsidRDefault="00D8132F">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Bucsics T</w:t>
      </w:r>
      <w:r>
        <w:rPr>
          <w:rFonts w:ascii="Book Antiqua" w:eastAsia="Book Antiqua" w:hAnsi="Book Antiqua" w:cs="Book Antiqua"/>
          <w:color w:val="000000"/>
        </w:rPr>
        <w:t xml:space="preserve">, Hoffman S, Grünberger J, Schoder M, Matzek W, Stadlmann A, Mandorfer M, Schwabl P, Ferlitsch A, Peck-Radosavljevic M, Trauner M, Karner J, Karnel F, Reiberger T. ePTFE-TIPS </w:t>
      </w:r>
      <w:r>
        <w:rPr>
          <w:rFonts w:ascii="Book Antiqua" w:eastAsia="Book Antiqua" w:hAnsi="Book Antiqua" w:cs="Book Antiqua"/>
          <w:i/>
          <w:iCs/>
          <w:color w:val="000000"/>
        </w:rPr>
        <w:t>vs</w:t>
      </w:r>
      <w:r>
        <w:rPr>
          <w:rFonts w:ascii="Book Antiqua" w:eastAsia="Book Antiqua" w:hAnsi="Book Antiqua" w:cs="Book Antiqua"/>
          <w:color w:val="000000"/>
        </w:rPr>
        <w:t xml:space="preserve"> repetitive LVP plus albumin for the treatment of refractory ascites in patients with cirrhosis.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xml:space="preserve">: 1036-1044 [PMID: 29091351 DOI: </w:t>
      </w:r>
      <w:r w:rsidR="00CB3FFA" w:rsidRPr="00CB3FFA">
        <w:rPr>
          <w:rFonts w:ascii="Book Antiqua" w:eastAsia="Book Antiqua" w:hAnsi="Book Antiqua" w:cs="Book Antiqua"/>
          <w:color w:val="000000"/>
        </w:rPr>
        <w:t>10.1111/liv.13615</w:t>
      </w:r>
      <w:r>
        <w:rPr>
          <w:rFonts w:ascii="Book Antiqua" w:eastAsia="Book Antiqua" w:hAnsi="Book Antiqua" w:cs="Book Antiqua"/>
          <w:color w:val="000000"/>
        </w:rPr>
        <w:t>]</w:t>
      </w:r>
    </w:p>
    <w:p w14:paraId="25E6F183" w14:textId="77777777" w:rsidR="00A77B3E" w:rsidRDefault="00D8132F">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Riggio O</w:t>
      </w:r>
      <w:r>
        <w:rPr>
          <w:rFonts w:ascii="Book Antiqua" w:eastAsia="Book Antiqua" w:hAnsi="Book Antiqua" w:cs="Book Antiqua"/>
          <w:color w:val="000000"/>
        </w:rPr>
        <w:t xml:space="preserve">, Ridola L, Angeloni S, Cerini F, Pasquale C, Attili AF, Fanelli F, Merli M, Salvatori FM. Clinical efficacy of transjugular intrahepatic portosystemic shunt created with covered stents with different diameters: results of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267-272 [PMID: 20537753 DOI: 10.1016/j.jhep.2010.02.033]</w:t>
      </w:r>
    </w:p>
    <w:p w14:paraId="27CC062F" w14:textId="77777777" w:rsidR="00A77B3E" w:rsidRDefault="00D8132F">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Miraglia R</w:t>
      </w:r>
      <w:r>
        <w:rPr>
          <w:rFonts w:ascii="Book Antiqua" w:eastAsia="Book Antiqua" w:hAnsi="Book Antiqua" w:cs="Book Antiqua"/>
          <w:color w:val="000000"/>
        </w:rPr>
        <w:t xml:space="preserve">, Maruzzelli L, Tuzzolino F, Petridis I, D'Amico M, Luca A. Transjugular Intrahepatic Portosystemic Shunts in Patients with Cirrhosis with Refractory Ascites: Comparison of Clinical Outcomes by Using 8- and 10-mm PTFE-covered Stents.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284</w:t>
      </w:r>
      <w:r>
        <w:rPr>
          <w:rFonts w:ascii="Book Antiqua" w:eastAsia="Book Antiqua" w:hAnsi="Book Antiqua" w:cs="Book Antiqua"/>
          <w:color w:val="000000"/>
        </w:rPr>
        <w:t>: 281-288 [PMID: 28121521 DOI: 10.1148/radiol.2017161644]</w:t>
      </w:r>
    </w:p>
    <w:p w14:paraId="5915F983" w14:textId="77777777" w:rsidR="00A77B3E" w:rsidRDefault="00D8132F">
      <w:pPr>
        <w:spacing w:line="360" w:lineRule="auto"/>
        <w:jc w:val="both"/>
      </w:pPr>
      <w:r>
        <w:rPr>
          <w:rFonts w:ascii="Book Antiqua" w:eastAsia="Book Antiqua" w:hAnsi="Book Antiqua" w:cs="Book Antiqua"/>
          <w:color w:val="000000"/>
        </w:rPr>
        <w:lastRenderedPageBreak/>
        <w:t xml:space="preserve">96 </w:t>
      </w:r>
      <w:r>
        <w:rPr>
          <w:rFonts w:ascii="Book Antiqua" w:eastAsia="Book Antiqua" w:hAnsi="Book Antiqua" w:cs="Book Antiqua"/>
          <w:b/>
          <w:bCs/>
          <w:color w:val="000000"/>
        </w:rPr>
        <w:t>Salerno F</w:t>
      </w:r>
      <w:r>
        <w:rPr>
          <w:rFonts w:ascii="Book Antiqua" w:eastAsia="Book Antiqua" w:hAnsi="Book Antiqua" w:cs="Book Antiqua"/>
          <w:color w:val="000000"/>
        </w:rPr>
        <w:t xml:space="preserve">, Merli M, Cazzaniga M, Valeriano V, Rossi P, Lovaria A, Meregaglia D, Nicolini A, Lubatti L, Riggio O. MELD score is better than Child-Pugh score in predicting 3-month survival of patients undergoing transjugular intrahepatic portosystemic shunt.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36</w:t>
      </w:r>
      <w:r>
        <w:rPr>
          <w:rFonts w:ascii="Book Antiqua" w:eastAsia="Book Antiqua" w:hAnsi="Book Antiqua" w:cs="Book Antiqua"/>
          <w:color w:val="000000"/>
        </w:rPr>
        <w:t>: 494-500 [PMID: 11943420 DOI: 10.1016/s0168-8278(01)00309-9]</w:t>
      </w:r>
    </w:p>
    <w:p w14:paraId="3B11F886" w14:textId="77777777" w:rsidR="00A77B3E" w:rsidRDefault="00D8132F">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Schepke M</w:t>
      </w:r>
      <w:r>
        <w:rPr>
          <w:rFonts w:ascii="Book Antiqua" w:eastAsia="Book Antiqua" w:hAnsi="Book Antiqua" w:cs="Book Antiqua"/>
          <w:color w:val="000000"/>
        </w:rPr>
        <w:t xml:space="preserve">, Roth F, Fimmers R, Brensing KA, Sudhop T, Schild HH, Sauerbruch T. Comparison of MELD, Child-Pugh, and Emory model for the prediction of survival in patients undergoing transjugular intrahepatic portosystemic shunting.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1167-1174 [PMID: 12809844 DOI: 10.1111/j.1572-0241.2003.07515.x]</w:t>
      </w:r>
    </w:p>
    <w:p w14:paraId="3B77EFAB" w14:textId="77777777" w:rsidR="00A77B3E" w:rsidRDefault="00D8132F">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Spengler EK</w:t>
      </w:r>
      <w:r>
        <w:rPr>
          <w:rFonts w:ascii="Book Antiqua" w:eastAsia="Book Antiqua" w:hAnsi="Book Antiqua" w:cs="Book Antiqua"/>
          <w:color w:val="000000"/>
        </w:rPr>
        <w:t xml:space="preserve">, Hunsicker LG, Zarei S, Zimmerman MB, Voigt MD. Transjugular intrahepatic portosystemic shunt does not independently increase risk of death in high model for end stage liver disease patients. </w:t>
      </w:r>
      <w:r>
        <w:rPr>
          <w:rFonts w:ascii="Book Antiqua" w:eastAsia="Book Antiqua" w:hAnsi="Book Antiqua" w:cs="Book Antiqua"/>
          <w:i/>
          <w:iCs/>
          <w:color w:val="000000"/>
        </w:rPr>
        <w:t>Hepatol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1</w:t>
      </w:r>
      <w:r>
        <w:rPr>
          <w:rFonts w:ascii="Book Antiqua" w:eastAsia="Book Antiqua" w:hAnsi="Book Antiqua" w:cs="Book Antiqua"/>
          <w:color w:val="000000"/>
        </w:rPr>
        <w:t>: 460-468 [PMID: 29404473 DOI: 10.1002/hep4.1053]</w:t>
      </w:r>
    </w:p>
    <w:p w14:paraId="03323570" w14:textId="77777777" w:rsidR="00A77B3E" w:rsidRDefault="00D8132F">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Ronald J</w:t>
      </w:r>
      <w:r>
        <w:rPr>
          <w:rFonts w:ascii="Book Antiqua" w:eastAsia="Book Antiqua" w:hAnsi="Book Antiqua" w:cs="Book Antiqua"/>
          <w:color w:val="000000"/>
        </w:rPr>
        <w:t xml:space="preserve">, Rao R, Choi SS, Kappus M, Martin JG, Sag AA, Pabon-Ramos WM, Suhocki PV, Smith TP, Kim CY. No Increased Mortality After TIPS Compared with Serial Large Volume Paracenteses in Patients with Higher Model for End-Stage Liver Disease Score and Refractory Ascites.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720-728 [PMID: 30603968 DOI: 10.1007/s00270-018-02155-9]</w:t>
      </w:r>
    </w:p>
    <w:p w14:paraId="3838B3A6" w14:textId="77777777" w:rsidR="00A77B3E" w:rsidRDefault="00D8132F">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Montgomery A</w:t>
      </w:r>
      <w:r>
        <w:rPr>
          <w:rFonts w:ascii="Book Antiqua" w:eastAsia="Book Antiqua" w:hAnsi="Book Antiqua" w:cs="Book Antiqua"/>
          <w:color w:val="000000"/>
        </w:rPr>
        <w:t xml:space="preserve">, Ferral H, Vasan R, Postoak DW. MELD score as a predictor of early death in patients undergoing elective transjugular intrahepatic portosystemic shunt (TIPS) procedures.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307-312 [PMID: 15886944 DOI: 10.1007/s00270-004-0145-y]</w:t>
      </w:r>
    </w:p>
    <w:p w14:paraId="7250B65B" w14:textId="77777777" w:rsidR="00A77B3E" w:rsidRDefault="00D8132F">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Couture PM, Bui JT, Knuttinen MG, Walzer NM, Kallwitz ER, Berkes JL, Cotler SJ. Prognostic capability of different liver disease scoring systems for prediction of early mortality after transjugular intrahepatic portosystemic shunt creation.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411-420, 420.e1-4; quiz 421 [PMID: 23312989 DOI: 10.1016/j.jvir.2012.10.026]</w:t>
      </w:r>
    </w:p>
    <w:p w14:paraId="1D70A3BE" w14:textId="77777777" w:rsidR="00A77B3E" w:rsidRDefault="00D8132F">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Bureau C</w:t>
      </w:r>
      <w:r>
        <w:rPr>
          <w:rFonts w:ascii="Book Antiqua" w:eastAsia="Book Antiqua" w:hAnsi="Book Antiqua" w:cs="Book Antiqua"/>
          <w:color w:val="000000"/>
        </w:rPr>
        <w:t xml:space="preserve">, Métivier S, D'Amico M, Péron JM, Otal P, Pagan JC, Chabbert V, Chagneau-Derrode C, Procopet B, Rousseau H, Bosch J, Vinel JP. Serum bilirubin and </w:t>
      </w:r>
      <w:r>
        <w:rPr>
          <w:rFonts w:ascii="Book Antiqua" w:eastAsia="Book Antiqua" w:hAnsi="Book Antiqua" w:cs="Book Antiqua"/>
          <w:color w:val="000000"/>
        </w:rPr>
        <w:lastRenderedPageBreak/>
        <w:t xml:space="preserve">platelet count: a simple predictive model for survival in patients with refractory ascites treated by TIPS.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901-907 [PMID: 21145798 DOI: 10.1016/j.jhep.2010.08.025]</w:t>
      </w:r>
    </w:p>
    <w:p w14:paraId="05466C0B" w14:textId="77777777" w:rsidR="00A77B3E" w:rsidRDefault="00D8132F">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Piecha F</w:t>
      </w:r>
      <w:r>
        <w:rPr>
          <w:rFonts w:ascii="Book Antiqua" w:eastAsia="Book Antiqua" w:hAnsi="Book Antiqua" w:cs="Book Antiqua"/>
          <w:color w:val="000000"/>
        </w:rPr>
        <w:t xml:space="preserve">, Radunski UK, Ozga AK, Steins D, Drolz A, Horvatits T, Spink C, Ittrich H, Benten D, Lohse AW, Sinning C, Kluwe J. Ascites control by TIPS is more successful in patients with a lower paracentesis frequency and is associated with improved survival. </w:t>
      </w:r>
      <w:r>
        <w:rPr>
          <w:rFonts w:ascii="Book Antiqua" w:eastAsia="Book Antiqua" w:hAnsi="Book Antiqua" w:cs="Book Antiqua"/>
          <w:i/>
          <w:iCs/>
          <w:color w:val="000000"/>
        </w:rPr>
        <w:t>JHEP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w:t>
      </w:r>
      <w:r>
        <w:rPr>
          <w:rFonts w:ascii="Book Antiqua" w:eastAsia="Book Antiqua" w:hAnsi="Book Antiqua" w:cs="Book Antiqua"/>
          <w:color w:val="000000"/>
        </w:rPr>
        <w:t>: 90-98 [PMID: 32039356 DOI: 10.1016/j.jhepr.2019.04.001]</w:t>
      </w:r>
    </w:p>
    <w:p w14:paraId="79ABA86D" w14:textId="77777777" w:rsidR="00A77B3E" w:rsidRDefault="00D8132F">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Tonon M</w:t>
      </w:r>
      <w:r>
        <w:rPr>
          <w:rFonts w:ascii="Book Antiqua" w:eastAsia="Book Antiqua" w:hAnsi="Book Antiqua" w:cs="Book Antiqua"/>
          <w:color w:val="000000"/>
        </w:rPr>
        <w:t xml:space="preserve">, Piano S, Gambino CG, Romano A, Pilutti C, Incicco S, Brocca A, Sticca A, Bolognesi M, Angeli P. Outcomes and Mortality of Grade 1 Ascites and Recurrent Ascites in Patients With Cirrhosis.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32272250 DOI: 10.1016/j.cgh.2020.03.065]</w:t>
      </w:r>
    </w:p>
    <w:p w14:paraId="496953E9" w14:textId="77777777" w:rsidR="00A77B3E" w:rsidRDefault="00D8132F">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Cardenas A</w:t>
      </w:r>
      <w:r>
        <w:rPr>
          <w:rFonts w:ascii="Book Antiqua" w:eastAsia="Book Antiqua" w:hAnsi="Book Antiqua" w:cs="Book Antiqua"/>
          <w:color w:val="000000"/>
        </w:rPr>
        <w:t xml:space="preserve">, Kelleher T, Chopra S. Review article: hepatic hydrothorax.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2004; </w:t>
      </w:r>
      <w:r>
        <w:rPr>
          <w:rFonts w:ascii="Book Antiqua" w:eastAsia="Book Antiqua" w:hAnsi="Book Antiqua" w:cs="Book Antiqua"/>
          <w:b/>
          <w:bCs/>
          <w:color w:val="000000"/>
        </w:rPr>
        <w:t>20</w:t>
      </w:r>
      <w:r>
        <w:rPr>
          <w:rFonts w:ascii="Book Antiqua" w:eastAsia="Book Antiqua" w:hAnsi="Book Antiqua" w:cs="Book Antiqua"/>
          <w:color w:val="000000"/>
        </w:rPr>
        <w:t>: 271-279 [PMID: 15274663 DOI: 10.1111/j.1365-2036.2004.02081.x]</w:t>
      </w:r>
    </w:p>
    <w:p w14:paraId="68C4E44A" w14:textId="1A980EC4" w:rsidR="00A77B3E" w:rsidRDefault="00D8132F">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Xiol X</w:t>
      </w:r>
      <w:r>
        <w:rPr>
          <w:rFonts w:ascii="Book Antiqua" w:eastAsia="Book Antiqua" w:hAnsi="Book Antiqua" w:cs="Book Antiqua"/>
          <w:color w:val="000000"/>
        </w:rPr>
        <w:t xml:space="preserve">, Guardiola J. Hepatic hydrothorax. </w:t>
      </w:r>
      <w:r>
        <w:rPr>
          <w:rFonts w:ascii="Book Antiqua" w:eastAsia="Book Antiqua" w:hAnsi="Book Antiqua" w:cs="Book Antiqua"/>
          <w:i/>
          <w:iCs/>
          <w:color w:val="000000"/>
        </w:rPr>
        <w:t>Curr Opin Pulm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4</w:t>
      </w:r>
      <w:r>
        <w:rPr>
          <w:rFonts w:ascii="Book Antiqua" w:eastAsia="Book Antiqua" w:hAnsi="Book Antiqua" w:cs="Book Antiqua"/>
          <w:color w:val="000000"/>
        </w:rPr>
        <w:t>: 239-242 [PMID: 10813241</w:t>
      </w:r>
      <w:r w:rsidR="00CB3FFA">
        <w:rPr>
          <w:rFonts w:ascii="Book Antiqua" w:eastAsia="Book Antiqua" w:hAnsi="Book Antiqua" w:cs="Book Antiqua"/>
          <w:color w:val="000000"/>
        </w:rPr>
        <w:t xml:space="preserve"> DOI: </w:t>
      </w:r>
      <w:r w:rsidR="00CB3FFA" w:rsidRPr="00CB3FFA">
        <w:rPr>
          <w:rFonts w:ascii="Book Antiqua" w:eastAsia="Book Antiqua" w:hAnsi="Book Antiqua" w:cs="Book Antiqua"/>
          <w:color w:val="000000"/>
        </w:rPr>
        <w:t>10.1097/00063198-199807000-00011</w:t>
      </w:r>
      <w:r>
        <w:rPr>
          <w:rFonts w:ascii="Book Antiqua" w:eastAsia="Book Antiqua" w:hAnsi="Book Antiqua" w:cs="Book Antiqua"/>
          <w:color w:val="000000"/>
        </w:rPr>
        <w:t>]</w:t>
      </w:r>
    </w:p>
    <w:p w14:paraId="6476D222" w14:textId="77777777" w:rsidR="00A77B3E" w:rsidRDefault="00D8132F">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Surani SR</w:t>
      </w:r>
      <w:r>
        <w:rPr>
          <w:rFonts w:ascii="Book Antiqua" w:eastAsia="Book Antiqua" w:hAnsi="Book Antiqua" w:cs="Book Antiqua"/>
          <w:color w:val="000000"/>
        </w:rPr>
        <w:t xml:space="preserve">, Mendez Y, Anjum H, Varon J. Pulmonary complications of hepatic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6008-6015 [PMID: 27468192 DOI: 10.3748/wjg.v22.i26.6008]</w:t>
      </w:r>
    </w:p>
    <w:p w14:paraId="3D6847BB" w14:textId="77777777" w:rsidR="00A77B3E" w:rsidRDefault="00D8132F">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Rössle M</w:t>
      </w:r>
      <w:r>
        <w:rPr>
          <w:rFonts w:ascii="Book Antiqua" w:eastAsia="Book Antiqua" w:hAnsi="Book Antiqua" w:cs="Book Antiqua"/>
          <w:color w:val="000000"/>
        </w:rPr>
        <w:t xml:space="preserve">, Gerbes AL. TIPS for the treatment of refractory ascites, hepatorenal syndrome and hepatic hydrothorax: a critical update.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988-1000 [PMID: 20581246 DOI: 10.1136/gut.2009.193227]</w:t>
      </w:r>
    </w:p>
    <w:p w14:paraId="6494A18E" w14:textId="77777777" w:rsidR="00A77B3E" w:rsidRDefault="00D8132F">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Dhanasekaran R</w:t>
      </w:r>
      <w:r>
        <w:rPr>
          <w:rFonts w:ascii="Book Antiqua" w:eastAsia="Book Antiqua" w:hAnsi="Book Antiqua" w:cs="Book Antiqua"/>
          <w:color w:val="000000"/>
        </w:rPr>
        <w:t xml:space="preserve">, West JK, Gonzales PC, Subramanian R, Parekh S, Spivey JR, Martin LG, Kim HS. Transjugular intrahepatic portosystemic shunt for symptomatic refractory hepatic hydrothorax in patients with cirrhosis.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635-641 [PMID: 19904245 DOI: 10.1038/ajg.2009.634]</w:t>
      </w:r>
    </w:p>
    <w:p w14:paraId="3506AF82" w14:textId="77777777" w:rsidR="00A77B3E" w:rsidRDefault="00D8132F">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Ditah IC</w:t>
      </w:r>
      <w:r>
        <w:rPr>
          <w:rFonts w:ascii="Book Antiqua" w:eastAsia="Book Antiqua" w:hAnsi="Book Antiqua" w:cs="Book Antiqua"/>
          <w:color w:val="000000"/>
        </w:rPr>
        <w:t xml:space="preserve">, Al Bawardy BF, Saberi B, Ditah C, Kamath PS. Transjugular intrahepatic portosystemic stent shunt for medically refractory hepatic hydrothorax: A systematic review and cumulative meta-analysis.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1797-1806 [PMID: 26167253 DOI: 10.4254/wjh.v7.i13.1797]</w:t>
      </w:r>
    </w:p>
    <w:p w14:paraId="5C87EFC8" w14:textId="766B58F7" w:rsidR="00A77B3E" w:rsidRDefault="00D8132F">
      <w:pPr>
        <w:spacing w:line="360" w:lineRule="auto"/>
        <w:jc w:val="both"/>
      </w:pPr>
      <w:r>
        <w:rPr>
          <w:rFonts w:ascii="Book Antiqua" w:eastAsia="Book Antiqua" w:hAnsi="Book Antiqua" w:cs="Book Antiqua"/>
          <w:color w:val="000000"/>
        </w:rPr>
        <w:lastRenderedPageBreak/>
        <w:t xml:space="preserve">111 </w:t>
      </w:r>
      <w:r>
        <w:rPr>
          <w:rFonts w:ascii="Book Antiqua" w:eastAsia="Book Antiqua" w:hAnsi="Book Antiqua" w:cs="Book Antiqua"/>
          <w:b/>
          <w:bCs/>
          <w:color w:val="000000"/>
        </w:rPr>
        <w:t>Jindal A</w:t>
      </w:r>
      <w:r>
        <w:rPr>
          <w:rFonts w:ascii="Book Antiqua" w:eastAsia="Book Antiqua" w:hAnsi="Book Antiqua" w:cs="Book Antiqua"/>
          <w:color w:val="000000"/>
        </w:rPr>
        <w:t xml:space="preserve">, Mukund A, Kumar G, Sarin SK. Efficacy and safety of transjugular intrahepatic portosystemic shunt in difficult-to-manage hydrothorax in cirrhosis.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xml:space="preserve">: 2164-2173 [PMID: 31356712 DOI: </w:t>
      </w:r>
      <w:r w:rsidR="00CB3FFA" w:rsidRPr="00CB3FFA">
        <w:rPr>
          <w:rFonts w:ascii="Book Antiqua" w:eastAsia="Book Antiqua" w:hAnsi="Book Antiqua" w:cs="Book Antiqua"/>
          <w:color w:val="000000"/>
        </w:rPr>
        <w:t>10.1111/liv.14200</w:t>
      </w:r>
      <w:r>
        <w:rPr>
          <w:rFonts w:ascii="Book Antiqua" w:eastAsia="Book Antiqua" w:hAnsi="Book Antiqua" w:cs="Book Antiqua"/>
          <w:color w:val="000000"/>
        </w:rPr>
        <w:t>]</w:t>
      </w:r>
    </w:p>
    <w:p w14:paraId="6606B886" w14:textId="77777777" w:rsidR="00A77B3E" w:rsidRDefault="00D8132F">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Rector WG Jr</w:t>
      </w:r>
      <w:r>
        <w:rPr>
          <w:rFonts w:ascii="Book Antiqua" w:eastAsia="Book Antiqua" w:hAnsi="Book Antiqua" w:cs="Book Antiqua"/>
          <w:color w:val="000000"/>
        </w:rPr>
        <w:t xml:space="preserve">. Spontaneous chylous ascites of cirrhosis.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1984; </w:t>
      </w:r>
      <w:r>
        <w:rPr>
          <w:rFonts w:ascii="Book Antiqua" w:eastAsia="Book Antiqua" w:hAnsi="Book Antiqua" w:cs="Book Antiqua"/>
          <w:b/>
          <w:bCs/>
          <w:color w:val="000000"/>
        </w:rPr>
        <w:t>6</w:t>
      </w:r>
      <w:r>
        <w:rPr>
          <w:rFonts w:ascii="Book Antiqua" w:eastAsia="Book Antiqua" w:hAnsi="Book Antiqua" w:cs="Book Antiqua"/>
          <w:color w:val="000000"/>
        </w:rPr>
        <w:t>: 369-372 [PMID: 6481122]</w:t>
      </w:r>
    </w:p>
    <w:p w14:paraId="2AE1E9F6" w14:textId="77777777" w:rsidR="00A77B3E" w:rsidRDefault="00D8132F">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Cárdenas A</w:t>
      </w:r>
      <w:r>
        <w:rPr>
          <w:rFonts w:ascii="Book Antiqua" w:eastAsia="Book Antiqua" w:hAnsi="Book Antiqua" w:cs="Book Antiqua"/>
          <w:color w:val="000000"/>
        </w:rPr>
        <w:t xml:space="preserve">, Chopra S. Chylous ascites.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1896-1900 [PMID: 12190151 DOI: 10.1111/j.1572-0241.2002.05911.x]</w:t>
      </w:r>
    </w:p>
    <w:p w14:paraId="37D950D1" w14:textId="77777777" w:rsidR="00A77B3E" w:rsidRDefault="00D8132F">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Romero S</w:t>
      </w:r>
      <w:r>
        <w:rPr>
          <w:rFonts w:ascii="Book Antiqua" w:eastAsia="Book Antiqua" w:hAnsi="Book Antiqua" w:cs="Book Antiqua"/>
          <w:color w:val="000000"/>
        </w:rPr>
        <w:t xml:space="preserve">, Martín C, Hernandez L, Verdu J, Trigo C, Perez-Mateo M, Alemany L. Chylothorax in cirrhosis of the liver: analysis of its frequency and clinical characteristics.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154-159 [PMID: 9674463 DOI: 10.1378/chest.114.1.154]</w:t>
      </w:r>
    </w:p>
    <w:p w14:paraId="26FE4296" w14:textId="506BD60D" w:rsidR="00A77B3E" w:rsidRDefault="00D8132F">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Maldonado F</w:t>
      </w:r>
      <w:r>
        <w:rPr>
          <w:rFonts w:ascii="Book Antiqua" w:eastAsia="Book Antiqua" w:hAnsi="Book Antiqua" w:cs="Book Antiqua"/>
          <w:color w:val="000000"/>
        </w:rPr>
        <w:t xml:space="preserve">, Hawkins FJ, Daniels CE, Doerr CH, Decker PA, Ryu JH. Pleural fluid characteristics of chylothorax.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2009; </w:t>
      </w:r>
      <w:r>
        <w:rPr>
          <w:rFonts w:ascii="Book Antiqua" w:eastAsia="Book Antiqua" w:hAnsi="Book Antiqua" w:cs="Book Antiqua"/>
          <w:b/>
          <w:bCs/>
          <w:color w:val="000000"/>
        </w:rPr>
        <w:t>84</w:t>
      </w:r>
      <w:r>
        <w:rPr>
          <w:rFonts w:ascii="Book Antiqua" w:eastAsia="Book Antiqua" w:hAnsi="Book Antiqua" w:cs="Book Antiqua"/>
          <w:color w:val="000000"/>
        </w:rPr>
        <w:t xml:space="preserve">: 129-133 [PMID: 19181646 DOI: </w:t>
      </w:r>
      <w:r w:rsidR="00CB3FFA" w:rsidRPr="00CB3FFA">
        <w:rPr>
          <w:rFonts w:ascii="Book Antiqua" w:eastAsia="Book Antiqua" w:hAnsi="Book Antiqua" w:cs="Book Antiqua"/>
          <w:color w:val="000000"/>
        </w:rPr>
        <w:t>10.1016/S0025-6196(11)60820-3</w:t>
      </w:r>
      <w:r>
        <w:rPr>
          <w:rFonts w:ascii="Book Antiqua" w:eastAsia="Book Antiqua" w:hAnsi="Book Antiqua" w:cs="Book Antiqua"/>
          <w:color w:val="000000"/>
        </w:rPr>
        <w:t>]</w:t>
      </w:r>
    </w:p>
    <w:p w14:paraId="034D341C" w14:textId="77777777" w:rsidR="00A77B3E" w:rsidRDefault="00D8132F">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Staats BA</w:t>
      </w:r>
      <w:r>
        <w:rPr>
          <w:rFonts w:ascii="Book Antiqua" w:eastAsia="Book Antiqua" w:hAnsi="Book Antiqua" w:cs="Book Antiqua"/>
          <w:color w:val="000000"/>
        </w:rPr>
        <w:t xml:space="preserve">, Ellefson RD, Budahn LL, Dines DE, Prakash UB, Offord K. The lipoprotein profile of chylous and nonchylous pleural effusions.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1980; </w:t>
      </w:r>
      <w:r>
        <w:rPr>
          <w:rFonts w:ascii="Book Antiqua" w:eastAsia="Book Antiqua" w:hAnsi="Book Antiqua" w:cs="Book Antiqua"/>
          <w:b/>
          <w:bCs/>
          <w:color w:val="000000"/>
        </w:rPr>
        <w:t>55</w:t>
      </w:r>
      <w:r>
        <w:rPr>
          <w:rFonts w:ascii="Book Antiqua" w:eastAsia="Book Antiqua" w:hAnsi="Book Antiqua" w:cs="Book Antiqua"/>
          <w:color w:val="000000"/>
        </w:rPr>
        <w:t>: 700-704 [PMID: 7442324]</w:t>
      </w:r>
    </w:p>
    <w:p w14:paraId="43D4D1D1" w14:textId="77777777" w:rsidR="00A77B3E" w:rsidRDefault="00D8132F">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Berzigotti A</w:t>
      </w:r>
      <w:r>
        <w:rPr>
          <w:rFonts w:ascii="Book Antiqua" w:eastAsia="Book Antiqua" w:hAnsi="Book Antiqua" w:cs="Book Antiqua"/>
          <w:color w:val="000000"/>
        </w:rPr>
        <w:t xml:space="preserve">, Magalotti D, Cocci C, Angeloni L, Pironi L, Zoli M. Octreotide in the outpatient therapy of cirrhotic chylous ascites: a case report.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138-142 [PMID: 16389001 DOI: 10.1016/j.dld.2005.05.013]</w:t>
      </w:r>
    </w:p>
    <w:p w14:paraId="568208E2" w14:textId="114F8BA3" w:rsidR="00A77B3E" w:rsidRDefault="00D8132F">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Lin RK, Hassanein T. Use of orlistat (xenical) to treat chylous ascites.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xml:space="preserve">: 831-833 [PMID: 16145348 DOI: </w:t>
      </w:r>
      <w:r w:rsidR="00AB14FB" w:rsidRPr="00AB14FB">
        <w:rPr>
          <w:rFonts w:ascii="Book Antiqua" w:eastAsia="Book Antiqua" w:hAnsi="Book Antiqua" w:cs="Book Antiqua"/>
          <w:color w:val="000000"/>
        </w:rPr>
        <w:t>10.1097/01.mcg.0000177232.51888.2e</w:t>
      </w:r>
      <w:r>
        <w:rPr>
          <w:rFonts w:ascii="Book Antiqua" w:eastAsia="Book Antiqua" w:hAnsi="Book Antiqua" w:cs="Book Antiqua"/>
          <w:color w:val="000000"/>
        </w:rPr>
        <w:t>]</w:t>
      </w:r>
    </w:p>
    <w:p w14:paraId="559B9B4B" w14:textId="77777777" w:rsidR="00A77B3E" w:rsidRDefault="00D8132F">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Rosser BG</w:t>
      </w:r>
      <w:r>
        <w:rPr>
          <w:rFonts w:ascii="Book Antiqua" w:eastAsia="Book Antiqua" w:hAnsi="Book Antiqua" w:cs="Book Antiqua"/>
          <w:color w:val="000000"/>
        </w:rPr>
        <w:t xml:space="preserve">, Poterucha JJ, McKusick MA, Kamath PS. Thoracic duct-cutaneous fistula in a patient with cirrhosis of the liver: successful treatment with a transjugular intrahepatic portosystemic shunt.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1996; </w:t>
      </w:r>
      <w:r>
        <w:rPr>
          <w:rFonts w:ascii="Book Antiqua" w:eastAsia="Book Antiqua" w:hAnsi="Book Antiqua" w:cs="Book Antiqua"/>
          <w:b/>
          <w:bCs/>
          <w:color w:val="000000"/>
        </w:rPr>
        <w:t>71</w:t>
      </w:r>
      <w:r>
        <w:rPr>
          <w:rFonts w:ascii="Book Antiqua" w:eastAsia="Book Antiqua" w:hAnsi="Book Antiqua" w:cs="Book Antiqua"/>
          <w:color w:val="000000"/>
        </w:rPr>
        <w:t>: 793-796 [PMID: 8691901 DOI: 10.1016/S0025-6196(11)64845-3]</w:t>
      </w:r>
    </w:p>
    <w:p w14:paraId="4DA17A3E" w14:textId="77777777" w:rsidR="00A77B3E" w:rsidRDefault="00D8132F">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Vignaux O</w:t>
      </w:r>
      <w:r>
        <w:rPr>
          <w:rFonts w:ascii="Book Antiqua" w:eastAsia="Book Antiqua" w:hAnsi="Book Antiqua" w:cs="Book Antiqua"/>
          <w:color w:val="000000"/>
        </w:rPr>
        <w:t xml:space="preserve">, Gouya H, Dousset B, Mazuir E, Buffet C, Calmus Y, Legmann P. Refractory chylothorax in hepatic cirrhosis: successful treatment by transjugular </w:t>
      </w:r>
      <w:r>
        <w:rPr>
          <w:rFonts w:ascii="Book Antiqua" w:eastAsia="Book Antiqua" w:hAnsi="Book Antiqua" w:cs="Book Antiqua"/>
          <w:color w:val="000000"/>
        </w:rPr>
        <w:lastRenderedPageBreak/>
        <w:t xml:space="preserve">intrahepatic portosystemic shunt. </w:t>
      </w:r>
      <w:r>
        <w:rPr>
          <w:rFonts w:ascii="Book Antiqua" w:eastAsia="Book Antiqua" w:hAnsi="Book Antiqua" w:cs="Book Antiqua"/>
          <w:i/>
          <w:iCs/>
          <w:color w:val="000000"/>
        </w:rPr>
        <w:t>J Thorac Imaging</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233-236 [PMID: 12082377 DOI: 10.1097/00005382-200207000-00010]</w:t>
      </w:r>
    </w:p>
    <w:p w14:paraId="46DB68E0" w14:textId="77777777" w:rsidR="00A77B3E" w:rsidRDefault="00D8132F">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Kinney TB</w:t>
      </w:r>
      <w:r>
        <w:rPr>
          <w:rFonts w:ascii="Book Antiqua" w:eastAsia="Book Antiqua" w:hAnsi="Book Antiqua" w:cs="Book Antiqua"/>
          <w:color w:val="000000"/>
        </w:rPr>
        <w:t xml:space="preserve">, Ferrara SL, Miller FJ, Roberts AC, Hassanein T. Transjugular intrahepatic portosystemic shunt creation as treatment for refractory chylous ascites and chylothorax in a patient with cirrhosis.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85-89 [PMID: 14709693 DOI: 10.1097/01.rvi.0000106391.63463.4c]</w:t>
      </w:r>
    </w:p>
    <w:p w14:paraId="6A5336BC" w14:textId="77777777" w:rsidR="00A77B3E" w:rsidRDefault="00D8132F">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de Vries GJ</w:t>
      </w:r>
      <w:r>
        <w:rPr>
          <w:rFonts w:ascii="Book Antiqua" w:eastAsia="Book Antiqua" w:hAnsi="Book Antiqua" w:cs="Book Antiqua"/>
          <w:color w:val="000000"/>
        </w:rPr>
        <w:t xml:space="preserve">, Ryan BM, de Bièvre M, Driessen A, Stockbrugger RW, Koek GH. Cirrhosis related chylous ascites successfully treated with TIPS.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17</w:t>
      </w:r>
      <w:r>
        <w:rPr>
          <w:rFonts w:ascii="Book Antiqua" w:eastAsia="Book Antiqua" w:hAnsi="Book Antiqua" w:cs="Book Antiqua"/>
          <w:color w:val="000000"/>
        </w:rPr>
        <w:t>: 463-466 [PMID: 15756102 DOI: 10.1097/00042737-200504000-00013]</w:t>
      </w:r>
    </w:p>
    <w:p w14:paraId="1567B094" w14:textId="77777777" w:rsidR="00A77B3E" w:rsidRDefault="00D8132F">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Lutz P</w:t>
      </w:r>
      <w:r>
        <w:rPr>
          <w:rFonts w:ascii="Book Antiqua" w:eastAsia="Book Antiqua" w:hAnsi="Book Antiqua" w:cs="Book Antiqua"/>
          <w:color w:val="000000"/>
        </w:rPr>
        <w:t xml:space="preserve">, Strunk H, Schild HH, Sauerbruch T. Transjugular intrahepatic portosystemic shunt in refractory chylothorax due to liver cirrhosis.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1140-1142 [PMID: 23467463 DOI: 10.3748/wjg.v19.i7.1140]</w:t>
      </w:r>
    </w:p>
    <w:p w14:paraId="45EDCEEB" w14:textId="77777777" w:rsidR="00A77B3E" w:rsidRDefault="00D8132F">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Kikolski SG</w:t>
      </w:r>
      <w:r>
        <w:rPr>
          <w:rFonts w:ascii="Book Antiqua" w:eastAsia="Book Antiqua" w:hAnsi="Book Antiqua" w:cs="Book Antiqua"/>
          <w:color w:val="000000"/>
        </w:rPr>
        <w:t xml:space="preserve">, Aryafar H, Rose SC, Roberts AC, Kinney TB. Transjugular intrahepatic portosystemic shunt for treatment of cirrhosis-related chylothorax and chylous ascites: single-institution retrospective experience.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992-997 [PMID: 23207657 DOI: 10.1007/s00270-012-0530-x]</w:t>
      </w:r>
    </w:p>
    <w:p w14:paraId="4F27ED34" w14:textId="77777777" w:rsidR="00A77B3E" w:rsidRDefault="00D8132F">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Tsauo J</w:t>
      </w:r>
      <w:r>
        <w:rPr>
          <w:rFonts w:ascii="Book Antiqua" w:eastAsia="Book Antiqua" w:hAnsi="Book Antiqua" w:cs="Book Antiqua"/>
          <w:color w:val="000000"/>
        </w:rPr>
        <w:t xml:space="preserve">, Shin JH, Han K, Yoon HK, Ko GY, Ko HK, Gwon DI. Transjugular Intrahepatic Portosystemic Shunt for the Treatment of Chylothorax and Chylous Ascites in Cirrhosis: A Case Report and Systematic Review of the Literature.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112-116 [PMID: 26723922 DOI: 10.1016/j.jvir.2015.09.022]</w:t>
      </w:r>
    </w:p>
    <w:p w14:paraId="49C3C9F1" w14:textId="77777777" w:rsidR="00A77B3E" w:rsidRDefault="00D8132F">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Khaliq MF</w:t>
      </w:r>
      <w:r>
        <w:rPr>
          <w:rFonts w:ascii="Book Antiqua" w:eastAsia="Book Antiqua" w:hAnsi="Book Antiqua" w:cs="Book Antiqua"/>
          <w:color w:val="000000"/>
        </w:rPr>
        <w:t xml:space="preserve">, Noorani MM, Chowdhry M, Mohamed H, Koirala A. Transjugular Intrahepatic Portosystemic Shunt (TIPS) in Refractory Transudative Chylothorax due to Liver Cirrhosis.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2581040 [PMID: 32089702 DOI: 10.1155/2020/2581040]</w:t>
      </w:r>
    </w:p>
    <w:p w14:paraId="77270B86" w14:textId="77777777" w:rsidR="00A77B3E" w:rsidRDefault="00D8132F">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Zocco MA</w:t>
      </w:r>
      <w:r>
        <w:rPr>
          <w:rFonts w:ascii="Book Antiqua" w:eastAsia="Book Antiqua" w:hAnsi="Book Antiqua" w:cs="Book Antiqua"/>
          <w:color w:val="000000"/>
        </w:rPr>
        <w:t xml:space="preserve">, Di Stasio E, De Cristofaro R, Novi M, Ainora ME, Ponziani F, Riccardi L, Lancellotti S, Santoliquido A, Flore R, Pompili M, Rapaccini GL, Tondi P, Gasbarrini GB, Landolfi R, Gasbarrini A. Thrombotic risk factors in patients with liver cirrhosis: correlation with MELD scoring system and portal vein thrombosis development.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51</w:t>
      </w:r>
      <w:r>
        <w:rPr>
          <w:rFonts w:ascii="Book Antiqua" w:eastAsia="Book Antiqua" w:hAnsi="Book Antiqua" w:cs="Book Antiqua"/>
          <w:color w:val="000000"/>
        </w:rPr>
        <w:t>: 682-689 [PMID: 19464747 DOI: 10.1016/j.jhep.2009.03.013]</w:t>
      </w:r>
    </w:p>
    <w:p w14:paraId="2FF1FFE1" w14:textId="77777777" w:rsidR="00A77B3E" w:rsidRDefault="00D8132F">
      <w:pPr>
        <w:spacing w:line="360" w:lineRule="auto"/>
        <w:jc w:val="both"/>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Rodríguez-Castro KI</w:t>
      </w:r>
      <w:r>
        <w:rPr>
          <w:rFonts w:ascii="Book Antiqua" w:eastAsia="Book Antiqua" w:hAnsi="Book Antiqua" w:cs="Book Antiqua"/>
          <w:color w:val="000000"/>
        </w:rPr>
        <w:t xml:space="preserve">, Porte RJ, Nadal E, Germani G, Burra P, Senzolo M. Management of nonneoplastic portal vein thrombosis in the setting of liver transplantation: a systematic review.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1145-1153 [PMID: 23128996 DOI: 10.1097/TP.0b013e31826e8e53]</w:t>
      </w:r>
    </w:p>
    <w:p w14:paraId="71F2194D" w14:textId="77777777" w:rsidR="00A77B3E" w:rsidRDefault="00D8132F">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Luca A</w:t>
      </w:r>
      <w:r>
        <w:rPr>
          <w:rFonts w:ascii="Book Antiqua" w:eastAsia="Book Antiqua" w:hAnsi="Book Antiqua" w:cs="Book Antiqua"/>
          <w:color w:val="000000"/>
        </w:rPr>
        <w:t xml:space="preserve">, Caruso S, Milazzo M, Marrone G, Mamone G, Crinò F, Maruzzelli L, Miraglia R, Floridia G, Vizzini G. Natural course of extrahepatic nonmalignant partial portal vein thrombosis in patients with cirrhosis.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265</w:t>
      </w:r>
      <w:r>
        <w:rPr>
          <w:rFonts w:ascii="Book Antiqua" w:eastAsia="Book Antiqua" w:hAnsi="Book Antiqua" w:cs="Book Antiqua"/>
          <w:color w:val="000000"/>
        </w:rPr>
        <w:t>: 124-132 [PMID: 22891357 DOI: 10.1148/radiol.12112236]</w:t>
      </w:r>
    </w:p>
    <w:p w14:paraId="6FC19282" w14:textId="77777777" w:rsidR="00A77B3E" w:rsidRDefault="00D8132F">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Senzolo M</w:t>
      </w:r>
      <w:r>
        <w:rPr>
          <w:rFonts w:ascii="Book Antiqua" w:eastAsia="Book Antiqua" w:hAnsi="Book Antiqua" w:cs="Book Antiqua"/>
          <w:color w:val="000000"/>
        </w:rPr>
        <w:t xml:space="preserve">, M Sartori T, Rossetto V, Burra P, Cillo U, Boccagni P, Gasparini D, Miotto D, Simioni P, Tsochatzis E, A Burroughs K. Prospective evaluation of anticoagulation and transjugular intrahepatic portosystemic shunt for the management of portal vein thrombosis in cirrhosis.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919-927 [PMID: 22435854 DOI: 10.1111/j.1478-3231.2012.02785.x]</w:t>
      </w:r>
    </w:p>
    <w:p w14:paraId="701E8906" w14:textId="77777777" w:rsidR="00A77B3E" w:rsidRDefault="00D8132F">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Nery F</w:t>
      </w:r>
      <w:r>
        <w:rPr>
          <w:rFonts w:ascii="Book Antiqua" w:eastAsia="Book Antiqua" w:hAnsi="Book Antiqua" w:cs="Book Antiqua"/>
          <w:color w:val="000000"/>
        </w:rPr>
        <w:t xml:space="preserve">, Chevret S, Condat B, de Raucourt E, Boudaoud L, Rautou PE, Plessier A, Roulot D, Chaffaut C, Bourcier V, Trinchet JC, Valla DC; Groupe d'Etude et de Traitement du Carcinome Hépatocellulaire. Causes and consequences of portal vein thrombosis in 1,243 patients with cirrhosis: results of a longitudinal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660-667 [PMID: 25284616 DOI: 10.1002/hep.27546]</w:t>
      </w:r>
    </w:p>
    <w:p w14:paraId="5E7B9880" w14:textId="77777777" w:rsidR="00A77B3E" w:rsidRDefault="00D8132F">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Van Ha TG</w:t>
      </w:r>
      <w:r>
        <w:rPr>
          <w:rFonts w:ascii="Book Antiqua" w:eastAsia="Book Antiqua" w:hAnsi="Book Antiqua" w:cs="Book Antiqua"/>
          <w:color w:val="000000"/>
        </w:rPr>
        <w:t xml:space="preserve">, Hodge J, Funaki B, Lorenz J, Rosenblum J, Straus C, Leef J. Transjugular intrahepatic portosystemic shunt placement in patients with cirrhosis and concomitant portal vein thrombosis.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785-790 [PMID: 16850140 DOI: 10.1007/s00270-005-0090-4]</w:t>
      </w:r>
    </w:p>
    <w:p w14:paraId="469640F0" w14:textId="77777777" w:rsidR="00A77B3E" w:rsidRDefault="00D8132F">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Salem R</w:t>
      </w:r>
      <w:r>
        <w:rPr>
          <w:rFonts w:ascii="Book Antiqua" w:eastAsia="Book Antiqua" w:hAnsi="Book Antiqua" w:cs="Book Antiqua"/>
          <w:color w:val="000000"/>
        </w:rPr>
        <w:t xml:space="preserve">, Vouche M, Baker T, Herrero JI, Caicedo JC, Fryer J, Hickey R, Habib A, Abecassis M, Koller F, Vogelzang R, Desai K, Thornburg B, Hohlastos E, Resnick S, Lewandowski RJ, Sato K, Ryu RK, Ganger D, Kulik L. Pretransplant Portal Vein Recanalization-Transjugular Intrahepatic Portosystemic Shunt in Patients With Complete Obliterative Portal Vein Thrombosis.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2347-2355 [PMID: 25905983 DOI: 10.1097/TP.0000000000000729]</w:t>
      </w:r>
    </w:p>
    <w:p w14:paraId="0D461A3F" w14:textId="3083FA69" w:rsidR="00A77B3E" w:rsidRDefault="00D8132F">
      <w:pPr>
        <w:spacing w:line="360" w:lineRule="auto"/>
        <w:jc w:val="both"/>
      </w:pPr>
      <w:r>
        <w:rPr>
          <w:rFonts w:ascii="Book Antiqua" w:eastAsia="Book Antiqua" w:hAnsi="Book Antiqua" w:cs="Book Antiqua"/>
          <w:color w:val="000000"/>
        </w:rPr>
        <w:lastRenderedPageBreak/>
        <w:t xml:space="preserve">134 </w:t>
      </w:r>
      <w:r>
        <w:rPr>
          <w:rFonts w:ascii="Book Antiqua" w:eastAsia="Book Antiqua" w:hAnsi="Book Antiqua" w:cs="Book Antiqua"/>
          <w:b/>
          <w:bCs/>
          <w:color w:val="000000"/>
        </w:rPr>
        <w:t>Qi X</w:t>
      </w:r>
      <w:r>
        <w:rPr>
          <w:rFonts w:ascii="Book Antiqua" w:eastAsia="Book Antiqua" w:hAnsi="Book Antiqua" w:cs="Book Antiqua"/>
          <w:color w:val="000000"/>
        </w:rPr>
        <w:t xml:space="preserve">, He C, Guo W, Yin Z, Wang J, Wang Z, Niu J, Bai M, Yang Z, Fan D, Han G. Transjugular intrahepatic portosystemic shunt for portal vein thrombosis with variceal bleeding in liver cirrhosis: outcomes and predictors in a prospective cohort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667-676 [PMID: 26235541 DOI: 10.1111/</w:t>
      </w:r>
      <w:r w:rsidR="00AB14FB">
        <w:rPr>
          <w:rFonts w:ascii="Book Antiqua" w:eastAsia="Book Antiqua" w:hAnsi="Book Antiqua" w:cs="Book Antiqua"/>
          <w:color w:val="000000"/>
        </w:rPr>
        <w:t>l</w:t>
      </w:r>
      <w:r>
        <w:rPr>
          <w:rFonts w:ascii="Book Antiqua" w:eastAsia="Book Antiqua" w:hAnsi="Book Antiqua" w:cs="Book Antiqua"/>
          <w:color w:val="000000"/>
        </w:rPr>
        <w:t>iv.12929]</w:t>
      </w:r>
    </w:p>
    <w:p w14:paraId="55699B4F" w14:textId="77777777" w:rsidR="00A77B3E" w:rsidRDefault="00D8132F">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Zhao M</w:t>
      </w:r>
      <w:r>
        <w:rPr>
          <w:rFonts w:ascii="Book Antiqua" w:eastAsia="Book Antiqua" w:hAnsi="Book Antiqua" w:cs="Book Antiqua"/>
          <w:color w:val="000000"/>
        </w:rPr>
        <w:t xml:space="preserve">, Yue Z, Zhao H, Wang L, Fan Z, He F, Yao J, Dong X, Liu F. Techniques of TIPS in the treatment of liver cirrhosis combined with incompletely occlusive main portal vein thrombosis.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33069 [PMID: 27620282 DOI: 10.1038/srep33069]</w:t>
      </w:r>
    </w:p>
    <w:p w14:paraId="4F77F6EC" w14:textId="77777777" w:rsidR="00A77B3E" w:rsidRDefault="00D8132F">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Chen Y</w:t>
      </w:r>
      <w:r>
        <w:rPr>
          <w:rFonts w:ascii="Book Antiqua" w:eastAsia="Book Antiqua" w:hAnsi="Book Antiqua" w:cs="Book Antiqua"/>
          <w:color w:val="000000"/>
        </w:rPr>
        <w:t xml:space="preserve">, Ye P, Li Y, Ma S, Zhao J, Zeng Q. Percutaneous transhepatic balloon-assisted transjugular intrahepatic portosystemic shunt for chronic, totally occluded, portal vein thrombosis with symptomatic portal hypertension: procedure technique, safety, and clinical applications.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3431-3437 [PMID: 25903717 DOI: 10.1007/s00330-015-3777-1]</w:t>
      </w:r>
    </w:p>
    <w:p w14:paraId="484891AD" w14:textId="77777777" w:rsidR="00A77B3E" w:rsidRDefault="00D8132F">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Bhangui P</w:t>
      </w:r>
      <w:r>
        <w:rPr>
          <w:rFonts w:ascii="Book Antiqua" w:eastAsia="Book Antiqua" w:hAnsi="Book Antiqua" w:cs="Book Antiqua"/>
          <w:color w:val="000000"/>
        </w:rPr>
        <w:t xml:space="preserve">, Laurent A, Amathieu R, Azoulay D. Assessment of risk for non-hepatic surgery in cirrhotic patients.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874-884 [PMID: 22634123 DOI: 10.1016/j.jhep.2012.03.037]</w:t>
      </w:r>
    </w:p>
    <w:p w14:paraId="230980CD" w14:textId="77777777" w:rsidR="00A77B3E" w:rsidRDefault="00D8132F">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Friedman LS</w:t>
      </w:r>
      <w:r>
        <w:rPr>
          <w:rFonts w:ascii="Book Antiqua" w:eastAsia="Book Antiqua" w:hAnsi="Book Antiqua" w:cs="Book Antiqua"/>
          <w:color w:val="000000"/>
        </w:rPr>
        <w:t xml:space="preserve">. Surgery in the patient with liver disease. </w:t>
      </w:r>
      <w:r>
        <w:rPr>
          <w:rFonts w:ascii="Book Antiqua" w:eastAsia="Book Antiqua" w:hAnsi="Book Antiqua" w:cs="Book Antiqua"/>
          <w:i/>
          <w:iCs/>
          <w:color w:val="000000"/>
        </w:rPr>
        <w:t>Trans Am Clin Climatol Assoc</w:t>
      </w:r>
      <w:r>
        <w:rPr>
          <w:rFonts w:ascii="Book Antiqua" w:eastAsia="Book Antiqua" w:hAnsi="Book Antiqua" w:cs="Book Antiqua"/>
          <w:color w:val="000000"/>
        </w:rPr>
        <w:t xml:space="preserve"> 2010; </w:t>
      </w:r>
      <w:r>
        <w:rPr>
          <w:rFonts w:ascii="Book Antiqua" w:eastAsia="Book Antiqua" w:hAnsi="Book Antiqua" w:cs="Book Antiqua"/>
          <w:b/>
          <w:bCs/>
          <w:color w:val="000000"/>
        </w:rPr>
        <w:t>121</w:t>
      </w:r>
      <w:r>
        <w:rPr>
          <w:rFonts w:ascii="Book Antiqua" w:eastAsia="Book Antiqua" w:hAnsi="Book Antiqua" w:cs="Book Antiqua"/>
          <w:color w:val="000000"/>
        </w:rPr>
        <w:t>: 192-204; discussion 205 [PMID: 20697561]</w:t>
      </w:r>
    </w:p>
    <w:p w14:paraId="3E9F01FA" w14:textId="77777777" w:rsidR="00A77B3E" w:rsidRDefault="00D8132F">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Nicoll A</w:t>
      </w:r>
      <w:r>
        <w:rPr>
          <w:rFonts w:ascii="Book Antiqua" w:eastAsia="Book Antiqua" w:hAnsi="Book Antiqua" w:cs="Book Antiqua"/>
          <w:color w:val="000000"/>
        </w:rPr>
        <w:t xml:space="preserve">. Surgical risk in patients with cirrhosis.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1569-1575 [PMID: 22694313 DOI: 10.1111/j.1440-1746.2012.07205.x]</w:t>
      </w:r>
    </w:p>
    <w:p w14:paraId="751BB4ED" w14:textId="77777777" w:rsidR="00A77B3E" w:rsidRDefault="00D8132F">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Azoulay D</w:t>
      </w:r>
      <w:r>
        <w:rPr>
          <w:rFonts w:ascii="Book Antiqua" w:eastAsia="Book Antiqua" w:hAnsi="Book Antiqua" w:cs="Book Antiqua"/>
          <w:color w:val="000000"/>
        </w:rPr>
        <w:t xml:space="preserve">, Buabse F, Damiano I, Smail A, Ichai P, Dannaoui M, Castaing D, Bismuth H. Neoadjuvant transjugular intrahepatic portosystemic shunt: a solution for extrahepatic abdominal operation in cirrhotic patients with severe portal hypertension.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193</w:t>
      </w:r>
      <w:r>
        <w:rPr>
          <w:rFonts w:ascii="Book Antiqua" w:eastAsia="Book Antiqua" w:hAnsi="Book Antiqua" w:cs="Book Antiqua"/>
          <w:color w:val="000000"/>
        </w:rPr>
        <w:t>: 46-51 [PMID: 11442253 DOI: 10.1016/s1072-7515(01)00911-5]</w:t>
      </w:r>
    </w:p>
    <w:p w14:paraId="42F8D186" w14:textId="77777777" w:rsidR="00A77B3E" w:rsidRDefault="00D8132F">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Grübel P</w:t>
      </w:r>
      <w:r>
        <w:rPr>
          <w:rFonts w:ascii="Book Antiqua" w:eastAsia="Book Antiqua" w:hAnsi="Book Antiqua" w:cs="Book Antiqua"/>
          <w:color w:val="000000"/>
        </w:rPr>
        <w:t xml:space="preserve">, Pratt DS, Elhelw T. Transjugular intrahepatic portosystemic shunt for portal decompression before abdominal and retroperitoneal surgery in patients with severe portal hypertension.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489-490 [PMID: 11907372 DOI: 10.1097/00004836-200204000-00026]</w:t>
      </w:r>
    </w:p>
    <w:p w14:paraId="5E8ACB08" w14:textId="77777777" w:rsidR="00A77B3E" w:rsidRDefault="00D8132F">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Gil A</w:t>
      </w:r>
      <w:r>
        <w:rPr>
          <w:rFonts w:ascii="Book Antiqua" w:eastAsia="Book Antiqua" w:hAnsi="Book Antiqua" w:cs="Book Antiqua"/>
          <w:color w:val="000000"/>
        </w:rPr>
        <w:t xml:space="preserve">, Martínez-Regueira F, Hernández-Lizoain JL, Pardo F, Olea JM, Bastarrika G, Cienfuegos JA, Bilbao JI. The role of transjugular intrahepatic portosystemic shunt prior </w:t>
      </w:r>
      <w:r>
        <w:rPr>
          <w:rFonts w:ascii="Book Antiqua" w:eastAsia="Book Antiqua" w:hAnsi="Book Antiqua" w:cs="Book Antiqua"/>
          <w:color w:val="000000"/>
        </w:rPr>
        <w:lastRenderedPageBreak/>
        <w:t xml:space="preserve">to abdominal tumoral surgery in cirrhotic patients with portal hypertension.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46-52 [PMID: 14736522 DOI: 10.1016/j.ejso.2003.10.014]</w:t>
      </w:r>
    </w:p>
    <w:p w14:paraId="0D9BEB71" w14:textId="77777777" w:rsidR="00A77B3E" w:rsidRDefault="00D8132F">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Vinet E</w:t>
      </w:r>
      <w:r>
        <w:rPr>
          <w:rFonts w:ascii="Book Antiqua" w:eastAsia="Book Antiqua" w:hAnsi="Book Antiqua" w:cs="Book Antiqua"/>
          <w:color w:val="000000"/>
        </w:rPr>
        <w:t xml:space="preserve">, Perreault P, Bouchard L, Bernard D, Wassef R, Richard C, Létourneau R, Pomier-Layrargues G. Transjugular intrahepatic portosystemic shunt before abdominal surgery in cirrhotic patients: a retrospective, comparative study.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401-404 [PMID: 16779457 DOI: 10.1155/2006/245082]</w:t>
      </w:r>
    </w:p>
    <w:p w14:paraId="31A4195B" w14:textId="77777777" w:rsidR="00A77B3E" w:rsidRDefault="00D8132F">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Kim JJ</w:t>
      </w:r>
      <w:r>
        <w:rPr>
          <w:rFonts w:ascii="Book Antiqua" w:eastAsia="Book Antiqua" w:hAnsi="Book Antiqua" w:cs="Book Antiqua"/>
          <w:color w:val="000000"/>
        </w:rPr>
        <w:t xml:space="preserve">, Dasika NL, Yu E, Fontana RJ. Cirrhotic patients with a transjugular intrahepatic portosystemic shunt undergoing major extrahepatic surgery.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43</w:t>
      </w:r>
      <w:r>
        <w:rPr>
          <w:rFonts w:ascii="Book Antiqua" w:eastAsia="Book Antiqua" w:hAnsi="Book Antiqua" w:cs="Book Antiqua"/>
          <w:color w:val="000000"/>
        </w:rPr>
        <w:t>: 574-579 [PMID: 19169145 DOI: 10.1097/MCG.0b013e31818738ef]</w:t>
      </w:r>
    </w:p>
    <w:p w14:paraId="7F6D8096" w14:textId="77777777" w:rsidR="00A77B3E" w:rsidRDefault="00D8132F">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Schlenker C</w:t>
      </w:r>
      <w:r>
        <w:rPr>
          <w:rFonts w:ascii="Book Antiqua" w:eastAsia="Book Antiqua" w:hAnsi="Book Antiqua" w:cs="Book Antiqua"/>
          <w:color w:val="000000"/>
        </w:rPr>
        <w:t xml:space="preserve">, Johnson S, Trotter JF. Preoperative transjugular intrahepatic portosystemic shunt (TIPS) for cirrhotic patients undergoing abdominal and pelvic surgeries.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1594-1598 [PMID: 19263108 DOI: 10.1007/s00464-009-0405-7]</w:t>
      </w:r>
    </w:p>
    <w:p w14:paraId="26EAF41A" w14:textId="77777777" w:rsidR="00A77B3E" w:rsidRDefault="00D8132F">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Tabchouri N</w:t>
      </w:r>
      <w:r>
        <w:rPr>
          <w:rFonts w:ascii="Book Antiqua" w:eastAsia="Book Antiqua" w:hAnsi="Book Antiqua" w:cs="Book Antiqua"/>
          <w:color w:val="000000"/>
        </w:rPr>
        <w:t xml:space="preserve">, Barbier L, Menahem B, Perarnau JM, Muscari F, Fares N, D'Alteroche L, Valette PJ, Dumortier J, Alves A, Lubrano J, Bureau C, Salamé E. Original Study: Transjugular Intrahepatic Portosystemic Shunt as a Bridge to Abdominal Surgery in Cirrhotic Patients.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2383-2390 [PMID: 30820792 DOI: 10.1007/s11605-018-4053-x]</w:t>
      </w:r>
    </w:p>
    <w:p w14:paraId="1EA35BCB" w14:textId="77777777" w:rsidR="00A77B3E" w:rsidRDefault="00D8132F">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Schmitz A</w:t>
      </w:r>
      <w:r>
        <w:rPr>
          <w:rFonts w:ascii="Book Antiqua" w:eastAsia="Book Antiqua" w:hAnsi="Book Antiqua" w:cs="Book Antiqua"/>
          <w:color w:val="000000"/>
        </w:rPr>
        <w:t xml:space="preserve">, Haste P, Johnson MS. Transjugular Intrahepatic Portosystemic Shunt (TIPS) Creation Prior to Abdominal Operation: a Retrospective Analysis.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2019</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31485902 DOI: 10.1007/s11605-019-04384-w]</w:t>
      </w:r>
    </w:p>
    <w:p w14:paraId="7C05461F" w14:textId="77777777" w:rsidR="00A77B3E" w:rsidRDefault="00D8132F">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Lahat E</w:t>
      </w:r>
      <w:r>
        <w:rPr>
          <w:rFonts w:ascii="Book Antiqua" w:eastAsia="Book Antiqua" w:hAnsi="Book Antiqua" w:cs="Book Antiqua"/>
          <w:color w:val="000000"/>
        </w:rPr>
        <w:t xml:space="preserve">, Lim C, Bhangui P, Fuentes L, Osseis M, Moussallem T, Salloum C, Azoulay D. Transjugular intrahepatic portosystemic shunt as a bridge to non-hepatic surgery in cirrhotic patients with severe portal hypertension: a systematic review.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101-109 [PMID: 29110990 DOI: 10.1016/j.hpb.2017.09.006]</w:t>
      </w:r>
    </w:p>
    <w:p w14:paraId="7160091F" w14:textId="77777777" w:rsidR="00A77B3E" w:rsidRDefault="00D8132F">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Reverter E</w:t>
      </w:r>
      <w:r>
        <w:rPr>
          <w:rFonts w:ascii="Book Antiqua" w:eastAsia="Book Antiqua" w:hAnsi="Book Antiqua" w:cs="Book Antiqua"/>
          <w:color w:val="000000"/>
        </w:rPr>
        <w:t xml:space="preserve">, Cirera I, Albillos A, Debernardi-Venon W, Abraldes JG, Llop E, Flores A, Martínez-Palli G, Blasi A, Martínez J, Turon F, García-Valdecasas JC, Berzigotti A, de Lacy AM, Fuster J, Hernández-Gea V, Bosch J, García-Pagán JC. The prognostic role of </w:t>
      </w:r>
      <w:r>
        <w:rPr>
          <w:rFonts w:ascii="Book Antiqua" w:eastAsia="Book Antiqua" w:hAnsi="Book Antiqua" w:cs="Book Antiqua"/>
          <w:color w:val="000000"/>
        </w:rPr>
        <w:lastRenderedPageBreak/>
        <w:t xml:space="preserve">hepatic venous pressure gradient in cirrhotic patients undergoing elective extrahepatic surgery.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942-950 [PMID: 31330170 DOI: 10.1016/j.jhep.2019.07.007]</w:t>
      </w:r>
    </w:p>
    <w:p w14:paraId="0C4ADFD4" w14:textId="77777777" w:rsidR="00A77B3E" w:rsidRDefault="00D8132F">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Angeli P</w:t>
      </w:r>
      <w:r>
        <w:rPr>
          <w:rFonts w:ascii="Book Antiqua" w:eastAsia="Book Antiqua" w:hAnsi="Book Antiqua" w:cs="Book Antiqua"/>
          <w:color w:val="000000"/>
        </w:rPr>
        <w:t xml:space="preserve">, Gines P, Wong F, Bernardi M, Boyer TD, Gerbes A, Moreau R, Jalan R, Sarin SK, Piano S, Moore K, Lee SS, Durand F, Salerno F, Caraceni P, Kim WR, Arroyo V, Garcia-Tsao G; International Club of Ascites. Diagnosis and management of acute kidney injury in patients with cirrhosis: revised consensus recommendations of the International Club of Ascites.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531-537 [PMID: 25631669 DOI: 10.1136/gutjnl-2014-308874]</w:t>
      </w:r>
    </w:p>
    <w:p w14:paraId="2F797B58" w14:textId="77777777" w:rsidR="00A77B3E" w:rsidRDefault="00D8132F">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Wong F</w:t>
      </w:r>
      <w:r>
        <w:rPr>
          <w:rFonts w:ascii="Book Antiqua" w:eastAsia="Book Antiqua" w:hAnsi="Book Antiqua" w:cs="Book Antiqua"/>
          <w:color w:val="000000"/>
        </w:rPr>
        <w:t xml:space="preserve">, Nadim MK, Kellum JA, Salerno F, Bellomo R, Gerbes A, Angeli P, Moreau R, Davenport A, Jalan R, Ronco C, Genyk Y, Arroyo V. Working Party proposal for a revised classification system of renal dysfunction in patients with cirrhosis.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702-709 [PMID: 21325171 DOI: 10.1136/gut.2010.236133]</w:t>
      </w:r>
    </w:p>
    <w:p w14:paraId="627DA2B4" w14:textId="77777777" w:rsidR="00A77B3E" w:rsidRDefault="00D8132F">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Song T</w:t>
      </w:r>
      <w:r>
        <w:rPr>
          <w:rFonts w:ascii="Book Antiqua" w:eastAsia="Book Antiqua" w:hAnsi="Book Antiqua" w:cs="Book Antiqua"/>
          <w:color w:val="000000"/>
        </w:rPr>
        <w:t xml:space="preserve">, Rössle M, He F, Liu F, Guo X, Qi X. Transjugular intrahepatic portosystemic shunt for hepatorenal syndrome: A systematic review and meta-analysis.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323-330 [PMID: 29422242 DOI: 10.1016/j.dld.2018.01.123]</w:t>
      </w:r>
    </w:p>
    <w:p w14:paraId="08D7B507" w14:textId="77777777" w:rsidR="00A77B3E" w:rsidRDefault="00D8132F">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Charilaou P</w:t>
      </w:r>
      <w:r>
        <w:rPr>
          <w:rFonts w:ascii="Book Antiqua" w:eastAsia="Book Antiqua" w:hAnsi="Book Antiqua" w:cs="Book Antiqua"/>
          <w:color w:val="000000"/>
        </w:rPr>
        <w:t xml:space="preserve">, Devani K, Petrosyan R, Reddy C, Pyrsopoulos N. Inpatient Mortality Benefit with Transjugular Intrahepatic Portosystemic Shunt for Hospitalized Hepatorenal Syndrome Patients.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32062714 DOI: 10.1007/s10620-020-06136-2]</w:t>
      </w:r>
    </w:p>
    <w:p w14:paraId="564874A8" w14:textId="77777777" w:rsidR="00A77B3E" w:rsidRDefault="00D8132F">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Brensing KA</w:t>
      </w:r>
      <w:r>
        <w:rPr>
          <w:rFonts w:ascii="Book Antiqua" w:eastAsia="Book Antiqua" w:hAnsi="Book Antiqua" w:cs="Book Antiqua"/>
          <w:color w:val="000000"/>
        </w:rPr>
        <w:t xml:space="preserve">, Textor J, Perz J, Schiedermaier P, Raab P, Strunk H, Klehr HU, Kramer HJ, Spengler U, Schild H, Sauerbruch T. Long term outcome after transjugular intrahepatic portosystemic stent-shunt in non-transplant cirrhotics with hepatorenal syndrome: a phase II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288-295 [PMID: 10896924 DOI: 10.1136/gut.47.2.288]</w:t>
      </w:r>
    </w:p>
    <w:p w14:paraId="34B023D4" w14:textId="77777777" w:rsidR="00A77B3E" w:rsidRDefault="00D8132F">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Zhao H</w:t>
      </w:r>
      <w:r>
        <w:rPr>
          <w:rFonts w:ascii="Book Antiqua" w:eastAsia="Book Antiqua" w:hAnsi="Book Antiqua" w:cs="Book Antiqua"/>
          <w:color w:val="000000"/>
        </w:rPr>
        <w:t xml:space="preserve">, Liu F, Yue Z, Wang L, Fan Z, He F. Clinical efficacy of transjugular intrahepatic portosystemic shunt in the treatment of hepatopulmonary syndrome.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e9080 [PMID: 29245324 DOI: 10.1097/MD.0000000000009080]</w:t>
      </w:r>
    </w:p>
    <w:p w14:paraId="645B4AD7" w14:textId="77777777" w:rsidR="00A77B3E" w:rsidRDefault="00D8132F">
      <w:pPr>
        <w:spacing w:line="360" w:lineRule="auto"/>
        <w:jc w:val="both"/>
      </w:pPr>
      <w:r>
        <w:rPr>
          <w:rFonts w:ascii="Book Antiqua" w:eastAsia="Book Antiqua" w:hAnsi="Book Antiqua" w:cs="Book Antiqua"/>
          <w:color w:val="000000"/>
        </w:rPr>
        <w:lastRenderedPageBreak/>
        <w:t xml:space="preserve">156 </w:t>
      </w:r>
      <w:r>
        <w:rPr>
          <w:rFonts w:ascii="Book Antiqua" w:eastAsia="Book Antiqua" w:hAnsi="Book Antiqua" w:cs="Book Antiqua"/>
          <w:b/>
          <w:bCs/>
          <w:color w:val="000000"/>
        </w:rPr>
        <w:t>Taillé C</w:t>
      </w:r>
      <w:r>
        <w:rPr>
          <w:rFonts w:ascii="Book Antiqua" w:eastAsia="Book Antiqua" w:hAnsi="Book Antiqua" w:cs="Book Antiqua"/>
          <w:color w:val="000000"/>
        </w:rPr>
        <w:t xml:space="preserve">, Cadranel J, Bellocq A, Thabut G, Soubrane O, Durand F, Ichaï P, Duvoux C, Belghiti J, Calmus Y, Mal H. Liver transplantation for hepatopulmonary syndrome: a ten-year experience in Paris, France.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75</w:t>
      </w:r>
      <w:r>
        <w:rPr>
          <w:rFonts w:ascii="Book Antiqua" w:eastAsia="Book Antiqua" w:hAnsi="Book Antiqua" w:cs="Book Antiqua"/>
          <w:color w:val="000000"/>
        </w:rPr>
        <w:t>: 1482-9; discussion 1446-7 [PMID: 12792501 DOI: 10.1097/01.TP.0000061612.78954.6C]</w:t>
      </w:r>
    </w:p>
    <w:p w14:paraId="1D52F73E" w14:textId="77777777" w:rsidR="00A77B3E" w:rsidRDefault="00D8132F">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Martinez-Palli G</w:t>
      </w:r>
      <w:r>
        <w:rPr>
          <w:rFonts w:ascii="Book Antiqua" w:eastAsia="Book Antiqua" w:hAnsi="Book Antiqua" w:cs="Book Antiqua"/>
          <w:color w:val="000000"/>
        </w:rPr>
        <w:t xml:space="preserve">, Drake BB, Garcia-Pagan JC, Barbera JA, Arguedas MR, Rodriguez-Roisin R, Bosch J, Fallon MB. Effect of transjugular intrahepatic portosystemic shunt on pulmonary gas exchange in patients with portal hypertension and hepatopulmonary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6858-6862 [PMID: 16425397 DOI: 10.3748/wjg.v11.i43.6858]</w:t>
      </w:r>
    </w:p>
    <w:p w14:paraId="12E3D6E6" w14:textId="77777777" w:rsidR="00A77B3E" w:rsidRDefault="00D8132F">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Chevallier P</w:t>
      </w:r>
      <w:r>
        <w:rPr>
          <w:rFonts w:ascii="Book Antiqua" w:eastAsia="Book Antiqua" w:hAnsi="Book Antiqua" w:cs="Book Antiqua"/>
          <w:color w:val="000000"/>
        </w:rPr>
        <w:t xml:space="preserve">, Novelli L, Motamedi JP, Hastier P, Brunner P, Bruneton JN. Hepatopulmonary syndrome successfully treated with transjugular intrahepatic portosystemic shunt: a three-year follow-up.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647-648 [PMID: 15178729 DOI: 10.1097/01.rvi.0000127885.68272.e9]</w:t>
      </w:r>
    </w:p>
    <w:p w14:paraId="49B7F312" w14:textId="77777777" w:rsidR="00A77B3E" w:rsidRDefault="00D8132F">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Chen L</w:t>
      </w:r>
      <w:r>
        <w:rPr>
          <w:rFonts w:ascii="Book Antiqua" w:eastAsia="Book Antiqua" w:hAnsi="Book Antiqua" w:cs="Book Antiqua"/>
          <w:color w:val="000000"/>
        </w:rPr>
        <w:t xml:space="preserve">, Xiao T, Chen W, Long Q, Li R, Fang D, Wang R. Outcomes of transjugular intrahepatic portosystemic shunt through the left branch vs. the right branch of the portal vein in advanced cirrhosis: a randomized trial.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1101-1109 [PMID: 19386025 DOI: 10.1111/j.1478-3231.2009.02016.x]</w:t>
      </w:r>
    </w:p>
    <w:p w14:paraId="30F4D840" w14:textId="77777777" w:rsidR="00A77B3E" w:rsidRDefault="00D8132F">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Bai M</w:t>
      </w:r>
      <w:r>
        <w:rPr>
          <w:rFonts w:ascii="Book Antiqua" w:eastAsia="Book Antiqua" w:hAnsi="Book Antiqua" w:cs="Book Antiqua"/>
          <w:color w:val="000000"/>
        </w:rPr>
        <w:t xml:space="preserve">, He CY, Qi XS, Yin ZX, Wang JH, Guo WG, Niu J, Xia JL, Zhang ZL, Larson AC, Wu KC, Fan DM, Han GH. Shunting branch of portal vein and stent position predict survival after transjugular intrahepatic portosystemic shunt.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774-785 [PMID: 24574750 DOI: 10.3748/wjg.v20.i3.774]</w:t>
      </w:r>
    </w:p>
    <w:p w14:paraId="3C18D981" w14:textId="77777777" w:rsidR="00A77B3E" w:rsidRDefault="00D8132F">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Tsauo J</w:t>
      </w:r>
      <w:r>
        <w:rPr>
          <w:rFonts w:ascii="Book Antiqua" w:eastAsia="Book Antiqua" w:hAnsi="Book Antiqua" w:cs="Book Antiqua"/>
          <w:color w:val="000000"/>
        </w:rPr>
        <w:t xml:space="preserve">, Weng N, Ma H, Jiang M, Zhao H, Li X. Role of Transjugular Intrahepatic Portosystemic Shunts in the Management of Hepatopulmonary Syndrome: A Systemic Literature Review.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1266-1271 [PMID: 26074026 DOI: 10.1016/j.jvir.2015.04.017]</w:t>
      </w:r>
    </w:p>
    <w:p w14:paraId="205D03EE" w14:textId="77777777" w:rsidR="00A77B3E" w:rsidRDefault="00D8132F">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Riegler JL</w:t>
      </w:r>
      <w:r>
        <w:rPr>
          <w:rFonts w:ascii="Book Antiqua" w:eastAsia="Book Antiqua" w:hAnsi="Book Antiqua" w:cs="Book Antiqua"/>
          <w:color w:val="000000"/>
        </w:rPr>
        <w:t xml:space="preserve">, Lang KA, Johnson SP, Westerman JH. Transjugular intrahepatic portosystemic shunt improves oxygenation in hepatopulmonary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109</w:t>
      </w:r>
      <w:r>
        <w:rPr>
          <w:rFonts w:ascii="Book Antiqua" w:eastAsia="Book Antiqua" w:hAnsi="Book Antiqua" w:cs="Book Antiqua"/>
          <w:color w:val="000000"/>
        </w:rPr>
        <w:t>: 978-983 [PMID: 7657128 DOI: 10.1016/0016-5085(95)90409-3]</w:t>
      </w:r>
    </w:p>
    <w:p w14:paraId="2B6C81AD" w14:textId="77777777" w:rsidR="00A77B3E" w:rsidRDefault="00D8132F">
      <w:pPr>
        <w:spacing w:line="360" w:lineRule="auto"/>
        <w:jc w:val="both"/>
      </w:pPr>
      <w:r>
        <w:rPr>
          <w:rFonts w:ascii="Book Antiqua" w:eastAsia="Book Antiqua" w:hAnsi="Book Antiqua" w:cs="Book Antiqua"/>
          <w:color w:val="000000"/>
        </w:rPr>
        <w:lastRenderedPageBreak/>
        <w:t xml:space="preserve">163 </w:t>
      </w:r>
      <w:r>
        <w:rPr>
          <w:rFonts w:ascii="Book Antiqua" w:eastAsia="Book Antiqua" w:hAnsi="Book Antiqua" w:cs="Book Antiqua"/>
          <w:b/>
          <w:bCs/>
          <w:color w:val="000000"/>
        </w:rPr>
        <w:t>Selim KM</w:t>
      </w:r>
      <w:r>
        <w:rPr>
          <w:rFonts w:ascii="Book Antiqua" w:eastAsia="Book Antiqua" w:hAnsi="Book Antiqua" w:cs="Book Antiqua"/>
          <w:color w:val="000000"/>
        </w:rPr>
        <w:t xml:space="preserve">, Akriviadis EA, Zuckerman E, Chen D, Reynolds TB. Transjugular intrahepatic portosystemic shunt: a successful treatment for hepatopulmonary syndrome.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1998; </w:t>
      </w:r>
      <w:r>
        <w:rPr>
          <w:rFonts w:ascii="Book Antiqua" w:eastAsia="Book Antiqua" w:hAnsi="Book Antiqua" w:cs="Book Antiqua"/>
          <w:b/>
          <w:bCs/>
          <w:color w:val="000000"/>
        </w:rPr>
        <w:t>93</w:t>
      </w:r>
      <w:r>
        <w:rPr>
          <w:rFonts w:ascii="Book Antiqua" w:eastAsia="Book Antiqua" w:hAnsi="Book Antiqua" w:cs="Book Antiqua"/>
          <w:color w:val="000000"/>
        </w:rPr>
        <w:t>: 455-458 [PMID: 9517657 DOI: 10.1111/j.1572-0241.1998.00455.x]</w:t>
      </w:r>
    </w:p>
    <w:p w14:paraId="7CB796DF" w14:textId="77777777" w:rsidR="00A77B3E" w:rsidRDefault="00D8132F">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Paramesh AS</w:t>
      </w:r>
      <w:r>
        <w:rPr>
          <w:rFonts w:ascii="Book Antiqua" w:eastAsia="Book Antiqua" w:hAnsi="Book Antiqua" w:cs="Book Antiqua"/>
          <w:color w:val="000000"/>
        </w:rPr>
        <w:t xml:space="preserve">, Husain SZ, Shneider B, Guller J, Tokat I, Gondolesi GE, Moyer S, Emre S. Improvement of hepatopulmonary syndrome after transjugular intrahepatic portasystemic shunting: case report and review of literature. </w:t>
      </w:r>
      <w:r>
        <w:rPr>
          <w:rFonts w:ascii="Book Antiqua" w:eastAsia="Book Antiqua" w:hAnsi="Book Antiqua" w:cs="Book Antiqua"/>
          <w:i/>
          <w:iCs/>
          <w:color w:val="000000"/>
        </w:rPr>
        <w:t>Pediatr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7</w:t>
      </w:r>
      <w:r>
        <w:rPr>
          <w:rFonts w:ascii="Book Antiqua" w:eastAsia="Book Antiqua" w:hAnsi="Book Antiqua" w:cs="Book Antiqua"/>
          <w:color w:val="000000"/>
        </w:rPr>
        <w:t>: 157-162 [PMID: 12654059 DOI: 10.1034/j.1399-3046.2003.00033.x]</w:t>
      </w:r>
    </w:p>
    <w:p w14:paraId="2A23DEBA" w14:textId="77777777" w:rsidR="00A77B3E" w:rsidRDefault="00D8132F">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Lasch HM</w:t>
      </w:r>
      <w:r>
        <w:rPr>
          <w:rFonts w:ascii="Book Antiqua" w:eastAsia="Book Antiqua" w:hAnsi="Book Antiqua" w:cs="Book Antiqua"/>
          <w:color w:val="000000"/>
        </w:rPr>
        <w:t xml:space="preserve">, Fried MW, Zacks SL, Odell P, Johnson MW, Gerber DA, Sandhu FS, Fair JH, Shrestha R. Use of transjugular intrahepatic portosystemic shunt as a bridge to liver transplantation in a patient with severe hepatopulmonary syndrome. </w:t>
      </w:r>
      <w:r>
        <w:rPr>
          <w:rFonts w:ascii="Book Antiqua" w:eastAsia="Book Antiqua" w:hAnsi="Book Antiqua" w:cs="Book Antiqua"/>
          <w:i/>
          <w:iCs/>
          <w:color w:val="000000"/>
        </w:rPr>
        <w:t>Liver Transpl</w:t>
      </w:r>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147-149 [PMID: 11172400 DOI: 10.1053/jlts.2001.21287]</w:t>
      </w:r>
    </w:p>
    <w:p w14:paraId="3D2446D5" w14:textId="77777777" w:rsidR="00A77B3E" w:rsidRDefault="00D8132F">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Pan JJ</w:t>
      </w:r>
      <w:r>
        <w:rPr>
          <w:rFonts w:ascii="Book Antiqua" w:eastAsia="Book Antiqua" w:hAnsi="Book Antiqua" w:cs="Book Antiqua"/>
          <w:color w:val="000000"/>
        </w:rPr>
        <w:t xml:space="preserve">, Chen C, Caridi JG, Geller B, Firpi R, Machicao VI, Hawkins IF Jr, Soldevila-Pico C, Nelson DR, Morelli G. Factors predicting survival after transjugular intrahepatic portosystemic shunt creation: 15 years' experience from a single tertiary medical center.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1576-1581 [PMID: 18789725 DOI: 10.1016/j.jvir.2008.07.021]</w:t>
      </w:r>
    </w:p>
    <w:p w14:paraId="33BE3B3D" w14:textId="77777777" w:rsidR="00A77B3E" w:rsidRDefault="00D8132F">
      <w:pPr>
        <w:spacing w:line="360" w:lineRule="auto"/>
        <w:jc w:val="both"/>
      </w:pPr>
      <w:r>
        <w:rPr>
          <w:rFonts w:ascii="Book Antiqua" w:eastAsia="Book Antiqua" w:hAnsi="Book Antiqua" w:cs="Book Antiqua"/>
          <w:color w:val="000000"/>
        </w:rPr>
        <w:t xml:space="preserve">167 </w:t>
      </w:r>
      <w:r>
        <w:rPr>
          <w:rFonts w:ascii="Book Antiqua" w:eastAsia="Book Antiqua" w:hAnsi="Book Antiqua" w:cs="Book Antiqua"/>
          <w:b/>
          <w:bCs/>
          <w:color w:val="000000"/>
        </w:rPr>
        <w:t>Wakabayashi H</w:t>
      </w:r>
      <w:r>
        <w:rPr>
          <w:rFonts w:ascii="Book Antiqua" w:eastAsia="Book Antiqua" w:hAnsi="Book Antiqua" w:cs="Book Antiqua"/>
          <w:color w:val="000000"/>
        </w:rPr>
        <w:t xml:space="preserve">, Nishiyama Y, Ushiyama T, Maeba T, Maeta H. Evaluation of the effect of age on functioning hepatocyte mass and liver blood flow using liver scintigraphy in preoperative estimations for surgical patients: comparison with CT volumetry.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106</w:t>
      </w:r>
      <w:r>
        <w:rPr>
          <w:rFonts w:ascii="Book Antiqua" w:eastAsia="Book Antiqua" w:hAnsi="Book Antiqua" w:cs="Book Antiqua"/>
          <w:color w:val="000000"/>
        </w:rPr>
        <w:t>: 246-253 [PMID: 12175974 DOI: 10.1006/jsre.2002.6462]</w:t>
      </w:r>
    </w:p>
    <w:p w14:paraId="23F34F2E" w14:textId="77777777" w:rsidR="00A77B3E" w:rsidRDefault="00D8132F">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Suraweera D</w:t>
      </w:r>
      <w:r>
        <w:rPr>
          <w:rFonts w:ascii="Book Antiqua" w:eastAsia="Book Antiqua" w:hAnsi="Book Antiqua" w:cs="Book Antiqua"/>
          <w:color w:val="000000"/>
        </w:rPr>
        <w:t xml:space="preserve">, Jimenez M, Viramontes M, Jamal N, Grotts J, Elashoff D, Lee EW, Saab S. Age-related Morbidity and Mortality After Transjugular Intrahepatic Portosystemic Shunts.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360-363 [PMID: 27159421 DOI: 10.1097/MCG.0000000000000541]</w:t>
      </w:r>
    </w:p>
    <w:p w14:paraId="48315E25" w14:textId="33A822C5" w:rsidR="00A77B3E" w:rsidRDefault="00D8132F">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Saad N</w:t>
      </w:r>
      <w:r>
        <w:rPr>
          <w:rFonts w:ascii="Book Antiqua" w:eastAsia="Book Antiqua" w:hAnsi="Book Antiqua" w:cs="Book Antiqua"/>
          <w:color w:val="000000"/>
        </w:rPr>
        <w:t xml:space="preserve">, Rude MK, Darcy M, Hanin JB, Wentworth A, Korenblat KM. Older age is associated with increased early mortality after transjugular intrahepatic portosystemic shunt.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xml:space="preserve">: 215-221 [PMID: 31196403 DOI: </w:t>
      </w:r>
      <w:r w:rsidR="00AB14FB" w:rsidRPr="00AB14FB">
        <w:rPr>
          <w:rFonts w:ascii="Book Antiqua" w:eastAsia="Book Antiqua" w:hAnsi="Book Antiqua" w:cs="Book Antiqua"/>
          <w:color w:val="000000"/>
        </w:rPr>
        <w:t>10.5604/16652681.1193716</w:t>
      </w:r>
      <w:r>
        <w:rPr>
          <w:rFonts w:ascii="Book Antiqua" w:eastAsia="Book Antiqua" w:hAnsi="Book Antiqua" w:cs="Book Antiqua"/>
          <w:color w:val="000000"/>
        </w:rPr>
        <w:t>]</w:t>
      </w:r>
    </w:p>
    <w:p w14:paraId="28F58164" w14:textId="77777777" w:rsidR="00A77B3E" w:rsidRDefault="00D8132F">
      <w:pPr>
        <w:spacing w:line="360" w:lineRule="auto"/>
        <w:jc w:val="both"/>
      </w:pPr>
      <w:r>
        <w:rPr>
          <w:rFonts w:ascii="Book Antiqua" w:eastAsia="Book Antiqua" w:hAnsi="Book Antiqua" w:cs="Book Antiqua"/>
          <w:color w:val="000000"/>
        </w:rPr>
        <w:lastRenderedPageBreak/>
        <w:t xml:space="preserve">170 </w:t>
      </w:r>
      <w:r>
        <w:rPr>
          <w:rFonts w:ascii="Book Antiqua" w:eastAsia="Book Antiqua" w:hAnsi="Book Antiqua" w:cs="Book Antiqua"/>
          <w:b/>
          <w:bCs/>
          <w:color w:val="000000"/>
        </w:rPr>
        <w:t>Adlakha N</w:t>
      </w:r>
      <w:r>
        <w:rPr>
          <w:rFonts w:ascii="Book Antiqua" w:eastAsia="Book Antiqua" w:hAnsi="Book Antiqua" w:cs="Book Antiqua"/>
          <w:color w:val="000000"/>
        </w:rPr>
        <w:t xml:space="preserve">, Russo MW. Outcomes After Transjugular Intrahepatic Portosystemic Shunt in Cirrhotic Patients 70 Years and Older.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[PMID: 32023959 DOI: 10.3390/jcm9020381]</w:t>
      </w:r>
    </w:p>
    <w:p w14:paraId="6D71ABE6" w14:textId="77777777" w:rsidR="00A77B3E" w:rsidRDefault="00D8132F">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Nolte W</w:t>
      </w:r>
      <w:r>
        <w:rPr>
          <w:rFonts w:ascii="Book Antiqua" w:eastAsia="Book Antiqua" w:hAnsi="Book Antiqua" w:cs="Book Antiqua"/>
          <w:color w:val="000000"/>
        </w:rPr>
        <w:t xml:space="preserve">, Wiltfang J, Schindler C, Münke H, Unterberg K, Zumhasch U, Figulla HR, Werner G, Hartmann H, Ramadori G. Portosystemic hepatic encephalopathy after transjugular intrahepatic portosystemic shunt in patients with cirrhosis: clinical, laboratory, psychometric, and electroencephalographic investigations.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1215-1225 [PMID: 9794904 DOI: 10.1002/hep.510280508]</w:t>
      </w:r>
    </w:p>
    <w:p w14:paraId="3CDC76D7" w14:textId="77777777" w:rsidR="00A77B3E" w:rsidRDefault="00D8132F">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Riggio O</w:t>
      </w:r>
      <w:r>
        <w:rPr>
          <w:rFonts w:ascii="Book Antiqua" w:eastAsia="Book Antiqua" w:hAnsi="Book Antiqua" w:cs="Book Antiqua"/>
          <w:color w:val="000000"/>
        </w:rPr>
        <w:t xml:space="preserve">, Angeloni S, Salvatori FM, De Santis A, Cerini F, Farcomeni A, Attili AF, Merli M. Incidence, natural history, and risk factors of hepatic encephalopathy after transjugular intrahepatic portosystemic shunt with polytetrafluoroethylene-covered stent grafts.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2738-2746 [PMID: 18775022 DOI: 10.1111/j.1572-0241.2008.02102.x]</w:t>
      </w:r>
    </w:p>
    <w:p w14:paraId="70C7D950" w14:textId="77777777" w:rsidR="00A77B3E" w:rsidRDefault="00D8132F">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Bai M</w:t>
      </w:r>
      <w:r>
        <w:rPr>
          <w:rFonts w:ascii="Book Antiqua" w:eastAsia="Book Antiqua" w:hAnsi="Book Antiqua" w:cs="Book Antiqua"/>
          <w:color w:val="000000"/>
        </w:rPr>
        <w:t xml:space="preserve">, Qi X, Yang Z, Yin Z, Nie Y, Yuan S, Wu K, Han G, Fan D. Predictors of hepatic encephalopathy after transjugular intrahepatic portosystemic shunt in cirrhotic patients: a systematic review.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943-951 [PMID: 21251067 DOI: 10.1111/j.1440-1746.2011.06663.x]</w:t>
      </w:r>
    </w:p>
    <w:p w14:paraId="3DE8CFA5" w14:textId="77777777" w:rsidR="00A77B3E" w:rsidRDefault="00D8132F">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Riggio O</w:t>
      </w:r>
      <w:r>
        <w:rPr>
          <w:rFonts w:ascii="Book Antiqua" w:eastAsia="Book Antiqua" w:hAnsi="Book Antiqua" w:cs="Book Antiqua"/>
          <w:color w:val="000000"/>
        </w:rPr>
        <w:t xml:space="preserve">, Masini A, Efrati C, Nicolao F, Angeloni S, Salvatori FM, Bezzi M, Attili AF, Merli M. Pharmacological prophylaxis of hepatic encephalopathy after transjugular intrahepatic portosystemic shunt: a randomized controlled study.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674-679 [PMID: 15826716 DOI: 10.1016/j.jhep.2004.12.028]</w:t>
      </w:r>
    </w:p>
    <w:p w14:paraId="2772B0E7" w14:textId="77777777" w:rsidR="00A77B3E" w:rsidRDefault="00D8132F">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Jepsen P</w:t>
      </w:r>
      <w:r>
        <w:rPr>
          <w:rFonts w:ascii="Book Antiqua" w:eastAsia="Book Antiqua" w:hAnsi="Book Antiqua" w:cs="Book Antiqua"/>
          <w:color w:val="000000"/>
        </w:rPr>
        <w:t xml:space="preserve">, Watson H, Andersen PK, Vilstrup H. Diabetes as a risk factor for hepatic encephalopathy in cirrhosis patients.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1133-1138 [PMID: 26206073 DOI: 10.1016/j.jhep.2015.07.007]</w:t>
      </w:r>
    </w:p>
    <w:p w14:paraId="75F95E17" w14:textId="77777777" w:rsidR="00A77B3E" w:rsidRDefault="00D8132F">
      <w:pPr>
        <w:spacing w:line="360" w:lineRule="auto"/>
        <w:jc w:val="both"/>
      </w:pPr>
      <w:proofErr w:type="gramStart"/>
      <w:r>
        <w:rPr>
          <w:rFonts w:ascii="Book Antiqua" w:eastAsia="Book Antiqua" w:hAnsi="Book Antiqua" w:cs="Book Antiqua"/>
          <w:color w:val="000000"/>
        </w:rPr>
        <w:t xml:space="preserve">176 </w:t>
      </w:r>
      <w:r>
        <w:rPr>
          <w:rFonts w:ascii="Book Antiqua" w:eastAsia="Book Antiqua" w:hAnsi="Book Antiqua" w:cs="Book Antiqua"/>
          <w:b/>
          <w:bCs/>
          <w:color w:val="000000"/>
        </w:rPr>
        <w:t>Wong F</w:t>
      </w:r>
      <w:r>
        <w:rPr>
          <w:rFonts w:ascii="Book Antiqua" w:eastAsia="Book Antiqua" w:hAnsi="Book Antiqua" w:cs="Book Antiqua"/>
          <w:color w:val="000000"/>
        </w:rPr>
        <w:t>. Cirrhotic cardiomyopathy.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294-304 [PMID: 19669380 DOI: 10.1007/s12072-008-9109-7]</w:t>
      </w:r>
    </w:p>
    <w:p w14:paraId="7A9B7FD4" w14:textId="77777777" w:rsidR="00A77B3E" w:rsidRDefault="00D8132F">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Zardi EM</w:t>
      </w:r>
      <w:r>
        <w:rPr>
          <w:rFonts w:ascii="Book Antiqua" w:eastAsia="Book Antiqua" w:hAnsi="Book Antiqua" w:cs="Book Antiqua"/>
          <w:color w:val="000000"/>
        </w:rPr>
        <w:t xml:space="preserve">, Abbate A, Zardi DM, Dobrina A, Margiotta D, Van Tassell BW, Afeltra A, Sanyal AJ. Cirrhotic cardiomyopathy.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56</w:t>
      </w:r>
      <w:r>
        <w:rPr>
          <w:rFonts w:ascii="Book Antiqua" w:eastAsia="Book Antiqua" w:hAnsi="Book Antiqua" w:cs="Book Antiqua"/>
          <w:color w:val="000000"/>
        </w:rPr>
        <w:t>: 539-549 [PMID: 20688208 DOI: 10.1016/j.jacc.2009.12.075]</w:t>
      </w:r>
    </w:p>
    <w:p w14:paraId="3A83E260" w14:textId="77777777" w:rsidR="00A77B3E" w:rsidRDefault="00D8132F">
      <w:pPr>
        <w:spacing w:line="360" w:lineRule="auto"/>
        <w:jc w:val="both"/>
      </w:pPr>
      <w:r>
        <w:rPr>
          <w:rFonts w:ascii="Book Antiqua" w:eastAsia="Book Antiqua" w:hAnsi="Book Antiqua" w:cs="Book Antiqua"/>
          <w:color w:val="000000"/>
        </w:rPr>
        <w:lastRenderedPageBreak/>
        <w:t xml:space="preserve">178 </w:t>
      </w:r>
      <w:r>
        <w:rPr>
          <w:rFonts w:ascii="Book Antiqua" w:eastAsia="Book Antiqua" w:hAnsi="Book Antiqua" w:cs="Book Antiqua"/>
          <w:b/>
          <w:bCs/>
          <w:color w:val="000000"/>
        </w:rPr>
        <w:t>Rabie RN</w:t>
      </w:r>
      <w:r>
        <w:rPr>
          <w:rFonts w:ascii="Book Antiqua" w:eastAsia="Book Antiqua" w:hAnsi="Book Antiqua" w:cs="Book Antiqua"/>
          <w:color w:val="000000"/>
        </w:rPr>
        <w:t xml:space="preserve">, Cazzaniga M, Salerno F, Wong F. The use of E/A ratio as a predictor of outcome in cirrhotic patients treated with transjugular intrahepatic portosystemic shunt.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2458-2466 [PMID: 19532126 DOI: 10.1038/ajg.2009.321]</w:t>
      </w:r>
    </w:p>
    <w:p w14:paraId="7090482D" w14:textId="77777777" w:rsidR="00A77B3E" w:rsidRDefault="00D8132F">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Ruíz-del-Árbol L</w:t>
      </w:r>
      <w:r>
        <w:rPr>
          <w:rFonts w:ascii="Book Antiqua" w:eastAsia="Book Antiqua" w:hAnsi="Book Antiqua" w:cs="Book Antiqua"/>
          <w:color w:val="000000"/>
        </w:rPr>
        <w:t xml:space="preserve">, Achécar L, Serradilla R, Rodríguez-Gandía MÁ, Rivero M, Garrido E, Natcher JJ. Diastolic dysfunction is a predictor of poor outcomes in patients with cirrhosis, portal hypertension, and a normal creatinine.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1732-1741 [PMID: 23703953 DOI: 10.1002/hep.26509]</w:t>
      </w:r>
    </w:p>
    <w:p w14:paraId="6A2DD53D" w14:textId="77777777" w:rsidR="00A77B3E" w:rsidRDefault="00D8132F">
      <w:pPr>
        <w:spacing w:line="360" w:lineRule="auto"/>
        <w:jc w:val="both"/>
      </w:pPr>
      <w:r>
        <w:rPr>
          <w:rFonts w:ascii="Book Antiqua" w:eastAsia="Book Antiqua" w:hAnsi="Book Antiqua" w:cs="Book Antiqua"/>
          <w:color w:val="000000"/>
        </w:rPr>
        <w:t xml:space="preserve">180 </w:t>
      </w:r>
      <w:r>
        <w:rPr>
          <w:rFonts w:ascii="Book Antiqua" w:eastAsia="Book Antiqua" w:hAnsi="Book Antiqua" w:cs="Book Antiqua"/>
          <w:b/>
          <w:bCs/>
          <w:color w:val="000000"/>
        </w:rPr>
        <w:t>Wannhoff A</w:t>
      </w:r>
      <w:r>
        <w:rPr>
          <w:rFonts w:ascii="Book Antiqua" w:eastAsia="Book Antiqua" w:hAnsi="Book Antiqua" w:cs="Book Antiqua"/>
          <w:color w:val="000000"/>
        </w:rPr>
        <w:t xml:space="preserve">, Hippchen T, Weiss CS, Friedrich K, Rupp C, Neumann-Haefelin C, Dollinger M, Antoni C, Stampfl U, Schemmer P, Stremmel W, Weiss KH, Radeleff B, Katus HA, Gotthardt DN. Cardiac volume overload and pulmonary hypertension in long-term follow-up of patients with a transjugular intrahepatic portosystemic shunt.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955-965 [PMID: 26919285 DOI: 10.1111/apt.13569]</w:t>
      </w:r>
    </w:p>
    <w:p w14:paraId="7B5A7EC4" w14:textId="39C41C47" w:rsidR="00A77B3E" w:rsidRDefault="00D8132F">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Cazzaniga M</w:t>
      </w:r>
      <w:r>
        <w:rPr>
          <w:rFonts w:ascii="Book Antiqua" w:eastAsia="Book Antiqua" w:hAnsi="Book Antiqua" w:cs="Book Antiqua"/>
          <w:color w:val="000000"/>
        </w:rPr>
        <w:t xml:space="preserve">, Salerno F, Pagnozzi G, Dionigi E, Visentin S, Cirello I, Meregaglia D, Nicolini A. Diastolic dysfunction is associated with poor survival in patients with cirrhosis with transjugular intrahepatic portosystemic shunt.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869-875 [PMID: 17135305</w:t>
      </w:r>
      <w:r w:rsidR="00AB14FB">
        <w:rPr>
          <w:rFonts w:ascii="Book Antiqua" w:eastAsia="Book Antiqua" w:hAnsi="Book Antiqua" w:cs="Book Antiqua"/>
          <w:color w:val="000000"/>
        </w:rPr>
        <w:t xml:space="preserve"> </w:t>
      </w:r>
      <w:r w:rsidR="00AB14FB" w:rsidRPr="00AB14FB">
        <w:rPr>
          <w:rFonts w:ascii="Book Antiqua" w:eastAsia="Book Antiqua" w:hAnsi="Book Antiqua" w:cs="Book Antiqua"/>
          <w:color w:val="000000"/>
        </w:rPr>
        <w:t>DOI: 10.1136/gut.2006.102467</w:t>
      </w:r>
      <w:r>
        <w:rPr>
          <w:rFonts w:ascii="Book Antiqua" w:eastAsia="Book Antiqua" w:hAnsi="Book Antiqua" w:cs="Book Antiqua"/>
          <w:color w:val="000000"/>
        </w:rPr>
        <w:t>]</w:t>
      </w:r>
    </w:p>
    <w:p w14:paraId="59BE1DD6" w14:textId="77777777" w:rsidR="00A77B3E" w:rsidRDefault="00D8132F">
      <w:pPr>
        <w:spacing w:line="360" w:lineRule="auto"/>
        <w:jc w:val="both"/>
      </w:pPr>
      <w:r>
        <w:rPr>
          <w:rFonts w:ascii="Book Antiqua" w:eastAsia="Book Antiqua" w:hAnsi="Book Antiqua" w:cs="Book Antiqua"/>
          <w:color w:val="000000"/>
        </w:rPr>
        <w:t xml:space="preserve">182 </w:t>
      </w:r>
      <w:r>
        <w:rPr>
          <w:rFonts w:ascii="Book Antiqua" w:eastAsia="Book Antiqua" w:hAnsi="Book Antiqua" w:cs="Book Antiqua"/>
          <w:b/>
          <w:bCs/>
          <w:color w:val="000000"/>
        </w:rPr>
        <w:t>Shounak M</w:t>
      </w:r>
      <w:r>
        <w:rPr>
          <w:rFonts w:ascii="Book Antiqua" w:eastAsia="Book Antiqua" w:hAnsi="Book Antiqua" w:cs="Book Antiqua"/>
          <w:color w:val="000000"/>
        </w:rPr>
        <w:t xml:space="preserve">, Vimal R, Colin S, David I S. A retrospective analysis of the impact of diastolic dysfunction on one-year mortality after transjugular intrahepatic porto-systemic shunt, liver transplantation and non-transplant abdominal surgery in patients with cirrhosis.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385-390 [PMID: 26129720]</w:t>
      </w:r>
    </w:p>
    <w:p w14:paraId="6D8B85AA" w14:textId="77777777" w:rsidR="00A77B3E" w:rsidRDefault="00D8132F">
      <w:pPr>
        <w:spacing w:line="360" w:lineRule="auto"/>
        <w:jc w:val="both"/>
      </w:pPr>
      <w:r>
        <w:rPr>
          <w:rFonts w:ascii="Book Antiqua" w:eastAsia="Book Antiqua" w:hAnsi="Book Antiqua" w:cs="Book Antiqua"/>
          <w:color w:val="000000"/>
        </w:rPr>
        <w:t xml:space="preserve">183 </w:t>
      </w:r>
      <w:r>
        <w:rPr>
          <w:rFonts w:ascii="Book Antiqua" w:eastAsia="Book Antiqua" w:hAnsi="Book Antiqua" w:cs="Book Antiqua"/>
          <w:b/>
          <w:bCs/>
          <w:color w:val="000000"/>
        </w:rPr>
        <w:t>Armstrong MJ</w:t>
      </w:r>
      <w:r>
        <w:rPr>
          <w:rFonts w:ascii="Book Antiqua" w:eastAsia="Book Antiqua" w:hAnsi="Book Antiqua" w:cs="Book Antiqua"/>
          <w:color w:val="000000"/>
        </w:rPr>
        <w:t xml:space="preserve">, Gohar F, Dhaliwal A, Nightingale P, Baker G, Greaves D, Mangat K, Zia Z, Karkhanis S, Olliff S, Mehrzad H, Steeds RP, Tripathi D. Diastolic dysfunction on echocardiography does not predict survival after transjugular intrahepatic portosystemic stent-shunt in patients with cirrhosis.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797-806 [PMID: 30773660 DOI: 10.1111/apt.15164]</w:t>
      </w:r>
    </w:p>
    <w:p w14:paraId="1C93AC51" w14:textId="77777777" w:rsidR="00A77B3E" w:rsidRDefault="00D8132F">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Modha K</w:t>
      </w:r>
      <w:r>
        <w:rPr>
          <w:rFonts w:ascii="Book Antiqua" w:eastAsia="Book Antiqua" w:hAnsi="Book Antiqua" w:cs="Book Antiqua"/>
          <w:color w:val="000000"/>
        </w:rPr>
        <w:t xml:space="preserve">, Kapoor B, Lopez R, Sands MJ, Carey W. Symptomatic Heart Failure After Transjugular Intrahepatic Portosystemic Shunt Placement: Incidence, Outcomes, and Predictors.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564-571 [PMID: 29181605 DOI: 10.1007/s00270-017-1848-1]</w:t>
      </w:r>
    </w:p>
    <w:p w14:paraId="68466615" w14:textId="56B93E5E" w:rsidR="00A77B3E" w:rsidRDefault="00D8132F">
      <w:pPr>
        <w:spacing w:line="360" w:lineRule="auto"/>
        <w:jc w:val="both"/>
      </w:pPr>
      <w:r>
        <w:rPr>
          <w:rFonts w:ascii="Book Antiqua" w:eastAsia="Book Antiqua" w:hAnsi="Book Antiqua" w:cs="Book Antiqua"/>
          <w:color w:val="000000"/>
        </w:rPr>
        <w:lastRenderedPageBreak/>
        <w:t xml:space="preserve">185 </w:t>
      </w:r>
      <w:r>
        <w:rPr>
          <w:rFonts w:ascii="Book Antiqua" w:eastAsia="Book Antiqua" w:hAnsi="Book Antiqua" w:cs="Book Antiqua"/>
          <w:b/>
          <w:bCs/>
          <w:color w:val="000000"/>
        </w:rPr>
        <w:t>Billey C</w:t>
      </w:r>
      <w:r>
        <w:rPr>
          <w:rFonts w:ascii="Book Antiqua" w:eastAsia="Book Antiqua" w:hAnsi="Book Antiqua" w:cs="Book Antiqua"/>
          <w:color w:val="000000"/>
        </w:rPr>
        <w:t xml:space="preserve">, Billet S, Robic MA, Cognet T, Guillaume M, Vinel JP, Péron JM, Lairez O, Bureau C. A Prospective Study Identifying Predictive Factors of Cardiac Decompensation After Transjugular Intrahepatic Portosystemic Shunt: The Toulouse Algorithm.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xml:space="preserve">: 1928-1941 [PMID: 31512743 DOI: </w:t>
      </w:r>
      <w:r w:rsidR="00AB14FB" w:rsidRPr="00AB14FB">
        <w:rPr>
          <w:rFonts w:ascii="Book Antiqua" w:eastAsia="Book Antiqua" w:hAnsi="Book Antiqua" w:cs="Book Antiqua"/>
          <w:color w:val="000000"/>
        </w:rPr>
        <w:t>10.1002/hep.30934</w:t>
      </w:r>
      <w:r>
        <w:rPr>
          <w:rFonts w:ascii="Book Antiqua" w:eastAsia="Book Antiqua" w:hAnsi="Book Antiqua" w:cs="Book Antiqua"/>
          <w:color w:val="000000"/>
        </w:rPr>
        <w:t>]</w:t>
      </w:r>
    </w:p>
    <w:p w14:paraId="6FC7187B" w14:textId="77777777" w:rsidR="00A77B3E" w:rsidRDefault="00D8132F">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Jansen C</w:t>
      </w:r>
      <w:r>
        <w:rPr>
          <w:rFonts w:ascii="Book Antiqua" w:eastAsia="Book Antiqua" w:hAnsi="Book Antiqua" w:cs="Book Antiqua"/>
          <w:color w:val="000000"/>
        </w:rPr>
        <w:t xml:space="preserve">, Schröder A, Schueler R, Lehmann J, Praktiknjo M, Uschner FE, Schierwagen R, Thomas D, Monteiro S, Nickenig G, Strassburg CP, Meyer C, Arroyo V, Hammerstingl C, Trebicka J. Left Ventricular Longitudinal Contractility Predicts Acute-on-Chronic Liver Failure Development and Mortality After Transjugular Intrahepatic Portosystemic Shunt. </w:t>
      </w:r>
      <w:r>
        <w:rPr>
          <w:rFonts w:ascii="Book Antiqua" w:eastAsia="Book Antiqua" w:hAnsi="Book Antiqua" w:cs="Book Antiqua"/>
          <w:i/>
          <w:iCs/>
          <w:color w:val="000000"/>
        </w:rPr>
        <w:t>Hepatol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340-347 [PMID: 30984902 DOI: 10.1002/hep4.1308]</w:t>
      </w:r>
    </w:p>
    <w:p w14:paraId="44031341" w14:textId="77777777" w:rsidR="00A77B3E" w:rsidRDefault="00D8132F">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Fagiuoli S</w:t>
      </w:r>
      <w:r>
        <w:rPr>
          <w:rFonts w:ascii="Book Antiqua" w:eastAsia="Book Antiqua" w:hAnsi="Book Antiqua" w:cs="Book Antiqua"/>
          <w:color w:val="000000"/>
        </w:rPr>
        <w:t xml:space="preserve">, Bruno R, Debernardi Venon W, Schepis F, Vizzutti F, Toniutto P, Senzolo M, Caraceni P, Salerno F, Angeli P, Cioni R, Vitale A, Grosso M, De Gasperi A, D'Amico G, Marzano A; AISF TIPS Special Conference. Consensus conference on TIPS management: Techniques, indications, contraindications.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121-137 [PMID: 27884494 DOI: 10.1016/j.dld.2016.10.011]</w:t>
      </w:r>
    </w:p>
    <w:p w14:paraId="45068618" w14:textId="77777777" w:rsidR="00A77B3E" w:rsidRDefault="00D8132F">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Vizzutti F</w:t>
      </w:r>
      <w:r>
        <w:rPr>
          <w:rFonts w:ascii="Book Antiqua" w:eastAsia="Book Antiqua" w:hAnsi="Book Antiqua" w:cs="Book Antiqua"/>
          <w:color w:val="000000"/>
        </w:rPr>
        <w:t xml:space="preserve">, Rega L, Arena U, Romanelli RG, Meucci F, Barletta G, Schepis F, Tsalouchos A, Laffi G, Marra F. Paradoxical embolization in TIPS: take a closer look to the heart.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127-131 [PMID: 25536651]</w:t>
      </w:r>
    </w:p>
    <w:p w14:paraId="26532CA0" w14:textId="77777777" w:rsidR="00A77B3E" w:rsidRDefault="00D8132F">
      <w:pPr>
        <w:spacing w:line="360" w:lineRule="auto"/>
        <w:jc w:val="both"/>
      </w:pPr>
      <w:r>
        <w:rPr>
          <w:rFonts w:ascii="Book Antiqua" w:eastAsia="Book Antiqua" w:hAnsi="Book Antiqua" w:cs="Book Antiqua"/>
          <w:color w:val="000000"/>
        </w:rPr>
        <w:t xml:space="preserve">189 </w:t>
      </w:r>
      <w:r>
        <w:rPr>
          <w:rFonts w:ascii="Book Antiqua" w:eastAsia="Book Antiqua" w:hAnsi="Book Antiqua" w:cs="Book Antiqua"/>
          <w:b/>
          <w:bCs/>
          <w:color w:val="000000"/>
        </w:rPr>
        <w:t>Dasarathy J</w:t>
      </w:r>
      <w:r>
        <w:rPr>
          <w:rFonts w:ascii="Book Antiqua" w:eastAsia="Book Antiqua" w:hAnsi="Book Antiqua" w:cs="Book Antiqua"/>
          <w:color w:val="000000"/>
        </w:rPr>
        <w:t xml:space="preserve">, Alkhouri N, Dasarathy S. Changes in body composition after transjugular intrahepatic portosystemic stent in cirrhosis: a critical review of literature.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1250-1258 [PMID: 21745273 DOI: 10.1111/j.1478-3231.2011.02498.x]</w:t>
      </w:r>
    </w:p>
    <w:p w14:paraId="5FE3AACC" w14:textId="77777777" w:rsidR="00A77B3E" w:rsidRDefault="00D8132F">
      <w:pPr>
        <w:spacing w:line="360" w:lineRule="auto"/>
        <w:jc w:val="both"/>
      </w:pPr>
      <w:r>
        <w:rPr>
          <w:rFonts w:ascii="Book Antiqua" w:eastAsia="Book Antiqua" w:hAnsi="Book Antiqua" w:cs="Book Antiqua"/>
          <w:color w:val="000000"/>
        </w:rPr>
        <w:t xml:space="preserve">190 </w:t>
      </w:r>
      <w:r>
        <w:rPr>
          <w:rFonts w:ascii="Book Antiqua" w:eastAsia="Book Antiqua" w:hAnsi="Book Antiqua" w:cs="Book Antiqua"/>
          <w:b/>
          <w:bCs/>
          <w:color w:val="000000"/>
        </w:rPr>
        <w:t>Periyalwar P</w:t>
      </w:r>
      <w:r>
        <w:rPr>
          <w:rFonts w:ascii="Book Antiqua" w:eastAsia="Book Antiqua" w:hAnsi="Book Antiqua" w:cs="Book Antiqua"/>
          <w:color w:val="000000"/>
        </w:rPr>
        <w:t xml:space="preserve">, Dasarathy S. Malnutrition in cirrhosis: contribution and consequences of sarcopenia on metabolic and clinical responses.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95-131 [PMID: 22321468 DOI: 10.1016/j.cld.2011.12.009]</w:t>
      </w:r>
    </w:p>
    <w:p w14:paraId="3C1C488C" w14:textId="77777777" w:rsidR="00A77B3E" w:rsidRDefault="00D8132F">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Dasarathy S</w:t>
      </w:r>
      <w:r>
        <w:rPr>
          <w:rFonts w:ascii="Book Antiqua" w:eastAsia="Book Antiqua" w:hAnsi="Book Antiqua" w:cs="Book Antiqua"/>
          <w:color w:val="000000"/>
        </w:rPr>
        <w:t xml:space="preserve">. Consilience in sarcopenia of cirrhosis. </w:t>
      </w:r>
      <w:r>
        <w:rPr>
          <w:rFonts w:ascii="Book Antiqua" w:eastAsia="Book Antiqua" w:hAnsi="Book Antiqua" w:cs="Book Antiqua"/>
          <w:i/>
          <w:iCs/>
          <w:color w:val="000000"/>
        </w:rPr>
        <w:t>J Cachexia Sarcopenia Muscle</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225-237 [PMID: 22648736 DOI: 10.1007/s13539-012-0069-3]</w:t>
      </w:r>
    </w:p>
    <w:p w14:paraId="2418070A" w14:textId="77777777" w:rsidR="00A77B3E" w:rsidRDefault="00D8132F">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w:t>
      </w:r>
      <w:r>
        <w:rPr>
          <w:rFonts w:ascii="Book Antiqua" w:eastAsia="Book Antiqua" w:hAnsi="Book Antiqua" w:cs="Book Antiqua"/>
          <w:color w:val="000000"/>
        </w:rPr>
        <w:lastRenderedPageBreak/>
        <w:t xml:space="preserve">Clinical Practice Guidelines on nutrition in chronic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172-193 [PMID: 30144956 DOI: 10.1016/j.jhep.2018.06.024]</w:t>
      </w:r>
    </w:p>
    <w:p w14:paraId="48D2DEDA" w14:textId="77777777" w:rsidR="00A77B3E" w:rsidRDefault="00D8132F">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Borhofen SM</w:t>
      </w:r>
      <w:r>
        <w:rPr>
          <w:rFonts w:ascii="Book Antiqua" w:eastAsia="Book Antiqua" w:hAnsi="Book Antiqua" w:cs="Book Antiqua"/>
          <w:color w:val="000000"/>
        </w:rPr>
        <w:t xml:space="preserve">, Gerner C, Lehmann J, Fimmers R, Görtzen J, Hey B, Geiser F, Strassburg CP, Trebicka J. The Royal Free Hospital-Nutritional Prioritizing Tool Is an Independent Predictor of Deterioration of Liver Function and Survival in Cirrhosis.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1735-1743 [PMID: 26725059 DOI: 10.1007/s10620-015-4015-z]</w:t>
      </w:r>
    </w:p>
    <w:p w14:paraId="5CBC3154" w14:textId="77777777" w:rsidR="00A77B3E" w:rsidRDefault="00D8132F">
      <w:pPr>
        <w:spacing w:line="360" w:lineRule="auto"/>
        <w:jc w:val="both"/>
      </w:pPr>
      <w:r>
        <w:rPr>
          <w:rFonts w:ascii="Book Antiqua" w:eastAsia="Book Antiqua" w:hAnsi="Book Antiqua" w:cs="Book Antiqua"/>
          <w:color w:val="000000"/>
        </w:rPr>
        <w:t xml:space="preserve">194 </w:t>
      </w:r>
      <w:r>
        <w:rPr>
          <w:rFonts w:ascii="Book Antiqua" w:eastAsia="Book Antiqua" w:hAnsi="Book Antiqua" w:cs="Book Antiqua"/>
          <w:b/>
          <w:bCs/>
          <w:color w:val="000000"/>
        </w:rPr>
        <w:t>Cruz-Jentoft AJ</w:t>
      </w:r>
      <w:r>
        <w:rPr>
          <w:rFonts w:ascii="Book Antiqua" w:eastAsia="Book Antiqua" w:hAnsi="Book Antiqua" w:cs="Book Antiqua"/>
          <w:color w:val="000000"/>
        </w:rPr>
        <w:t xml:space="preserve">, Baeyens JP, Bauer JM, Boirie Y, Cederholm T, Landi F, Martin FC, Michel JP, Rolland Y, Schneider SM, Topinková E, Vandewoude M, Zamboni M; European Working Group on Sarcopenia in Older People. Sarcopenia: European consensus on definition and diagnosis: Report of the European Working Group on Sarcopenia in Older People. </w:t>
      </w:r>
      <w:r>
        <w:rPr>
          <w:rFonts w:ascii="Book Antiqua" w:eastAsia="Book Antiqua" w:hAnsi="Book Antiqua" w:cs="Book Antiqua"/>
          <w:i/>
          <w:iCs/>
          <w:color w:val="000000"/>
        </w:rPr>
        <w:t>Age Ageing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412-423 [PMID: 20392703 DOI: 10.1093/ageing/afq034]</w:t>
      </w:r>
    </w:p>
    <w:p w14:paraId="3ABD3F14" w14:textId="77777777" w:rsidR="00A77B3E" w:rsidRDefault="00D8132F">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Alberino F</w:t>
      </w:r>
      <w:r>
        <w:rPr>
          <w:rFonts w:ascii="Book Antiqua" w:eastAsia="Book Antiqua" w:hAnsi="Book Antiqua" w:cs="Book Antiqua"/>
          <w:color w:val="000000"/>
        </w:rPr>
        <w:t xml:space="preserve">, Gatta A, Amodio P, Merkel C, Di Pascoli L, Boffo G, Caregaro L. Nutrition and survival in patients with liver cirrhosis. </w:t>
      </w:r>
      <w:r>
        <w:rPr>
          <w:rFonts w:ascii="Book Antiqua" w:eastAsia="Book Antiqua" w:hAnsi="Book Antiqua" w:cs="Book Antiqua"/>
          <w:i/>
          <w:iCs/>
          <w:color w:val="000000"/>
        </w:rPr>
        <w:t>Nutrition</w:t>
      </w:r>
      <w:r>
        <w:rPr>
          <w:rFonts w:ascii="Book Antiqua" w:eastAsia="Book Antiqua" w:hAnsi="Book Antiqua" w:cs="Book Antiqua"/>
          <w:color w:val="000000"/>
        </w:rPr>
        <w:t xml:space="preserve"> 2001; </w:t>
      </w:r>
      <w:r>
        <w:rPr>
          <w:rFonts w:ascii="Book Antiqua" w:eastAsia="Book Antiqua" w:hAnsi="Book Antiqua" w:cs="Book Antiqua"/>
          <w:b/>
          <w:bCs/>
          <w:color w:val="000000"/>
        </w:rPr>
        <w:t>17</w:t>
      </w:r>
      <w:r>
        <w:rPr>
          <w:rFonts w:ascii="Book Antiqua" w:eastAsia="Book Antiqua" w:hAnsi="Book Antiqua" w:cs="Book Antiqua"/>
          <w:color w:val="000000"/>
        </w:rPr>
        <w:t>: 445-450 [PMID: 11399401 DOI: 10.1016/s0899-9007(01)00521-4]</w:t>
      </w:r>
    </w:p>
    <w:p w14:paraId="0929BAC2" w14:textId="77777777" w:rsidR="00A77B3E" w:rsidRDefault="00D8132F">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Morgan MY</w:t>
      </w:r>
      <w:r>
        <w:rPr>
          <w:rFonts w:ascii="Book Antiqua" w:eastAsia="Book Antiqua" w:hAnsi="Book Antiqua" w:cs="Book Antiqua"/>
          <w:color w:val="000000"/>
        </w:rPr>
        <w:t xml:space="preserve">, Madden AM, Soulsby CT, Morris RW. Derivation and validation of a new global method for assessing nutritional status in patients with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823-835 [PMID: 17006918 DOI: 10.1002/hep.21358]</w:t>
      </w:r>
    </w:p>
    <w:p w14:paraId="20EE6BCF" w14:textId="77777777" w:rsidR="00A77B3E" w:rsidRDefault="00D8132F">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Tsien C</w:t>
      </w:r>
      <w:r>
        <w:rPr>
          <w:rFonts w:ascii="Book Antiqua" w:eastAsia="Book Antiqua" w:hAnsi="Book Antiqua" w:cs="Book Antiqua"/>
          <w:color w:val="000000"/>
        </w:rPr>
        <w:t xml:space="preserve">, Shah SN, McCullough AJ, Dasarathy S. Reversal of sarcopenia predicts survival after a transjugular intrahepatic portosystemic stent.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85-93 [PMID: 23011041 DOI: 10.1097/MEG.0b013e328359a759]</w:t>
      </w:r>
    </w:p>
    <w:p w14:paraId="75AABB0A" w14:textId="77777777" w:rsidR="00A77B3E" w:rsidRDefault="00D8132F">
      <w:pPr>
        <w:spacing w:line="360" w:lineRule="auto"/>
        <w:jc w:val="both"/>
      </w:pPr>
      <w:r>
        <w:rPr>
          <w:rFonts w:ascii="Book Antiqua" w:eastAsia="Book Antiqua" w:hAnsi="Book Antiqua" w:cs="Book Antiqua"/>
          <w:color w:val="000000"/>
        </w:rPr>
        <w:t xml:space="preserve">198 </w:t>
      </w:r>
      <w:r>
        <w:rPr>
          <w:rFonts w:ascii="Book Antiqua" w:eastAsia="Book Antiqua" w:hAnsi="Book Antiqua" w:cs="Book Antiqua"/>
          <w:b/>
          <w:bCs/>
          <w:color w:val="000000"/>
        </w:rPr>
        <w:t>Jahangiri Y</w:t>
      </w:r>
      <w:r>
        <w:rPr>
          <w:rFonts w:ascii="Book Antiqua" w:eastAsia="Book Antiqua" w:hAnsi="Book Antiqua" w:cs="Book Antiqua"/>
          <w:color w:val="000000"/>
        </w:rPr>
        <w:t xml:space="preserve">, Pathak P, Tomozawa Y, Li L, Schlansky BL, Farsad K. Muscle Gain after Transjugular Intrahepatic Portosystemic Shunt Creation: Time Course and Prognostic Implications for Survival in Cirrhosis.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866-872.e4 [PMID: 31053265 DOI: 10.1016/j.jvir.2019.01.005]</w:t>
      </w:r>
    </w:p>
    <w:p w14:paraId="31D65C7B" w14:textId="77777777" w:rsidR="00A77B3E" w:rsidRDefault="00D8132F">
      <w:pPr>
        <w:spacing w:line="360" w:lineRule="auto"/>
        <w:jc w:val="both"/>
      </w:pPr>
      <w:r>
        <w:rPr>
          <w:rFonts w:ascii="Book Antiqua" w:eastAsia="Book Antiqua" w:hAnsi="Book Antiqua" w:cs="Book Antiqua"/>
          <w:color w:val="000000"/>
        </w:rPr>
        <w:t xml:space="preserve">199 </w:t>
      </w:r>
      <w:r>
        <w:rPr>
          <w:rFonts w:ascii="Book Antiqua" w:eastAsia="Book Antiqua" w:hAnsi="Book Antiqua" w:cs="Book Antiqua"/>
          <w:b/>
          <w:bCs/>
          <w:color w:val="000000"/>
        </w:rPr>
        <w:t>Praktiknjo M</w:t>
      </w:r>
      <w:r>
        <w:rPr>
          <w:rFonts w:ascii="Book Antiqua" w:eastAsia="Book Antiqua" w:hAnsi="Book Antiqua" w:cs="Book Antiqua"/>
          <w:color w:val="000000"/>
        </w:rPr>
        <w:t xml:space="preserve">, Book M, Luetkens J, Pohlmann A, Meyer C, Thomas D, Jansen C, Feist A, Chang J, Grimm J, Lehmann J, Strassburg CP, Abraldes JG, Kukuk G, Trebicka J. Fat-free muscle mass in magnetic resonance imaging predicts acute-on-chronic liver </w:t>
      </w:r>
      <w:r>
        <w:rPr>
          <w:rFonts w:ascii="Book Antiqua" w:eastAsia="Book Antiqua" w:hAnsi="Book Antiqua" w:cs="Book Antiqua"/>
          <w:color w:val="000000"/>
        </w:rPr>
        <w:lastRenderedPageBreak/>
        <w:t xml:space="preserve">failure and survival in decompensated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1014-1026 [PMID: 29059469 DOI: 10.1002/hep.29602]</w:t>
      </w:r>
    </w:p>
    <w:p w14:paraId="07A69941" w14:textId="77777777" w:rsidR="00A77B3E" w:rsidRDefault="00D8132F">
      <w:pPr>
        <w:spacing w:line="360" w:lineRule="auto"/>
        <w:jc w:val="both"/>
      </w:pPr>
      <w:r>
        <w:rPr>
          <w:rFonts w:ascii="Book Antiqua" w:eastAsia="Book Antiqua" w:hAnsi="Book Antiqua" w:cs="Book Antiqua"/>
          <w:color w:val="000000"/>
        </w:rPr>
        <w:t xml:space="preserve">200 </w:t>
      </w:r>
      <w:r>
        <w:rPr>
          <w:rFonts w:ascii="Book Antiqua" w:eastAsia="Book Antiqua" w:hAnsi="Book Antiqua" w:cs="Book Antiqua"/>
          <w:b/>
          <w:bCs/>
          <w:color w:val="000000"/>
        </w:rPr>
        <w:t>Shoreibah MG</w:t>
      </w:r>
      <w:r>
        <w:rPr>
          <w:rFonts w:ascii="Book Antiqua" w:eastAsia="Book Antiqua" w:hAnsi="Book Antiqua" w:cs="Book Antiqua"/>
          <w:color w:val="000000"/>
        </w:rPr>
        <w:t xml:space="preserve">, Mahmoud K, Aboueldahab NA, Vande Lune P, Massoud M, Bae S, El Khudari H, Gunn AJ, Abdel Aal AK. Psoas Muscle Density in Combination with Model for End-Stage Liver Disease Score Can Improve Survival Predictability in Transjugular Intrahepatic Portosystemic Shunts.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154-161 [PMID: 30717946 DOI: 10.1016/j.jvir.2018.10.006]</w:t>
      </w:r>
    </w:p>
    <w:p w14:paraId="1D51F96E" w14:textId="77777777" w:rsidR="00A77B3E" w:rsidRDefault="00D8132F">
      <w:pPr>
        <w:spacing w:line="360" w:lineRule="auto"/>
        <w:jc w:val="both"/>
      </w:pPr>
      <w:r>
        <w:rPr>
          <w:rFonts w:ascii="Book Antiqua" w:eastAsia="Book Antiqua" w:hAnsi="Book Antiqua" w:cs="Book Antiqua"/>
          <w:color w:val="000000"/>
        </w:rPr>
        <w:t xml:space="preserve">201 </w:t>
      </w:r>
      <w:r>
        <w:rPr>
          <w:rFonts w:ascii="Book Antiqua" w:eastAsia="Book Antiqua" w:hAnsi="Book Antiqua" w:cs="Book Antiqua"/>
          <w:b/>
          <w:bCs/>
          <w:color w:val="000000"/>
        </w:rPr>
        <w:t>Ronald J</w:t>
      </w:r>
      <w:r>
        <w:rPr>
          <w:rFonts w:ascii="Book Antiqua" w:eastAsia="Book Antiqua" w:hAnsi="Book Antiqua" w:cs="Book Antiqua"/>
          <w:color w:val="000000"/>
        </w:rPr>
        <w:t xml:space="preserve">, Bozdogan E, Zaki IH, Kappus MR, Choi SS, Martin JG, Suhocki PV, Smith TP, Kim CY, Bashir MR. Relative Sarcopenia With Excess Adiposity Predicts Survival After Transjugular Intrahepatic Portosystemic Shunt Creation.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200-205 [PMID: 31670594 DOI: 10.2214/AJR.19.21655]</w:t>
      </w:r>
    </w:p>
    <w:p w14:paraId="6CDAA7E2" w14:textId="77777777" w:rsidR="00A77B3E" w:rsidRDefault="00D8132F">
      <w:pPr>
        <w:spacing w:line="360" w:lineRule="auto"/>
        <w:jc w:val="both"/>
      </w:pPr>
      <w:r>
        <w:rPr>
          <w:rFonts w:ascii="Book Antiqua" w:eastAsia="Book Antiqua" w:hAnsi="Book Antiqua" w:cs="Book Antiqua"/>
          <w:color w:val="000000"/>
        </w:rPr>
        <w:t xml:space="preserve">202 </w:t>
      </w:r>
      <w:r>
        <w:rPr>
          <w:rFonts w:ascii="Book Antiqua" w:eastAsia="Book Antiqua" w:hAnsi="Book Antiqua" w:cs="Book Antiqua"/>
          <w:b/>
          <w:bCs/>
          <w:color w:val="000000"/>
        </w:rPr>
        <w:t>Nardelli S</w:t>
      </w:r>
      <w:r>
        <w:rPr>
          <w:rFonts w:ascii="Book Antiqua" w:eastAsia="Book Antiqua" w:hAnsi="Book Antiqua" w:cs="Book Antiqua"/>
          <w:color w:val="000000"/>
        </w:rPr>
        <w:t xml:space="preserve">, Lattanzi B, Torrisi S, Greco F, Farcomeni A, Gioia S, Merli M, Riggio O. Sarcopenia Is Risk Factor for Development of Hepatic Encephalopathy After Transjugular Intrahepatic Portosystemic Shunt Placement.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934-936 [PMID: 27816756 DOI: 10.1016/j.cgh.2016.10.028]</w:t>
      </w:r>
    </w:p>
    <w:p w14:paraId="1B67686A" w14:textId="77777777" w:rsidR="00A77B3E" w:rsidRDefault="00D8132F">
      <w:pPr>
        <w:spacing w:line="360" w:lineRule="auto"/>
        <w:jc w:val="both"/>
      </w:pPr>
      <w:r>
        <w:rPr>
          <w:rFonts w:ascii="Book Antiqua" w:eastAsia="Book Antiqua" w:hAnsi="Book Antiqua" w:cs="Book Antiqua"/>
          <w:color w:val="000000"/>
        </w:rPr>
        <w:t xml:space="preserve">203 </w:t>
      </w:r>
      <w:r>
        <w:rPr>
          <w:rFonts w:ascii="Book Antiqua" w:eastAsia="Book Antiqua" w:hAnsi="Book Antiqua" w:cs="Book Antiqua"/>
          <w:b/>
          <w:bCs/>
          <w:color w:val="000000"/>
        </w:rPr>
        <w:t>Farkas ZC</w:t>
      </w:r>
      <w:r>
        <w:rPr>
          <w:rFonts w:ascii="Book Antiqua" w:eastAsia="Book Antiqua" w:hAnsi="Book Antiqua" w:cs="Book Antiqua"/>
          <w:color w:val="000000"/>
        </w:rPr>
        <w:t xml:space="preserve">, Rashid T, Chen YS, Siddiqui TM, Yandrapalli S, Frager S, Aronow WS, Bodin R, Maddineni S. The correlation between sarcopaenia and post-transjugular intrahepatic portosystemic shunt hepatic encephalopathy: a single-institution review. </w:t>
      </w:r>
      <w:r>
        <w:rPr>
          <w:rFonts w:ascii="Book Antiqua" w:eastAsia="Book Antiqua" w:hAnsi="Book Antiqua" w:cs="Book Antiqua"/>
          <w:i/>
          <w:iCs/>
          <w:color w:val="000000"/>
        </w:rPr>
        <w:t>Arch Med Sci Atheroscler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e89-e93 [PMID: 31211275 DOI: 10.5114/amsad.2019.85380]</w:t>
      </w:r>
    </w:p>
    <w:p w14:paraId="691D5FC8" w14:textId="77777777" w:rsidR="00A77B3E" w:rsidRDefault="00D8132F">
      <w:pPr>
        <w:spacing w:line="360" w:lineRule="auto"/>
        <w:jc w:val="both"/>
      </w:pPr>
      <w:r>
        <w:rPr>
          <w:rFonts w:ascii="Book Antiqua" w:eastAsia="Book Antiqua" w:hAnsi="Book Antiqua" w:cs="Book Antiqua"/>
          <w:color w:val="000000"/>
        </w:rPr>
        <w:t xml:space="preserve">204 </w:t>
      </w:r>
      <w:r>
        <w:rPr>
          <w:rFonts w:ascii="Book Antiqua" w:eastAsia="Book Antiqua" w:hAnsi="Book Antiqua" w:cs="Book Antiqua"/>
          <w:b/>
          <w:bCs/>
          <w:color w:val="000000"/>
        </w:rPr>
        <w:t>Gioia S</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Nardelli S, Pitocchi F, Pileggi R, Lattanzi B, Merli M, Riggio O. The amelioration of muscle wasting leads to the improvement of cognitive impairment after transjugular intrahepatic portosystemic shunt: A proof of concept that sarcopenia and hepatic encephalopathy are causally related. </w:t>
      </w:r>
      <w:r w:rsidRPr="00657162">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sidRPr="00657162">
        <w:rPr>
          <w:rFonts w:ascii="Book Antiqua" w:eastAsia="Book Antiqua" w:hAnsi="Book Antiqua" w:cs="Book Antiqua"/>
          <w:b/>
          <w:bCs/>
          <w:color w:val="000000"/>
        </w:rPr>
        <w:t>68</w:t>
      </w:r>
      <w:r>
        <w:rPr>
          <w:rFonts w:ascii="Book Antiqua" w:eastAsia="Book Antiqua" w:hAnsi="Book Antiqua" w:cs="Book Antiqua"/>
          <w:color w:val="000000"/>
        </w:rPr>
        <w:t>: S700-701 [DOI: 10.1016/S0168-8278(18)31664-7]</w:t>
      </w:r>
    </w:p>
    <w:p w14:paraId="26F05B1E" w14:textId="1678CBEC" w:rsidR="00A77B3E" w:rsidRDefault="00D8132F">
      <w:pPr>
        <w:spacing w:line="360" w:lineRule="auto"/>
        <w:jc w:val="both"/>
      </w:pPr>
      <w:r>
        <w:rPr>
          <w:rFonts w:ascii="Book Antiqua" w:eastAsia="Book Antiqua" w:hAnsi="Book Antiqua" w:cs="Book Antiqua"/>
          <w:color w:val="000000"/>
        </w:rPr>
        <w:t xml:space="preserve">205 </w:t>
      </w:r>
      <w:r>
        <w:rPr>
          <w:rFonts w:ascii="Book Antiqua" w:eastAsia="Book Antiqua" w:hAnsi="Book Antiqua" w:cs="Book Antiqua"/>
          <w:b/>
          <w:bCs/>
          <w:color w:val="000000"/>
        </w:rPr>
        <w:t>Benmassaoud A</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Roccarina D, Yu D, Cheng F, Yu B, Patch D, Tsochatzis E. Impact of sarcopenia in patients undergoing transjugular intrahepatic portosystemic shunt insertion for refractory ascites. </w:t>
      </w:r>
      <w:r w:rsidRPr="00657162">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sidRPr="00657162">
        <w:rPr>
          <w:rFonts w:ascii="Book Antiqua" w:eastAsia="Book Antiqua" w:hAnsi="Book Antiqua" w:cs="Book Antiqua"/>
          <w:b/>
          <w:bCs/>
          <w:color w:val="000000"/>
        </w:rPr>
        <w:t>70</w:t>
      </w:r>
      <w:r>
        <w:rPr>
          <w:rFonts w:ascii="Book Antiqua" w:eastAsia="Book Antiqua" w:hAnsi="Book Antiqua" w:cs="Book Antiqua"/>
          <w:color w:val="000000"/>
        </w:rPr>
        <w:t>: E-632 [</w:t>
      </w:r>
      <w:r w:rsidR="00AB14FB">
        <w:rPr>
          <w:rFonts w:ascii="Book Antiqua" w:eastAsia="Book Antiqua" w:hAnsi="Book Antiqua" w:cs="Book Antiqua"/>
          <w:color w:val="000000"/>
        </w:rPr>
        <w:t>DOI</w:t>
      </w:r>
      <w:r>
        <w:rPr>
          <w:rFonts w:ascii="Book Antiqua" w:eastAsia="Book Antiqua" w:hAnsi="Book Antiqua" w:cs="Book Antiqua"/>
          <w:color w:val="000000"/>
        </w:rPr>
        <w:t>:</w:t>
      </w:r>
      <w:r w:rsidR="00AB14FB">
        <w:rPr>
          <w:rFonts w:ascii="Book Antiqua" w:eastAsia="Book Antiqua" w:hAnsi="Book Antiqua" w:cs="Book Antiqua"/>
          <w:color w:val="000000"/>
        </w:rPr>
        <w:t xml:space="preserve"> </w:t>
      </w:r>
      <w:r>
        <w:rPr>
          <w:rFonts w:ascii="Book Antiqua" w:eastAsia="Book Antiqua" w:hAnsi="Book Antiqua" w:cs="Book Antiqua"/>
          <w:color w:val="000000"/>
        </w:rPr>
        <w:t>10.1016/S0618-8278(19)31259-9]</w:t>
      </w:r>
    </w:p>
    <w:p w14:paraId="6DE4511B" w14:textId="77777777" w:rsidR="00A77B3E" w:rsidRDefault="00D8132F">
      <w:pPr>
        <w:spacing w:line="360" w:lineRule="auto"/>
        <w:jc w:val="both"/>
      </w:pPr>
      <w:r>
        <w:rPr>
          <w:rFonts w:ascii="Book Antiqua" w:eastAsia="Book Antiqua" w:hAnsi="Book Antiqua" w:cs="Book Antiqua"/>
          <w:color w:val="000000"/>
        </w:rPr>
        <w:lastRenderedPageBreak/>
        <w:t xml:space="preserve">206 </w:t>
      </w:r>
      <w:r>
        <w:rPr>
          <w:rFonts w:ascii="Book Antiqua" w:eastAsia="Book Antiqua" w:hAnsi="Book Antiqua" w:cs="Book Antiqua"/>
          <w:b/>
          <w:bCs/>
          <w:color w:val="000000"/>
        </w:rPr>
        <w:t>Perarnau JM</w:t>
      </w:r>
      <w:r>
        <w:rPr>
          <w:rFonts w:ascii="Book Antiqua" w:eastAsia="Book Antiqua" w:hAnsi="Book Antiqua" w:cs="Book Antiqua"/>
          <w:color w:val="000000"/>
        </w:rPr>
        <w:t xml:space="preserve">, Le Gouge A, Nicolas C, d'Alteroche L, Borentain P, Saliba F, Minello A, Anty R, Chagneau-Derrode C, Bernard PH, Abergel A, Ollivier-Hourmand I, Gournay J, Ayoub J, Gaborit C, Rusch E, Giraudeau B; STIC-TIPS group. Covered vs. uncovered stents for transjugular intrahepatic portosystemic shunt: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962-968 [PMID: 24480619 DOI: 10.1016/j.jhep.2014.01.015]</w:t>
      </w:r>
    </w:p>
    <w:p w14:paraId="6B087663" w14:textId="77777777" w:rsidR="00A77B3E" w:rsidRDefault="00D8132F">
      <w:pPr>
        <w:spacing w:line="360" w:lineRule="auto"/>
        <w:jc w:val="both"/>
      </w:pPr>
      <w:r>
        <w:rPr>
          <w:rFonts w:ascii="Book Antiqua" w:eastAsia="Book Antiqua" w:hAnsi="Book Antiqua" w:cs="Book Antiqua"/>
          <w:color w:val="000000"/>
        </w:rPr>
        <w:t xml:space="preserve">207 </w:t>
      </w:r>
      <w:r>
        <w:rPr>
          <w:rFonts w:ascii="Book Antiqua" w:eastAsia="Book Antiqua" w:hAnsi="Book Antiqua" w:cs="Book Antiqua"/>
          <w:b/>
          <w:bCs/>
          <w:color w:val="000000"/>
        </w:rPr>
        <w:t>Casado M</w:t>
      </w:r>
      <w:r>
        <w:rPr>
          <w:rFonts w:ascii="Book Antiqua" w:eastAsia="Book Antiqua" w:hAnsi="Book Antiqua" w:cs="Book Antiqua"/>
          <w:color w:val="000000"/>
        </w:rPr>
        <w:t xml:space="preserve">, Bosch J, García-Pagán JC, Bru C, Bañares R, Bandi JC, Escorsell A, Rodríguez-Láiz JM, Gilabert R, Feu F, Schorlemer C, Echenagusia A, Rodés J. Clinical events after transjugular intrahepatic portosystemic shunt: correlation with hemodynamic findings.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1296-1303 [PMID: 9609767 DOI: 10.1016/s0016-5085(98)70436-6]</w:t>
      </w:r>
    </w:p>
    <w:p w14:paraId="3EB29E4A" w14:textId="77777777" w:rsidR="00A77B3E" w:rsidRDefault="00D8132F">
      <w:pPr>
        <w:spacing w:line="360" w:lineRule="auto"/>
        <w:jc w:val="both"/>
      </w:pPr>
      <w:r>
        <w:rPr>
          <w:rFonts w:ascii="Book Antiqua" w:eastAsia="Book Antiqua" w:hAnsi="Book Antiqua" w:cs="Book Antiqua"/>
          <w:color w:val="000000"/>
        </w:rPr>
        <w:t xml:space="preserve">208 </w:t>
      </w:r>
      <w:r>
        <w:rPr>
          <w:rFonts w:ascii="Book Antiqua" w:eastAsia="Book Antiqua" w:hAnsi="Book Antiqua" w:cs="Book Antiqua"/>
          <w:b/>
          <w:bCs/>
          <w:color w:val="000000"/>
        </w:rPr>
        <w:t>Zuckerman DA</w:t>
      </w:r>
      <w:r>
        <w:rPr>
          <w:rFonts w:ascii="Book Antiqua" w:eastAsia="Book Antiqua" w:hAnsi="Book Antiqua" w:cs="Book Antiqua"/>
          <w:color w:val="000000"/>
        </w:rPr>
        <w:t xml:space="preserve">, Darcy MD, Bocchini TP, Hildebolt CF. Encephalopathy after transjugular intrahepatic portosystemic shunting: analysis of incidence and potential risk factors.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169</w:t>
      </w:r>
      <w:r>
        <w:rPr>
          <w:rFonts w:ascii="Book Antiqua" w:eastAsia="Book Antiqua" w:hAnsi="Book Antiqua" w:cs="Book Antiqua"/>
          <w:color w:val="000000"/>
        </w:rPr>
        <w:t>: 1727-1731 [PMID: 9393198 DOI: 10.2214/ajr.169.6.9393198]</w:t>
      </w:r>
    </w:p>
    <w:p w14:paraId="656F4D21" w14:textId="77777777" w:rsidR="00A77B3E" w:rsidRDefault="00D8132F">
      <w:pPr>
        <w:spacing w:line="360" w:lineRule="auto"/>
        <w:jc w:val="both"/>
      </w:pPr>
      <w:r>
        <w:rPr>
          <w:rFonts w:ascii="Book Antiqua" w:eastAsia="Book Antiqua" w:hAnsi="Book Antiqua" w:cs="Book Antiqua"/>
          <w:color w:val="000000"/>
        </w:rPr>
        <w:t xml:space="preserve">209 </w:t>
      </w:r>
      <w:r>
        <w:rPr>
          <w:rFonts w:ascii="Book Antiqua" w:eastAsia="Book Antiqua" w:hAnsi="Book Antiqua" w:cs="Book Antiqua"/>
          <w:b/>
          <w:bCs/>
          <w:color w:val="000000"/>
        </w:rPr>
        <w:t>Wang Q</w:t>
      </w:r>
      <w:r>
        <w:rPr>
          <w:rFonts w:ascii="Book Antiqua" w:eastAsia="Book Antiqua" w:hAnsi="Book Antiqua" w:cs="Book Antiqua"/>
          <w:color w:val="000000"/>
        </w:rPr>
        <w:t xml:space="preserve">, Lv Y, Bai M, Wang Z, Liu H, He C, Niu J, Guo W, Luo B, Yin Z, Bai W, Chen H, Wang E, Xia D, Li X, Yuan J, Han N, Cai H, Li T, Xie H, Xia J, Wang J, Zhang H, Wu K, Fan D, Han G. Eight millimetre covered TIPS does not compromise shunt function but reduces hepatic encephalopathy in preventing variceal rebleeding.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508-516 [PMID: 28506905 DOI: 10.1016/j.jhep.2017.05.006]</w:t>
      </w:r>
    </w:p>
    <w:p w14:paraId="79EED96E" w14:textId="77777777" w:rsidR="00A77B3E" w:rsidRDefault="00D8132F">
      <w:pPr>
        <w:spacing w:line="360" w:lineRule="auto"/>
        <w:jc w:val="both"/>
      </w:pPr>
      <w:r>
        <w:rPr>
          <w:rFonts w:ascii="Book Antiqua" w:eastAsia="Book Antiqua" w:hAnsi="Book Antiqua" w:cs="Book Antiqua"/>
          <w:color w:val="000000"/>
        </w:rPr>
        <w:t xml:space="preserve">210 </w:t>
      </w:r>
      <w:r>
        <w:rPr>
          <w:rFonts w:ascii="Book Antiqua" w:eastAsia="Book Antiqua" w:hAnsi="Book Antiqua" w:cs="Book Antiqua"/>
          <w:b/>
          <w:bCs/>
          <w:color w:val="000000"/>
        </w:rPr>
        <w:t>Trebicka J</w:t>
      </w:r>
      <w:r>
        <w:rPr>
          <w:rFonts w:ascii="Book Antiqua" w:eastAsia="Book Antiqua" w:hAnsi="Book Antiqua" w:cs="Book Antiqua"/>
          <w:color w:val="000000"/>
        </w:rPr>
        <w:t xml:space="preserve">, Bastgen D, Byrtus J, Praktiknjo M, Terstiegen S, Meyer C, Thomas D, Fimmers R, Treitl M, Euringer W, Sauerbruch T, Rössle M. Smaller-Diameter Covered Transjugular Intrahepatic Portosystemic Shunt Stents Are Associated With Increased Survival.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2793-2799.e1 [PMID: 30940552 DOI: 10.1016/j.cgh.2019.03.042]</w:t>
      </w:r>
    </w:p>
    <w:p w14:paraId="5B18471F" w14:textId="77777777" w:rsidR="00A77B3E" w:rsidRDefault="00D8132F">
      <w:pPr>
        <w:spacing w:line="360" w:lineRule="auto"/>
        <w:jc w:val="both"/>
      </w:pPr>
      <w:r>
        <w:rPr>
          <w:rFonts w:ascii="Book Antiqua" w:eastAsia="Book Antiqua" w:hAnsi="Book Antiqua" w:cs="Book Antiqua"/>
          <w:color w:val="000000"/>
        </w:rPr>
        <w:t xml:space="preserve">211 </w:t>
      </w:r>
      <w:r>
        <w:rPr>
          <w:rFonts w:ascii="Book Antiqua" w:eastAsia="Book Antiqua" w:hAnsi="Book Antiqua" w:cs="Book Antiqua"/>
          <w:b/>
          <w:bCs/>
          <w:color w:val="000000"/>
        </w:rPr>
        <w:t>Rössle M</w:t>
      </w:r>
      <w:r>
        <w:rPr>
          <w:rFonts w:ascii="Book Antiqua" w:eastAsia="Book Antiqua" w:hAnsi="Book Antiqua" w:cs="Book Antiqua"/>
          <w:color w:val="000000"/>
        </w:rPr>
        <w:t xml:space="preserve">, Siegerstetter V, Olschewski M, Ochs A, Berger E, Haag K. How much reduction in portal pressure is necessary to prevent variceal rebleeding? A longitudinal study in 225 patients with transjugular intrahepatic portosystemic shunts.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3379-3383 [PMID: 11774952 DOI: 10.1111/j.1572-0241.2001.05340.x]</w:t>
      </w:r>
    </w:p>
    <w:p w14:paraId="4D6D5B55" w14:textId="77777777" w:rsidR="00A77B3E" w:rsidRDefault="00D8132F">
      <w:pPr>
        <w:spacing w:line="360" w:lineRule="auto"/>
        <w:jc w:val="both"/>
      </w:pPr>
      <w:r>
        <w:rPr>
          <w:rFonts w:ascii="Book Antiqua" w:eastAsia="Book Antiqua" w:hAnsi="Book Antiqua" w:cs="Book Antiqua"/>
          <w:color w:val="000000"/>
        </w:rPr>
        <w:lastRenderedPageBreak/>
        <w:t xml:space="preserve">212 </w:t>
      </w:r>
      <w:r>
        <w:rPr>
          <w:rFonts w:ascii="Book Antiqua" w:eastAsia="Book Antiqua" w:hAnsi="Book Antiqua" w:cs="Book Antiqua"/>
          <w:b/>
          <w:bCs/>
          <w:color w:val="000000"/>
        </w:rPr>
        <w:t>Casadaban LC</w:t>
      </w:r>
      <w:r>
        <w:rPr>
          <w:rFonts w:ascii="Book Antiqua" w:eastAsia="Book Antiqua" w:hAnsi="Book Antiqua" w:cs="Book Antiqua"/>
          <w:color w:val="000000"/>
        </w:rPr>
        <w:t xml:space="preserve">, Parvinian A, Minocha J, Lakhoo J, Grant CW, Ray CE Jr, Knuttinen MG, Bui JT, Gaba RC. Clearing the Confusion over Hepatic Encephalopathy After TIPS Creation: Incidence, Prognostic Factors, and Clinical Outcomes.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1059-1066 [PMID: 25316553 DOI: 10.1007/s10620-014-3391-0]</w:t>
      </w:r>
    </w:p>
    <w:p w14:paraId="7755BB5F" w14:textId="77777777" w:rsidR="00A77B3E" w:rsidRDefault="00D8132F">
      <w:pPr>
        <w:spacing w:line="360" w:lineRule="auto"/>
        <w:jc w:val="both"/>
      </w:pPr>
      <w:r>
        <w:rPr>
          <w:rFonts w:ascii="Book Antiqua" w:eastAsia="Book Antiqua" w:hAnsi="Book Antiqua" w:cs="Book Antiqua"/>
          <w:color w:val="000000"/>
        </w:rPr>
        <w:t xml:space="preserve">213 </w:t>
      </w:r>
      <w:r>
        <w:rPr>
          <w:rFonts w:ascii="Book Antiqua" w:eastAsia="Book Antiqua" w:hAnsi="Book Antiqua" w:cs="Book Antiqua"/>
          <w:b/>
          <w:bCs/>
          <w:color w:val="000000"/>
        </w:rPr>
        <w:t>Dariushnia SR</w:t>
      </w:r>
      <w:r>
        <w:rPr>
          <w:rFonts w:ascii="Book Antiqua" w:eastAsia="Book Antiqua" w:hAnsi="Book Antiqua" w:cs="Book Antiqua"/>
          <w:color w:val="000000"/>
        </w:rPr>
        <w:t xml:space="preserve">, Haskal ZJ, Midia M, Martin LG, Walker TG, Kalva SP, Clark TW, Ganguli S, Krishnamurthy V, Saiter CK, Nikolic B; Society of Interventional Radiology Standards of Practice Committee. Quality Improvement Guidelines for Transjugular Intrahepatic Portosystemic Shunts.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1-7 [PMID: 26614596 DOI: 10.1016/j.jvir.2015.09.018]</w:t>
      </w:r>
    </w:p>
    <w:p w14:paraId="2F021024" w14:textId="77777777" w:rsidR="00A77B3E" w:rsidRDefault="00D8132F">
      <w:pPr>
        <w:spacing w:line="360" w:lineRule="auto"/>
        <w:jc w:val="both"/>
      </w:pPr>
      <w:r>
        <w:rPr>
          <w:rFonts w:ascii="Book Antiqua" w:eastAsia="Book Antiqua" w:hAnsi="Book Antiqua" w:cs="Book Antiqua"/>
          <w:color w:val="000000"/>
        </w:rPr>
        <w:t xml:space="preserve">214 </w:t>
      </w:r>
      <w:r>
        <w:rPr>
          <w:rFonts w:ascii="Book Antiqua" w:eastAsia="Book Antiqua" w:hAnsi="Book Antiqua" w:cs="Book Antiqua"/>
          <w:b/>
          <w:bCs/>
          <w:color w:val="000000"/>
        </w:rPr>
        <w:t>Pieper CC</w:t>
      </w:r>
      <w:r>
        <w:rPr>
          <w:rFonts w:ascii="Book Antiqua" w:eastAsia="Book Antiqua" w:hAnsi="Book Antiqua" w:cs="Book Antiqua"/>
          <w:color w:val="000000"/>
        </w:rPr>
        <w:t xml:space="preserve">, Sprinkart AM, Nadal J, Hippe V, Meyer C, Schild HH, Thomas D. Postinterventional passive expansion of partially dilated transjugular intrahepatic portosystemic shunt stents.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388-394 [PMID: 25541420 DOI: 10.1016/j.jvir.2014.10.021]</w:t>
      </w:r>
    </w:p>
    <w:p w14:paraId="7D320CD1" w14:textId="77777777" w:rsidR="00A77B3E" w:rsidRDefault="00D8132F">
      <w:pPr>
        <w:spacing w:line="360" w:lineRule="auto"/>
        <w:jc w:val="both"/>
      </w:pPr>
      <w:r>
        <w:rPr>
          <w:rFonts w:ascii="Book Antiqua" w:eastAsia="Book Antiqua" w:hAnsi="Book Antiqua" w:cs="Book Antiqua"/>
          <w:color w:val="000000"/>
        </w:rPr>
        <w:t xml:space="preserve">215 </w:t>
      </w:r>
      <w:r>
        <w:rPr>
          <w:rFonts w:ascii="Book Antiqua" w:eastAsia="Book Antiqua" w:hAnsi="Book Antiqua" w:cs="Book Antiqua"/>
          <w:b/>
          <w:bCs/>
          <w:color w:val="000000"/>
        </w:rPr>
        <w:t>Mollaiyan A</w:t>
      </w:r>
      <w:r>
        <w:rPr>
          <w:rFonts w:ascii="Book Antiqua" w:eastAsia="Book Antiqua" w:hAnsi="Book Antiqua" w:cs="Book Antiqua"/>
          <w:color w:val="000000"/>
        </w:rPr>
        <w:t xml:space="preserve">, Bettinger D, Rössle M. The underdilation of nitinol stents at TIPS implantation: Solution or illusion?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123-128 [PMID: 28267527 DOI: 10.1016/j.ejrad.2017.01.032]</w:t>
      </w:r>
    </w:p>
    <w:p w14:paraId="0422A2AB" w14:textId="77777777" w:rsidR="00A77B3E" w:rsidRDefault="00D8132F">
      <w:pPr>
        <w:spacing w:line="360" w:lineRule="auto"/>
        <w:jc w:val="both"/>
      </w:pPr>
      <w:r>
        <w:rPr>
          <w:rFonts w:ascii="Book Antiqua" w:eastAsia="Book Antiqua" w:hAnsi="Book Antiqua" w:cs="Book Antiqua"/>
          <w:color w:val="000000"/>
        </w:rPr>
        <w:t xml:space="preserve">216 </w:t>
      </w:r>
      <w:r>
        <w:rPr>
          <w:rFonts w:ascii="Book Antiqua" w:eastAsia="Book Antiqua" w:hAnsi="Book Antiqua" w:cs="Book Antiqua"/>
          <w:b/>
          <w:bCs/>
          <w:color w:val="000000"/>
        </w:rPr>
        <w:t>Cui J</w:t>
      </w:r>
      <w:r>
        <w:rPr>
          <w:rFonts w:ascii="Book Antiqua" w:eastAsia="Book Antiqua" w:hAnsi="Book Antiqua" w:cs="Book Antiqua"/>
          <w:color w:val="000000"/>
        </w:rPr>
        <w:t xml:space="preserve">, Smolinski SE, Liu F, Xu D, Dulaimy K, Irani Z. Incrementally Expandable Transjugular Intrahepatic Portosystemic Shunts: Single-Center Experience.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210</w:t>
      </w:r>
      <w:r>
        <w:rPr>
          <w:rFonts w:ascii="Book Antiqua" w:eastAsia="Book Antiqua" w:hAnsi="Book Antiqua" w:cs="Book Antiqua"/>
          <w:color w:val="000000"/>
        </w:rPr>
        <w:t>: 438-446 [PMID: 29261352 DOI: 10.2214/AJR.17.18222]</w:t>
      </w:r>
    </w:p>
    <w:p w14:paraId="3FC72D99" w14:textId="34E47D81" w:rsidR="00A77B3E" w:rsidRDefault="00D8132F">
      <w:pPr>
        <w:spacing w:line="360" w:lineRule="auto"/>
        <w:jc w:val="both"/>
      </w:pPr>
      <w:r>
        <w:rPr>
          <w:rFonts w:ascii="Book Antiqua" w:eastAsia="Book Antiqua" w:hAnsi="Book Antiqua" w:cs="Book Antiqua"/>
          <w:color w:val="000000"/>
        </w:rPr>
        <w:t xml:space="preserve">217 </w:t>
      </w:r>
      <w:r>
        <w:rPr>
          <w:rFonts w:ascii="Book Antiqua" w:eastAsia="Book Antiqua" w:hAnsi="Book Antiqua" w:cs="Book Antiqua"/>
          <w:b/>
          <w:bCs/>
          <w:color w:val="000000"/>
        </w:rPr>
        <w:t>Praktiknjo M</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Lehmann J, Fischer S, Strassburg CP, Meyer C, Trebicka J. Novel diameter controlled expansion TIPS (Viatorr CX®) graft reduces readmission compared to regular covered TIPS graft and bare metal graft. </w:t>
      </w:r>
      <w:r w:rsidRPr="00657162">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sidRPr="00657162">
        <w:rPr>
          <w:rFonts w:ascii="Book Antiqua" w:eastAsia="Book Antiqua" w:hAnsi="Book Antiqua" w:cs="Book Antiqua"/>
          <w:b/>
          <w:bCs/>
          <w:color w:val="000000"/>
        </w:rPr>
        <w:t>66</w:t>
      </w:r>
      <w:r>
        <w:rPr>
          <w:rFonts w:ascii="Book Antiqua" w:eastAsia="Book Antiqua" w:hAnsi="Book Antiqua" w:cs="Book Antiqua"/>
          <w:color w:val="000000"/>
        </w:rPr>
        <w:t>: S48-</w:t>
      </w:r>
      <w:r w:rsidR="00FE792D">
        <w:rPr>
          <w:rFonts w:ascii="Book Antiqua" w:eastAsia="Book Antiqua" w:hAnsi="Book Antiqua" w:cs="Book Antiqua"/>
          <w:color w:val="000000"/>
        </w:rPr>
        <w:t>S</w:t>
      </w:r>
      <w:r>
        <w:rPr>
          <w:rFonts w:ascii="Book Antiqua" w:eastAsia="Book Antiqua" w:hAnsi="Book Antiqua" w:cs="Book Antiqua"/>
          <w:color w:val="000000"/>
        </w:rPr>
        <w:t>49 [DOI: 10.1016/S0168-8278(17)30360-4]</w:t>
      </w:r>
    </w:p>
    <w:p w14:paraId="572D1841" w14:textId="77777777" w:rsidR="00A77B3E" w:rsidRDefault="00D8132F">
      <w:pPr>
        <w:spacing w:line="360" w:lineRule="auto"/>
        <w:jc w:val="both"/>
      </w:pPr>
      <w:r>
        <w:rPr>
          <w:rFonts w:ascii="Book Antiqua" w:eastAsia="Book Antiqua" w:hAnsi="Book Antiqua" w:cs="Book Antiqua"/>
          <w:color w:val="000000"/>
        </w:rPr>
        <w:t xml:space="preserve">218 </w:t>
      </w:r>
      <w:r>
        <w:rPr>
          <w:rFonts w:ascii="Book Antiqua" w:eastAsia="Book Antiqua" w:hAnsi="Book Antiqua" w:cs="Book Antiqua"/>
          <w:b/>
          <w:bCs/>
          <w:color w:val="000000"/>
        </w:rPr>
        <w:t>Miraglia R</w:t>
      </w:r>
      <w:r>
        <w:rPr>
          <w:rFonts w:ascii="Book Antiqua" w:eastAsia="Book Antiqua" w:hAnsi="Book Antiqua" w:cs="Book Antiqua"/>
          <w:color w:val="000000"/>
        </w:rPr>
        <w:t xml:space="preserve">, Maruzzelli L, Cortis K, D'Amico M, Floridia G, Gallo G, Tafaro C, Luca A. Radiation Exposure in Transjugular Intrahepatic Portosystemic Shunt Creation.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210-217 [PMID: 26126582 DOI: 10.1007/s00270-015-1164-6]</w:t>
      </w:r>
    </w:p>
    <w:p w14:paraId="78084F00" w14:textId="77777777" w:rsidR="00A77B3E" w:rsidRDefault="00D8132F">
      <w:pPr>
        <w:spacing w:line="360" w:lineRule="auto"/>
        <w:jc w:val="both"/>
      </w:pPr>
      <w:r>
        <w:rPr>
          <w:rFonts w:ascii="Book Antiqua" w:eastAsia="Book Antiqua" w:hAnsi="Book Antiqua" w:cs="Book Antiqua"/>
          <w:color w:val="000000"/>
        </w:rPr>
        <w:t xml:space="preserve">219 </w:t>
      </w:r>
      <w:r>
        <w:rPr>
          <w:rFonts w:ascii="Book Antiqua" w:eastAsia="Book Antiqua" w:hAnsi="Book Antiqua" w:cs="Book Antiqua"/>
          <w:b/>
          <w:bCs/>
          <w:color w:val="000000"/>
        </w:rPr>
        <w:t>Marquardt S</w:t>
      </w:r>
      <w:r>
        <w:rPr>
          <w:rFonts w:ascii="Book Antiqua" w:eastAsia="Book Antiqua" w:hAnsi="Book Antiqua" w:cs="Book Antiqua"/>
          <w:color w:val="000000"/>
        </w:rPr>
        <w:t>, Rodt T, Rosenthal H, Wacker F, Meyer BC. Impact of Anatomical, Procedural, and Operator Skill Factors on the Success and Duration of Fluoroscopy-</w:t>
      </w:r>
      <w:r>
        <w:rPr>
          <w:rFonts w:ascii="Book Antiqua" w:eastAsia="Book Antiqua" w:hAnsi="Book Antiqua" w:cs="Book Antiqua"/>
          <w:color w:val="000000"/>
        </w:rPr>
        <w:lastRenderedPageBreak/>
        <w:t xml:space="preserve">Guided Transjugular Intrahepatic Portosystemic Shunt.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903-912 [PMID: 25501265 DOI: 10.1007/s00270-014-1035-6]</w:t>
      </w:r>
    </w:p>
    <w:p w14:paraId="71CBA796" w14:textId="77777777" w:rsidR="00A77B3E" w:rsidRDefault="00D8132F">
      <w:pPr>
        <w:spacing w:line="360" w:lineRule="auto"/>
        <w:jc w:val="both"/>
      </w:pPr>
      <w:r>
        <w:rPr>
          <w:rFonts w:ascii="Book Antiqua" w:eastAsia="Book Antiqua" w:hAnsi="Book Antiqua" w:cs="Book Antiqua"/>
          <w:color w:val="000000"/>
        </w:rPr>
        <w:t xml:space="preserve">220 </w:t>
      </w:r>
      <w:r>
        <w:rPr>
          <w:rFonts w:ascii="Book Antiqua" w:eastAsia="Book Antiqua" w:hAnsi="Book Antiqua" w:cs="Book Antiqua"/>
          <w:b/>
          <w:bCs/>
          <w:color w:val="000000"/>
        </w:rPr>
        <w:t>Owen AR</w:t>
      </w:r>
      <w:r>
        <w:rPr>
          <w:rFonts w:ascii="Book Antiqua" w:eastAsia="Book Antiqua" w:hAnsi="Book Antiqua" w:cs="Book Antiqua"/>
          <w:color w:val="000000"/>
        </w:rPr>
        <w:t xml:space="preserve">, Stanley AJ, Vijayananthan A, Moss JG. The transjugular intrahepatic portosystemic shunt (TIPS).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64</w:t>
      </w:r>
      <w:r>
        <w:rPr>
          <w:rFonts w:ascii="Book Antiqua" w:eastAsia="Book Antiqua" w:hAnsi="Book Antiqua" w:cs="Book Antiqua"/>
          <w:color w:val="000000"/>
        </w:rPr>
        <w:t>: 664-674 [PMID: 19520210 DOI: 10.1016/j.crad.2008.09.017]</w:t>
      </w:r>
    </w:p>
    <w:p w14:paraId="2CE9179C" w14:textId="77777777" w:rsidR="00A77B3E" w:rsidRDefault="00D8132F">
      <w:pPr>
        <w:spacing w:line="360" w:lineRule="auto"/>
        <w:jc w:val="both"/>
      </w:pPr>
      <w:r>
        <w:rPr>
          <w:rFonts w:ascii="Book Antiqua" w:eastAsia="Book Antiqua" w:hAnsi="Book Antiqua" w:cs="Book Antiqua"/>
          <w:color w:val="000000"/>
        </w:rPr>
        <w:t xml:space="preserve">221 </w:t>
      </w:r>
      <w:r>
        <w:rPr>
          <w:rFonts w:ascii="Book Antiqua" w:eastAsia="Book Antiqua" w:hAnsi="Book Antiqua" w:cs="Book Antiqua"/>
          <w:b/>
          <w:bCs/>
          <w:color w:val="000000"/>
        </w:rPr>
        <w:t>Fidelman N</w:t>
      </w:r>
      <w:r>
        <w:rPr>
          <w:rFonts w:ascii="Book Antiqua" w:eastAsia="Book Antiqua" w:hAnsi="Book Antiqua" w:cs="Book Antiqua"/>
          <w:color w:val="000000"/>
        </w:rPr>
        <w:t xml:space="preserve">, Kwan SW, LaBerge JM, Gordon RL, Ring EJ, Kerlan RK Jr. The transjugular intrahepatic portosystemic shunt: an update.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199</w:t>
      </w:r>
      <w:r>
        <w:rPr>
          <w:rFonts w:ascii="Book Antiqua" w:eastAsia="Book Antiqua" w:hAnsi="Book Antiqua" w:cs="Book Antiqua"/>
          <w:color w:val="000000"/>
        </w:rPr>
        <w:t>: 746-755 [PMID: 22997364 DOI: 10.2214/AJR.12.9101]</w:t>
      </w:r>
    </w:p>
    <w:p w14:paraId="053B87BA" w14:textId="77777777" w:rsidR="00A77B3E" w:rsidRDefault="00D8132F">
      <w:pPr>
        <w:spacing w:line="360" w:lineRule="auto"/>
        <w:jc w:val="both"/>
      </w:pPr>
      <w:r>
        <w:rPr>
          <w:rFonts w:ascii="Book Antiqua" w:eastAsia="Book Antiqua" w:hAnsi="Book Antiqua" w:cs="Book Antiqua"/>
          <w:color w:val="000000"/>
        </w:rPr>
        <w:t xml:space="preserve">222 </w:t>
      </w:r>
      <w:r>
        <w:rPr>
          <w:rFonts w:ascii="Book Antiqua" w:eastAsia="Book Antiqua" w:hAnsi="Book Antiqua" w:cs="Book Antiqua"/>
          <w:b/>
          <w:bCs/>
          <w:color w:val="000000"/>
        </w:rPr>
        <w:t>Teitelbaum GP</w:t>
      </w:r>
      <w:r>
        <w:rPr>
          <w:rFonts w:ascii="Book Antiqua" w:eastAsia="Book Antiqua" w:hAnsi="Book Antiqua" w:cs="Book Antiqua"/>
          <w:color w:val="000000"/>
        </w:rPr>
        <w:t xml:space="preserve">, Van Allan RJ, Reed RA, Hanks S, Katz MD. Portal venous branch targeting with a platinum-tipped wire to facilitate transjugular intrahepatic portosystemic shunt (TIPS) procedures.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16</w:t>
      </w:r>
      <w:r>
        <w:rPr>
          <w:rFonts w:ascii="Book Antiqua" w:eastAsia="Book Antiqua" w:hAnsi="Book Antiqua" w:cs="Book Antiqua"/>
          <w:color w:val="000000"/>
        </w:rPr>
        <w:t>: 198-200 [PMID: 8334696 DOI: 10.1007/BF02641894]</w:t>
      </w:r>
    </w:p>
    <w:p w14:paraId="57D2AC0E" w14:textId="77777777" w:rsidR="00A77B3E" w:rsidRDefault="00D8132F">
      <w:pPr>
        <w:spacing w:line="360" w:lineRule="auto"/>
        <w:jc w:val="both"/>
      </w:pPr>
      <w:r>
        <w:rPr>
          <w:rFonts w:ascii="Book Antiqua" w:eastAsia="Book Antiqua" w:hAnsi="Book Antiqua" w:cs="Book Antiqua"/>
          <w:color w:val="000000"/>
        </w:rPr>
        <w:t xml:space="preserve">223 </w:t>
      </w:r>
      <w:r>
        <w:rPr>
          <w:rFonts w:ascii="Book Antiqua" w:eastAsia="Book Antiqua" w:hAnsi="Book Antiqua" w:cs="Book Antiqua"/>
          <w:b/>
          <w:bCs/>
          <w:color w:val="000000"/>
        </w:rPr>
        <w:t>Haochen W</w:t>
      </w:r>
      <w:r>
        <w:rPr>
          <w:rFonts w:ascii="Book Antiqua" w:eastAsia="Book Antiqua" w:hAnsi="Book Antiqua" w:cs="Book Antiqua"/>
          <w:color w:val="000000"/>
        </w:rPr>
        <w:t xml:space="preserve">, Yinghua Z, Jian W. Intrahepatic arterial localizer guided transjugular intrahepatic portosystemic shunt placement: Feasibility, efficacy, and technical success assessed by a case series-a STROBE- compliant article.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e16868 [PMID: 31415422 DOI: 10.1097/MD.0000000000016868]</w:t>
      </w:r>
    </w:p>
    <w:p w14:paraId="481F8BD9" w14:textId="77777777" w:rsidR="00A77B3E" w:rsidRDefault="00D8132F">
      <w:pPr>
        <w:spacing w:line="360" w:lineRule="auto"/>
        <w:jc w:val="both"/>
      </w:pPr>
      <w:r>
        <w:rPr>
          <w:rFonts w:ascii="Book Antiqua" w:eastAsia="Book Antiqua" w:hAnsi="Book Antiqua" w:cs="Book Antiqua"/>
          <w:color w:val="000000"/>
        </w:rPr>
        <w:t xml:space="preserve">224 </w:t>
      </w:r>
      <w:r>
        <w:rPr>
          <w:rFonts w:ascii="Book Antiqua" w:eastAsia="Book Antiqua" w:hAnsi="Book Antiqua" w:cs="Book Antiqua"/>
          <w:b/>
          <w:bCs/>
          <w:color w:val="000000"/>
        </w:rPr>
        <w:t>Tavare AN</w:t>
      </w:r>
      <w:r>
        <w:rPr>
          <w:rFonts w:ascii="Book Antiqua" w:eastAsia="Book Antiqua" w:hAnsi="Book Antiqua" w:cs="Book Antiqua"/>
          <w:color w:val="000000"/>
        </w:rPr>
        <w:t xml:space="preserve">, Wigham A, Hadjivassilou A, Alvi A, Papadopoulou A, Goode A, Woodward N, Patch D, Yu D, Davies N. Use of transabdominal ultrasound-guided transjugular portal vein puncture on radiation dose in transjugular intrahepatic portosystemic shunt formation. </w:t>
      </w:r>
      <w:r>
        <w:rPr>
          <w:rFonts w:ascii="Book Antiqua" w:eastAsia="Book Antiqua" w:hAnsi="Book Antiqua" w:cs="Book Antiqua"/>
          <w:i/>
          <w:iCs/>
          <w:color w:val="000000"/>
        </w:rPr>
        <w:t>Diagn Interv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206-210 [PMID: 28223261 DOI: 10.5152/dir.2016.15601]</w:t>
      </w:r>
    </w:p>
    <w:p w14:paraId="7D44D9D9" w14:textId="77777777" w:rsidR="00A77B3E" w:rsidRDefault="00D8132F">
      <w:pPr>
        <w:spacing w:line="360" w:lineRule="auto"/>
        <w:jc w:val="both"/>
      </w:pPr>
      <w:r>
        <w:rPr>
          <w:rFonts w:ascii="Book Antiqua" w:eastAsia="Book Antiqua" w:hAnsi="Book Antiqua" w:cs="Book Antiqua"/>
          <w:color w:val="000000"/>
        </w:rPr>
        <w:t xml:space="preserve">225 </w:t>
      </w:r>
      <w:r>
        <w:rPr>
          <w:rFonts w:ascii="Book Antiqua" w:eastAsia="Book Antiqua" w:hAnsi="Book Antiqua" w:cs="Book Antiqua"/>
          <w:b/>
          <w:bCs/>
          <w:color w:val="000000"/>
        </w:rPr>
        <w:t>Kao SD</w:t>
      </w:r>
      <w:r>
        <w:rPr>
          <w:rFonts w:ascii="Book Antiqua" w:eastAsia="Book Antiqua" w:hAnsi="Book Antiqua" w:cs="Book Antiqua"/>
          <w:color w:val="000000"/>
        </w:rPr>
        <w:t xml:space="preserve">, Morshedi MM, Narsinh KH, Kinney TB, Minocha J, Picel AC, Newton I, Rose SC, Roberts AC, Kuo A, Aryafar H. Intravascular Ultrasound in the Creation of Transhepatic Portosystemic Shunts Reduces Needle Passes, Radiation Dose, and Procedure Time: A Retrospective Study of a Single-Institution Experience.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1148-1153 [PMID: 27052948 DOI: 10.1016/j.jvir.2016.01.137]</w:t>
      </w:r>
    </w:p>
    <w:p w14:paraId="556647C0" w14:textId="77777777" w:rsidR="00A77B3E" w:rsidRDefault="00D8132F">
      <w:pPr>
        <w:spacing w:line="360" w:lineRule="auto"/>
        <w:jc w:val="both"/>
      </w:pPr>
      <w:r>
        <w:rPr>
          <w:rFonts w:ascii="Book Antiqua" w:eastAsia="Book Antiqua" w:hAnsi="Book Antiqua" w:cs="Book Antiqua"/>
          <w:color w:val="000000"/>
        </w:rPr>
        <w:t xml:space="preserve">226 </w:t>
      </w:r>
      <w:r>
        <w:rPr>
          <w:rFonts w:ascii="Book Antiqua" w:eastAsia="Book Antiqua" w:hAnsi="Book Antiqua" w:cs="Book Antiqua"/>
          <w:b/>
          <w:bCs/>
          <w:color w:val="000000"/>
        </w:rPr>
        <w:t>Pillai AK</w:t>
      </w:r>
      <w:r>
        <w:rPr>
          <w:rFonts w:ascii="Book Antiqua" w:eastAsia="Book Antiqua" w:hAnsi="Book Antiqua" w:cs="Book Antiqua"/>
          <w:color w:val="000000"/>
        </w:rPr>
        <w:t xml:space="preserve">, Andring B, Faulconer N, Reis SP, Xi Y, Iyamu I, Suthpin PD, Kalva SP. Utility of Intravascular US-Guided Portal Vein Access during Transjugular Intrahepatic Portosystemic Shunt Creation: Retrospective Comparison with Conventional Technique </w:t>
      </w:r>
      <w:r>
        <w:rPr>
          <w:rFonts w:ascii="Book Antiqua" w:eastAsia="Book Antiqua" w:hAnsi="Book Antiqua" w:cs="Book Antiqua"/>
          <w:color w:val="000000"/>
        </w:rPr>
        <w:lastRenderedPageBreak/>
        <w:t xml:space="preserve">in 109 Patients.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1154-1159 [PMID: 27363298 DOI: 10.1016/j.jvir.2016.05.010]</w:t>
      </w:r>
    </w:p>
    <w:p w14:paraId="4FDB7C92" w14:textId="77777777" w:rsidR="00A77B3E" w:rsidRDefault="00D8132F">
      <w:pPr>
        <w:spacing w:line="360" w:lineRule="auto"/>
        <w:jc w:val="both"/>
      </w:pPr>
      <w:r>
        <w:rPr>
          <w:rFonts w:ascii="Book Antiqua" w:eastAsia="Book Antiqua" w:hAnsi="Book Antiqua" w:cs="Book Antiqua"/>
          <w:color w:val="000000"/>
        </w:rPr>
        <w:t xml:space="preserve">227 </w:t>
      </w:r>
      <w:r>
        <w:rPr>
          <w:rFonts w:ascii="Book Antiqua" w:eastAsia="Book Antiqua" w:hAnsi="Book Antiqua" w:cs="Book Antiqua"/>
          <w:b/>
          <w:bCs/>
          <w:color w:val="000000"/>
        </w:rPr>
        <w:t>Luo X</w:t>
      </w:r>
      <w:r>
        <w:rPr>
          <w:rFonts w:ascii="Book Antiqua" w:eastAsia="Book Antiqua" w:hAnsi="Book Antiqua" w:cs="Book Antiqua"/>
          <w:color w:val="000000"/>
        </w:rPr>
        <w:t xml:space="preserve">, Ye L, Zhou X, Tsauo J, Zhou B, Zhang H, Zhang X, Li X. C-Arm Cone-Beam Volume CT in Transjugular Intrahepatic Portosystemic Shunt: Initial Clinical Experience.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1627-1631 [PMID: 25832762 DOI: 10.1007/s00270-015-1087-2]</w:t>
      </w:r>
    </w:p>
    <w:p w14:paraId="3246D57E" w14:textId="77777777" w:rsidR="00A77B3E" w:rsidRDefault="00D8132F">
      <w:pPr>
        <w:spacing w:line="360" w:lineRule="auto"/>
        <w:jc w:val="both"/>
      </w:pPr>
      <w:r>
        <w:rPr>
          <w:rFonts w:ascii="Book Antiqua" w:eastAsia="Book Antiqua" w:hAnsi="Book Antiqua" w:cs="Book Antiqua"/>
          <w:color w:val="000000"/>
        </w:rPr>
        <w:t xml:space="preserve">228 </w:t>
      </w:r>
      <w:r>
        <w:rPr>
          <w:rFonts w:ascii="Book Antiqua" w:eastAsia="Book Antiqua" w:hAnsi="Book Antiqua" w:cs="Book Antiqua"/>
          <w:b/>
          <w:bCs/>
          <w:color w:val="000000"/>
        </w:rPr>
        <w:t>Ketelsen D</w:t>
      </w:r>
      <w:r>
        <w:rPr>
          <w:rFonts w:ascii="Book Antiqua" w:eastAsia="Book Antiqua" w:hAnsi="Book Antiqua" w:cs="Book Antiqua"/>
          <w:color w:val="000000"/>
        </w:rPr>
        <w:t xml:space="preserve">, Groezinger G, Maurer M, Lauer UM, Grosse U, Horger M, Nikolaou K, Syha R. Three-dimensional C-arm CT-guided transjugular intrahepatic portosystemic shunt placement: Feasibility, technical success and procedural time.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4277-4283 [PMID: 27048535 DOI: 10.1007/s00330-016-4340-4]</w:t>
      </w:r>
    </w:p>
    <w:p w14:paraId="6278FE31" w14:textId="77777777" w:rsidR="00A77B3E" w:rsidRDefault="00D8132F">
      <w:pPr>
        <w:spacing w:line="360" w:lineRule="auto"/>
        <w:jc w:val="both"/>
      </w:pPr>
      <w:r>
        <w:rPr>
          <w:rFonts w:ascii="Book Antiqua" w:eastAsia="Book Antiqua" w:hAnsi="Book Antiqua" w:cs="Book Antiqua"/>
          <w:color w:val="000000"/>
        </w:rPr>
        <w:t xml:space="preserve">229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Bui JT, Cotler SJ, Kallwitz ER, Mengin OT, Martinez BK, Berkes JL, Carrillo TC, Knuttinen MG, Owens CA. Rebleeding rates following TIPS for variceal hemorrhage in the Viatorr era: TIPS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TIPS with variceal embolization.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749-756 [PMID: 21286346 DOI: 10.1007/s12072-010-9206-2]</w:t>
      </w:r>
    </w:p>
    <w:p w14:paraId="56BC7936" w14:textId="77777777" w:rsidR="00A77B3E" w:rsidRDefault="00D8132F">
      <w:pPr>
        <w:spacing w:line="360" w:lineRule="auto"/>
        <w:jc w:val="both"/>
      </w:pPr>
      <w:r>
        <w:rPr>
          <w:rFonts w:ascii="Book Antiqua" w:eastAsia="Book Antiqua" w:hAnsi="Book Antiqua" w:cs="Book Antiqua"/>
          <w:color w:val="000000"/>
        </w:rPr>
        <w:t xml:space="preserve">230 </w:t>
      </w:r>
      <w:r>
        <w:rPr>
          <w:rFonts w:ascii="Book Antiqua" w:eastAsia="Book Antiqua" w:hAnsi="Book Antiqua" w:cs="Book Antiqua"/>
          <w:b/>
          <w:bCs/>
          <w:color w:val="000000"/>
        </w:rPr>
        <w:t>Tesdal IK</w:t>
      </w:r>
      <w:r>
        <w:rPr>
          <w:rFonts w:ascii="Book Antiqua" w:eastAsia="Book Antiqua" w:hAnsi="Book Antiqua" w:cs="Book Antiqua"/>
          <w:color w:val="000000"/>
        </w:rPr>
        <w:t xml:space="preserve">, Filser T, Weiss C, Holm E, Dueber C, Jaschke W. Transjugular intrahepatic portosystemic shunts: adjunctive embolotherapy of gastroesophageal collateral vessels in the prevention of variceal rebleeding.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236</w:t>
      </w:r>
      <w:r>
        <w:rPr>
          <w:rFonts w:ascii="Book Antiqua" w:eastAsia="Book Antiqua" w:hAnsi="Book Antiqua" w:cs="Book Antiqua"/>
          <w:color w:val="000000"/>
        </w:rPr>
        <w:t>: 360-367 [PMID: 15955858 DOI: 10.1148/radiol.2361040530]</w:t>
      </w:r>
    </w:p>
    <w:p w14:paraId="1782FD89" w14:textId="77777777" w:rsidR="00A77B3E" w:rsidRDefault="00D8132F">
      <w:pPr>
        <w:spacing w:line="360" w:lineRule="auto"/>
        <w:jc w:val="both"/>
      </w:pPr>
      <w:r>
        <w:rPr>
          <w:rFonts w:ascii="Book Antiqua" w:eastAsia="Book Antiqua" w:hAnsi="Book Antiqua" w:cs="Book Antiqua"/>
          <w:color w:val="000000"/>
        </w:rPr>
        <w:t xml:space="preserve">231 </w:t>
      </w:r>
      <w:r>
        <w:rPr>
          <w:rFonts w:ascii="Book Antiqua" w:eastAsia="Book Antiqua" w:hAnsi="Book Antiqua" w:cs="Book Antiqua"/>
          <w:b/>
          <w:bCs/>
          <w:color w:val="000000"/>
        </w:rPr>
        <w:t>Xiao T</w:t>
      </w:r>
      <w:r>
        <w:rPr>
          <w:rFonts w:ascii="Book Antiqua" w:eastAsia="Book Antiqua" w:hAnsi="Book Antiqua" w:cs="Book Antiqua"/>
          <w:color w:val="000000"/>
        </w:rPr>
        <w:t xml:space="preserve">, Chen L, Chen W, Xu B, Long Q, Li R, Li L, Peng Z, Fang D, Wang R. Comparison of transjugular intrahepatic portosystemic shunt (TIPS)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TIPS combined with embolotherapy in advanced cirrhosis: a retrospective study.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643-650 [PMID: 21301360 DOI: 10.1097/MCG.0b013e318203dfb3]</w:t>
      </w:r>
    </w:p>
    <w:p w14:paraId="17454059" w14:textId="77777777" w:rsidR="00A77B3E" w:rsidRDefault="00D8132F">
      <w:pPr>
        <w:spacing w:line="360" w:lineRule="auto"/>
        <w:jc w:val="both"/>
      </w:pPr>
      <w:r>
        <w:rPr>
          <w:rFonts w:ascii="Book Antiqua" w:eastAsia="Book Antiqua" w:hAnsi="Book Antiqua" w:cs="Book Antiqua"/>
          <w:color w:val="000000"/>
        </w:rPr>
        <w:t xml:space="preserve">232 </w:t>
      </w:r>
      <w:r>
        <w:rPr>
          <w:rFonts w:ascii="Book Antiqua" w:eastAsia="Book Antiqua" w:hAnsi="Book Antiqua" w:cs="Book Antiqua"/>
          <w:b/>
          <w:bCs/>
          <w:color w:val="000000"/>
        </w:rPr>
        <w:t>Chen S</w:t>
      </w:r>
      <w:r>
        <w:rPr>
          <w:rFonts w:ascii="Book Antiqua" w:eastAsia="Book Antiqua" w:hAnsi="Book Antiqua" w:cs="Book Antiqua"/>
          <w:color w:val="000000"/>
        </w:rPr>
        <w:t xml:space="preserve">, Li X, Wei B, Tong H, Zhang MG, Huang ZY, Cao JW, Tang CW. Recurrent variceal bleeding and shunt patency: prospective randomized controlled trial of transjugular intrahepatic portosystemic shunt alone or combined with coronary vein embolization.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268</w:t>
      </w:r>
      <w:r>
        <w:rPr>
          <w:rFonts w:ascii="Book Antiqua" w:eastAsia="Book Antiqua" w:hAnsi="Book Antiqua" w:cs="Book Antiqua"/>
          <w:color w:val="000000"/>
        </w:rPr>
        <w:t>: 900-906 [PMID: 23657891 DOI: 10.1148/radiol.13120800]</w:t>
      </w:r>
    </w:p>
    <w:p w14:paraId="56C2460F" w14:textId="77777777" w:rsidR="00A77B3E" w:rsidRDefault="00D8132F">
      <w:pPr>
        <w:spacing w:line="360" w:lineRule="auto"/>
        <w:jc w:val="both"/>
      </w:pPr>
      <w:r>
        <w:rPr>
          <w:rFonts w:ascii="Book Antiqua" w:eastAsia="Book Antiqua" w:hAnsi="Book Antiqua" w:cs="Book Antiqua"/>
          <w:color w:val="000000"/>
        </w:rPr>
        <w:t xml:space="preserve">233 </w:t>
      </w:r>
      <w:r>
        <w:rPr>
          <w:rFonts w:ascii="Book Antiqua" w:eastAsia="Book Antiqua" w:hAnsi="Book Antiqua" w:cs="Book Antiqua"/>
          <w:b/>
          <w:bCs/>
          <w:color w:val="000000"/>
        </w:rPr>
        <w:t>Shi Y</w:t>
      </w:r>
      <w:r>
        <w:rPr>
          <w:rFonts w:ascii="Book Antiqua" w:eastAsia="Book Antiqua" w:hAnsi="Book Antiqua" w:cs="Book Antiqua"/>
          <w:color w:val="000000"/>
        </w:rPr>
        <w:t xml:space="preserve">, Tian X, Hu J, Zhang J, Zhang C, Yang Y, Qin C. Efficacy of transjugular intrahepatic portosystemic shunt with adjunctive embolotherapy with cyanoacrylate for </w:t>
      </w:r>
      <w:r>
        <w:rPr>
          <w:rFonts w:ascii="Book Antiqua" w:eastAsia="Book Antiqua" w:hAnsi="Book Antiqua" w:cs="Book Antiqua"/>
          <w:color w:val="000000"/>
        </w:rPr>
        <w:lastRenderedPageBreak/>
        <w:t xml:space="preserve">esophageal variceal bleeding.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2325-2332 [PMID: 24748182 DOI: 10.1007/s10620-014-3150-2]</w:t>
      </w:r>
    </w:p>
    <w:p w14:paraId="7606A256" w14:textId="77777777" w:rsidR="00A77B3E" w:rsidRDefault="00D8132F">
      <w:pPr>
        <w:spacing w:line="360" w:lineRule="auto"/>
        <w:jc w:val="both"/>
      </w:pPr>
      <w:r>
        <w:rPr>
          <w:rFonts w:ascii="Book Antiqua" w:eastAsia="Book Antiqua" w:hAnsi="Book Antiqua" w:cs="Book Antiqua"/>
          <w:color w:val="000000"/>
        </w:rPr>
        <w:t xml:space="preserve">234 </w:t>
      </w:r>
      <w:r>
        <w:rPr>
          <w:rFonts w:ascii="Book Antiqua" w:eastAsia="Book Antiqua" w:hAnsi="Book Antiqua" w:cs="Book Antiqua"/>
          <w:b/>
          <w:bCs/>
          <w:color w:val="000000"/>
        </w:rPr>
        <w:t>Qi X</w:t>
      </w:r>
      <w:r>
        <w:rPr>
          <w:rFonts w:ascii="Book Antiqua" w:eastAsia="Book Antiqua" w:hAnsi="Book Antiqua" w:cs="Book Antiqua"/>
          <w:color w:val="000000"/>
        </w:rPr>
        <w:t xml:space="preserve">, Liu L, Bai M, Chen H, Wang J, Yang Z, Han G, Fan D. Transjugular intrahepatic portosystemic shunt in combination with or without variceal embolization for the prevention of variceal rebleeding: a meta-analysis.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688-696 [PMID: 24117967 DOI: 10.1111/jgh.12391]</w:t>
      </w:r>
    </w:p>
    <w:p w14:paraId="778EA4DD" w14:textId="77777777" w:rsidR="00A77B3E" w:rsidRDefault="00D8132F">
      <w:pPr>
        <w:spacing w:line="360" w:lineRule="auto"/>
        <w:jc w:val="both"/>
      </w:pPr>
      <w:r>
        <w:rPr>
          <w:rFonts w:ascii="Book Antiqua" w:eastAsia="Book Antiqua" w:hAnsi="Book Antiqua" w:cs="Book Antiqua"/>
          <w:color w:val="000000"/>
        </w:rPr>
        <w:t xml:space="preserve">235 </w:t>
      </w:r>
      <w:r>
        <w:rPr>
          <w:rFonts w:ascii="Book Antiqua" w:eastAsia="Book Antiqua" w:hAnsi="Book Antiqua" w:cs="Book Antiqua"/>
          <w:b/>
          <w:bCs/>
          <w:color w:val="000000"/>
        </w:rPr>
        <w:t>Sze DY</w:t>
      </w:r>
      <w:r>
        <w:rPr>
          <w:rFonts w:ascii="Book Antiqua" w:eastAsia="Book Antiqua" w:hAnsi="Book Antiqua" w:cs="Book Antiqua"/>
          <w:color w:val="000000"/>
        </w:rPr>
        <w:t xml:space="preserve">, Hwang GL, Kao JS, Frisoli JK, Kee ST, Razavi MK, Ahmed A. Bidirectionally adjustable TIPS reduction by parallel stent and stent-graft deployment.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1653-1658 [PMID: 18823797 DOI: 10.1016/j.jvir.2008.08.011]</w:t>
      </w:r>
    </w:p>
    <w:p w14:paraId="3657BA95" w14:textId="77777777" w:rsidR="00A77B3E" w:rsidRDefault="00D8132F">
      <w:pPr>
        <w:spacing w:line="360" w:lineRule="auto"/>
        <w:jc w:val="both"/>
      </w:pPr>
      <w:r>
        <w:rPr>
          <w:rFonts w:ascii="Book Antiqua" w:eastAsia="Book Antiqua" w:hAnsi="Book Antiqua" w:cs="Book Antiqua"/>
          <w:color w:val="000000"/>
        </w:rPr>
        <w:t xml:space="preserve">236 </w:t>
      </w:r>
      <w:r>
        <w:rPr>
          <w:rFonts w:ascii="Book Antiqua" w:eastAsia="Book Antiqua" w:hAnsi="Book Antiqua" w:cs="Book Antiqua"/>
          <w:b/>
          <w:bCs/>
          <w:color w:val="000000"/>
        </w:rPr>
        <w:t>Wolf DC</w:t>
      </w:r>
      <w:r>
        <w:rPr>
          <w:rFonts w:ascii="Book Antiqua" w:eastAsia="Book Antiqua" w:hAnsi="Book Antiqua" w:cs="Book Antiqua"/>
          <w:color w:val="000000"/>
        </w:rPr>
        <w:t xml:space="preserve">, Siddiqui S, Rayyan Y, Rozenblit G. Emergent stent occlusion for TIPS-induced liver failure.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50</w:t>
      </w:r>
      <w:r>
        <w:rPr>
          <w:rFonts w:ascii="Book Antiqua" w:eastAsia="Book Antiqua" w:hAnsi="Book Antiqua" w:cs="Book Antiqua"/>
          <w:color w:val="000000"/>
        </w:rPr>
        <w:t>: 2356-2358 [PMID: 16416189 DOI: 10.1007/s10620-005-3062-2]</w:t>
      </w:r>
    </w:p>
    <w:p w14:paraId="5E9DA930" w14:textId="77777777" w:rsidR="00A77B3E" w:rsidRDefault="00D8132F">
      <w:pPr>
        <w:spacing w:line="360" w:lineRule="auto"/>
        <w:jc w:val="both"/>
      </w:pPr>
      <w:r>
        <w:rPr>
          <w:rFonts w:ascii="Book Antiqua" w:eastAsia="Book Antiqua" w:hAnsi="Book Antiqua" w:cs="Book Antiqua"/>
          <w:color w:val="000000"/>
        </w:rPr>
        <w:t xml:space="preserve">237 </w:t>
      </w:r>
      <w:r>
        <w:rPr>
          <w:rFonts w:ascii="Book Antiqua" w:eastAsia="Book Antiqua" w:hAnsi="Book Antiqua" w:cs="Book Antiqua"/>
          <w:b/>
          <w:bCs/>
          <w:color w:val="000000"/>
        </w:rPr>
        <w:t>López-Méndez E</w:t>
      </w:r>
      <w:r>
        <w:rPr>
          <w:rFonts w:ascii="Book Antiqua" w:eastAsia="Book Antiqua" w:hAnsi="Book Antiqua" w:cs="Book Antiqua"/>
          <w:color w:val="000000"/>
        </w:rPr>
        <w:t xml:space="preserve">, Zamora-Valdés D, Díaz-Zamudio M, Fernández-Díaz OF, Avila L. Liver failure after an uncovered TIPS procedure associated with hepatic infarction.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167-170 [PMID: 21160990 DOI: 10.4254/wjh.v2.i4.167]</w:t>
      </w:r>
    </w:p>
    <w:p w14:paraId="61708614" w14:textId="77777777" w:rsidR="00A77B3E" w:rsidRDefault="00D8132F">
      <w:pPr>
        <w:spacing w:line="360" w:lineRule="auto"/>
        <w:jc w:val="both"/>
      </w:pPr>
      <w:r>
        <w:rPr>
          <w:rFonts w:ascii="Book Antiqua" w:eastAsia="Book Antiqua" w:hAnsi="Book Antiqua" w:cs="Book Antiqua"/>
          <w:color w:val="000000"/>
        </w:rPr>
        <w:t xml:space="preserve">238 </w:t>
      </w:r>
      <w:r>
        <w:rPr>
          <w:rFonts w:ascii="Book Antiqua" w:eastAsia="Book Antiqua" w:hAnsi="Book Antiqua" w:cs="Book Antiqua"/>
          <w:b/>
          <w:bCs/>
          <w:color w:val="000000"/>
        </w:rPr>
        <w:t>Vizzutti F</w:t>
      </w:r>
      <w:r>
        <w:rPr>
          <w:rFonts w:ascii="Book Antiqua" w:eastAsia="Book Antiqua" w:hAnsi="Book Antiqua" w:cs="Book Antiqua"/>
          <w:color w:val="000000"/>
        </w:rPr>
        <w:t xml:space="preserve">, Arena U, Rega L, Zipoli M, Abraldes JG, Romanelli RG, Tarquini R, Laffi G, Pinzani M. Liver failure complicating segmental hepatic ischaemia induced by a PTFE-coated TIPS stent.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582-584 [PMID: 19299387 DOI: 10.1136/gut.2008.172486]</w:t>
      </w:r>
    </w:p>
    <w:p w14:paraId="34D49FD5" w14:textId="77777777" w:rsidR="00A77B3E" w:rsidRDefault="00D8132F">
      <w:pPr>
        <w:spacing w:line="360" w:lineRule="auto"/>
        <w:jc w:val="both"/>
      </w:pPr>
      <w:r>
        <w:rPr>
          <w:rFonts w:ascii="Book Antiqua" w:eastAsia="Book Antiqua" w:hAnsi="Book Antiqua" w:cs="Book Antiqua"/>
          <w:color w:val="000000"/>
        </w:rPr>
        <w:t xml:space="preserve">239 </w:t>
      </w:r>
      <w:r>
        <w:rPr>
          <w:rFonts w:ascii="Book Antiqua" w:eastAsia="Book Antiqua" w:hAnsi="Book Antiqua" w:cs="Book Antiqua"/>
          <w:b/>
          <w:bCs/>
          <w:color w:val="000000"/>
        </w:rPr>
        <w:t>Casadaban LC</w:t>
      </w:r>
      <w:r>
        <w:rPr>
          <w:rFonts w:ascii="Book Antiqua" w:eastAsia="Book Antiqua" w:hAnsi="Book Antiqua" w:cs="Book Antiqua"/>
          <w:color w:val="000000"/>
        </w:rPr>
        <w:t xml:space="preserve">, Parvinian A, Couture PM, Minocha J, Knuttinen MG, Bui JT, Gaba RC. Characterization of liver function parameter alterations after transjugular intrahepatic portosystemic shunt creation and association with early mortality.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203</w:t>
      </w:r>
      <w:r>
        <w:rPr>
          <w:rFonts w:ascii="Book Antiqua" w:eastAsia="Book Antiqua" w:hAnsi="Book Antiqua" w:cs="Book Antiqua"/>
          <w:color w:val="000000"/>
        </w:rPr>
        <w:t>: 1363-1370 [PMID: 25415716 DOI: 10.2214/AJR.13.12232]</w:t>
      </w:r>
    </w:p>
    <w:p w14:paraId="5C047DCD" w14:textId="370FC922" w:rsidR="00A77B3E" w:rsidRDefault="00D8132F">
      <w:pPr>
        <w:spacing w:line="360" w:lineRule="auto"/>
        <w:jc w:val="both"/>
      </w:pPr>
      <w:r>
        <w:rPr>
          <w:rFonts w:ascii="Book Antiqua" w:eastAsia="Book Antiqua" w:hAnsi="Book Antiqua" w:cs="Book Antiqua"/>
          <w:color w:val="000000"/>
        </w:rPr>
        <w:t xml:space="preserve">240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Lakhoo J.  What constitutes liver failure after transjugular intrahepatic portosystemic shunt creation? A proposed definition and grading system.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230-235 [PMID: 26845600]</w:t>
      </w:r>
    </w:p>
    <w:p w14:paraId="335B0FFE" w14:textId="77777777" w:rsidR="00A77B3E" w:rsidRDefault="00D8132F">
      <w:pPr>
        <w:spacing w:line="360" w:lineRule="auto"/>
        <w:jc w:val="both"/>
      </w:pPr>
      <w:r>
        <w:rPr>
          <w:rFonts w:ascii="Book Antiqua" w:eastAsia="Book Antiqua" w:hAnsi="Book Antiqua" w:cs="Book Antiqua"/>
          <w:color w:val="000000"/>
        </w:rPr>
        <w:t xml:space="preserve">241 </w:t>
      </w:r>
      <w:r>
        <w:rPr>
          <w:rFonts w:ascii="Book Antiqua" w:eastAsia="Book Antiqua" w:hAnsi="Book Antiqua" w:cs="Book Antiqua"/>
          <w:b/>
          <w:bCs/>
          <w:color w:val="000000"/>
        </w:rPr>
        <w:t>Rajan DK</w:t>
      </w:r>
      <w:r>
        <w:rPr>
          <w:rFonts w:ascii="Book Antiqua" w:eastAsia="Book Antiqua" w:hAnsi="Book Antiqua" w:cs="Book Antiqua"/>
          <w:color w:val="000000"/>
        </w:rPr>
        <w:t xml:space="preserve">, Haskal ZJ, Clark TW. Serum bilirubin and early mortality after transjugular intrahepatic portosystemic shunts: results of a multivariate analysis.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155-161 [PMID: 11830621 DOI: 10.1016/s1051-0443(07)61932-0]</w:t>
      </w:r>
    </w:p>
    <w:p w14:paraId="47815A0A" w14:textId="77777777" w:rsidR="00A77B3E" w:rsidRDefault="00D8132F">
      <w:pPr>
        <w:spacing w:line="360" w:lineRule="auto"/>
        <w:jc w:val="both"/>
      </w:pPr>
      <w:r>
        <w:rPr>
          <w:rFonts w:ascii="Book Antiqua" w:eastAsia="Book Antiqua" w:hAnsi="Book Antiqua" w:cs="Book Antiqua"/>
          <w:color w:val="000000"/>
        </w:rPr>
        <w:lastRenderedPageBreak/>
        <w:t xml:space="preserve">242 </w:t>
      </w:r>
      <w:r>
        <w:rPr>
          <w:rFonts w:ascii="Book Antiqua" w:eastAsia="Book Antiqua" w:hAnsi="Book Antiqua" w:cs="Book Antiqua"/>
          <w:b/>
          <w:bCs/>
          <w:color w:val="000000"/>
        </w:rPr>
        <w:t>Ferral H</w:t>
      </w:r>
      <w:r>
        <w:rPr>
          <w:rFonts w:ascii="Book Antiqua" w:eastAsia="Book Antiqua" w:hAnsi="Book Antiqua" w:cs="Book Antiqua"/>
          <w:color w:val="000000"/>
        </w:rPr>
        <w:t xml:space="preserve">, Gamboa P, Postoak DW, Albernaz VS, Young CR, Speeg KV, McMahan CA. Survival after elective transjugular intrahepatic portosystemic shunt creation: prediction with model for end-stage liver disease score.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231</w:t>
      </w:r>
      <w:r>
        <w:rPr>
          <w:rFonts w:ascii="Book Antiqua" w:eastAsia="Book Antiqua" w:hAnsi="Book Antiqua" w:cs="Book Antiqua"/>
          <w:color w:val="000000"/>
        </w:rPr>
        <w:t>: 231-236 [PMID: 14990811 DOI: 10.1148/radiol.2311030967]</w:t>
      </w:r>
    </w:p>
    <w:p w14:paraId="48681882" w14:textId="77777777" w:rsidR="00A77B3E" w:rsidRDefault="00D8132F">
      <w:pPr>
        <w:spacing w:line="360" w:lineRule="auto"/>
        <w:jc w:val="both"/>
      </w:pPr>
      <w:r>
        <w:rPr>
          <w:rFonts w:ascii="Book Antiqua" w:eastAsia="Book Antiqua" w:hAnsi="Book Antiqua" w:cs="Book Antiqua"/>
          <w:color w:val="000000"/>
        </w:rPr>
        <w:t xml:space="preserve">243 </w:t>
      </w:r>
      <w:r>
        <w:rPr>
          <w:rFonts w:ascii="Book Antiqua" w:eastAsia="Book Antiqua" w:hAnsi="Book Antiqua" w:cs="Book Antiqua"/>
          <w:b/>
          <w:bCs/>
          <w:color w:val="000000"/>
        </w:rPr>
        <w:t>Chung HH</w:t>
      </w:r>
      <w:r>
        <w:rPr>
          <w:rFonts w:ascii="Book Antiqua" w:eastAsia="Book Antiqua" w:hAnsi="Book Antiqua" w:cs="Book Antiqua"/>
          <w:color w:val="000000"/>
        </w:rPr>
        <w:t xml:space="preserve">, Razavi MK, Sze DY, Frisoli JK, Kee ST, Dake MD, Hellinger JC, Kang BC. Portosystemic pressure gradient during transjugular intrahepatic portosystemic shunt with Viatorr stent graft: what is the critical low threshold to avoid medically uncontrolled low pressure gradient related complications?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95-101 [PMID: 18171347 DOI: 10.1111/j.1440-1746.2006.04697.x]</w:t>
      </w:r>
    </w:p>
    <w:p w14:paraId="5C811C20" w14:textId="77777777" w:rsidR="00A77B3E" w:rsidRDefault="00D8132F">
      <w:pPr>
        <w:spacing w:line="360" w:lineRule="auto"/>
        <w:jc w:val="both"/>
      </w:pPr>
      <w:r>
        <w:rPr>
          <w:rFonts w:ascii="Book Antiqua" w:eastAsia="Book Antiqua" w:hAnsi="Book Antiqua" w:cs="Book Antiqua"/>
          <w:color w:val="000000"/>
        </w:rPr>
        <w:t xml:space="preserve">244 </w:t>
      </w:r>
      <w:r>
        <w:rPr>
          <w:rFonts w:ascii="Book Antiqua" w:eastAsia="Book Antiqua" w:hAnsi="Book Antiqua" w:cs="Book Antiqua"/>
          <w:b/>
          <w:bCs/>
          <w:color w:val="000000"/>
        </w:rPr>
        <w:t>Darcy M</w:t>
      </w:r>
      <w:r>
        <w:rPr>
          <w:rFonts w:ascii="Book Antiqua" w:eastAsia="Book Antiqua" w:hAnsi="Book Antiqua" w:cs="Book Antiqua"/>
          <w:color w:val="000000"/>
        </w:rPr>
        <w:t xml:space="preserve">. Evaluation and management of transjugular intrahepatic portosystemic shunts.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199</w:t>
      </w:r>
      <w:r>
        <w:rPr>
          <w:rFonts w:ascii="Book Antiqua" w:eastAsia="Book Antiqua" w:hAnsi="Book Antiqua" w:cs="Book Antiqua"/>
          <w:color w:val="000000"/>
        </w:rPr>
        <w:t>: 730-736 [PMID: 22997362 DOI: 10.2214/AJR.12.9060]</w:t>
      </w:r>
    </w:p>
    <w:p w14:paraId="6020DCDA" w14:textId="77777777" w:rsidR="00A77B3E" w:rsidRDefault="00D8132F">
      <w:pPr>
        <w:spacing w:line="360" w:lineRule="auto"/>
        <w:jc w:val="both"/>
      </w:pPr>
      <w:r>
        <w:rPr>
          <w:rFonts w:ascii="Book Antiqua" w:eastAsia="Book Antiqua" w:hAnsi="Book Antiqua" w:cs="Book Antiqua"/>
          <w:color w:val="000000"/>
        </w:rPr>
        <w:t xml:space="preserve">245 </w:t>
      </w:r>
      <w:r>
        <w:rPr>
          <w:rFonts w:ascii="Book Antiqua" w:eastAsia="Book Antiqua" w:hAnsi="Book Antiqua" w:cs="Book Antiqua"/>
          <w:b/>
          <w:bCs/>
          <w:color w:val="000000"/>
        </w:rPr>
        <w:t>Kanterman RY</w:t>
      </w:r>
      <w:r>
        <w:rPr>
          <w:rFonts w:ascii="Book Antiqua" w:eastAsia="Book Antiqua" w:hAnsi="Book Antiqua" w:cs="Book Antiqua"/>
          <w:color w:val="000000"/>
        </w:rPr>
        <w:t xml:space="preserve">, Darcy MD, Middleton WD, Sterling KM, Teefey SA, Pilgram TK. Doppler sonography findings associated with transjugular intrahepatic portosystemic shunt malfunction.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168</w:t>
      </w:r>
      <w:r>
        <w:rPr>
          <w:rFonts w:ascii="Book Antiqua" w:eastAsia="Book Antiqua" w:hAnsi="Book Antiqua" w:cs="Book Antiqua"/>
          <w:color w:val="000000"/>
        </w:rPr>
        <w:t>: 467-472 [PMID: 9016228 DOI: 10.2214/ajr.168.2.9016228]</w:t>
      </w:r>
    </w:p>
    <w:p w14:paraId="67C5803E" w14:textId="77777777" w:rsidR="00A77B3E" w:rsidRDefault="00D8132F">
      <w:pPr>
        <w:spacing w:line="360" w:lineRule="auto"/>
        <w:jc w:val="both"/>
      </w:pPr>
      <w:r>
        <w:rPr>
          <w:rFonts w:ascii="Book Antiqua" w:eastAsia="Book Antiqua" w:hAnsi="Book Antiqua" w:cs="Book Antiqua"/>
          <w:color w:val="000000"/>
        </w:rPr>
        <w:t xml:space="preserve">246 </w:t>
      </w:r>
      <w:r>
        <w:rPr>
          <w:rFonts w:ascii="Book Antiqua" w:eastAsia="Book Antiqua" w:hAnsi="Book Antiqua" w:cs="Book Antiqua"/>
          <w:b/>
          <w:bCs/>
          <w:color w:val="000000"/>
        </w:rPr>
        <w:t>Surratt RS</w:t>
      </w:r>
      <w:r>
        <w:rPr>
          <w:rFonts w:ascii="Book Antiqua" w:eastAsia="Book Antiqua" w:hAnsi="Book Antiqua" w:cs="Book Antiqua"/>
          <w:color w:val="000000"/>
        </w:rPr>
        <w:t xml:space="preserve">, Middleton WD, Darcy MD, Melson GL, Brink JA. Morphologic and hemodynamic findings at sonography before and after creation of a transjugular intrahepatic portosystemic shunt.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160</w:t>
      </w:r>
      <w:r>
        <w:rPr>
          <w:rFonts w:ascii="Book Antiqua" w:eastAsia="Book Antiqua" w:hAnsi="Book Antiqua" w:cs="Book Antiqua"/>
          <w:color w:val="000000"/>
        </w:rPr>
        <w:t>: 627-630 [PMID: 8430568 DOI: 10.2214/ajr.160.3.8430568]</w:t>
      </w:r>
    </w:p>
    <w:p w14:paraId="1ED5BDB1" w14:textId="77777777" w:rsidR="00A77B3E" w:rsidRDefault="00D8132F">
      <w:pPr>
        <w:spacing w:line="360" w:lineRule="auto"/>
        <w:jc w:val="both"/>
      </w:pPr>
      <w:r>
        <w:rPr>
          <w:rFonts w:ascii="Book Antiqua" w:eastAsia="Book Antiqua" w:hAnsi="Book Antiqua" w:cs="Book Antiqua"/>
          <w:color w:val="000000"/>
        </w:rPr>
        <w:t xml:space="preserve">247 </w:t>
      </w:r>
      <w:r>
        <w:rPr>
          <w:rFonts w:ascii="Book Antiqua" w:eastAsia="Book Antiqua" w:hAnsi="Book Antiqua" w:cs="Book Antiqua"/>
          <w:b/>
          <w:bCs/>
          <w:color w:val="000000"/>
        </w:rPr>
        <w:t>Engstrom BI</w:t>
      </w:r>
      <w:r>
        <w:rPr>
          <w:rFonts w:ascii="Book Antiqua" w:eastAsia="Book Antiqua" w:hAnsi="Book Antiqua" w:cs="Book Antiqua"/>
          <w:color w:val="000000"/>
        </w:rPr>
        <w:t xml:space="preserve">, Horvath JJ, Suhocki PV, Smith AD, Hertzberg BS, Smith TP, Kim CY. Covered transjugular intrahepatic portosystemic shunts: accuracy of ultrasound in detecting shunt malfunction.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200</w:t>
      </w:r>
      <w:r>
        <w:rPr>
          <w:rFonts w:ascii="Book Antiqua" w:eastAsia="Book Antiqua" w:hAnsi="Book Antiqua" w:cs="Book Antiqua"/>
          <w:color w:val="000000"/>
        </w:rPr>
        <w:t>: 904-908 [PMID: 23521468 DOI: 10.2214/AJR.12.8761]</w:t>
      </w:r>
    </w:p>
    <w:p w14:paraId="08DAE9C0" w14:textId="77777777" w:rsidR="00A77B3E" w:rsidRDefault="00D8132F">
      <w:pPr>
        <w:spacing w:line="360" w:lineRule="auto"/>
        <w:jc w:val="both"/>
      </w:pPr>
      <w:r>
        <w:rPr>
          <w:rFonts w:ascii="Book Antiqua" w:eastAsia="Book Antiqua" w:hAnsi="Book Antiqua" w:cs="Book Antiqua"/>
          <w:color w:val="000000"/>
        </w:rPr>
        <w:t xml:space="preserve">248 </w:t>
      </w:r>
      <w:r>
        <w:rPr>
          <w:rFonts w:ascii="Book Antiqua" w:eastAsia="Book Antiqua" w:hAnsi="Book Antiqua" w:cs="Book Antiqua"/>
          <w:b/>
          <w:bCs/>
          <w:color w:val="000000"/>
        </w:rPr>
        <w:t>Kim SK</w:t>
      </w:r>
      <w:r>
        <w:rPr>
          <w:rFonts w:ascii="Book Antiqua" w:eastAsia="Book Antiqua" w:hAnsi="Book Antiqua" w:cs="Book Antiqua"/>
          <w:color w:val="000000"/>
        </w:rPr>
        <w:t xml:space="preserve">, Belikoff BG, Guevara CJ, Park SJ. An Algorithm for Management After Transjugular Intrahepatic Portosystemic Shunt Placement According to Clinical Manifestations.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305-318 [PMID: 28058594 DOI: 10.1007/s10620-016-4399-4]</w:t>
      </w:r>
    </w:p>
    <w:p w14:paraId="514611F0" w14:textId="77777777" w:rsidR="00A77B3E" w:rsidRDefault="00D8132F">
      <w:pPr>
        <w:spacing w:line="360" w:lineRule="auto"/>
        <w:jc w:val="both"/>
      </w:pPr>
      <w:r>
        <w:rPr>
          <w:rFonts w:ascii="Book Antiqua" w:eastAsia="Book Antiqua" w:hAnsi="Book Antiqua" w:cs="Book Antiqua"/>
          <w:color w:val="000000"/>
        </w:rPr>
        <w:lastRenderedPageBreak/>
        <w:t xml:space="preserve">249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Günther RW, Isfort P, Kichikawa K, Mahnken AH. Pull-through technique for recanalization of occluded portosystemic shunts (TIPS): technical note and review of the literature.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406-412 [PMID: 20440498 DOI: 10.1007/s00270-010-9874-2]</w:t>
      </w:r>
    </w:p>
    <w:p w14:paraId="082AFDF5" w14:textId="77777777" w:rsidR="00A77B3E" w:rsidRDefault="00D8132F">
      <w:pPr>
        <w:spacing w:line="360" w:lineRule="auto"/>
        <w:jc w:val="both"/>
      </w:pPr>
      <w:r>
        <w:rPr>
          <w:rFonts w:ascii="Book Antiqua" w:eastAsia="Book Antiqua" w:hAnsi="Book Antiqua" w:cs="Book Antiqua"/>
          <w:color w:val="000000"/>
        </w:rPr>
        <w:t xml:space="preserve">250 </w:t>
      </w:r>
      <w:r>
        <w:rPr>
          <w:rFonts w:ascii="Book Antiqua" w:eastAsia="Book Antiqua" w:hAnsi="Book Antiqua" w:cs="Book Antiqua"/>
          <w:b/>
          <w:bCs/>
          <w:color w:val="000000"/>
        </w:rPr>
        <w:t>Zhu K</w:t>
      </w:r>
      <w:r>
        <w:rPr>
          <w:rFonts w:ascii="Book Antiqua" w:eastAsia="Book Antiqua" w:hAnsi="Book Antiqua" w:cs="Book Antiqua"/>
          <w:color w:val="000000"/>
        </w:rPr>
        <w:t xml:space="preserve">, Meng X, Zhou B, Qian J, Huang W, Deng M, Shan H. Percutaneous transsplenic portal vein catheterization: technical procedures, safety, and clinical applications.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518-527 [PMID: 23522157 DOI: 10.1016/j.jvir.2012.12.028]</w:t>
      </w:r>
    </w:p>
    <w:p w14:paraId="745D4457" w14:textId="77777777" w:rsidR="00A77B3E" w:rsidRDefault="00D8132F">
      <w:pPr>
        <w:spacing w:line="360" w:lineRule="auto"/>
        <w:jc w:val="both"/>
      </w:pPr>
      <w:r>
        <w:rPr>
          <w:rFonts w:ascii="Book Antiqua" w:eastAsia="Book Antiqua" w:hAnsi="Book Antiqua" w:cs="Book Antiqua"/>
          <w:color w:val="000000"/>
        </w:rPr>
        <w:t xml:space="preserve">251 </w:t>
      </w:r>
      <w:r>
        <w:rPr>
          <w:rFonts w:ascii="Book Antiqua" w:eastAsia="Book Antiqua" w:hAnsi="Book Antiqua" w:cs="Book Antiqua"/>
          <w:b/>
          <w:bCs/>
          <w:color w:val="000000"/>
        </w:rPr>
        <w:t>Parvinian A</w:t>
      </w:r>
      <w:r>
        <w:rPr>
          <w:rFonts w:ascii="Book Antiqua" w:eastAsia="Book Antiqua" w:hAnsi="Book Antiqua" w:cs="Book Antiqua"/>
          <w:color w:val="000000"/>
        </w:rPr>
        <w:t xml:space="preserve">, Gaba RC. Parallel TIPS for treatment of refractory ascites and hepatic hydrothorax.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3052-3056 [PMID: 23625294 DOI: 10.1007/s10620-013-2688-8]</w:t>
      </w:r>
    </w:p>
    <w:bookmarkEnd w:id="2"/>
    <w:bookmarkEnd w:id="3"/>
    <w:p w14:paraId="3913C17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F25989" w14:textId="77777777" w:rsidR="00A77B3E" w:rsidRDefault="00D8132F">
      <w:pPr>
        <w:spacing w:line="360" w:lineRule="auto"/>
        <w:jc w:val="both"/>
      </w:pPr>
      <w:r>
        <w:rPr>
          <w:rFonts w:ascii="Book Antiqua" w:eastAsia="Book Antiqua" w:hAnsi="Book Antiqua" w:cs="Book Antiqua"/>
          <w:b/>
          <w:color w:val="000000"/>
        </w:rPr>
        <w:lastRenderedPageBreak/>
        <w:t>Footnotes</w:t>
      </w:r>
    </w:p>
    <w:p w14:paraId="7D61AC0A" w14:textId="71C7112F" w:rsidR="00A77B3E" w:rsidRDefault="00D8132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to declare</w:t>
      </w:r>
      <w:r w:rsidR="007A020D">
        <w:rPr>
          <w:rFonts w:ascii="宋体" w:eastAsia="宋体" w:hAnsi="宋体" w:cs="宋体" w:hint="eastAsia"/>
          <w:color w:val="000000"/>
          <w:lang w:eastAsia="zh-CN"/>
        </w:rPr>
        <w:t>.</w:t>
      </w:r>
    </w:p>
    <w:p w14:paraId="27120295" w14:textId="77777777" w:rsidR="00A77B3E" w:rsidRDefault="00A77B3E">
      <w:pPr>
        <w:spacing w:line="360" w:lineRule="auto"/>
        <w:jc w:val="both"/>
      </w:pPr>
    </w:p>
    <w:p w14:paraId="78F9C6D9" w14:textId="77777777" w:rsidR="00A77B3E" w:rsidRDefault="00D8132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4E5FEE" w14:textId="77777777" w:rsidR="00A77B3E" w:rsidRDefault="00A77B3E">
      <w:pPr>
        <w:spacing w:line="360" w:lineRule="auto"/>
        <w:jc w:val="both"/>
      </w:pPr>
    </w:p>
    <w:p w14:paraId="56C2F2EB" w14:textId="3B65C69B" w:rsidR="00A77B3E" w:rsidRDefault="00D8132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A7DDC">
        <w:rPr>
          <w:rFonts w:ascii="Book Antiqua" w:eastAsia="Book Antiqua" w:hAnsi="Book Antiqua" w:cs="Book Antiqua"/>
          <w:color w:val="000000"/>
        </w:rPr>
        <w:t>m</w:t>
      </w:r>
      <w:r>
        <w:rPr>
          <w:rFonts w:ascii="Book Antiqua" w:eastAsia="Book Antiqua" w:hAnsi="Book Antiqua" w:cs="Book Antiqua"/>
          <w:color w:val="000000"/>
        </w:rPr>
        <w:t>anuscript</w:t>
      </w:r>
    </w:p>
    <w:p w14:paraId="0FEE09D3" w14:textId="77777777" w:rsidR="00A77B3E" w:rsidRDefault="00A77B3E">
      <w:pPr>
        <w:spacing w:line="360" w:lineRule="auto"/>
        <w:jc w:val="both"/>
      </w:pPr>
    </w:p>
    <w:p w14:paraId="39FB9F12" w14:textId="77777777" w:rsidR="00A77B3E" w:rsidRDefault="00D8132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5, 2020</w:t>
      </w:r>
    </w:p>
    <w:p w14:paraId="051250F5" w14:textId="77777777" w:rsidR="00A77B3E" w:rsidRDefault="00D8132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40814717" w14:textId="77777777" w:rsidR="00E07C53" w:rsidRDefault="00D8132F" w:rsidP="00E07C53">
      <w:pPr>
        <w:spacing w:line="360" w:lineRule="auto"/>
        <w:jc w:val="both"/>
      </w:pPr>
      <w:r>
        <w:rPr>
          <w:rFonts w:ascii="Book Antiqua" w:eastAsia="Book Antiqua" w:hAnsi="Book Antiqua" w:cs="Book Antiqua"/>
          <w:b/>
          <w:color w:val="000000"/>
        </w:rPr>
        <w:t xml:space="preserve">Article in press: </w:t>
      </w:r>
      <w:r w:rsidR="00E07C53" w:rsidRPr="00C62265">
        <w:rPr>
          <w:rFonts w:ascii="Book Antiqua" w:eastAsia="Book Antiqua" w:hAnsi="Book Antiqua" w:cs="Book Antiqua"/>
          <w:color w:val="000000"/>
        </w:rPr>
        <w:t xml:space="preserve">August 29, 2020 </w:t>
      </w:r>
    </w:p>
    <w:p w14:paraId="2AB86B32" w14:textId="77777777" w:rsidR="00A77B3E" w:rsidRDefault="00A77B3E">
      <w:pPr>
        <w:spacing w:line="360" w:lineRule="auto"/>
        <w:jc w:val="both"/>
      </w:pPr>
    </w:p>
    <w:p w14:paraId="7FF52CBC" w14:textId="77777777" w:rsidR="00A77B3E" w:rsidRDefault="00A77B3E">
      <w:pPr>
        <w:spacing w:line="360" w:lineRule="auto"/>
        <w:jc w:val="both"/>
      </w:pPr>
    </w:p>
    <w:p w14:paraId="7BC224C0" w14:textId="37BFB61B" w:rsidR="00A77B3E" w:rsidRDefault="00D8132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32996">
        <w:rPr>
          <w:rFonts w:ascii="Book Antiqua" w:eastAsia="Book Antiqua" w:hAnsi="Book Antiqua" w:cs="Book Antiqua"/>
          <w:color w:val="000000"/>
        </w:rPr>
        <w:t>h</w:t>
      </w:r>
      <w:r>
        <w:rPr>
          <w:rFonts w:ascii="Book Antiqua" w:eastAsia="Book Antiqua" w:hAnsi="Book Antiqua" w:cs="Book Antiqua"/>
          <w:color w:val="000000"/>
        </w:rPr>
        <w:t>epatology</w:t>
      </w:r>
    </w:p>
    <w:p w14:paraId="6208CEB6" w14:textId="77777777" w:rsidR="00A77B3E" w:rsidRDefault="00D8132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06EF0ACA" w14:textId="77777777" w:rsidR="00A77B3E" w:rsidRDefault="00D8132F">
      <w:pPr>
        <w:spacing w:line="360" w:lineRule="auto"/>
        <w:jc w:val="both"/>
      </w:pPr>
      <w:r>
        <w:rPr>
          <w:rFonts w:ascii="Book Antiqua" w:eastAsia="Book Antiqua" w:hAnsi="Book Antiqua" w:cs="Book Antiqua"/>
          <w:b/>
          <w:color w:val="000000"/>
        </w:rPr>
        <w:t>Peer-review report’s scientific quality classification</w:t>
      </w:r>
    </w:p>
    <w:p w14:paraId="1B7DA5BA" w14:textId="77777777" w:rsidR="00A77B3E" w:rsidRDefault="00D8132F">
      <w:pPr>
        <w:spacing w:line="360" w:lineRule="auto"/>
        <w:jc w:val="both"/>
      </w:pPr>
      <w:r>
        <w:rPr>
          <w:rFonts w:ascii="Book Antiqua" w:eastAsia="Book Antiqua" w:hAnsi="Book Antiqua" w:cs="Book Antiqua"/>
          <w:color w:val="000000"/>
        </w:rPr>
        <w:t>Grade A (Excellent): A</w:t>
      </w:r>
    </w:p>
    <w:p w14:paraId="3E4B88D8" w14:textId="77777777" w:rsidR="00A77B3E" w:rsidRDefault="00D8132F">
      <w:pPr>
        <w:spacing w:line="360" w:lineRule="auto"/>
        <w:jc w:val="both"/>
      </w:pPr>
      <w:r>
        <w:rPr>
          <w:rFonts w:ascii="Book Antiqua" w:eastAsia="Book Antiqua" w:hAnsi="Book Antiqua" w:cs="Book Antiqua"/>
          <w:color w:val="000000"/>
        </w:rPr>
        <w:t>Grade B (Very good): B, B</w:t>
      </w:r>
    </w:p>
    <w:p w14:paraId="72CD89C0" w14:textId="62653D04" w:rsidR="00A77B3E" w:rsidRPr="00657162" w:rsidRDefault="00D8132F">
      <w:pPr>
        <w:spacing w:line="360" w:lineRule="auto"/>
        <w:jc w:val="both"/>
        <w:rPr>
          <w:rFonts w:ascii="Book Antiqua" w:hAnsi="Book Antiqua"/>
          <w:lang w:eastAsia="zh-CN"/>
        </w:rPr>
      </w:pPr>
      <w:r>
        <w:rPr>
          <w:rFonts w:ascii="Book Antiqua" w:eastAsia="Book Antiqua" w:hAnsi="Book Antiqua" w:cs="Book Antiqua"/>
          <w:color w:val="000000"/>
        </w:rPr>
        <w:t>Grade C (Good): C, C</w:t>
      </w:r>
      <w:r w:rsidR="007F224A">
        <w:rPr>
          <w:rFonts w:ascii="Book Antiqua" w:eastAsia="Book Antiqua" w:hAnsi="Book Antiqua" w:cs="Book Antiqua"/>
          <w:color w:val="000000"/>
        </w:rPr>
        <w:t>, C</w:t>
      </w:r>
    </w:p>
    <w:p w14:paraId="522A8F4C" w14:textId="77777777" w:rsidR="00A77B3E" w:rsidRDefault="00D8132F">
      <w:pPr>
        <w:spacing w:line="360" w:lineRule="auto"/>
        <w:jc w:val="both"/>
      </w:pPr>
      <w:r>
        <w:rPr>
          <w:rFonts w:ascii="Book Antiqua" w:eastAsia="Book Antiqua" w:hAnsi="Book Antiqua" w:cs="Book Antiqua"/>
          <w:color w:val="000000"/>
        </w:rPr>
        <w:t>Grade D (Fair): 0</w:t>
      </w:r>
    </w:p>
    <w:p w14:paraId="45C83CE3" w14:textId="77777777" w:rsidR="00A77B3E" w:rsidRDefault="00D8132F">
      <w:pPr>
        <w:spacing w:line="360" w:lineRule="auto"/>
        <w:jc w:val="both"/>
      </w:pPr>
      <w:r>
        <w:rPr>
          <w:rFonts w:ascii="Book Antiqua" w:eastAsia="Book Antiqua" w:hAnsi="Book Antiqua" w:cs="Book Antiqua"/>
          <w:color w:val="000000"/>
        </w:rPr>
        <w:t>Grade E (Poor): 0</w:t>
      </w:r>
    </w:p>
    <w:p w14:paraId="2DD4A7FC" w14:textId="77777777" w:rsidR="00A77B3E" w:rsidRDefault="00A77B3E">
      <w:pPr>
        <w:spacing w:line="360" w:lineRule="auto"/>
        <w:jc w:val="both"/>
      </w:pPr>
    </w:p>
    <w:p w14:paraId="523D2804" w14:textId="39AC8152" w:rsidR="00A77B3E" w:rsidRPr="00E07C53" w:rsidRDefault="00D8132F" w:rsidP="00E07C53">
      <w:pPr>
        <w:spacing w:line="360" w:lineRule="auto"/>
        <w:rPr>
          <w:rFonts w:hint="eastAsia"/>
          <w:lang w:eastAsia="zh-CN"/>
        </w:rPr>
        <w:sectPr w:rsidR="00A77B3E" w:rsidRPr="00E07C5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3D073F">
        <w:rPr>
          <w:rFonts w:ascii="Book Antiqua" w:hAnsi="Book Antiqua" w:cs="Book Antiqua"/>
          <w:color w:val="000000"/>
          <w:lang w:eastAsia="zh-CN"/>
        </w:rPr>
        <w:t>Chen Z,</w:t>
      </w:r>
      <w:r w:rsidR="003D073F">
        <w:rPr>
          <w:rFonts w:ascii="Book Antiqua" w:eastAsia="Book Antiqua" w:hAnsi="Book Antiqua" w:cs="Book Antiqua"/>
          <w:color w:val="000000"/>
        </w:rPr>
        <w:t xml:space="preserve"> </w:t>
      </w:r>
      <w:r>
        <w:rPr>
          <w:rFonts w:ascii="Book Antiqua" w:eastAsia="Book Antiqua" w:hAnsi="Book Antiqua" w:cs="Book Antiqua"/>
          <w:color w:val="000000"/>
        </w:rPr>
        <w:t xml:space="preserve">Jamali R, Schoenhagen P </w:t>
      </w:r>
      <w:r>
        <w:rPr>
          <w:rFonts w:ascii="Book Antiqua" w:eastAsia="Book Antiqua" w:hAnsi="Book Antiqua" w:cs="Book Antiqua"/>
          <w:b/>
          <w:color w:val="000000"/>
        </w:rPr>
        <w:t xml:space="preserve">S-Editor: </w:t>
      </w:r>
      <w:proofErr w:type="gramStart"/>
      <w:r w:rsidR="00DA7DDC">
        <w:rPr>
          <w:rFonts w:ascii="Book Antiqua" w:eastAsia="Book Antiqua" w:hAnsi="Book Antiqua" w:cs="Book Antiqua"/>
          <w:color w:val="000000"/>
        </w:rPr>
        <w:t>Gao</w:t>
      </w:r>
      <w:proofErr w:type="gramEnd"/>
      <w:r w:rsidR="00DA7DDC">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E07C53">
        <w:rPr>
          <w:rFonts w:ascii="Book Antiqua" w:hAnsi="Book Antiqua" w:cs="Book Antiqua" w:hint="eastAsia"/>
          <w:b/>
          <w:color w:val="000000"/>
          <w:lang w:eastAsia="zh-CN"/>
        </w:rPr>
        <w:t>A</w:t>
      </w:r>
      <w:r>
        <w:rPr>
          <w:rFonts w:ascii="Book Antiqua" w:eastAsia="Book Antiqua" w:hAnsi="Book Antiqua" w:cs="Book Antiqua"/>
          <w:b/>
          <w:color w:val="000000"/>
        </w:rPr>
        <w:t xml:space="preserve"> P-Edi</w:t>
      </w:r>
      <w:bookmarkStart w:id="5" w:name="_GoBack"/>
      <w:r>
        <w:rPr>
          <w:rFonts w:ascii="Book Antiqua" w:eastAsia="Book Antiqua" w:hAnsi="Book Antiqua" w:cs="Book Antiqua"/>
          <w:b/>
          <w:color w:val="000000"/>
        </w:rPr>
        <w:t xml:space="preserve">tor: </w:t>
      </w:r>
      <w:r w:rsidR="00E07C53">
        <w:rPr>
          <w:rFonts w:ascii="Book Antiqua" w:hAnsi="Book Antiqua" w:cs="Book Antiqua" w:hint="eastAsia"/>
          <w:b/>
          <w:color w:val="000000"/>
          <w:lang w:eastAsia="zh-CN"/>
        </w:rPr>
        <w:t>Ma YJ</w:t>
      </w:r>
      <w:bookmarkEnd w:id="5"/>
    </w:p>
    <w:p w14:paraId="0F350782" w14:textId="5A087D98" w:rsidR="00A77B3E" w:rsidRDefault="00D8132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2C7117B" w14:textId="6DC7BA28" w:rsidR="00AE582E" w:rsidRDefault="00AE582E">
      <w:pPr>
        <w:spacing w:line="360" w:lineRule="auto"/>
        <w:jc w:val="both"/>
      </w:pPr>
      <w:r>
        <w:rPr>
          <w:noProof/>
          <w:lang w:eastAsia="zh-CN"/>
        </w:rPr>
        <w:drawing>
          <wp:inline distT="0" distB="0" distL="0" distR="0" wp14:anchorId="6E89CCC3" wp14:editId="569CF768">
            <wp:extent cx="6131527" cy="36716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9771" cy="3682546"/>
                    </a:xfrm>
                    <a:prstGeom prst="rect">
                      <a:avLst/>
                    </a:prstGeom>
                    <a:noFill/>
                  </pic:spPr>
                </pic:pic>
              </a:graphicData>
            </a:graphic>
          </wp:inline>
        </w:drawing>
      </w:r>
    </w:p>
    <w:p w14:paraId="006DC8D8" w14:textId="7820461D" w:rsidR="00A77B3E" w:rsidRPr="00BB4167" w:rsidRDefault="00D8132F">
      <w:pPr>
        <w:spacing w:line="360" w:lineRule="auto"/>
        <w:jc w:val="both"/>
      </w:pPr>
      <w:r w:rsidRPr="00BB4167">
        <w:rPr>
          <w:rFonts w:ascii="Book Antiqua" w:eastAsia="Book Antiqua" w:hAnsi="Book Antiqua" w:cs="Book Antiqua"/>
          <w:b/>
          <w:bCs/>
          <w:color w:val="000000"/>
        </w:rPr>
        <w:t>Figure 1 Proposed algorithm for the management of index acute esophageal variceal hemorrhage</w:t>
      </w:r>
      <w:r w:rsidR="00BB4167" w:rsidRPr="00BB4167">
        <w:rPr>
          <w:rFonts w:ascii="Book Antiqua" w:eastAsia="Book Antiqua" w:hAnsi="Book Antiqua" w:cs="Book Antiqua"/>
          <w:b/>
          <w:bCs/>
          <w:color w:val="000000"/>
        </w:rPr>
        <w:t>.</w:t>
      </w:r>
      <w:r w:rsidR="00BB4167">
        <w:rPr>
          <w:rFonts w:ascii="Book Antiqua" w:eastAsia="Book Antiqua" w:hAnsi="Book Antiqua" w:cs="Book Antiqua"/>
          <w:color w:val="000000"/>
        </w:rPr>
        <w:t xml:space="preserve"> TIPS: </w:t>
      </w:r>
      <w:bookmarkStart w:id="6" w:name="_Hlk49355641"/>
      <w:r w:rsidR="00BB4167">
        <w:rPr>
          <w:rFonts w:ascii="Book Antiqua" w:eastAsia="Book Antiqua" w:hAnsi="Book Antiqua" w:cs="Book Antiqua"/>
          <w:color w:val="000000"/>
        </w:rPr>
        <w:t>Transjugular intrahepatic portosystemic shunt</w:t>
      </w:r>
      <w:bookmarkEnd w:id="6"/>
      <w:r w:rsidR="00BB4167">
        <w:rPr>
          <w:rFonts w:ascii="Book Antiqua" w:eastAsia="Book Antiqua" w:hAnsi="Book Antiqua" w:cs="Book Antiqua"/>
          <w:color w:val="000000"/>
        </w:rPr>
        <w:t>; SEMS: Self-expandable metal stents; MELD: Model for end-stage liver disease; HVPG: Hepatic venous pressure gradient; NSBB: Non-selective beta-blockers.</w:t>
      </w:r>
    </w:p>
    <w:p w14:paraId="0EBEA5F1" w14:textId="651C67F2" w:rsidR="00A77B3E" w:rsidRDefault="00AE582E">
      <w:pPr>
        <w:spacing w:line="360" w:lineRule="auto"/>
        <w:jc w:val="both"/>
      </w:pPr>
      <w:r>
        <w:br w:type="page"/>
      </w:r>
      <w:r>
        <w:rPr>
          <w:noProof/>
          <w:lang w:eastAsia="zh-CN"/>
        </w:rPr>
        <w:lastRenderedPageBreak/>
        <w:drawing>
          <wp:inline distT="0" distB="0" distL="0" distR="0" wp14:anchorId="0DCCAC46" wp14:editId="7FF9A87B">
            <wp:extent cx="3481413" cy="346712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1413" cy="3467125"/>
                    </a:xfrm>
                    <a:prstGeom prst="rect">
                      <a:avLst/>
                    </a:prstGeom>
                  </pic:spPr>
                </pic:pic>
              </a:graphicData>
            </a:graphic>
          </wp:inline>
        </w:drawing>
      </w:r>
    </w:p>
    <w:p w14:paraId="42F0CD1E" w14:textId="6E87DD0C" w:rsidR="00A77B3E" w:rsidRDefault="00D8132F">
      <w:pPr>
        <w:spacing w:line="360" w:lineRule="auto"/>
        <w:jc w:val="both"/>
      </w:pPr>
      <w:r>
        <w:rPr>
          <w:rFonts w:ascii="Book Antiqua" w:eastAsia="Book Antiqua" w:hAnsi="Book Antiqua" w:cs="Book Antiqua"/>
          <w:b/>
          <w:bCs/>
          <w:color w:val="000000"/>
        </w:rPr>
        <w:t>Figure 2</w:t>
      </w:r>
      <w:r w:rsidRPr="004E26BC">
        <w:rPr>
          <w:rFonts w:ascii="Book Antiqua" w:eastAsia="Book Antiqua" w:hAnsi="Book Antiqua" w:cs="Book Antiqua"/>
          <w:b/>
          <w:bCs/>
          <w:color w:val="000000"/>
        </w:rPr>
        <w:t xml:space="preserve"> Fluoroscopic spot image demonstrating the ‘combined approach’ to management of a patient with intractable gastric variceal bleeding due to IGV1 and severely attenuated portal vein. </w:t>
      </w:r>
      <w:r>
        <w:rPr>
          <w:rFonts w:ascii="Book Antiqua" w:eastAsia="Book Antiqua" w:hAnsi="Book Antiqua" w:cs="Book Antiqua"/>
          <w:color w:val="000000"/>
        </w:rPr>
        <w:t xml:space="preserve">A type-II amplatzer vascular plug (encircled) has been deployed within the gastrorenal shunt retrogradely through the jugular route with vascular access sheath (dashed arrow) in situ. Subsequently, a catheter (solid arrow) was used to inject the sclerosant mixture into the shunt (arrowheads) </w:t>
      </w:r>
      <w:r w:rsidR="00024964">
        <w:rPr>
          <w:rFonts w:ascii="Book Antiqua" w:eastAsia="Book Antiqua" w:hAnsi="Book Antiqua" w:cs="Book Antiqua"/>
          <w:color w:val="000000"/>
        </w:rPr>
        <w:t>antegrade</w:t>
      </w:r>
      <w:r>
        <w:rPr>
          <w:rFonts w:ascii="Book Antiqua" w:eastAsia="Book Antiqua" w:hAnsi="Book Antiqua" w:cs="Book Antiqua"/>
          <w:color w:val="000000"/>
        </w:rPr>
        <w:t xml:space="preserve"> through the transjugular intrahepatic route. The </w:t>
      </w:r>
      <w:r w:rsidR="004E26BC">
        <w:rPr>
          <w:rFonts w:ascii="Book Antiqua" w:eastAsia="Book Antiqua" w:hAnsi="Book Antiqua" w:cs="Book Antiqua"/>
          <w:color w:val="000000"/>
        </w:rPr>
        <w:t>t</w:t>
      </w:r>
      <w:r w:rsidR="004E26BC" w:rsidRPr="004E26BC">
        <w:rPr>
          <w:rFonts w:ascii="Book Antiqua" w:eastAsia="Book Antiqua" w:hAnsi="Book Antiqua" w:cs="Book Antiqua"/>
          <w:color w:val="000000"/>
        </w:rPr>
        <w:t>ransjugular intrahepatic portosystemic shunt</w:t>
      </w:r>
      <w:r>
        <w:rPr>
          <w:rFonts w:ascii="Book Antiqua" w:eastAsia="Book Antiqua" w:hAnsi="Book Antiqua" w:cs="Book Antiqua"/>
          <w:color w:val="000000"/>
        </w:rPr>
        <w:t xml:space="preserve"> stent was then placed in the usual way within the intrahepatic tract after ensuring stasis of sclerosant mixture within the shunt and removal of the vascular plug. </w:t>
      </w:r>
    </w:p>
    <w:p w14:paraId="2AF9D094" w14:textId="7ED547C4" w:rsidR="00A77B3E" w:rsidRDefault="00AE582E">
      <w:pPr>
        <w:spacing w:line="360" w:lineRule="auto"/>
        <w:jc w:val="both"/>
      </w:pPr>
      <w:r>
        <w:br w:type="page"/>
      </w:r>
      <w:r w:rsidR="007209F8">
        <w:rPr>
          <w:noProof/>
          <w:lang w:eastAsia="zh-CN"/>
        </w:rPr>
        <w:lastRenderedPageBreak/>
        <w:drawing>
          <wp:inline distT="0" distB="0" distL="0" distR="0" wp14:anchorId="6F3B9CF1" wp14:editId="52E50ED5">
            <wp:extent cx="6592776" cy="44666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6788" cy="4476111"/>
                    </a:xfrm>
                    <a:prstGeom prst="rect">
                      <a:avLst/>
                    </a:prstGeom>
                    <a:noFill/>
                  </pic:spPr>
                </pic:pic>
              </a:graphicData>
            </a:graphic>
          </wp:inline>
        </w:drawing>
      </w:r>
    </w:p>
    <w:p w14:paraId="4CC3834C" w14:textId="704F5E1F" w:rsidR="00A77B3E" w:rsidRPr="004E26BC" w:rsidRDefault="00D8132F">
      <w:pPr>
        <w:spacing w:line="360" w:lineRule="auto"/>
        <w:jc w:val="both"/>
      </w:pPr>
      <w:r>
        <w:rPr>
          <w:rFonts w:ascii="Book Antiqua" w:eastAsia="Book Antiqua" w:hAnsi="Book Antiqua" w:cs="Book Antiqua"/>
          <w:b/>
          <w:bCs/>
          <w:color w:val="000000"/>
        </w:rPr>
        <w:t>Figure 3</w:t>
      </w:r>
      <w:r w:rsidRPr="004E26BC">
        <w:rPr>
          <w:rFonts w:ascii="Book Antiqua" w:eastAsia="Book Antiqua" w:hAnsi="Book Antiqua" w:cs="Book Antiqua"/>
          <w:b/>
          <w:bCs/>
          <w:color w:val="000000"/>
        </w:rPr>
        <w:t xml:space="preserve"> Proposed algorithm for the management of acute gastric variceal hemorrhage</w:t>
      </w:r>
      <w:r w:rsidR="004E26BC">
        <w:rPr>
          <w:rFonts w:ascii="Book Antiqua" w:eastAsia="Book Antiqua" w:hAnsi="Book Antiqua" w:cs="Book Antiqua"/>
          <w:b/>
          <w:bCs/>
          <w:color w:val="000000"/>
        </w:rPr>
        <w:t>.</w:t>
      </w:r>
      <w:r w:rsidR="004E26BC">
        <w:rPr>
          <w:rFonts w:ascii="Book Antiqua" w:eastAsia="Book Antiqua" w:hAnsi="Book Antiqua" w:cs="Book Antiqua"/>
          <w:color w:val="000000"/>
        </w:rPr>
        <w:t xml:space="preserve"> TIPS: Transjugular intrahepatic portosystemic shunt;</w:t>
      </w:r>
      <w:r w:rsidR="00BB7C9C">
        <w:rPr>
          <w:rFonts w:ascii="Book Antiqua" w:eastAsia="Book Antiqua" w:hAnsi="Book Antiqua" w:cs="Book Antiqua"/>
          <w:color w:val="000000"/>
        </w:rPr>
        <w:t xml:space="preserve"> NSBB: Non-selective beta-blockers; HE: Hepatic encephalopathy; HPS: Hepatopulmonary syndrome; B-RTO: Balloon-occluded retrograde transvenous obliteration; CARTO: Coil-assisted retrograde transvenous obliteration; PARTO: Plug-assisted retrograde transvenous obliteration.</w:t>
      </w:r>
    </w:p>
    <w:p w14:paraId="0390EA08" w14:textId="2511C877" w:rsidR="00A77B3E" w:rsidRDefault="00AE582E">
      <w:pPr>
        <w:spacing w:line="360" w:lineRule="auto"/>
        <w:jc w:val="both"/>
      </w:pPr>
      <w:r>
        <w:br w:type="page"/>
      </w:r>
      <w:r>
        <w:rPr>
          <w:noProof/>
          <w:lang w:eastAsia="zh-CN"/>
        </w:rPr>
        <w:lastRenderedPageBreak/>
        <w:drawing>
          <wp:inline distT="0" distB="0" distL="0" distR="0" wp14:anchorId="3F99D492" wp14:editId="6FF01E67">
            <wp:extent cx="6055974" cy="36820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7656" cy="3689179"/>
                    </a:xfrm>
                    <a:prstGeom prst="rect">
                      <a:avLst/>
                    </a:prstGeom>
                    <a:noFill/>
                  </pic:spPr>
                </pic:pic>
              </a:graphicData>
            </a:graphic>
          </wp:inline>
        </w:drawing>
      </w:r>
    </w:p>
    <w:p w14:paraId="696EEC33" w14:textId="11DB3255" w:rsidR="00A77B3E" w:rsidRDefault="00D8132F">
      <w:pPr>
        <w:spacing w:line="360" w:lineRule="auto"/>
        <w:jc w:val="both"/>
      </w:pPr>
      <w:r>
        <w:rPr>
          <w:rFonts w:ascii="Book Antiqua" w:eastAsia="Book Antiqua" w:hAnsi="Book Antiqua" w:cs="Book Antiqua"/>
          <w:b/>
          <w:bCs/>
          <w:color w:val="000000"/>
        </w:rPr>
        <w:t>Figure 4</w:t>
      </w:r>
      <w:r w:rsidRPr="00B54AB1">
        <w:rPr>
          <w:rFonts w:ascii="Book Antiqua" w:eastAsia="Book Antiqua" w:hAnsi="Book Antiqua" w:cs="Book Antiqua"/>
          <w:b/>
          <w:bCs/>
          <w:color w:val="000000"/>
        </w:rPr>
        <w:t xml:space="preserve"> Ectopic umbilical variceal bleeding controlled using TIPS procedure and adjuvant percuaneous intravariceal glue injection.</w:t>
      </w:r>
      <w:r>
        <w:rPr>
          <w:rFonts w:ascii="Book Antiqua" w:eastAsia="Book Antiqua" w:hAnsi="Book Antiqua" w:cs="Book Antiqua"/>
          <w:color w:val="000000"/>
        </w:rPr>
        <w:t xml:space="preserve"> A: The patient with cirrhosis and portal hypertension presented with spontaneous blood soakage of clothes associated with painless spurting of blood from umbilical region; B: Contrast imaging of abdomen revealed large umbilical varix with extracutaneous component; C: The umbilical varix supply was from the distal splenic vein; D and E: Fluroscopy guided transjugular intrahepatic portosystemc shunt placement, shunt embolization with multiple coils followed by percutaneous glue injection for variceal obliteration was performed; F: Complete resolution of the variceal complex was noted clinical post </w:t>
      </w:r>
      <w:r w:rsidR="00B54AB1">
        <w:rPr>
          <w:rFonts w:ascii="Book Antiqua" w:eastAsia="Book Antiqua" w:hAnsi="Book Antiqua" w:cs="Book Antiqua"/>
          <w:color w:val="000000"/>
        </w:rPr>
        <w:t>transjugular intrahepatic portosystemc shunt</w:t>
      </w:r>
      <w:r>
        <w:rPr>
          <w:rFonts w:ascii="Book Antiqua" w:eastAsia="Book Antiqua" w:hAnsi="Book Antiqua" w:cs="Book Antiqua"/>
          <w:color w:val="000000"/>
        </w:rPr>
        <w:t xml:space="preserve"> procedure.</w:t>
      </w:r>
    </w:p>
    <w:p w14:paraId="5F6862AD" w14:textId="27EC89F9" w:rsidR="00A77B3E" w:rsidRDefault="00AE582E">
      <w:pPr>
        <w:spacing w:line="360" w:lineRule="auto"/>
        <w:jc w:val="both"/>
      </w:pPr>
      <w:r>
        <w:br w:type="page"/>
      </w:r>
      <w:r>
        <w:rPr>
          <w:noProof/>
          <w:lang w:eastAsia="zh-CN"/>
        </w:rPr>
        <w:lastRenderedPageBreak/>
        <w:drawing>
          <wp:inline distT="0" distB="0" distL="0" distR="0" wp14:anchorId="604535DB" wp14:editId="7D07F147">
            <wp:extent cx="6444417" cy="30840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7978" cy="3109711"/>
                    </a:xfrm>
                    <a:prstGeom prst="rect">
                      <a:avLst/>
                    </a:prstGeom>
                    <a:noFill/>
                  </pic:spPr>
                </pic:pic>
              </a:graphicData>
            </a:graphic>
          </wp:inline>
        </w:drawing>
      </w:r>
    </w:p>
    <w:p w14:paraId="429E743E" w14:textId="5FE1B6EF" w:rsidR="00A77B3E" w:rsidRPr="0057511C" w:rsidRDefault="00D8132F">
      <w:pPr>
        <w:spacing w:line="360" w:lineRule="auto"/>
        <w:jc w:val="both"/>
      </w:pPr>
      <w:r>
        <w:rPr>
          <w:rFonts w:ascii="Book Antiqua" w:eastAsia="Book Antiqua" w:hAnsi="Book Antiqua" w:cs="Book Antiqua"/>
          <w:b/>
          <w:bCs/>
          <w:color w:val="000000"/>
        </w:rPr>
        <w:t>Figure 5</w:t>
      </w:r>
      <w:r w:rsidRPr="0057511C">
        <w:rPr>
          <w:rFonts w:ascii="Book Antiqua" w:eastAsia="Book Antiqua" w:hAnsi="Book Antiqua" w:cs="Book Antiqua"/>
          <w:b/>
          <w:bCs/>
          <w:color w:val="000000"/>
        </w:rPr>
        <w:t xml:space="preserve"> Proposed algorithm for the management of ectopic variceal bleeding</w:t>
      </w:r>
      <w:r w:rsidR="0057511C">
        <w:rPr>
          <w:rFonts w:ascii="Book Antiqua" w:eastAsia="Book Antiqua" w:hAnsi="Book Antiqua" w:cs="Book Antiqua"/>
          <w:b/>
          <w:bCs/>
          <w:color w:val="000000"/>
        </w:rPr>
        <w:t>.</w:t>
      </w:r>
      <w:r w:rsidR="0057511C">
        <w:rPr>
          <w:rFonts w:ascii="Book Antiqua" w:eastAsia="Book Antiqua" w:hAnsi="Book Antiqua" w:cs="Book Antiqua"/>
          <w:color w:val="000000"/>
        </w:rPr>
        <w:t xml:space="preserve"> NSBB: Non-selective beta-blockers; TIPS: Transjugular intrahepatic portosystemic shunt; PSPG: Portosystemic gradient</w:t>
      </w:r>
      <w:r w:rsidR="0083172E">
        <w:rPr>
          <w:rFonts w:ascii="Book Antiqua" w:eastAsia="Book Antiqua" w:hAnsi="Book Antiqua" w:cs="Book Antiqua"/>
          <w:color w:val="000000"/>
        </w:rPr>
        <w:t>.</w:t>
      </w:r>
    </w:p>
    <w:p w14:paraId="53DE4FDB" w14:textId="7BB2B1BC" w:rsidR="00A77B3E" w:rsidRDefault="00AE582E">
      <w:pPr>
        <w:spacing w:line="360" w:lineRule="auto"/>
        <w:jc w:val="both"/>
      </w:pPr>
      <w:r>
        <w:br w:type="page"/>
      </w:r>
      <w:r>
        <w:rPr>
          <w:noProof/>
          <w:lang w:eastAsia="zh-CN"/>
        </w:rPr>
        <w:lastRenderedPageBreak/>
        <w:drawing>
          <wp:inline distT="0" distB="0" distL="0" distR="0" wp14:anchorId="11598365" wp14:editId="6EE13D0A">
            <wp:extent cx="5943600" cy="3450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50590"/>
                    </a:xfrm>
                    <a:prstGeom prst="rect">
                      <a:avLst/>
                    </a:prstGeom>
                  </pic:spPr>
                </pic:pic>
              </a:graphicData>
            </a:graphic>
          </wp:inline>
        </w:drawing>
      </w:r>
    </w:p>
    <w:p w14:paraId="12AA5C87" w14:textId="14F32E09" w:rsidR="00A77B3E" w:rsidRDefault="00D8132F">
      <w:pPr>
        <w:spacing w:line="360" w:lineRule="auto"/>
        <w:jc w:val="both"/>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sidR="0083172E" w:rsidRPr="0083172E">
        <w:rPr>
          <w:rFonts w:ascii="Book Antiqua" w:eastAsia="Book Antiqua" w:hAnsi="Book Antiqua" w:cs="Book Antiqua"/>
          <w:b/>
          <w:bCs/>
          <w:color w:val="000000"/>
        </w:rPr>
        <w:t>Contrast-enhanced computed tomography image.</w:t>
      </w:r>
      <w:r w:rsidR="0083172E" w:rsidRPr="0083172E">
        <w:rPr>
          <w:rFonts w:ascii="Book Antiqua" w:eastAsia="Book Antiqua" w:hAnsi="Book Antiqua" w:cs="Book Antiqua"/>
          <w:color w:val="000000"/>
        </w:rPr>
        <w:t xml:space="preserve"> </w:t>
      </w:r>
      <w:r>
        <w:rPr>
          <w:rFonts w:ascii="Book Antiqua" w:eastAsia="Book Antiqua" w:hAnsi="Book Antiqua" w:cs="Book Antiqua"/>
          <w:color w:val="000000"/>
        </w:rPr>
        <w:t xml:space="preserve">A: Coronal </w:t>
      </w:r>
      <w:bookmarkStart w:id="7" w:name="_Hlk49356980"/>
      <w:r w:rsidR="0083172E">
        <w:rPr>
          <w:rFonts w:ascii="Book Antiqua" w:eastAsia="Book Antiqua" w:hAnsi="Book Antiqua" w:cs="Book Antiqua"/>
          <w:color w:val="000000"/>
        </w:rPr>
        <w:t>c</w:t>
      </w:r>
      <w:r w:rsidR="0083172E" w:rsidRPr="0083172E">
        <w:rPr>
          <w:rFonts w:ascii="Book Antiqua" w:eastAsia="Book Antiqua" w:hAnsi="Book Antiqua" w:cs="Book Antiqua"/>
          <w:color w:val="000000"/>
        </w:rPr>
        <w:t>ontrast-enhanced computed tomography</w:t>
      </w:r>
      <w:r>
        <w:rPr>
          <w:rFonts w:ascii="Book Antiqua" w:eastAsia="Book Antiqua" w:hAnsi="Book Antiqua" w:cs="Book Antiqua"/>
          <w:color w:val="000000"/>
        </w:rPr>
        <w:t xml:space="preserve"> image</w:t>
      </w:r>
      <w:bookmarkEnd w:id="7"/>
      <w:r>
        <w:rPr>
          <w:rFonts w:ascii="Book Antiqua" w:eastAsia="Book Antiqua" w:hAnsi="Book Antiqua" w:cs="Book Antiqua"/>
          <w:color w:val="000000"/>
        </w:rPr>
        <w:t xml:space="preserve"> showing bland occlusive thrombus involving the main portal vein, superior mesenteric vein (SMV) and splenic vein (encircled) with gross ascites (asterisk); B: </w:t>
      </w:r>
      <w:r w:rsidR="0083172E">
        <w:rPr>
          <w:rFonts w:ascii="Book Antiqua" w:eastAsia="Book Antiqua" w:hAnsi="Book Antiqua" w:cs="Book Antiqua"/>
          <w:color w:val="000000"/>
        </w:rPr>
        <w:t>I</w:t>
      </w:r>
      <w:r>
        <w:rPr>
          <w:rFonts w:ascii="Book Antiqua" w:eastAsia="Book Antiqua" w:hAnsi="Book Antiqua" w:cs="Book Antiqua"/>
          <w:color w:val="000000"/>
        </w:rPr>
        <w:t xml:space="preserve">mage taken 2 wk after </w:t>
      </w:r>
      <w:bookmarkStart w:id="8" w:name="_Hlk49357435"/>
      <w:r w:rsidR="0083172E" w:rsidRPr="0083172E">
        <w:rPr>
          <w:rFonts w:ascii="Book Antiqua" w:eastAsia="Book Antiqua" w:hAnsi="Book Antiqua" w:cs="Book Antiqua"/>
          <w:color w:val="000000"/>
        </w:rPr>
        <w:t>transjugular intrahepatic portosystemic shunt</w:t>
      </w:r>
      <w:bookmarkEnd w:id="8"/>
      <w:r w:rsidR="0083172E" w:rsidRPr="0083172E">
        <w:rPr>
          <w:rFonts w:ascii="Book Antiqua" w:eastAsia="Book Antiqua" w:hAnsi="Book Antiqua" w:cs="Book Antiqua"/>
          <w:color w:val="000000"/>
        </w:rPr>
        <w:t xml:space="preserve"> </w:t>
      </w:r>
      <w:r w:rsidR="0083172E">
        <w:rPr>
          <w:rFonts w:ascii="Book Antiqua" w:eastAsia="Book Antiqua" w:hAnsi="Book Antiqua" w:cs="Book Antiqua"/>
          <w:color w:val="000000"/>
        </w:rPr>
        <w:t>(</w:t>
      </w:r>
      <w:r>
        <w:rPr>
          <w:rFonts w:ascii="Book Antiqua" w:eastAsia="Book Antiqua" w:hAnsi="Book Antiqua" w:cs="Book Antiqua"/>
          <w:color w:val="000000"/>
        </w:rPr>
        <w:t>TIPS</w:t>
      </w:r>
      <w:r w:rsidR="0083172E">
        <w:rPr>
          <w:rFonts w:ascii="Book Antiqua" w:eastAsia="Book Antiqua" w:hAnsi="Book Antiqua" w:cs="Book Antiqua"/>
          <w:color w:val="000000"/>
        </w:rPr>
        <w:t>)</w:t>
      </w:r>
      <w:r>
        <w:rPr>
          <w:rFonts w:ascii="Book Antiqua" w:eastAsia="Book Antiqua" w:hAnsi="Book Antiqua" w:cs="Book Antiqua"/>
          <w:color w:val="000000"/>
        </w:rPr>
        <w:t xml:space="preserve"> shows the stent in situ (arrowhead) with its distal end in one of the major tributaries of SMV. The main trunk of SMV (solid arrow) and splenic vein could not be fully recanalized during TIPS. Trans-splenic access was not taken due to gross ascites</w:t>
      </w:r>
      <w:r w:rsidR="0083172E">
        <w:rPr>
          <w:rFonts w:ascii="Book Antiqua" w:eastAsia="Book Antiqua" w:hAnsi="Book Antiqua" w:cs="Book Antiqua"/>
          <w:color w:val="000000"/>
        </w:rPr>
        <w:t>;</w:t>
      </w:r>
      <w:r>
        <w:rPr>
          <w:rFonts w:ascii="Book Antiqua" w:eastAsia="Book Antiqua" w:hAnsi="Book Antiqua" w:cs="Book Antiqua"/>
          <w:color w:val="000000"/>
        </w:rPr>
        <w:t xml:space="preserve"> C and D: Corresponding axial images show marked enlargement of the gastroepiploic collaterals (solid white arrows) arising from the patent portion of splenic vein at splenic hilum draining through the TIPS stent (black arrow in D) into the portal venous system. Note the significant regression of ascites on the follow up scans (B compared to D).</w:t>
      </w:r>
    </w:p>
    <w:p w14:paraId="2CAC63F6" w14:textId="261F99E3" w:rsidR="00A77B3E" w:rsidRDefault="00AE582E">
      <w:pPr>
        <w:spacing w:line="360" w:lineRule="auto"/>
        <w:jc w:val="both"/>
      </w:pPr>
      <w:r>
        <w:br w:type="page"/>
      </w:r>
      <w:r>
        <w:rPr>
          <w:noProof/>
          <w:lang w:eastAsia="zh-CN"/>
        </w:rPr>
        <w:lastRenderedPageBreak/>
        <w:drawing>
          <wp:inline distT="0" distB="0" distL="0" distR="0" wp14:anchorId="255F5E7A" wp14:editId="56B82CF6">
            <wp:extent cx="4491070" cy="404815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070" cy="4048155"/>
                    </a:xfrm>
                    <a:prstGeom prst="rect">
                      <a:avLst/>
                    </a:prstGeom>
                  </pic:spPr>
                </pic:pic>
              </a:graphicData>
            </a:graphic>
          </wp:inline>
        </w:drawing>
      </w:r>
    </w:p>
    <w:p w14:paraId="57219837" w14:textId="77777777" w:rsidR="00C86618" w:rsidRDefault="00D8132F" w:rsidP="00C866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FF2E94">
        <w:rPr>
          <w:rFonts w:ascii="Book Antiqua" w:eastAsia="Book Antiqua" w:hAnsi="Book Antiqua" w:cs="Book Antiqua"/>
          <w:b/>
          <w:bCs/>
          <w:color w:val="000000"/>
        </w:rPr>
        <w:t xml:space="preserve"> </w:t>
      </w:r>
      <w:r w:rsidR="00FF2E94" w:rsidRPr="00FF2E94">
        <w:rPr>
          <w:rFonts w:ascii="Book Antiqua" w:eastAsia="Book Antiqua" w:hAnsi="Book Antiqua" w:cs="Book Antiqua"/>
          <w:b/>
          <w:bCs/>
          <w:color w:val="000000"/>
        </w:rPr>
        <w:t xml:space="preserve">Ultrasound </w:t>
      </w:r>
      <w:r w:rsidR="00FF2E94" w:rsidRPr="0083172E">
        <w:rPr>
          <w:rFonts w:ascii="Book Antiqua" w:eastAsia="Book Antiqua" w:hAnsi="Book Antiqua" w:cs="Book Antiqua"/>
          <w:b/>
          <w:bCs/>
          <w:color w:val="000000"/>
        </w:rPr>
        <w:t>image</w:t>
      </w:r>
      <w:r w:rsidRPr="00FF2E94">
        <w:rPr>
          <w:rFonts w:ascii="Book Antiqua" w:eastAsia="Book Antiqua" w:hAnsi="Book Antiqua" w:cs="Book Antiqua"/>
          <w:b/>
          <w:bCs/>
          <w:color w:val="000000"/>
        </w:rPr>
        <w:t>.</w:t>
      </w:r>
      <w:r>
        <w:rPr>
          <w:rFonts w:ascii="Book Antiqua" w:eastAsia="Book Antiqua" w:hAnsi="Book Antiqua" w:cs="Book Antiqua"/>
          <w:color w:val="000000"/>
        </w:rPr>
        <w:t xml:space="preserve"> A: Gray scale ultrasound image showing the stiff guidewire in the right hepatic vein (arrowhead) with the right portal vein branch in the same image (asterisk); B: The needle-catheter combination advancing towards the portal vein branch (arrow); C: Indentation of the needle (arrow); D: The needle is seen entering the portal vein (arrowhead).</w:t>
      </w:r>
    </w:p>
    <w:p w14:paraId="513B3B67" w14:textId="7D5F969A" w:rsidR="00C86618" w:rsidRDefault="00C86618" w:rsidP="00C86618">
      <w:pPr>
        <w:spacing w:line="360" w:lineRule="auto"/>
        <w:jc w:val="both"/>
        <w:rPr>
          <w:rFonts w:ascii="Book Antiqua" w:eastAsia="Book Antiqua" w:hAnsi="Book Antiqua" w:cs="Book Antiqua"/>
          <w:color w:val="000000"/>
        </w:rPr>
        <w:sectPr w:rsidR="00C86618">
          <w:pgSz w:w="12240" w:h="15840"/>
          <w:pgMar w:top="1440" w:right="1440" w:bottom="1440" w:left="1440" w:header="720" w:footer="720" w:gutter="0"/>
          <w:cols w:space="720"/>
          <w:docGrid w:linePitch="360"/>
        </w:sectPr>
      </w:pPr>
    </w:p>
    <w:p w14:paraId="6C83A1B1" w14:textId="34BC22F6" w:rsidR="00A77B3E" w:rsidRPr="00C86618" w:rsidRDefault="00C86618" w:rsidP="00D37778">
      <w:pPr>
        <w:spacing w:line="360" w:lineRule="auto"/>
        <w:jc w:val="both"/>
        <w:rPr>
          <w:rFonts w:ascii="Book Antiqua" w:hAnsi="Book Antiqua"/>
          <w:b/>
          <w:bCs/>
        </w:rPr>
      </w:pPr>
      <w:r w:rsidRPr="00C86618">
        <w:rPr>
          <w:rFonts w:ascii="Book Antiqua" w:hAnsi="Book Antiqua"/>
          <w:b/>
          <w:bCs/>
        </w:rPr>
        <w:lastRenderedPageBreak/>
        <w:t>Table 1 Summary of the randomised controlled trials on early (preemptive) transjugular intrahepatic portosystemic shunt</w:t>
      </w:r>
    </w:p>
    <w:tbl>
      <w:tblPr>
        <w:tblW w:w="5000" w:type="pct"/>
        <w:tblLook w:val="0000" w:firstRow="0" w:lastRow="0" w:firstColumn="0" w:lastColumn="0" w:noHBand="0" w:noVBand="0"/>
      </w:tblPr>
      <w:tblGrid>
        <w:gridCol w:w="1378"/>
        <w:gridCol w:w="1768"/>
        <w:gridCol w:w="2066"/>
        <w:gridCol w:w="2662"/>
        <w:gridCol w:w="1768"/>
        <w:gridCol w:w="1768"/>
        <w:gridCol w:w="1766"/>
      </w:tblGrid>
      <w:tr w:rsidR="00827DE5" w:rsidRPr="00C86618" w14:paraId="65005C40" w14:textId="77777777" w:rsidTr="007D68B7">
        <w:trPr>
          <w:trHeight w:val="805"/>
        </w:trPr>
        <w:tc>
          <w:tcPr>
            <w:tcW w:w="523" w:type="pct"/>
            <w:tcBorders>
              <w:top w:val="single" w:sz="4" w:space="0" w:color="000000"/>
              <w:bottom w:val="single" w:sz="4" w:space="0" w:color="000000"/>
            </w:tcBorders>
            <w:shd w:val="clear" w:color="auto" w:fill="auto"/>
          </w:tcPr>
          <w:p w14:paraId="5B5E5F79" w14:textId="04D431FB" w:rsidR="00C86618" w:rsidRPr="00C86618" w:rsidRDefault="00D37778" w:rsidP="007D68B7">
            <w:pPr>
              <w:pStyle w:val="TableContents"/>
              <w:suppressLineNumbers w:val="0"/>
              <w:suppressAutoHyphens w:val="0"/>
              <w:spacing w:line="360" w:lineRule="auto"/>
              <w:jc w:val="both"/>
              <w:rPr>
                <w:rFonts w:ascii="Book Antiqua" w:hAnsi="Book Antiqua"/>
                <w:b/>
                <w:bCs/>
              </w:rPr>
            </w:pPr>
            <w:r>
              <w:rPr>
                <w:rFonts w:ascii="Book Antiqua" w:hAnsi="Book Antiqua"/>
                <w:b/>
                <w:bCs/>
              </w:rPr>
              <w:t>Ref.</w:t>
            </w:r>
          </w:p>
        </w:tc>
        <w:tc>
          <w:tcPr>
            <w:tcW w:w="671" w:type="pct"/>
            <w:tcBorders>
              <w:top w:val="single" w:sz="4" w:space="0" w:color="000000"/>
              <w:bottom w:val="single" w:sz="4" w:space="0" w:color="000000"/>
            </w:tcBorders>
            <w:shd w:val="clear" w:color="auto" w:fill="auto"/>
          </w:tcPr>
          <w:p w14:paraId="594625A4" w14:textId="2A0165D1"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N</w:t>
            </w:r>
            <w:r w:rsidR="00827DE5">
              <w:rPr>
                <w:rFonts w:ascii="Book Antiqua" w:hAnsi="Book Antiqua"/>
                <w:b/>
                <w:bCs/>
              </w:rPr>
              <w:t>o.</w:t>
            </w:r>
            <w:r w:rsidR="00D37778">
              <w:rPr>
                <w:rFonts w:ascii="Book Antiqua" w:hAnsi="Book Antiqua"/>
                <w:b/>
                <w:bCs/>
              </w:rPr>
              <w:t xml:space="preserve"> </w:t>
            </w:r>
            <w:r w:rsidRPr="00C86618">
              <w:rPr>
                <w:rFonts w:ascii="Book Antiqua" w:hAnsi="Book Antiqua"/>
                <w:b/>
                <w:bCs/>
              </w:rPr>
              <w:t>of pts</w:t>
            </w:r>
            <w:r w:rsidR="00D37778">
              <w:rPr>
                <w:rFonts w:ascii="Book Antiqua" w:hAnsi="Book Antiqua"/>
                <w:b/>
                <w:bCs/>
              </w:rPr>
              <w:t xml:space="preserve"> </w:t>
            </w:r>
            <w:r w:rsidRPr="00C86618">
              <w:rPr>
                <w:rFonts w:ascii="Book Antiqua" w:hAnsi="Book Antiqua"/>
                <w:b/>
                <w:bCs/>
              </w:rPr>
              <w:t>(TIPS/</w:t>
            </w:r>
            <w:r w:rsidR="00D37778" w:rsidRPr="00C86618">
              <w:rPr>
                <w:rFonts w:ascii="Book Antiqua" w:hAnsi="Book Antiqua"/>
                <w:b/>
                <w:bCs/>
              </w:rPr>
              <w:t>c</w:t>
            </w:r>
            <w:r w:rsidRPr="00C86618">
              <w:rPr>
                <w:rFonts w:ascii="Book Antiqua" w:hAnsi="Book Antiqua"/>
                <w:b/>
                <w:bCs/>
              </w:rPr>
              <w:t>ontrol)</w:t>
            </w:r>
          </w:p>
        </w:tc>
        <w:tc>
          <w:tcPr>
            <w:tcW w:w="784" w:type="pct"/>
            <w:tcBorders>
              <w:top w:val="single" w:sz="4" w:space="0" w:color="000000"/>
              <w:bottom w:val="single" w:sz="4" w:space="0" w:color="000000"/>
            </w:tcBorders>
            <w:shd w:val="clear" w:color="auto" w:fill="auto"/>
          </w:tcPr>
          <w:p w14:paraId="731EF38B" w14:textId="77777777"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Primary inclusion criteria</w:t>
            </w:r>
          </w:p>
        </w:tc>
        <w:tc>
          <w:tcPr>
            <w:tcW w:w="1010" w:type="pct"/>
            <w:tcBorders>
              <w:top w:val="single" w:sz="4" w:space="0" w:color="000000"/>
              <w:bottom w:val="single" w:sz="4" w:space="0" w:color="000000"/>
            </w:tcBorders>
            <w:shd w:val="clear" w:color="auto" w:fill="auto"/>
          </w:tcPr>
          <w:p w14:paraId="05721C14" w14:textId="77777777"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Primary and secondary end-points</w:t>
            </w:r>
          </w:p>
          <w:p w14:paraId="05ABD30E" w14:textId="77777777" w:rsidR="00C86618" w:rsidRPr="00C86618" w:rsidRDefault="00C86618" w:rsidP="007D68B7">
            <w:pPr>
              <w:pStyle w:val="TableContents"/>
              <w:suppressLineNumbers w:val="0"/>
              <w:suppressAutoHyphens w:val="0"/>
              <w:spacing w:line="360" w:lineRule="auto"/>
              <w:jc w:val="both"/>
              <w:rPr>
                <w:rFonts w:ascii="Book Antiqua" w:hAnsi="Book Antiqua"/>
                <w:b/>
                <w:bCs/>
              </w:rPr>
            </w:pPr>
          </w:p>
        </w:tc>
        <w:tc>
          <w:tcPr>
            <w:tcW w:w="671" w:type="pct"/>
            <w:tcBorders>
              <w:top w:val="single" w:sz="4" w:space="0" w:color="000000"/>
              <w:bottom w:val="single" w:sz="4" w:space="0" w:color="000000"/>
            </w:tcBorders>
            <w:shd w:val="clear" w:color="auto" w:fill="auto"/>
          </w:tcPr>
          <w:p w14:paraId="2BCC84DF" w14:textId="7CCF154B"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Rebleeding</w:t>
            </w:r>
            <w:r w:rsidR="00D37778">
              <w:rPr>
                <w:rFonts w:ascii="Book Antiqua" w:hAnsi="Book Antiqua"/>
                <w:b/>
                <w:bCs/>
              </w:rPr>
              <w:t xml:space="preserve"> (%</w:t>
            </w:r>
            <w:r w:rsidR="00827DE5">
              <w:rPr>
                <w:rFonts w:ascii="Book Antiqua" w:hAnsi="Book Antiqua"/>
                <w:b/>
                <w:bCs/>
              </w:rPr>
              <w:t xml:space="preserve">; </w:t>
            </w:r>
            <w:r w:rsidRPr="00C86618">
              <w:rPr>
                <w:rFonts w:ascii="Book Antiqua" w:hAnsi="Book Antiqua"/>
                <w:b/>
                <w:bCs/>
              </w:rPr>
              <w:t>TIPS/</w:t>
            </w:r>
            <w:r w:rsidR="00D37778">
              <w:rPr>
                <w:rFonts w:ascii="Book Antiqua" w:hAnsi="Book Antiqua"/>
                <w:b/>
                <w:bCs/>
              </w:rPr>
              <w:t>c</w:t>
            </w:r>
            <w:r w:rsidRPr="00C86618">
              <w:rPr>
                <w:rFonts w:ascii="Book Antiqua" w:hAnsi="Book Antiqua"/>
                <w:b/>
                <w:bCs/>
              </w:rPr>
              <w:t>ontrol)</w:t>
            </w:r>
          </w:p>
        </w:tc>
        <w:tc>
          <w:tcPr>
            <w:tcW w:w="671" w:type="pct"/>
            <w:tcBorders>
              <w:top w:val="single" w:sz="4" w:space="0" w:color="000000"/>
              <w:bottom w:val="single" w:sz="4" w:space="0" w:color="000000"/>
            </w:tcBorders>
            <w:shd w:val="clear" w:color="auto" w:fill="auto"/>
          </w:tcPr>
          <w:p w14:paraId="60122F1C" w14:textId="59773CAE"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1</w:t>
            </w:r>
            <w:r w:rsidR="00D37778">
              <w:rPr>
                <w:rFonts w:ascii="Book Antiqua" w:hAnsi="Book Antiqua"/>
                <w:b/>
                <w:bCs/>
              </w:rPr>
              <w:t>-</w:t>
            </w:r>
            <w:r w:rsidRPr="00C86618">
              <w:rPr>
                <w:rFonts w:ascii="Book Antiqua" w:hAnsi="Book Antiqua"/>
                <w:b/>
                <w:bCs/>
              </w:rPr>
              <w:t xml:space="preserve">yr survival </w:t>
            </w:r>
            <w:r w:rsidR="00D37778">
              <w:rPr>
                <w:rFonts w:ascii="Book Antiqua" w:hAnsi="Book Antiqua"/>
                <w:b/>
                <w:bCs/>
              </w:rPr>
              <w:t>(%</w:t>
            </w:r>
            <w:r w:rsidR="00827DE5">
              <w:rPr>
                <w:rFonts w:ascii="Book Antiqua" w:hAnsi="Book Antiqua"/>
                <w:b/>
                <w:bCs/>
              </w:rPr>
              <w:t xml:space="preserve">; </w:t>
            </w:r>
            <w:r w:rsidRPr="00C86618">
              <w:rPr>
                <w:rFonts w:ascii="Book Antiqua" w:hAnsi="Book Antiqua"/>
                <w:b/>
                <w:bCs/>
              </w:rPr>
              <w:t>TIPS/</w:t>
            </w:r>
            <w:r w:rsidR="00D37778">
              <w:rPr>
                <w:rFonts w:ascii="Book Antiqua" w:hAnsi="Book Antiqua"/>
                <w:b/>
                <w:bCs/>
              </w:rPr>
              <w:t>c</w:t>
            </w:r>
            <w:r w:rsidRPr="00C86618">
              <w:rPr>
                <w:rFonts w:ascii="Book Antiqua" w:hAnsi="Book Antiqua"/>
                <w:b/>
                <w:bCs/>
              </w:rPr>
              <w:t>ontrol)</w:t>
            </w:r>
          </w:p>
        </w:tc>
        <w:tc>
          <w:tcPr>
            <w:tcW w:w="671" w:type="pct"/>
            <w:tcBorders>
              <w:top w:val="single" w:sz="4" w:space="0" w:color="000000"/>
              <w:bottom w:val="single" w:sz="4" w:space="0" w:color="000000"/>
            </w:tcBorders>
            <w:shd w:val="clear" w:color="auto" w:fill="auto"/>
          </w:tcPr>
          <w:p w14:paraId="34A625AE" w14:textId="3490163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b/>
                <w:bCs/>
              </w:rPr>
              <w:t>HE</w:t>
            </w:r>
            <w:r w:rsidR="00D37778">
              <w:rPr>
                <w:rFonts w:ascii="Book Antiqua" w:hAnsi="Book Antiqua"/>
                <w:b/>
                <w:bCs/>
              </w:rPr>
              <w:t xml:space="preserve"> (%</w:t>
            </w:r>
            <w:r w:rsidR="00827DE5">
              <w:rPr>
                <w:rFonts w:ascii="Book Antiqua" w:hAnsi="Book Antiqua"/>
                <w:b/>
                <w:bCs/>
              </w:rPr>
              <w:t xml:space="preserve">; </w:t>
            </w:r>
            <w:r w:rsidRPr="00C86618">
              <w:rPr>
                <w:rFonts w:ascii="Book Antiqua" w:hAnsi="Book Antiqua"/>
                <w:b/>
                <w:bCs/>
              </w:rPr>
              <w:t>TIPS/</w:t>
            </w:r>
            <w:r w:rsidR="00D37778">
              <w:rPr>
                <w:rFonts w:ascii="Book Antiqua" w:hAnsi="Book Antiqua"/>
                <w:b/>
                <w:bCs/>
              </w:rPr>
              <w:t>c</w:t>
            </w:r>
            <w:r w:rsidRPr="00C86618">
              <w:rPr>
                <w:rFonts w:ascii="Book Antiqua" w:hAnsi="Book Antiqua"/>
                <w:b/>
                <w:bCs/>
              </w:rPr>
              <w:t>ontrol)</w:t>
            </w:r>
          </w:p>
        </w:tc>
      </w:tr>
      <w:tr w:rsidR="00827DE5" w:rsidRPr="00C86618" w14:paraId="18F7DD06" w14:textId="77777777" w:rsidTr="007D68B7">
        <w:trPr>
          <w:trHeight w:val="1637"/>
        </w:trPr>
        <w:tc>
          <w:tcPr>
            <w:tcW w:w="523" w:type="pct"/>
            <w:tcBorders>
              <w:top w:val="single" w:sz="4" w:space="0" w:color="000000"/>
            </w:tcBorders>
            <w:shd w:val="clear" w:color="auto" w:fill="auto"/>
          </w:tcPr>
          <w:p w14:paraId="59DFED7F"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Monescillo </w:t>
            </w:r>
          </w:p>
          <w:p w14:paraId="7EA710B4"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D37778">
              <w:rPr>
                <w:rFonts w:ascii="Book Antiqua" w:hAnsi="Book Antiqua"/>
                <w:i/>
                <w:iCs/>
              </w:rPr>
              <w:t>et al</w:t>
            </w:r>
            <w:r w:rsidRPr="00C86618">
              <w:rPr>
                <w:rFonts w:ascii="Book Antiqua" w:hAnsi="Book Antiqua"/>
                <w:vertAlign w:val="superscript"/>
              </w:rPr>
              <w:t>[13]</w:t>
            </w:r>
          </w:p>
        </w:tc>
        <w:tc>
          <w:tcPr>
            <w:tcW w:w="671" w:type="pct"/>
            <w:tcBorders>
              <w:top w:val="single" w:sz="4" w:space="0" w:color="000000"/>
            </w:tcBorders>
            <w:shd w:val="clear" w:color="auto" w:fill="auto"/>
          </w:tcPr>
          <w:p w14:paraId="6A38B4F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26/26</w:t>
            </w:r>
          </w:p>
        </w:tc>
        <w:tc>
          <w:tcPr>
            <w:tcW w:w="784" w:type="pct"/>
            <w:tcBorders>
              <w:top w:val="single" w:sz="4" w:space="0" w:color="000000"/>
            </w:tcBorders>
            <w:shd w:val="clear" w:color="auto" w:fill="auto"/>
          </w:tcPr>
          <w:p w14:paraId="1C842175"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HVPG &gt; 20 mmHg</w:t>
            </w:r>
          </w:p>
        </w:tc>
        <w:tc>
          <w:tcPr>
            <w:tcW w:w="1010" w:type="pct"/>
            <w:tcBorders>
              <w:top w:val="single" w:sz="4" w:space="0" w:color="000000"/>
            </w:tcBorders>
            <w:shd w:val="clear" w:color="auto" w:fill="auto"/>
          </w:tcPr>
          <w:p w14:paraId="0415C3D0" w14:textId="7CE9ECAE"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Primary</w:t>
            </w:r>
            <w:r w:rsidR="00CD747A">
              <w:rPr>
                <w:rFonts w:ascii="Book Antiqua" w:hAnsi="Book Antiqua"/>
              </w:rPr>
              <w:t xml:space="preserve">: </w:t>
            </w:r>
            <w:r w:rsidRPr="00C86618">
              <w:rPr>
                <w:rFonts w:ascii="Book Antiqua" w:hAnsi="Book Antiqua"/>
              </w:rPr>
              <w:t>sensivity and specificity of HVPG cutoff value (20 mmHg) in predicting TFS, and assessment of TFS as well as short- and long-term survival</w:t>
            </w:r>
            <w:r w:rsidR="00D37778">
              <w:rPr>
                <w:rFonts w:ascii="Book Antiqua" w:hAnsi="Book Antiqua"/>
              </w:rPr>
              <w:t xml:space="preserve">; </w:t>
            </w:r>
            <w:r w:rsidR="00CD747A">
              <w:rPr>
                <w:rFonts w:ascii="Book Antiqua" w:eastAsia="Times New Roman" w:hAnsi="Book Antiqua"/>
              </w:rPr>
              <w:t>s</w:t>
            </w:r>
            <w:r w:rsidRPr="00C86618">
              <w:rPr>
                <w:rFonts w:ascii="Book Antiqua" w:eastAsia="Times New Roman" w:hAnsi="Book Antiqua"/>
              </w:rPr>
              <w:t>econdary</w:t>
            </w:r>
            <w:r w:rsidR="00CD747A">
              <w:rPr>
                <w:rFonts w:ascii="Book Antiqua" w:eastAsia="Times New Roman" w:hAnsi="Book Antiqua"/>
              </w:rPr>
              <w:t xml:space="preserve">: </w:t>
            </w:r>
            <w:r w:rsidRPr="00C86618">
              <w:rPr>
                <w:rFonts w:ascii="Book Antiqua" w:eastAsia="Times New Roman" w:hAnsi="Book Antiqua"/>
              </w:rPr>
              <w:t xml:space="preserve">transfusional </w:t>
            </w:r>
            <w:r w:rsidRPr="00C86618">
              <w:rPr>
                <w:rFonts w:ascii="Book Antiqua" w:hAnsi="Book Antiqua"/>
              </w:rPr>
              <w:t>needs,</w:t>
            </w:r>
            <w:r w:rsidRPr="00C86618">
              <w:rPr>
                <w:rFonts w:ascii="Book Antiqua" w:hAnsi="Book Antiqua"/>
                <w:i/>
                <w:iCs/>
              </w:rPr>
              <w:t xml:space="preserve"> </w:t>
            </w:r>
            <w:r w:rsidRPr="00C86618">
              <w:rPr>
                <w:rFonts w:ascii="Book Antiqua" w:hAnsi="Book Antiqua"/>
              </w:rPr>
              <w:t xml:space="preserve">ICU stay, complications during the first week of treatment, and causes of </w:t>
            </w:r>
            <w:r w:rsidRPr="00C86618">
              <w:rPr>
                <w:rFonts w:ascii="Book Antiqua" w:eastAsia="Times New Roman" w:hAnsi="Book Antiqua"/>
              </w:rPr>
              <w:t xml:space="preserve">death </w:t>
            </w:r>
          </w:p>
        </w:tc>
        <w:tc>
          <w:tcPr>
            <w:tcW w:w="671" w:type="pct"/>
            <w:tcBorders>
              <w:top w:val="single" w:sz="4" w:space="0" w:color="000000"/>
            </w:tcBorders>
            <w:shd w:val="clear" w:color="auto" w:fill="auto"/>
          </w:tcPr>
          <w:p w14:paraId="5205B151"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12/50</w:t>
            </w:r>
          </w:p>
        </w:tc>
        <w:tc>
          <w:tcPr>
            <w:tcW w:w="671" w:type="pct"/>
            <w:tcBorders>
              <w:top w:val="single" w:sz="4" w:space="0" w:color="000000"/>
            </w:tcBorders>
            <w:shd w:val="clear" w:color="auto" w:fill="auto"/>
          </w:tcPr>
          <w:p w14:paraId="3F705774"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62/35</w:t>
            </w:r>
          </w:p>
        </w:tc>
        <w:tc>
          <w:tcPr>
            <w:tcW w:w="671" w:type="pct"/>
            <w:tcBorders>
              <w:top w:val="single" w:sz="4" w:space="0" w:color="000000"/>
            </w:tcBorders>
            <w:shd w:val="clear" w:color="auto" w:fill="auto"/>
          </w:tcPr>
          <w:p w14:paraId="53D7CD9D"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31/35</w:t>
            </w:r>
          </w:p>
        </w:tc>
      </w:tr>
      <w:tr w:rsidR="00827DE5" w:rsidRPr="00C86618" w14:paraId="712DE095" w14:textId="77777777" w:rsidTr="007D68B7">
        <w:tc>
          <w:tcPr>
            <w:tcW w:w="523" w:type="pct"/>
            <w:shd w:val="clear" w:color="auto" w:fill="auto"/>
          </w:tcPr>
          <w:p w14:paraId="77E6F29D" w14:textId="36F83F42" w:rsidR="00C86618" w:rsidRPr="00C86618" w:rsidRDefault="00CD747A" w:rsidP="007D68B7">
            <w:pPr>
              <w:pStyle w:val="TableContents"/>
              <w:suppressLineNumbers w:val="0"/>
              <w:suppressAutoHyphens w:val="0"/>
              <w:spacing w:line="360" w:lineRule="auto"/>
              <w:jc w:val="both"/>
              <w:rPr>
                <w:rFonts w:ascii="Book Antiqua" w:hAnsi="Book Antiqua"/>
              </w:rPr>
            </w:pPr>
            <w:r w:rsidRPr="00CD747A">
              <w:rPr>
                <w:rFonts w:ascii="Book Antiqua" w:hAnsi="Book Antiqua"/>
              </w:rPr>
              <w:t>Garcia-Pagán</w:t>
            </w:r>
            <w:r w:rsidR="00C86618" w:rsidRPr="00C86618">
              <w:rPr>
                <w:rFonts w:ascii="Book Antiqua" w:hAnsi="Book Antiqua"/>
              </w:rPr>
              <w:t xml:space="preserve"> </w:t>
            </w:r>
            <w:r w:rsidR="00C86618" w:rsidRPr="00D37778">
              <w:rPr>
                <w:rFonts w:ascii="Book Antiqua" w:hAnsi="Book Antiqua"/>
                <w:i/>
                <w:iCs/>
              </w:rPr>
              <w:t xml:space="preserve">et </w:t>
            </w:r>
            <w:r w:rsidR="00C86618" w:rsidRPr="00D37778">
              <w:rPr>
                <w:rFonts w:ascii="Book Antiqua" w:hAnsi="Book Antiqua"/>
                <w:i/>
                <w:iCs/>
              </w:rPr>
              <w:lastRenderedPageBreak/>
              <w:t>al</w:t>
            </w:r>
            <w:r w:rsidR="00C86618" w:rsidRPr="00C86618">
              <w:rPr>
                <w:rFonts w:ascii="Book Antiqua" w:hAnsi="Book Antiqua"/>
                <w:vertAlign w:val="superscript"/>
              </w:rPr>
              <w:t>[14]</w:t>
            </w:r>
          </w:p>
        </w:tc>
        <w:tc>
          <w:tcPr>
            <w:tcW w:w="671" w:type="pct"/>
            <w:shd w:val="clear" w:color="auto" w:fill="auto"/>
          </w:tcPr>
          <w:p w14:paraId="71F65D27"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32/31</w:t>
            </w:r>
          </w:p>
        </w:tc>
        <w:tc>
          <w:tcPr>
            <w:tcW w:w="784" w:type="pct"/>
            <w:shd w:val="clear" w:color="auto" w:fill="auto"/>
          </w:tcPr>
          <w:p w14:paraId="1360A592"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Child–Pugh class C disease (a </w:t>
            </w:r>
            <w:r w:rsidRPr="00C86618">
              <w:rPr>
                <w:rFonts w:ascii="Book Antiqua" w:hAnsi="Book Antiqua"/>
              </w:rPr>
              <w:lastRenderedPageBreak/>
              <w:t>score of 10 to 13) or class B disease but with active bleeding at diagnostic endoscopy</w:t>
            </w:r>
          </w:p>
        </w:tc>
        <w:tc>
          <w:tcPr>
            <w:tcW w:w="1010" w:type="pct"/>
            <w:shd w:val="clear" w:color="auto" w:fill="auto"/>
          </w:tcPr>
          <w:p w14:paraId="0D0672DE" w14:textId="5000693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Primary</w:t>
            </w:r>
            <w:r w:rsidR="00CD747A">
              <w:rPr>
                <w:rFonts w:ascii="Book Antiqua" w:hAnsi="Book Antiqua"/>
              </w:rPr>
              <w:t xml:space="preserve">: </w:t>
            </w:r>
            <w:r w:rsidRPr="00C86618">
              <w:rPr>
                <w:rFonts w:ascii="Book Antiqua" w:hAnsi="Book Antiqua"/>
              </w:rPr>
              <w:t>failure to control bleeding and</w:t>
            </w:r>
            <w:r w:rsidR="00CD747A">
              <w:rPr>
                <w:rFonts w:ascii="Book Antiqua" w:hAnsi="Book Antiqua"/>
              </w:rPr>
              <w:t xml:space="preserve"> </w:t>
            </w:r>
            <w:r w:rsidRPr="00C86618">
              <w:rPr>
                <w:rFonts w:ascii="Book Antiqua" w:hAnsi="Book Antiqua"/>
              </w:rPr>
              <w:lastRenderedPageBreak/>
              <w:t>failure to prevent clinically significant variceal rebleeding within 1 yr</w:t>
            </w:r>
            <w:r w:rsidR="00CD747A">
              <w:rPr>
                <w:rFonts w:ascii="Book Antiqua" w:hAnsi="Book Antiqua"/>
              </w:rPr>
              <w:t>; s</w:t>
            </w:r>
            <w:r w:rsidRPr="00C86618">
              <w:rPr>
                <w:rFonts w:ascii="Book Antiqua" w:hAnsi="Book Antiqua"/>
              </w:rPr>
              <w:t>econdary</w:t>
            </w:r>
            <w:r w:rsidR="00CD747A">
              <w:rPr>
                <w:rFonts w:ascii="Book Antiqua" w:hAnsi="Book Antiqua"/>
              </w:rPr>
              <w:t xml:space="preserve">: </w:t>
            </w:r>
            <w:r w:rsidRPr="00C86618">
              <w:rPr>
                <w:rFonts w:ascii="Book Antiqua" w:eastAsia="OTNEJMQuadraat" w:hAnsi="Book Antiqua" w:cs="OTNEJMQuadraat"/>
              </w:rPr>
              <w:t>mortality at 6 w</w:t>
            </w:r>
            <w:r w:rsidR="00CD747A">
              <w:rPr>
                <w:rFonts w:ascii="Book Antiqua" w:eastAsia="OTNEJMQuadraat" w:hAnsi="Book Antiqua" w:cs="OTNEJMQuadraat"/>
              </w:rPr>
              <w:t>k</w:t>
            </w:r>
            <w:r w:rsidRPr="00C86618">
              <w:rPr>
                <w:rFonts w:ascii="Book Antiqua" w:eastAsia="OTNEJMQuadraat" w:hAnsi="Book Antiqua" w:cs="OTNEJMQuadraat"/>
              </w:rPr>
              <w:t xml:space="preserve"> and at</w:t>
            </w:r>
            <w:r w:rsidR="00CD747A">
              <w:rPr>
                <w:rFonts w:ascii="Book Antiqua" w:eastAsia="OTNEJMQuadraat" w:hAnsi="Book Antiqua" w:cs="OTNEJMQuadraat"/>
              </w:rPr>
              <w:t xml:space="preserve"> </w:t>
            </w:r>
            <w:r w:rsidRPr="00C86618">
              <w:rPr>
                <w:rFonts w:ascii="Book Antiqua" w:hAnsi="Book Antiqua"/>
              </w:rPr>
              <w:t>1 yr, failure to control acute bleeding, early rebleeding, rate of rebleeding between 6 w</w:t>
            </w:r>
            <w:r w:rsidR="00CD747A">
              <w:rPr>
                <w:rFonts w:ascii="Book Antiqua" w:hAnsi="Book Antiqua"/>
              </w:rPr>
              <w:t xml:space="preserve">k </w:t>
            </w:r>
            <w:r w:rsidRPr="00C86618">
              <w:rPr>
                <w:rFonts w:ascii="Book Antiqua" w:hAnsi="Book Antiqua"/>
              </w:rPr>
              <w:t>and 1 y</w:t>
            </w:r>
            <w:r w:rsidR="00CD747A">
              <w:rPr>
                <w:rFonts w:ascii="Book Antiqua" w:hAnsi="Book Antiqua"/>
              </w:rPr>
              <w:t>r</w:t>
            </w:r>
            <w:r w:rsidRPr="00C86618">
              <w:rPr>
                <w:rFonts w:ascii="Book Antiqua" w:hAnsi="Book Antiqua"/>
              </w:rPr>
              <w:t xml:space="preserve">, other complications of portal hypertension, the number of days in the ICU, days spent in the hospital, and </w:t>
            </w:r>
            <w:r w:rsidRPr="00C86618">
              <w:rPr>
                <w:rFonts w:ascii="Book Antiqua" w:eastAsia="OTNEJMQuadraat" w:hAnsi="Book Antiqua" w:cs="OTNEJMQuadraat"/>
              </w:rPr>
              <w:t>the use of alternative treatments</w:t>
            </w:r>
          </w:p>
        </w:tc>
        <w:tc>
          <w:tcPr>
            <w:tcW w:w="671" w:type="pct"/>
            <w:shd w:val="clear" w:color="auto" w:fill="auto"/>
          </w:tcPr>
          <w:p w14:paraId="4B716BDD"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3/50</w:t>
            </w:r>
          </w:p>
        </w:tc>
        <w:tc>
          <w:tcPr>
            <w:tcW w:w="671" w:type="pct"/>
            <w:shd w:val="clear" w:color="auto" w:fill="auto"/>
          </w:tcPr>
          <w:p w14:paraId="5943E67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86/61</w:t>
            </w:r>
          </w:p>
        </w:tc>
        <w:tc>
          <w:tcPr>
            <w:tcW w:w="671" w:type="pct"/>
            <w:shd w:val="clear" w:color="auto" w:fill="auto"/>
          </w:tcPr>
          <w:p w14:paraId="1CEDFDCA"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25/39</w:t>
            </w:r>
          </w:p>
        </w:tc>
      </w:tr>
      <w:tr w:rsidR="00827DE5" w:rsidRPr="00C86618" w14:paraId="2E8B6CF1" w14:textId="77777777" w:rsidTr="007D68B7">
        <w:trPr>
          <w:trHeight w:val="1110"/>
        </w:trPr>
        <w:tc>
          <w:tcPr>
            <w:tcW w:w="523" w:type="pct"/>
            <w:shd w:val="clear" w:color="auto" w:fill="auto"/>
          </w:tcPr>
          <w:p w14:paraId="080DA8C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 xml:space="preserve">Lv </w:t>
            </w:r>
            <w:r w:rsidRPr="00CD747A">
              <w:rPr>
                <w:rFonts w:ascii="Book Antiqua" w:hAnsi="Book Antiqua"/>
                <w:i/>
                <w:iCs/>
              </w:rPr>
              <w:t>et al</w:t>
            </w:r>
            <w:r w:rsidRPr="00C86618">
              <w:rPr>
                <w:rFonts w:ascii="Book Antiqua" w:hAnsi="Book Antiqua"/>
                <w:vertAlign w:val="superscript"/>
              </w:rPr>
              <w:t>[20]</w:t>
            </w:r>
          </w:p>
        </w:tc>
        <w:tc>
          <w:tcPr>
            <w:tcW w:w="671" w:type="pct"/>
            <w:shd w:val="clear" w:color="auto" w:fill="auto"/>
          </w:tcPr>
          <w:p w14:paraId="0F11468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84/45</w:t>
            </w:r>
          </w:p>
        </w:tc>
        <w:tc>
          <w:tcPr>
            <w:tcW w:w="784" w:type="pct"/>
            <w:shd w:val="clear" w:color="auto" w:fill="auto"/>
          </w:tcPr>
          <w:p w14:paraId="24CC1153"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Child–Pugh class C disease (a score of 10 to 13) </w:t>
            </w:r>
            <w:r w:rsidRPr="00C86618">
              <w:rPr>
                <w:rFonts w:ascii="Book Antiqua" w:hAnsi="Book Antiqua"/>
              </w:rPr>
              <w:lastRenderedPageBreak/>
              <w:t>or class B disease (with or without active bleeding at diagnostic endoscopy)</w:t>
            </w:r>
          </w:p>
        </w:tc>
        <w:tc>
          <w:tcPr>
            <w:tcW w:w="1010" w:type="pct"/>
            <w:shd w:val="clear" w:color="auto" w:fill="auto"/>
          </w:tcPr>
          <w:p w14:paraId="6ABD7C78" w14:textId="2E0FD594"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Primary</w:t>
            </w:r>
            <w:r w:rsidR="00CD747A">
              <w:rPr>
                <w:rFonts w:ascii="Book Antiqua" w:hAnsi="Book Antiqua"/>
              </w:rPr>
              <w:t xml:space="preserve">: </w:t>
            </w:r>
            <w:r w:rsidRPr="00C86618">
              <w:rPr>
                <w:rFonts w:ascii="Book Antiqua" w:hAnsi="Book Antiqua"/>
              </w:rPr>
              <w:t>TFS</w:t>
            </w:r>
            <w:r w:rsidR="00CD747A">
              <w:rPr>
                <w:rFonts w:ascii="Book Antiqua" w:hAnsi="Book Antiqua"/>
              </w:rPr>
              <w:t>; s</w:t>
            </w:r>
            <w:r w:rsidRPr="00C86618">
              <w:rPr>
                <w:rFonts w:ascii="Book Antiqua" w:hAnsi="Book Antiqua"/>
              </w:rPr>
              <w:t>econdary</w:t>
            </w:r>
            <w:r w:rsidR="00CD747A">
              <w:rPr>
                <w:rFonts w:ascii="Book Antiqua" w:hAnsi="Book Antiqua"/>
              </w:rPr>
              <w:t>: f</w:t>
            </w:r>
            <w:r w:rsidRPr="00C86618">
              <w:rPr>
                <w:rFonts w:ascii="Book Antiqua" w:hAnsi="Book Antiqua"/>
              </w:rPr>
              <w:t xml:space="preserve">ailure to control bleeding or </w:t>
            </w:r>
            <w:r w:rsidRPr="00C86618">
              <w:rPr>
                <w:rFonts w:ascii="Book Antiqua" w:hAnsi="Book Antiqua"/>
              </w:rPr>
              <w:lastRenderedPageBreak/>
              <w:t>rebleeding, new or worsening ascites, overt HE, and other complications of portal hypertension</w:t>
            </w:r>
          </w:p>
        </w:tc>
        <w:tc>
          <w:tcPr>
            <w:tcW w:w="671" w:type="pct"/>
            <w:shd w:val="clear" w:color="auto" w:fill="auto"/>
          </w:tcPr>
          <w:p w14:paraId="025CEB7A"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11/34</w:t>
            </w:r>
          </w:p>
        </w:tc>
        <w:tc>
          <w:tcPr>
            <w:tcW w:w="671" w:type="pct"/>
            <w:shd w:val="clear" w:color="auto" w:fill="auto"/>
          </w:tcPr>
          <w:p w14:paraId="41C25FAB"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62/35</w:t>
            </w:r>
          </w:p>
        </w:tc>
        <w:tc>
          <w:tcPr>
            <w:tcW w:w="671" w:type="pct"/>
            <w:shd w:val="clear" w:color="auto" w:fill="auto"/>
          </w:tcPr>
          <w:p w14:paraId="58DCED60"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35/36</w:t>
            </w:r>
          </w:p>
        </w:tc>
      </w:tr>
      <w:tr w:rsidR="00827DE5" w:rsidRPr="00C86618" w14:paraId="40483D5A" w14:textId="77777777" w:rsidTr="007D68B7">
        <w:tc>
          <w:tcPr>
            <w:tcW w:w="523" w:type="pct"/>
            <w:tcBorders>
              <w:bottom w:val="single" w:sz="4" w:space="0" w:color="000000"/>
            </w:tcBorders>
            <w:shd w:val="clear" w:color="auto" w:fill="auto"/>
          </w:tcPr>
          <w:p w14:paraId="35DF3710"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 xml:space="preserve">Dunne </w:t>
            </w:r>
            <w:r w:rsidRPr="00CD747A">
              <w:rPr>
                <w:rFonts w:ascii="Book Antiqua" w:hAnsi="Book Antiqua"/>
                <w:i/>
                <w:iCs/>
              </w:rPr>
              <w:t>et al</w:t>
            </w:r>
            <w:r w:rsidRPr="00C86618">
              <w:rPr>
                <w:rFonts w:ascii="Book Antiqua" w:hAnsi="Book Antiqua"/>
                <w:vertAlign w:val="superscript"/>
              </w:rPr>
              <w:t>[21]</w:t>
            </w:r>
          </w:p>
        </w:tc>
        <w:tc>
          <w:tcPr>
            <w:tcW w:w="671" w:type="pct"/>
            <w:tcBorders>
              <w:bottom w:val="single" w:sz="4" w:space="0" w:color="000000"/>
            </w:tcBorders>
            <w:shd w:val="clear" w:color="auto" w:fill="auto"/>
          </w:tcPr>
          <w:p w14:paraId="521AFF08" w14:textId="13A59A59"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29/29</w:t>
            </w:r>
          </w:p>
        </w:tc>
        <w:tc>
          <w:tcPr>
            <w:tcW w:w="784" w:type="pct"/>
            <w:tcBorders>
              <w:bottom w:val="single" w:sz="4" w:space="0" w:color="000000"/>
            </w:tcBorders>
            <w:shd w:val="clear" w:color="auto" w:fill="auto"/>
          </w:tcPr>
          <w:p w14:paraId="2C83B86C" w14:textId="7256E6A5"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Child–Pugh class C disease (a score of 10 to 13) or class B disease (with or without active bleeding at diagnostic endoscopy)</w:t>
            </w:r>
            <w:r w:rsidR="00CD747A">
              <w:rPr>
                <w:rFonts w:ascii="Book Antiqua" w:hAnsi="Book Antiqua"/>
              </w:rPr>
              <w:t>; i</w:t>
            </w:r>
            <w:r w:rsidRPr="00C86618">
              <w:rPr>
                <w:rFonts w:ascii="Book Antiqua" w:hAnsi="Book Antiqua"/>
              </w:rPr>
              <w:t>nability to control bleeding at index endoscopy was considered an exclusion criteria</w:t>
            </w:r>
          </w:p>
        </w:tc>
        <w:tc>
          <w:tcPr>
            <w:tcW w:w="1010" w:type="pct"/>
            <w:tcBorders>
              <w:bottom w:val="single" w:sz="4" w:space="0" w:color="000000"/>
            </w:tcBorders>
            <w:shd w:val="clear" w:color="auto" w:fill="auto"/>
          </w:tcPr>
          <w:p w14:paraId="3A1B59D7" w14:textId="2A06DF53"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Primary</w:t>
            </w:r>
            <w:r w:rsidR="00CD747A">
              <w:rPr>
                <w:rFonts w:ascii="Book Antiqua" w:hAnsi="Book Antiqua"/>
              </w:rPr>
              <w:t xml:space="preserve">: </w:t>
            </w:r>
            <w:r w:rsidRPr="00C86618">
              <w:rPr>
                <w:rFonts w:ascii="Book Antiqua" w:hAnsi="Book Antiqua"/>
              </w:rPr>
              <w:t>1-yr survival</w:t>
            </w:r>
            <w:r w:rsidR="00CD747A">
              <w:rPr>
                <w:rFonts w:ascii="Book Antiqua" w:hAnsi="Book Antiqua"/>
              </w:rPr>
              <w:t>; s</w:t>
            </w:r>
            <w:r w:rsidRPr="00C86618">
              <w:rPr>
                <w:rFonts w:ascii="Book Antiqua" w:hAnsi="Book Antiqua"/>
              </w:rPr>
              <w:t>econdary</w:t>
            </w:r>
            <w:r w:rsidR="00CD747A">
              <w:rPr>
                <w:rFonts w:ascii="Book Antiqua" w:hAnsi="Book Antiqua"/>
              </w:rPr>
              <w:t>:</w:t>
            </w:r>
            <w:r w:rsidRPr="00C86618">
              <w:rPr>
                <w:rFonts w:ascii="Book Antiqua" w:hAnsi="Book Antiqua"/>
              </w:rPr>
              <w:t xml:space="preserve"> </w:t>
            </w:r>
            <w:r w:rsidRPr="00C86618">
              <w:rPr>
                <w:rFonts w:ascii="Book Antiqua" w:eastAsia="Lato-Regular" w:hAnsi="Book Antiqua" w:cs="Lato-Regular"/>
              </w:rPr>
              <w:t xml:space="preserve">survival at </w:t>
            </w:r>
            <w:r w:rsidR="00CD747A">
              <w:rPr>
                <w:rFonts w:ascii="Book Antiqua" w:eastAsia="Lato-Regular" w:hAnsi="Book Antiqua" w:cs="Lato-Regular"/>
              </w:rPr>
              <w:t>6</w:t>
            </w:r>
            <w:r w:rsidRPr="00C86618">
              <w:rPr>
                <w:rFonts w:ascii="Book Antiqua" w:eastAsia="Lato-Regular" w:hAnsi="Book Antiqua" w:cs="Lato-Regular"/>
              </w:rPr>
              <w:t xml:space="preserve"> w</w:t>
            </w:r>
            <w:r w:rsidR="00CD747A">
              <w:rPr>
                <w:rFonts w:ascii="Book Antiqua" w:eastAsia="Lato-Regular" w:hAnsi="Book Antiqua" w:cs="Lato-Regular"/>
              </w:rPr>
              <w:t>k</w:t>
            </w:r>
            <w:r w:rsidRPr="00C86618">
              <w:rPr>
                <w:rFonts w:ascii="Book Antiqua" w:eastAsia="Lato-Regular" w:hAnsi="Book Antiqua" w:cs="Lato-Regular"/>
              </w:rPr>
              <w:t xml:space="preserve">, early rebleeding (within 6 </w:t>
            </w:r>
            <w:r w:rsidRPr="00C86618">
              <w:rPr>
                <w:rFonts w:ascii="Book Antiqua" w:hAnsi="Book Antiqua"/>
              </w:rPr>
              <w:t>w</w:t>
            </w:r>
            <w:r w:rsidR="00CD747A">
              <w:rPr>
                <w:rFonts w:ascii="Book Antiqua" w:hAnsi="Book Antiqua"/>
              </w:rPr>
              <w:t>k</w:t>
            </w:r>
            <w:r w:rsidRPr="00C86618">
              <w:rPr>
                <w:rFonts w:ascii="Book Antiqua" w:hAnsi="Book Antiqua"/>
              </w:rPr>
              <w:t xml:space="preserve">) and late rebleeding (between </w:t>
            </w:r>
            <w:r w:rsidR="00CD747A">
              <w:rPr>
                <w:rFonts w:ascii="Book Antiqua" w:hAnsi="Book Antiqua"/>
              </w:rPr>
              <w:t>6</w:t>
            </w:r>
            <w:r w:rsidRPr="00C86618">
              <w:rPr>
                <w:rFonts w:ascii="Book Antiqua" w:hAnsi="Book Antiqua"/>
              </w:rPr>
              <w:t xml:space="preserve"> w</w:t>
            </w:r>
            <w:r w:rsidR="00CD747A">
              <w:rPr>
                <w:rFonts w:ascii="Book Antiqua" w:hAnsi="Book Antiqua"/>
              </w:rPr>
              <w:t>k</w:t>
            </w:r>
            <w:r w:rsidRPr="00C86618">
              <w:rPr>
                <w:rFonts w:ascii="Book Antiqua" w:hAnsi="Book Antiqua"/>
              </w:rPr>
              <w:t xml:space="preserve"> and </w:t>
            </w:r>
            <w:r w:rsidR="00CD747A">
              <w:rPr>
                <w:rFonts w:ascii="Book Antiqua" w:hAnsi="Book Antiqua"/>
              </w:rPr>
              <w:t>1 yr</w:t>
            </w:r>
            <w:r w:rsidRPr="00C86618">
              <w:rPr>
                <w:rFonts w:ascii="Book Antiqua" w:hAnsi="Book Antiqua"/>
              </w:rPr>
              <w:t>), and the</w:t>
            </w:r>
            <w:r w:rsidR="00CD747A">
              <w:rPr>
                <w:rFonts w:ascii="Book Antiqua" w:hAnsi="Book Antiqua"/>
              </w:rPr>
              <w:t xml:space="preserve"> </w:t>
            </w:r>
            <w:r w:rsidRPr="00C86618">
              <w:rPr>
                <w:rFonts w:ascii="Book Antiqua" w:eastAsia="Lato-Regular" w:hAnsi="Book Antiqua" w:cs="Lato-Regular"/>
              </w:rPr>
              <w:t>development of HE</w:t>
            </w:r>
          </w:p>
        </w:tc>
        <w:tc>
          <w:tcPr>
            <w:tcW w:w="671" w:type="pct"/>
            <w:tcBorders>
              <w:bottom w:val="single" w:sz="4" w:space="0" w:color="000000"/>
            </w:tcBorders>
            <w:shd w:val="clear" w:color="auto" w:fill="auto"/>
          </w:tcPr>
          <w:p w14:paraId="46527269"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24/34</w:t>
            </w:r>
          </w:p>
        </w:tc>
        <w:tc>
          <w:tcPr>
            <w:tcW w:w="671" w:type="pct"/>
            <w:tcBorders>
              <w:bottom w:val="single" w:sz="4" w:space="0" w:color="000000"/>
            </w:tcBorders>
            <w:shd w:val="clear" w:color="auto" w:fill="auto"/>
          </w:tcPr>
          <w:p w14:paraId="63FBEFC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79/76</w:t>
            </w:r>
          </w:p>
        </w:tc>
        <w:tc>
          <w:tcPr>
            <w:tcW w:w="671" w:type="pct"/>
            <w:tcBorders>
              <w:bottom w:val="single" w:sz="4" w:space="0" w:color="000000"/>
            </w:tcBorders>
            <w:shd w:val="clear" w:color="auto" w:fill="auto"/>
          </w:tcPr>
          <w:p w14:paraId="532B5427"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41/17</w:t>
            </w:r>
          </w:p>
        </w:tc>
      </w:tr>
    </w:tbl>
    <w:p w14:paraId="62496E18" w14:textId="2C4DC9A2" w:rsidR="00827DE5" w:rsidRPr="00827DE5" w:rsidRDefault="00D37778" w:rsidP="00827DE5">
      <w:pPr>
        <w:spacing w:line="360" w:lineRule="auto"/>
        <w:jc w:val="both"/>
        <w:rPr>
          <w:rFonts w:ascii="Book Antiqua" w:hAnsi="Book Antiqua"/>
          <w:b/>
          <w:bCs/>
        </w:rPr>
      </w:pPr>
      <w:r w:rsidRPr="002229F6">
        <w:rPr>
          <w:rFonts w:ascii="Book Antiqua" w:hAnsi="Book Antiqua"/>
        </w:rPr>
        <w:t>HVPG: Hepatic venous pressure gradient;</w:t>
      </w:r>
      <w:r>
        <w:rPr>
          <w:rFonts w:ascii="Book Antiqua" w:hAnsi="Book Antiqua"/>
        </w:rPr>
        <w:t xml:space="preserve"> </w:t>
      </w:r>
      <w:r w:rsidRPr="002229F6">
        <w:rPr>
          <w:rFonts w:ascii="Book Antiqua" w:hAnsi="Book Antiqua"/>
        </w:rPr>
        <w:t>TFS: Transplant free survival;</w:t>
      </w:r>
      <w:r>
        <w:rPr>
          <w:rFonts w:ascii="Book Antiqua" w:hAnsi="Book Antiqua"/>
        </w:rPr>
        <w:t xml:space="preserve"> ICU: </w:t>
      </w:r>
      <w:r w:rsidRPr="00D37778">
        <w:rPr>
          <w:rFonts w:ascii="Book Antiqua" w:hAnsi="Book Antiqua"/>
        </w:rPr>
        <w:t>Intensive care unit</w:t>
      </w:r>
      <w:r>
        <w:rPr>
          <w:rFonts w:ascii="Book Antiqua" w:hAnsi="Book Antiqua"/>
        </w:rPr>
        <w:t>;</w:t>
      </w:r>
      <w:r w:rsidR="00CD747A">
        <w:rPr>
          <w:rFonts w:ascii="Book Antiqua" w:hAnsi="Book Antiqua"/>
        </w:rPr>
        <w:t xml:space="preserve"> </w:t>
      </w:r>
      <w:r w:rsidR="00CD747A" w:rsidRPr="00CD747A">
        <w:rPr>
          <w:rFonts w:ascii="Book Antiqua" w:hAnsi="Book Antiqua"/>
        </w:rPr>
        <w:t>HE: Hepatic encephalopathy</w:t>
      </w:r>
      <w:r w:rsidR="00827DE5">
        <w:rPr>
          <w:rFonts w:ascii="Book Antiqua" w:hAnsi="Book Antiqua"/>
        </w:rPr>
        <w:t>.</w:t>
      </w:r>
      <w:r w:rsidR="00827DE5">
        <w:rPr>
          <w:rFonts w:ascii="Book Antiqua" w:hAnsi="Book Antiqua"/>
        </w:rPr>
        <w:br w:type="page"/>
      </w:r>
      <w:r w:rsidR="00827DE5" w:rsidRPr="00827DE5">
        <w:rPr>
          <w:rFonts w:ascii="Book Antiqua" w:hAnsi="Book Antiqua"/>
          <w:b/>
          <w:bCs/>
        </w:rPr>
        <w:lastRenderedPageBreak/>
        <w:t xml:space="preserve">Table </w:t>
      </w:r>
      <w:r w:rsidR="00827DE5" w:rsidRPr="00827DE5">
        <w:rPr>
          <w:rFonts w:ascii="Book Antiqua" w:hAnsi="Book Antiqua"/>
          <w:b/>
          <w:bCs/>
          <w:lang w:val="en-IN"/>
        </w:rPr>
        <w:t>2</w:t>
      </w:r>
      <w:r w:rsidR="00827DE5" w:rsidRPr="00827DE5">
        <w:rPr>
          <w:rFonts w:ascii="Book Antiqua" w:hAnsi="Book Antiqua"/>
          <w:b/>
          <w:bCs/>
        </w:rPr>
        <w:t xml:space="preserve"> Summary of the randomised controlled trials on </w:t>
      </w:r>
      <w:r w:rsidR="00827DE5" w:rsidRPr="00C86618">
        <w:rPr>
          <w:rFonts w:ascii="Book Antiqua" w:hAnsi="Book Antiqua"/>
          <w:b/>
          <w:bCs/>
        </w:rPr>
        <w:t>transjugular intrahepatic portosystemic shunt</w:t>
      </w:r>
      <w:r w:rsidR="00827DE5" w:rsidRPr="00827DE5">
        <w:rPr>
          <w:rFonts w:ascii="Book Antiqua" w:hAnsi="Book Antiqua"/>
          <w:b/>
          <w:bCs/>
        </w:rPr>
        <w:t xml:space="preserve"> in patients with ascites</w:t>
      </w:r>
    </w:p>
    <w:tbl>
      <w:tblPr>
        <w:tblW w:w="4902" w:type="pct"/>
        <w:tblLayout w:type="fixed"/>
        <w:tblCellMar>
          <w:top w:w="55" w:type="dxa"/>
          <w:left w:w="55" w:type="dxa"/>
          <w:bottom w:w="55" w:type="dxa"/>
          <w:right w:w="55" w:type="dxa"/>
        </w:tblCellMar>
        <w:tblLook w:val="0000" w:firstRow="0" w:lastRow="0" w:firstColumn="0" w:lastColumn="0" w:noHBand="0" w:noVBand="0"/>
      </w:tblPr>
      <w:tblGrid>
        <w:gridCol w:w="1116"/>
        <w:gridCol w:w="1367"/>
        <w:gridCol w:w="1463"/>
        <w:gridCol w:w="2914"/>
        <w:gridCol w:w="2027"/>
        <w:gridCol w:w="1515"/>
        <w:gridCol w:w="1379"/>
        <w:gridCol w:w="1033"/>
      </w:tblGrid>
      <w:tr w:rsidR="00657162" w:rsidRPr="001374CB" w14:paraId="791947B1" w14:textId="77777777" w:rsidTr="00E9124F">
        <w:tc>
          <w:tcPr>
            <w:tcW w:w="435" w:type="pct"/>
            <w:tcBorders>
              <w:top w:val="single" w:sz="4" w:space="0" w:color="auto"/>
              <w:bottom w:val="single" w:sz="4" w:space="0" w:color="auto"/>
            </w:tcBorders>
            <w:shd w:val="clear" w:color="auto" w:fill="auto"/>
          </w:tcPr>
          <w:p w14:paraId="28E4A13D" w14:textId="369B851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Ref.</w:t>
            </w:r>
          </w:p>
        </w:tc>
        <w:tc>
          <w:tcPr>
            <w:tcW w:w="533" w:type="pct"/>
            <w:tcBorders>
              <w:top w:val="single" w:sz="4" w:space="0" w:color="auto"/>
              <w:bottom w:val="single" w:sz="4" w:space="0" w:color="auto"/>
            </w:tcBorders>
            <w:shd w:val="clear" w:color="auto" w:fill="auto"/>
          </w:tcPr>
          <w:p w14:paraId="36F030C8" w14:textId="12ABCA43"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No. of pts (LVP/TIPS)</w:t>
            </w:r>
          </w:p>
        </w:tc>
        <w:tc>
          <w:tcPr>
            <w:tcW w:w="571" w:type="pct"/>
            <w:tcBorders>
              <w:top w:val="single" w:sz="4" w:space="0" w:color="auto"/>
              <w:bottom w:val="single" w:sz="4" w:space="0" w:color="auto"/>
            </w:tcBorders>
            <w:shd w:val="clear" w:color="auto" w:fill="auto"/>
          </w:tcPr>
          <w:p w14:paraId="378C408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 xml:space="preserve">Definition of ascites for inclusion </w:t>
            </w:r>
          </w:p>
        </w:tc>
        <w:tc>
          <w:tcPr>
            <w:tcW w:w="1137" w:type="pct"/>
            <w:tcBorders>
              <w:top w:val="single" w:sz="4" w:space="0" w:color="auto"/>
              <w:bottom w:val="single" w:sz="4" w:space="0" w:color="auto"/>
            </w:tcBorders>
            <w:shd w:val="clear" w:color="auto" w:fill="auto"/>
          </w:tcPr>
          <w:p w14:paraId="1A95172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Exclusion criteria</w:t>
            </w:r>
          </w:p>
        </w:tc>
        <w:tc>
          <w:tcPr>
            <w:tcW w:w="791" w:type="pct"/>
            <w:tcBorders>
              <w:top w:val="single" w:sz="4" w:space="0" w:color="auto"/>
              <w:bottom w:val="single" w:sz="4" w:space="0" w:color="auto"/>
            </w:tcBorders>
            <w:shd w:val="clear" w:color="auto" w:fill="auto"/>
          </w:tcPr>
          <w:p w14:paraId="64A6C46E"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Primary and secondary outcomes and mean follow-up time (LVP/TIPS) in months</w:t>
            </w:r>
          </w:p>
        </w:tc>
        <w:tc>
          <w:tcPr>
            <w:tcW w:w="591" w:type="pct"/>
            <w:tcBorders>
              <w:top w:val="single" w:sz="4" w:space="0" w:color="auto"/>
              <w:bottom w:val="single" w:sz="4" w:space="0" w:color="auto"/>
            </w:tcBorders>
            <w:shd w:val="clear" w:color="auto" w:fill="auto"/>
          </w:tcPr>
          <w:p w14:paraId="33A1D1CA" w14:textId="450CCD59"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Improvement in ascites (%; LVP/TIPS)</w:t>
            </w:r>
          </w:p>
        </w:tc>
        <w:tc>
          <w:tcPr>
            <w:tcW w:w="538" w:type="pct"/>
            <w:tcBorders>
              <w:top w:val="single" w:sz="4" w:space="0" w:color="auto"/>
              <w:bottom w:val="single" w:sz="4" w:space="0" w:color="auto"/>
            </w:tcBorders>
            <w:shd w:val="clear" w:color="auto" w:fill="auto"/>
          </w:tcPr>
          <w:p w14:paraId="4E6F1281" w14:textId="4551533B"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HE</w:t>
            </w:r>
            <w:r w:rsidR="001374CB" w:rsidRPr="001374CB">
              <w:rPr>
                <w:rFonts w:ascii="Book Antiqua" w:eastAsia="BookAntiqua" w:hAnsi="Book Antiqua" w:cs="BookAntiqua"/>
                <w:b/>
                <w:bCs/>
              </w:rPr>
              <w:t xml:space="preserve"> </w:t>
            </w:r>
            <w:r w:rsidRPr="001374CB">
              <w:rPr>
                <w:rFonts w:ascii="Book Antiqua" w:eastAsia="BookAntiqua" w:hAnsi="Book Antiqua" w:cs="BookAntiqua"/>
                <w:b/>
                <w:bCs/>
              </w:rPr>
              <w:t>(%; LVP/TIPS)</w:t>
            </w:r>
          </w:p>
        </w:tc>
        <w:tc>
          <w:tcPr>
            <w:tcW w:w="403" w:type="pct"/>
            <w:tcBorders>
              <w:top w:val="single" w:sz="4" w:space="0" w:color="auto"/>
              <w:bottom w:val="single" w:sz="4" w:space="0" w:color="auto"/>
            </w:tcBorders>
            <w:shd w:val="clear" w:color="auto" w:fill="auto"/>
          </w:tcPr>
          <w:p w14:paraId="3E5FB7C1" w14:textId="61C1BCFF"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b/>
                <w:bCs/>
              </w:rPr>
              <w:t>Survival</w:t>
            </w:r>
            <w:r w:rsidR="001374CB" w:rsidRPr="001374CB">
              <w:rPr>
                <w:rFonts w:ascii="Book Antiqua" w:eastAsia="BookAntiqua" w:hAnsi="Book Antiqua" w:cs="BookAntiqua"/>
                <w:b/>
                <w:bCs/>
              </w:rPr>
              <w:t xml:space="preserve"> </w:t>
            </w:r>
            <w:r w:rsidRPr="001374CB">
              <w:rPr>
                <w:rFonts w:ascii="Book Antiqua" w:eastAsia="BookAntiqua" w:hAnsi="Book Antiqua" w:cs="BookAntiqua"/>
                <w:b/>
                <w:bCs/>
              </w:rPr>
              <w:t>(%; LVP/TIPS)</w:t>
            </w:r>
          </w:p>
        </w:tc>
      </w:tr>
      <w:tr w:rsidR="00657162" w:rsidRPr="001374CB" w14:paraId="29CD1030" w14:textId="77777777" w:rsidTr="00E9124F">
        <w:tc>
          <w:tcPr>
            <w:tcW w:w="435" w:type="pct"/>
            <w:tcBorders>
              <w:top w:val="single" w:sz="4" w:space="0" w:color="auto"/>
            </w:tcBorders>
            <w:shd w:val="clear" w:color="auto" w:fill="auto"/>
          </w:tcPr>
          <w:p w14:paraId="0E69EA9D" w14:textId="384F858E"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Lebrec</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Arial"/>
                <w:vertAlign w:val="superscript"/>
                <w:lang w:val="en-IN"/>
              </w:rPr>
              <w:t>[49]</w:t>
            </w:r>
          </w:p>
        </w:tc>
        <w:tc>
          <w:tcPr>
            <w:tcW w:w="533" w:type="pct"/>
            <w:tcBorders>
              <w:top w:val="single" w:sz="4" w:space="0" w:color="auto"/>
            </w:tcBorders>
            <w:shd w:val="clear" w:color="auto" w:fill="auto"/>
          </w:tcPr>
          <w:p w14:paraId="105A529E"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12/13</w:t>
            </w:r>
          </w:p>
        </w:tc>
        <w:tc>
          <w:tcPr>
            <w:tcW w:w="571" w:type="pct"/>
            <w:tcBorders>
              <w:top w:val="single" w:sz="4" w:space="0" w:color="auto"/>
            </w:tcBorders>
            <w:shd w:val="clear" w:color="auto" w:fill="auto"/>
          </w:tcPr>
          <w:p w14:paraId="7420391C" w14:textId="233CBF9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 xml:space="preserve">Despite adequate diuretics and sodium restriction: </w:t>
            </w:r>
            <w:r w:rsidR="001374CB">
              <w:rPr>
                <w:rFonts w:ascii="Book Antiqua" w:eastAsia="BookAntiqua" w:hAnsi="Book Antiqua" w:cs="BookAntiqua"/>
              </w:rPr>
              <w:t xml:space="preserve">(1) </w:t>
            </w:r>
            <w:r w:rsidRPr="001374CB">
              <w:rPr>
                <w:rFonts w:ascii="Book Antiqua" w:eastAsia="BookAntiqua" w:hAnsi="Book Antiqua" w:cs="BookAntiqua"/>
              </w:rPr>
              <w:t xml:space="preserve">weight loss &lt; 200 g/d in 5 d or </w:t>
            </w:r>
            <w:r w:rsidR="001374CB">
              <w:rPr>
                <w:rFonts w:ascii="Book Antiqua" w:eastAsia="BookAntiqua" w:hAnsi="Book Antiqua" w:cs="BookAntiqua"/>
              </w:rPr>
              <w:t>(2)</w:t>
            </w:r>
            <w:r w:rsidRPr="001374CB">
              <w:rPr>
                <w:rFonts w:ascii="Book Antiqua" w:eastAsia="BookAntiqua" w:hAnsi="Book Antiqua" w:cs="BookAntiqua"/>
              </w:rPr>
              <w:t xml:space="preserve"> &gt; 2 episodes of tense ascites in 4 mth</w:t>
            </w:r>
          </w:p>
        </w:tc>
        <w:tc>
          <w:tcPr>
            <w:tcW w:w="1137" w:type="pct"/>
            <w:tcBorders>
              <w:top w:val="single" w:sz="4" w:space="0" w:color="auto"/>
            </w:tcBorders>
            <w:shd w:val="clear" w:color="auto" w:fill="auto"/>
          </w:tcPr>
          <w:p w14:paraId="133BCC7A" w14:textId="6E38933B"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w:t>
            </w:r>
            <w:r w:rsidR="001374CB">
              <w:rPr>
                <w:rFonts w:ascii="Book Antiqua" w:eastAsia="BookAntiqua" w:hAnsi="Book Antiqua" w:cs="BookAntiqua"/>
              </w:rPr>
              <w:t xml:space="preserve"> </w:t>
            </w:r>
            <w:r w:rsidRPr="001374CB">
              <w:rPr>
                <w:rFonts w:ascii="Book Antiqua" w:eastAsia="BookAntiqua" w:hAnsi="Book Antiqua" w:cs="BookAntiqua"/>
              </w:rPr>
              <w:t>70 yr, severe extra-hepatic diseases, HCC, pulmonary hypertension, HE, bacterial infection, severe alcoholic hepatitis, portal or hepatic vein obstruction or thrombosis, obstruction of biliary tract, obstruction of hepatic artery, serum creatinine &gt;1.7 mg/d</w:t>
            </w:r>
            <w:r w:rsidR="001374CB" w:rsidRPr="001374CB">
              <w:rPr>
                <w:rFonts w:ascii="Book Antiqua" w:eastAsia="BookAntiqua" w:hAnsi="Book Antiqua" w:cs="BookAntiqua"/>
              </w:rPr>
              <w:t>L</w:t>
            </w:r>
          </w:p>
        </w:tc>
        <w:tc>
          <w:tcPr>
            <w:tcW w:w="791" w:type="pct"/>
            <w:tcBorders>
              <w:top w:val="single" w:sz="4" w:space="0" w:color="auto"/>
            </w:tcBorders>
            <w:shd w:val="clear" w:color="auto" w:fill="auto"/>
          </w:tcPr>
          <w:p w14:paraId="2220A940" w14:textId="3609161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1374CB">
              <w:rPr>
                <w:rFonts w:ascii="Book Antiqua" w:eastAsia="BookAntiqua" w:hAnsi="Book Antiqua" w:cs="BookAntiqua"/>
              </w:rPr>
              <w:t xml:space="preserve">: </w:t>
            </w:r>
            <w:r w:rsidR="001374CB" w:rsidRPr="001374CB">
              <w:rPr>
                <w:rFonts w:ascii="Book Antiqua" w:eastAsia="BookAntiqua" w:hAnsi="Book Antiqua" w:cs="BookAntiqua"/>
              </w:rPr>
              <w:t>r</w:t>
            </w:r>
            <w:r w:rsidRPr="001374CB">
              <w:rPr>
                <w:rFonts w:ascii="Book Antiqua" w:eastAsia="BookAntiqua" w:hAnsi="Book Antiqua" w:cs="BookAntiqua"/>
              </w:rPr>
              <w:t>ecurrence of ascites</w:t>
            </w:r>
            <w:r w:rsidR="001374CB">
              <w:rPr>
                <w:rFonts w:ascii="Book Antiqua" w:eastAsia="BookAntiqua" w:hAnsi="Book Antiqua" w:cs="BookAntiqua"/>
              </w:rPr>
              <w:t>; s</w:t>
            </w:r>
            <w:r w:rsidRPr="001374CB">
              <w:rPr>
                <w:rFonts w:ascii="Book Antiqua" w:eastAsia="BookAntiqua" w:hAnsi="Book Antiqua" w:cs="BookAntiqua"/>
              </w:rPr>
              <w:t>econdary</w:t>
            </w:r>
            <w:r w:rsidR="001374CB">
              <w:rPr>
                <w:rFonts w:ascii="Book Antiqua" w:eastAsia="BookAntiqua" w:hAnsi="Book Antiqua" w:cs="BookAntiqua"/>
              </w:rPr>
              <w:t>: o</w:t>
            </w:r>
            <w:r w:rsidRPr="001374CB">
              <w:rPr>
                <w:rFonts w:ascii="Book Antiqua" w:eastAsia="BookAntiqua" w:hAnsi="Book Antiqua" w:cs="BookAntiqua"/>
              </w:rPr>
              <w:t>verall survival, HE,</w:t>
            </w:r>
            <w:r w:rsidR="001374CB">
              <w:rPr>
                <w:rFonts w:ascii="Book Antiqua" w:eastAsia="BookAntiqua" w:hAnsi="Book Antiqua" w:cs="BookAntiqua"/>
              </w:rPr>
              <w:t xml:space="preserve"> </w:t>
            </w:r>
            <w:r w:rsidRPr="001374CB">
              <w:rPr>
                <w:rFonts w:ascii="Book Antiqua" w:eastAsia="BookAntiqua" w:hAnsi="Book Antiqua" w:cs="BookAntiqua"/>
              </w:rPr>
              <w:t>hemodynamic, liver</w:t>
            </w:r>
            <w:r w:rsidR="001374CB">
              <w:rPr>
                <w:rFonts w:ascii="Book Antiqua" w:eastAsia="BookAntiqua" w:hAnsi="Book Antiqua" w:cs="BookAntiqua"/>
              </w:rPr>
              <w:t xml:space="preserve">; </w:t>
            </w:r>
            <w:r w:rsidRPr="001374CB">
              <w:rPr>
                <w:rFonts w:ascii="Book Antiqua" w:eastAsia="BookAntiqua" w:hAnsi="Book Antiqua" w:cs="BookAntiqua"/>
              </w:rPr>
              <w:t>and renal function</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12.4/7.5</w:t>
            </w:r>
          </w:p>
        </w:tc>
        <w:tc>
          <w:tcPr>
            <w:tcW w:w="591" w:type="pct"/>
            <w:tcBorders>
              <w:top w:val="single" w:sz="4" w:space="0" w:color="auto"/>
            </w:tcBorders>
            <w:shd w:val="clear" w:color="auto" w:fill="auto"/>
          </w:tcPr>
          <w:p w14:paraId="5A09C993"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0/38</w:t>
            </w:r>
          </w:p>
        </w:tc>
        <w:tc>
          <w:tcPr>
            <w:tcW w:w="538" w:type="pct"/>
            <w:tcBorders>
              <w:top w:val="single" w:sz="4" w:space="0" w:color="auto"/>
            </w:tcBorders>
            <w:shd w:val="clear" w:color="auto" w:fill="auto"/>
          </w:tcPr>
          <w:p w14:paraId="4486F7A0"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6/15</w:t>
            </w:r>
          </w:p>
        </w:tc>
        <w:tc>
          <w:tcPr>
            <w:tcW w:w="403" w:type="pct"/>
            <w:tcBorders>
              <w:top w:val="single" w:sz="4" w:space="0" w:color="auto"/>
            </w:tcBorders>
            <w:shd w:val="clear" w:color="auto" w:fill="auto"/>
          </w:tcPr>
          <w:p w14:paraId="08D68C32"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60/29</w:t>
            </w:r>
          </w:p>
        </w:tc>
      </w:tr>
      <w:tr w:rsidR="00657162" w:rsidRPr="001374CB" w14:paraId="20B9977D" w14:textId="77777777" w:rsidTr="00E9124F">
        <w:tc>
          <w:tcPr>
            <w:tcW w:w="435" w:type="pct"/>
            <w:shd w:val="clear" w:color="auto" w:fill="auto"/>
          </w:tcPr>
          <w:p w14:paraId="119C66ED" w14:textId="486D1C5A"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lastRenderedPageBreak/>
              <w:t>Rossle</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[80]</w:t>
            </w:r>
          </w:p>
        </w:tc>
        <w:tc>
          <w:tcPr>
            <w:tcW w:w="533" w:type="pct"/>
            <w:shd w:val="clear" w:color="auto" w:fill="auto"/>
          </w:tcPr>
          <w:p w14:paraId="382546B3"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31/29</w:t>
            </w:r>
          </w:p>
        </w:tc>
        <w:tc>
          <w:tcPr>
            <w:tcW w:w="571" w:type="pct"/>
            <w:shd w:val="clear" w:color="auto" w:fill="auto"/>
          </w:tcPr>
          <w:p w14:paraId="7AE42282" w14:textId="29921EE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r w:rsidR="001374CB">
              <w:rPr>
                <w:rFonts w:ascii="Book Antiqua" w:eastAsia="BookAntiqua" w:hAnsi="Book Antiqua" w:cs="BookAntiqua"/>
              </w:rPr>
              <w:t xml:space="preserve"> </w:t>
            </w:r>
            <w:r w:rsidRPr="001374CB">
              <w:rPr>
                <w:rFonts w:ascii="Book Antiqua" w:eastAsia="BookAntiqua" w:hAnsi="Book Antiqua" w:cs="BookAntiqua"/>
              </w:rPr>
              <w:t>(45% patients had recidivant ascites)</w:t>
            </w:r>
          </w:p>
        </w:tc>
        <w:tc>
          <w:tcPr>
            <w:tcW w:w="1137" w:type="pct"/>
            <w:shd w:val="clear" w:color="auto" w:fill="auto"/>
          </w:tcPr>
          <w:p w14:paraId="1D0CDF3F" w14:textId="4E24AB0A"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Overt HE, serum bilirubin &gt;</w:t>
            </w:r>
            <w:r w:rsidR="001374CB">
              <w:rPr>
                <w:rFonts w:ascii="Book Antiqua" w:eastAsia="BookAntiqua" w:hAnsi="Book Antiqua" w:cs="BookAntiqua"/>
              </w:rPr>
              <w:t xml:space="preserve"> </w:t>
            </w:r>
            <w:r w:rsidRPr="001374CB">
              <w:rPr>
                <w:rFonts w:ascii="Book Antiqua" w:eastAsia="BookAntiqua" w:hAnsi="Book Antiqua" w:cs="BookAntiqua"/>
              </w:rPr>
              <w:t>5 mg/d</w:t>
            </w:r>
            <w:r w:rsidR="001374CB">
              <w:rPr>
                <w:rFonts w:ascii="Book Antiqua" w:eastAsia="BookAntiqua" w:hAnsi="Book Antiqua" w:cs="BookAntiqua"/>
              </w:rPr>
              <w:t>L</w:t>
            </w:r>
            <w:r w:rsidRPr="001374CB">
              <w:rPr>
                <w:rFonts w:ascii="Book Antiqua" w:eastAsia="BookAntiqua" w:hAnsi="Book Antiqua" w:cs="BookAntiqua"/>
              </w:rPr>
              <w:t>, serum creatinine &gt;</w:t>
            </w:r>
            <w:r w:rsidR="001374CB">
              <w:rPr>
                <w:rFonts w:ascii="Book Antiqua" w:eastAsia="BookAntiqua" w:hAnsi="Book Antiqua" w:cs="BookAntiqua"/>
              </w:rPr>
              <w:t xml:space="preserve"> </w:t>
            </w:r>
            <w:r w:rsidRPr="001374CB">
              <w:rPr>
                <w:rFonts w:ascii="Book Antiqua" w:eastAsia="BookAntiqua" w:hAnsi="Book Antiqua" w:cs="BookAntiqua"/>
              </w:rPr>
              <w:t>3 mg/d</w:t>
            </w:r>
            <w:r w:rsidR="001374CB">
              <w:rPr>
                <w:rFonts w:ascii="Book Antiqua" w:eastAsia="BookAntiqua" w:hAnsi="Book Antiqua" w:cs="BookAntiqua"/>
              </w:rPr>
              <w:t>L</w:t>
            </w:r>
            <w:r w:rsidRPr="001374CB">
              <w:rPr>
                <w:rFonts w:ascii="Book Antiqua" w:eastAsia="BookAntiqua" w:hAnsi="Book Antiqua" w:cs="BookAntiqua"/>
              </w:rPr>
              <w:t>, PVT, hepatic hydrothorax, advanced cancer, failure of LVP (ascites persisting after LVP or need for LVP &gt; once per week)</w:t>
            </w:r>
          </w:p>
        </w:tc>
        <w:tc>
          <w:tcPr>
            <w:tcW w:w="791" w:type="pct"/>
            <w:shd w:val="clear" w:color="auto" w:fill="auto"/>
          </w:tcPr>
          <w:p w14:paraId="2154A553" w14:textId="033AF870"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1374CB">
              <w:rPr>
                <w:rFonts w:ascii="Book Antiqua" w:eastAsia="BookAntiqua" w:hAnsi="Book Antiqua" w:cs="BookAntiqua"/>
              </w:rPr>
              <w:t xml:space="preserve">: </w:t>
            </w:r>
            <w:r w:rsidRPr="001374CB">
              <w:rPr>
                <w:rFonts w:ascii="Book Antiqua" w:eastAsia="BookAntiqua" w:hAnsi="Book Antiqua" w:cs="BookAntiqua"/>
              </w:rPr>
              <w:t>TFS</w:t>
            </w:r>
            <w:r w:rsidR="001374CB">
              <w:rPr>
                <w:rFonts w:ascii="Book Antiqua" w:eastAsia="BookAntiqua" w:hAnsi="Book Antiqua" w:cs="BookAntiqua"/>
              </w:rPr>
              <w:t xml:space="preserve">; </w:t>
            </w:r>
            <w:r w:rsidR="001374CB">
              <w:rPr>
                <w:rFonts w:ascii="Book Antiqua" w:hAnsi="Book Antiqua"/>
              </w:rPr>
              <w:t>s</w:t>
            </w:r>
            <w:r w:rsidRPr="001374CB">
              <w:rPr>
                <w:rFonts w:ascii="Book Antiqua" w:hAnsi="Book Antiqua"/>
              </w:rPr>
              <w:t>econdary</w:t>
            </w:r>
            <w:r w:rsidR="001374CB">
              <w:rPr>
                <w:rFonts w:ascii="Book Antiqua" w:hAnsi="Book Antiqua"/>
              </w:rPr>
              <w:t xml:space="preserve">: </w:t>
            </w:r>
            <w:r w:rsidR="001374CB">
              <w:rPr>
                <w:rFonts w:ascii="Book Antiqua" w:eastAsia="BookAntiqua" w:hAnsi="Book Antiqua" w:cs="BookAntiqua"/>
              </w:rPr>
              <w:t>r</w:t>
            </w:r>
            <w:r w:rsidRPr="001374CB">
              <w:rPr>
                <w:rFonts w:ascii="Book Antiqua" w:eastAsia="BookAntiqua" w:hAnsi="Book Antiqua" w:cs="BookAntiqua"/>
              </w:rPr>
              <w:t>ecurrence of ascites,</w:t>
            </w:r>
            <w:r w:rsidR="001374CB">
              <w:rPr>
                <w:rFonts w:ascii="Book Antiqua" w:eastAsia="BookAntiqua" w:hAnsi="Book Antiqua" w:cs="BookAntiqua"/>
              </w:rPr>
              <w:t xml:space="preserve"> </w:t>
            </w:r>
            <w:r w:rsidRPr="001374CB">
              <w:rPr>
                <w:rFonts w:ascii="Book Antiqua" w:eastAsia="BookAntiqua" w:hAnsi="Book Antiqua" w:cs="BookAntiqua"/>
              </w:rPr>
              <w:t>liver and renal function, HE</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44/45</w:t>
            </w:r>
          </w:p>
        </w:tc>
        <w:tc>
          <w:tcPr>
            <w:tcW w:w="591" w:type="pct"/>
            <w:shd w:val="clear" w:color="auto" w:fill="auto"/>
          </w:tcPr>
          <w:p w14:paraId="47571F31"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43/84</w:t>
            </w:r>
          </w:p>
        </w:tc>
        <w:tc>
          <w:tcPr>
            <w:tcW w:w="538" w:type="pct"/>
            <w:shd w:val="clear" w:color="auto" w:fill="auto"/>
          </w:tcPr>
          <w:p w14:paraId="745483E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13/23</w:t>
            </w:r>
          </w:p>
        </w:tc>
        <w:tc>
          <w:tcPr>
            <w:tcW w:w="403" w:type="pct"/>
            <w:shd w:val="clear" w:color="auto" w:fill="auto"/>
          </w:tcPr>
          <w:p w14:paraId="6955EEDE"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32/58</w:t>
            </w:r>
          </w:p>
        </w:tc>
      </w:tr>
      <w:tr w:rsidR="00657162" w:rsidRPr="001374CB" w14:paraId="5D2ED39C" w14:textId="77777777" w:rsidTr="00E9124F">
        <w:tc>
          <w:tcPr>
            <w:tcW w:w="435" w:type="pct"/>
            <w:shd w:val="clear" w:color="auto" w:fill="auto"/>
          </w:tcPr>
          <w:p w14:paraId="7F6DF7A4" w14:textId="21C0BDC6"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Gines</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[81]</w:t>
            </w:r>
          </w:p>
        </w:tc>
        <w:tc>
          <w:tcPr>
            <w:tcW w:w="533" w:type="pct"/>
            <w:shd w:val="clear" w:color="auto" w:fill="auto"/>
          </w:tcPr>
          <w:p w14:paraId="38C25227"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35/35</w:t>
            </w:r>
          </w:p>
        </w:tc>
        <w:tc>
          <w:tcPr>
            <w:tcW w:w="571" w:type="pct"/>
            <w:shd w:val="clear" w:color="auto" w:fill="auto"/>
          </w:tcPr>
          <w:p w14:paraId="6C26ACFC" w14:textId="17D091E6"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p>
        </w:tc>
        <w:tc>
          <w:tcPr>
            <w:tcW w:w="1137" w:type="pct"/>
            <w:shd w:val="clear" w:color="auto" w:fill="auto"/>
          </w:tcPr>
          <w:p w14:paraId="22C71EA2" w14:textId="338A64E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w:t>
            </w:r>
            <w:r w:rsidR="001374CB">
              <w:rPr>
                <w:rFonts w:ascii="Book Antiqua" w:eastAsia="BookAntiqua" w:hAnsi="Book Antiqua" w:cs="BookAntiqua"/>
              </w:rPr>
              <w:t xml:space="preserve"> </w:t>
            </w:r>
            <w:r w:rsidRPr="001374CB">
              <w:rPr>
                <w:rFonts w:ascii="Book Antiqua" w:eastAsia="BookAntiqua" w:hAnsi="Book Antiqua" w:cs="BookAntiqua"/>
              </w:rPr>
              <w:t>18 or &gt;</w:t>
            </w:r>
            <w:r w:rsidR="001374CB">
              <w:rPr>
                <w:rFonts w:ascii="Book Antiqua" w:eastAsia="BookAntiqua" w:hAnsi="Book Antiqua" w:cs="BookAntiqua"/>
              </w:rPr>
              <w:t xml:space="preserve"> </w:t>
            </w:r>
            <w:r w:rsidRPr="001374CB">
              <w:rPr>
                <w:rFonts w:ascii="Book Antiqua" w:eastAsia="BookAntiqua" w:hAnsi="Book Antiqua" w:cs="BookAntiqua"/>
              </w:rPr>
              <w:t>75 yr; serum bilirubin &gt;</w:t>
            </w:r>
            <w:r w:rsidR="001374CB">
              <w:rPr>
                <w:rFonts w:ascii="Book Antiqua" w:eastAsia="BookAntiqua" w:hAnsi="Book Antiqua" w:cs="BookAntiqua"/>
              </w:rPr>
              <w:t xml:space="preserve"> </w:t>
            </w:r>
            <w:r w:rsidRPr="001374CB">
              <w:rPr>
                <w:rFonts w:ascii="Book Antiqua" w:eastAsia="BookAntiqua" w:hAnsi="Book Antiqua" w:cs="BookAntiqua"/>
              </w:rPr>
              <w:t>10 mg/d</w:t>
            </w:r>
            <w:r w:rsidR="001374CB">
              <w:rPr>
                <w:rFonts w:ascii="Book Antiqua" w:eastAsia="BookAntiqua" w:hAnsi="Book Antiqua" w:cs="BookAntiqua"/>
              </w:rPr>
              <w:t>L</w:t>
            </w:r>
            <w:r w:rsidRPr="001374CB">
              <w:rPr>
                <w:rFonts w:ascii="Book Antiqua" w:eastAsia="BookAntiqua" w:hAnsi="Book Antiqua" w:cs="BookAntiqua"/>
              </w:rPr>
              <w:t>; prothrombin time &lt;</w:t>
            </w:r>
            <w:r w:rsidR="001374CB">
              <w:rPr>
                <w:rFonts w:ascii="Book Antiqua" w:eastAsia="BookAntiqua" w:hAnsi="Book Antiqua" w:cs="BookAntiqua"/>
              </w:rPr>
              <w:t xml:space="preserve"> </w:t>
            </w:r>
            <w:r w:rsidRPr="001374CB">
              <w:rPr>
                <w:rFonts w:ascii="Book Antiqua" w:eastAsia="BookAntiqua" w:hAnsi="Book Antiqua" w:cs="BookAntiqua"/>
              </w:rPr>
              <w:t>40% (INR 2.5); platelet count &lt;</w:t>
            </w:r>
            <w:r w:rsidR="001374CB">
              <w:rPr>
                <w:rFonts w:ascii="Book Antiqua" w:eastAsia="BookAntiqua" w:hAnsi="Book Antiqua" w:cs="BookAntiqua"/>
              </w:rPr>
              <w:t xml:space="preserve"> </w:t>
            </w:r>
            <w:r w:rsidRPr="001374CB">
              <w:rPr>
                <w:rFonts w:ascii="Book Antiqua" w:eastAsia="BookAntiqua" w:hAnsi="Book Antiqua" w:cs="BookAntiqua"/>
              </w:rPr>
              <w:t>than 40000/mm</w:t>
            </w:r>
            <w:r w:rsidRPr="001374CB">
              <w:rPr>
                <w:rFonts w:ascii="Book Antiqua" w:eastAsia="BookAntiqua" w:hAnsi="Book Antiqua" w:cs="BookAntiqua"/>
                <w:vertAlign w:val="superscript"/>
              </w:rPr>
              <w:t>3</w:t>
            </w:r>
            <w:r w:rsidRPr="001374CB">
              <w:rPr>
                <w:rFonts w:ascii="Book Antiqua" w:eastAsia="BookAntiqua" w:hAnsi="Book Antiqua" w:cs="BookAntiqua"/>
              </w:rPr>
              <w:t>; serum creatinine &gt;</w:t>
            </w:r>
            <w:r w:rsidR="001374CB">
              <w:rPr>
                <w:rFonts w:ascii="Book Antiqua" w:eastAsia="BookAntiqua" w:hAnsi="Book Antiqua" w:cs="BookAntiqua"/>
              </w:rPr>
              <w:t xml:space="preserve"> </w:t>
            </w:r>
            <w:r w:rsidRPr="001374CB">
              <w:rPr>
                <w:rFonts w:ascii="Book Antiqua" w:eastAsia="BookAntiqua" w:hAnsi="Book Antiqua" w:cs="BookAntiqua"/>
              </w:rPr>
              <w:t>3 mg/d</w:t>
            </w:r>
            <w:r w:rsidR="001374CB">
              <w:rPr>
                <w:rFonts w:ascii="Book Antiqua" w:eastAsia="BookAntiqua" w:hAnsi="Book Antiqua" w:cs="BookAntiqua"/>
              </w:rPr>
              <w:t>L</w:t>
            </w:r>
            <w:r w:rsidRPr="001374CB">
              <w:rPr>
                <w:rFonts w:ascii="Book Antiqua" w:eastAsia="BookAntiqua" w:hAnsi="Book Antiqua" w:cs="BookAntiqua"/>
              </w:rPr>
              <w:t xml:space="preserve">, HCC, complete portal vein thrombosis; cardiac or respiratory failure; organic renal failure; </w:t>
            </w:r>
            <w:r w:rsidRPr="001374CB">
              <w:rPr>
                <w:rFonts w:ascii="Book Antiqua" w:eastAsia="BookAntiqua" w:hAnsi="Book Antiqua" w:cs="BookAntiqua"/>
              </w:rPr>
              <w:lastRenderedPageBreak/>
              <w:t>bacterial infection; chronic HE</w:t>
            </w:r>
          </w:p>
        </w:tc>
        <w:tc>
          <w:tcPr>
            <w:tcW w:w="791" w:type="pct"/>
            <w:shd w:val="clear" w:color="auto" w:fill="auto"/>
          </w:tcPr>
          <w:p w14:paraId="7D344CA0" w14:textId="604564D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lastRenderedPageBreak/>
              <w:t>Primary</w:t>
            </w:r>
            <w:r w:rsidR="001374CB">
              <w:rPr>
                <w:rFonts w:ascii="Book Antiqua" w:eastAsia="BookAntiqua" w:hAnsi="Book Antiqua" w:cs="BookAntiqua"/>
              </w:rPr>
              <w:t xml:space="preserve">: </w:t>
            </w:r>
            <w:r w:rsidRPr="001374CB">
              <w:rPr>
                <w:rFonts w:ascii="Book Antiqua" w:eastAsia="BookAntiqua" w:hAnsi="Book Antiqua" w:cs="BookAntiqua"/>
              </w:rPr>
              <w:t>TFS</w:t>
            </w:r>
            <w:r w:rsidR="001374CB">
              <w:rPr>
                <w:rFonts w:ascii="Book Antiqua" w:eastAsia="BookAntiqua" w:hAnsi="Book Antiqua" w:cs="BookAntiqua"/>
              </w:rPr>
              <w:t>; s</w:t>
            </w:r>
            <w:r w:rsidRPr="001374CB">
              <w:rPr>
                <w:rFonts w:ascii="Book Antiqua" w:eastAsia="BookAntiqua" w:hAnsi="Book Antiqua" w:cs="BookAntiqua"/>
              </w:rPr>
              <w:t>econdary</w:t>
            </w:r>
            <w:r w:rsidR="001374CB">
              <w:rPr>
                <w:rFonts w:ascii="Book Antiqua" w:eastAsia="BookAntiqua" w:hAnsi="Book Antiqua" w:cs="BookAntiqua"/>
              </w:rPr>
              <w:t>: r</w:t>
            </w:r>
            <w:r w:rsidRPr="001374CB">
              <w:rPr>
                <w:rFonts w:ascii="Book Antiqua" w:eastAsia="BookAntiqua" w:hAnsi="Book Antiqua" w:cs="BookAntiqua"/>
              </w:rPr>
              <w:t>ecurrence of ascites,</w:t>
            </w:r>
            <w:r w:rsidR="001374CB">
              <w:rPr>
                <w:rFonts w:ascii="Book Antiqua" w:eastAsia="BookAntiqua" w:hAnsi="Book Antiqua" w:cs="BookAntiqua"/>
              </w:rPr>
              <w:t xml:space="preserve"> </w:t>
            </w:r>
            <w:r w:rsidRPr="001374CB">
              <w:rPr>
                <w:rFonts w:ascii="Book Antiqua" w:eastAsia="BookAntiqua" w:hAnsi="Book Antiqua" w:cs="BookAntiqua"/>
              </w:rPr>
              <w:t>liver and renal function, HE, GI</w:t>
            </w:r>
            <w:r w:rsidR="001374CB">
              <w:rPr>
                <w:rFonts w:ascii="Book Antiqua" w:eastAsia="BookAntiqua" w:hAnsi="Book Antiqua" w:cs="BookAntiqua"/>
              </w:rPr>
              <w:t xml:space="preserve">, </w:t>
            </w:r>
            <w:r w:rsidRPr="001374CB">
              <w:rPr>
                <w:rFonts w:ascii="Book Antiqua" w:eastAsia="BookAntiqua" w:hAnsi="Book Antiqua" w:cs="BookAntiqua"/>
              </w:rPr>
              <w:t>bleeding, HRS</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10.8/9.5</w:t>
            </w:r>
          </w:p>
        </w:tc>
        <w:tc>
          <w:tcPr>
            <w:tcW w:w="591" w:type="pct"/>
            <w:shd w:val="clear" w:color="auto" w:fill="auto"/>
          </w:tcPr>
          <w:p w14:paraId="5A6C805F"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17/51</w:t>
            </w:r>
          </w:p>
        </w:tc>
        <w:tc>
          <w:tcPr>
            <w:tcW w:w="538" w:type="pct"/>
            <w:shd w:val="clear" w:color="auto" w:fill="auto"/>
          </w:tcPr>
          <w:p w14:paraId="0F85AC3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34/60</w:t>
            </w:r>
          </w:p>
        </w:tc>
        <w:tc>
          <w:tcPr>
            <w:tcW w:w="403" w:type="pct"/>
            <w:shd w:val="clear" w:color="auto" w:fill="auto"/>
          </w:tcPr>
          <w:p w14:paraId="162D269B"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30/26</w:t>
            </w:r>
          </w:p>
        </w:tc>
      </w:tr>
      <w:tr w:rsidR="00657162" w:rsidRPr="001374CB" w14:paraId="020D0521" w14:textId="77777777" w:rsidTr="00E9124F">
        <w:tc>
          <w:tcPr>
            <w:tcW w:w="435" w:type="pct"/>
            <w:shd w:val="clear" w:color="auto" w:fill="auto"/>
          </w:tcPr>
          <w:p w14:paraId="0397EBED" w14:textId="1E3539A0"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lastRenderedPageBreak/>
              <w:t>Sanyal</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[82]</w:t>
            </w:r>
          </w:p>
        </w:tc>
        <w:tc>
          <w:tcPr>
            <w:tcW w:w="533" w:type="pct"/>
            <w:shd w:val="clear" w:color="auto" w:fill="auto"/>
          </w:tcPr>
          <w:p w14:paraId="76428F01"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57/52</w:t>
            </w:r>
          </w:p>
        </w:tc>
        <w:tc>
          <w:tcPr>
            <w:tcW w:w="571" w:type="pct"/>
            <w:shd w:val="clear" w:color="auto" w:fill="auto"/>
          </w:tcPr>
          <w:p w14:paraId="0E2C866A" w14:textId="77DD47BF"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p>
        </w:tc>
        <w:tc>
          <w:tcPr>
            <w:tcW w:w="1137" w:type="pct"/>
            <w:shd w:val="clear" w:color="auto" w:fill="auto"/>
          </w:tcPr>
          <w:p w14:paraId="5D2D3FF0" w14:textId="469D8E8D"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Causes of ascites other than cirrhosis, advanced liver failure (serum bilirubin bilirubin &gt;</w:t>
            </w:r>
            <w:r w:rsidR="001374CB">
              <w:rPr>
                <w:rFonts w:ascii="Book Antiqua" w:eastAsia="BookAntiqua" w:hAnsi="Book Antiqua" w:cs="BookAntiqua"/>
              </w:rPr>
              <w:t xml:space="preserve"> </w:t>
            </w:r>
            <w:r w:rsidRPr="001374CB">
              <w:rPr>
                <w:rFonts w:ascii="Book Antiqua" w:eastAsia="BookAntiqua" w:hAnsi="Book Antiqua" w:cs="BookAntiqua"/>
              </w:rPr>
              <w:t>5 mg/d</w:t>
            </w:r>
            <w:r w:rsidR="001374CB">
              <w:rPr>
                <w:rFonts w:ascii="Book Antiqua" w:eastAsia="BookAntiqua" w:hAnsi="Book Antiqua" w:cs="BookAntiqua"/>
              </w:rPr>
              <w:t>L</w:t>
            </w:r>
            <w:r w:rsidRPr="001374CB">
              <w:rPr>
                <w:rFonts w:ascii="Book Antiqua" w:eastAsia="BookAntiqua" w:hAnsi="Book Antiqua" w:cs="BookAntiqua"/>
              </w:rPr>
              <w:t>, PT INR &gt;</w:t>
            </w:r>
            <w:r w:rsidR="001374CB">
              <w:rPr>
                <w:rFonts w:ascii="Book Antiqua" w:eastAsia="BookAntiqua" w:hAnsi="Book Antiqua" w:cs="BookAntiqua"/>
              </w:rPr>
              <w:t xml:space="preserve"> </w:t>
            </w:r>
            <w:r w:rsidRPr="001374CB">
              <w:rPr>
                <w:rFonts w:ascii="Book Antiqua" w:eastAsia="BookAntiqua" w:hAnsi="Book Antiqua" w:cs="BookAntiqua"/>
              </w:rPr>
              <w:t>2), incurable cancers or nonhepatic diseases that were likely to limit life expectancy to 1 yr, congestive heart failure, acute renal failure, parenchymal renal disease, PVT; bacterial infections, overt HE, florid alcoholic hepatitis, HCC, GI hemorrhage within 6 wk of randomisation</w:t>
            </w:r>
          </w:p>
        </w:tc>
        <w:tc>
          <w:tcPr>
            <w:tcW w:w="791" w:type="pct"/>
            <w:shd w:val="clear" w:color="auto" w:fill="auto"/>
          </w:tcPr>
          <w:p w14:paraId="49E6D85A" w14:textId="25D9656E"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1374CB">
              <w:rPr>
                <w:rFonts w:ascii="Book Antiqua" w:eastAsia="BookAntiqua" w:hAnsi="Book Antiqua" w:cs="BookAntiqua"/>
              </w:rPr>
              <w:t>: r</w:t>
            </w:r>
            <w:r w:rsidRPr="001374CB">
              <w:rPr>
                <w:rFonts w:ascii="Book Antiqua" w:eastAsia="BookAntiqua" w:hAnsi="Book Antiqua" w:cs="BookAntiqua"/>
              </w:rPr>
              <w:t>ecurrence of ascites</w:t>
            </w:r>
            <w:r w:rsidR="001374CB">
              <w:rPr>
                <w:rFonts w:ascii="Book Antiqua" w:eastAsia="BookAntiqua" w:hAnsi="Book Antiqua" w:cs="BookAntiqua"/>
              </w:rPr>
              <w:t xml:space="preserve"> </w:t>
            </w:r>
            <w:r w:rsidRPr="001374CB">
              <w:rPr>
                <w:rFonts w:ascii="Book Antiqua" w:eastAsia="BookAntiqua" w:hAnsi="Book Antiqua" w:cs="BookAntiqua"/>
              </w:rPr>
              <w:t>and TFS</w:t>
            </w:r>
            <w:r w:rsidR="001374CB">
              <w:rPr>
                <w:rFonts w:ascii="Book Antiqua" w:eastAsia="BookAntiqua" w:hAnsi="Book Antiqua" w:cs="BookAntiqua"/>
              </w:rPr>
              <w:t>; s</w:t>
            </w:r>
            <w:r w:rsidRPr="001374CB">
              <w:rPr>
                <w:rFonts w:ascii="Book Antiqua" w:eastAsia="BookAntiqua" w:hAnsi="Book Antiqua" w:cs="BookAntiqua"/>
              </w:rPr>
              <w:t>econdary</w:t>
            </w:r>
            <w:r w:rsidR="001374CB">
              <w:rPr>
                <w:rFonts w:ascii="Book Antiqua" w:eastAsia="BookAntiqua" w:hAnsi="Book Antiqua" w:cs="BookAntiqua"/>
              </w:rPr>
              <w:t>: o</w:t>
            </w:r>
            <w:r w:rsidRPr="001374CB">
              <w:rPr>
                <w:rFonts w:ascii="Book Antiqua" w:eastAsia="BookAntiqua" w:hAnsi="Book Antiqua" w:cs="BookAntiqua"/>
              </w:rPr>
              <w:t>verall survival, HE,</w:t>
            </w:r>
            <w:r w:rsidR="001374CB">
              <w:rPr>
                <w:rFonts w:ascii="Book Antiqua" w:eastAsia="BookAntiqua" w:hAnsi="Book Antiqua" w:cs="BookAntiqua"/>
              </w:rPr>
              <w:t xml:space="preserve"> </w:t>
            </w:r>
            <w:r w:rsidRPr="001374CB">
              <w:rPr>
                <w:rFonts w:ascii="Book Antiqua" w:eastAsia="BookAntiqua" w:hAnsi="Book Antiqua" w:cs="BookAntiqua"/>
              </w:rPr>
              <w:t>GI bleeding, liver and renal function, quality of life</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38/41</w:t>
            </w:r>
          </w:p>
        </w:tc>
        <w:tc>
          <w:tcPr>
            <w:tcW w:w="591" w:type="pct"/>
            <w:shd w:val="clear" w:color="auto" w:fill="auto"/>
          </w:tcPr>
          <w:p w14:paraId="3806E384"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16/58</w:t>
            </w:r>
          </w:p>
        </w:tc>
        <w:tc>
          <w:tcPr>
            <w:tcW w:w="538" w:type="pct"/>
            <w:shd w:val="clear" w:color="auto" w:fill="auto"/>
          </w:tcPr>
          <w:p w14:paraId="7B530B3A"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21/38</w:t>
            </w:r>
          </w:p>
        </w:tc>
        <w:tc>
          <w:tcPr>
            <w:tcW w:w="403" w:type="pct"/>
            <w:shd w:val="clear" w:color="auto" w:fill="auto"/>
          </w:tcPr>
          <w:p w14:paraId="3BE2ACD4"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33/35</w:t>
            </w:r>
          </w:p>
        </w:tc>
      </w:tr>
      <w:tr w:rsidR="00657162" w:rsidRPr="001374CB" w14:paraId="2FB1A304" w14:textId="77777777" w:rsidTr="00E9124F">
        <w:tc>
          <w:tcPr>
            <w:tcW w:w="435" w:type="pct"/>
            <w:shd w:val="clear" w:color="auto" w:fill="auto"/>
          </w:tcPr>
          <w:p w14:paraId="03935D89" w14:textId="2F8D7AF0"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lastRenderedPageBreak/>
              <w:t>Salerno</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[83]</w:t>
            </w:r>
          </w:p>
        </w:tc>
        <w:tc>
          <w:tcPr>
            <w:tcW w:w="533" w:type="pct"/>
            <w:shd w:val="clear" w:color="auto" w:fill="auto"/>
          </w:tcPr>
          <w:p w14:paraId="47781614"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33/33</w:t>
            </w:r>
          </w:p>
        </w:tc>
        <w:tc>
          <w:tcPr>
            <w:tcW w:w="571" w:type="pct"/>
            <w:shd w:val="clear" w:color="auto" w:fill="auto"/>
          </w:tcPr>
          <w:p w14:paraId="03B61918" w14:textId="2986A44E"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r w:rsidR="001374CB">
              <w:rPr>
                <w:rFonts w:ascii="Book Antiqua" w:eastAsia="BookAntiqua" w:hAnsi="Book Antiqua" w:cs="BookAntiqua"/>
              </w:rPr>
              <w:t xml:space="preserve"> </w:t>
            </w:r>
            <w:r w:rsidRPr="001374CB">
              <w:rPr>
                <w:rFonts w:ascii="Book Antiqua" w:eastAsia="BookAntiqua" w:hAnsi="Book Antiqua" w:cs="BookAntiqua"/>
              </w:rPr>
              <w:t>(32% patients had recidivant ascites)</w:t>
            </w:r>
          </w:p>
        </w:tc>
        <w:tc>
          <w:tcPr>
            <w:tcW w:w="1137" w:type="pct"/>
            <w:shd w:val="clear" w:color="auto" w:fill="auto"/>
          </w:tcPr>
          <w:p w14:paraId="7BED5919" w14:textId="55A3FA4D"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 72 yr, recurrent overt HE, serum bilirubin &gt;</w:t>
            </w:r>
            <w:r w:rsidR="001374CB">
              <w:rPr>
                <w:rFonts w:ascii="Book Antiqua" w:eastAsia="BookAntiqua" w:hAnsi="Book Antiqua" w:cs="BookAntiqua"/>
              </w:rPr>
              <w:t xml:space="preserve"> </w:t>
            </w:r>
            <w:r w:rsidRPr="001374CB">
              <w:rPr>
                <w:rFonts w:ascii="Book Antiqua" w:eastAsia="BookAntiqua" w:hAnsi="Book Antiqua" w:cs="BookAntiqua"/>
              </w:rPr>
              <w:t>6 mg/d</w:t>
            </w:r>
            <w:r w:rsidR="001374CB">
              <w:rPr>
                <w:rFonts w:ascii="Book Antiqua" w:eastAsia="BookAntiqua" w:hAnsi="Book Antiqua" w:cs="BookAntiqua"/>
              </w:rPr>
              <w:t>L</w:t>
            </w:r>
            <w:r w:rsidRPr="001374CB">
              <w:rPr>
                <w:rFonts w:ascii="Book Antiqua" w:eastAsia="BookAntiqua" w:hAnsi="Book Antiqua" w:cs="BookAntiqua"/>
              </w:rPr>
              <w:t>, serum creatinine &gt;</w:t>
            </w:r>
            <w:r w:rsidR="001374CB">
              <w:rPr>
                <w:rFonts w:ascii="Book Antiqua" w:eastAsia="BookAntiqua" w:hAnsi="Book Antiqua" w:cs="BookAntiqua"/>
              </w:rPr>
              <w:t xml:space="preserve"> </w:t>
            </w:r>
            <w:r w:rsidRPr="001374CB">
              <w:rPr>
                <w:rFonts w:ascii="Book Antiqua" w:eastAsia="BookAntiqua" w:hAnsi="Book Antiqua" w:cs="BookAntiqua"/>
              </w:rPr>
              <w:t>3 mg/d</w:t>
            </w:r>
            <w:r w:rsidR="001374CB">
              <w:rPr>
                <w:rFonts w:ascii="Book Antiqua" w:eastAsia="BookAntiqua" w:hAnsi="Book Antiqua" w:cs="BookAntiqua"/>
              </w:rPr>
              <w:t>L</w:t>
            </w:r>
            <w:r w:rsidRPr="001374CB">
              <w:rPr>
                <w:rFonts w:ascii="Book Antiqua" w:eastAsia="BookAntiqua" w:hAnsi="Book Antiqua" w:cs="BookAntiqua"/>
              </w:rPr>
              <w:t>, CTP score&gt;</w:t>
            </w:r>
            <w:r w:rsidR="001374CB">
              <w:rPr>
                <w:rFonts w:ascii="Book Antiqua" w:eastAsia="BookAntiqua" w:hAnsi="Book Antiqua" w:cs="BookAntiqua"/>
              </w:rPr>
              <w:t xml:space="preserve"> </w:t>
            </w:r>
            <w:r w:rsidRPr="001374CB">
              <w:rPr>
                <w:rFonts w:ascii="Book Antiqua" w:eastAsia="BookAntiqua" w:hAnsi="Book Antiqua" w:cs="BookAntiqua"/>
              </w:rPr>
              <w:t>11, complete PVT; HCC; GI bleeding within 15 d of randomisation, serious cardiac or pulmonary dysfunctions, bacterial infection, SAAG gradient &lt;</w:t>
            </w:r>
            <w:r w:rsidR="001374CB">
              <w:rPr>
                <w:rFonts w:ascii="Book Antiqua" w:eastAsia="BookAntiqua" w:hAnsi="Book Antiqua" w:cs="BookAntiqua"/>
              </w:rPr>
              <w:t xml:space="preserve"> </w:t>
            </w:r>
            <w:r w:rsidRPr="001374CB">
              <w:rPr>
                <w:rFonts w:ascii="Book Antiqua" w:eastAsia="BookAntiqua" w:hAnsi="Book Antiqua" w:cs="BookAntiqua"/>
              </w:rPr>
              <w:t>11 g/L</w:t>
            </w:r>
          </w:p>
        </w:tc>
        <w:tc>
          <w:tcPr>
            <w:tcW w:w="791" w:type="pct"/>
            <w:shd w:val="clear" w:color="auto" w:fill="auto"/>
          </w:tcPr>
          <w:p w14:paraId="4F2DBE73" w14:textId="279AD348"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E9124F">
              <w:rPr>
                <w:rFonts w:ascii="Book Antiqua" w:eastAsia="BookAntiqua" w:hAnsi="Book Antiqua" w:cs="BookAntiqua"/>
              </w:rPr>
              <w:t xml:space="preserve">: </w:t>
            </w:r>
            <w:r w:rsidRPr="001374CB">
              <w:rPr>
                <w:rFonts w:ascii="Book Antiqua" w:eastAsia="BookAntiqua" w:hAnsi="Book Antiqua" w:cs="BookAntiqua"/>
              </w:rPr>
              <w:t>TFS</w:t>
            </w:r>
            <w:r w:rsidR="00E9124F">
              <w:rPr>
                <w:rFonts w:ascii="Book Antiqua" w:eastAsia="BookAntiqua" w:hAnsi="Book Antiqua" w:cs="BookAntiqua"/>
              </w:rPr>
              <w:t>; s</w:t>
            </w:r>
            <w:r w:rsidRPr="001374CB">
              <w:rPr>
                <w:rFonts w:ascii="Book Antiqua" w:hAnsi="Book Antiqua"/>
              </w:rPr>
              <w:t>econdary</w:t>
            </w:r>
            <w:r w:rsidR="00E9124F">
              <w:rPr>
                <w:rFonts w:ascii="Book Antiqua" w:hAnsi="Book Antiqua"/>
              </w:rPr>
              <w:t>: r</w:t>
            </w:r>
            <w:r w:rsidRPr="001374CB">
              <w:rPr>
                <w:rFonts w:ascii="Book Antiqua" w:eastAsia="BookAntiqua" w:hAnsi="Book Antiqua" w:cs="BookAntiqua"/>
              </w:rPr>
              <w:t>ecurrence of ascites,</w:t>
            </w:r>
            <w:r w:rsidR="00E9124F">
              <w:rPr>
                <w:rFonts w:ascii="Book Antiqua" w:eastAsia="BookAntiqua" w:hAnsi="Book Antiqua" w:cs="BookAntiqua"/>
              </w:rPr>
              <w:t xml:space="preserve"> </w:t>
            </w:r>
            <w:r w:rsidRPr="001374CB">
              <w:rPr>
                <w:rFonts w:ascii="Book Antiqua" w:eastAsia="BookAntiqua" w:hAnsi="Book Antiqua" w:cs="BookAntiqua"/>
              </w:rPr>
              <w:t>HE, GI bleeding, liver and renal function, HRS</w:t>
            </w:r>
            <w:r w:rsidR="00E9124F">
              <w:rPr>
                <w:rFonts w:ascii="Book Antiqua" w:eastAsia="BookAntiqua" w:hAnsi="Book Antiqua" w:cs="BookAntiqua"/>
              </w:rPr>
              <w:t xml:space="preserve">; </w:t>
            </w:r>
            <w:r w:rsidRPr="001374CB">
              <w:rPr>
                <w:rFonts w:ascii="Book Antiqua" w:eastAsia="BookAntiqua" w:hAnsi="Book Antiqua" w:cs="BookAntiqua"/>
              </w:rPr>
              <w:t>Follow-up</w:t>
            </w:r>
            <w:r w:rsidR="00E9124F">
              <w:rPr>
                <w:rFonts w:ascii="Book Antiqua" w:eastAsia="BookAntiqua" w:hAnsi="Book Antiqua" w:cs="BookAntiqua"/>
              </w:rPr>
              <w:t xml:space="preserve">: </w:t>
            </w:r>
            <w:r w:rsidRPr="001374CB">
              <w:rPr>
                <w:rFonts w:ascii="Book Antiqua" w:eastAsia="BookAntiqua" w:hAnsi="Book Antiqua" w:cs="BookAntiqua"/>
              </w:rPr>
              <w:t>15/21</w:t>
            </w:r>
          </w:p>
        </w:tc>
        <w:tc>
          <w:tcPr>
            <w:tcW w:w="591" w:type="pct"/>
            <w:shd w:val="clear" w:color="auto" w:fill="auto"/>
          </w:tcPr>
          <w:p w14:paraId="28F00ECE"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42/79</w:t>
            </w:r>
          </w:p>
        </w:tc>
        <w:tc>
          <w:tcPr>
            <w:tcW w:w="538" w:type="pct"/>
            <w:shd w:val="clear" w:color="auto" w:fill="auto"/>
          </w:tcPr>
          <w:p w14:paraId="1C74C430"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39/61</w:t>
            </w:r>
          </w:p>
        </w:tc>
        <w:tc>
          <w:tcPr>
            <w:tcW w:w="403" w:type="pct"/>
            <w:shd w:val="clear" w:color="auto" w:fill="auto"/>
          </w:tcPr>
          <w:p w14:paraId="469726A0"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29/59</w:t>
            </w:r>
          </w:p>
        </w:tc>
      </w:tr>
      <w:tr w:rsidR="00657162" w:rsidRPr="001374CB" w14:paraId="4C9D9D5E" w14:textId="77777777" w:rsidTr="00E9124F">
        <w:tc>
          <w:tcPr>
            <w:tcW w:w="435" w:type="pct"/>
            <w:shd w:val="clear" w:color="auto" w:fill="auto"/>
          </w:tcPr>
          <w:p w14:paraId="4CC79097"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 xml:space="preserve">Narahara </w:t>
            </w:r>
            <w:r w:rsidRPr="00E9124F">
              <w:rPr>
                <w:rFonts w:ascii="Book Antiqua" w:eastAsia="BookAntiqua" w:hAnsi="Book Antiqua" w:cs="BookAntiqua"/>
                <w:i/>
                <w:iCs/>
              </w:rPr>
              <w:t>et al</w:t>
            </w:r>
            <w:r w:rsidRPr="001374CB">
              <w:rPr>
                <w:rFonts w:ascii="Book Antiqua" w:eastAsia="BookAntiqua" w:hAnsi="Book Antiqua" w:cs="BookAntiqua"/>
                <w:vertAlign w:val="superscript"/>
                <w:lang w:val="en-IN"/>
              </w:rPr>
              <w:t>[88]</w:t>
            </w:r>
          </w:p>
        </w:tc>
        <w:tc>
          <w:tcPr>
            <w:tcW w:w="533" w:type="pct"/>
            <w:shd w:val="clear" w:color="auto" w:fill="auto"/>
          </w:tcPr>
          <w:p w14:paraId="1F02DD47"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30/30</w:t>
            </w:r>
          </w:p>
        </w:tc>
        <w:tc>
          <w:tcPr>
            <w:tcW w:w="571" w:type="pct"/>
            <w:shd w:val="clear" w:color="auto" w:fill="auto"/>
          </w:tcPr>
          <w:p w14:paraId="47AFB184" w14:textId="79595A2E"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E9124F">
              <w:rPr>
                <w:rFonts w:ascii="Book Antiqua" w:eastAsia="BookAntiqua" w:hAnsi="Book Antiqua" w:cs="BookAntiqua"/>
              </w:rPr>
              <w:t xml:space="preserve"> </w:t>
            </w:r>
            <w:r w:rsidRPr="001374CB">
              <w:rPr>
                <w:rFonts w:ascii="Book Antiqua" w:eastAsia="BookAntiqua" w:hAnsi="Book Antiqua" w:cs="BookAntiqua"/>
              </w:rPr>
              <w:t>in 1996 by IAC</w:t>
            </w:r>
          </w:p>
        </w:tc>
        <w:tc>
          <w:tcPr>
            <w:tcW w:w="1137" w:type="pct"/>
            <w:shd w:val="clear" w:color="auto" w:fill="auto"/>
          </w:tcPr>
          <w:p w14:paraId="3A39F35D" w14:textId="4920893C"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w:t>
            </w:r>
            <w:r w:rsidR="00E9124F">
              <w:rPr>
                <w:rFonts w:ascii="Book Antiqua" w:eastAsia="BookAntiqua" w:hAnsi="Book Antiqua" w:cs="BookAntiqua"/>
              </w:rPr>
              <w:t xml:space="preserve"> </w:t>
            </w:r>
            <w:r w:rsidRPr="001374CB">
              <w:rPr>
                <w:rFonts w:ascii="Book Antiqua" w:eastAsia="BookAntiqua" w:hAnsi="Book Antiqua" w:cs="BookAntiqua"/>
              </w:rPr>
              <w:t xml:space="preserve">70 yr, chronic HE, HCC and other malignancies, complete portal vein thrombosis with cavernomatous transformation, bacterial infection, severe cardiac or pulmonary disease, </w:t>
            </w:r>
            <w:r w:rsidRPr="001374CB">
              <w:rPr>
                <w:rFonts w:ascii="Book Antiqua" w:eastAsia="BookAntiqua" w:hAnsi="Book Antiqua" w:cs="BookAntiqua"/>
              </w:rPr>
              <w:lastRenderedPageBreak/>
              <w:t>organic renal disease</w:t>
            </w:r>
          </w:p>
        </w:tc>
        <w:tc>
          <w:tcPr>
            <w:tcW w:w="791" w:type="pct"/>
            <w:shd w:val="clear" w:color="auto" w:fill="auto"/>
          </w:tcPr>
          <w:p w14:paraId="5A5D99EF" w14:textId="50649731"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lastRenderedPageBreak/>
              <w:t>Primary</w:t>
            </w:r>
            <w:r w:rsidR="00E9124F">
              <w:rPr>
                <w:rFonts w:ascii="Book Antiqua" w:eastAsia="BookAntiqua" w:hAnsi="Book Antiqua" w:cs="BookAntiqua"/>
              </w:rPr>
              <w:t>: o</w:t>
            </w:r>
            <w:r w:rsidRPr="001374CB">
              <w:rPr>
                <w:rFonts w:ascii="Book Antiqua" w:eastAsia="BookAntiqua" w:hAnsi="Book Antiqua" w:cs="BookAntiqua"/>
              </w:rPr>
              <w:t>verall survival</w:t>
            </w:r>
            <w:r w:rsidR="00E9124F">
              <w:rPr>
                <w:rFonts w:ascii="Book Antiqua" w:eastAsia="BookAntiqua" w:hAnsi="Book Antiqua" w:cs="BookAntiqua"/>
              </w:rPr>
              <w:t>; s</w:t>
            </w:r>
            <w:r w:rsidRPr="001374CB">
              <w:rPr>
                <w:rFonts w:ascii="Book Antiqua" w:eastAsia="BookAntiqua" w:hAnsi="Book Antiqua" w:cs="BookAntiqua"/>
              </w:rPr>
              <w:t>econdary</w:t>
            </w:r>
            <w:r w:rsidR="00E9124F">
              <w:rPr>
                <w:rFonts w:ascii="Book Antiqua" w:eastAsia="BookAntiqua" w:hAnsi="Book Antiqua" w:cs="BookAntiqua"/>
              </w:rPr>
              <w:t>: r</w:t>
            </w:r>
            <w:r w:rsidRPr="001374CB">
              <w:rPr>
                <w:rFonts w:ascii="Book Antiqua" w:eastAsia="BookAntiqua" w:hAnsi="Book Antiqua" w:cs="BookAntiqua"/>
              </w:rPr>
              <w:t>ecurrence of ascites, HE</w:t>
            </w:r>
            <w:r w:rsidR="00E9124F">
              <w:rPr>
                <w:rFonts w:ascii="Book Antiqua" w:eastAsia="BookAntiqua" w:hAnsi="Book Antiqua" w:cs="BookAntiqua"/>
              </w:rPr>
              <w:t xml:space="preserve">; </w:t>
            </w:r>
            <w:r w:rsidRPr="001374CB">
              <w:rPr>
                <w:rFonts w:ascii="Book Antiqua" w:eastAsia="BookAntiqua" w:hAnsi="Book Antiqua" w:cs="BookAntiqua"/>
              </w:rPr>
              <w:t>Follow-up</w:t>
            </w:r>
            <w:r w:rsidR="00E9124F">
              <w:rPr>
                <w:rFonts w:ascii="Book Antiqua" w:eastAsia="BookAntiqua" w:hAnsi="Book Antiqua" w:cs="BookAntiqua"/>
              </w:rPr>
              <w:t xml:space="preserve">: </w:t>
            </w:r>
            <w:r w:rsidRPr="001374CB">
              <w:rPr>
                <w:rFonts w:ascii="Book Antiqua" w:eastAsia="BookAntiqua" w:hAnsi="Book Antiqua" w:cs="BookAntiqua"/>
              </w:rPr>
              <w:t>13/27</w:t>
            </w:r>
          </w:p>
        </w:tc>
        <w:tc>
          <w:tcPr>
            <w:tcW w:w="591" w:type="pct"/>
            <w:shd w:val="clear" w:color="auto" w:fill="auto"/>
          </w:tcPr>
          <w:p w14:paraId="53E740F0"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30/87</w:t>
            </w:r>
          </w:p>
        </w:tc>
        <w:tc>
          <w:tcPr>
            <w:tcW w:w="538" w:type="pct"/>
            <w:shd w:val="clear" w:color="auto" w:fill="auto"/>
          </w:tcPr>
          <w:p w14:paraId="69B30C3B"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17/67</w:t>
            </w:r>
          </w:p>
        </w:tc>
        <w:tc>
          <w:tcPr>
            <w:tcW w:w="403" w:type="pct"/>
            <w:shd w:val="clear" w:color="auto" w:fill="auto"/>
          </w:tcPr>
          <w:p w14:paraId="14E9137F"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30/43</w:t>
            </w:r>
          </w:p>
        </w:tc>
      </w:tr>
      <w:tr w:rsidR="00657162" w:rsidRPr="001374CB" w14:paraId="071B7495" w14:textId="77777777" w:rsidTr="00E9124F">
        <w:tc>
          <w:tcPr>
            <w:tcW w:w="435" w:type="pct"/>
            <w:tcBorders>
              <w:bottom w:val="single" w:sz="4" w:space="0" w:color="auto"/>
            </w:tcBorders>
            <w:shd w:val="clear" w:color="auto" w:fill="auto"/>
          </w:tcPr>
          <w:p w14:paraId="1B892ECD" w14:textId="36250288"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lastRenderedPageBreak/>
              <w:t>Bureau</w:t>
            </w:r>
            <w:r w:rsidR="00E9124F">
              <w:rPr>
                <w:rFonts w:ascii="Book Antiqua" w:eastAsia="BookAntiqua" w:hAnsi="Book Antiqua" w:cs="BookAntiqua"/>
              </w:rPr>
              <w:t xml:space="preserve"> </w:t>
            </w:r>
            <w:r w:rsidRPr="00E9124F">
              <w:rPr>
                <w:rFonts w:ascii="Book Antiqua" w:eastAsia="BookAntiqua" w:hAnsi="Book Antiqua" w:cs="BookAntiqua"/>
                <w:i/>
                <w:iCs/>
              </w:rPr>
              <w:t>et al</w:t>
            </w:r>
            <w:r w:rsidRPr="001374CB">
              <w:rPr>
                <w:rFonts w:ascii="Book Antiqua" w:eastAsia="BookAntiqua" w:hAnsi="Book Antiqua" w:cs="BookAntiqua"/>
                <w:vertAlign w:val="superscript"/>
                <w:lang w:val="en-IN"/>
              </w:rPr>
              <w:t>[92]</w:t>
            </w:r>
          </w:p>
        </w:tc>
        <w:tc>
          <w:tcPr>
            <w:tcW w:w="533" w:type="pct"/>
            <w:tcBorders>
              <w:bottom w:val="single" w:sz="4" w:space="0" w:color="auto"/>
            </w:tcBorders>
            <w:shd w:val="clear" w:color="auto" w:fill="auto"/>
          </w:tcPr>
          <w:p w14:paraId="78D52278"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33/29</w:t>
            </w:r>
          </w:p>
        </w:tc>
        <w:tc>
          <w:tcPr>
            <w:tcW w:w="571" w:type="pct"/>
            <w:tcBorders>
              <w:bottom w:val="single" w:sz="4" w:space="0" w:color="auto"/>
            </w:tcBorders>
            <w:shd w:val="clear" w:color="auto" w:fill="auto"/>
          </w:tcPr>
          <w:p w14:paraId="2398580C" w14:textId="37B2AC39"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At least 2 LVPs within a minimum interval of 3 w</w:t>
            </w:r>
            <w:r w:rsidR="00E9124F">
              <w:rPr>
                <w:rFonts w:ascii="Book Antiqua" w:eastAsia="BookAntiqua" w:hAnsi="Book Antiqua" w:cs="BookAntiqua"/>
              </w:rPr>
              <w:t>k</w:t>
            </w:r>
          </w:p>
        </w:tc>
        <w:tc>
          <w:tcPr>
            <w:tcW w:w="1137" w:type="pct"/>
            <w:tcBorders>
              <w:bottom w:val="single" w:sz="4" w:space="0" w:color="auto"/>
            </w:tcBorders>
            <w:shd w:val="clear" w:color="auto" w:fill="auto"/>
          </w:tcPr>
          <w:p w14:paraId="267680FA" w14:textId="0C78F506"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&lt; 18 and &gt; 70 yrs, patients who had required &gt;</w:t>
            </w:r>
            <w:r w:rsidR="00E9124F">
              <w:rPr>
                <w:rFonts w:ascii="Book Antiqua" w:eastAsia="BookAntiqua" w:hAnsi="Book Antiqua" w:cs="BookAntiqua"/>
              </w:rPr>
              <w:t xml:space="preserve"> </w:t>
            </w:r>
            <w:r w:rsidRPr="001374CB">
              <w:rPr>
                <w:rFonts w:ascii="Book Antiqua" w:eastAsia="BookAntiqua" w:hAnsi="Book Antiqua" w:cs="BookAntiqua"/>
              </w:rPr>
              <w:t>6 LVPs within the previous 3 mo; patients on transplant waiting list, congestive heart failure, history or presence of pulmonary hypertension, complete PVT, recurrent overt HE, HCC, severe liver failure (prothrombin index &lt;</w:t>
            </w:r>
            <w:r w:rsidR="00E9124F">
              <w:rPr>
                <w:rFonts w:ascii="Book Antiqua" w:eastAsia="BookAntiqua" w:hAnsi="Book Antiqua" w:cs="BookAntiqua"/>
              </w:rPr>
              <w:t xml:space="preserve"> </w:t>
            </w:r>
            <w:r w:rsidRPr="001374CB">
              <w:rPr>
                <w:rFonts w:ascii="Book Antiqua" w:eastAsia="BookAntiqua" w:hAnsi="Book Antiqua" w:cs="BookAntiqua"/>
              </w:rPr>
              <w:t>35%, total bilirubin &gt;</w:t>
            </w:r>
            <w:r w:rsidR="00E9124F">
              <w:rPr>
                <w:rFonts w:ascii="Book Antiqua" w:eastAsia="BookAntiqua" w:hAnsi="Book Antiqua" w:cs="BookAntiqua"/>
              </w:rPr>
              <w:t xml:space="preserve"> </w:t>
            </w:r>
            <w:r w:rsidRPr="001374CB">
              <w:rPr>
                <w:rFonts w:ascii="Book Antiqua" w:eastAsia="BookAntiqua" w:hAnsi="Book Antiqua" w:cs="BookAntiqua"/>
              </w:rPr>
              <w:t xml:space="preserve">100 mmol/L or CTP </w:t>
            </w:r>
            <w:r w:rsidR="00E9124F">
              <w:rPr>
                <w:rFonts w:ascii="Book Antiqua" w:eastAsia="BookAntiqua" w:hAnsi="Book Antiqua" w:cs="BookAntiqua"/>
              </w:rPr>
              <w:t>s</w:t>
            </w:r>
            <w:r w:rsidRPr="001374CB">
              <w:rPr>
                <w:rFonts w:ascii="Book Antiqua" w:eastAsia="BookAntiqua" w:hAnsi="Book Antiqua" w:cs="BookAntiqua"/>
              </w:rPr>
              <w:t>core &gt;</w:t>
            </w:r>
            <w:r w:rsidR="00E9124F">
              <w:rPr>
                <w:rFonts w:ascii="Book Antiqua" w:eastAsia="BookAntiqua" w:hAnsi="Book Antiqua" w:cs="BookAntiqua"/>
              </w:rPr>
              <w:t xml:space="preserve"> </w:t>
            </w:r>
            <w:r w:rsidRPr="001374CB">
              <w:rPr>
                <w:rFonts w:ascii="Book Antiqua" w:eastAsia="BookAntiqua" w:hAnsi="Book Antiqua" w:cs="BookAntiqua"/>
              </w:rPr>
              <w:t>12), serum creatinine &gt;</w:t>
            </w:r>
            <w:r w:rsidR="00E9124F">
              <w:rPr>
                <w:rFonts w:ascii="Book Antiqua" w:eastAsia="BookAntiqua" w:hAnsi="Book Antiqua" w:cs="BookAntiqua"/>
              </w:rPr>
              <w:t xml:space="preserve"> </w:t>
            </w:r>
            <w:r w:rsidRPr="001374CB">
              <w:rPr>
                <w:rFonts w:ascii="Book Antiqua" w:eastAsia="BookAntiqua" w:hAnsi="Book Antiqua" w:cs="BookAntiqua"/>
              </w:rPr>
              <w:t>250 mmol/L, uncontrolled sepsis</w:t>
            </w:r>
          </w:p>
        </w:tc>
        <w:tc>
          <w:tcPr>
            <w:tcW w:w="791" w:type="pct"/>
            <w:tcBorders>
              <w:bottom w:val="single" w:sz="4" w:space="0" w:color="auto"/>
            </w:tcBorders>
            <w:shd w:val="clear" w:color="auto" w:fill="auto"/>
          </w:tcPr>
          <w:p w14:paraId="03DCFB85" w14:textId="67CC111B"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E9124F">
              <w:rPr>
                <w:rFonts w:ascii="Book Antiqua" w:eastAsia="BookAntiqua" w:hAnsi="Book Antiqua" w:cs="BookAntiqua"/>
              </w:rPr>
              <w:t>:</w:t>
            </w:r>
            <w:r w:rsidRPr="001374CB">
              <w:rPr>
                <w:rFonts w:ascii="Book Antiqua" w:eastAsia="BookAntiqua" w:hAnsi="Book Antiqua" w:cs="BookAntiqua"/>
              </w:rPr>
              <w:t xml:space="preserve"> 1-y</w:t>
            </w:r>
            <w:r w:rsidR="00E9124F">
              <w:rPr>
                <w:rFonts w:ascii="Book Antiqua" w:eastAsia="BookAntiqua" w:hAnsi="Book Antiqua" w:cs="BookAntiqua"/>
              </w:rPr>
              <w:t>r</w:t>
            </w:r>
            <w:r w:rsidRPr="001374CB">
              <w:rPr>
                <w:rFonts w:ascii="Book Antiqua" w:eastAsia="BookAntiqua" w:hAnsi="Book Antiqua" w:cs="BookAntiqua"/>
              </w:rPr>
              <w:t xml:space="preserve"> liver TFS</w:t>
            </w:r>
            <w:r w:rsidR="00E9124F">
              <w:rPr>
                <w:rFonts w:ascii="Book Antiqua" w:eastAsia="BookAntiqua" w:hAnsi="Book Antiqua" w:cs="BookAntiqua"/>
              </w:rPr>
              <w:t>; s</w:t>
            </w:r>
            <w:r w:rsidRPr="001374CB">
              <w:rPr>
                <w:rFonts w:ascii="Book Antiqua" w:eastAsia="BookAntiqua" w:hAnsi="Book Antiqua" w:cs="BookAntiqua"/>
              </w:rPr>
              <w:t>econdary</w:t>
            </w:r>
            <w:r w:rsidR="00E9124F">
              <w:rPr>
                <w:rFonts w:ascii="Book Antiqua" w:eastAsia="BookAntiqua" w:hAnsi="Book Antiqua" w:cs="BookAntiqua"/>
              </w:rPr>
              <w:t xml:space="preserve">: </w:t>
            </w:r>
            <w:r w:rsidRPr="001374CB">
              <w:rPr>
                <w:rFonts w:ascii="Book Antiqua" w:eastAsia="BookAntiqua" w:hAnsi="Book Antiqua" w:cs="BookAntiqua"/>
              </w:rPr>
              <w:t>ascites recurrence and treatment failure, overt HE, PHT</w:t>
            </w:r>
            <w:r w:rsidR="00E9124F">
              <w:rPr>
                <w:rFonts w:ascii="Book Antiqua" w:eastAsia="BookAntiqua" w:hAnsi="Book Antiqua" w:cs="BookAntiqua"/>
              </w:rPr>
              <w:t>-</w:t>
            </w:r>
            <w:r w:rsidRPr="001374CB">
              <w:rPr>
                <w:rFonts w:ascii="Book Antiqua" w:eastAsia="BookAntiqua" w:hAnsi="Book Antiqua" w:cs="BookAntiqua"/>
              </w:rPr>
              <w:t>related complications, other complications of cirrhosis, and the number of days in hospital during a 1-yr period after inclusion</w:t>
            </w:r>
            <w:r w:rsidR="00E9124F">
              <w:rPr>
                <w:rFonts w:ascii="Book Antiqua" w:eastAsia="BookAntiqua" w:hAnsi="Book Antiqua" w:cs="BookAntiqua"/>
              </w:rPr>
              <w:t xml:space="preserve">; </w:t>
            </w:r>
            <w:r w:rsidRPr="001374CB">
              <w:rPr>
                <w:rFonts w:ascii="Book Antiqua" w:eastAsia="BookAntiqua" w:hAnsi="Book Antiqua" w:cs="BookAntiqua"/>
              </w:rPr>
              <w:t>Follow-up</w:t>
            </w:r>
            <w:r w:rsidR="00E9124F">
              <w:rPr>
                <w:rFonts w:ascii="Book Antiqua" w:eastAsia="BookAntiqua" w:hAnsi="Book Antiqua" w:cs="BookAntiqua"/>
              </w:rPr>
              <w:t xml:space="preserve">: </w:t>
            </w:r>
            <w:r w:rsidRPr="001374CB">
              <w:rPr>
                <w:rFonts w:ascii="Book Antiqua" w:eastAsia="BookAntiqua" w:hAnsi="Book Antiqua" w:cs="BookAntiqua"/>
              </w:rPr>
              <w:t>10.4 /11.5</w:t>
            </w:r>
          </w:p>
        </w:tc>
        <w:tc>
          <w:tcPr>
            <w:tcW w:w="591" w:type="pct"/>
            <w:tcBorders>
              <w:bottom w:val="single" w:sz="4" w:space="0" w:color="auto"/>
            </w:tcBorders>
            <w:shd w:val="clear" w:color="auto" w:fill="auto"/>
          </w:tcPr>
          <w:p w14:paraId="4FA9E16D" w14:textId="36D696F1"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At 1-yr follow-up, total number of paracentesis in the TIPS and LVP group were 32 and 320, respectively</w:t>
            </w:r>
          </w:p>
        </w:tc>
        <w:tc>
          <w:tcPr>
            <w:tcW w:w="538" w:type="pct"/>
            <w:tcBorders>
              <w:bottom w:val="single" w:sz="4" w:space="0" w:color="auto"/>
            </w:tcBorders>
            <w:shd w:val="clear" w:color="auto" w:fill="auto"/>
          </w:tcPr>
          <w:p w14:paraId="4339F0B5"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35/35</w:t>
            </w:r>
          </w:p>
        </w:tc>
        <w:tc>
          <w:tcPr>
            <w:tcW w:w="403" w:type="pct"/>
            <w:tcBorders>
              <w:bottom w:val="single" w:sz="4" w:space="0" w:color="auto"/>
            </w:tcBorders>
            <w:shd w:val="clear" w:color="auto" w:fill="auto"/>
          </w:tcPr>
          <w:p w14:paraId="20D42EFD" w14:textId="77777777" w:rsidR="00827DE5" w:rsidRPr="001374CB" w:rsidRDefault="00827DE5" w:rsidP="00E9124F">
            <w:pPr>
              <w:pStyle w:val="TableContents"/>
              <w:suppressLineNumbers w:val="0"/>
              <w:suppressAutoHyphens w:val="0"/>
              <w:spacing w:line="360" w:lineRule="auto"/>
              <w:jc w:val="both"/>
              <w:rPr>
                <w:rFonts w:ascii="Book Antiqua" w:hAnsi="Book Antiqua"/>
              </w:rPr>
            </w:pPr>
            <w:r w:rsidRPr="001374CB">
              <w:rPr>
                <w:rFonts w:ascii="Book Antiqua" w:eastAsia="BookAntiqua" w:hAnsi="Book Antiqua" w:cs="BookAntiqua"/>
              </w:rPr>
              <w:t>52/93</w:t>
            </w:r>
          </w:p>
        </w:tc>
      </w:tr>
    </w:tbl>
    <w:p w14:paraId="3897C5EE" w14:textId="32CF7C2F" w:rsidR="00D00D1D" w:rsidRDefault="001374CB" w:rsidP="00D37778">
      <w:pPr>
        <w:spacing w:line="360" w:lineRule="auto"/>
        <w:jc w:val="both"/>
        <w:rPr>
          <w:rFonts w:ascii="Book Antiqua" w:eastAsia="Book Antiqua" w:hAnsi="Book Antiqua" w:cs="Book Antiqua"/>
          <w:color w:val="000000"/>
        </w:rPr>
      </w:pPr>
      <w:r w:rsidRPr="002229F6">
        <w:rPr>
          <w:rFonts w:ascii="Book Antiqua" w:hAnsi="Book Antiqua"/>
        </w:rPr>
        <w:t>HCC: Hepatocellular carcinoma;</w:t>
      </w:r>
      <w:r>
        <w:rPr>
          <w:rFonts w:ascii="Book Antiqua" w:hAnsi="Book Antiqua"/>
        </w:rPr>
        <w:t xml:space="preserve"> </w:t>
      </w:r>
      <w:r w:rsidRPr="00CD747A">
        <w:rPr>
          <w:rFonts w:ascii="Book Antiqua" w:hAnsi="Book Antiqua"/>
        </w:rPr>
        <w:t>HE: Hepatic encephalopathy</w:t>
      </w:r>
      <w:r>
        <w:rPr>
          <w:rFonts w:ascii="Book Antiqua" w:hAnsi="Book Antiqua"/>
        </w:rPr>
        <w:t xml:space="preserve">; </w:t>
      </w:r>
      <w:r w:rsidRPr="002229F6">
        <w:rPr>
          <w:rFonts w:ascii="Book Antiqua" w:hAnsi="Book Antiqua"/>
        </w:rPr>
        <w:t>IAC: International ascites club;</w:t>
      </w:r>
      <w:r>
        <w:rPr>
          <w:rFonts w:ascii="Book Antiqua" w:hAnsi="Book Antiqua"/>
        </w:rPr>
        <w:t xml:space="preserve"> </w:t>
      </w:r>
      <w:r w:rsidRPr="002229F6">
        <w:rPr>
          <w:rFonts w:ascii="Book Antiqua" w:hAnsi="Book Antiqua"/>
        </w:rPr>
        <w:t>PVT: Portal vein thrombus;</w:t>
      </w:r>
      <w:r>
        <w:rPr>
          <w:rFonts w:ascii="Book Antiqua" w:hAnsi="Book Antiqua"/>
        </w:rPr>
        <w:t xml:space="preserve"> </w:t>
      </w:r>
      <w:r w:rsidRPr="002229F6">
        <w:rPr>
          <w:rFonts w:ascii="Book Antiqua" w:hAnsi="Book Antiqua"/>
        </w:rPr>
        <w:t>LVP: Large volume paracentesis;</w:t>
      </w:r>
      <w:r>
        <w:rPr>
          <w:rFonts w:ascii="Book Antiqua" w:hAnsi="Book Antiqua"/>
        </w:rPr>
        <w:t xml:space="preserve"> </w:t>
      </w:r>
      <w:r w:rsidRPr="002229F6">
        <w:rPr>
          <w:rFonts w:ascii="Book Antiqua" w:hAnsi="Book Antiqua"/>
        </w:rPr>
        <w:t>TFS: Transplant free survival;</w:t>
      </w:r>
      <w:r>
        <w:rPr>
          <w:rFonts w:ascii="Book Antiqua" w:hAnsi="Book Antiqua"/>
        </w:rPr>
        <w:t xml:space="preserve"> </w:t>
      </w:r>
      <w:r w:rsidRPr="002229F6">
        <w:rPr>
          <w:rFonts w:ascii="Book Antiqua" w:hAnsi="Book Antiqua"/>
        </w:rPr>
        <w:t>INR: International normalised ratio</w:t>
      </w:r>
      <w:r>
        <w:rPr>
          <w:rFonts w:ascii="Book Antiqua" w:hAnsi="Book Antiqua"/>
        </w:rPr>
        <w:t>;</w:t>
      </w:r>
      <w:bookmarkStart w:id="9" w:name="_Hlk49359578"/>
      <w:r w:rsidRPr="001374CB">
        <w:rPr>
          <w:rFonts w:ascii="Book Antiqua" w:hAnsi="Book Antiqua"/>
        </w:rPr>
        <w:t xml:space="preserve"> </w:t>
      </w:r>
      <w:r w:rsidRPr="002229F6">
        <w:rPr>
          <w:rFonts w:ascii="Book Antiqua" w:hAnsi="Book Antiqua"/>
        </w:rPr>
        <w:t xml:space="preserve">HCC: Hepatocellular </w:t>
      </w:r>
      <w:r w:rsidRPr="002229F6">
        <w:rPr>
          <w:rFonts w:ascii="Book Antiqua" w:hAnsi="Book Antiqua"/>
        </w:rPr>
        <w:lastRenderedPageBreak/>
        <w:t>carcinoma;</w:t>
      </w:r>
      <w:bookmarkEnd w:id="9"/>
      <w:r>
        <w:rPr>
          <w:rFonts w:ascii="Book Antiqua" w:hAnsi="Book Antiqua"/>
        </w:rPr>
        <w:t xml:space="preserve"> </w:t>
      </w:r>
      <w:r w:rsidRPr="002229F6">
        <w:rPr>
          <w:rFonts w:ascii="Book Antiqua" w:hAnsi="Book Antiqua"/>
        </w:rPr>
        <w:t>GI: Gastrointestinal;</w:t>
      </w:r>
      <w:r>
        <w:rPr>
          <w:rFonts w:ascii="Book Antiqua" w:hAnsi="Book Antiqua"/>
        </w:rPr>
        <w:t xml:space="preserve"> </w:t>
      </w:r>
      <w:r w:rsidRPr="002229F6">
        <w:rPr>
          <w:rFonts w:ascii="Book Antiqua" w:hAnsi="Book Antiqua"/>
        </w:rPr>
        <w:t>HRS: Hepatorenal syndrome;</w:t>
      </w:r>
      <w:r>
        <w:rPr>
          <w:rFonts w:ascii="Book Antiqua" w:hAnsi="Book Antiqua"/>
        </w:rPr>
        <w:t xml:space="preserve"> </w:t>
      </w:r>
      <w:bookmarkStart w:id="10" w:name="_Hlk49359806"/>
      <w:r w:rsidRPr="002229F6">
        <w:rPr>
          <w:rFonts w:ascii="Book Antiqua" w:hAnsi="Book Antiqua"/>
        </w:rPr>
        <w:t>PVT: Portal vein thrombus;</w:t>
      </w:r>
      <w:bookmarkEnd w:id="10"/>
      <w:r>
        <w:rPr>
          <w:rFonts w:ascii="Book Antiqua" w:hAnsi="Book Antiqua"/>
        </w:rPr>
        <w:t xml:space="preserve"> </w:t>
      </w:r>
      <w:r w:rsidRPr="002229F6">
        <w:rPr>
          <w:rFonts w:ascii="Book Antiqua" w:hAnsi="Book Antiqua"/>
        </w:rPr>
        <w:t>CTP: Child-Turcotte-Pugh;</w:t>
      </w:r>
      <w:r>
        <w:rPr>
          <w:rFonts w:ascii="Book Antiqua" w:hAnsi="Book Antiqua"/>
        </w:rPr>
        <w:t xml:space="preserve"> </w:t>
      </w:r>
      <w:r w:rsidRPr="002229F6">
        <w:rPr>
          <w:rFonts w:ascii="Book Antiqua" w:hAnsi="Book Antiqua"/>
        </w:rPr>
        <w:t>SAAG: Serum ascites albumin gradient;</w:t>
      </w:r>
      <w:r w:rsidR="00E9124F">
        <w:rPr>
          <w:rFonts w:ascii="Book Antiqua" w:hAnsi="Book Antiqua"/>
        </w:rPr>
        <w:t xml:space="preserve"> </w:t>
      </w:r>
      <w:r w:rsidR="00E9124F" w:rsidRPr="002229F6">
        <w:rPr>
          <w:rFonts w:ascii="Book Antiqua" w:hAnsi="Book Antiqua"/>
        </w:rPr>
        <w:t>PHT: Portal hypertension;</w:t>
      </w:r>
      <w:r w:rsidR="00E9124F">
        <w:rPr>
          <w:rFonts w:ascii="Book Antiqua" w:hAnsi="Book Antiqua"/>
        </w:rPr>
        <w:t xml:space="preserve"> </w:t>
      </w:r>
      <w:r w:rsidR="00E9124F">
        <w:rPr>
          <w:rFonts w:ascii="Book Antiqua" w:eastAsia="Book Antiqua" w:hAnsi="Book Antiqua" w:cs="Book Antiqua"/>
          <w:color w:val="000000"/>
        </w:rPr>
        <w:t>TIPS:</w:t>
      </w:r>
      <w:r w:rsidR="00E9124F" w:rsidRPr="0083172E">
        <w:rPr>
          <w:rFonts w:ascii="Book Antiqua" w:eastAsia="Book Antiqua" w:hAnsi="Book Antiqua" w:cs="Book Antiqua"/>
          <w:color w:val="000000"/>
        </w:rPr>
        <w:t xml:space="preserve"> </w:t>
      </w:r>
      <w:bookmarkStart w:id="11" w:name="_Hlk49361011"/>
      <w:r w:rsidR="00E9124F">
        <w:rPr>
          <w:rFonts w:ascii="Book Antiqua" w:eastAsia="Book Antiqua" w:hAnsi="Book Antiqua" w:cs="Book Antiqua"/>
          <w:color w:val="000000"/>
        </w:rPr>
        <w:t>T</w:t>
      </w:r>
      <w:r w:rsidR="00E9124F" w:rsidRPr="0083172E">
        <w:rPr>
          <w:rFonts w:ascii="Book Antiqua" w:eastAsia="Book Antiqua" w:hAnsi="Book Antiqua" w:cs="Book Antiqua"/>
          <w:color w:val="000000"/>
        </w:rPr>
        <w:t>ransjugular intrahepatic portosystemic shunt</w:t>
      </w:r>
      <w:bookmarkEnd w:id="11"/>
      <w:r w:rsidR="00D00D1D">
        <w:rPr>
          <w:rFonts w:ascii="Book Antiqua" w:eastAsia="Book Antiqua" w:hAnsi="Book Antiqua" w:cs="Book Antiqua"/>
          <w:color w:val="000000"/>
        </w:rPr>
        <w:t>.</w:t>
      </w:r>
    </w:p>
    <w:p w14:paraId="1F5FA1D0" w14:textId="6EDF0D31" w:rsidR="00C86618" w:rsidRPr="00D00D1D" w:rsidRDefault="00D00D1D" w:rsidP="00D37778">
      <w:pPr>
        <w:spacing w:line="360" w:lineRule="auto"/>
        <w:jc w:val="both"/>
        <w:rPr>
          <w:rFonts w:ascii="Book Antiqua" w:hAnsi="Book Antiqua"/>
          <w:b/>
          <w:bCs/>
          <w:lang w:val="en-IN"/>
        </w:rPr>
      </w:pPr>
      <w:r>
        <w:rPr>
          <w:rFonts w:ascii="Book Antiqua" w:eastAsia="Book Antiqua" w:hAnsi="Book Antiqua" w:cs="Book Antiqua"/>
          <w:color w:val="000000"/>
        </w:rPr>
        <w:br w:type="page"/>
      </w:r>
      <w:r w:rsidRPr="00D00D1D">
        <w:rPr>
          <w:rFonts w:ascii="Book Antiqua" w:eastAsia="Book Antiqua" w:hAnsi="Book Antiqua" w:cs="Book Antiqua"/>
          <w:b/>
          <w:bCs/>
          <w:color w:val="000000"/>
        </w:rPr>
        <w:lastRenderedPageBreak/>
        <w:t xml:space="preserve">Table 3 Complications associated with </w:t>
      </w:r>
      <w:r>
        <w:rPr>
          <w:rFonts w:ascii="Book Antiqua" w:eastAsia="Book Antiqua" w:hAnsi="Book Antiqua" w:cs="Book Antiqua"/>
          <w:b/>
          <w:bCs/>
          <w:color w:val="000000"/>
        </w:rPr>
        <w:t>t</w:t>
      </w:r>
      <w:r w:rsidRPr="00D00D1D">
        <w:rPr>
          <w:rFonts w:ascii="Book Antiqua" w:eastAsia="Book Antiqua" w:hAnsi="Book Antiqua" w:cs="Book Antiqua"/>
          <w:b/>
          <w:bCs/>
          <w:color w:val="000000"/>
        </w:rPr>
        <w:t>ransjugular intrahepatic portosystemic shunt placement and prevention or management strategies</w:t>
      </w:r>
    </w:p>
    <w:tbl>
      <w:tblPr>
        <w:tblW w:w="0" w:type="auto"/>
        <w:tblCellMar>
          <w:left w:w="10" w:type="dxa"/>
          <w:right w:w="10" w:type="dxa"/>
        </w:tblCellMar>
        <w:tblLook w:val="0000" w:firstRow="0" w:lastRow="0" w:firstColumn="0" w:lastColumn="0" w:noHBand="0" w:noVBand="0"/>
      </w:tblPr>
      <w:tblGrid>
        <w:gridCol w:w="4091"/>
        <w:gridCol w:w="8979"/>
      </w:tblGrid>
      <w:tr w:rsidR="00D00D1D" w:rsidRPr="002229F6" w14:paraId="3DC453DC" w14:textId="77777777" w:rsidTr="00D00D1D">
        <w:tc>
          <w:tcPr>
            <w:tcW w:w="0" w:type="auto"/>
            <w:tcBorders>
              <w:top w:val="single" w:sz="4" w:space="0" w:color="auto"/>
              <w:bottom w:val="single" w:sz="4" w:space="0" w:color="auto"/>
            </w:tcBorders>
            <w:tcMar>
              <w:top w:w="55" w:type="dxa"/>
              <w:left w:w="55" w:type="dxa"/>
              <w:bottom w:w="55" w:type="dxa"/>
              <w:right w:w="55" w:type="dxa"/>
            </w:tcMar>
          </w:tcPr>
          <w:p w14:paraId="23CBDE60" w14:textId="77777777" w:rsidR="00D00D1D" w:rsidRPr="002229F6" w:rsidRDefault="00D00D1D" w:rsidP="00D00D1D">
            <w:pPr>
              <w:autoSpaceDN w:val="0"/>
              <w:spacing w:line="360" w:lineRule="auto"/>
              <w:jc w:val="both"/>
              <w:textAlignment w:val="baseline"/>
              <w:rPr>
                <w:rFonts w:ascii="Book Antiqua" w:hAnsi="Book Antiqua" w:cs="Tahoma"/>
                <w:b/>
                <w:bCs/>
                <w:kern w:val="3"/>
              </w:rPr>
            </w:pPr>
            <w:r w:rsidRPr="002229F6">
              <w:rPr>
                <w:rFonts w:ascii="Book Antiqua" w:hAnsi="Book Antiqua" w:cs="Tahoma"/>
                <w:b/>
                <w:bCs/>
                <w:kern w:val="3"/>
              </w:rPr>
              <w:t>Complication</w:t>
            </w:r>
          </w:p>
        </w:tc>
        <w:tc>
          <w:tcPr>
            <w:tcW w:w="0" w:type="auto"/>
            <w:tcBorders>
              <w:top w:val="single" w:sz="4" w:space="0" w:color="auto"/>
              <w:bottom w:val="single" w:sz="4" w:space="0" w:color="auto"/>
            </w:tcBorders>
            <w:tcMar>
              <w:top w:w="55" w:type="dxa"/>
              <w:left w:w="55" w:type="dxa"/>
              <w:bottom w:w="55" w:type="dxa"/>
              <w:right w:w="55" w:type="dxa"/>
            </w:tcMar>
          </w:tcPr>
          <w:p w14:paraId="5F1EDAFF" w14:textId="1B610C06" w:rsidR="00D00D1D" w:rsidRPr="002229F6" w:rsidRDefault="00D00D1D" w:rsidP="00D00D1D">
            <w:pPr>
              <w:autoSpaceDN w:val="0"/>
              <w:spacing w:line="360" w:lineRule="auto"/>
              <w:jc w:val="both"/>
              <w:textAlignment w:val="baseline"/>
              <w:rPr>
                <w:rFonts w:ascii="Book Antiqua" w:hAnsi="Book Antiqua" w:cs="Tahoma"/>
                <w:b/>
                <w:bCs/>
                <w:kern w:val="3"/>
              </w:rPr>
            </w:pPr>
            <w:r w:rsidRPr="002229F6">
              <w:rPr>
                <w:rFonts w:ascii="Book Antiqua" w:hAnsi="Book Antiqua" w:cs="Tahoma"/>
                <w:b/>
                <w:bCs/>
                <w:kern w:val="3"/>
              </w:rPr>
              <w:t>Prevention/</w:t>
            </w:r>
            <w:r>
              <w:rPr>
                <w:rFonts w:ascii="Book Antiqua" w:hAnsi="Book Antiqua" w:cs="Tahoma"/>
                <w:b/>
                <w:bCs/>
                <w:kern w:val="3"/>
              </w:rPr>
              <w:t>m</w:t>
            </w:r>
            <w:r w:rsidRPr="002229F6">
              <w:rPr>
                <w:rFonts w:ascii="Book Antiqua" w:hAnsi="Book Antiqua" w:cs="Tahoma"/>
                <w:b/>
                <w:bCs/>
                <w:kern w:val="3"/>
              </w:rPr>
              <w:t>anagement</w:t>
            </w:r>
          </w:p>
        </w:tc>
      </w:tr>
      <w:tr w:rsidR="00D00D1D" w:rsidRPr="002229F6" w14:paraId="5EA88706" w14:textId="77777777" w:rsidTr="00D00D1D">
        <w:tc>
          <w:tcPr>
            <w:tcW w:w="0" w:type="auto"/>
            <w:tcBorders>
              <w:top w:val="single" w:sz="4" w:space="0" w:color="auto"/>
            </w:tcBorders>
            <w:tcMar>
              <w:top w:w="55" w:type="dxa"/>
              <w:left w:w="55" w:type="dxa"/>
              <w:bottom w:w="55" w:type="dxa"/>
              <w:right w:w="55" w:type="dxa"/>
            </w:tcMar>
          </w:tcPr>
          <w:p w14:paraId="2FD1F5FD"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Carotid artery puncture during internal jugular vein access</w:t>
            </w:r>
          </w:p>
        </w:tc>
        <w:tc>
          <w:tcPr>
            <w:tcW w:w="0" w:type="auto"/>
            <w:tcBorders>
              <w:top w:val="single" w:sz="4" w:space="0" w:color="auto"/>
            </w:tcBorders>
            <w:tcMar>
              <w:top w:w="55" w:type="dxa"/>
              <w:left w:w="55" w:type="dxa"/>
              <w:bottom w:w="55" w:type="dxa"/>
              <w:right w:w="55" w:type="dxa"/>
            </w:tcMar>
          </w:tcPr>
          <w:p w14:paraId="24D6C74C" w14:textId="719410C5"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ultrasound and fluoroscopic guidance for jugular venous access</w:t>
            </w:r>
          </w:p>
        </w:tc>
      </w:tr>
      <w:tr w:rsidR="00D00D1D" w:rsidRPr="002229F6" w14:paraId="7630C9FE" w14:textId="77777777" w:rsidTr="00D00D1D">
        <w:tc>
          <w:tcPr>
            <w:tcW w:w="0" w:type="auto"/>
            <w:tcMar>
              <w:top w:w="55" w:type="dxa"/>
              <w:left w:w="55" w:type="dxa"/>
              <w:bottom w:w="55" w:type="dxa"/>
              <w:right w:w="55" w:type="dxa"/>
            </w:tcMar>
          </w:tcPr>
          <w:p w14:paraId="0250D7E9"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Right atrial perforation</w:t>
            </w:r>
          </w:p>
        </w:tc>
        <w:tc>
          <w:tcPr>
            <w:tcW w:w="0" w:type="auto"/>
            <w:tcMar>
              <w:top w:w="55" w:type="dxa"/>
              <w:left w:w="55" w:type="dxa"/>
              <w:bottom w:w="55" w:type="dxa"/>
              <w:right w:w="55" w:type="dxa"/>
            </w:tcMar>
          </w:tcPr>
          <w:p w14:paraId="7277BA3E"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Avoid keeping the large 10-F sheath in the right atrium after the procedure</w:t>
            </w:r>
          </w:p>
        </w:tc>
      </w:tr>
      <w:tr w:rsidR="00D00D1D" w:rsidRPr="002229F6" w14:paraId="7CCE64D8" w14:textId="77777777" w:rsidTr="00D00D1D">
        <w:tc>
          <w:tcPr>
            <w:tcW w:w="0" w:type="auto"/>
            <w:tcMar>
              <w:top w:w="55" w:type="dxa"/>
              <w:left w:w="55" w:type="dxa"/>
              <w:bottom w:w="55" w:type="dxa"/>
              <w:right w:w="55" w:type="dxa"/>
            </w:tcMar>
          </w:tcPr>
          <w:p w14:paraId="48C21494"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Capsular laceration during wedged hepatic venography</w:t>
            </w:r>
          </w:p>
        </w:tc>
        <w:tc>
          <w:tcPr>
            <w:tcW w:w="0" w:type="auto"/>
            <w:tcMar>
              <w:top w:w="55" w:type="dxa"/>
              <w:left w:w="55" w:type="dxa"/>
              <w:bottom w:w="55" w:type="dxa"/>
              <w:right w:w="55" w:type="dxa"/>
            </w:tcMar>
          </w:tcPr>
          <w:p w14:paraId="589C3C9E" w14:textId="73DE4C46"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closed bag system for CO</w:t>
            </w:r>
            <w:r w:rsidRPr="00845833">
              <w:rPr>
                <w:rFonts w:ascii="Book Antiqua" w:hAnsi="Book Antiqua" w:cs="Tahoma"/>
                <w:kern w:val="3"/>
                <w:vertAlign w:val="subscript"/>
              </w:rPr>
              <w:t>2</w:t>
            </w:r>
            <w:r w:rsidRPr="002229F6">
              <w:rPr>
                <w:rFonts w:ascii="Book Antiqua" w:hAnsi="Book Antiqua" w:cs="Tahoma"/>
                <w:kern w:val="3"/>
              </w:rPr>
              <w:t xml:space="preserve"> delivery/gentle injection of iodinated contrast</w:t>
            </w:r>
          </w:p>
        </w:tc>
      </w:tr>
      <w:tr w:rsidR="00D00D1D" w:rsidRPr="002229F6" w14:paraId="7594034F" w14:textId="77777777" w:rsidTr="00D00D1D">
        <w:tc>
          <w:tcPr>
            <w:tcW w:w="0" w:type="auto"/>
            <w:tcMar>
              <w:top w:w="55" w:type="dxa"/>
              <w:left w:w="55" w:type="dxa"/>
              <w:bottom w:w="55" w:type="dxa"/>
              <w:right w:w="55" w:type="dxa"/>
            </w:tcMar>
          </w:tcPr>
          <w:p w14:paraId="14FF9E72"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Hepatic capsular transgression or extrahepatic portal venous puncture</w:t>
            </w:r>
          </w:p>
        </w:tc>
        <w:tc>
          <w:tcPr>
            <w:tcW w:w="0" w:type="auto"/>
            <w:tcMar>
              <w:top w:w="55" w:type="dxa"/>
              <w:left w:w="55" w:type="dxa"/>
              <w:bottom w:w="55" w:type="dxa"/>
              <w:right w:w="55" w:type="dxa"/>
            </w:tcMar>
          </w:tcPr>
          <w:p w14:paraId="2D6E2527"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guidance for portal venous access</w:t>
            </w:r>
          </w:p>
        </w:tc>
      </w:tr>
      <w:tr w:rsidR="00D00D1D" w:rsidRPr="002229F6" w14:paraId="5CFBD4BD" w14:textId="77777777" w:rsidTr="00D00D1D">
        <w:tc>
          <w:tcPr>
            <w:tcW w:w="0" w:type="auto"/>
            <w:tcMar>
              <w:top w:w="55" w:type="dxa"/>
              <w:left w:w="55" w:type="dxa"/>
              <w:bottom w:w="55" w:type="dxa"/>
              <w:right w:w="55" w:type="dxa"/>
            </w:tcMar>
          </w:tcPr>
          <w:p w14:paraId="4A4FEC1A"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Non-target TIPS stent insertion into biliary tract or hepatic artery</w:t>
            </w:r>
          </w:p>
        </w:tc>
        <w:tc>
          <w:tcPr>
            <w:tcW w:w="0" w:type="auto"/>
            <w:tcMar>
              <w:top w:w="55" w:type="dxa"/>
              <w:left w:w="55" w:type="dxa"/>
              <w:bottom w:w="55" w:type="dxa"/>
              <w:right w:w="55" w:type="dxa"/>
            </w:tcMar>
          </w:tcPr>
          <w:p w14:paraId="77218BC4"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guidance (USG/IVUS/CBCT) for portal venous access, confirm successful puncture with contrast injection</w:t>
            </w:r>
          </w:p>
        </w:tc>
      </w:tr>
      <w:tr w:rsidR="00D00D1D" w:rsidRPr="002229F6" w14:paraId="50FCD369" w14:textId="77777777" w:rsidTr="00D00D1D">
        <w:tc>
          <w:tcPr>
            <w:tcW w:w="0" w:type="auto"/>
            <w:tcMar>
              <w:top w:w="55" w:type="dxa"/>
              <w:left w:w="55" w:type="dxa"/>
              <w:bottom w:w="55" w:type="dxa"/>
              <w:right w:w="55" w:type="dxa"/>
            </w:tcMar>
          </w:tcPr>
          <w:p w14:paraId="441D3E49"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TIPS stent migration</w:t>
            </w:r>
          </w:p>
        </w:tc>
        <w:tc>
          <w:tcPr>
            <w:tcW w:w="0" w:type="auto"/>
            <w:tcMar>
              <w:top w:w="55" w:type="dxa"/>
              <w:left w:w="55" w:type="dxa"/>
              <w:bottom w:w="55" w:type="dxa"/>
              <w:right w:w="55" w:type="dxa"/>
            </w:tcMar>
          </w:tcPr>
          <w:p w14:paraId="4FAA3D41" w14:textId="4AD75737" w:rsidR="00D00D1D" w:rsidRPr="002229F6" w:rsidRDefault="00D00D1D" w:rsidP="00845833">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 xml:space="preserve">Careful stent deployement and </w:t>
            </w:r>
            <w:r w:rsidRPr="002229F6">
              <w:rPr>
                <w:rFonts w:ascii="Book Antiqua" w:eastAsia="AdvTT31ea7dbe" w:hAnsi="Book Antiqua" w:cs="AdvTT31ea7dbe"/>
                <w:kern w:val="3"/>
              </w:rPr>
              <w:t>maintaining wire access across the stent until satisfactory</w:t>
            </w:r>
            <w:r w:rsidR="00845833">
              <w:rPr>
                <w:rFonts w:ascii="Book Antiqua" w:eastAsia="AdvTT31ea7dbe" w:hAnsi="Book Antiqua" w:cs="AdvTT31ea7dbe"/>
                <w:kern w:val="3"/>
              </w:rPr>
              <w:t xml:space="preserve">, </w:t>
            </w:r>
            <w:r w:rsidRPr="002229F6">
              <w:rPr>
                <w:rFonts w:ascii="Book Antiqua" w:eastAsia="AdvTT31ea7dbe" w:hAnsi="Book Antiqua" w:cs="AdvTT31ea7dbe"/>
                <w:kern w:val="3"/>
              </w:rPr>
              <w:t>positioning is con</w:t>
            </w:r>
            <w:r w:rsidRPr="002229F6">
              <w:rPr>
                <w:rFonts w:ascii="Book Antiqua" w:eastAsia="AdvTT31ea7dbe+fb" w:hAnsi="Book Antiqua" w:cs="AdvTT31ea7dbe+fb"/>
                <w:kern w:val="3"/>
              </w:rPr>
              <w:t>fi</w:t>
            </w:r>
            <w:r w:rsidRPr="002229F6">
              <w:rPr>
                <w:rFonts w:ascii="Book Antiqua" w:eastAsia="AdvTT31ea7dbe" w:hAnsi="Book Antiqua" w:cs="AdvTT31ea7dbe"/>
                <w:kern w:val="3"/>
              </w:rPr>
              <w:t>rmed with portal venography, in case retrieval is needed</w:t>
            </w:r>
          </w:p>
        </w:tc>
      </w:tr>
      <w:tr w:rsidR="00D00D1D" w:rsidRPr="002229F6" w14:paraId="337EE12B" w14:textId="77777777" w:rsidTr="00D00D1D">
        <w:tc>
          <w:tcPr>
            <w:tcW w:w="0" w:type="auto"/>
            <w:tcMar>
              <w:top w:w="55" w:type="dxa"/>
              <w:left w:w="55" w:type="dxa"/>
              <w:bottom w:w="55" w:type="dxa"/>
              <w:right w:w="55" w:type="dxa"/>
            </w:tcMar>
          </w:tcPr>
          <w:p w14:paraId="0E473319"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Early shunt occlusion</w:t>
            </w:r>
          </w:p>
        </w:tc>
        <w:tc>
          <w:tcPr>
            <w:tcW w:w="0" w:type="auto"/>
            <w:tcMar>
              <w:top w:w="55" w:type="dxa"/>
              <w:left w:w="55" w:type="dxa"/>
              <w:bottom w:w="55" w:type="dxa"/>
              <w:right w:w="55" w:type="dxa"/>
            </w:tcMar>
          </w:tcPr>
          <w:p w14:paraId="5C7FF24A" w14:textId="031A7B7F"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Positioning the proximal end of the stent till the hepatico-caval junction</w:t>
            </w:r>
            <w:r w:rsidR="00845833">
              <w:rPr>
                <w:rFonts w:ascii="Book Antiqua" w:hAnsi="Book Antiqua" w:cs="Tahoma"/>
                <w:kern w:val="3"/>
              </w:rPr>
              <w:t>; t</w:t>
            </w:r>
            <w:r w:rsidRPr="002229F6">
              <w:rPr>
                <w:rFonts w:ascii="Book Antiqua" w:hAnsi="Book Antiqua" w:cs="Tahoma"/>
                <w:kern w:val="3"/>
              </w:rPr>
              <w:t>hrombectomy, thrombolysis and restenting can be done for establishing flow</w:t>
            </w:r>
          </w:p>
        </w:tc>
      </w:tr>
      <w:tr w:rsidR="00D00D1D" w:rsidRPr="002229F6" w14:paraId="00A5FAA8" w14:textId="77777777" w:rsidTr="00D00D1D">
        <w:tc>
          <w:tcPr>
            <w:tcW w:w="0" w:type="auto"/>
            <w:tcBorders>
              <w:bottom w:val="single" w:sz="4" w:space="0" w:color="auto"/>
            </w:tcBorders>
            <w:tcMar>
              <w:top w:w="55" w:type="dxa"/>
              <w:left w:w="55" w:type="dxa"/>
              <w:bottom w:w="55" w:type="dxa"/>
              <w:right w:w="55" w:type="dxa"/>
            </w:tcMar>
          </w:tcPr>
          <w:p w14:paraId="2590F1C2"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Hernia incarceration</w:t>
            </w:r>
          </w:p>
        </w:tc>
        <w:tc>
          <w:tcPr>
            <w:tcW w:w="0" w:type="auto"/>
            <w:tcBorders>
              <w:bottom w:val="single" w:sz="4" w:space="0" w:color="auto"/>
            </w:tcBorders>
            <w:tcMar>
              <w:top w:w="55" w:type="dxa"/>
              <w:left w:w="55" w:type="dxa"/>
              <w:bottom w:w="55" w:type="dxa"/>
              <w:right w:w="55" w:type="dxa"/>
            </w:tcMar>
          </w:tcPr>
          <w:p w14:paraId="44976FBA" w14:textId="2C97AD9B"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Pre-TIPS hernia repair</w:t>
            </w:r>
            <w:r w:rsidR="00CD1FC7">
              <w:rPr>
                <w:rFonts w:ascii="Book Antiqua" w:hAnsi="Book Antiqua" w:cs="Tahoma"/>
                <w:kern w:val="3"/>
              </w:rPr>
              <w:t>;</w:t>
            </w:r>
            <w:r w:rsidRPr="002229F6">
              <w:rPr>
                <w:rFonts w:ascii="Book Antiqua" w:hAnsi="Book Antiqua" w:cs="Tahoma"/>
                <w:kern w:val="3"/>
              </w:rPr>
              <w:t xml:space="preserve"> </w:t>
            </w:r>
            <w:r w:rsidR="00CD1FC7">
              <w:rPr>
                <w:rFonts w:ascii="Book Antiqua" w:hAnsi="Book Antiqua" w:cs="Tahoma"/>
                <w:kern w:val="3"/>
              </w:rPr>
              <w:t>a</w:t>
            </w:r>
            <w:r w:rsidRPr="002229F6">
              <w:rPr>
                <w:rFonts w:ascii="Book Antiqua" w:hAnsi="Book Antiqua" w:cs="Tahoma"/>
                <w:kern w:val="3"/>
              </w:rPr>
              <w:t xml:space="preserve">lternatively, keeping a high index of suspicion after TIPS </w:t>
            </w:r>
            <w:r w:rsidRPr="002229F6">
              <w:rPr>
                <w:rFonts w:ascii="Book Antiqua" w:hAnsi="Book Antiqua" w:cs="Tahoma"/>
                <w:kern w:val="3"/>
              </w:rPr>
              <w:lastRenderedPageBreak/>
              <w:t>and prompt referral to a surgeon for management</w:t>
            </w:r>
          </w:p>
        </w:tc>
      </w:tr>
    </w:tbl>
    <w:p w14:paraId="5E55DD7F" w14:textId="55A746B8" w:rsidR="00D00D1D" w:rsidRPr="00D00D1D" w:rsidRDefault="00845833" w:rsidP="00D37778">
      <w:pPr>
        <w:spacing w:line="360" w:lineRule="auto"/>
        <w:jc w:val="both"/>
        <w:rPr>
          <w:lang w:val="en-IN" w:eastAsia="zh-CN"/>
        </w:rPr>
      </w:pPr>
      <w:r w:rsidRPr="002229F6">
        <w:rPr>
          <w:rFonts w:ascii="Book Antiqua" w:hAnsi="Book Antiqua"/>
        </w:rPr>
        <w:lastRenderedPageBreak/>
        <w:t>CO</w:t>
      </w:r>
      <w:r w:rsidRPr="00845833">
        <w:rPr>
          <w:rFonts w:ascii="Book Antiqua" w:hAnsi="Book Antiqua"/>
          <w:vertAlign w:val="subscript"/>
        </w:rPr>
        <w:t>2</w:t>
      </w:r>
      <w:r w:rsidRPr="002229F6">
        <w:rPr>
          <w:rFonts w:ascii="Book Antiqua" w:hAnsi="Book Antiqua"/>
        </w:rPr>
        <w:t xml:space="preserve">: </w:t>
      </w:r>
      <w:r>
        <w:rPr>
          <w:rFonts w:ascii="Book Antiqua" w:hAnsi="Book Antiqua"/>
        </w:rPr>
        <w:t>C</w:t>
      </w:r>
      <w:r w:rsidRPr="002229F6">
        <w:rPr>
          <w:rFonts w:ascii="Book Antiqua" w:hAnsi="Book Antiqua"/>
        </w:rPr>
        <w:t>arbondioxide;</w:t>
      </w:r>
      <w:r>
        <w:rPr>
          <w:rFonts w:ascii="Book Antiqua" w:hAnsi="Book Antiqua"/>
        </w:rPr>
        <w:t xml:space="preserve"> </w:t>
      </w:r>
      <w:r w:rsidRPr="002229F6">
        <w:rPr>
          <w:rFonts w:ascii="Book Antiqua" w:hAnsi="Book Antiqua"/>
        </w:rPr>
        <w:t>TIPS: transjugular intrahepatic portosystemic shunt</w:t>
      </w:r>
      <w:r>
        <w:rPr>
          <w:rFonts w:ascii="Book Antiqua" w:hAnsi="Book Antiqua"/>
        </w:rPr>
        <w:t xml:space="preserve">; </w:t>
      </w:r>
      <w:r w:rsidRPr="002229F6">
        <w:rPr>
          <w:rFonts w:ascii="Book Antiqua" w:hAnsi="Book Antiqua"/>
        </w:rPr>
        <w:t xml:space="preserve">USG: </w:t>
      </w:r>
      <w:r>
        <w:rPr>
          <w:rFonts w:ascii="Book Antiqua" w:hAnsi="Book Antiqua"/>
        </w:rPr>
        <w:t>U</w:t>
      </w:r>
      <w:r w:rsidRPr="002229F6">
        <w:rPr>
          <w:rFonts w:ascii="Book Antiqua" w:hAnsi="Book Antiqua"/>
        </w:rPr>
        <w:t xml:space="preserve">ltrasonography; IVUS: </w:t>
      </w:r>
      <w:r>
        <w:rPr>
          <w:rFonts w:ascii="Book Antiqua" w:hAnsi="Book Antiqua"/>
        </w:rPr>
        <w:t>I</w:t>
      </w:r>
      <w:r w:rsidRPr="002229F6">
        <w:rPr>
          <w:rFonts w:ascii="Book Antiqua" w:hAnsi="Book Antiqua"/>
        </w:rPr>
        <w:t xml:space="preserve">ntravascular ultrasound; CBCT: </w:t>
      </w:r>
      <w:r>
        <w:rPr>
          <w:rFonts w:ascii="Book Antiqua" w:hAnsi="Book Antiqua"/>
        </w:rPr>
        <w:t>C</w:t>
      </w:r>
      <w:r w:rsidRPr="002229F6">
        <w:rPr>
          <w:rFonts w:ascii="Book Antiqua" w:hAnsi="Book Antiqua"/>
        </w:rPr>
        <w:t>one beam computed tomography</w:t>
      </w:r>
      <w:r>
        <w:rPr>
          <w:rFonts w:ascii="Book Antiqua" w:hAnsi="Book Antiqua"/>
        </w:rPr>
        <w:t>.</w:t>
      </w:r>
    </w:p>
    <w:sectPr w:rsidR="00D00D1D" w:rsidRPr="00D00D1D" w:rsidSect="00C866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FD51D" w14:textId="77777777" w:rsidR="004E724D" w:rsidRDefault="004E724D" w:rsidP="00085E9C">
      <w:r>
        <w:separator/>
      </w:r>
    </w:p>
  </w:endnote>
  <w:endnote w:type="continuationSeparator" w:id="0">
    <w:p w14:paraId="6AB32DA6" w14:textId="77777777" w:rsidR="004E724D" w:rsidRDefault="004E724D" w:rsidP="0008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ndale Sans UI">
    <w:altName w:val="Calibri"/>
    <w:charset w:val="00"/>
    <w:family w:val="auto"/>
    <w:pitch w:val="variable"/>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TNEJMQuadraat">
    <w:charset w:val="00"/>
    <w:family w:val="auto"/>
    <w:pitch w:val="variable"/>
  </w:font>
  <w:font w:name="Lato-Regular">
    <w:charset w:val="00"/>
    <w:family w:val="auto"/>
    <w:pitch w:val="variable"/>
  </w:font>
  <w:font w:name="BookAntiqua">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AdvTT31ea7dbe">
    <w:altName w:val="Cambria"/>
    <w:charset w:val="00"/>
    <w:family w:val="roman"/>
    <w:pitch w:val="default"/>
  </w:font>
  <w:font w:name="AdvTT31ea7dbe+fb">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04225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5990D9C" w14:textId="6B0C23E7" w:rsidR="003D073F" w:rsidRDefault="003D073F" w:rsidP="002C788C">
            <w:pPr>
              <w:pStyle w:val="a4"/>
              <w:jc w:val="right"/>
            </w:pPr>
            <w:r>
              <w:rPr>
                <w:lang w:val="zh-CN" w:eastAsia="zh-CN"/>
              </w:rPr>
              <w:t xml:space="preserve"> </w:t>
            </w:r>
            <w:r w:rsidRPr="002C788C">
              <w:rPr>
                <w:rFonts w:ascii="Book Antiqua" w:hAnsi="Book Antiqua"/>
                <w:sz w:val="24"/>
                <w:szCs w:val="24"/>
              </w:rPr>
              <w:fldChar w:fldCharType="begin"/>
            </w:r>
            <w:r w:rsidRPr="002C788C">
              <w:rPr>
                <w:rFonts w:ascii="Book Antiqua" w:hAnsi="Book Antiqua"/>
                <w:sz w:val="24"/>
                <w:szCs w:val="24"/>
              </w:rPr>
              <w:instrText>PAGE</w:instrText>
            </w:r>
            <w:r w:rsidRPr="002C788C">
              <w:rPr>
                <w:rFonts w:ascii="Book Antiqua" w:hAnsi="Book Antiqua"/>
                <w:sz w:val="24"/>
                <w:szCs w:val="24"/>
              </w:rPr>
              <w:fldChar w:fldCharType="separate"/>
            </w:r>
            <w:r w:rsidR="00E07C53">
              <w:rPr>
                <w:rFonts w:ascii="Book Antiqua" w:hAnsi="Book Antiqua"/>
                <w:noProof/>
                <w:sz w:val="24"/>
                <w:szCs w:val="24"/>
              </w:rPr>
              <w:t>78</w:t>
            </w:r>
            <w:r w:rsidRPr="002C788C">
              <w:rPr>
                <w:rFonts w:ascii="Book Antiqua" w:hAnsi="Book Antiqua"/>
                <w:sz w:val="24"/>
                <w:szCs w:val="24"/>
              </w:rPr>
              <w:fldChar w:fldCharType="end"/>
            </w:r>
            <w:r w:rsidRPr="002C788C">
              <w:rPr>
                <w:rFonts w:ascii="Book Antiqua" w:hAnsi="Book Antiqua"/>
                <w:sz w:val="24"/>
                <w:szCs w:val="24"/>
                <w:lang w:val="zh-CN" w:eastAsia="zh-CN"/>
              </w:rPr>
              <w:t xml:space="preserve"> / </w:t>
            </w:r>
            <w:r w:rsidRPr="002C788C">
              <w:rPr>
                <w:rFonts w:ascii="Book Antiqua" w:hAnsi="Book Antiqua"/>
                <w:sz w:val="24"/>
                <w:szCs w:val="24"/>
              </w:rPr>
              <w:fldChar w:fldCharType="begin"/>
            </w:r>
            <w:r w:rsidRPr="002C788C">
              <w:rPr>
                <w:rFonts w:ascii="Book Antiqua" w:hAnsi="Book Antiqua"/>
                <w:sz w:val="24"/>
                <w:szCs w:val="24"/>
              </w:rPr>
              <w:instrText>NUMPAGES</w:instrText>
            </w:r>
            <w:r w:rsidRPr="002C788C">
              <w:rPr>
                <w:rFonts w:ascii="Book Antiqua" w:hAnsi="Book Antiqua"/>
                <w:sz w:val="24"/>
                <w:szCs w:val="24"/>
              </w:rPr>
              <w:fldChar w:fldCharType="separate"/>
            </w:r>
            <w:r w:rsidR="00E07C53">
              <w:rPr>
                <w:rFonts w:ascii="Book Antiqua" w:hAnsi="Book Antiqua"/>
                <w:noProof/>
                <w:sz w:val="24"/>
                <w:szCs w:val="24"/>
              </w:rPr>
              <w:t>95</w:t>
            </w:r>
            <w:r w:rsidRPr="002C788C">
              <w:rPr>
                <w:rFonts w:ascii="Book Antiqua" w:hAnsi="Book Antiqua"/>
                <w:sz w:val="24"/>
                <w:szCs w:val="24"/>
              </w:rPr>
              <w:fldChar w:fldCharType="end"/>
            </w:r>
          </w:p>
        </w:sdtContent>
      </w:sdt>
    </w:sdtContent>
  </w:sdt>
  <w:p w14:paraId="6598F1EC" w14:textId="77777777" w:rsidR="003D073F" w:rsidRDefault="003D07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10EEC" w14:textId="77777777" w:rsidR="004E724D" w:rsidRDefault="004E724D" w:rsidP="00085E9C">
      <w:r>
        <w:separator/>
      </w:r>
    </w:p>
  </w:footnote>
  <w:footnote w:type="continuationSeparator" w:id="0">
    <w:p w14:paraId="2974AAC3" w14:textId="77777777" w:rsidR="004E724D" w:rsidRDefault="004E724D" w:rsidP="00085E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964"/>
    <w:rsid w:val="00085E9C"/>
    <w:rsid w:val="000B2168"/>
    <w:rsid w:val="000E7AF0"/>
    <w:rsid w:val="001228A4"/>
    <w:rsid w:val="001374CB"/>
    <w:rsid w:val="001D0E19"/>
    <w:rsid w:val="001F0FCE"/>
    <w:rsid w:val="002566D1"/>
    <w:rsid w:val="002C788C"/>
    <w:rsid w:val="002D1651"/>
    <w:rsid w:val="002E4B47"/>
    <w:rsid w:val="003244DA"/>
    <w:rsid w:val="00382FFE"/>
    <w:rsid w:val="003D073F"/>
    <w:rsid w:val="003F0ED5"/>
    <w:rsid w:val="004506ED"/>
    <w:rsid w:val="004664B9"/>
    <w:rsid w:val="00475ED4"/>
    <w:rsid w:val="004D5BB8"/>
    <w:rsid w:val="004E26BC"/>
    <w:rsid w:val="004E724D"/>
    <w:rsid w:val="00516CC9"/>
    <w:rsid w:val="00517095"/>
    <w:rsid w:val="00555C25"/>
    <w:rsid w:val="0057511C"/>
    <w:rsid w:val="00657162"/>
    <w:rsid w:val="006A1513"/>
    <w:rsid w:val="006E6FDF"/>
    <w:rsid w:val="007209F8"/>
    <w:rsid w:val="0075034A"/>
    <w:rsid w:val="00760804"/>
    <w:rsid w:val="007A020D"/>
    <w:rsid w:val="007D68B7"/>
    <w:rsid w:val="007F224A"/>
    <w:rsid w:val="007F5686"/>
    <w:rsid w:val="00827DE5"/>
    <w:rsid w:val="0083172E"/>
    <w:rsid w:val="00845833"/>
    <w:rsid w:val="00917215"/>
    <w:rsid w:val="00924916"/>
    <w:rsid w:val="00982BCE"/>
    <w:rsid w:val="00A31FC1"/>
    <w:rsid w:val="00A32996"/>
    <w:rsid w:val="00A63C69"/>
    <w:rsid w:val="00A77B3E"/>
    <w:rsid w:val="00AA696F"/>
    <w:rsid w:val="00AB14FB"/>
    <w:rsid w:val="00AE582E"/>
    <w:rsid w:val="00AF3539"/>
    <w:rsid w:val="00B54AB1"/>
    <w:rsid w:val="00BB4167"/>
    <w:rsid w:val="00BB7C9C"/>
    <w:rsid w:val="00C14913"/>
    <w:rsid w:val="00C21169"/>
    <w:rsid w:val="00C62265"/>
    <w:rsid w:val="00C86618"/>
    <w:rsid w:val="00CA2A55"/>
    <w:rsid w:val="00CB3FFA"/>
    <w:rsid w:val="00CD1FC7"/>
    <w:rsid w:val="00CD747A"/>
    <w:rsid w:val="00D00D1D"/>
    <w:rsid w:val="00D37778"/>
    <w:rsid w:val="00D466BA"/>
    <w:rsid w:val="00D8132F"/>
    <w:rsid w:val="00DA7DDC"/>
    <w:rsid w:val="00E07C53"/>
    <w:rsid w:val="00E32DD9"/>
    <w:rsid w:val="00E86B1D"/>
    <w:rsid w:val="00E9124F"/>
    <w:rsid w:val="00EA3269"/>
    <w:rsid w:val="00EB09A1"/>
    <w:rsid w:val="00F16600"/>
    <w:rsid w:val="00FE78D7"/>
    <w:rsid w:val="00FE792D"/>
    <w:rsid w:val="00FF2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9A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5E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5E9C"/>
    <w:rPr>
      <w:sz w:val="18"/>
      <w:szCs w:val="18"/>
    </w:rPr>
  </w:style>
  <w:style w:type="paragraph" w:styleId="a4">
    <w:name w:val="footer"/>
    <w:basedOn w:val="a"/>
    <w:link w:val="Char0"/>
    <w:uiPriority w:val="99"/>
    <w:unhideWhenUsed/>
    <w:rsid w:val="00085E9C"/>
    <w:pPr>
      <w:tabs>
        <w:tab w:val="center" w:pos="4153"/>
        <w:tab w:val="right" w:pos="8306"/>
      </w:tabs>
      <w:snapToGrid w:val="0"/>
    </w:pPr>
    <w:rPr>
      <w:sz w:val="18"/>
      <w:szCs w:val="18"/>
    </w:rPr>
  </w:style>
  <w:style w:type="character" w:customStyle="1" w:styleId="Char0">
    <w:name w:val="页脚 Char"/>
    <w:basedOn w:val="a0"/>
    <w:link w:val="a4"/>
    <w:uiPriority w:val="99"/>
    <w:rsid w:val="00085E9C"/>
    <w:rPr>
      <w:sz w:val="18"/>
      <w:szCs w:val="18"/>
    </w:rPr>
  </w:style>
  <w:style w:type="paragraph" w:styleId="a5">
    <w:name w:val="Balloon Text"/>
    <w:basedOn w:val="a"/>
    <w:link w:val="Char1"/>
    <w:rsid w:val="00085E9C"/>
    <w:rPr>
      <w:sz w:val="18"/>
      <w:szCs w:val="18"/>
    </w:rPr>
  </w:style>
  <w:style w:type="character" w:customStyle="1" w:styleId="Char1">
    <w:name w:val="批注框文本 Char"/>
    <w:basedOn w:val="a0"/>
    <w:link w:val="a5"/>
    <w:rsid w:val="00085E9C"/>
    <w:rPr>
      <w:sz w:val="18"/>
      <w:szCs w:val="18"/>
    </w:rPr>
  </w:style>
  <w:style w:type="paragraph" w:customStyle="1" w:styleId="TableContents">
    <w:name w:val="Table Contents"/>
    <w:basedOn w:val="a"/>
    <w:rsid w:val="00C86618"/>
    <w:pPr>
      <w:widowControl w:val="0"/>
      <w:suppressLineNumbers/>
      <w:suppressAutoHyphens/>
    </w:pPr>
    <w:rPr>
      <w:rFonts w:eastAsia="Andale Sans UI"/>
      <w:kern w:val="1"/>
      <w:lang w:val="de-DE" w:eastAsia="fa-IR"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5E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5E9C"/>
    <w:rPr>
      <w:sz w:val="18"/>
      <w:szCs w:val="18"/>
    </w:rPr>
  </w:style>
  <w:style w:type="paragraph" w:styleId="a4">
    <w:name w:val="footer"/>
    <w:basedOn w:val="a"/>
    <w:link w:val="Char0"/>
    <w:uiPriority w:val="99"/>
    <w:unhideWhenUsed/>
    <w:rsid w:val="00085E9C"/>
    <w:pPr>
      <w:tabs>
        <w:tab w:val="center" w:pos="4153"/>
        <w:tab w:val="right" w:pos="8306"/>
      </w:tabs>
      <w:snapToGrid w:val="0"/>
    </w:pPr>
    <w:rPr>
      <w:sz w:val="18"/>
      <w:szCs w:val="18"/>
    </w:rPr>
  </w:style>
  <w:style w:type="character" w:customStyle="1" w:styleId="Char0">
    <w:name w:val="页脚 Char"/>
    <w:basedOn w:val="a0"/>
    <w:link w:val="a4"/>
    <w:uiPriority w:val="99"/>
    <w:rsid w:val="00085E9C"/>
    <w:rPr>
      <w:sz w:val="18"/>
      <w:szCs w:val="18"/>
    </w:rPr>
  </w:style>
  <w:style w:type="paragraph" w:styleId="a5">
    <w:name w:val="Balloon Text"/>
    <w:basedOn w:val="a"/>
    <w:link w:val="Char1"/>
    <w:rsid w:val="00085E9C"/>
    <w:rPr>
      <w:sz w:val="18"/>
      <w:szCs w:val="18"/>
    </w:rPr>
  </w:style>
  <w:style w:type="character" w:customStyle="1" w:styleId="Char1">
    <w:name w:val="批注框文本 Char"/>
    <w:basedOn w:val="a0"/>
    <w:link w:val="a5"/>
    <w:rsid w:val="00085E9C"/>
    <w:rPr>
      <w:sz w:val="18"/>
      <w:szCs w:val="18"/>
    </w:rPr>
  </w:style>
  <w:style w:type="paragraph" w:customStyle="1" w:styleId="TableContents">
    <w:name w:val="Table Contents"/>
    <w:basedOn w:val="a"/>
    <w:rsid w:val="00C86618"/>
    <w:pPr>
      <w:widowControl w:val="0"/>
      <w:suppressLineNumbers/>
      <w:suppressAutoHyphens/>
    </w:pPr>
    <w:rPr>
      <w:rFonts w:eastAsia="Andale Sans UI"/>
      <w:kern w:val="1"/>
      <w:lang w:val="de-DE"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74895">
      <w:bodyDiv w:val="1"/>
      <w:marLeft w:val="0"/>
      <w:marRight w:val="0"/>
      <w:marTop w:val="0"/>
      <w:marBottom w:val="0"/>
      <w:divBdr>
        <w:top w:val="none" w:sz="0" w:space="0" w:color="auto"/>
        <w:left w:val="none" w:sz="0" w:space="0" w:color="auto"/>
        <w:bottom w:val="none" w:sz="0" w:space="0" w:color="auto"/>
        <w:right w:val="none" w:sz="0" w:space="0" w:color="auto"/>
      </w:divBdr>
    </w:div>
    <w:div w:id="828207755">
      <w:bodyDiv w:val="1"/>
      <w:marLeft w:val="0"/>
      <w:marRight w:val="0"/>
      <w:marTop w:val="0"/>
      <w:marBottom w:val="0"/>
      <w:divBdr>
        <w:top w:val="none" w:sz="0" w:space="0" w:color="auto"/>
        <w:left w:val="none" w:sz="0" w:space="0" w:color="auto"/>
        <w:bottom w:val="none" w:sz="0" w:space="0" w:color="auto"/>
        <w:right w:val="none" w:sz="0" w:space="0" w:color="auto"/>
      </w:divBdr>
    </w:div>
    <w:div w:id="1809854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26133</Words>
  <Characters>148963</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3</cp:revision>
  <dcterms:created xsi:type="dcterms:W3CDTF">2020-08-28T23:59:00Z</dcterms:created>
  <dcterms:modified xsi:type="dcterms:W3CDTF">2020-09-27T02:20:00Z</dcterms:modified>
</cp:coreProperties>
</file>