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9EC6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Name of Journal: </w:t>
      </w:r>
      <w:r w:rsidRPr="00F551CD">
        <w:rPr>
          <w:rFonts w:ascii="Book Antiqua" w:eastAsia="Book Antiqua" w:hAnsi="Book Antiqua" w:cs="Book Antiqua"/>
          <w:i/>
        </w:rPr>
        <w:t>World Journal of Clinical Cases</w:t>
      </w:r>
    </w:p>
    <w:p w14:paraId="5A7DE94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Manuscript NO: </w:t>
      </w:r>
      <w:r w:rsidRPr="00F551CD">
        <w:rPr>
          <w:rFonts w:ascii="Book Antiqua" w:eastAsia="Book Antiqua" w:hAnsi="Book Antiqua" w:cs="Book Antiqua"/>
        </w:rPr>
        <w:t>57414</w:t>
      </w:r>
    </w:p>
    <w:p w14:paraId="2B6B30CC"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Manuscript Type: </w:t>
      </w:r>
      <w:r w:rsidRPr="00F551CD">
        <w:rPr>
          <w:rFonts w:ascii="Book Antiqua" w:eastAsia="Book Antiqua" w:hAnsi="Book Antiqua" w:cs="Book Antiqua"/>
        </w:rPr>
        <w:t>CASE REPORT</w:t>
      </w:r>
    </w:p>
    <w:p w14:paraId="4A3BBA15" w14:textId="77777777" w:rsidR="00A77B3E" w:rsidRPr="00F551CD" w:rsidRDefault="00A77B3E" w:rsidP="00F551CD">
      <w:pPr>
        <w:adjustRightInd w:val="0"/>
        <w:snapToGrid w:val="0"/>
        <w:spacing w:line="360" w:lineRule="auto"/>
        <w:jc w:val="both"/>
        <w:rPr>
          <w:rFonts w:ascii="Book Antiqua" w:hAnsi="Book Antiqua"/>
        </w:rPr>
      </w:pPr>
    </w:p>
    <w:p w14:paraId="705E856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Therapeutic experience of an 89-year-old high-risk patient with incarcerated cholecystolithiasis: </w:t>
      </w:r>
      <w:r w:rsidR="00D37402" w:rsidRPr="00F551CD">
        <w:rPr>
          <w:rFonts w:ascii="Book Antiqua" w:eastAsia="Book Antiqua" w:hAnsi="Book Antiqua" w:cs="Book Antiqua"/>
          <w:b/>
        </w:rPr>
        <w:t>A</w:t>
      </w:r>
      <w:r w:rsidRPr="00F551CD">
        <w:rPr>
          <w:rFonts w:ascii="Book Antiqua" w:eastAsia="Book Antiqua" w:hAnsi="Book Antiqua" w:cs="Book Antiqua"/>
          <w:b/>
        </w:rPr>
        <w:t xml:space="preserve"> case report and literature review</w:t>
      </w:r>
    </w:p>
    <w:p w14:paraId="7530AF16" w14:textId="77777777" w:rsidR="00A77B3E" w:rsidRPr="00F551CD" w:rsidRDefault="00A77B3E" w:rsidP="00F551CD">
      <w:pPr>
        <w:adjustRightInd w:val="0"/>
        <w:snapToGrid w:val="0"/>
        <w:spacing w:line="360" w:lineRule="auto"/>
        <w:jc w:val="both"/>
        <w:rPr>
          <w:rFonts w:ascii="Book Antiqua" w:hAnsi="Book Antiqua"/>
        </w:rPr>
      </w:pPr>
    </w:p>
    <w:p w14:paraId="67B9C3C5" w14:textId="77777777" w:rsidR="00A77B3E" w:rsidRPr="00F551CD" w:rsidRDefault="00D37402" w:rsidP="00F551CD">
      <w:pPr>
        <w:adjustRightInd w:val="0"/>
        <w:snapToGrid w:val="0"/>
        <w:spacing w:line="360" w:lineRule="auto"/>
        <w:jc w:val="both"/>
        <w:rPr>
          <w:rFonts w:ascii="Book Antiqua" w:hAnsi="Book Antiqua"/>
        </w:rPr>
      </w:pPr>
      <w:r w:rsidRPr="00F551CD">
        <w:rPr>
          <w:rFonts w:ascii="Book Antiqua" w:hAnsi="Book Antiqua" w:cs="Book Antiqua"/>
          <w:lang w:eastAsia="zh-CN"/>
        </w:rPr>
        <w:t xml:space="preserve">Zhang ZM </w:t>
      </w:r>
      <w:r w:rsidRPr="00F551CD">
        <w:rPr>
          <w:rFonts w:ascii="Book Antiqua" w:hAnsi="Book Antiqua" w:cs="Book Antiqua"/>
          <w:i/>
          <w:lang w:eastAsia="zh-CN"/>
        </w:rPr>
        <w:t>et al</w:t>
      </w:r>
      <w:r w:rsidRPr="00F551CD">
        <w:rPr>
          <w:rFonts w:ascii="Book Antiqua" w:hAnsi="Book Antiqua" w:cs="Book Antiqua"/>
          <w:lang w:eastAsia="zh-CN"/>
        </w:rPr>
        <w:t xml:space="preserve">. </w:t>
      </w:r>
      <w:r w:rsidR="002E39CE" w:rsidRPr="00F551CD">
        <w:rPr>
          <w:rFonts w:ascii="Book Antiqua" w:hAnsi="Book Antiqua" w:cs="Book Antiqua"/>
          <w:lang w:eastAsia="zh-CN"/>
        </w:rPr>
        <w:t xml:space="preserve">An </w:t>
      </w:r>
      <w:r w:rsidR="00FB6887" w:rsidRPr="00F551CD">
        <w:rPr>
          <w:rFonts w:ascii="Book Antiqua" w:eastAsia="Book Antiqua" w:hAnsi="Book Antiqua" w:cs="Book Antiqua"/>
        </w:rPr>
        <w:t>89-year high-risk incarcerated cholecystolithiasis</w:t>
      </w:r>
    </w:p>
    <w:p w14:paraId="5C98423E" w14:textId="77777777" w:rsidR="00A77B3E" w:rsidRPr="00F551CD" w:rsidRDefault="00A77B3E" w:rsidP="00F551CD">
      <w:pPr>
        <w:adjustRightInd w:val="0"/>
        <w:snapToGrid w:val="0"/>
        <w:spacing w:line="360" w:lineRule="auto"/>
        <w:jc w:val="both"/>
        <w:rPr>
          <w:rFonts w:ascii="Book Antiqua" w:hAnsi="Book Antiqua"/>
        </w:rPr>
      </w:pPr>
    </w:p>
    <w:p w14:paraId="5832310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Zong-Ming Zhang, Chong Zhang, Zhuo Liu, Li-Min Liu, Ming-Wen Zhu, Yue Zhao, Bai-Jiang Wan, Hai Deng, Hai-Yan Yang, Jia-Hong Liao, Hong-Yan Zhu, Xue Wen, Li-Li Liu, Man Wang, Xiao-Ting Ma, Miao-Miao Zhang, Jiao-Jiao Liu, Tian-Tian Liu, Niu-Niu Huang, Pei-Ying Yuan, Yu-Jiao Gao, Jing Zhao, Xi-Ai Guo, Fang Liao, Feng-Yuan Li, Xue-Ting Wang, Rui-Jiao Yuan, Fang Wu</w:t>
      </w:r>
    </w:p>
    <w:p w14:paraId="188F6742" w14:textId="77777777" w:rsidR="00A77B3E" w:rsidRPr="00F551CD" w:rsidRDefault="00A77B3E" w:rsidP="00F551CD">
      <w:pPr>
        <w:adjustRightInd w:val="0"/>
        <w:snapToGrid w:val="0"/>
        <w:spacing w:line="360" w:lineRule="auto"/>
        <w:jc w:val="both"/>
        <w:rPr>
          <w:rFonts w:ascii="Book Antiqua" w:hAnsi="Book Antiqua"/>
        </w:rPr>
      </w:pPr>
    </w:p>
    <w:p w14:paraId="50790BA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Zong-Ming Zhang, Chong Zhang, Zhuo Liu, Li-Min Liu, Ming-Wen Zhu, Yue Zhao, Bai-Jiang Wan, Hai Deng, Hai-Yan Yang, Jia-Hong Liao, Hong-Yan Zhu, Xue Wen, Li-Li Liu, Man Wang, Xiao-Ting Ma, Miao-Miao Zhang, Jiao-Jiao Liu, Tian-Tian Liu, Niu-Niu Huang, Pei-Ying Yuan, Yu-Jiao Gao, Jing Zhao, Xi-Ai Guo, Fang Liao, Feng-Yuan Li, Xue-Ting Wang, Rui-Jiao Yuan, </w:t>
      </w:r>
      <w:r w:rsidRPr="00F551CD">
        <w:rPr>
          <w:rFonts w:ascii="Book Antiqua" w:eastAsia="Book Antiqua" w:hAnsi="Book Antiqua" w:cs="Book Antiqua"/>
        </w:rPr>
        <w:t>Department of General Surgery, Beijing Electric Power Hospital, State Grid Corporation of China, Capital Medical University, Beijing 100073, China</w:t>
      </w:r>
    </w:p>
    <w:p w14:paraId="4EC17DE8" w14:textId="77777777" w:rsidR="00A77B3E" w:rsidRPr="00F551CD" w:rsidRDefault="00A77B3E" w:rsidP="00F551CD">
      <w:pPr>
        <w:adjustRightInd w:val="0"/>
        <w:snapToGrid w:val="0"/>
        <w:spacing w:line="360" w:lineRule="auto"/>
        <w:jc w:val="both"/>
        <w:rPr>
          <w:rFonts w:ascii="Book Antiqua" w:hAnsi="Book Antiqua"/>
        </w:rPr>
      </w:pPr>
    </w:p>
    <w:p w14:paraId="7007FE8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Fang Wu, </w:t>
      </w:r>
      <w:r w:rsidRPr="00F551CD">
        <w:rPr>
          <w:rFonts w:ascii="Book Antiqua" w:eastAsia="Book Antiqua" w:hAnsi="Book Antiqua" w:cs="Book Antiqua"/>
        </w:rPr>
        <w:t>Department of Pathology, Beijing Electric Power Hospital, State Grid Corporation of China, Capital Medical University, Beijing 100073, China</w:t>
      </w:r>
    </w:p>
    <w:p w14:paraId="7DBB70CD" w14:textId="77777777" w:rsidR="00A77B3E" w:rsidRPr="00F551CD" w:rsidRDefault="00A77B3E" w:rsidP="00F551CD">
      <w:pPr>
        <w:adjustRightInd w:val="0"/>
        <w:snapToGrid w:val="0"/>
        <w:spacing w:line="360" w:lineRule="auto"/>
        <w:jc w:val="both"/>
        <w:rPr>
          <w:rFonts w:ascii="Book Antiqua" w:hAnsi="Book Antiqua"/>
        </w:rPr>
      </w:pPr>
    </w:p>
    <w:p w14:paraId="1AE375DD" w14:textId="535F6D92"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Author contributions: </w:t>
      </w:r>
      <w:r w:rsidRPr="00F551CD">
        <w:rPr>
          <w:rFonts w:ascii="Book Antiqua" w:eastAsia="Book Antiqua" w:hAnsi="Book Antiqua" w:cs="Book Antiqua"/>
        </w:rPr>
        <w:t xml:space="preserve">All </w:t>
      </w:r>
      <w:r w:rsidR="00104421" w:rsidRPr="00F551CD">
        <w:rPr>
          <w:rFonts w:ascii="Book Antiqua" w:eastAsia="Book Antiqua" w:hAnsi="Book Antiqua" w:cs="Book Antiqua"/>
        </w:rPr>
        <w:t>authors contributed to this paper</w:t>
      </w:r>
      <w:r w:rsidR="00104421" w:rsidRPr="00F551CD">
        <w:rPr>
          <w:rFonts w:ascii="Book Antiqua" w:hAnsi="Book Antiqua" w:cs="Book Antiqua"/>
          <w:lang w:eastAsia="zh-CN"/>
        </w:rPr>
        <w:t>;</w:t>
      </w:r>
      <w:r w:rsidRPr="00F551CD">
        <w:rPr>
          <w:rFonts w:ascii="Book Antiqua" w:eastAsia="Book Antiqua" w:hAnsi="Book Antiqua" w:cs="Book Antiqua"/>
        </w:rPr>
        <w:t xml:space="preserve"> Zhang ZM, Zhang C, Liu Z, Liu LM, Zhu MW, Zhao Y, Wan BJ, Deng H, Yang HY, Liao JH, Zhu HY, Wen X, Liu LL, Wang M, Ma XT, Zhang MM, Liu JJ, Liu TT, Huang NN, Yuan PY, Gao YJ, Zhao J, Guo </w:t>
      </w:r>
      <w:r w:rsidRPr="00F551CD">
        <w:rPr>
          <w:rFonts w:ascii="Book Antiqua" w:eastAsia="Book Antiqua" w:hAnsi="Book Antiqua" w:cs="Book Antiqua"/>
        </w:rPr>
        <w:lastRenderedPageBreak/>
        <w:t xml:space="preserve">XA, Liao F, Li FY, Wang XT, and Yuan RJ performed the diagnosis and treatment; Wu F performed the pathological examination; Zhang ZM and Zhang C were major contributors in the writing of this manuscript; Zhang ZM provided the funding; </w:t>
      </w:r>
      <w:r w:rsidR="00167BFB">
        <w:rPr>
          <w:rFonts w:ascii="Book Antiqua" w:eastAsia="Book Antiqua" w:hAnsi="Book Antiqua" w:cs="Book Antiqua"/>
        </w:rPr>
        <w:t>A</w:t>
      </w:r>
      <w:r w:rsidRPr="00F551CD">
        <w:rPr>
          <w:rFonts w:ascii="Book Antiqua" w:eastAsia="Book Antiqua" w:hAnsi="Book Antiqua" w:cs="Book Antiqua"/>
        </w:rPr>
        <w:t>ll authors have read and approved the final version of the manuscript.</w:t>
      </w:r>
    </w:p>
    <w:p w14:paraId="232D6FD6" w14:textId="77777777" w:rsidR="00A77B3E" w:rsidRPr="00F551CD" w:rsidRDefault="00A77B3E" w:rsidP="00F551CD">
      <w:pPr>
        <w:adjustRightInd w:val="0"/>
        <w:snapToGrid w:val="0"/>
        <w:spacing w:line="360" w:lineRule="auto"/>
        <w:jc w:val="both"/>
        <w:rPr>
          <w:rFonts w:ascii="Book Antiqua" w:hAnsi="Book Antiqua"/>
        </w:rPr>
      </w:pPr>
    </w:p>
    <w:p w14:paraId="21282256"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b/>
          <w:bCs/>
        </w:rPr>
        <w:t xml:space="preserve">Supported by </w:t>
      </w:r>
      <w:r w:rsidR="00104421" w:rsidRPr="00F551CD">
        <w:rPr>
          <w:rFonts w:ascii="Book Antiqua" w:eastAsia="Book Antiqua" w:hAnsi="Book Antiqua" w:cs="Book Antiqua"/>
        </w:rPr>
        <w:t xml:space="preserve">Beijing Municipal Science </w:t>
      </w:r>
      <w:r w:rsidR="00104421" w:rsidRPr="00F551CD">
        <w:rPr>
          <w:rFonts w:ascii="Book Antiqua" w:hAnsi="Book Antiqua" w:cs="Book Antiqua"/>
          <w:lang w:eastAsia="zh-CN"/>
        </w:rPr>
        <w:t>and</w:t>
      </w:r>
      <w:r w:rsidRPr="00F551CD">
        <w:rPr>
          <w:rFonts w:ascii="Book Antiqua" w:eastAsia="Book Antiqua" w:hAnsi="Book Antiqua" w:cs="Book Antiqua"/>
        </w:rPr>
        <w:t xml:space="preserve"> Technology Commission</w:t>
      </w:r>
      <w:r w:rsidR="00104421" w:rsidRPr="00F551CD">
        <w:rPr>
          <w:rFonts w:ascii="Book Antiqua" w:hAnsi="Book Antiqua" w:cs="Book Antiqua"/>
          <w:lang w:eastAsia="zh-CN"/>
        </w:rPr>
        <w:t>,</w:t>
      </w:r>
      <w:r w:rsidRPr="00F551CD">
        <w:rPr>
          <w:rFonts w:ascii="Book Antiqua" w:eastAsia="Book Antiqua" w:hAnsi="Book Antiqua" w:cs="Book Antiqua"/>
        </w:rPr>
        <w:t xml:space="preserve"> </w:t>
      </w:r>
      <w:r w:rsidR="003E202F" w:rsidRPr="00F551CD">
        <w:rPr>
          <w:rFonts w:ascii="Book Antiqua" w:eastAsia="Book Antiqua" w:hAnsi="Book Antiqua" w:cs="Book Antiqua"/>
        </w:rPr>
        <w:t>No.</w:t>
      </w:r>
      <w:r w:rsidR="003E202F" w:rsidRPr="00F551CD">
        <w:rPr>
          <w:rFonts w:ascii="Book Antiqua" w:hAnsi="Book Antiqua" w:cs="Book Antiqua"/>
          <w:lang w:eastAsia="zh-CN"/>
        </w:rPr>
        <w:t xml:space="preserve"> </w:t>
      </w:r>
      <w:r w:rsidRPr="00F551CD">
        <w:rPr>
          <w:rFonts w:ascii="Book Antiqua" w:eastAsia="Book Antiqua" w:hAnsi="Book Antiqua" w:cs="Book Antiqua"/>
        </w:rPr>
        <w:t>Z171100000417056</w:t>
      </w:r>
      <w:r w:rsidR="00104421" w:rsidRPr="00F551CD">
        <w:rPr>
          <w:rFonts w:ascii="Book Antiqua" w:hAnsi="Book Antiqua" w:cs="Book Antiqua"/>
          <w:lang w:eastAsia="zh-CN"/>
        </w:rPr>
        <w:t>.</w:t>
      </w:r>
    </w:p>
    <w:p w14:paraId="1BB9FC8F" w14:textId="77777777" w:rsidR="00A77B3E" w:rsidRPr="00F551CD" w:rsidRDefault="00A77B3E" w:rsidP="00F551CD">
      <w:pPr>
        <w:adjustRightInd w:val="0"/>
        <w:snapToGrid w:val="0"/>
        <w:spacing w:line="360" w:lineRule="auto"/>
        <w:jc w:val="both"/>
        <w:rPr>
          <w:rFonts w:ascii="Book Antiqua" w:hAnsi="Book Antiqua"/>
        </w:rPr>
      </w:pPr>
    </w:p>
    <w:p w14:paraId="491AC015"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b/>
          <w:bCs/>
        </w:rPr>
        <w:t xml:space="preserve">Corresponding author: Zong-Ming Zhang, MD, PhD, Chief Doctor, Professor, </w:t>
      </w:r>
      <w:r w:rsidRPr="00F551CD">
        <w:rPr>
          <w:rFonts w:ascii="Book Antiqua" w:eastAsia="Book Antiqua" w:hAnsi="Book Antiqua" w:cs="Book Antiqua"/>
        </w:rPr>
        <w:t xml:space="preserve">Department of General Surgery, Beijing Electric Power Hospital, State Grid Corporation of China, Capital Medical University, No. 1 Taipingqiaoxili, Fengtai District, Beijing 100073, China. </w:t>
      </w:r>
      <w:hyperlink r:id="rId7" w:history="1">
        <w:r w:rsidR="006B0A87" w:rsidRPr="00B833AD">
          <w:rPr>
            <w:rStyle w:val="a3"/>
            <w:rFonts w:ascii="Book Antiqua" w:eastAsia="Book Antiqua" w:hAnsi="Book Antiqua" w:cs="Book Antiqua"/>
            <w:color w:val="auto"/>
            <w:u w:val="none"/>
          </w:rPr>
          <w:t>zhangzongming@mail.tsinghua.edu.cn</w:t>
        </w:r>
      </w:hyperlink>
      <w:r w:rsidR="006B0A87" w:rsidRPr="00F551CD">
        <w:rPr>
          <w:rFonts w:ascii="Book Antiqua" w:hAnsi="Book Antiqua" w:cs="Book Antiqua"/>
          <w:lang w:eastAsia="zh-CN"/>
        </w:rPr>
        <w:t xml:space="preserve"> </w:t>
      </w:r>
    </w:p>
    <w:p w14:paraId="2247C012" w14:textId="77777777" w:rsidR="00A77B3E" w:rsidRPr="00F551CD" w:rsidRDefault="00A77B3E" w:rsidP="00F551CD">
      <w:pPr>
        <w:adjustRightInd w:val="0"/>
        <w:snapToGrid w:val="0"/>
        <w:spacing w:line="360" w:lineRule="auto"/>
        <w:jc w:val="both"/>
        <w:rPr>
          <w:rFonts w:ascii="Book Antiqua" w:hAnsi="Book Antiqua"/>
        </w:rPr>
      </w:pPr>
    </w:p>
    <w:p w14:paraId="35A02F3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Received: </w:t>
      </w:r>
      <w:r w:rsidRPr="00F551CD">
        <w:rPr>
          <w:rFonts w:ascii="Book Antiqua" w:eastAsia="Book Antiqua" w:hAnsi="Book Antiqua" w:cs="Book Antiqua"/>
        </w:rPr>
        <w:t>June 8, 2020</w:t>
      </w:r>
    </w:p>
    <w:p w14:paraId="5D40C93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Revised: </w:t>
      </w:r>
      <w:r w:rsidRPr="00F551CD">
        <w:rPr>
          <w:rFonts w:ascii="Book Antiqua" w:eastAsia="Book Antiqua" w:hAnsi="Book Antiqua" w:cs="Book Antiqua"/>
        </w:rPr>
        <w:t>August 24, 2020</w:t>
      </w:r>
    </w:p>
    <w:p w14:paraId="19743A92" w14:textId="2EA84244" w:rsidR="00A77B3E" w:rsidRPr="00F551CD" w:rsidRDefault="00FB6887" w:rsidP="00F551CD">
      <w:pPr>
        <w:snapToGrid w:val="0"/>
        <w:spacing w:line="360" w:lineRule="auto"/>
        <w:jc w:val="both"/>
        <w:rPr>
          <w:rFonts w:ascii="Book Antiqua" w:hAnsi="Book Antiqua" w:cs="Arial"/>
          <w:shd w:val="clear" w:color="auto" w:fill="FFFFFF"/>
        </w:rPr>
      </w:pPr>
      <w:r w:rsidRPr="00F551CD">
        <w:rPr>
          <w:rFonts w:ascii="Book Antiqua" w:eastAsia="Book Antiqua" w:hAnsi="Book Antiqua" w:cs="Book Antiqua"/>
          <w:b/>
          <w:bCs/>
        </w:rPr>
        <w:t xml:space="preserve">Accepted: </w:t>
      </w:r>
      <w:r w:rsidR="00C05037" w:rsidRPr="00F551CD">
        <w:rPr>
          <w:rFonts w:ascii="Book Antiqua" w:hAnsi="Book Antiqua" w:cs="Arial"/>
          <w:shd w:val="clear" w:color="auto" w:fill="FFFFFF"/>
        </w:rPr>
        <w:t>September 11, 2020</w:t>
      </w:r>
    </w:p>
    <w:p w14:paraId="1AF7A29F" w14:textId="7DBA9143"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Published online: </w:t>
      </w:r>
      <w:r w:rsidR="00B96000" w:rsidRPr="00B96000">
        <w:rPr>
          <w:rFonts w:ascii="Book Antiqua" w:eastAsia="Book Antiqua" w:hAnsi="Book Antiqua" w:cs="Book Antiqua"/>
          <w:bCs/>
          <w:color w:val="000000"/>
        </w:rPr>
        <w:t>October 26</w:t>
      </w:r>
      <w:r w:rsidR="00B96000" w:rsidRPr="00B96000">
        <w:rPr>
          <w:rFonts w:ascii="Book Antiqua" w:eastAsia="宋体" w:hAnsi="Book Antiqua" w:cs="Book Antiqua" w:hint="eastAsia"/>
          <w:bCs/>
          <w:color w:val="000000"/>
          <w:lang w:eastAsia="zh-CN"/>
        </w:rPr>
        <w:t>, 2020</w:t>
      </w:r>
    </w:p>
    <w:p w14:paraId="29266E5A" w14:textId="77777777" w:rsidR="00A77B3E" w:rsidRPr="00F551CD" w:rsidRDefault="00A77B3E" w:rsidP="00F551CD">
      <w:pPr>
        <w:adjustRightInd w:val="0"/>
        <w:snapToGrid w:val="0"/>
        <w:spacing w:line="360" w:lineRule="auto"/>
        <w:jc w:val="both"/>
        <w:rPr>
          <w:rFonts w:ascii="Book Antiqua" w:hAnsi="Book Antiqua"/>
        </w:rPr>
        <w:sectPr w:rsidR="00A77B3E" w:rsidRPr="00F551CD">
          <w:footerReference w:type="default" r:id="rId8"/>
          <w:pgSz w:w="12240" w:h="15840"/>
          <w:pgMar w:top="1440" w:right="1440" w:bottom="1440" w:left="1440" w:header="720" w:footer="720" w:gutter="0"/>
          <w:cols w:space="720"/>
          <w:docGrid w:linePitch="360"/>
        </w:sectPr>
      </w:pPr>
    </w:p>
    <w:p w14:paraId="42643C3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Abstract</w:t>
      </w:r>
    </w:p>
    <w:p w14:paraId="1A6651A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BACKGROUND</w:t>
      </w:r>
    </w:p>
    <w:p w14:paraId="62569D46" w14:textId="5CB09AA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The global pandemic of coronavirus disease 2019 pneumonia poses a particular challenge to the emergency surgical treatment of elderly patients with high-risk acute abdominal diseases. Elderly patients are a high-risk group for surgical treatment. If the incarceration of gallstones cannot be relieved, emergency surgery is unavoidable. </w:t>
      </w:r>
    </w:p>
    <w:p w14:paraId="2FDC7613" w14:textId="77777777" w:rsidR="00A77B3E" w:rsidRPr="00F551CD" w:rsidRDefault="00A77B3E" w:rsidP="00F551CD">
      <w:pPr>
        <w:adjustRightInd w:val="0"/>
        <w:snapToGrid w:val="0"/>
        <w:spacing w:line="360" w:lineRule="auto"/>
        <w:jc w:val="both"/>
        <w:rPr>
          <w:rFonts w:ascii="Book Antiqua" w:hAnsi="Book Antiqua"/>
        </w:rPr>
      </w:pPr>
    </w:p>
    <w:p w14:paraId="37AA831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CASE SUMMARY</w:t>
      </w:r>
    </w:p>
    <w:p w14:paraId="2374723C" w14:textId="38DC0DA3"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We report an 89-year-old male patient with acute gangrenous cholecystitis and septic shock induced by </w:t>
      </w:r>
      <w:r w:rsidRPr="00F551CD">
        <w:rPr>
          <w:rFonts w:ascii="Book Antiqua" w:eastAsia="Book Antiqua" w:hAnsi="Book Antiqua" w:cs="Book Antiqua"/>
          <w:shd w:val="clear" w:color="auto" w:fill="FFFFFF"/>
        </w:rPr>
        <w:t>incarcerated cholecystolithiasis. He had</w:t>
      </w:r>
      <w:r w:rsidRPr="00F551CD">
        <w:rPr>
          <w:rFonts w:ascii="Book Antiqua" w:eastAsia="Book Antiqua" w:hAnsi="Book Antiqua" w:cs="Book Antiqua"/>
        </w:rPr>
        <w:t xml:space="preserve"> several coexisting, high-risk underlying diseases, </w:t>
      </w:r>
      <w:r w:rsidR="00046327" w:rsidRPr="00F551CD">
        <w:rPr>
          <w:rFonts w:ascii="Book Antiqua" w:eastAsia="Book Antiqua" w:hAnsi="Book Antiqua" w:cs="Book Antiqua"/>
        </w:rPr>
        <w:t xml:space="preserve">had </w:t>
      </w:r>
      <w:r w:rsidRPr="00F551CD">
        <w:rPr>
          <w:rFonts w:ascii="Book Antiqua" w:eastAsia="Book Antiqua" w:hAnsi="Book Antiqua" w:cs="Book Antiqua"/>
        </w:rPr>
        <w:t xml:space="preserve">a history of radical gastrectomy for gastric cancer, and was taking aspirin before the operation. Nevertheless, he underwent emergency laparoscopic cholecystectomy, with maintenance of postoperative heart and lung function, successfully recovered, and was discharged on day 8 after the operation. </w:t>
      </w:r>
    </w:p>
    <w:p w14:paraId="454F2FF4" w14:textId="77777777" w:rsidR="00A77B3E" w:rsidRPr="00F551CD" w:rsidRDefault="00A77B3E" w:rsidP="00F551CD">
      <w:pPr>
        <w:adjustRightInd w:val="0"/>
        <w:snapToGrid w:val="0"/>
        <w:spacing w:line="360" w:lineRule="auto"/>
        <w:jc w:val="both"/>
        <w:rPr>
          <w:rFonts w:ascii="Book Antiqua" w:hAnsi="Book Antiqua"/>
        </w:rPr>
      </w:pPr>
    </w:p>
    <w:p w14:paraId="09EF7A69"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CONCLUSION</w:t>
      </w:r>
    </w:p>
    <w:p w14:paraId="4337CEA8" w14:textId="5325490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Emergency surgery for elderly patients with acute abdominal disease is safe and feasible </w:t>
      </w:r>
      <w:r w:rsidRPr="00F551CD">
        <w:rPr>
          <w:rFonts w:ascii="Book Antiqua" w:eastAsia="Book Antiqua" w:hAnsi="Book Antiqua" w:cs="Book Antiqua"/>
          <w:shd w:val="clear" w:color="auto" w:fill="FFFFFF"/>
        </w:rPr>
        <w:t xml:space="preserve">during the </w:t>
      </w:r>
      <w:r w:rsidR="00046327" w:rsidRPr="00F551CD">
        <w:rPr>
          <w:rFonts w:ascii="Book Antiqua" w:eastAsia="Book Antiqua" w:hAnsi="Book Antiqua" w:cs="Book Antiqua"/>
        </w:rPr>
        <w:t>coronavirus disease 2019</w:t>
      </w:r>
      <w:r w:rsidRPr="00F551CD">
        <w:rPr>
          <w:rFonts w:ascii="Book Antiqua" w:eastAsia="Book Antiqua" w:hAnsi="Book Antiqua" w:cs="Book Antiqua"/>
          <w:shd w:val="clear" w:color="auto" w:fill="FFFFFF"/>
        </w:rPr>
        <w:t xml:space="preserve"> pandemic, the key is to </w:t>
      </w:r>
      <w:r w:rsidR="00046327" w:rsidRPr="00F551CD">
        <w:rPr>
          <w:rFonts w:ascii="Book Antiqua" w:eastAsia="Book Antiqua" w:hAnsi="Book Antiqua" w:cs="Book Antiqua"/>
          <w:shd w:val="clear" w:color="auto" w:fill="FFFFFF"/>
        </w:rPr>
        <w:t xml:space="preserve">abide </w:t>
      </w:r>
      <w:r w:rsidRPr="00F551CD">
        <w:rPr>
          <w:rFonts w:ascii="Book Antiqua" w:eastAsia="Book Antiqua" w:hAnsi="Book Antiqua" w:cs="Book Antiqua"/>
        </w:rPr>
        <w:t xml:space="preserve">strictly by the hospital’s epidemic prevention regulations, </w:t>
      </w:r>
      <w:r w:rsidRPr="00F551CD">
        <w:rPr>
          <w:rFonts w:ascii="Book Antiqua" w:eastAsia="Book Antiqua" w:hAnsi="Book Antiqua" w:cs="Book Antiqua"/>
          <w:shd w:val="clear" w:color="auto" w:fill="FFFFFF"/>
        </w:rPr>
        <w:t>fully implement</w:t>
      </w:r>
      <w:r w:rsidRPr="00F551CD">
        <w:rPr>
          <w:rFonts w:ascii="Book Antiqua" w:eastAsia="Book Antiqua" w:hAnsi="Book Antiqua" w:cs="Book Antiqua"/>
        </w:rPr>
        <w:t xml:space="preserve"> the epidemic prevention</w:t>
      </w:r>
      <w:r w:rsidRPr="00F551CD">
        <w:rPr>
          <w:rFonts w:ascii="Book Antiqua" w:eastAsia="Book Antiqua" w:hAnsi="Book Antiqua" w:cs="Book Antiqua"/>
          <w:shd w:val="clear" w:color="auto" w:fill="FFFFFF"/>
        </w:rPr>
        <w:t xml:space="preserve"> procedure for emergency surgery</w:t>
      </w:r>
      <w:r w:rsidRPr="00F551CD">
        <w:rPr>
          <w:rFonts w:ascii="Book Antiqua" w:eastAsia="Book Antiqua" w:hAnsi="Book Antiqua" w:cs="Book Antiqua"/>
        </w:rPr>
        <w:t>, fully prepare before the operation, accurately perform the operation, and carefully manage the patient postoperatively.</w:t>
      </w:r>
    </w:p>
    <w:p w14:paraId="4EFFEBEE" w14:textId="77777777" w:rsidR="00A77B3E" w:rsidRPr="00F551CD" w:rsidRDefault="00A77B3E" w:rsidP="00F551CD">
      <w:pPr>
        <w:adjustRightInd w:val="0"/>
        <w:snapToGrid w:val="0"/>
        <w:spacing w:line="360" w:lineRule="auto"/>
        <w:jc w:val="both"/>
        <w:rPr>
          <w:rFonts w:ascii="Book Antiqua" w:hAnsi="Book Antiqua"/>
        </w:rPr>
      </w:pPr>
    </w:p>
    <w:p w14:paraId="4B0AEEB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Key </w:t>
      </w:r>
      <w:r w:rsidRPr="00F551CD">
        <w:rPr>
          <w:rFonts w:ascii="Book Antiqua" w:eastAsia="Book Antiqua" w:hAnsi="Book Antiqua" w:cs="Book Antiqua"/>
          <w:b/>
          <w:bCs/>
          <w:caps/>
        </w:rPr>
        <w:t>w</w:t>
      </w:r>
      <w:r w:rsidRPr="00F551CD">
        <w:rPr>
          <w:rFonts w:ascii="Book Antiqua" w:eastAsia="Book Antiqua" w:hAnsi="Book Antiqua" w:cs="Book Antiqua"/>
          <w:b/>
          <w:bCs/>
        </w:rPr>
        <w:t xml:space="preserve">ords: </w:t>
      </w:r>
      <w:r w:rsidRPr="00F551CD">
        <w:rPr>
          <w:rFonts w:ascii="Book Antiqua" w:eastAsia="Book Antiqua" w:hAnsi="Book Antiqua" w:cs="Book Antiqua"/>
        </w:rPr>
        <w:t xml:space="preserve">Extremely elderly patient; Cholecystolithiasis incarceration; </w:t>
      </w:r>
      <w:r w:rsidR="00C73612" w:rsidRPr="00F551CD">
        <w:rPr>
          <w:rFonts w:ascii="Book Antiqua" w:eastAsia="Book Antiqua" w:hAnsi="Book Antiqua" w:cs="Book Antiqua"/>
        </w:rPr>
        <w:t xml:space="preserve">Acute </w:t>
      </w:r>
      <w:r w:rsidRPr="00F551CD">
        <w:rPr>
          <w:rFonts w:ascii="Book Antiqua" w:eastAsia="Book Antiqua" w:hAnsi="Book Antiqua" w:cs="Book Antiqua"/>
        </w:rPr>
        <w:t xml:space="preserve">gangrenous cholecystitis; </w:t>
      </w:r>
      <w:r w:rsidR="00C73612" w:rsidRPr="00F551CD">
        <w:rPr>
          <w:rFonts w:ascii="Book Antiqua" w:eastAsia="Book Antiqua" w:hAnsi="Book Antiqua" w:cs="Book Antiqua"/>
        </w:rPr>
        <w:t xml:space="preserve">Acute </w:t>
      </w:r>
      <w:r w:rsidRPr="00F551CD">
        <w:rPr>
          <w:rFonts w:ascii="Book Antiqua" w:eastAsia="Book Antiqua" w:hAnsi="Book Antiqua" w:cs="Book Antiqua"/>
        </w:rPr>
        <w:t xml:space="preserve">abdominal diseases; </w:t>
      </w:r>
      <w:r w:rsidR="00C73612" w:rsidRPr="00F551CD">
        <w:rPr>
          <w:rFonts w:ascii="Book Antiqua" w:eastAsia="Book Antiqua" w:hAnsi="Book Antiqua" w:cs="Book Antiqua"/>
        </w:rPr>
        <w:t>COVID-19</w:t>
      </w:r>
      <w:r w:rsidR="00C73612" w:rsidRPr="00F551CD">
        <w:rPr>
          <w:rFonts w:ascii="Book Antiqua" w:hAnsi="Book Antiqua" w:cs="Book Antiqua"/>
          <w:lang w:eastAsia="zh-CN"/>
        </w:rPr>
        <w:t xml:space="preserve">; </w:t>
      </w:r>
      <w:r w:rsidRPr="00F551CD">
        <w:rPr>
          <w:rFonts w:ascii="Book Antiqua" w:eastAsia="Book Antiqua" w:hAnsi="Book Antiqua" w:cs="Book Antiqua"/>
        </w:rPr>
        <w:t>Case report</w:t>
      </w:r>
    </w:p>
    <w:p w14:paraId="7D73BEFC" w14:textId="77777777" w:rsidR="00A77B3E" w:rsidRPr="00F551CD" w:rsidRDefault="00A77B3E" w:rsidP="00F551CD">
      <w:pPr>
        <w:adjustRightInd w:val="0"/>
        <w:snapToGrid w:val="0"/>
        <w:spacing w:line="360" w:lineRule="auto"/>
        <w:jc w:val="both"/>
        <w:rPr>
          <w:rFonts w:ascii="Book Antiqua" w:hAnsi="Book Antiqua"/>
        </w:rPr>
      </w:pPr>
    </w:p>
    <w:p w14:paraId="7E4DAF24" w14:textId="08D2113E" w:rsidR="00AF5A75" w:rsidRDefault="00AF5A75" w:rsidP="00F551CD">
      <w:pPr>
        <w:adjustRightInd w:val="0"/>
        <w:snapToGrid w:val="0"/>
        <w:spacing w:line="360" w:lineRule="auto"/>
        <w:jc w:val="both"/>
        <w:rPr>
          <w:rFonts w:ascii="Book Antiqua" w:hAnsi="Book Antiqua" w:cs="Book Antiqua" w:hint="eastAsia"/>
          <w:color w:val="000000"/>
          <w:lang w:eastAsia="zh-CN"/>
        </w:rPr>
      </w:pPr>
      <w:r w:rsidRPr="00AF5A75">
        <w:rPr>
          <w:rFonts w:ascii="Book Antiqua" w:hAnsi="Book Antiqua" w:cs="Book Antiqua" w:hint="eastAsia"/>
          <w:b/>
          <w:lang w:eastAsia="zh-CN"/>
        </w:rPr>
        <w:t xml:space="preserve">Citation: </w:t>
      </w:r>
      <w:r w:rsidR="00FB6887" w:rsidRPr="00F551CD">
        <w:rPr>
          <w:rFonts w:ascii="Book Antiqua" w:eastAsia="Book Antiqua" w:hAnsi="Book Antiqua" w:cs="Book Antiqua"/>
        </w:rPr>
        <w:t xml:space="preserve">Zhang ZM, Zhang C, Liu Z, Liu LM, Zhu MW, Zhao Y, Wan BJ, Deng H, Yang HY, Liao JH, Zhu HY, Wen X, Liu LL, Wang M, Ma XT, Zhang MM, Liu JJ, Liu TT, Huang NN, Yuan PY, Gao YJ, Zhao J, Guo XA, Liao F, Li FY, Wang XT, Yuan RJ, Wu F. Therapeutic experience of an 89-year-old high-risk patient with incarcerated cholecystolithiasis: </w:t>
      </w:r>
      <w:r w:rsidR="00943FC6" w:rsidRPr="00F551CD">
        <w:rPr>
          <w:rFonts w:ascii="Book Antiqua" w:eastAsia="Book Antiqua" w:hAnsi="Book Antiqua" w:cs="Book Antiqua"/>
        </w:rPr>
        <w:t>A</w:t>
      </w:r>
      <w:r w:rsidR="00FB6887" w:rsidRPr="00F551CD">
        <w:rPr>
          <w:rFonts w:ascii="Book Antiqua" w:eastAsia="Book Antiqua" w:hAnsi="Book Antiqua" w:cs="Book Antiqua"/>
        </w:rPr>
        <w:t xml:space="preserve"> case report and literature review. </w:t>
      </w:r>
      <w:r w:rsidR="00FB6887" w:rsidRPr="00F551CD">
        <w:rPr>
          <w:rFonts w:ascii="Book Antiqua" w:eastAsia="Book Antiqua" w:hAnsi="Book Antiqua" w:cs="Book Antiqua"/>
          <w:i/>
          <w:iCs/>
        </w:rPr>
        <w:t>World J Clin Cases</w:t>
      </w:r>
      <w:r w:rsidR="00FB6887" w:rsidRPr="00F551CD">
        <w:rPr>
          <w:rFonts w:ascii="Book Antiqua" w:eastAsia="Book Antiqua" w:hAnsi="Book Antiqua" w:cs="Book Antiqua"/>
        </w:rPr>
        <w:t xml:space="preserve"> </w:t>
      </w:r>
      <w:bookmarkStart w:id="0" w:name="OLE_LINK5"/>
      <w:r w:rsidR="00FB6887" w:rsidRPr="00F551CD">
        <w:rPr>
          <w:rFonts w:ascii="Book Antiqua" w:eastAsia="Book Antiqua" w:hAnsi="Book Antiqua" w:cs="Book Antiqua"/>
        </w:rPr>
        <w:t xml:space="preserve">2020; </w:t>
      </w:r>
      <w:r w:rsidR="00B96000" w:rsidRPr="00B96000">
        <w:rPr>
          <w:rFonts w:ascii="Book Antiqua" w:eastAsia="Book Antiqua" w:hAnsi="Book Antiqua" w:cs="Book Antiqua"/>
          <w:color w:val="000000"/>
        </w:rPr>
        <w:t>8(</w:t>
      </w:r>
      <w:r w:rsidR="00B96000" w:rsidRPr="00B96000">
        <w:rPr>
          <w:rFonts w:ascii="Book Antiqua" w:eastAsia="宋体" w:hAnsi="Book Antiqua" w:cs="Book Antiqua" w:hint="eastAsia"/>
          <w:color w:val="000000"/>
          <w:lang w:eastAsia="zh-CN"/>
        </w:rPr>
        <w:t>20</w:t>
      </w:r>
      <w:r w:rsidR="00B96000" w:rsidRPr="00B96000">
        <w:rPr>
          <w:rFonts w:ascii="Book Antiqua" w:eastAsia="Book Antiqua" w:hAnsi="Book Antiqua" w:cs="Book Antiqua"/>
          <w:color w:val="000000"/>
        </w:rPr>
        <w:t xml:space="preserve">): </w:t>
      </w:r>
      <w:r w:rsidR="00115AAC" w:rsidRPr="00115AAC">
        <w:rPr>
          <w:rFonts w:ascii="Book Antiqua" w:eastAsia="Book Antiqua" w:hAnsi="Book Antiqua" w:cs="Book Antiqua"/>
          <w:color w:val="000000"/>
        </w:rPr>
        <w:t>4908-</w:t>
      </w:r>
      <w:bookmarkStart w:id="1" w:name="_GoBack"/>
      <w:r w:rsidR="00115AAC" w:rsidRPr="00115AAC">
        <w:rPr>
          <w:rFonts w:ascii="Book Antiqua" w:eastAsia="Book Antiqua" w:hAnsi="Book Antiqua" w:cs="Book Antiqua"/>
          <w:color w:val="000000"/>
        </w:rPr>
        <w:t>4916</w:t>
      </w:r>
      <w:bookmarkEnd w:id="0"/>
      <w:bookmarkEnd w:id="1"/>
      <w:r w:rsidR="00B96000" w:rsidRPr="00B96000">
        <w:rPr>
          <w:rFonts w:ascii="Book Antiqua" w:eastAsia="Book Antiqua" w:hAnsi="Book Antiqua" w:cs="Book Antiqua"/>
          <w:color w:val="000000"/>
        </w:rPr>
        <w:t xml:space="preserve">  </w:t>
      </w:r>
    </w:p>
    <w:p w14:paraId="41323CB3" w14:textId="77777777" w:rsidR="00AF5A75" w:rsidRDefault="00B96000" w:rsidP="00F551CD">
      <w:pPr>
        <w:adjustRightInd w:val="0"/>
        <w:snapToGrid w:val="0"/>
        <w:spacing w:line="360" w:lineRule="auto"/>
        <w:jc w:val="both"/>
        <w:rPr>
          <w:rFonts w:ascii="Book Antiqua" w:hAnsi="Book Antiqua" w:cs="Book Antiqua" w:hint="eastAsia"/>
          <w:color w:val="000000"/>
          <w:lang w:eastAsia="zh-CN"/>
        </w:rPr>
      </w:pPr>
      <w:r w:rsidRPr="00AF5A75">
        <w:rPr>
          <w:rFonts w:ascii="Book Antiqua" w:eastAsia="Book Antiqua" w:hAnsi="Book Antiqua" w:cs="Book Antiqua"/>
          <w:b/>
          <w:color w:val="000000"/>
        </w:rPr>
        <w:t xml:space="preserve">URL: </w:t>
      </w:r>
      <w:r w:rsidRPr="00B96000">
        <w:rPr>
          <w:rFonts w:ascii="Book Antiqua" w:eastAsia="Book Antiqua" w:hAnsi="Book Antiqua" w:cs="Book Antiqua"/>
          <w:color w:val="000000"/>
        </w:rPr>
        <w:t>https://www.wjgnet.com/2307-8960/full/v8/i</w:t>
      </w:r>
      <w:r w:rsidRPr="00B96000">
        <w:rPr>
          <w:rFonts w:ascii="Book Antiqua" w:eastAsia="宋体" w:hAnsi="Book Antiqua" w:cs="Book Antiqua" w:hint="eastAsia"/>
          <w:color w:val="000000"/>
          <w:lang w:eastAsia="zh-CN"/>
        </w:rPr>
        <w:t>20</w:t>
      </w:r>
      <w:r w:rsidRPr="00B96000">
        <w:rPr>
          <w:rFonts w:ascii="Book Antiqua" w:eastAsia="Book Antiqua" w:hAnsi="Book Antiqua" w:cs="Book Antiqua"/>
          <w:color w:val="000000"/>
        </w:rPr>
        <w:t>/</w:t>
      </w:r>
      <w:r w:rsidR="00115AAC">
        <w:rPr>
          <w:rFonts w:ascii="Book Antiqua" w:hAnsi="Book Antiqua" w:cs="Book Antiqua" w:hint="eastAsia"/>
          <w:color w:val="000000"/>
          <w:lang w:eastAsia="zh-CN"/>
        </w:rPr>
        <w:t>4908</w:t>
      </w:r>
      <w:r w:rsidRPr="00B96000">
        <w:rPr>
          <w:rFonts w:ascii="Book Antiqua" w:eastAsia="Book Antiqua" w:hAnsi="Book Antiqua" w:cs="Book Antiqua"/>
          <w:color w:val="000000"/>
        </w:rPr>
        <w:t xml:space="preserve">.htm  </w:t>
      </w:r>
    </w:p>
    <w:p w14:paraId="5C72BCB6" w14:textId="3F4F64B6" w:rsidR="00A77B3E" w:rsidRPr="000F1205" w:rsidRDefault="00B96000" w:rsidP="00F551CD">
      <w:pPr>
        <w:adjustRightInd w:val="0"/>
        <w:snapToGrid w:val="0"/>
        <w:spacing w:line="360" w:lineRule="auto"/>
        <w:jc w:val="both"/>
        <w:rPr>
          <w:rFonts w:ascii="Book Antiqua" w:hAnsi="Book Antiqua" w:hint="eastAsia"/>
          <w:lang w:eastAsia="zh-CN"/>
        </w:rPr>
      </w:pPr>
      <w:r w:rsidRPr="00AF5A75">
        <w:rPr>
          <w:rFonts w:ascii="Book Antiqua" w:eastAsia="Book Antiqua" w:hAnsi="Book Antiqua" w:cs="Book Antiqua"/>
          <w:b/>
          <w:color w:val="000000"/>
        </w:rPr>
        <w:t>DOI:</w:t>
      </w:r>
      <w:r w:rsidRPr="00B96000">
        <w:rPr>
          <w:rFonts w:ascii="Book Antiqua" w:eastAsia="Book Antiqua" w:hAnsi="Book Antiqua" w:cs="Book Antiqua"/>
          <w:color w:val="000000"/>
        </w:rPr>
        <w:t xml:space="preserve"> </w:t>
      </w:r>
      <w:bookmarkStart w:id="2" w:name="OLE_LINK6"/>
      <w:r w:rsidRPr="00B96000">
        <w:rPr>
          <w:rFonts w:ascii="Book Antiqua" w:eastAsia="Book Antiqua" w:hAnsi="Book Antiqua" w:cs="Book Antiqua"/>
          <w:color w:val="000000"/>
        </w:rPr>
        <w:t>https://dx.doi.org/10.12998/wjcc.v8.i</w:t>
      </w:r>
      <w:r w:rsidRPr="00B96000">
        <w:rPr>
          <w:rFonts w:ascii="Book Antiqua" w:eastAsia="宋体" w:hAnsi="Book Antiqua" w:cs="Book Antiqua" w:hint="eastAsia"/>
          <w:color w:val="000000"/>
          <w:lang w:eastAsia="zh-CN"/>
        </w:rPr>
        <w:t>20</w:t>
      </w:r>
      <w:r w:rsidRPr="00B96000">
        <w:rPr>
          <w:rFonts w:ascii="Book Antiqua" w:eastAsia="Book Antiqua" w:hAnsi="Book Antiqua" w:cs="Book Antiqua"/>
          <w:color w:val="000000"/>
        </w:rPr>
        <w:t>.</w:t>
      </w:r>
      <w:r w:rsidR="000F1205">
        <w:rPr>
          <w:rFonts w:ascii="Book Antiqua" w:hAnsi="Book Antiqua" w:cs="Book Antiqua" w:hint="eastAsia"/>
          <w:color w:val="000000"/>
          <w:lang w:eastAsia="zh-CN"/>
        </w:rPr>
        <w:t>4908</w:t>
      </w:r>
    </w:p>
    <w:bookmarkEnd w:id="2"/>
    <w:p w14:paraId="38BE7300" w14:textId="77777777" w:rsidR="00A77B3E" w:rsidRPr="00F551CD" w:rsidRDefault="00A77B3E" w:rsidP="00F551CD">
      <w:pPr>
        <w:adjustRightInd w:val="0"/>
        <w:snapToGrid w:val="0"/>
        <w:spacing w:line="360" w:lineRule="auto"/>
        <w:jc w:val="both"/>
        <w:rPr>
          <w:rFonts w:ascii="Book Antiqua" w:hAnsi="Book Antiqua"/>
        </w:rPr>
      </w:pPr>
    </w:p>
    <w:p w14:paraId="7D4E9B84" w14:textId="054DAA88"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Core </w:t>
      </w:r>
      <w:r w:rsidRPr="00F551CD">
        <w:rPr>
          <w:rFonts w:ascii="Book Antiqua" w:eastAsia="Book Antiqua" w:hAnsi="Book Antiqua" w:cs="Book Antiqua"/>
          <w:b/>
          <w:bCs/>
          <w:caps/>
        </w:rPr>
        <w:t>t</w:t>
      </w:r>
      <w:r w:rsidRPr="00F551CD">
        <w:rPr>
          <w:rFonts w:ascii="Book Antiqua" w:eastAsia="Book Antiqua" w:hAnsi="Book Antiqua" w:cs="Book Antiqua"/>
          <w:b/>
          <w:bCs/>
        </w:rPr>
        <w:t xml:space="preserve">ip: </w:t>
      </w:r>
      <w:r w:rsidRPr="00F551CD">
        <w:rPr>
          <w:rFonts w:ascii="Book Antiqua" w:eastAsia="Book Antiqua" w:hAnsi="Book Antiqua" w:cs="Book Antiqua"/>
          <w:shd w:val="clear" w:color="auto" w:fill="FFFFFF"/>
        </w:rPr>
        <w:t xml:space="preserve">We report the therapeutic experience of an 89-year-old high-risk patient </w:t>
      </w:r>
      <w:r w:rsidRPr="00F551CD">
        <w:rPr>
          <w:rFonts w:ascii="Book Antiqua" w:eastAsia="Book Antiqua" w:hAnsi="Book Antiqua" w:cs="Book Antiqua"/>
        </w:rPr>
        <w:t>with acute gangrenous cholecystitis and septic shock induced by</w:t>
      </w:r>
      <w:r w:rsidRPr="00F551CD">
        <w:rPr>
          <w:rFonts w:ascii="Book Antiqua" w:eastAsia="Book Antiqua" w:hAnsi="Book Antiqua" w:cs="Book Antiqua"/>
          <w:shd w:val="clear" w:color="auto" w:fill="FFFFFF"/>
        </w:rPr>
        <w:t xml:space="preserve"> incarcerated cholecystolithiasis</w:t>
      </w:r>
      <w:r w:rsidRPr="00F551CD">
        <w:rPr>
          <w:rFonts w:ascii="Book Antiqua" w:eastAsia="Book Antiqua" w:hAnsi="Book Antiqua" w:cs="Book Antiqua"/>
        </w:rPr>
        <w:t xml:space="preserve">. This paper explores the indication for emergency surgery, selection of surgical procedure, </w:t>
      </w:r>
      <w:r w:rsidR="00046327" w:rsidRPr="00F551CD">
        <w:rPr>
          <w:rFonts w:ascii="Book Antiqua" w:eastAsia="Book Antiqua" w:hAnsi="Book Antiqua" w:cs="Book Antiqua"/>
        </w:rPr>
        <w:t xml:space="preserve">and </w:t>
      </w:r>
      <w:r w:rsidRPr="00F551CD">
        <w:rPr>
          <w:rFonts w:ascii="Book Antiqua" w:eastAsia="Book Antiqua" w:hAnsi="Book Antiqua" w:cs="Book Antiqua"/>
        </w:rPr>
        <w:t>maintenance of postoperative cardiopulmonary function, so as to provide beneficial reference for emergency surgery in elderly patients with high-risk acute abdominal diseases.</w:t>
      </w:r>
    </w:p>
    <w:p w14:paraId="4BB112F6" w14:textId="77777777" w:rsidR="00A77B3E" w:rsidRPr="00F551CD" w:rsidRDefault="00A77B3E" w:rsidP="00F551CD">
      <w:pPr>
        <w:adjustRightInd w:val="0"/>
        <w:snapToGrid w:val="0"/>
        <w:spacing w:line="360" w:lineRule="auto"/>
        <w:jc w:val="both"/>
        <w:rPr>
          <w:rFonts w:ascii="Book Antiqua" w:hAnsi="Book Antiqua"/>
        </w:rPr>
      </w:pPr>
    </w:p>
    <w:p w14:paraId="63313285" w14:textId="77777777" w:rsidR="00A77B3E" w:rsidRPr="00F551CD" w:rsidRDefault="00943FC6"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br w:type="page"/>
      </w:r>
      <w:r w:rsidR="00FB6887" w:rsidRPr="00F551CD">
        <w:rPr>
          <w:rFonts w:ascii="Book Antiqua" w:eastAsia="Book Antiqua" w:hAnsi="Book Antiqua" w:cs="Book Antiqua"/>
          <w:b/>
          <w:caps/>
          <w:u w:val="single"/>
        </w:rPr>
        <w:t>INTRODUCTION</w:t>
      </w:r>
    </w:p>
    <w:p w14:paraId="716BF945" w14:textId="5870A661" w:rsidR="00943FC6"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The global pandemic of coronavirus disease 2019 (COVID-19) pneumonia is posing a great threat to people's health and life and has seriously affected people’s daily life and diagnosis and treatment of other diseases. Biliary diseases in elderly patients are mostly accompanied by coronary heart disease, hypertension, cerebral infarction, chronic bronchopulmonary emphysema, diabetes</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other basic diseases, so the risk of surgery is high</w:t>
      </w:r>
      <w:r w:rsidR="00943FC6" w:rsidRPr="00F551CD">
        <w:rPr>
          <w:rFonts w:ascii="Book Antiqua" w:eastAsia="Book Antiqua" w:hAnsi="Book Antiqua" w:cs="Book Antiqua"/>
          <w:shd w:val="clear" w:color="auto" w:fill="FFFFFF"/>
          <w:vertAlign w:val="superscript"/>
        </w:rPr>
        <w:t>[1,</w:t>
      </w:r>
      <w:r w:rsidRPr="00F551CD">
        <w:rPr>
          <w:rFonts w:ascii="Book Antiqua" w:eastAsia="Book Antiqua" w:hAnsi="Book Antiqua" w:cs="Book Antiqua"/>
          <w:shd w:val="clear" w:color="auto" w:fill="FFFFFF"/>
          <w:vertAlign w:val="superscript"/>
        </w:rPr>
        <w:t>2]</w:t>
      </w:r>
      <w:r w:rsidRPr="00F551CD">
        <w:rPr>
          <w:rFonts w:ascii="Book Antiqua" w:eastAsia="Book Antiqua" w:hAnsi="Book Antiqua" w:cs="Book Antiqua"/>
        </w:rPr>
        <w:t>. If the incarceration of gallstones cannot be relieved timeously, it can induce acute gangrenous cholecystitis</w:t>
      </w:r>
      <w:r w:rsidRPr="00F551CD">
        <w:rPr>
          <w:rFonts w:ascii="Book Antiqua" w:eastAsia="Book Antiqua" w:hAnsi="Book Antiqua" w:cs="Book Antiqua"/>
          <w:shd w:val="clear" w:color="auto" w:fill="FFFFFF"/>
          <w:vertAlign w:val="superscript"/>
        </w:rPr>
        <w:t>[3]</w:t>
      </w:r>
      <w:r w:rsidRPr="00F551CD">
        <w:rPr>
          <w:rFonts w:ascii="Book Antiqua" w:eastAsia="Book Antiqua" w:hAnsi="Book Antiqua" w:cs="Book Antiqua"/>
        </w:rPr>
        <w:t>, septic shock</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even death. The traditional view is that laparoscopic cholecystectomy is not suitable for patients with a history of upper abdominal surgery</w:t>
      </w:r>
      <w:r w:rsidRPr="00F551CD">
        <w:rPr>
          <w:rFonts w:ascii="Book Antiqua" w:eastAsia="Book Antiqua" w:hAnsi="Book Antiqua" w:cs="Book Antiqua"/>
          <w:shd w:val="clear" w:color="auto" w:fill="FFFFFF"/>
          <w:vertAlign w:val="superscript"/>
        </w:rPr>
        <w:t>[4]</w:t>
      </w:r>
      <w:r w:rsidRPr="00F551CD">
        <w:rPr>
          <w:rFonts w:ascii="Book Antiqua" w:eastAsia="Book Antiqua" w:hAnsi="Book Antiqua" w:cs="Book Antiqua"/>
        </w:rPr>
        <w:t xml:space="preserve">. In theory, patients who are taking single (aspirin) or dual (aspirin + clopidogrel) antiplatelet therapy for prevention of thrombosis need to stop medication for 7 </w:t>
      </w:r>
      <w:r w:rsidR="00943FC6" w:rsidRPr="00F551CD">
        <w:rPr>
          <w:rFonts w:ascii="Book Antiqua" w:hAnsi="Book Antiqua" w:cs="Book Antiqua"/>
          <w:lang w:eastAsia="zh-CN"/>
        </w:rPr>
        <w:t>d</w:t>
      </w:r>
      <w:r w:rsidRPr="00F551CD">
        <w:rPr>
          <w:rFonts w:ascii="Book Antiqua" w:eastAsia="Book Antiqua" w:hAnsi="Book Antiqua" w:cs="Book Antiqua"/>
        </w:rPr>
        <w:t xml:space="preserve"> before surgery</w:t>
      </w:r>
      <w:r w:rsidRPr="00F551CD">
        <w:rPr>
          <w:rFonts w:ascii="Book Antiqua" w:eastAsia="Book Antiqua" w:hAnsi="Book Antiqua" w:cs="Book Antiqua"/>
          <w:shd w:val="clear" w:color="auto" w:fill="FFFFFF"/>
          <w:vertAlign w:val="superscript"/>
        </w:rPr>
        <w:t>[5]</w:t>
      </w:r>
      <w:r w:rsidRPr="00F551CD">
        <w:rPr>
          <w:rFonts w:ascii="Book Antiqua" w:eastAsia="Book Antiqua" w:hAnsi="Book Antiqua" w:cs="Book Antiqua"/>
        </w:rPr>
        <w:t>.</w:t>
      </w:r>
    </w:p>
    <w:p w14:paraId="5646CDEB" w14:textId="465DCF8D"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 xml:space="preserve">Recently, we treated an 89-year-old male patient with acute gangrenous cholecystitis and septic shock induced by </w:t>
      </w:r>
      <w:r w:rsidRPr="00F551CD">
        <w:rPr>
          <w:rFonts w:ascii="Book Antiqua" w:eastAsia="Book Antiqua" w:hAnsi="Book Antiqua" w:cs="Book Antiqua"/>
          <w:shd w:val="clear" w:color="auto" w:fill="FFFFFF"/>
        </w:rPr>
        <w:t xml:space="preserve">incarcerated cholecystolithiasis. He </w:t>
      </w:r>
      <w:r w:rsidRPr="00F551CD">
        <w:rPr>
          <w:rFonts w:ascii="Book Antiqua" w:eastAsia="Book Antiqua" w:hAnsi="Book Antiqua" w:cs="Book Antiqua"/>
        </w:rPr>
        <w:t>had several coexisting high-risk underlying diseases</w:t>
      </w:r>
      <w:r w:rsidR="00046327" w:rsidRPr="00F551CD">
        <w:rPr>
          <w:rFonts w:ascii="Book Antiqua" w:eastAsia="Book Antiqua" w:hAnsi="Book Antiqua" w:cs="Book Antiqua"/>
        </w:rPr>
        <w:t>,</w:t>
      </w:r>
      <w:r w:rsidRPr="00F551CD">
        <w:rPr>
          <w:rFonts w:ascii="Book Antiqua" w:eastAsia="Book Antiqua" w:hAnsi="Book Antiqua" w:cs="Book Antiqua"/>
        </w:rPr>
        <w:t xml:space="preserve"> such as coronary heart disease, hypertension, cerebral infarction, and chronic bronchitis, </w:t>
      </w:r>
      <w:r w:rsidR="00046327" w:rsidRPr="00F551CD">
        <w:rPr>
          <w:rFonts w:ascii="Book Antiqua" w:eastAsia="Book Antiqua" w:hAnsi="Book Antiqua" w:cs="Book Antiqua"/>
        </w:rPr>
        <w:t xml:space="preserve">had </w:t>
      </w:r>
      <w:r w:rsidRPr="00F551CD">
        <w:rPr>
          <w:rFonts w:ascii="Book Antiqua" w:eastAsia="Book Antiqua" w:hAnsi="Book Antiqua" w:cs="Book Antiqua"/>
        </w:rPr>
        <w:t xml:space="preserve">a history of radical gastrectomy for gastric cancer, and took aspirin for a long time until the day of admission. We here report the experience of diagnosis and treatment along with a literature review so as to provide a reference for emergency surgery and effective epidemic prevention in elderly patients with high-risk acute abdominal diseases </w:t>
      </w:r>
      <w:r w:rsidRPr="00F551CD">
        <w:rPr>
          <w:rFonts w:ascii="Book Antiqua" w:eastAsia="Book Antiqua" w:hAnsi="Book Antiqua" w:cs="Book Antiqua"/>
          <w:shd w:val="clear" w:color="auto" w:fill="FFFFFF"/>
        </w:rPr>
        <w:t>during the COVID-19 pandemic.</w:t>
      </w:r>
    </w:p>
    <w:p w14:paraId="755681F7" w14:textId="77777777" w:rsidR="00A77B3E" w:rsidRPr="00F551CD" w:rsidRDefault="00A77B3E" w:rsidP="00F551CD">
      <w:pPr>
        <w:adjustRightInd w:val="0"/>
        <w:snapToGrid w:val="0"/>
        <w:spacing w:line="360" w:lineRule="auto"/>
        <w:ind w:firstLine="480"/>
        <w:jc w:val="both"/>
        <w:rPr>
          <w:rFonts w:ascii="Book Antiqua" w:hAnsi="Book Antiqua"/>
        </w:rPr>
      </w:pPr>
    </w:p>
    <w:p w14:paraId="12C4D98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CASE PRESENTATION</w:t>
      </w:r>
    </w:p>
    <w:p w14:paraId="24D96F4D"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Chief complaints</w:t>
      </w:r>
    </w:p>
    <w:p w14:paraId="448FA85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An 89-year-old male patient (born on January 18, 1931) was admitted to our hospital on March 19, 2020, because of right upper abdominal pain and fever for 2 </w:t>
      </w:r>
      <w:r w:rsidR="004A1A25" w:rsidRPr="00F551CD">
        <w:rPr>
          <w:rFonts w:ascii="Book Antiqua" w:hAnsi="Book Antiqua" w:cs="Book Antiqua"/>
          <w:lang w:eastAsia="zh-CN"/>
        </w:rPr>
        <w:t>d</w:t>
      </w:r>
      <w:r w:rsidRPr="00F551CD">
        <w:rPr>
          <w:rFonts w:ascii="Book Antiqua" w:eastAsia="Book Antiqua" w:hAnsi="Book Antiqua" w:cs="Book Antiqua"/>
        </w:rPr>
        <w:t>.</w:t>
      </w:r>
    </w:p>
    <w:p w14:paraId="563A5431" w14:textId="77777777" w:rsidR="00A77B3E" w:rsidRPr="00F551CD" w:rsidRDefault="00A77B3E" w:rsidP="00F551CD">
      <w:pPr>
        <w:adjustRightInd w:val="0"/>
        <w:snapToGrid w:val="0"/>
        <w:spacing w:line="360" w:lineRule="auto"/>
        <w:jc w:val="both"/>
        <w:rPr>
          <w:rFonts w:ascii="Book Antiqua" w:hAnsi="Book Antiqua"/>
        </w:rPr>
      </w:pPr>
    </w:p>
    <w:p w14:paraId="16BCD14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History of present illness</w:t>
      </w:r>
    </w:p>
    <w:p w14:paraId="64B5D687" w14:textId="74ABC096"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 xml:space="preserve">The patient experienced a postprandial sudden right upper abdominal pain 2 </w:t>
      </w:r>
      <w:r w:rsidR="00582758" w:rsidRPr="00F551CD">
        <w:rPr>
          <w:rFonts w:ascii="Book Antiqua" w:hAnsi="Book Antiqua" w:cs="Book Antiqua"/>
          <w:lang w:eastAsia="zh-CN"/>
        </w:rPr>
        <w:t>d</w:t>
      </w:r>
      <w:r w:rsidRPr="00F551CD">
        <w:rPr>
          <w:rFonts w:ascii="Book Antiqua" w:eastAsia="Book Antiqua" w:hAnsi="Book Antiqua" w:cs="Book Antiqua"/>
        </w:rPr>
        <w:t xml:space="preserve"> </w:t>
      </w:r>
      <w:r w:rsidR="00046327" w:rsidRPr="00F551CD">
        <w:rPr>
          <w:rFonts w:ascii="Book Antiqua" w:eastAsia="Book Antiqua" w:hAnsi="Book Antiqua" w:cs="Book Antiqua"/>
        </w:rPr>
        <w:t>prior</w:t>
      </w:r>
      <w:r w:rsidRPr="00F551CD">
        <w:rPr>
          <w:rFonts w:ascii="Book Antiqua" w:eastAsia="Book Antiqua" w:hAnsi="Book Antiqua" w:cs="Book Antiqua"/>
        </w:rPr>
        <w:t>, which was a persistent blunt pain, paroxysmal colic, accompanied by radiating pain in the right shoulder and back, and fever (maximum temperature 38.2</w:t>
      </w:r>
      <w:r w:rsidR="00046327" w:rsidRPr="00F551CD">
        <w:rPr>
          <w:rFonts w:ascii="Book Antiqua" w:eastAsia="Book Antiqua" w:hAnsi="Book Antiqua" w:cs="Book Antiqua"/>
        </w:rPr>
        <w:t xml:space="preserve"> </w:t>
      </w:r>
      <w:r w:rsidRPr="00F551CD">
        <w:rPr>
          <w:rFonts w:ascii="Book Antiqua" w:eastAsia="Book Antiqua" w:hAnsi="Book Antiqua" w:cs="Book Antiqua"/>
        </w:rPr>
        <w:t>°C)</w:t>
      </w:r>
      <w:r w:rsidR="00582758" w:rsidRPr="00F551CD">
        <w:rPr>
          <w:rFonts w:ascii="Book Antiqua" w:hAnsi="Book Antiqua" w:cs="Book Antiqua"/>
          <w:lang w:eastAsia="zh-CN"/>
        </w:rPr>
        <w:t>.</w:t>
      </w:r>
    </w:p>
    <w:p w14:paraId="2EF3E04C" w14:textId="77777777" w:rsidR="00A77B3E" w:rsidRPr="00F551CD" w:rsidRDefault="00A77B3E" w:rsidP="00F551CD">
      <w:pPr>
        <w:adjustRightInd w:val="0"/>
        <w:snapToGrid w:val="0"/>
        <w:spacing w:line="360" w:lineRule="auto"/>
        <w:jc w:val="both"/>
        <w:rPr>
          <w:rFonts w:ascii="Book Antiqua" w:hAnsi="Book Antiqua"/>
        </w:rPr>
      </w:pPr>
    </w:p>
    <w:p w14:paraId="5CF0829F"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History of past illness</w:t>
      </w:r>
    </w:p>
    <w:p w14:paraId="11D004C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He had a history of coronary heart disease, hypertension, cerebral infarction, open radical gastrectomy for gastric cancer for 30 years, and took aspirin for a long time until the day of admission. He had a history of chronic bronchitis for 5 years.</w:t>
      </w:r>
    </w:p>
    <w:p w14:paraId="7452FE4E" w14:textId="77777777" w:rsidR="00A77B3E" w:rsidRPr="00F551CD" w:rsidRDefault="00A77B3E" w:rsidP="00F551CD">
      <w:pPr>
        <w:adjustRightInd w:val="0"/>
        <w:snapToGrid w:val="0"/>
        <w:spacing w:line="360" w:lineRule="auto"/>
        <w:jc w:val="both"/>
        <w:rPr>
          <w:rFonts w:ascii="Book Antiqua" w:hAnsi="Book Antiqua"/>
        </w:rPr>
      </w:pPr>
    </w:p>
    <w:p w14:paraId="2EF2FE42"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i/>
          <w:iCs/>
        </w:rPr>
        <w:t>Personal and family history</w:t>
      </w:r>
    </w:p>
    <w:p w14:paraId="3B10F0A2"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He had no history of smoking, drinking, or familial disease. He had no contact with COVID-19 pneumonia.</w:t>
      </w:r>
    </w:p>
    <w:p w14:paraId="13EC5BB5" w14:textId="77777777" w:rsidR="00A77B3E" w:rsidRPr="00F551CD" w:rsidRDefault="00A77B3E" w:rsidP="00F551CD">
      <w:pPr>
        <w:adjustRightInd w:val="0"/>
        <w:snapToGrid w:val="0"/>
        <w:spacing w:line="360" w:lineRule="auto"/>
        <w:jc w:val="both"/>
        <w:rPr>
          <w:rFonts w:ascii="Book Antiqua" w:hAnsi="Book Antiqua"/>
        </w:rPr>
      </w:pPr>
    </w:p>
    <w:p w14:paraId="6D86F4F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Physical examination</w:t>
      </w:r>
    </w:p>
    <w:p w14:paraId="6D7062C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Physical examination revealed right upper abdominal tenderness, rebound pain, positive Murphy’s sign, negative ascites sign, blood pressure 86/56 mmHg, pulse 110 beats/min, and respiratory rate 28 breaths/min.</w:t>
      </w:r>
    </w:p>
    <w:p w14:paraId="0B8A24DE" w14:textId="77777777" w:rsidR="00A77B3E" w:rsidRPr="00F551CD" w:rsidRDefault="00A77B3E" w:rsidP="00F551CD">
      <w:pPr>
        <w:adjustRightInd w:val="0"/>
        <w:snapToGrid w:val="0"/>
        <w:spacing w:line="360" w:lineRule="auto"/>
        <w:jc w:val="both"/>
        <w:rPr>
          <w:rFonts w:ascii="Book Antiqua" w:hAnsi="Book Antiqua"/>
        </w:rPr>
      </w:pPr>
    </w:p>
    <w:p w14:paraId="4DB5118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Laboratory examinations</w:t>
      </w:r>
    </w:p>
    <w:p w14:paraId="366DEFFC" w14:textId="246A4CF0"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Peripheral</w:t>
      </w:r>
      <w:r w:rsidRPr="00F551CD">
        <w:rPr>
          <w:rFonts w:ascii="Book Antiqua" w:eastAsia="Book Antiqua" w:hAnsi="Book Antiqua" w:cs="Book Antiqua"/>
          <w:i/>
          <w:iCs/>
        </w:rPr>
        <w:t xml:space="preserve"> </w:t>
      </w:r>
      <w:r w:rsidRPr="00F551CD">
        <w:rPr>
          <w:rFonts w:ascii="Book Antiqua" w:eastAsia="Book Antiqua" w:hAnsi="Book Antiqua" w:cs="Book Antiqua"/>
        </w:rPr>
        <w:t>white blood cell</w:t>
      </w:r>
      <w:r w:rsidRPr="00F551CD">
        <w:rPr>
          <w:rFonts w:ascii="Book Antiqua" w:eastAsia="Book Antiqua" w:hAnsi="Book Antiqua" w:cs="Book Antiqua"/>
          <w:i/>
          <w:iCs/>
        </w:rPr>
        <w:t xml:space="preserve"> </w:t>
      </w:r>
      <w:r w:rsidRPr="00F551CD">
        <w:rPr>
          <w:rFonts w:ascii="Book Antiqua" w:eastAsia="Book Antiqua" w:hAnsi="Book Antiqua" w:cs="Book Antiqua"/>
        </w:rPr>
        <w:t>count (WBC)</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16.2</w:t>
      </w:r>
      <w:r w:rsidR="00756CFD" w:rsidRPr="00F551CD">
        <w:rPr>
          <w:rFonts w:ascii="Book Antiqua" w:hAnsi="Book Antiqua" w:cs="Book Antiqua"/>
          <w:lang w:eastAsia="zh-CN"/>
        </w:rPr>
        <w:t xml:space="preserve"> </w:t>
      </w:r>
      <w:r w:rsidRPr="00F551CD">
        <w:rPr>
          <w:rFonts w:ascii="Book Antiqua" w:eastAsia="Book Antiqua" w:hAnsi="Book Antiqua" w:cs="Book Antiqua"/>
        </w:rPr>
        <w:t>×</w:t>
      </w:r>
      <w:r w:rsidR="00756CFD"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/L</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neutrophils </w:t>
      </w:r>
      <w:r w:rsidR="00046327" w:rsidRPr="00F551CD">
        <w:rPr>
          <w:rFonts w:ascii="Book Antiqua" w:eastAsia="Book Antiqua" w:hAnsi="Book Antiqua" w:cs="Book Antiqua"/>
        </w:rPr>
        <w:t xml:space="preserve">were </w:t>
      </w:r>
      <w:r w:rsidRPr="00F551CD">
        <w:rPr>
          <w:rFonts w:ascii="Book Antiqua" w:eastAsia="Book Antiqua" w:hAnsi="Book Antiqua" w:cs="Book Antiqua"/>
        </w:rPr>
        <w:t xml:space="preserve">92.4%. High-sensitivity C-reactive protein (Hs-CRP)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178.01 mg/L</w:t>
      </w:r>
      <w:r w:rsidR="00046327" w:rsidRPr="00F551CD">
        <w:rPr>
          <w:rFonts w:ascii="Book Antiqua" w:eastAsia="Book Antiqua" w:hAnsi="Book Antiqua" w:cs="Book Antiqua"/>
        </w:rPr>
        <w:t>, and s</w:t>
      </w:r>
      <w:r w:rsidRPr="00F551CD">
        <w:rPr>
          <w:rFonts w:ascii="Book Antiqua" w:eastAsia="Book Antiqua" w:hAnsi="Book Antiqua" w:cs="Book Antiqua"/>
        </w:rPr>
        <w:t xml:space="preserve">erum procalcitonin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1.31 ng/mL. </w:t>
      </w:r>
      <w:r w:rsidR="00046327" w:rsidRPr="00F551CD">
        <w:rPr>
          <w:rFonts w:ascii="Book Antiqua" w:eastAsia="Book Antiqua" w:hAnsi="Book Antiqua" w:cs="Book Antiqua"/>
        </w:rPr>
        <w:t>Regarding l</w:t>
      </w:r>
      <w:r w:rsidRPr="00F551CD">
        <w:rPr>
          <w:rFonts w:ascii="Book Antiqua" w:eastAsia="Book Antiqua" w:hAnsi="Book Antiqua" w:cs="Book Antiqua"/>
        </w:rPr>
        <w:t>iver function</w:t>
      </w:r>
      <w:r w:rsidR="00046327" w:rsidRPr="00F551CD">
        <w:rPr>
          <w:rFonts w:ascii="Book Antiqua" w:eastAsia="Book Antiqua" w:hAnsi="Book Antiqua" w:cs="Book Antiqua"/>
        </w:rPr>
        <w:t>,</w:t>
      </w:r>
      <w:r w:rsidRPr="00F551CD">
        <w:rPr>
          <w:rFonts w:ascii="Book Antiqua" w:eastAsia="Book Antiqua" w:hAnsi="Book Antiqua" w:cs="Book Antiqua"/>
        </w:rPr>
        <w:t xml:space="preserve"> alanine aminotransferase</w:t>
      </w:r>
      <w:r w:rsidR="00756CFD" w:rsidRPr="00F551CD">
        <w:rPr>
          <w:rFonts w:ascii="Book Antiqua" w:hAnsi="Book Antiqua" w:cs="Book Antiqua"/>
          <w:lang w:eastAsia="zh-CN"/>
        </w:rPr>
        <w:t xml:space="preserve"> </w:t>
      </w:r>
      <w:r w:rsidR="00046327" w:rsidRPr="00F551CD">
        <w:rPr>
          <w:rFonts w:ascii="Book Antiqua" w:hAnsi="Book Antiqua" w:cs="Book Antiqua"/>
          <w:lang w:eastAsia="zh-CN"/>
        </w:rPr>
        <w:t xml:space="preserve">was </w:t>
      </w:r>
      <w:r w:rsidRPr="00F551CD">
        <w:rPr>
          <w:rFonts w:ascii="Book Antiqua" w:eastAsia="Book Antiqua" w:hAnsi="Book Antiqua" w:cs="Book Antiqua"/>
        </w:rPr>
        <w:t xml:space="preserve">19 U/mL, albumin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38.1 g/L, total bilirubin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36.76 μmol/L, and direct bilirubin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10.53 μmol/L. </w:t>
      </w:r>
      <w:r w:rsidR="00046327" w:rsidRPr="00F551CD">
        <w:rPr>
          <w:rFonts w:ascii="Book Antiqua" w:eastAsia="Book Antiqua" w:hAnsi="Book Antiqua" w:cs="Book Antiqua"/>
        </w:rPr>
        <w:t>Regarding c</w:t>
      </w:r>
      <w:r w:rsidRPr="00F551CD">
        <w:rPr>
          <w:rFonts w:ascii="Book Antiqua" w:eastAsia="Book Antiqua" w:hAnsi="Book Antiqua" w:cs="Book Antiqua"/>
        </w:rPr>
        <w:t>ardiac function</w:t>
      </w:r>
      <w:r w:rsidR="00046327" w:rsidRPr="00F551CD">
        <w:rPr>
          <w:rFonts w:ascii="Book Antiqua" w:eastAsia="Book Antiqua" w:hAnsi="Book Antiqua" w:cs="Book Antiqua"/>
        </w:rPr>
        <w:t xml:space="preserve">, </w:t>
      </w:r>
      <w:r w:rsidRPr="00F551CD">
        <w:rPr>
          <w:rFonts w:ascii="Book Antiqua" w:eastAsia="Book Antiqua" w:hAnsi="Book Antiqua" w:cs="Book Antiqua"/>
        </w:rPr>
        <w:t>high-sensitivity troponin</w:t>
      </w:r>
      <w:r w:rsidR="00756CFD" w:rsidRPr="00F551CD">
        <w:rPr>
          <w:rFonts w:ascii="Book Antiqua" w:hAnsi="Book Antiqua" w:cs="Book Antiqua"/>
          <w:lang w:eastAsia="zh-CN"/>
        </w:rPr>
        <w:t xml:space="preserve"> </w:t>
      </w:r>
      <w:r w:rsidRPr="00F551CD">
        <w:rPr>
          <w:rFonts w:ascii="Book Antiqua" w:eastAsia="Book Antiqua" w:hAnsi="Book Antiqua" w:cs="Book Antiqua"/>
        </w:rPr>
        <w:t xml:space="preserve">I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0.009 ng/mL, creatine kinase isoenzyme MB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1.6 ng/mL, myoglobin</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&gt; 1200 ng/mL, and B-type natriuretic peptide (BNP)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348.9 pg/mL. </w:t>
      </w:r>
      <w:r w:rsidR="00046327" w:rsidRPr="00F551CD">
        <w:rPr>
          <w:rFonts w:ascii="Book Antiqua" w:eastAsia="Book Antiqua" w:hAnsi="Book Antiqua" w:cs="Book Antiqua"/>
        </w:rPr>
        <w:t>Regarding b</w:t>
      </w:r>
      <w:r w:rsidRPr="00F551CD">
        <w:rPr>
          <w:rFonts w:ascii="Book Antiqua" w:eastAsia="Book Antiqua" w:hAnsi="Book Antiqua" w:cs="Book Antiqua"/>
        </w:rPr>
        <w:t>lood gas analysis</w:t>
      </w:r>
      <w:r w:rsidR="00046327" w:rsidRPr="00F551CD">
        <w:rPr>
          <w:rFonts w:ascii="Book Antiqua" w:eastAsia="Book Antiqua" w:hAnsi="Book Antiqua" w:cs="Book Antiqua"/>
        </w:rPr>
        <w:t xml:space="preserve">, </w:t>
      </w:r>
      <w:r w:rsidRPr="00F551CD">
        <w:rPr>
          <w:rFonts w:ascii="Book Antiqua" w:eastAsia="Book Antiqua" w:hAnsi="Book Antiqua" w:cs="Book Antiqua"/>
        </w:rPr>
        <w:t xml:space="preserve">partial pressure of oxygen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85.1 mmHg, oxygen saturation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96.7%, and partial pressure of carbon dioxide</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25.3 mmHg.</w:t>
      </w:r>
    </w:p>
    <w:p w14:paraId="329C7A21" w14:textId="77777777" w:rsidR="00A77B3E" w:rsidRPr="00F551CD" w:rsidRDefault="00A77B3E" w:rsidP="00F551CD">
      <w:pPr>
        <w:adjustRightInd w:val="0"/>
        <w:snapToGrid w:val="0"/>
        <w:spacing w:line="360" w:lineRule="auto"/>
        <w:jc w:val="both"/>
        <w:rPr>
          <w:rFonts w:ascii="Book Antiqua" w:hAnsi="Book Antiqua"/>
        </w:rPr>
      </w:pPr>
    </w:p>
    <w:p w14:paraId="380606D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Imaging examinations</w:t>
      </w:r>
    </w:p>
    <w:p w14:paraId="5A40A764"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Chest computed tomography (CT) showed pulmonary infection. Abdominal magnetic resonance imaging (MRI) showed a thickened gallbladder wall and surrounding fluid (Figure 1A), and a high-signal shadow of about 2 cm in diameter was seen in the gallbladder neck (Figure 1B). Magnetic resonance cholangiopancreatography showed filling defect of the gallbladder neck (Figure 1C).</w:t>
      </w:r>
    </w:p>
    <w:p w14:paraId="7D627FE4" w14:textId="77777777" w:rsidR="00A77B3E" w:rsidRPr="00F551CD" w:rsidRDefault="00A77B3E" w:rsidP="00F551CD">
      <w:pPr>
        <w:adjustRightInd w:val="0"/>
        <w:snapToGrid w:val="0"/>
        <w:spacing w:line="360" w:lineRule="auto"/>
        <w:jc w:val="both"/>
        <w:rPr>
          <w:rFonts w:ascii="Book Antiqua" w:hAnsi="Book Antiqua"/>
        </w:rPr>
      </w:pPr>
    </w:p>
    <w:p w14:paraId="46D1427E" w14:textId="77777777" w:rsidR="00A77B3E" w:rsidRPr="00F551CD" w:rsidRDefault="003F5789"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i/>
          <w:iCs/>
        </w:rPr>
        <w:t>Pathological findings</w:t>
      </w:r>
    </w:p>
    <w:p w14:paraId="64F0AE91" w14:textId="6C95322C"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A large amount of neutrophil infiltration, abscess</w:t>
      </w:r>
      <w:r w:rsidR="00FC3A8D" w:rsidRPr="00F551CD">
        <w:rPr>
          <w:rFonts w:ascii="Book Antiqua" w:eastAsia="Book Antiqua" w:hAnsi="Book Antiqua" w:cs="Book Antiqua"/>
        </w:rPr>
        <w:t>,</w:t>
      </w:r>
      <w:r w:rsidRPr="00F551CD">
        <w:rPr>
          <w:rFonts w:ascii="Book Antiqua" w:eastAsia="Book Antiqua" w:hAnsi="Book Antiqua" w:cs="Book Antiqua"/>
        </w:rPr>
        <w:t xml:space="preserve"> and necrosis were formed in the gallbladder wall. The mucosal epithelium of the gallbladder was necrotic and shed (Figure 1I).</w:t>
      </w:r>
    </w:p>
    <w:p w14:paraId="0065E5DE" w14:textId="77777777" w:rsidR="00A77B3E" w:rsidRPr="00F551CD" w:rsidRDefault="00A77B3E" w:rsidP="00F551CD">
      <w:pPr>
        <w:adjustRightInd w:val="0"/>
        <w:snapToGrid w:val="0"/>
        <w:spacing w:line="360" w:lineRule="auto"/>
        <w:jc w:val="both"/>
        <w:rPr>
          <w:rFonts w:ascii="Book Antiqua" w:hAnsi="Book Antiqua"/>
        </w:rPr>
      </w:pPr>
    </w:p>
    <w:p w14:paraId="60302C6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FINAL DIAGNOSIS</w:t>
      </w:r>
    </w:p>
    <w:p w14:paraId="3324FC9C"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I</w:t>
      </w:r>
      <w:r w:rsidRPr="00F551CD">
        <w:rPr>
          <w:rFonts w:ascii="Book Antiqua" w:eastAsia="Book Antiqua" w:hAnsi="Book Antiqua" w:cs="Book Antiqua"/>
          <w:shd w:val="clear" w:color="auto" w:fill="FFFFFF"/>
        </w:rPr>
        <w:t>ncarcerated cholecystolithiasis</w:t>
      </w:r>
      <w:r w:rsidRPr="00F551CD">
        <w:rPr>
          <w:rFonts w:ascii="Book Antiqua" w:eastAsia="Book Antiqua" w:hAnsi="Book Antiqua" w:cs="Book Antiqua"/>
        </w:rPr>
        <w:t xml:space="preserve"> and acute gangrenous cholecystitis.</w:t>
      </w:r>
    </w:p>
    <w:p w14:paraId="2CFBB893" w14:textId="77777777" w:rsidR="00A77B3E" w:rsidRPr="00F551CD" w:rsidRDefault="00A77B3E" w:rsidP="00F551CD">
      <w:pPr>
        <w:adjustRightInd w:val="0"/>
        <w:snapToGrid w:val="0"/>
        <w:spacing w:line="360" w:lineRule="auto"/>
        <w:jc w:val="both"/>
        <w:rPr>
          <w:rFonts w:ascii="Book Antiqua" w:hAnsi="Book Antiqua"/>
        </w:rPr>
      </w:pPr>
    </w:p>
    <w:p w14:paraId="4FE4B951"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TREATMENT</w:t>
      </w:r>
    </w:p>
    <w:p w14:paraId="14A63112" w14:textId="1D166370" w:rsidR="00EA1199"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After the patient was excluded by COVID-19 pneumonia screening, a single isolation ward was arranged. The major therapeutic measures included antispasmodic (anisodamine 10 mg, intravenous injection), analgesic (pethidine hydrochloride 50 mg, intramuscular injection), anti-infective (meropenem), and antishock (dopamine) medication. After 16 h, routine blood examination showed WBC 15.5</w:t>
      </w:r>
      <w:r w:rsidR="004456B0" w:rsidRPr="00F551CD">
        <w:rPr>
          <w:rFonts w:ascii="Book Antiqua" w:eastAsia="Book Antiqua" w:hAnsi="Book Antiqua" w:cs="Book Antiqua"/>
        </w:rPr>
        <w:t xml:space="preserve"> </w:t>
      </w:r>
      <w:r w:rsidRPr="00F551CD">
        <w:rPr>
          <w:rFonts w:ascii="Book Antiqua" w:eastAsia="Book Antiqua" w:hAnsi="Book Antiqua" w:cs="Book Antiqua"/>
        </w:rPr>
        <w:t>×</w:t>
      </w:r>
      <w:r w:rsidR="004456B0" w:rsidRPr="00F551CD">
        <w:rPr>
          <w:rFonts w:ascii="Book Antiqua" w:eastAsia="Book Antiqua" w:hAnsi="Book Antiqua" w:cs="Book Antiqua"/>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 xml:space="preserve">/L, neutrophils 90.4%, Hs-CRP 190.92 mg/L, and </w:t>
      </w:r>
      <w:r w:rsidR="00046327" w:rsidRPr="00F551CD">
        <w:rPr>
          <w:rFonts w:ascii="Book Antiqua" w:eastAsia="Book Antiqua" w:hAnsi="Book Antiqua" w:cs="Book Antiqua"/>
        </w:rPr>
        <w:t>serum procalcitonin</w:t>
      </w:r>
      <w:r w:rsidR="00046327" w:rsidRPr="00F551CD" w:rsidDel="00046327">
        <w:rPr>
          <w:rFonts w:ascii="Book Antiqua" w:eastAsia="Book Antiqua" w:hAnsi="Book Antiqua" w:cs="Book Antiqua"/>
        </w:rPr>
        <w:t xml:space="preserve"> </w:t>
      </w:r>
      <w:r w:rsidRPr="00F551CD">
        <w:rPr>
          <w:rFonts w:ascii="Book Antiqua" w:eastAsia="Book Antiqua" w:hAnsi="Book Antiqua" w:cs="Book Antiqua"/>
        </w:rPr>
        <w:t>2.47 ng/mL.</w:t>
      </w:r>
    </w:p>
    <w:p w14:paraId="46B52E72" w14:textId="47BDABD5" w:rsidR="00265AE2"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Through active preoperative preparation, after the patient signed the “Surgical Screening Form for Hospital Response to COVID-19 Epidemic Situation”; under the premise of taking secondary level protective measures for the operating room, supplies and personnel; on the basis of the emergency plan (fibrinogen, prothrombin complex, and plasma) to deal with intraoperative hemostasis and postoperative wound bleeding caused by taking aspirin preoperatively;</w:t>
      </w:r>
      <w:r w:rsidR="00A26C8F" w:rsidRPr="00F551CD">
        <w:rPr>
          <w:rFonts w:ascii="Book Antiqua" w:eastAsia="Book Antiqua" w:hAnsi="Book Antiqua" w:cs="Book Antiqua"/>
        </w:rPr>
        <w:t xml:space="preserve"> and</w:t>
      </w:r>
      <w:r w:rsidRPr="00F551CD">
        <w:rPr>
          <w:rFonts w:ascii="Book Antiqua" w:eastAsia="Book Antiqua" w:hAnsi="Book Antiqua" w:cs="Book Antiqua"/>
        </w:rPr>
        <w:t xml:space="preserve"> according to the specified protective route, the patient was transported to the specific independent ne</w:t>
      </w:r>
      <w:r w:rsidR="00265AE2" w:rsidRPr="00F551CD">
        <w:rPr>
          <w:rFonts w:ascii="Book Antiqua" w:eastAsia="Book Antiqua" w:hAnsi="Book Antiqua" w:cs="Book Antiqua"/>
        </w:rPr>
        <w:t>gative pressure operating room,</w:t>
      </w:r>
      <w:r w:rsidR="00265AE2" w:rsidRPr="00F551CD">
        <w:rPr>
          <w:rFonts w:ascii="Book Antiqua" w:hAnsi="Book Antiqua" w:cs="Book Antiqua"/>
          <w:lang w:eastAsia="zh-CN"/>
        </w:rPr>
        <w:t xml:space="preserve"> </w:t>
      </w:r>
      <w:r w:rsidRPr="00F551CD">
        <w:rPr>
          <w:rFonts w:ascii="Book Antiqua" w:eastAsia="Book Antiqua" w:hAnsi="Book Antiqua" w:cs="Book Antiqua"/>
        </w:rPr>
        <w:t xml:space="preserve">and underwent emergency laparoscopic exploration (Figure 1D). </w:t>
      </w:r>
    </w:p>
    <w:p w14:paraId="2FC39A04" w14:textId="77777777" w:rsidR="00265AE2"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The patient had abdominal purulent effusion (Figure 1E), severe right upper abdominal adhesions (Figure 1F), gallbladder wall gangrene (Figure 1G), purulent bile in the gallbladder cavity, and incarcerated stones in the gallbladder neck. Laparoscopic cholecystectomy was performed successfully (Figure 1H). The operation lasted 110 min with intraoperative bleeding of 100 mL. After the operation, the pathological specimens were placed in a double-layer specimen bag and sealed for inspection, and the medical waste was put into the double-layer medical waste bag for sealing and then disposed. </w:t>
      </w:r>
    </w:p>
    <w:p w14:paraId="7DF853AE" w14:textId="77777777"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 xml:space="preserve">After the operation, the patient with tracheal intubation was sent back to the original isolation ward along the designated protective route. After 16 h of ventilator-assisted therapy, he was successfully weaned from the ventilator. After 24 h, because of pulmonary insufficiency, he underwent tracheal intubation and ventilator-assisted breathing again. He received intensive treatment and specialist bedside care for 97 h, with successful prevention and treatment of heart and lung dysfunction. He was successfully weaned from the ventilator again, and gradually resumed eating. At 8 </w:t>
      </w:r>
      <w:r w:rsidR="00265AE2" w:rsidRPr="00F551CD">
        <w:rPr>
          <w:rFonts w:ascii="Book Antiqua" w:hAnsi="Book Antiqua" w:cs="Book Antiqua"/>
          <w:lang w:eastAsia="zh-CN"/>
        </w:rPr>
        <w:t>d</w:t>
      </w:r>
      <w:r w:rsidRPr="00F551CD">
        <w:rPr>
          <w:rFonts w:ascii="Book Antiqua" w:eastAsia="Book Antiqua" w:hAnsi="Book Antiqua" w:cs="Book Antiqua"/>
        </w:rPr>
        <w:t xml:space="preserve"> after surgery, he successfully recovered and was discharged.</w:t>
      </w:r>
    </w:p>
    <w:p w14:paraId="3AAF3E4F" w14:textId="77777777" w:rsidR="00A77B3E" w:rsidRPr="00F551CD" w:rsidRDefault="00A77B3E" w:rsidP="00F551CD">
      <w:pPr>
        <w:adjustRightInd w:val="0"/>
        <w:snapToGrid w:val="0"/>
        <w:spacing w:line="360" w:lineRule="auto"/>
        <w:ind w:firstLine="480"/>
        <w:jc w:val="both"/>
        <w:rPr>
          <w:rFonts w:ascii="Book Antiqua" w:hAnsi="Book Antiqua"/>
        </w:rPr>
      </w:pPr>
    </w:p>
    <w:p w14:paraId="6FF63F8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OUTCOME AND FOLLOW-UP</w:t>
      </w:r>
    </w:p>
    <w:p w14:paraId="54F00E49" w14:textId="3D90721D" w:rsidR="00A77B3E" w:rsidRPr="00F551CD" w:rsidRDefault="0086408C"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A</w:t>
      </w:r>
      <w:r w:rsidR="00A26C8F" w:rsidRPr="00F551CD">
        <w:rPr>
          <w:rFonts w:ascii="Book Antiqua" w:eastAsia="Book Antiqua" w:hAnsi="Book Antiqua" w:cs="Book Antiqua"/>
        </w:rPr>
        <w:t>t the</w:t>
      </w:r>
      <w:r w:rsidRPr="00F551CD">
        <w:rPr>
          <w:rFonts w:ascii="Book Antiqua" w:eastAsia="Book Antiqua" w:hAnsi="Book Antiqua" w:cs="Book Antiqua"/>
        </w:rPr>
        <w:t xml:space="preserve"> 2</w:t>
      </w:r>
      <w:r w:rsidRPr="00F551CD">
        <w:rPr>
          <w:rFonts w:ascii="Book Antiqua" w:hAnsi="Book Antiqua" w:cs="Book Antiqua"/>
          <w:lang w:eastAsia="zh-CN"/>
        </w:rPr>
        <w:t>-</w:t>
      </w:r>
      <w:r w:rsidR="00FB6887" w:rsidRPr="00F551CD">
        <w:rPr>
          <w:rFonts w:ascii="Book Antiqua" w:eastAsia="Book Antiqua" w:hAnsi="Book Antiqua" w:cs="Book Antiqua"/>
        </w:rPr>
        <w:t>mo follow-up, the patient had no abdominal pain, fever</w:t>
      </w:r>
      <w:r w:rsidR="00A26C8F" w:rsidRPr="00F551CD">
        <w:rPr>
          <w:rFonts w:ascii="Book Antiqua" w:eastAsia="Book Antiqua" w:hAnsi="Book Antiqua" w:cs="Book Antiqua"/>
        </w:rPr>
        <w:t>,</w:t>
      </w:r>
      <w:r w:rsidR="00FB6887" w:rsidRPr="00F551CD">
        <w:rPr>
          <w:rFonts w:ascii="Book Antiqua" w:eastAsia="Book Antiqua" w:hAnsi="Book Antiqua" w:cs="Book Antiqua"/>
        </w:rPr>
        <w:t xml:space="preserve"> or other discomfort. Liver, heart</w:t>
      </w:r>
      <w:r w:rsidR="00A26C8F" w:rsidRPr="00F551CD">
        <w:rPr>
          <w:rFonts w:ascii="Book Antiqua" w:eastAsia="Book Antiqua" w:hAnsi="Book Antiqua" w:cs="Book Antiqua"/>
        </w:rPr>
        <w:t>,</w:t>
      </w:r>
      <w:r w:rsidR="00FB6887" w:rsidRPr="00F551CD">
        <w:rPr>
          <w:rFonts w:ascii="Book Antiqua" w:eastAsia="Book Antiqua" w:hAnsi="Book Antiqua" w:cs="Book Antiqua"/>
        </w:rPr>
        <w:t xml:space="preserve"> and lung functions were normal.</w:t>
      </w:r>
    </w:p>
    <w:p w14:paraId="1860E442" w14:textId="77777777" w:rsidR="00A77B3E" w:rsidRPr="00F551CD" w:rsidRDefault="00A77B3E" w:rsidP="00F551CD">
      <w:pPr>
        <w:adjustRightInd w:val="0"/>
        <w:snapToGrid w:val="0"/>
        <w:spacing w:line="360" w:lineRule="auto"/>
        <w:jc w:val="both"/>
        <w:rPr>
          <w:rFonts w:ascii="Book Antiqua" w:hAnsi="Book Antiqua"/>
        </w:rPr>
      </w:pPr>
    </w:p>
    <w:p w14:paraId="5821745E"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DISCUSSION</w:t>
      </w:r>
    </w:p>
    <w:p w14:paraId="167A236D" w14:textId="69768A64" w:rsidR="00AE2B40"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On March 11, 2020, the World Health Organization announced the global pandemic of COVID-19 pneumonia. As of 11:00 on May 25, Beijing time, the number of confirmed cases of global COVID-19 had r</w:t>
      </w:r>
      <w:r w:rsidR="00AE2B40" w:rsidRPr="00F551CD">
        <w:rPr>
          <w:rFonts w:ascii="Book Antiqua" w:eastAsia="Book Antiqua" w:hAnsi="Book Antiqua" w:cs="Book Antiqua"/>
        </w:rPr>
        <w:t>eached 5</w:t>
      </w:r>
      <w:r w:rsidR="00A26C8F" w:rsidRPr="00F551CD">
        <w:rPr>
          <w:rFonts w:ascii="Book Antiqua" w:eastAsia="Book Antiqua" w:hAnsi="Book Antiqua" w:cs="Book Antiqua"/>
        </w:rPr>
        <w:t>.</w:t>
      </w:r>
      <w:r w:rsidR="00AE2B40" w:rsidRPr="00F551CD">
        <w:rPr>
          <w:rFonts w:ascii="Book Antiqua" w:eastAsia="Book Antiqua" w:hAnsi="Book Antiqua" w:cs="Book Antiqua"/>
        </w:rPr>
        <w:t>4077 million, with 345</w:t>
      </w:r>
      <w:r w:rsidRPr="00F551CD">
        <w:rPr>
          <w:rFonts w:ascii="Book Antiqua" w:eastAsia="Book Antiqua" w:hAnsi="Book Antiqua" w:cs="Book Antiqua"/>
        </w:rPr>
        <w:t>060 deaths. Therefore, there is an urgent need to strengthen protection against the global COVID-19 pandemic</w:t>
      </w:r>
      <w:r w:rsidR="00AE2B40" w:rsidRPr="00F551CD">
        <w:rPr>
          <w:rFonts w:ascii="Book Antiqua" w:eastAsia="Book Antiqua" w:hAnsi="Book Antiqua" w:cs="Book Antiqua"/>
          <w:shd w:val="clear" w:color="auto" w:fill="FFFFFF"/>
          <w:vertAlign w:val="superscript"/>
        </w:rPr>
        <w:t>[6,</w:t>
      </w:r>
      <w:r w:rsidRPr="00F551CD">
        <w:rPr>
          <w:rFonts w:ascii="Book Antiqua" w:eastAsia="Book Antiqua" w:hAnsi="Book Antiqua" w:cs="Book Antiqua"/>
          <w:shd w:val="clear" w:color="auto" w:fill="FFFFFF"/>
          <w:vertAlign w:val="superscript"/>
        </w:rPr>
        <w:t>7]</w:t>
      </w:r>
      <w:r w:rsidRPr="00F551CD">
        <w:rPr>
          <w:rFonts w:ascii="Book Antiqua" w:eastAsia="Book Antiqua" w:hAnsi="Book Antiqua" w:cs="Book Antiqua"/>
        </w:rPr>
        <w:t>.</w:t>
      </w:r>
    </w:p>
    <w:p w14:paraId="66ADC7F0" w14:textId="438C1C44" w:rsidR="00AE2B40" w:rsidRPr="00F551CD" w:rsidRDefault="00A26C8F"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A</w:t>
      </w:r>
      <w:r w:rsidR="00FB6887" w:rsidRPr="00F551CD">
        <w:rPr>
          <w:rFonts w:ascii="Book Antiqua" w:eastAsia="Book Antiqua" w:hAnsi="Book Antiqua" w:cs="Book Antiqua"/>
        </w:rPr>
        <w:t xml:space="preserve"> serious challenge </w:t>
      </w:r>
      <w:r w:rsidRPr="00F551CD">
        <w:rPr>
          <w:rFonts w:ascii="Book Antiqua" w:eastAsia="Book Antiqua" w:hAnsi="Book Antiqua" w:cs="Book Antiqua"/>
        </w:rPr>
        <w:t xml:space="preserve">is </w:t>
      </w:r>
      <w:r w:rsidR="00FB6887" w:rsidRPr="00F551CD">
        <w:rPr>
          <w:rFonts w:ascii="Book Antiqua" w:eastAsia="Book Antiqua" w:hAnsi="Book Antiqua" w:cs="Book Antiqua"/>
        </w:rPr>
        <w:t>how to</w:t>
      </w:r>
      <w:r w:rsidRPr="00F551CD">
        <w:rPr>
          <w:rFonts w:ascii="Book Antiqua" w:eastAsia="Book Antiqua" w:hAnsi="Book Antiqua" w:cs="Book Antiqua"/>
        </w:rPr>
        <w:t xml:space="preserve"> prevent</w:t>
      </w:r>
      <w:r w:rsidR="00FB6887" w:rsidRPr="00F551CD">
        <w:rPr>
          <w:rFonts w:ascii="Book Antiqua" w:eastAsia="Book Antiqua" w:hAnsi="Book Antiqua" w:cs="Book Antiqua"/>
        </w:rPr>
        <w:t xml:space="preserve"> effectively nosocomial infection and avoid the occurrence of clustered epidemic events and </w:t>
      </w:r>
      <w:r w:rsidRPr="00F551CD">
        <w:rPr>
          <w:rFonts w:ascii="Book Antiqua" w:eastAsia="Book Antiqua" w:hAnsi="Book Antiqua" w:cs="Book Antiqua"/>
        </w:rPr>
        <w:t xml:space="preserve">to carry out </w:t>
      </w:r>
      <w:r w:rsidR="00FB6887" w:rsidRPr="00F551CD">
        <w:rPr>
          <w:rFonts w:ascii="Book Antiqua" w:eastAsia="Book Antiqua" w:hAnsi="Book Antiqua" w:cs="Book Antiqua"/>
        </w:rPr>
        <w:t>actively emergency surgical treatment for critically-ill patients</w:t>
      </w:r>
      <w:r w:rsidR="00AE2B40" w:rsidRPr="00F551CD">
        <w:rPr>
          <w:rFonts w:ascii="Book Antiqua" w:eastAsia="Book Antiqua" w:hAnsi="Book Antiqua" w:cs="Book Antiqua"/>
          <w:shd w:val="clear" w:color="auto" w:fill="FFFFFF"/>
          <w:vertAlign w:val="superscript"/>
        </w:rPr>
        <w:t>[8,</w:t>
      </w:r>
      <w:r w:rsidR="00FB6887" w:rsidRPr="00F551CD">
        <w:rPr>
          <w:rFonts w:ascii="Book Antiqua" w:eastAsia="Book Antiqua" w:hAnsi="Book Antiqua" w:cs="Book Antiqua"/>
          <w:shd w:val="clear" w:color="auto" w:fill="FFFFFF"/>
          <w:vertAlign w:val="superscript"/>
        </w:rPr>
        <w:t>9]</w:t>
      </w:r>
      <w:r w:rsidR="00FB6887" w:rsidRPr="00F551CD">
        <w:rPr>
          <w:rFonts w:ascii="Book Antiqua" w:eastAsia="Book Antiqua" w:hAnsi="Book Antiqua" w:cs="Book Antiqua"/>
        </w:rPr>
        <w:t xml:space="preserve">. </w:t>
      </w:r>
      <w:r w:rsidRPr="00F551CD">
        <w:rPr>
          <w:rFonts w:ascii="Book Antiqua" w:eastAsia="Book Antiqua" w:hAnsi="Book Antiqua" w:cs="Book Antiqua"/>
        </w:rPr>
        <w:t>Special attention should be paid e</w:t>
      </w:r>
      <w:r w:rsidR="00FB6887" w:rsidRPr="00F551CD">
        <w:rPr>
          <w:rFonts w:ascii="Book Antiqua" w:eastAsia="Book Antiqua" w:hAnsi="Book Antiqua" w:cs="Book Antiqua"/>
        </w:rPr>
        <w:t xml:space="preserve">specially </w:t>
      </w:r>
      <w:r w:rsidRPr="00F551CD">
        <w:rPr>
          <w:rFonts w:ascii="Book Antiqua" w:eastAsia="Book Antiqua" w:hAnsi="Book Antiqua" w:cs="Book Antiqua"/>
        </w:rPr>
        <w:t>to</w:t>
      </w:r>
      <w:r w:rsidR="00FB6887" w:rsidRPr="00F551CD">
        <w:rPr>
          <w:rFonts w:ascii="Book Antiqua" w:eastAsia="Book Antiqua" w:hAnsi="Book Antiqua" w:cs="Book Antiqua"/>
        </w:rPr>
        <w:t xml:space="preserve"> elderly patients undergoing emergency surgery, due to the higher risk of infection during the perioperative period. Based on our experience of successful emergency surgery of elderly high-risk patients, the full process of epidemic protection of emergency surgery during the COVID-19 pandemic is summarized as follows. COVID-19 pneumonia has the characteristics of strong infectivity, high susceptibility of the population, long incubation period, and diverse clinical manifestations. Elderly patients with diabetes, hypertension, and cardiovascular and cerebrovascular diseases are more susceptible than younger patients</w:t>
      </w:r>
      <w:r w:rsidR="00FB6887" w:rsidRPr="00F551CD">
        <w:rPr>
          <w:rFonts w:ascii="Book Antiqua" w:eastAsia="Book Antiqua" w:hAnsi="Book Antiqua" w:cs="Book Antiqua"/>
          <w:shd w:val="clear" w:color="auto" w:fill="FFFFFF"/>
          <w:vertAlign w:val="superscript"/>
        </w:rPr>
        <w:t>[10]</w:t>
      </w:r>
      <w:r w:rsidR="00FB6887" w:rsidRPr="00F551CD">
        <w:rPr>
          <w:rFonts w:ascii="Book Antiqua" w:eastAsia="Book Antiqua" w:hAnsi="Book Antiqua" w:cs="Book Antiqua"/>
        </w:rPr>
        <w:t>. When the current COVID-19 epidemic situation is still severe, during patient admission, strict screening and careful admission must be carried out. This is to diagnose specific diseases and their degree of critical severity. It is also to investigate fully the epidemic situation and contact history with the epidemic area; strictly abide by the epidemic prevention regulations of the hospital; improve the relevant epidemic investigation and inspection (such as routine blood examination, C-reactive protein, chest CT, novel coronavirus nucleic acids and antibodies); and arrange a single ward for isolation and protection. For the present case, chest CT before admission suggested pulmonary infection, so differential diagnosis of COVID-19 pneumonia was important.</w:t>
      </w:r>
    </w:p>
    <w:p w14:paraId="33DC3CFF" w14:textId="71253DBC"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Many elderly patients with acute abdominal disease often have coexisting underlying diseases. This patient had pulmonary infection, as well as a long history of coronary heart disease, hypertension, cerebral infarction, chronic bronchitis</w:t>
      </w:r>
      <w:r w:rsidR="00A26C8F" w:rsidRPr="00F551CD">
        <w:rPr>
          <w:rFonts w:ascii="Book Antiqua" w:eastAsia="Book Antiqua" w:hAnsi="Book Antiqua" w:cs="Book Antiqua"/>
        </w:rPr>
        <w:t>,</w:t>
      </w:r>
      <w:r w:rsidRPr="00F551CD">
        <w:rPr>
          <w:rFonts w:ascii="Book Antiqua" w:eastAsia="Book Antiqua" w:hAnsi="Book Antiqua" w:cs="Book Antiqua"/>
        </w:rPr>
        <w:t xml:space="preserve"> and emphysema. </w:t>
      </w:r>
      <w:r w:rsidR="00A26C8F" w:rsidRPr="00F551CD">
        <w:rPr>
          <w:rFonts w:ascii="Book Antiqua" w:eastAsia="Book Antiqua" w:hAnsi="Book Antiqua" w:cs="Book Antiqua"/>
        </w:rPr>
        <w:t>A</w:t>
      </w:r>
      <w:r w:rsidRPr="00F551CD">
        <w:rPr>
          <w:rFonts w:ascii="Book Antiqua" w:eastAsia="Book Antiqua" w:hAnsi="Book Antiqua" w:cs="Book Antiqua"/>
        </w:rPr>
        <w:t xml:space="preserve">dequate preoperative examination and preparation should be carried out in such cases. </w:t>
      </w:r>
    </w:p>
    <w:p w14:paraId="231CD150" w14:textId="404C992B"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On the basis of strict inspection of indications and contraindications of acute abdominal disease, once emergency surgery is decided, heart, lung, liver and kidney function, and the coagulation system related to perioperative safety must be thoroughly investigated. Before surgery, patients sign the “Surgical Screening Form for Hospital Response to COVID-19 Epidemic Situation” and confirm that they have had no contact with COVID-19 pneumonia. Emergency surgery can only be carried out under strict isolation of the operating room, supplies</w:t>
      </w:r>
      <w:r w:rsidR="00A26C8F" w:rsidRPr="00F551CD">
        <w:rPr>
          <w:rFonts w:ascii="Book Antiqua" w:eastAsia="Book Antiqua" w:hAnsi="Book Antiqua" w:cs="Book Antiqua"/>
        </w:rPr>
        <w:t>,</w:t>
      </w:r>
      <w:r w:rsidRPr="00F551CD">
        <w:rPr>
          <w:rFonts w:ascii="Book Antiqua" w:eastAsia="Book Antiqua" w:hAnsi="Book Antiqua" w:cs="Book Antiqua"/>
        </w:rPr>
        <w:t xml:space="preserve"> and personnel.</w:t>
      </w:r>
    </w:p>
    <w:p w14:paraId="2396B944" w14:textId="40C7E56B"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During patient transportation and operation, the requirements for COVID-19 epidemic prevention and control should be strictly followed. For emergency surgery for non COVID-19 pneumonia patients, operators should take secondary level protective measures (protective clothing, surgical masks, goggles, work caps, and shoe covers). For patients with COVID-19 pneumonia who have to be treated surgically, they should be prepared in a specific independent negative pressure operating room. The operating staff should strictly carry out third level protective measures (protective clothing, medical respirator, protective surface screen, goggles, work cap, and shoe covers)</w:t>
      </w:r>
      <w:r w:rsidRPr="00F551CD">
        <w:rPr>
          <w:rFonts w:ascii="Book Antiqua" w:eastAsia="Book Antiqua" w:hAnsi="Book Antiqua" w:cs="Book Antiqua"/>
          <w:shd w:val="clear" w:color="auto" w:fill="FFFFFF"/>
          <w:vertAlign w:val="superscript"/>
        </w:rPr>
        <w:t>[11]</w:t>
      </w:r>
      <w:r w:rsidRPr="00F551CD">
        <w:rPr>
          <w:rFonts w:ascii="Book Antiqua" w:eastAsia="Book Antiqua" w:hAnsi="Book Antiqua" w:cs="Book Antiqua"/>
        </w:rPr>
        <w:t>. During the operation, it is necessary to avoid splashing of body fluids and injury from sharp devices. After the operation, the surgical instruments and medical waste should be marked, classified</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isolated in a unified way, and the operating room should be thoroughly disinfected.</w:t>
      </w:r>
    </w:p>
    <w:p w14:paraId="684E18F4" w14:textId="3CBE37C1"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Elderly patients undergoing emergency surgery, in addition to strengthening preoperative and intraoperative cardiopulmonary monitoring, maintenance of postoperative cardiopulmonary function should be paid particular attention. After the operation, electrocardiography monitoring, central venous pressure measurement</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urine monitoring should be provided. If necessary, the urine volume per hour should be recorded to guide the volume and speed of postoperative infusion, so as to prevent heart failure and pulmonary edema caused by excessive and rapid infusion. To strengthen postoperative ward management, the single ward should be isolated and protected, and no escort personnel should be retained. If necessary, the accompanying personnel should be fixed, so as to prevent nosocomial infection and avoid the occurrence of clustered epidemic events.</w:t>
      </w:r>
    </w:p>
    <w:p w14:paraId="17202BC6" w14:textId="53B8B785"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Biliary diseases in elderly patients have many clinical characteristics, such as multiple coexisting diseases, poor surgical tolerance, high surgical risk, many postoperative complications, and high mortality</w:t>
      </w:r>
      <w:r w:rsidRPr="00F551CD">
        <w:rPr>
          <w:rFonts w:ascii="Book Antiqua" w:eastAsia="Book Antiqua" w:hAnsi="Book Antiqua" w:cs="Book Antiqua"/>
          <w:shd w:val="clear" w:color="auto" w:fill="FFFFFF"/>
          <w:vertAlign w:val="superscript"/>
        </w:rPr>
        <w:t>[12]</w:t>
      </w:r>
      <w:r w:rsidRPr="00F551CD">
        <w:rPr>
          <w:rFonts w:ascii="Book Antiqua" w:eastAsia="Book Antiqua" w:hAnsi="Book Antiqua" w:cs="Book Antiqua"/>
        </w:rPr>
        <w:t xml:space="preserve">. In the present 89-year-old patient, incarcerated gallstones induced acute gangrenous cholecystitis and septic shock. Although surgery may be the only effective measure to save the patient’s life, it is important to determine the surgical indications of acute calculous cholecystitis </w:t>
      </w:r>
      <w:r w:rsidR="0042371E" w:rsidRPr="00F551CD">
        <w:rPr>
          <w:rFonts w:ascii="Book Antiqua" w:eastAsia="Book Antiqua" w:hAnsi="Book Antiqua" w:cs="Book Antiqua"/>
        </w:rPr>
        <w:t xml:space="preserve">in elderly </w:t>
      </w:r>
      <w:r w:rsidRPr="00F551CD">
        <w:rPr>
          <w:rFonts w:ascii="Book Antiqua" w:eastAsia="Book Antiqua" w:hAnsi="Book Antiqua" w:cs="Book Antiqua"/>
        </w:rPr>
        <w:t>patients because of the combination of multiple high-risk underlying diseases and their risk for surgery.</w:t>
      </w:r>
    </w:p>
    <w:p w14:paraId="483C0A52" w14:textId="41EADDD0"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Up to now, there is no unified standard or guideline for the surgical indications for </w:t>
      </w:r>
      <w:r w:rsidR="0042371E" w:rsidRPr="00F551CD">
        <w:rPr>
          <w:rFonts w:ascii="Book Antiqua" w:eastAsia="Book Antiqua" w:hAnsi="Book Antiqua" w:cs="Book Antiqua"/>
        </w:rPr>
        <w:t>acute calculous cholecystitis</w:t>
      </w:r>
      <w:r w:rsidRPr="00F551CD">
        <w:rPr>
          <w:rFonts w:ascii="Book Antiqua" w:eastAsia="Book Antiqua" w:hAnsi="Book Antiqua" w:cs="Book Antiqua"/>
        </w:rPr>
        <w:t xml:space="preserve"> in elderly patients</w:t>
      </w:r>
      <w:r w:rsidR="00AE2B40" w:rsidRPr="00F551CD">
        <w:rPr>
          <w:rFonts w:ascii="Book Antiqua" w:eastAsia="Book Antiqua" w:hAnsi="Book Antiqua" w:cs="Book Antiqua"/>
          <w:shd w:val="clear" w:color="auto" w:fill="FFFFFF"/>
          <w:vertAlign w:val="superscript"/>
        </w:rPr>
        <w:t>[13,</w:t>
      </w:r>
      <w:r w:rsidRPr="00F551CD">
        <w:rPr>
          <w:rFonts w:ascii="Book Antiqua" w:eastAsia="Book Antiqua" w:hAnsi="Book Antiqua" w:cs="Book Antiqua"/>
          <w:shd w:val="clear" w:color="auto" w:fill="FFFFFF"/>
          <w:vertAlign w:val="superscript"/>
        </w:rPr>
        <w:t>14]</w:t>
      </w:r>
      <w:r w:rsidRPr="00F551CD">
        <w:rPr>
          <w:rFonts w:ascii="Book Antiqua" w:eastAsia="Book Antiqua" w:hAnsi="Book Antiqua" w:cs="Book Antiqua"/>
        </w:rPr>
        <w:t>. Based on years of clinical experience, we have developed and reported the following indicators</w:t>
      </w:r>
      <w:r w:rsidR="00AE2B40" w:rsidRPr="00F551CD">
        <w:rPr>
          <w:rFonts w:ascii="Book Antiqua" w:eastAsia="Book Antiqua" w:hAnsi="Book Antiqua" w:cs="Book Antiqua"/>
          <w:shd w:val="clear" w:color="auto" w:fill="FFFFFF"/>
          <w:vertAlign w:val="superscript"/>
        </w:rPr>
        <w:t>[2,15,</w:t>
      </w:r>
      <w:r w:rsidRPr="00F551CD">
        <w:rPr>
          <w:rFonts w:ascii="Book Antiqua" w:eastAsia="Book Antiqua" w:hAnsi="Book Antiqua" w:cs="Book Antiqua"/>
          <w:shd w:val="clear" w:color="auto" w:fill="FFFFFF"/>
          <w:vertAlign w:val="superscript"/>
        </w:rPr>
        <w:t>16]</w:t>
      </w:r>
      <w:r w:rsidRPr="00F551CD">
        <w:rPr>
          <w:rFonts w:ascii="Book Antiqua" w:eastAsia="Book Antiqua" w:hAnsi="Book Antiqua" w:cs="Book Antiqua"/>
        </w:rPr>
        <w:t xml:space="preserve">: (1) </w:t>
      </w:r>
      <w:r w:rsidR="0042371E" w:rsidRPr="00F551CD">
        <w:rPr>
          <w:rFonts w:ascii="Book Antiqua" w:eastAsia="Book Antiqua" w:hAnsi="Book Antiqua" w:cs="Book Antiqua"/>
        </w:rPr>
        <w:t>B</w:t>
      </w:r>
      <w:r w:rsidRPr="00F551CD">
        <w:rPr>
          <w:rFonts w:ascii="Book Antiqua" w:eastAsia="Book Antiqua" w:hAnsi="Book Antiqua" w:cs="Book Antiqua"/>
        </w:rPr>
        <w:t>ody temperature ≥ 38.5</w:t>
      </w:r>
      <w:r w:rsidR="00607841" w:rsidRPr="00F551CD">
        <w:rPr>
          <w:rFonts w:ascii="Book Antiqua" w:eastAsia="Book Antiqua" w:hAnsi="Book Antiqua" w:cs="Book Antiqua"/>
        </w:rPr>
        <w:t xml:space="preserve"> </w:t>
      </w:r>
      <w:r w:rsidRPr="00F551CD">
        <w:rPr>
          <w:rFonts w:ascii="Book Antiqua" w:eastAsia="Book Antiqua" w:hAnsi="Book Antiqua" w:cs="Book Antiqua"/>
        </w:rPr>
        <w:t xml:space="preserve">°C; (2) </w:t>
      </w:r>
      <w:r w:rsidR="000278D5">
        <w:rPr>
          <w:rFonts w:ascii="Book Antiqua" w:hAnsi="Book Antiqua" w:cs="Book Antiqua" w:hint="eastAsia"/>
          <w:lang w:eastAsia="zh-CN"/>
        </w:rPr>
        <w:t>P</w:t>
      </w:r>
      <w:r w:rsidRPr="00F551CD">
        <w:rPr>
          <w:rFonts w:ascii="Book Antiqua" w:eastAsia="Book Antiqua" w:hAnsi="Book Antiqua" w:cs="Book Antiqua"/>
        </w:rPr>
        <w:t>eripheral</w:t>
      </w:r>
      <w:r w:rsidRPr="00F551CD">
        <w:rPr>
          <w:rFonts w:ascii="Book Antiqua" w:eastAsia="Book Antiqua" w:hAnsi="Book Antiqua" w:cs="Book Antiqua"/>
          <w:i/>
          <w:iCs/>
        </w:rPr>
        <w:t xml:space="preserve"> </w:t>
      </w:r>
      <w:r w:rsidRPr="00F551CD">
        <w:rPr>
          <w:rFonts w:ascii="Book Antiqua" w:eastAsia="Book Antiqua" w:hAnsi="Book Antiqua" w:cs="Book Antiqua"/>
        </w:rPr>
        <w:t>WBC ≥ 15</w:t>
      </w:r>
      <w:r w:rsidR="00AE2B40" w:rsidRPr="00F551CD">
        <w:rPr>
          <w:rFonts w:ascii="Book Antiqua" w:hAnsi="Book Antiqua" w:cs="Book Antiqua"/>
          <w:lang w:eastAsia="zh-CN"/>
        </w:rPr>
        <w:t xml:space="preserve"> </w:t>
      </w:r>
      <w:r w:rsidRPr="00F551CD">
        <w:rPr>
          <w:rFonts w:ascii="Book Antiqua" w:eastAsia="Book Antiqua" w:hAnsi="Book Antiqua" w:cs="Book Antiqua"/>
        </w:rPr>
        <w:t>×</w:t>
      </w:r>
      <w:r w:rsidR="00AE2B40"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 xml:space="preserve">/L; (3) </w:t>
      </w:r>
      <w:r w:rsidR="000278D5">
        <w:rPr>
          <w:rFonts w:ascii="Book Antiqua" w:hAnsi="Book Antiqua" w:cs="Book Antiqua" w:hint="eastAsia"/>
          <w:lang w:eastAsia="zh-CN"/>
        </w:rPr>
        <w:t>N</w:t>
      </w:r>
      <w:r w:rsidRPr="00F551CD">
        <w:rPr>
          <w:rFonts w:ascii="Book Antiqua" w:eastAsia="Book Antiqua" w:hAnsi="Book Antiqua" w:cs="Book Antiqua"/>
        </w:rPr>
        <w:t>eutrophils ≥ 85%; (4) Hs-CRP ≥ 100 mg/L; (5) B ultrasonography shows double layer structure of the gallbladder wall; and (6) CT or MRI shows pericholecystic or perihepatic fluid. In this case, the preoperative examination showed WBC 15.5</w:t>
      </w:r>
      <w:r w:rsidR="00AE2B40" w:rsidRPr="00F551CD">
        <w:rPr>
          <w:rFonts w:ascii="Book Antiqua" w:hAnsi="Book Antiqua" w:cs="Book Antiqua"/>
          <w:lang w:eastAsia="zh-CN"/>
        </w:rPr>
        <w:t xml:space="preserve"> </w:t>
      </w:r>
      <w:r w:rsidRPr="00F551CD">
        <w:rPr>
          <w:rFonts w:ascii="Book Antiqua" w:eastAsia="Book Antiqua" w:hAnsi="Book Antiqua" w:cs="Book Antiqua"/>
        </w:rPr>
        <w:t>×</w:t>
      </w:r>
      <w:r w:rsidR="00AE2B40"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/L, neutrophils 90.4%, Hs-CRP 190.92 mg/L, and pericholecystic fluid in MRI; all of which were in accordance with the above-mentioned surgical indications. Intraoperative examination showed purulent effusion in the abdominal cavity, lamellar gangrene of the gallbladder wall, purulent bile in the gallbladder cavity, and incarcerated stones in the neck of the gallbladder; thus suggesting that the indication and timing of the operation were correct.</w:t>
      </w:r>
    </w:p>
    <w:p w14:paraId="4264B8E4" w14:textId="5CFFEA50"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The traditional view is that a history of upper abdominal surgery is a contraindication for laparoscopic surgery because of the possibility of abdominal adhesions</w:t>
      </w:r>
      <w:r w:rsidRPr="00F551CD">
        <w:rPr>
          <w:rFonts w:ascii="Book Antiqua" w:eastAsia="Book Antiqua" w:hAnsi="Book Antiqua" w:cs="Book Antiqua"/>
          <w:vertAlign w:val="superscript"/>
        </w:rPr>
        <w:t xml:space="preserve">[17] </w:t>
      </w:r>
      <w:r w:rsidRPr="00F551CD">
        <w:rPr>
          <w:rFonts w:ascii="Book Antiqua" w:eastAsia="Book Antiqua" w:hAnsi="Book Antiqua" w:cs="Book Antiqua"/>
        </w:rPr>
        <w:t>leading abdominal organ damage</w:t>
      </w:r>
      <w:r w:rsidR="00AE2B40" w:rsidRPr="00F551CD">
        <w:rPr>
          <w:rFonts w:ascii="Book Antiqua" w:eastAsia="Book Antiqua" w:hAnsi="Book Antiqua" w:cs="Book Antiqua"/>
          <w:vertAlign w:val="superscript"/>
        </w:rPr>
        <w:t>[18,</w:t>
      </w:r>
      <w:r w:rsidRPr="00F551CD">
        <w:rPr>
          <w:rFonts w:ascii="Book Antiqua" w:eastAsia="Book Antiqua" w:hAnsi="Book Antiqua" w:cs="Book Antiqua"/>
          <w:vertAlign w:val="superscript"/>
        </w:rPr>
        <w:t>19]</w:t>
      </w:r>
      <w:r w:rsidRPr="00F551CD">
        <w:rPr>
          <w:rFonts w:ascii="Book Antiqua" w:eastAsia="Book Antiqua" w:hAnsi="Book Antiqua" w:cs="Book Antiqua"/>
        </w:rPr>
        <w:t>. However, with the development of laparoscopic instruments, technical progress</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accumulation of experience, the indications for laparoscopic surgery have gradually expanded, and there are more reports on successful biliary surgery for patients with a history of upper abdominal surgery</w:t>
      </w:r>
      <w:r w:rsidRPr="00F551CD">
        <w:rPr>
          <w:rFonts w:ascii="Book Antiqua" w:eastAsia="Book Antiqua" w:hAnsi="Book Antiqua" w:cs="Book Antiqua"/>
          <w:vertAlign w:val="superscript"/>
        </w:rPr>
        <w:t>[20-22]</w:t>
      </w:r>
      <w:r w:rsidRPr="00F551CD">
        <w:rPr>
          <w:rFonts w:ascii="Book Antiqua" w:eastAsia="Book Antiqua" w:hAnsi="Book Antiqua" w:cs="Book Antiqua"/>
        </w:rPr>
        <w:t>.</w:t>
      </w:r>
    </w:p>
    <w:p w14:paraId="2D15D926"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Our experience of lap</w:t>
      </w:r>
      <w:r w:rsidR="00AE3462" w:rsidRPr="00F551CD">
        <w:rPr>
          <w:rFonts w:ascii="Book Antiqua" w:eastAsia="Book Antiqua" w:hAnsi="Book Antiqua" w:cs="Book Antiqua"/>
        </w:rPr>
        <w:t>aroscopic surgery is as follows</w:t>
      </w:r>
      <w:r w:rsidR="00AE3462" w:rsidRPr="00F551CD">
        <w:rPr>
          <w:rFonts w:ascii="Book Antiqua" w:hAnsi="Book Antiqua" w:cs="Book Antiqua"/>
          <w:lang w:eastAsia="zh-CN"/>
        </w:rPr>
        <w:t>:</w:t>
      </w:r>
      <w:r w:rsidRPr="00F551CD">
        <w:rPr>
          <w:rFonts w:ascii="Book Antiqua" w:eastAsia="Book Antiqua" w:hAnsi="Book Antiqua" w:cs="Book Antiqua"/>
        </w:rPr>
        <w:t xml:space="preserve"> (1) The first puncture site should be at least 2 cm away from the original open incision, because the original surgical incision generally has intestinal or omental adhesions, which often excee</w:t>
      </w:r>
      <w:r w:rsidR="00A503B6" w:rsidRPr="00F551CD">
        <w:rPr>
          <w:rFonts w:ascii="Book Antiqua" w:eastAsia="Book Antiqua" w:hAnsi="Book Antiqua" w:cs="Book Antiqua"/>
        </w:rPr>
        <w:t>d the incision length by 2</w:t>
      </w:r>
      <w:r w:rsidR="00607841" w:rsidRPr="00F551CD">
        <w:rPr>
          <w:rFonts w:ascii="Book Antiqua" w:eastAsia="Book Antiqua" w:hAnsi="Book Antiqua" w:cs="Book Antiqua"/>
        </w:rPr>
        <w:t>-</w:t>
      </w:r>
      <w:r w:rsidR="00A503B6" w:rsidRPr="00F551CD">
        <w:rPr>
          <w:rFonts w:ascii="Book Antiqua" w:eastAsia="Book Antiqua" w:hAnsi="Book Antiqua" w:cs="Book Antiqua"/>
        </w:rPr>
        <w:t>5 cm</w:t>
      </w:r>
      <w:r w:rsidR="00A503B6" w:rsidRPr="00F551CD">
        <w:rPr>
          <w:rFonts w:ascii="Book Antiqua" w:hAnsi="Book Antiqua" w:cs="Book Antiqua"/>
          <w:lang w:eastAsia="zh-CN"/>
        </w:rPr>
        <w:t>;</w:t>
      </w:r>
      <w:r w:rsidRPr="00F551CD">
        <w:rPr>
          <w:rFonts w:ascii="Book Antiqua" w:eastAsia="Book Antiqua" w:hAnsi="Book Antiqua" w:cs="Book Antiqua"/>
        </w:rPr>
        <w:t xml:space="preserve"> (2) When the laparoscope enters the abdominal cavity, if it is difficult to insert the laparoscope in the case of wrapped adhesions, we should carefully look for looser adhesive tissue voids or avascular areas; use the lens to penetrate the adhesion; and assist separation of the adhesion through the auxiliary puncture hole, until the </w:t>
      </w:r>
      <w:r w:rsidR="00A503B6" w:rsidRPr="00F551CD">
        <w:rPr>
          <w:rFonts w:ascii="Book Antiqua" w:eastAsia="Book Antiqua" w:hAnsi="Book Antiqua" w:cs="Book Antiqua"/>
        </w:rPr>
        <w:t>surgical site is fully exposed</w:t>
      </w:r>
      <w:r w:rsidR="00A503B6" w:rsidRPr="00F551CD">
        <w:rPr>
          <w:rFonts w:ascii="Book Antiqua" w:hAnsi="Book Antiqua" w:cs="Book Antiqua"/>
          <w:lang w:eastAsia="zh-CN"/>
        </w:rPr>
        <w:t xml:space="preserve">; and </w:t>
      </w:r>
      <w:r w:rsidRPr="00F551CD">
        <w:rPr>
          <w:rFonts w:ascii="Book Antiqua" w:eastAsia="Book Antiqua" w:hAnsi="Book Antiqua" w:cs="Book Antiqua"/>
        </w:rPr>
        <w:t>(3) When separating important organ adhesions, the adhesion level should be clearly identified, and blunt and sharp separation should be used to prevent direct loss of adhesive organs or delayed electrical damage. The present case had a history of radical gastrectomy, and although abdominal adhesions were serious, laparoscopic cholecystectomy was still successful following the above principles without any side effects.</w:t>
      </w:r>
    </w:p>
    <w:p w14:paraId="3A3843DF"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shd w:val="clear" w:color="auto" w:fill="FFFFFF"/>
        </w:rPr>
        <w:t>In e</w:t>
      </w:r>
      <w:r w:rsidRPr="00F551CD">
        <w:rPr>
          <w:rFonts w:ascii="Book Antiqua" w:eastAsia="Book Antiqua" w:hAnsi="Book Antiqua" w:cs="Book Antiqua"/>
        </w:rPr>
        <w:t>lderly patients with biliary tract disease, postoperative pulmonary function should be strengthened, by encouraging them to take deep breaths and expectoration, regularly changing their body position, keeping the respiratory tract unobstructed, preventing respiratory tract infection, and reducing postoperative atelectasis and pneumonia</w:t>
      </w:r>
      <w:r w:rsidRPr="00F551CD">
        <w:rPr>
          <w:rFonts w:ascii="Book Antiqua" w:eastAsia="Book Antiqua" w:hAnsi="Book Antiqua" w:cs="Book Antiqua"/>
          <w:vertAlign w:val="superscript"/>
        </w:rPr>
        <w:t>[23-25]</w:t>
      </w:r>
      <w:r w:rsidRPr="00F551CD">
        <w:rPr>
          <w:rFonts w:ascii="Book Antiqua" w:eastAsia="Book Antiqua" w:hAnsi="Book Antiqua" w:cs="Book Antiqua"/>
        </w:rPr>
        <w:t>.</w:t>
      </w:r>
    </w:p>
    <w:p w14:paraId="1B909D47" w14:textId="2FB7EFED"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To prevent and control postoperative pulmonary infection, physical methods and expectorant drugs should be used to assist expectoration, such as conventional atomization and oxygen inhalation. Early ambulation is encouraged</w:t>
      </w:r>
      <w:r w:rsidR="005B5E41" w:rsidRPr="00F551CD">
        <w:rPr>
          <w:rFonts w:ascii="Book Antiqua" w:eastAsia="Book Antiqua" w:hAnsi="Book Antiqua" w:cs="Book Antiqua"/>
        </w:rPr>
        <w:t>,</w:t>
      </w:r>
      <w:r w:rsidRPr="00F551CD">
        <w:rPr>
          <w:rFonts w:ascii="Book Antiqua" w:eastAsia="Book Antiqua" w:hAnsi="Book Antiqua" w:cs="Book Antiqua"/>
        </w:rPr>
        <w:t xml:space="preserve"> oral care is given regularly, and sputum bacterial culture should be performed to find mold. At the same time, postoperative esophageal sphincter tone hypotension should be prevented, as this can cause vomiting and inhalation of lung infectious agents. In case of shortness of breath and difficulty in expectoration, a ventilator should be used as early as possible, the airway secretion should be cleared, and adequate ventilation volume should be maintained. The ventilator should not be used until respiratory failure occurs.</w:t>
      </w:r>
    </w:p>
    <w:p w14:paraId="15EE696A"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In the present case, the preoperative oxygen partial pressure was low (85.1 mmHg). After 16 h of postoperative ventilator-assisted treatment, arterial blood gas analysis showed that oxygen partial pressure was 107.1 mmHg, and the ventilator was successfully separated. </w:t>
      </w:r>
    </w:p>
    <w:p w14:paraId="764EB8F5"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After 24 h, the partial pressure of oxygen gradually decreased to 44.4 mmHg, suggesting pulmonary insufficiency, and tracheal intubation and ventilator-assisted breathing was restarted. He was treated with anti-infective agent (meropenem 2 g, intravenous drip, q8h), mucolytic agent (ambroxol 60 mg, intravenous injection, q8h), atomization (budesonide respirable suspension 2 mL, ipratropium 500 g, q8h), and immune enhancement (immunoglobulin 10 g, qd), fresh plasma (200 mL, qd, 3 </w:t>
      </w:r>
      <w:r w:rsidR="00BD01C1" w:rsidRPr="00F551CD">
        <w:rPr>
          <w:rFonts w:ascii="Book Antiqua" w:hAnsi="Book Antiqua" w:cs="Book Antiqua"/>
          <w:lang w:eastAsia="zh-CN"/>
        </w:rPr>
        <w:t>d</w:t>
      </w:r>
      <w:r w:rsidRPr="00F551CD">
        <w:rPr>
          <w:rFonts w:ascii="Book Antiqua" w:eastAsia="Book Antiqua" w:hAnsi="Book Antiqua" w:cs="Book Antiqua"/>
        </w:rPr>
        <w:t xml:space="preserve"> continuously). After 97 h of intensive treatment and specialist bedside care, he was successfully separated from the ventilator again. After 24 h of oxygen therapy through the oxygen storage mask, his respiratory function returned to normal.</w:t>
      </w:r>
    </w:p>
    <w:p w14:paraId="451A8AB6" w14:textId="3F663ABD"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shd w:val="clear" w:color="auto" w:fill="FFFFFF"/>
        </w:rPr>
        <w:t>In</w:t>
      </w:r>
      <w:r w:rsidRPr="00F551CD">
        <w:rPr>
          <w:rFonts w:ascii="Book Antiqua" w:eastAsia="Book Antiqua" w:hAnsi="Book Antiqua" w:cs="Book Antiqua"/>
        </w:rPr>
        <w:t xml:space="preserve"> elderly patients with biliary tract disease, we should strengthen postoperative maintenance of cardiac function</w:t>
      </w:r>
      <w:r w:rsidR="00414EE2" w:rsidRPr="00F551CD">
        <w:rPr>
          <w:rFonts w:ascii="Book Antiqua" w:eastAsia="Book Antiqua" w:hAnsi="Book Antiqua" w:cs="Book Antiqua"/>
        </w:rPr>
        <w:t xml:space="preserve"> and</w:t>
      </w:r>
      <w:r w:rsidRPr="00F551CD">
        <w:rPr>
          <w:rFonts w:ascii="Book Antiqua" w:eastAsia="Book Antiqua" w:hAnsi="Book Antiqua" w:cs="Book Antiqua"/>
        </w:rPr>
        <w:t xml:space="preserve"> perform </w:t>
      </w:r>
      <w:r w:rsidR="0042371E" w:rsidRPr="00F551CD">
        <w:rPr>
          <w:rFonts w:ascii="Book Antiqua" w:eastAsia="Book Antiqua" w:hAnsi="Book Antiqua" w:cs="Book Antiqua"/>
        </w:rPr>
        <w:t>electrocardiography</w:t>
      </w:r>
      <w:r w:rsidR="0042371E" w:rsidRPr="00F551CD" w:rsidDel="0042371E">
        <w:rPr>
          <w:rFonts w:ascii="Book Antiqua" w:eastAsia="Book Antiqua" w:hAnsi="Book Antiqua" w:cs="Book Antiqua"/>
        </w:rPr>
        <w:t xml:space="preserve"> </w:t>
      </w:r>
      <w:r w:rsidRPr="00F551CD">
        <w:rPr>
          <w:rFonts w:ascii="Book Antiqua" w:eastAsia="Book Antiqua" w:hAnsi="Book Antiqua" w:cs="Book Antiqua"/>
        </w:rPr>
        <w:t xml:space="preserve">monitoring, central venous pressure measurement, </w:t>
      </w:r>
      <w:r w:rsidR="00414EE2" w:rsidRPr="00F551CD">
        <w:rPr>
          <w:rFonts w:ascii="Book Antiqua" w:eastAsia="Book Antiqua" w:hAnsi="Book Antiqua" w:cs="Book Antiqua"/>
        </w:rPr>
        <w:t xml:space="preserve">and </w:t>
      </w:r>
      <w:r w:rsidRPr="00F551CD">
        <w:rPr>
          <w:rFonts w:ascii="Book Antiqua" w:eastAsia="Book Antiqua" w:hAnsi="Book Antiqua" w:cs="Book Antiqua"/>
        </w:rPr>
        <w:t xml:space="preserve">urine monitoring (if necessary, urine volume per hour) to guide the volume and speed of postoperative infusion, </w:t>
      </w:r>
      <w:r w:rsidR="00414EE2" w:rsidRPr="00F551CD">
        <w:rPr>
          <w:rFonts w:ascii="Book Antiqua" w:eastAsia="Book Antiqua" w:hAnsi="Book Antiqua" w:cs="Book Antiqua"/>
        </w:rPr>
        <w:t xml:space="preserve">in order </w:t>
      </w:r>
      <w:r w:rsidRPr="00F551CD">
        <w:rPr>
          <w:rFonts w:ascii="Book Antiqua" w:eastAsia="Book Antiqua" w:hAnsi="Book Antiqua" w:cs="Book Antiqua"/>
        </w:rPr>
        <w:t>to prevent heart failure or even heart failure caused by excessively rapid infusion.</w:t>
      </w:r>
    </w:p>
    <w:p w14:paraId="26483DC3" w14:textId="20A4A2AC"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For patients with coronary heart disease, BNP, </w:t>
      </w:r>
      <w:r w:rsidR="00046327" w:rsidRPr="00F551CD">
        <w:rPr>
          <w:rFonts w:ascii="Book Antiqua" w:eastAsia="Book Antiqua" w:hAnsi="Book Antiqua" w:cs="Book Antiqua"/>
        </w:rPr>
        <w:t xml:space="preserve">high-sensitivity troponin </w:t>
      </w:r>
      <w:r w:rsidRPr="00F551CD">
        <w:rPr>
          <w:rFonts w:ascii="Book Antiqua" w:eastAsia="Book Antiqua" w:hAnsi="Book Antiqua" w:cs="Book Antiqua"/>
        </w:rPr>
        <w:t xml:space="preserve">I, </w:t>
      </w:r>
      <w:r w:rsidR="00046327" w:rsidRPr="00F551CD">
        <w:rPr>
          <w:rFonts w:ascii="Book Antiqua" w:eastAsia="Book Antiqua" w:hAnsi="Book Antiqua" w:cs="Book Antiqua"/>
        </w:rPr>
        <w:t>creatine kinase isoenzyme MB</w:t>
      </w:r>
      <w:r w:rsidRPr="00F551CD">
        <w:rPr>
          <w:rFonts w:ascii="Book Antiqua" w:eastAsia="Book Antiqua" w:hAnsi="Book Antiqua" w:cs="Book Antiqua"/>
        </w:rPr>
        <w:t xml:space="preserve">, and </w:t>
      </w:r>
      <w:r w:rsidR="00046327" w:rsidRPr="00F551CD">
        <w:rPr>
          <w:rFonts w:ascii="Book Antiqua" w:eastAsia="Book Antiqua" w:hAnsi="Book Antiqua" w:cs="Book Antiqua"/>
        </w:rPr>
        <w:t>myoglobin</w:t>
      </w:r>
      <w:r w:rsidR="00046327" w:rsidRPr="00F551CD" w:rsidDel="00046327">
        <w:rPr>
          <w:rFonts w:ascii="Book Antiqua" w:eastAsia="Book Antiqua" w:hAnsi="Book Antiqua" w:cs="Book Antiqua"/>
        </w:rPr>
        <w:t xml:space="preserve"> </w:t>
      </w:r>
      <w:r w:rsidRPr="00F551CD">
        <w:rPr>
          <w:rFonts w:ascii="Book Antiqua" w:eastAsia="Book Antiqua" w:hAnsi="Book Antiqua" w:cs="Book Antiqua"/>
        </w:rPr>
        <w:t>should be examined postoperatively to determine whether heart failure or myocardial injury have occurred and their severity</w:t>
      </w:r>
      <w:r w:rsidR="000A51CF" w:rsidRPr="00F551CD">
        <w:rPr>
          <w:rFonts w:ascii="Book Antiqua" w:eastAsia="Book Antiqua" w:hAnsi="Book Antiqua" w:cs="Book Antiqua"/>
          <w:vertAlign w:val="superscript"/>
        </w:rPr>
        <w:t>[26-2</w:t>
      </w:r>
      <w:r w:rsidR="000A51CF" w:rsidRPr="00F551CD">
        <w:rPr>
          <w:rFonts w:ascii="Book Antiqua" w:hAnsi="Book Antiqua" w:cs="Book Antiqua"/>
          <w:vertAlign w:val="superscript"/>
          <w:lang w:eastAsia="zh-CN"/>
        </w:rPr>
        <w:t>9</w:t>
      </w:r>
      <w:r w:rsidRPr="00F551CD">
        <w:rPr>
          <w:rFonts w:ascii="Book Antiqua" w:eastAsia="Book Antiqua" w:hAnsi="Book Antiqua" w:cs="Book Antiqua"/>
          <w:vertAlign w:val="superscript"/>
        </w:rPr>
        <w:t>]</w:t>
      </w:r>
      <w:r w:rsidRPr="00F551CD">
        <w:rPr>
          <w:rFonts w:ascii="Book Antiqua" w:eastAsia="Book Antiqua" w:hAnsi="Book Antiqua" w:cs="Book Antiqua"/>
        </w:rPr>
        <w:t>. If the above are significantly increased, it suggest</w:t>
      </w:r>
      <w:r w:rsidR="00414EE2" w:rsidRPr="00F551CD">
        <w:rPr>
          <w:rFonts w:ascii="Book Antiqua" w:eastAsia="Book Antiqua" w:hAnsi="Book Antiqua" w:cs="Book Antiqua"/>
        </w:rPr>
        <w:t>s</w:t>
      </w:r>
      <w:r w:rsidRPr="00F551CD">
        <w:rPr>
          <w:rFonts w:ascii="Book Antiqua" w:eastAsia="Book Antiqua" w:hAnsi="Book Antiqua" w:cs="Book Antiqua"/>
        </w:rPr>
        <w:t xml:space="preserve"> that acute myocardial infarction should be treated by thrombolysis, anticoagulation, and lipid-lowering and symptomatic therapy. If necessary, percutaneous coronary intervention should be performed.</w:t>
      </w:r>
    </w:p>
    <w:p w14:paraId="3C762CEB" w14:textId="6701560E"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For patients with heart failure, positive inotropic drugs such as digitalis should be selected, and diuretics should be used to promote discharge of interstitial fluid. At the same time, low-dose dopamine (0.5</w:t>
      </w:r>
      <w:r w:rsidR="002E5BB2" w:rsidRPr="00F551CD">
        <w:rPr>
          <w:rFonts w:ascii="Book Antiqua" w:eastAsia="Book Antiqua" w:hAnsi="Book Antiqua" w:cs="Book Antiqua"/>
        </w:rPr>
        <w:t>-</w:t>
      </w:r>
      <w:r w:rsidRPr="00F551CD">
        <w:rPr>
          <w:rFonts w:ascii="Book Antiqua" w:eastAsia="Book Antiqua" w:hAnsi="Book Antiqua" w:cs="Book Antiqua"/>
        </w:rPr>
        <w:t>2 g/kg/min) should be used to promote expansion of renal and mesenteric blood vessels, increase renal blood flow and glomerular filtration rate, and increase urine volume. Medium dose dopamine (2</w:t>
      </w:r>
      <w:r w:rsidR="0032606E" w:rsidRPr="00F551CD">
        <w:rPr>
          <w:rFonts w:ascii="Book Antiqua" w:eastAsia="Book Antiqua" w:hAnsi="Book Antiqua" w:cs="Book Antiqua"/>
        </w:rPr>
        <w:t>-</w:t>
      </w:r>
      <w:r w:rsidRPr="00F551CD">
        <w:rPr>
          <w:rFonts w:ascii="Book Antiqua" w:eastAsia="Book Antiqua" w:hAnsi="Book Antiqua" w:cs="Book Antiqua"/>
        </w:rPr>
        <w:t>10 g/kg/min) should be used to induce heart muscle contractility and increase heart beat volume.</w:t>
      </w:r>
    </w:p>
    <w:p w14:paraId="1CA60D5D" w14:textId="394F526B"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In the present case, BNP was 348.9 pg/mL before surgery, 156.7 pg/mL at the end of the operation, and gradually increased after surgery (506.9 pg/mL at 24 h, up to 2275.4 pg/mL 5 </w:t>
      </w:r>
      <w:r w:rsidR="00C666C7" w:rsidRPr="00F551CD">
        <w:rPr>
          <w:rFonts w:ascii="Book Antiqua" w:hAnsi="Book Antiqua" w:cs="Book Antiqua"/>
          <w:lang w:eastAsia="zh-CN"/>
        </w:rPr>
        <w:t>d</w:t>
      </w:r>
      <w:r w:rsidRPr="00F551CD">
        <w:rPr>
          <w:rFonts w:ascii="Book Antiqua" w:eastAsia="Book Antiqua" w:hAnsi="Book Antiqua" w:cs="Book Antiqua"/>
        </w:rPr>
        <w:t>). This suggested cardiac insufficiency, which was treated by controlling the infusion volume and speed, isosorbide nitrate injection</w:t>
      </w:r>
      <w:r w:rsidR="00414EE2" w:rsidRPr="00F551CD">
        <w:rPr>
          <w:rFonts w:ascii="Book Antiqua" w:eastAsia="Book Antiqua" w:hAnsi="Book Antiqua" w:cs="Book Antiqua"/>
        </w:rPr>
        <w:t>,</w:t>
      </w:r>
      <w:r w:rsidRPr="00F551CD">
        <w:rPr>
          <w:rFonts w:ascii="Book Antiqua" w:eastAsia="Book Antiqua" w:hAnsi="Book Antiqua" w:cs="Book Antiqua"/>
        </w:rPr>
        <w:t xml:space="preserve"> and furosemide. BNP gradually decreased to 179.3 pg/mL at discharge.</w:t>
      </w:r>
    </w:p>
    <w:p w14:paraId="295B6208" w14:textId="3319ABF6"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Most elderly patients have a long history of taking single (aspirin) or dual (aspirin + clopidogrel) antiplatelet therapy for prevention of thrombosis. The antiplatelet effect can cause perioperative coagulation dysfunction. Although it is still controversial whether it is necessary to stop taking aspirin and clopidogrel before surgery</w:t>
      </w:r>
      <w:r w:rsidRPr="00F551CD">
        <w:rPr>
          <w:rFonts w:ascii="Book Antiqua" w:eastAsia="Book Antiqua" w:hAnsi="Book Antiqua" w:cs="Book Antiqua"/>
          <w:vertAlign w:val="superscript"/>
        </w:rPr>
        <w:t>[30</w:t>
      </w:r>
      <w:r w:rsidR="00AC2182" w:rsidRPr="00F551CD">
        <w:rPr>
          <w:rFonts w:ascii="Book Antiqua" w:eastAsia="Book Antiqua" w:hAnsi="Book Antiqua" w:cs="Book Antiqua"/>
          <w:vertAlign w:val="superscript"/>
        </w:rPr>
        <w:t>,</w:t>
      </w:r>
      <w:r w:rsidRPr="00F551CD">
        <w:rPr>
          <w:rFonts w:ascii="Book Antiqua" w:eastAsia="Book Antiqua" w:hAnsi="Book Antiqua" w:cs="Book Antiqua"/>
          <w:vertAlign w:val="superscript"/>
        </w:rPr>
        <w:t>31]</w:t>
      </w:r>
      <w:r w:rsidRPr="00F551CD">
        <w:rPr>
          <w:rFonts w:ascii="Book Antiqua" w:eastAsia="Book Antiqua" w:hAnsi="Book Antiqua" w:cs="Book Antiqua"/>
        </w:rPr>
        <w:t xml:space="preserve">, our experience is to stop them as much as possible for 7 </w:t>
      </w:r>
      <w:r w:rsidR="00C666C7" w:rsidRPr="00F551CD">
        <w:rPr>
          <w:rFonts w:ascii="Book Antiqua" w:hAnsi="Book Antiqua" w:cs="Book Antiqua"/>
          <w:lang w:eastAsia="zh-CN"/>
        </w:rPr>
        <w:t>d</w:t>
      </w:r>
      <w:r w:rsidRPr="00F551CD">
        <w:rPr>
          <w:rFonts w:ascii="Book Antiqua" w:eastAsia="Book Antiqua" w:hAnsi="Book Antiqua" w:cs="Book Antiqua"/>
        </w:rPr>
        <w:t xml:space="preserve"> before surgery (platelet life span 7</w:t>
      </w:r>
      <w:r w:rsidR="002E5BB2" w:rsidRPr="00F551CD">
        <w:rPr>
          <w:rFonts w:ascii="Book Antiqua" w:eastAsia="Book Antiqua" w:hAnsi="Book Antiqua" w:cs="Book Antiqua"/>
        </w:rPr>
        <w:t>-</w:t>
      </w:r>
      <w:r w:rsidRPr="00F551CD">
        <w:rPr>
          <w:rFonts w:ascii="Book Antiqua" w:eastAsia="Book Antiqua" w:hAnsi="Book Antiqua" w:cs="Book Antiqua"/>
        </w:rPr>
        <w:t xml:space="preserve">10 </w:t>
      </w:r>
      <w:r w:rsidR="00C666C7" w:rsidRPr="00F551CD">
        <w:rPr>
          <w:rFonts w:ascii="Book Antiqua" w:hAnsi="Book Antiqua" w:cs="Book Antiqua"/>
          <w:lang w:eastAsia="zh-CN"/>
        </w:rPr>
        <w:t>d</w:t>
      </w:r>
      <w:r w:rsidRPr="00F551CD">
        <w:rPr>
          <w:rFonts w:ascii="Book Antiqua" w:eastAsia="Book Antiqua" w:hAnsi="Book Antiqua" w:cs="Book Antiqua"/>
        </w:rPr>
        <w:t>) to avoid intraoperative and postoperative bleeding. When anticoagulants are necessary, such as patients after coronary artery bypass surgery, they can be replaced with low molecular weight heparin. If aspirin and clopidogrel are stopped for &lt;</w:t>
      </w:r>
      <w:r w:rsidR="00C666C7" w:rsidRPr="00F551CD">
        <w:rPr>
          <w:rFonts w:ascii="Book Antiqua" w:hAnsi="Book Antiqua" w:cs="Book Antiqua"/>
          <w:lang w:eastAsia="zh-CN"/>
        </w:rPr>
        <w:t xml:space="preserve"> </w:t>
      </w:r>
      <w:r w:rsidRPr="00F551CD">
        <w:rPr>
          <w:rFonts w:ascii="Book Antiqua" w:eastAsia="Book Antiqua" w:hAnsi="Book Antiqua" w:cs="Book Antiqua"/>
        </w:rPr>
        <w:t xml:space="preserve">7 </w:t>
      </w:r>
      <w:r w:rsidR="00C666C7" w:rsidRPr="00F551CD">
        <w:rPr>
          <w:rFonts w:ascii="Book Antiqua" w:hAnsi="Book Antiqua" w:cs="Book Antiqua"/>
          <w:lang w:eastAsia="zh-CN"/>
        </w:rPr>
        <w:t>d</w:t>
      </w:r>
      <w:r w:rsidRPr="00F551CD">
        <w:rPr>
          <w:rFonts w:ascii="Book Antiqua" w:eastAsia="Book Antiqua" w:hAnsi="Book Antiqua" w:cs="Book Antiqua"/>
        </w:rPr>
        <w:t>, and emergency surgery is required, an emergency plan should be prepared to deal with potential intraoperative and postoperative hemorrhage. This can include fibrinogen, prothrombin complex</w:t>
      </w:r>
      <w:r w:rsidR="00414EE2" w:rsidRPr="00F551CD">
        <w:rPr>
          <w:rFonts w:ascii="Book Antiqua" w:eastAsia="Book Antiqua" w:hAnsi="Book Antiqua" w:cs="Book Antiqua"/>
        </w:rPr>
        <w:t>,</w:t>
      </w:r>
      <w:r w:rsidRPr="00F551CD">
        <w:rPr>
          <w:rFonts w:ascii="Book Antiqua" w:eastAsia="Book Antiqua" w:hAnsi="Book Antiqua" w:cs="Book Antiqua"/>
        </w:rPr>
        <w:t xml:space="preserve"> and plasma, to prevent and control possible intraoperative and postoperative coagulopathy.</w:t>
      </w:r>
    </w:p>
    <w:p w14:paraId="31CC9E0E" w14:textId="77777777" w:rsidR="00A77B3E" w:rsidRPr="00F551CD" w:rsidRDefault="00A77B3E" w:rsidP="00F551CD">
      <w:pPr>
        <w:adjustRightInd w:val="0"/>
        <w:snapToGrid w:val="0"/>
        <w:spacing w:line="360" w:lineRule="auto"/>
        <w:ind w:firstLine="360"/>
        <w:jc w:val="both"/>
        <w:rPr>
          <w:rFonts w:ascii="Book Antiqua" w:hAnsi="Book Antiqua"/>
        </w:rPr>
      </w:pPr>
    </w:p>
    <w:p w14:paraId="11D84E1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CONCLUSION</w:t>
      </w:r>
    </w:p>
    <w:p w14:paraId="32378086" w14:textId="048962D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shd w:val="clear" w:color="auto" w:fill="FFFFFF"/>
        </w:rPr>
        <w:t xml:space="preserve">In summary, </w:t>
      </w:r>
      <w:r w:rsidRPr="00F551CD">
        <w:rPr>
          <w:rFonts w:ascii="Book Antiqua" w:eastAsia="Book Antiqua" w:hAnsi="Book Antiqua" w:cs="Book Antiqua"/>
        </w:rPr>
        <w:t xml:space="preserve">in the current global </w:t>
      </w:r>
      <w:r w:rsidRPr="00F551CD">
        <w:rPr>
          <w:rFonts w:ascii="Book Antiqua" w:eastAsia="Book Antiqua" w:hAnsi="Book Antiqua" w:cs="Book Antiqua"/>
          <w:shd w:val="clear" w:color="auto" w:fill="FFFFFF"/>
        </w:rPr>
        <w:t xml:space="preserve">COVID-19 </w:t>
      </w:r>
      <w:r w:rsidRPr="00F551CD">
        <w:rPr>
          <w:rFonts w:ascii="Book Antiqua" w:eastAsia="Book Antiqua" w:hAnsi="Book Antiqua" w:cs="Book Antiqua"/>
        </w:rPr>
        <w:t>p</w:t>
      </w:r>
      <w:r w:rsidRPr="00F551CD">
        <w:rPr>
          <w:rFonts w:ascii="Book Antiqua" w:eastAsia="Book Antiqua" w:hAnsi="Book Antiqua" w:cs="Book Antiqua"/>
          <w:shd w:val="clear" w:color="auto" w:fill="FFFFFF"/>
        </w:rPr>
        <w:t>andemic</w:t>
      </w:r>
      <w:r w:rsidRPr="00F551CD">
        <w:rPr>
          <w:rFonts w:ascii="Book Antiqua" w:eastAsia="Book Antiqua" w:hAnsi="Book Antiqua" w:cs="Book Antiqua"/>
        </w:rPr>
        <w:t>, we should correctly assess the severity of acute abdomen in elderly patients, and the indications for emergency surgery</w:t>
      </w:r>
      <w:r w:rsidR="00153F0B" w:rsidRPr="00F551CD">
        <w:rPr>
          <w:rFonts w:ascii="Book Antiqua" w:eastAsia="Book Antiqua" w:hAnsi="Book Antiqua" w:cs="Book Antiqua"/>
        </w:rPr>
        <w:t>. It is important to abide</w:t>
      </w:r>
      <w:r w:rsidRPr="00F551CD">
        <w:rPr>
          <w:rFonts w:ascii="Book Antiqua" w:eastAsia="Book Antiqua" w:hAnsi="Book Antiqua" w:cs="Book Antiqua"/>
        </w:rPr>
        <w:t xml:space="preserve"> strictly by the hospital’s epidemic prevention regulations, </w:t>
      </w:r>
      <w:r w:rsidRPr="00F551CD">
        <w:rPr>
          <w:rFonts w:ascii="Book Antiqua" w:eastAsia="Book Antiqua" w:hAnsi="Book Antiqua" w:cs="Book Antiqua"/>
          <w:shd w:val="clear" w:color="auto" w:fill="FFFFFF"/>
        </w:rPr>
        <w:t>fully implement</w:t>
      </w:r>
      <w:r w:rsidRPr="00F551CD">
        <w:rPr>
          <w:rFonts w:ascii="Book Antiqua" w:eastAsia="Book Antiqua" w:hAnsi="Book Antiqua" w:cs="Book Antiqua"/>
        </w:rPr>
        <w:t xml:space="preserve"> the epidemic prevention</w:t>
      </w:r>
      <w:r w:rsidRPr="00F551CD">
        <w:rPr>
          <w:rFonts w:ascii="Book Antiqua" w:eastAsia="Book Antiqua" w:hAnsi="Book Antiqua" w:cs="Book Antiqua"/>
          <w:shd w:val="clear" w:color="auto" w:fill="FFFFFF"/>
        </w:rPr>
        <w:t xml:space="preserve"> procedure for emergency surgery</w:t>
      </w:r>
      <w:r w:rsidRPr="00F551CD">
        <w:rPr>
          <w:rFonts w:ascii="Book Antiqua" w:eastAsia="Book Antiqua" w:hAnsi="Book Antiqua" w:cs="Book Antiqua"/>
        </w:rPr>
        <w:t xml:space="preserve">, fully prepare before the operation, accurately perform the operation, and carefully manage the patient postoperatively. This will provide a reference for emergency surgery and effective epidemic prevention in the elderly patients with high-risk acute abdominal diseases </w:t>
      </w:r>
      <w:r w:rsidRPr="00F551CD">
        <w:rPr>
          <w:rFonts w:ascii="Book Antiqua" w:eastAsia="Book Antiqua" w:hAnsi="Book Antiqua" w:cs="Book Antiqua"/>
          <w:shd w:val="clear" w:color="auto" w:fill="FFFFFF"/>
        </w:rPr>
        <w:t>during the COVID-19 pandemic.</w:t>
      </w:r>
    </w:p>
    <w:p w14:paraId="164A5DD0" w14:textId="77777777" w:rsidR="00A77B3E" w:rsidRPr="00F551CD" w:rsidRDefault="00A77B3E" w:rsidP="00F551CD">
      <w:pPr>
        <w:adjustRightInd w:val="0"/>
        <w:snapToGrid w:val="0"/>
        <w:spacing w:line="360" w:lineRule="auto"/>
        <w:jc w:val="both"/>
        <w:rPr>
          <w:rFonts w:ascii="Book Antiqua" w:hAnsi="Book Antiqua"/>
        </w:rPr>
      </w:pPr>
    </w:p>
    <w:p w14:paraId="3DFDB2D4" w14:textId="77777777" w:rsidR="00A77B3E" w:rsidRPr="00F551CD"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t>REFERENCES</w:t>
      </w:r>
    </w:p>
    <w:p w14:paraId="48C246A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 </w:t>
      </w:r>
      <w:r w:rsidRPr="00F551CD">
        <w:rPr>
          <w:rFonts w:ascii="Book Antiqua" w:hAnsi="Book Antiqua"/>
          <w:b/>
        </w:rPr>
        <w:t>Zhang ZM,</w:t>
      </w:r>
      <w:r w:rsidR="007F2A04" w:rsidRPr="00F551CD">
        <w:rPr>
          <w:rFonts w:ascii="Book Antiqua" w:hAnsi="Book Antiqua"/>
        </w:rPr>
        <w:t xml:space="preserve"> </w:t>
      </w:r>
      <w:r w:rsidRPr="00F551CD">
        <w:rPr>
          <w:rFonts w:ascii="Book Antiqua" w:hAnsi="Book Antiqua"/>
        </w:rPr>
        <w:t xml:space="preserve">Zhao Y, Lin FC, Zhang C, Liu Z, Liu LM, Zhu MW, Deng H. </w:t>
      </w:r>
      <w:r w:rsidR="007F2A04" w:rsidRPr="00F551CD">
        <w:rPr>
          <w:rFonts w:ascii="Book Antiqua" w:hAnsi="Book Antiqua"/>
          <w:lang w:eastAsia="zh-CN"/>
        </w:rPr>
        <w:t>[</w:t>
      </w:r>
      <w:r w:rsidRPr="00F551CD">
        <w:rPr>
          <w:rFonts w:ascii="Book Antiqua" w:hAnsi="Book Antiqua"/>
        </w:rPr>
        <w:t>Preventive and therapeutic measures to improve perioperative safety in extremely elderly patients with biliary diseases</w:t>
      </w:r>
      <w:r w:rsidR="007F2A04" w:rsidRPr="00F551CD">
        <w:rPr>
          <w:rFonts w:ascii="Book Antiqua" w:hAnsi="Book Antiqua"/>
          <w:lang w:eastAsia="zh-CN"/>
        </w:rPr>
        <w:t>]</w:t>
      </w:r>
      <w:r w:rsidRPr="00F551CD">
        <w:rPr>
          <w:rFonts w:ascii="Book Antiqua" w:hAnsi="Book Antiqua"/>
        </w:rPr>
        <w:t xml:space="preserve">. </w:t>
      </w:r>
      <w:r w:rsidR="007F2A04" w:rsidRPr="00F551CD">
        <w:rPr>
          <w:rFonts w:ascii="Book Antiqua" w:hAnsi="Book Antiqua"/>
          <w:i/>
          <w:lang w:eastAsia="zh-CN"/>
        </w:rPr>
        <w:t>Zhonghua Gandan Waike Zazhi</w:t>
      </w:r>
      <w:r w:rsidR="007F2A04" w:rsidRPr="00F551CD">
        <w:rPr>
          <w:rFonts w:ascii="Book Antiqua" w:hAnsi="Book Antiqua"/>
        </w:rPr>
        <w:t xml:space="preserve"> 2020; </w:t>
      </w:r>
      <w:r w:rsidR="007F2A04" w:rsidRPr="00F551CD">
        <w:rPr>
          <w:rFonts w:ascii="Book Antiqua" w:hAnsi="Book Antiqua"/>
          <w:b/>
        </w:rPr>
        <w:t>26</w:t>
      </w:r>
      <w:r w:rsidRPr="00F551CD">
        <w:rPr>
          <w:rFonts w:ascii="Book Antiqua" w:hAnsi="Book Antiqua"/>
        </w:rPr>
        <w:t>: 104-108 [DOI: 10.3760/cma.j.issn.1007-8118.2020.02.006]</w:t>
      </w:r>
    </w:p>
    <w:p w14:paraId="601E6EF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 </w:t>
      </w:r>
      <w:r w:rsidRPr="00F551CD">
        <w:rPr>
          <w:rFonts w:ascii="Book Antiqua" w:hAnsi="Book Antiqua"/>
          <w:b/>
        </w:rPr>
        <w:t>Zhang ZM</w:t>
      </w:r>
      <w:r w:rsidRPr="00F551CD">
        <w:rPr>
          <w:rFonts w:ascii="Book Antiqua" w:hAnsi="Book Antiqua"/>
        </w:rPr>
        <w:t xml:space="preserve">, Dong JH, Lin FC, Wang QS, Xu Z, He XD, Zhang C, Liu Z, Liu LM, Deng H, Yu HW, Wan BJ, Zhu MW, Yang HY, Song MM, Zhao Y. Current Status of Surgical Treatment of Biliary Diseases in Elderly Patients in China. </w:t>
      </w:r>
      <w:r w:rsidRPr="00F551CD">
        <w:rPr>
          <w:rFonts w:ascii="Book Antiqua" w:hAnsi="Book Antiqua"/>
          <w:i/>
        </w:rPr>
        <w:t>Chin Med J (Engl)</w:t>
      </w:r>
      <w:r w:rsidRPr="00F551CD">
        <w:rPr>
          <w:rFonts w:ascii="Book Antiqua" w:hAnsi="Book Antiqua"/>
        </w:rPr>
        <w:t xml:space="preserve"> 2018; </w:t>
      </w:r>
      <w:r w:rsidRPr="00F551CD">
        <w:rPr>
          <w:rFonts w:ascii="Book Antiqua" w:hAnsi="Book Antiqua"/>
          <w:b/>
        </w:rPr>
        <w:t>131</w:t>
      </w:r>
      <w:r w:rsidRPr="00F551CD">
        <w:rPr>
          <w:rFonts w:ascii="Book Antiqua" w:hAnsi="Book Antiqua"/>
        </w:rPr>
        <w:t>: 1873-1876 [PMID: 30058588 DOI: 10.4103/0366-6999.237405]</w:t>
      </w:r>
    </w:p>
    <w:p w14:paraId="0A9470FF"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 </w:t>
      </w:r>
      <w:r w:rsidR="007F2A04" w:rsidRPr="00F551CD">
        <w:rPr>
          <w:rFonts w:ascii="Book Antiqua" w:hAnsi="Book Antiqua"/>
          <w:b/>
          <w:bCs/>
        </w:rPr>
        <w:t>Lee W</w:t>
      </w:r>
      <w:r w:rsidR="007F2A04" w:rsidRPr="00F551CD">
        <w:rPr>
          <w:rFonts w:ascii="Book Antiqua" w:hAnsi="Book Antiqua"/>
        </w:rPr>
        <w:t xml:space="preserve">, Jang JY, Cho JK, Hong SC, Jeong CY. Does surgical difficulty relate to severity of acute cholecystitis? Validation of the parkland grading scale based on intraoperative findings. </w:t>
      </w:r>
      <w:r w:rsidR="007F2A04" w:rsidRPr="00F551CD">
        <w:rPr>
          <w:rFonts w:ascii="Book Antiqua" w:hAnsi="Book Antiqua"/>
          <w:i/>
          <w:iCs/>
        </w:rPr>
        <w:t>Am J Surg</w:t>
      </w:r>
      <w:r w:rsidR="007F2A04" w:rsidRPr="00F551CD">
        <w:rPr>
          <w:rFonts w:ascii="Book Antiqua" w:hAnsi="Book Antiqua"/>
        </w:rPr>
        <w:t xml:space="preserve"> 2020; </w:t>
      </w:r>
      <w:r w:rsidR="007F2A04" w:rsidRPr="00F551CD">
        <w:rPr>
          <w:rFonts w:ascii="Book Antiqua" w:hAnsi="Book Antiqua"/>
          <w:b/>
          <w:bCs/>
        </w:rPr>
        <w:t>219</w:t>
      </w:r>
      <w:r w:rsidR="007F2A04" w:rsidRPr="00F551CD">
        <w:rPr>
          <w:rFonts w:ascii="Book Antiqua" w:hAnsi="Book Antiqua"/>
        </w:rPr>
        <w:t>: 637-641 [PMID: 31718816 DOI: 10.1016/j.amjsurg.2018.12.005]</w:t>
      </w:r>
    </w:p>
    <w:p w14:paraId="7BBFA9F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4 </w:t>
      </w:r>
      <w:r w:rsidRPr="00F551CD">
        <w:rPr>
          <w:rFonts w:ascii="Book Antiqua" w:hAnsi="Book Antiqua"/>
          <w:b/>
        </w:rPr>
        <w:t>Karayiannakis AJ</w:t>
      </w:r>
      <w:r w:rsidRPr="00F551CD">
        <w:rPr>
          <w:rFonts w:ascii="Book Antiqua" w:hAnsi="Book Antiqua"/>
        </w:rPr>
        <w:t xml:space="preserve">, Polychronidis A, Perente S, Botaitis S, Simopoulos C. Laparoscopic cholecystectomy in patients with previous upper or lower abdominal surgery. </w:t>
      </w:r>
      <w:r w:rsidRPr="00F551CD">
        <w:rPr>
          <w:rFonts w:ascii="Book Antiqua" w:hAnsi="Book Antiqua"/>
          <w:i/>
        </w:rPr>
        <w:t>Surg Endosc</w:t>
      </w:r>
      <w:r w:rsidRPr="00F551CD">
        <w:rPr>
          <w:rFonts w:ascii="Book Antiqua" w:hAnsi="Book Antiqua"/>
        </w:rPr>
        <w:t xml:space="preserve"> 2004; </w:t>
      </w:r>
      <w:r w:rsidRPr="00F551CD">
        <w:rPr>
          <w:rFonts w:ascii="Book Antiqua" w:hAnsi="Book Antiqua"/>
          <w:b/>
        </w:rPr>
        <w:t>18</w:t>
      </w:r>
      <w:r w:rsidRPr="00F551CD">
        <w:rPr>
          <w:rFonts w:ascii="Book Antiqua" w:hAnsi="Book Antiqua"/>
        </w:rPr>
        <w:t>: 97-101 [PMID: 14569455 DOI: 10.1007/s00464-003-9001-4]</w:t>
      </w:r>
    </w:p>
    <w:p w14:paraId="02E980C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5 </w:t>
      </w:r>
      <w:r w:rsidRPr="00F551CD">
        <w:rPr>
          <w:rFonts w:ascii="Book Antiqua" w:hAnsi="Book Antiqua"/>
          <w:b/>
        </w:rPr>
        <w:t>Devereaux PJ</w:t>
      </w:r>
      <w:r w:rsidRPr="00F551CD">
        <w:rPr>
          <w:rFonts w:ascii="Book Antiqua" w:hAnsi="Book Antiqua"/>
        </w:rPr>
        <w:t xml:space="preserve">, Mrkobrada M, Sessler DI, Leslie K, Alonso-Coello P, Kurz A, Villar JC, Sigamani A, Biccard BM, Meyhoff CS, Parlow JL, Guyatt G, Robinson A, Garg AX, Rodseth RN, Botto F, Lurati Buse G, Xavier D, Chan MT, Tiboni M, Cook D, Kumar PA, Forget P, Malaga G, Fleischmann E, Amir M, Eikelboom J, Mizera R, Torres D, Wang CY, VanHelder T, Paniagua P, Berwanger O, Srinathan S, Graham M, Pasin L, Le Manach Y, Gao P, Pogue J, Whitlock R, Lamy A, Kearon C, Baigent C, Chow C, Pettit S, Chrolavicius S, Yusuf S; POISE-2 Investigators. Aspirin in patients undergoing noncardiac surgery. </w:t>
      </w:r>
      <w:r w:rsidRPr="00F551CD">
        <w:rPr>
          <w:rFonts w:ascii="Book Antiqua" w:hAnsi="Book Antiqua"/>
          <w:i/>
        </w:rPr>
        <w:t>N Engl J Med</w:t>
      </w:r>
      <w:r w:rsidRPr="00F551CD">
        <w:rPr>
          <w:rFonts w:ascii="Book Antiqua" w:hAnsi="Book Antiqua"/>
        </w:rPr>
        <w:t xml:space="preserve"> 2014; </w:t>
      </w:r>
      <w:r w:rsidRPr="00F551CD">
        <w:rPr>
          <w:rFonts w:ascii="Book Antiqua" w:hAnsi="Book Antiqua"/>
          <w:b/>
        </w:rPr>
        <w:t>370</w:t>
      </w:r>
      <w:r w:rsidRPr="00F551CD">
        <w:rPr>
          <w:rFonts w:ascii="Book Antiqua" w:hAnsi="Book Antiqua"/>
        </w:rPr>
        <w:t>: 1494-1503 [PMID: 24679062 DOI: 10.1056/NEJMoa1401105]</w:t>
      </w:r>
    </w:p>
    <w:p w14:paraId="52FEA79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6 </w:t>
      </w:r>
      <w:r w:rsidRPr="00F551CD">
        <w:rPr>
          <w:rFonts w:ascii="Book Antiqua" w:hAnsi="Book Antiqua"/>
          <w:b/>
        </w:rPr>
        <w:t>Wax RS</w:t>
      </w:r>
      <w:r w:rsidRPr="00F551CD">
        <w:rPr>
          <w:rFonts w:ascii="Book Antiqua" w:hAnsi="Book Antiqua"/>
        </w:rPr>
        <w:t xml:space="preserve">, Christian MD. Practical recommendations for critical care and anesthesiology teams caring for novel coronavirus (2019-nCoV) patients. </w:t>
      </w:r>
      <w:r w:rsidRPr="00F551CD">
        <w:rPr>
          <w:rFonts w:ascii="Book Antiqua" w:hAnsi="Book Antiqua"/>
          <w:i/>
        </w:rPr>
        <w:t>Can J Anaesth</w:t>
      </w:r>
      <w:r w:rsidRPr="00F551CD">
        <w:rPr>
          <w:rFonts w:ascii="Book Antiqua" w:hAnsi="Book Antiqua"/>
        </w:rPr>
        <w:t xml:space="preserve"> 2020; </w:t>
      </w:r>
      <w:r w:rsidRPr="00F551CD">
        <w:rPr>
          <w:rFonts w:ascii="Book Antiqua" w:hAnsi="Book Antiqua"/>
          <w:b/>
        </w:rPr>
        <w:t>67</w:t>
      </w:r>
      <w:r w:rsidRPr="00F551CD">
        <w:rPr>
          <w:rFonts w:ascii="Book Antiqua" w:hAnsi="Book Antiqua"/>
        </w:rPr>
        <w:t>: 568-576 [PMID: 32052373 DOI: 10.1007/s12630-020-01591-x]</w:t>
      </w:r>
    </w:p>
    <w:p w14:paraId="0E7110E6"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7 </w:t>
      </w:r>
      <w:r w:rsidRPr="00F551CD">
        <w:rPr>
          <w:rFonts w:ascii="Book Antiqua" w:hAnsi="Book Antiqua"/>
          <w:b/>
        </w:rPr>
        <w:t>Rothan HA</w:t>
      </w:r>
      <w:r w:rsidRPr="00F551CD">
        <w:rPr>
          <w:rFonts w:ascii="Book Antiqua" w:hAnsi="Book Antiqua"/>
        </w:rPr>
        <w:t xml:space="preserve">, Byrareddy SN. The epidemiology and pathogenesis of coronavirus disease (COVID-19) outbreak. </w:t>
      </w:r>
      <w:r w:rsidRPr="00F551CD">
        <w:rPr>
          <w:rFonts w:ascii="Book Antiqua" w:hAnsi="Book Antiqua"/>
          <w:i/>
        </w:rPr>
        <w:t>J Autoimmun</w:t>
      </w:r>
      <w:r w:rsidRPr="00F551CD">
        <w:rPr>
          <w:rFonts w:ascii="Book Antiqua" w:hAnsi="Book Antiqua"/>
        </w:rPr>
        <w:t xml:space="preserve"> 2020; </w:t>
      </w:r>
      <w:r w:rsidRPr="00F551CD">
        <w:rPr>
          <w:rFonts w:ascii="Book Antiqua" w:hAnsi="Book Antiqua"/>
          <w:b/>
        </w:rPr>
        <w:t>109</w:t>
      </w:r>
      <w:r w:rsidRPr="00F551CD">
        <w:rPr>
          <w:rFonts w:ascii="Book Antiqua" w:hAnsi="Book Antiqua"/>
        </w:rPr>
        <w:t>: 102433 [PMID: 32113704 DOI: 10.1016/j.jaut.2020.102433]</w:t>
      </w:r>
    </w:p>
    <w:p w14:paraId="22A21063"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8 </w:t>
      </w:r>
      <w:r w:rsidRPr="00F551CD">
        <w:rPr>
          <w:rFonts w:ascii="Book Antiqua" w:hAnsi="Book Antiqua"/>
          <w:b/>
        </w:rPr>
        <w:t>Zhao YP</w:t>
      </w:r>
      <w:r w:rsidRPr="00F551CD">
        <w:rPr>
          <w:rFonts w:ascii="Book Antiqua" w:hAnsi="Book Antiqua"/>
        </w:rPr>
        <w:t xml:space="preserve">. </w:t>
      </w:r>
      <w:r w:rsidR="00BE71E4" w:rsidRPr="00F551CD">
        <w:rPr>
          <w:rFonts w:ascii="Book Antiqua" w:hAnsi="Book Antiqua"/>
          <w:lang w:eastAsia="zh-CN"/>
        </w:rPr>
        <w:t>[</w:t>
      </w:r>
      <w:r w:rsidRPr="00F551CD">
        <w:rPr>
          <w:rFonts w:ascii="Book Antiqua" w:hAnsi="Book Antiqua"/>
        </w:rPr>
        <w:t>Working hand in hand to overcome the difficulties: an initiative for the COVID-19 pandemic situation from surgical colleagues in China</w:t>
      </w:r>
      <w:r w:rsidR="00BE71E4" w:rsidRPr="00F551CD">
        <w:rPr>
          <w:rFonts w:ascii="Book Antiqua" w:hAnsi="Book Antiqua"/>
          <w:lang w:eastAsia="zh-CN"/>
        </w:rPr>
        <w:t>]</w:t>
      </w:r>
      <w:r w:rsidRPr="00F551CD">
        <w:rPr>
          <w:rFonts w:ascii="Book Antiqua" w:hAnsi="Book Antiqua"/>
        </w:rPr>
        <w:t xml:space="preserve">. </w:t>
      </w:r>
      <w:r w:rsidR="00BE71E4" w:rsidRPr="00F551CD">
        <w:rPr>
          <w:rFonts w:ascii="Book Antiqua" w:hAnsi="Book Antiqua"/>
          <w:i/>
          <w:lang w:eastAsia="zh-CN"/>
        </w:rPr>
        <w:t>Zhonghua Waike Zazhi</w:t>
      </w:r>
      <w:r w:rsidR="00BE71E4" w:rsidRPr="00F551CD">
        <w:rPr>
          <w:rFonts w:ascii="Book Antiqua" w:hAnsi="Book Antiqua"/>
        </w:rPr>
        <w:t xml:space="preserve"> 2020; </w:t>
      </w:r>
      <w:r w:rsidR="00BE71E4" w:rsidRPr="00F551CD">
        <w:rPr>
          <w:rFonts w:ascii="Book Antiqua" w:hAnsi="Book Antiqua"/>
          <w:b/>
        </w:rPr>
        <w:t>58</w:t>
      </w:r>
      <w:r w:rsidRPr="00F551CD">
        <w:rPr>
          <w:rFonts w:ascii="Book Antiqua" w:hAnsi="Book Antiqua"/>
        </w:rPr>
        <w:t>: 241-242 [DOI: 10.3760/cma.j.cn112139</w:t>
      </w:r>
      <w:r w:rsidR="003F111B" w:rsidRPr="00F551CD">
        <w:rPr>
          <w:rFonts w:ascii="Book Antiqua" w:hAnsi="Book Antiqua"/>
          <w:lang w:eastAsia="zh-CN"/>
        </w:rPr>
        <w:t>-</w:t>
      </w:r>
      <w:r w:rsidRPr="00F551CD">
        <w:rPr>
          <w:rFonts w:ascii="Book Antiqua" w:hAnsi="Book Antiqua"/>
        </w:rPr>
        <w:t>20200303</w:t>
      </w:r>
      <w:r w:rsidR="003F111B" w:rsidRPr="00F551CD">
        <w:rPr>
          <w:rFonts w:ascii="Book Antiqua" w:hAnsi="Book Antiqua"/>
          <w:lang w:eastAsia="zh-CN"/>
        </w:rPr>
        <w:t>-</w:t>
      </w:r>
      <w:r w:rsidRPr="00F551CD">
        <w:rPr>
          <w:rFonts w:ascii="Book Antiqua" w:hAnsi="Book Antiqua"/>
        </w:rPr>
        <w:t>00180]</w:t>
      </w:r>
    </w:p>
    <w:p w14:paraId="3E5B6EB8"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9 </w:t>
      </w:r>
      <w:r w:rsidRPr="00F551CD">
        <w:rPr>
          <w:rFonts w:ascii="Book Antiqua" w:hAnsi="Book Antiqua"/>
          <w:b/>
        </w:rPr>
        <w:t>Dong JH,</w:t>
      </w:r>
      <w:r w:rsidR="003F111B" w:rsidRPr="00F551CD">
        <w:rPr>
          <w:rFonts w:ascii="Book Antiqua" w:hAnsi="Book Antiqua"/>
        </w:rPr>
        <w:t xml:space="preserve"> Feng XB, Yang SZ</w:t>
      </w:r>
      <w:r w:rsidR="003F111B" w:rsidRPr="00F551CD">
        <w:rPr>
          <w:rFonts w:ascii="Book Antiqua" w:hAnsi="Book Antiqua"/>
          <w:lang w:eastAsia="zh-CN"/>
        </w:rPr>
        <w:t xml:space="preserve">; </w:t>
      </w:r>
      <w:r w:rsidRPr="00F551CD">
        <w:rPr>
          <w:rFonts w:ascii="Book Antiqua" w:hAnsi="Book Antiqua"/>
        </w:rPr>
        <w:t xml:space="preserve">Chinese Medical Doctor Association. </w:t>
      </w:r>
      <w:r w:rsidR="003F111B" w:rsidRPr="00F551CD">
        <w:rPr>
          <w:rFonts w:ascii="Book Antiqua" w:hAnsi="Book Antiqua"/>
          <w:lang w:eastAsia="zh-CN"/>
        </w:rPr>
        <w:t>[</w:t>
      </w:r>
      <w:r w:rsidRPr="00F551CD">
        <w:rPr>
          <w:rFonts w:ascii="Book Antiqua" w:hAnsi="Book Antiqua"/>
        </w:rPr>
        <w:t>Fortification is required in the rear to win the battle of epidemic prevention and control</w:t>
      </w:r>
      <w:r w:rsidR="003F111B" w:rsidRPr="00F551CD">
        <w:rPr>
          <w:rFonts w:ascii="Book Antiqua" w:hAnsi="Book Antiqua"/>
          <w:lang w:eastAsia="zh-CN"/>
        </w:rPr>
        <w:t>]</w:t>
      </w:r>
      <w:r w:rsidRPr="00F551CD">
        <w:rPr>
          <w:rFonts w:ascii="Book Antiqua" w:hAnsi="Book Antiqua"/>
        </w:rPr>
        <w:t xml:space="preserve">. </w:t>
      </w:r>
      <w:r w:rsidR="003F111B" w:rsidRPr="00F551CD">
        <w:rPr>
          <w:rFonts w:ascii="Book Antiqua" w:hAnsi="Book Antiqua"/>
          <w:i/>
          <w:lang w:eastAsia="zh-CN"/>
        </w:rPr>
        <w:t>Zhonghua Xiaohua Waike Zazhi</w:t>
      </w:r>
      <w:r w:rsidR="003F111B" w:rsidRPr="00F551CD">
        <w:rPr>
          <w:rFonts w:ascii="Book Antiqua" w:hAnsi="Book Antiqua"/>
          <w:i/>
        </w:rPr>
        <w:t xml:space="preserve"> </w:t>
      </w:r>
      <w:r w:rsidR="003F111B" w:rsidRPr="00F551CD">
        <w:rPr>
          <w:rFonts w:ascii="Book Antiqua" w:hAnsi="Book Antiqua"/>
        </w:rPr>
        <w:t xml:space="preserve">2020; </w:t>
      </w:r>
      <w:r w:rsidR="003F111B" w:rsidRPr="00F551CD">
        <w:rPr>
          <w:rFonts w:ascii="Book Antiqua" w:hAnsi="Book Antiqua"/>
          <w:b/>
        </w:rPr>
        <w:t>19</w:t>
      </w:r>
      <w:r w:rsidR="003F111B" w:rsidRPr="00F551CD">
        <w:rPr>
          <w:rFonts w:ascii="Book Antiqua" w:hAnsi="Book Antiqua"/>
        </w:rPr>
        <w:t>: 225-228</w:t>
      </w:r>
      <w:r w:rsidR="003F111B" w:rsidRPr="00F551CD">
        <w:rPr>
          <w:rFonts w:ascii="Book Antiqua" w:hAnsi="Book Antiqua"/>
          <w:lang w:eastAsia="zh-CN"/>
        </w:rPr>
        <w:t xml:space="preserve"> </w:t>
      </w:r>
      <w:r w:rsidR="003F111B" w:rsidRPr="00F551CD">
        <w:rPr>
          <w:rFonts w:ascii="Book Antiqua" w:hAnsi="Book Antiqua"/>
        </w:rPr>
        <w:t>[DOI:</w:t>
      </w:r>
      <w:r w:rsidR="003F111B" w:rsidRPr="00F551CD">
        <w:rPr>
          <w:rFonts w:ascii="Book Antiqua" w:hAnsi="Book Antiqua"/>
          <w:lang w:eastAsia="zh-CN"/>
        </w:rPr>
        <w:t xml:space="preserve"> </w:t>
      </w:r>
      <w:r w:rsidRPr="00F551CD">
        <w:rPr>
          <w:rFonts w:ascii="Book Antiqua" w:hAnsi="Book Antiqua"/>
        </w:rPr>
        <w:t>10.3760/cma.j.issn.1673-9752.2020.03.001]</w:t>
      </w:r>
    </w:p>
    <w:p w14:paraId="54B370F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10 </w:t>
      </w:r>
      <w:r w:rsidRPr="00F551CD">
        <w:rPr>
          <w:rFonts w:ascii="Book Antiqua" w:hAnsi="Book Antiqua"/>
          <w:b/>
        </w:rPr>
        <w:t>Chen Q,</w:t>
      </w:r>
      <w:r w:rsidR="009348B2" w:rsidRPr="00F551CD">
        <w:rPr>
          <w:rFonts w:ascii="Book Antiqua" w:hAnsi="Book Antiqua"/>
        </w:rPr>
        <w:t xml:space="preserve"> </w:t>
      </w:r>
      <w:r w:rsidRPr="00F551CD">
        <w:rPr>
          <w:rFonts w:ascii="Book Antiqua" w:hAnsi="Book Antiqua"/>
        </w:rPr>
        <w:t>Yu WW, Wang LJ, Xi H, Zhang Q, Chen XY, Huang K, Lu X, Liu XM, Zhang CT, Wang JY</w:t>
      </w:r>
      <w:r w:rsidR="009348B2" w:rsidRPr="00F551CD">
        <w:rPr>
          <w:rFonts w:ascii="Book Antiqua" w:hAnsi="Book Antiqua"/>
          <w:lang w:eastAsia="zh-CN"/>
        </w:rPr>
        <w:t>;</w:t>
      </w:r>
      <w:r w:rsidR="009348B2" w:rsidRPr="00F551CD">
        <w:rPr>
          <w:rFonts w:ascii="Book Antiqua" w:hAnsi="Book Antiqua"/>
        </w:rPr>
        <w:t xml:space="preserve"> Chinese Geriatrics Society</w:t>
      </w:r>
      <w:r w:rsidR="009348B2" w:rsidRPr="00F551CD">
        <w:rPr>
          <w:rFonts w:ascii="Book Antiqua" w:hAnsi="Book Antiqua"/>
          <w:lang w:eastAsia="zh-CN"/>
        </w:rPr>
        <w:t xml:space="preserve">; </w:t>
      </w:r>
      <w:r w:rsidRPr="00F551CD">
        <w:rPr>
          <w:rFonts w:ascii="Book Antiqua" w:hAnsi="Book Antiqua"/>
        </w:rPr>
        <w:t xml:space="preserve">National Center of Gerontology. </w:t>
      </w:r>
      <w:r w:rsidR="009348B2" w:rsidRPr="00F551CD">
        <w:rPr>
          <w:rFonts w:ascii="Book Antiqua" w:hAnsi="Book Antiqua"/>
          <w:lang w:eastAsia="zh-CN"/>
        </w:rPr>
        <w:t>[</w:t>
      </w:r>
      <w:r w:rsidRPr="00F551CD">
        <w:rPr>
          <w:rFonts w:ascii="Book Antiqua" w:hAnsi="Book Antiqua"/>
        </w:rPr>
        <w:t>Key points for the prevention and treatment of the novel coronavirus pneumonia in the elderly</w:t>
      </w:r>
      <w:r w:rsidR="009348B2" w:rsidRPr="00F551CD">
        <w:rPr>
          <w:rFonts w:ascii="Book Antiqua" w:hAnsi="Book Antiqua"/>
          <w:lang w:eastAsia="zh-CN"/>
        </w:rPr>
        <w:t>]</w:t>
      </w:r>
      <w:r w:rsidRPr="00F551CD">
        <w:rPr>
          <w:rFonts w:ascii="Book Antiqua" w:hAnsi="Book Antiqua"/>
        </w:rPr>
        <w:t xml:space="preserve">. </w:t>
      </w:r>
      <w:r w:rsidR="00E1236E" w:rsidRPr="00F551CD">
        <w:rPr>
          <w:rFonts w:ascii="Book Antiqua" w:hAnsi="Book Antiqua"/>
          <w:i/>
          <w:lang w:eastAsia="zh-CN"/>
        </w:rPr>
        <w:t>Zhonghua Laonian Yixue Zazhi</w:t>
      </w:r>
      <w:r w:rsidR="00E1236E" w:rsidRPr="00F551CD">
        <w:rPr>
          <w:rFonts w:ascii="Book Antiqua" w:hAnsi="Book Antiqua"/>
        </w:rPr>
        <w:t xml:space="preserve"> 2020; </w:t>
      </w:r>
      <w:r w:rsidR="00E1236E" w:rsidRPr="00F551CD">
        <w:rPr>
          <w:rFonts w:ascii="Book Antiqua" w:hAnsi="Book Antiqua"/>
          <w:b/>
        </w:rPr>
        <w:t>39</w:t>
      </w:r>
      <w:r w:rsidR="00D97B17" w:rsidRPr="00F551CD">
        <w:rPr>
          <w:rFonts w:ascii="Book Antiqua" w:hAnsi="Book Antiqua"/>
        </w:rPr>
        <w:t>: 113-118 [DOI:</w:t>
      </w:r>
      <w:r w:rsidR="00D97B17" w:rsidRPr="00F551CD">
        <w:rPr>
          <w:rFonts w:ascii="Book Antiqua" w:hAnsi="Book Antiqua"/>
          <w:lang w:eastAsia="zh-CN"/>
        </w:rPr>
        <w:t xml:space="preserve"> </w:t>
      </w:r>
      <w:r w:rsidR="00D97B17" w:rsidRPr="00F551CD">
        <w:rPr>
          <w:rFonts w:ascii="Book Antiqua" w:hAnsi="Book Antiqua"/>
        </w:rPr>
        <w:t>10.3760/</w:t>
      </w:r>
      <w:r w:rsidRPr="00F551CD">
        <w:rPr>
          <w:rFonts w:ascii="Book Antiqua" w:hAnsi="Book Antiqua"/>
        </w:rPr>
        <w:t>cma.j.issn.0254-9026.2020.02.001]</w:t>
      </w:r>
    </w:p>
    <w:p w14:paraId="0302AC8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11 </w:t>
      </w:r>
      <w:r w:rsidRPr="00F551CD">
        <w:rPr>
          <w:rFonts w:ascii="Book Antiqua" w:hAnsi="Book Antiqua"/>
          <w:b/>
        </w:rPr>
        <w:t>Zhang GY,</w:t>
      </w:r>
      <w:r w:rsidR="00E1236E" w:rsidRPr="00F551CD">
        <w:rPr>
          <w:rFonts w:ascii="Book Antiqua" w:hAnsi="Book Antiqua"/>
        </w:rPr>
        <w:t xml:space="preserve"> </w:t>
      </w:r>
      <w:r w:rsidRPr="00F551CD">
        <w:rPr>
          <w:rFonts w:ascii="Book Antiqua" w:hAnsi="Book Antiqua"/>
        </w:rPr>
        <w:t xml:space="preserve">Zhu JK, Gao M, Hu SY. </w:t>
      </w:r>
      <w:r w:rsidR="00E1236E" w:rsidRPr="00F551CD">
        <w:rPr>
          <w:rFonts w:ascii="Book Antiqua" w:hAnsi="Book Antiqua"/>
          <w:lang w:eastAsia="zh-CN"/>
        </w:rPr>
        <w:t>[</w:t>
      </w:r>
      <w:r w:rsidRPr="00F551CD">
        <w:rPr>
          <w:rFonts w:ascii="Book Antiqua" w:hAnsi="Book Antiqua"/>
        </w:rPr>
        <w:t xml:space="preserve">Responsibilities and persistence of surgeons during the outbreak of new coronavirus pneumonia]. </w:t>
      </w:r>
      <w:r w:rsidR="00E1236E" w:rsidRPr="00F551CD">
        <w:rPr>
          <w:rFonts w:ascii="Book Antiqua" w:hAnsi="Book Antiqua"/>
          <w:i/>
          <w:lang w:eastAsia="zh-CN"/>
        </w:rPr>
        <w:t>Qiangjing Waike Zazhi</w:t>
      </w:r>
      <w:r w:rsidR="00E1236E" w:rsidRPr="00F551CD">
        <w:rPr>
          <w:rFonts w:ascii="Book Antiqua" w:hAnsi="Book Antiqua"/>
          <w:lang w:eastAsia="zh-CN"/>
        </w:rPr>
        <w:t xml:space="preserve"> </w:t>
      </w:r>
      <w:r w:rsidRPr="00F551CD">
        <w:rPr>
          <w:rFonts w:ascii="Book Antiqua" w:hAnsi="Book Antiqua"/>
        </w:rPr>
        <w:t xml:space="preserve">2020; </w:t>
      </w:r>
      <w:r w:rsidRPr="00F551CD">
        <w:rPr>
          <w:rFonts w:ascii="Book Antiqua" w:hAnsi="Book Antiqua"/>
          <w:b/>
        </w:rPr>
        <w:t>25</w:t>
      </w:r>
      <w:r w:rsidRPr="00F551CD">
        <w:rPr>
          <w:rFonts w:ascii="Book Antiqua" w:hAnsi="Book Antiqua"/>
        </w:rPr>
        <w:t>: 81-83 [DOI: 10.13499/j.cnki.fqjwkzz.2020.02.081]</w:t>
      </w:r>
    </w:p>
    <w:p w14:paraId="18A23C65"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12 </w:t>
      </w:r>
      <w:r w:rsidRPr="00F551CD">
        <w:rPr>
          <w:rFonts w:ascii="Book Antiqua" w:hAnsi="Book Antiqua"/>
          <w:b/>
        </w:rPr>
        <w:t>Zhang ZM</w:t>
      </w:r>
      <w:r w:rsidRPr="00F551CD">
        <w:rPr>
          <w:rFonts w:ascii="Book Antiqua" w:hAnsi="Book Antiqua"/>
        </w:rPr>
        <w:t xml:space="preserve">, Liu Z, Liu LM, Zhang C, Yu HW, Wan BJ, Deng H, Zhu MW, Liu ZX, Wei WP, Song MM, Zhao Y. Therapeutic experience of 289 elderly patients with biliary diseases. </w:t>
      </w:r>
      <w:r w:rsidRPr="00F551CD">
        <w:rPr>
          <w:rFonts w:ascii="Book Antiqua" w:hAnsi="Book Antiqua"/>
          <w:i/>
        </w:rPr>
        <w:t>World J Gastroenterol</w:t>
      </w:r>
      <w:r w:rsidRPr="00F551CD">
        <w:rPr>
          <w:rFonts w:ascii="Book Antiqua" w:hAnsi="Book Antiqua"/>
        </w:rPr>
        <w:t xml:space="preserve"> 2017; </w:t>
      </w:r>
      <w:r w:rsidRPr="00F551CD">
        <w:rPr>
          <w:rFonts w:ascii="Book Antiqua" w:hAnsi="Book Antiqua"/>
          <w:b/>
        </w:rPr>
        <w:t>23</w:t>
      </w:r>
      <w:r w:rsidRPr="00F551CD">
        <w:rPr>
          <w:rFonts w:ascii="Book Antiqua" w:hAnsi="Book Antiqua"/>
        </w:rPr>
        <w:t>: 2424-2434 [PMID: 28428722 DOI: 10.3748/wjg.v23.i13.2424]</w:t>
      </w:r>
    </w:p>
    <w:p w14:paraId="22F3B7C0"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13 </w:t>
      </w:r>
      <w:r w:rsidRPr="00F551CD">
        <w:rPr>
          <w:rFonts w:ascii="Book Antiqua" w:hAnsi="Book Antiqua"/>
          <w:b/>
        </w:rPr>
        <w:t>Bouassida M</w:t>
      </w:r>
      <w:r w:rsidRPr="00F551CD">
        <w:rPr>
          <w:rFonts w:ascii="Book Antiqua" w:hAnsi="Book Antiqua"/>
        </w:rPr>
        <w:t xml:space="preserve">, Zribi S, Krimi B, Laamiri G, Mroua B, Slama H, Mighri MM, M'saddak Azzouz M, Hamzaoui L, Touinsi H. C-reactive Protein Is the Best Biomarker to Predict Advanced Acute Cholecystitis and Conversion to Open Surgery. A Prospective Cohort Study of 556 Cases. </w:t>
      </w:r>
      <w:r w:rsidRPr="00F551CD">
        <w:rPr>
          <w:rFonts w:ascii="Book Antiqua" w:hAnsi="Book Antiqua"/>
          <w:i/>
        </w:rPr>
        <w:t>J Gastrointest Surg</w:t>
      </w:r>
      <w:r w:rsidRPr="00F551CD">
        <w:rPr>
          <w:rFonts w:ascii="Book Antiqua" w:hAnsi="Book Antiqua"/>
        </w:rPr>
        <w:t xml:space="preserve"> 2019 [PMID: 31768828 DOI: 10.1007/s11605-019-04459-8]</w:t>
      </w:r>
    </w:p>
    <w:p w14:paraId="7ADD0F0C" w14:textId="030AF3F3"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14 </w:t>
      </w:r>
      <w:r w:rsidRPr="00F551CD">
        <w:rPr>
          <w:rFonts w:ascii="Book Antiqua" w:hAnsi="Book Antiqua"/>
          <w:b/>
        </w:rPr>
        <w:t>Díaz-Flores A</w:t>
      </w:r>
      <w:r w:rsidRPr="00F551CD">
        <w:rPr>
          <w:rFonts w:ascii="Book Antiqua" w:hAnsi="Book Antiqua"/>
        </w:rPr>
        <w:t xml:space="preserve">, Cárdenas-Lailson E, Cuendis-Velázquez A, Rodríguez-Parra A, Trejo-Ávila ME. C-Reactive Protein as a Predictor of Difficult Laparoscopic Cholecystectomy in Patients with Acute Calculous Cholecystitis: A Multivariate Analysis. </w:t>
      </w:r>
      <w:r w:rsidRPr="00F551CD">
        <w:rPr>
          <w:rFonts w:ascii="Book Antiqua" w:hAnsi="Book Antiqua"/>
          <w:i/>
        </w:rPr>
        <w:t>J Laparoendosc Adv Surg Tech A</w:t>
      </w:r>
      <w:r w:rsidRPr="00F551CD">
        <w:rPr>
          <w:rFonts w:ascii="Book Antiqua" w:hAnsi="Book Antiqua"/>
        </w:rPr>
        <w:t xml:space="preserve"> 2017; </w:t>
      </w:r>
      <w:r w:rsidRPr="00F551CD">
        <w:rPr>
          <w:rFonts w:ascii="Book Antiqua" w:hAnsi="Book Antiqua"/>
          <w:b/>
        </w:rPr>
        <w:t>27</w:t>
      </w:r>
      <w:r w:rsidRPr="00F551CD">
        <w:rPr>
          <w:rFonts w:ascii="Book Antiqua" w:hAnsi="Book Antiqua"/>
        </w:rPr>
        <w:t xml:space="preserve">: 1263-1268 [PMID: 28622085 DOI: </w:t>
      </w:r>
      <w:r w:rsidR="00EA485E" w:rsidRPr="00EA485E">
        <w:rPr>
          <w:rFonts w:ascii="Book Antiqua" w:hAnsi="Book Antiqua"/>
        </w:rPr>
        <w:t>10.1089/lap.2017.0139</w:t>
      </w:r>
      <w:r w:rsidRPr="00F551CD">
        <w:rPr>
          <w:rFonts w:ascii="Book Antiqua" w:hAnsi="Book Antiqua"/>
        </w:rPr>
        <w:t>]</w:t>
      </w:r>
    </w:p>
    <w:p w14:paraId="0D973872"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15 </w:t>
      </w:r>
      <w:r w:rsidRPr="00F551CD">
        <w:rPr>
          <w:rFonts w:ascii="Book Antiqua" w:hAnsi="Book Antiqua"/>
          <w:b/>
        </w:rPr>
        <w:t>Zhang ZM,</w:t>
      </w:r>
      <w:r w:rsidR="00001F65" w:rsidRPr="00F551CD">
        <w:rPr>
          <w:rFonts w:ascii="Book Antiqua" w:hAnsi="Book Antiqua"/>
        </w:rPr>
        <w:t xml:space="preserve"> </w:t>
      </w:r>
      <w:r w:rsidRPr="00F551CD">
        <w:rPr>
          <w:rFonts w:ascii="Book Antiqua" w:hAnsi="Book Antiqua"/>
        </w:rPr>
        <w:t xml:space="preserve">Liu Z, Liu LM, Song MM, Zhang C, Yu HW, Wan BJ, Liu ZX, Zhu MW, Deng H, Yang HY, Wei WP, Zhao Y. </w:t>
      </w:r>
      <w:r w:rsidR="00001F65" w:rsidRPr="00F551CD">
        <w:rPr>
          <w:rFonts w:ascii="Book Antiqua" w:hAnsi="Book Antiqua"/>
          <w:lang w:eastAsia="zh-CN"/>
        </w:rPr>
        <w:t>[</w:t>
      </w:r>
      <w:r w:rsidRPr="00F551CD">
        <w:rPr>
          <w:rFonts w:ascii="Book Antiqua" w:hAnsi="Book Antiqua"/>
        </w:rPr>
        <w:t xml:space="preserve">Experience of laparoscopic cholecystectomy in elderly patients with acute calculous cholecystitis]. </w:t>
      </w:r>
      <w:r w:rsidR="00001F65" w:rsidRPr="00F551CD">
        <w:rPr>
          <w:rFonts w:ascii="Book Antiqua" w:hAnsi="Book Antiqua"/>
          <w:i/>
          <w:lang w:eastAsia="zh-CN"/>
        </w:rPr>
        <w:t>Xiongbu Waike</w:t>
      </w:r>
      <w:r w:rsidRPr="00F551CD">
        <w:rPr>
          <w:rFonts w:ascii="Book Antiqua" w:hAnsi="Book Antiqua"/>
        </w:rPr>
        <w:t xml:space="preserve"> 2017; </w:t>
      </w:r>
      <w:r w:rsidR="00001F65" w:rsidRPr="00F551CD">
        <w:rPr>
          <w:rFonts w:ascii="Book Antiqua" w:hAnsi="Book Antiqua"/>
          <w:b/>
        </w:rPr>
        <w:t>30</w:t>
      </w:r>
      <w:r w:rsidRPr="00F551CD">
        <w:rPr>
          <w:rFonts w:ascii="Book Antiqua" w:hAnsi="Book Antiqua"/>
        </w:rPr>
        <w:t>: 357-360, 364</w:t>
      </w:r>
      <w:r w:rsidR="00001F65" w:rsidRPr="00F551CD">
        <w:rPr>
          <w:rFonts w:ascii="Book Antiqua" w:hAnsi="Book Antiqua"/>
          <w:lang w:eastAsia="zh-CN"/>
        </w:rPr>
        <w:t xml:space="preserve"> </w:t>
      </w:r>
      <w:r w:rsidRPr="00F551CD">
        <w:rPr>
          <w:rFonts w:ascii="Book Antiqua" w:hAnsi="Book Antiqua"/>
        </w:rPr>
        <w:t>[DOI: 10.3969/j.issn.1003-5591.2017.05.007]</w:t>
      </w:r>
    </w:p>
    <w:p w14:paraId="7D5D3544"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16 </w:t>
      </w:r>
      <w:r w:rsidRPr="00F551CD">
        <w:rPr>
          <w:rFonts w:ascii="Book Antiqua" w:hAnsi="Book Antiqua"/>
          <w:b/>
        </w:rPr>
        <w:t>Zhang ZM,</w:t>
      </w:r>
      <w:r w:rsidR="00001F65" w:rsidRPr="00F551CD">
        <w:rPr>
          <w:rFonts w:ascii="Book Antiqua" w:hAnsi="Book Antiqua"/>
        </w:rPr>
        <w:t xml:space="preserve"> </w:t>
      </w:r>
      <w:r w:rsidRPr="00F551CD">
        <w:rPr>
          <w:rFonts w:ascii="Book Antiqua" w:hAnsi="Book Antiqua"/>
        </w:rPr>
        <w:t xml:space="preserve">Wei WP, Liu Z, Tian ZH, Zhang C, Liu LM, Yu HW, Wan BJ, Liu ZX, Zhu MW, Song MM, Deng H, Xie CH. </w:t>
      </w:r>
      <w:r w:rsidR="00001F65" w:rsidRPr="00F551CD">
        <w:rPr>
          <w:rFonts w:ascii="Book Antiqua" w:hAnsi="Book Antiqua"/>
          <w:lang w:eastAsia="zh-CN"/>
        </w:rPr>
        <w:t>[</w:t>
      </w:r>
      <w:r w:rsidRPr="00F551CD">
        <w:rPr>
          <w:rFonts w:ascii="Book Antiqua" w:hAnsi="Book Antiqua"/>
        </w:rPr>
        <w:t xml:space="preserve">Opportunity of laparoscopic cholecystectomy in elderly patients with acute calculous cholecystitis]. </w:t>
      </w:r>
      <w:r w:rsidR="00001F65" w:rsidRPr="00F551CD">
        <w:rPr>
          <w:rFonts w:ascii="Book Antiqua" w:hAnsi="Book Antiqua"/>
          <w:i/>
          <w:lang w:eastAsia="zh-CN"/>
        </w:rPr>
        <w:t>Zhonghua Puwaike Shoushuxue Zazhi</w:t>
      </w:r>
      <w:r w:rsidRPr="00F551CD">
        <w:rPr>
          <w:rFonts w:ascii="Book Antiqua" w:hAnsi="Book Antiqua"/>
          <w:i/>
        </w:rPr>
        <w:t xml:space="preserve"> </w:t>
      </w:r>
      <w:r w:rsidR="00A02C9A" w:rsidRPr="00F551CD">
        <w:rPr>
          <w:rFonts w:ascii="Book Antiqua" w:hAnsi="Book Antiqua"/>
        </w:rPr>
        <w:t xml:space="preserve">2016; </w:t>
      </w:r>
      <w:r w:rsidR="00A02C9A" w:rsidRPr="00F551CD">
        <w:rPr>
          <w:rFonts w:ascii="Book Antiqua" w:hAnsi="Book Antiqua"/>
          <w:b/>
        </w:rPr>
        <w:t>10</w:t>
      </w:r>
      <w:r w:rsidRPr="00F551CD">
        <w:rPr>
          <w:rFonts w:ascii="Book Antiqua" w:hAnsi="Book Antiqua"/>
        </w:rPr>
        <w:t>: 406-409 [DOI: 10.3877/cma.j.issn.1674-3946.2016.05.017]</w:t>
      </w:r>
    </w:p>
    <w:p w14:paraId="7BD17952"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17 </w:t>
      </w:r>
      <w:r w:rsidRPr="00F551CD">
        <w:rPr>
          <w:rFonts w:ascii="Book Antiqua" w:hAnsi="Book Antiqua"/>
          <w:b/>
        </w:rPr>
        <w:t>Krielen P</w:t>
      </w:r>
      <w:r w:rsidRPr="00F551CD">
        <w:rPr>
          <w:rFonts w:ascii="Book Antiqua" w:hAnsi="Book Antiqua"/>
        </w:rPr>
        <w:t xml:space="preserve">, Stommel MWJ, Pargmae P, Bouvy ND, Bakkum EA, Ellis H, Parker MC, Griffiths EA, van Goor H, Ten Broek RPG. Adhesion-related readmissions after open and laparoscopic surgery: a retrospective cohort study (SCAR update). </w:t>
      </w:r>
      <w:r w:rsidRPr="00F551CD">
        <w:rPr>
          <w:rFonts w:ascii="Book Antiqua" w:hAnsi="Book Antiqua"/>
          <w:i/>
        </w:rPr>
        <w:t>Lancet</w:t>
      </w:r>
      <w:r w:rsidRPr="00F551CD">
        <w:rPr>
          <w:rFonts w:ascii="Book Antiqua" w:hAnsi="Book Antiqua"/>
        </w:rPr>
        <w:t xml:space="preserve"> 2020; </w:t>
      </w:r>
      <w:r w:rsidRPr="00F551CD">
        <w:rPr>
          <w:rFonts w:ascii="Book Antiqua" w:hAnsi="Book Antiqua"/>
          <w:b/>
        </w:rPr>
        <w:t>395</w:t>
      </w:r>
      <w:r w:rsidRPr="00F551CD">
        <w:rPr>
          <w:rFonts w:ascii="Book Antiqua" w:hAnsi="Book Antiqua"/>
        </w:rPr>
        <w:t>: 33-41 [PMID: 31908284 DOI: 10.1016/S0140-6736(19)32636-4]</w:t>
      </w:r>
    </w:p>
    <w:p w14:paraId="2E28364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18 </w:t>
      </w:r>
      <w:r w:rsidRPr="00F551CD">
        <w:rPr>
          <w:rFonts w:ascii="Book Antiqua" w:hAnsi="Book Antiqua"/>
          <w:b/>
        </w:rPr>
        <w:t>Qian CC</w:t>
      </w:r>
      <w:r w:rsidR="00196246" w:rsidRPr="00F551CD">
        <w:rPr>
          <w:rFonts w:ascii="Book Antiqua" w:hAnsi="Book Antiqua"/>
        </w:rPr>
        <w:t>.</w:t>
      </w:r>
      <w:r w:rsidR="00196246" w:rsidRPr="00F551CD">
        <w:rPr>
          <w:rFonts w:ascii="Book Antiqua" w:hAnsi="Book Antiqua"/>
          <w:lang w:eastAsia="zh-CN"/>
        </w:rPr>
        <w:t xml:space="preserve"> </w:t>
      </w:r>
      <w:r w:rsidR="00210D12" w:rsidRPr="00F551CD">
        <w:rPr>
          <w:rFonts w:ascii="Book Antiqua" w:hAnsi="Book Antiqua"/>
          <w:lang w:eastAsia="zh-CN"/>
        </w:rPr>
        <w:t>[</w:t>
      </w:r>
      <w:r w:rsidRPr="00F551CD">
        <w:rPr>
          <w:rFonts w:ascii="Book Antiqua" w:hAnsi="Book Antiqua"/>
        </w:rPr>
        <w:t xml:space="preserve">Application effect of laparoscopic common bile duct exploration in choledocholithiasis patients with a history of upper abdominal surgery]. </w:t>
      </w:r>
      <w:r w:rsidR="000E48B2" w:rsidRPr="00F551CD">
        <w:rPr>
          <w:rFonts w:ascii="Book Antiqua" w:hAnsi="Book Antiqua"/>
          <w:i/>
          <w:lang w:eastAsia="zh-CN"/>
        </w:rPr>
        <w:t>Linchuang Yanjiu Yu Shijian</w:t>
      </w:r>
      <w:r w:rsidR="000E48B2" w:rsidRPr="00F551CD">
        <w:rPr>
          <w:rFonts w:ascii="Book Antiqua" w:hAnsi="Book Antiqua"/>
          <w:lang w:eastAsia="zh-CN"/>
        </w:rPr>
        <w:t xml:space="preserve"> </w:t>
      </w:r>
      <w:r w:rsidR="000E48B2" w:rsidRPr="00F551CD">
        <w:rPr>
          <w:rFonts w:ascii="Book Antiqua" w:hAnsi="Book Antiqua"/>
        </w:rPr>
        <w:t xml:space="preserve">2020; </w:t>
      </w:r>
      <w:r w:rsidR="000E48B2" w:rsidRPr="00F551CD">
        <w:rPr>
          <w:rFonts w:ascii="Book Antiqua" w:hAnsi="Book Antiqua"/>
          <w:b/>
        </w:rPr>
        <w:t>5</w:t>
      </w:r>
      <w:r w:rsidRPr="00F551CD">
        <w:rPr>
          <w:rFonts w:ascii="Book Antiqua" w:hAnsi="Book Antiqua"/>
        </w:rPr>
        <w:t>: 77-78 [</w:t>
      </w:r>
      <w:r w:rsidR="00C4086B" w:rsidRPr="00F551CD">
        <w:rPr>
          <w:rFonts w:ascii="Book Antiqua" w:hAnsi="Book Antiqua"/>
        </w:rPr>
        <w:t>DOI</w:t>
      </w:r>
      <w:r w:rsidRPr="00F551CD">
        <w:rPr>
          <w:rFonts w:ascii="Book Antiqua" w:hAnsi="Book Antiqua"/>
        </w:rPr>
        <w:t>:</w:t>
      </w:r>
      <w:r w:rsidR="00C4086B" w:rsidRPr="00F551CD">
        <w:rPr>
          <w:rFonts w:ascii="Book Antiqua" w:hAnsi="Book Antiqua"/>
          <w:lang w:eastAsia="zh-CN"/>
        </w:rPr>
        <w:t xml:space="preserve"> </w:t>
      </w:r>
      <w:r w:rsidRPr="00F551CD">
        <w:rPr>
          <w:rFonts w:ascii="Book Antiqua" w:hAnsi="Book Antiqua"/>
        </w:rPr>
        <w:t>10.19347/j.cnki.2096-1413.202006032]</w:t>
      </w:r>
    </w:p>
    <w:p w14:paraId="57B7F705"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19 </w:t>
      </w:r>
      <w:r w:rsidRPr="00F551CD">
        <w:rPr>
          <w:rFonts w:ascii="Book Antiqua" w:hAnsi="Book Antiqua"/>
          <w:b/>
        </w:rPr>
        <w:t>Seetahal S</w:t>
      </w:r>
      <w:r w:rsidRPr="00F551CD">
        <w:rPr>
          <w:rFonts w:ascii="Book Antiqua" w:hAnsi="Book Antiqua"/>
        </w:rPr>
        <w:t xml:space="preserve">, Obirieze A, Cornwell EE 3rd, Fullum T, Tran D. Open abdominal surgery: a risk factor for future laparoscopic surgery? </w:t>
      </w:r>
      <w:r w:rsidRPr="00F551CD">
        <w:rPr>
          <w:rFonts w:ascii="Book Antiqua" w:hAnsi="Book Antiqua"/>
          <w:i/>
        </w:rPr>
        <w:t>Am J Surg</w:t>
      </w:r>
      <w:r w:rsidRPr="00F551CD">
        <w:rPr>
          <w:rFonts w:ascii="Book Antiqua" w:hAnsi="Book Antiqua"/>
        </w:rPr>
        <w:t xml:space="preserve"> 2015; </w:t>
      </w:r>
      <w:r w:rsidRPr="00F551CD">
        <w:rPr>
          <w:rFonts w:ascii="Book Antiqua" w:hAnsi="Book Antiqua"/>
          <w:b/>
        </w:rPr>
        <w:t>209</w:t>
      </w:r>
      <w:r w:rsidRPr="00F551CD">
        <w:rPr>
          <w:rFonts w:ascii="Book Antiqua" w:hAnsi="Book Antiqua"/>
        </w:rPr>
        <w:t>: 623-626 [PMID: 25698077 DOI: 10.1016/j.amjsurg.2014.12.017]</w:t>
      </w:r>
    </w:p>
    <w:p w14:paraId="478C6CD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20 </w:t>
      </w:r>
      <w:r w:rsidRPr="00F551CD">
        <w:rPr>
          <w:rFonts w:ascii="Book Antiqua" w:hAnsi="Book Antiqua"/>
          <w:b/>
        </w:rPr>
        <w:t>Yamamoto H</w:t>
      </w:r>
      <w:r w:rsidRPr="00F551CD">
        <w:rPr>
          <w:rFonts w:ascii="Book Antiqua" w:hAnsi="Book Antiqua"/>
        </w:rPr>
        <w:t xml:space="preserve">, Hayakawa N, Yamamoto T, Momiyama M, Nagino M. Laparoscopic cholecystectomy in patients with a previous history of gastrectomy. </w:t>
      </w:r>
      <w:r w:rsidRPr="00F551CD">
        <w:rPr>
          <w:rFonts w:ascii="Book Antiqua" w:hAnsi="Book Antiqua"/>
          <w:i/>
        </w:rPr>
        <w:t>Hepatogastroenterology</w:t>
      </w:r>
      <w:r w:rsidRPr="00F551CD">
        <w:rPr>
          <w:rFonts w:ascii="Book Antiqua" w:hAnsi="Book Antiqua"/>
        </w:rPr>
        <w:t xml:space="preserve"> 2013; </w:t>
      </w:r>
      <w:r w:rsidRPr="00F551CD">
        <w:rPr>
          <w:rFonts w:ascii="Book Antiqua" w:hAnsi="Book Antiqua"/>
          <w:b/>
        </w:rPr>
        <w:t>60</w:t>
      </w:r>
      <w:r w:rsidRPr="00F551CD">
        <w:rPr>
          <w:rFonts w:ascii="Book Antiqua" w:hAnsi="Book Antiqua"/>
        </w:rPr>
        <w:t>: 443-446 [PMID: 23108076 DOI: 10.5754/hge12348]</w:t>
      </w:r>
    </w:p>
    <w:p w14:paraId="7138F8E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21 </w:t>
      </w:r>
      <w:r w:rsidRPr="00F551CD">
        <w:rPr>
          <w:rFonts w:ascii="Book Antiqua" w:hAnsi="Book Antiqua"/>
          <w:b/>
        </w:rPr>
        <w:t>Atasoy D</w:t>
      </w:r>
      <w:r w:rsidRPr="00F551CD">
        <w:rPr>
          <w:rFonts w:ascii="Book Antiqua" w:hAnsi="Book Antiqua"/>
        </w:rPr>
        <w:t xml:space="preserve">, Aghayeva A, Sapcı İ, Bayraktar O, Cengiz TB, Baca B. Effects of prior abdominal surgery on laparoscopic cholecystectomy. </w:t>
      </w:r>
      <w:r w:rsidRPr="00F551CD">
        <w:rPr>
          <w:rFonts w:ascii="Book Antiqua" w:hAnsi="Book Antiqua"/>
          <w:i/>
        </w:rPr>
        <w:t>Turk J Surg</w:t>
      </w:r>
      <w:r w:rsidRPr="00F551CD">
        <w:rPr>
          <w:rFonts w:ascii="Book Antiqua" w:hAnsi="Book Antiqua"/>
        </w:rPr>
        <w:t xml:space="preserve"> 2018; </w:t>
      </w:r>
      <w:r w:rsidRPr="00F551CD">
        <w:rPr>
          <w:rFonts w:ascii="Book Antiqua" w:hAnsi="Book Antiqua"/>
          <w:b/>
        </w:rPr>
        <w:t>34</w:t>
      </w:r>
      <w:r w:rsidRPr="00F551CD">
        <w:rPr>
          <w:rFonts w:ascii="Book Antiqua" w:hAnsi="Book Antiqua"/>
        </w:rPr>
        <w:t>: 217-220 [PMID: 30216161 DOI: 10.5152/turkjsurg.2017.3930]</w:t>
      </w:r>
    </w:p>
    <w:p w14:paraId="31B2A777"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22 </w:t>
      </w:r>
      <w:r w:rsidRPr="00F551CD">
        <w:rPr>
          <w:rFonts w:ascii="Book Antiqua" w:hAnsi="Book Antiqua"/>
          <w:b/>
        </w:rPr>
        <w:t>Tan JH</w:t>
      </w:r>
      <w:r w:rsidRPr="00F551CD">
        <w:rPr>
          <w:rFonts w:ascii="Book Antiqua" w:hAnsi="Book Antiqua"/>
        </w:rPr>
        <w:t xml:space="preserve">, Zhou L, Zhang GW. Surgical Techniques for the Laparoscopic Treatment of Bile Duct Stones in Patients With a History of Upper Abdominal Operations: Retrospective Cohort Study. </w:t>
      </w:r>
      <w:r w:rsidRPr="00F551CD">
        <w:rPr>
          <w:rFonts w:ascii="Book Antiqua" w:hAnsi="Book Antiqua"/>
          <w:i/>
        </w:rPr>
        <w:t>Surg Laparosc Endosc Percutan Tech</w:t>
      </w:r>
      <w:r w:rsidRPr="00F551CD">
        <w:rPr>
          <w:rFonts w:ascii="Book Antiqua" w:hAnsi="Book Antiqua"/>
        </w:rPr>
        <w:t xml:space="preserve"> 2019; </w:t>
      </w:r>
      <w:r w:rsidRPr="00F551CD">
        <w:rPr>
          <w:rFonts w:ascii="Book Antiqua" w:hAnsi="Book Antiqua"/>
          <w:b/>
        </w:rPr>
        <w:t>29</w:t>
      </w:r>
      <w:r w:rsidRPr="00F551CD">
        <w:rPr>
          <w:rFonts w:ascii="Book Antiqua" w:hAnsi="Book Antiqua"/>
        </w:rPr>
        <w:t>: 503-508 [PMID: 31800398 DOI: 10.1097/SLE.0000000000000678]</w:t>
      </w:r>
    </w:p>
    <w:p w14:paraId="2DCF5460"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23 </w:t>
      </w:r>
      <w:r w:rsidR="00B167F2" w:rsidRPr="00F551CD">
        <w:rPr>
          <w:rFonts w:ascii="Book Antiqua" w:hAnsi="Book Antiqua"/>
          <w:b/>
        </w:rPr>
        <w:t>STARSurg</w:t>
      </w:r>
      <w:r w:rsidR="00B167F2" w:rsidRPr="00F551CD">
        <w:rPr>
          <w:rFonts w:ascii="Book Antiqua" w:hAnsi="Book Antiqua"/>
          <w:b/>
          <w:lang w:eastAsia="zh-CN"/>
        </w:rPr>
        <w:t xml:space="preserve"> </w:t>
      </w:r>
      <w:r w:rsidRPr="00F551CD">
        <w:rPr>
          <w:rFonts w:ascii="Book Antiqua" w:hAnsi="Book Antiqua"/>
          <w:b/>
        </w:rPr>
        <w:t>Collaborative</w:t>
      </w:r>
      <w:r w:rsidRPr="00F551CD">
        <w:rPr>
          <w:rFonts w:ascii="Book Antiqua" w:hAnsi="Book Antiqua"/>
        </w:rPr>
        <w:t xml:space="preserve">. REspiratory COmplications after abdomiNal surgery (RECON): study protocol for a multi-centre, observational, prospective, international audit of postoperative pulmonary complications after major abdominal surgery. </w:t>
      </w:r>
      <w:r w:rsidRPr="00F551CD">
        <w:rPr>
          <w:rFonts w:ascii="Book Antiqua" w:hAnsi="Book Antiqua"/>
          <w:i/>
        </w:rPr>
        <w:t>Br J Anaesth</w:t>
      </w:r>
      <w:r w:rsidRPr="00F551CD">
        <w:rPr>
          <w:rFonts w:ascii="Book Antiqua" w:hAnsi="Book Antiqua"/>
        </w:rPr>
        <w:t xml:space="preserve"> 2020; </w:t>
      </w:r>
      <w:r w:rsidRPr="00F551CD">
        <w:rPr>
          <w:rFonts w:ascii="Book Antiqua" w:hAnsi="Book Antiqua"/>
          <w:b/>
        </w:rPr>
        <w:t>124</w:t>
      </w:r>
      <w:r w:rsidRPr="00F551CD">
        <w:rPr>
          <w:rFonts w:ascii="Book Antiqua" w:hAnsi="Book Antiqua"/>
        </w:rPr>
        <w:t>: e13-e16 [PMID: 31784036 DOI: 10.1016/j.bja.2019.10.005]</w:t>
      </w:r>
    </w:p>
    <w:p w14:paraId="05E4C00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24 </w:t>
      </w:r>
      <w:r w:rsidRPr="00F551CD">
        <w:rPr>
          <w:rFonts w:ascii="Book Antiqua" w:hAnsi="Book Antiqua"/>
          <w:b/>
        </w:rPr>
        <w:t>Fernandez-Bustamante A</w:t>
      </w:r>
      <w:r w:rsidRPr="00F551CD">
        <w:rPr>
          <w:rFonts w:ascii="Book Antiqua" w:hAnsi="Book Antiqua"/>
        </w:rPr>
        <w:t xml:space="preserve">, Frendl G, Sprung J, Kor DJ, Subramaniam B, Martinez Ruiz R, Lee JW, Henderson WG, Moss A, Mehdiratta N, Colwell MM, Bartels K, Kolodzie K, Giquel J, Vidal Melo MF. Postoperative Pulmonary Complications, Early Mortality, and Hospital Stay Following Noncardiothoracic Surgery: A Multicenter Study by the Perioperative Research Network Investigators. </w:t>
      </w:r>
      <w:r w:rsidRPr="00F551CD">
        <w:rPr>
          <w:rFonts w:ascii="Book Antiqua" w:hAnsi="Book Antiqua"/>
          <w:i/>
        </w:rPr>
        <w:t>JAMA Surg</w:t>
      </w:r>
      <w:r w:rsidRPr="00F551CD">
        <w:rPr>
          <w:rFonts w:ascii="Book Antiqua" w:hAnsi="Book Antiqua"/>
        </w:rPr>
        <w:t xml:space="preserve"> 2017; </w:t>
      </w:r>
      <w:r w:rsidRPr="00F551CD">
        <w:rPr>
          <w:rFonts w:ascii="Book Antiqua" w:hAnsi="Book Antiqua"/>
          <w:b/>
        </w:rPr>
        <w:t>152</w:t>
      </w:r>
      <w:r w:rsidRPr="00F551CD">
        <w:rPr>
          <w:rFonts w:ascii="Book Antiqua" w:hAnsi="Book Antiqua"/>
        </w:rPr>
        <w:t>: 157-166 [PMID: 27829093 DOI: 10.1001/jamasurg.2016.4065]</w:t>
      </w:r>
    </w:p>
    <w:p w14:paraId="33A81F51"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25 </w:t>
      </w:r>
      <w:r w:rsidRPr="00F551CD">
        <w:rPr>
          <w:rFonts w:ascii="Book Antiqua" w:hAnsi="Book Antiqua"/>
          <w:b/>
        </w:rPr>
        <w:t>Yang CK</w:t>
      </w:r>
      <w:r w:rsidRPr="00F551CD">
        <w:rPr>
          <w:rFonts w:ascii="Book Antiqua" w:hAnsi="Book Antiqua"/>
        </w:rPr>
        <w:t xml:space="preserve">, Teng A, Lee DY, Rose K. Pulmonary complications after major abdominal surgery: National Surgical Quality Improvement Program analysis. </w:t>
      </w:r>
      <w:r w:rsidRPr="00F551CD">
        <w:rPr>
          <w:rFonts w:ascii="Book Antiqua" w:hAnsi="Book Antiqua"/>
          <w:i/>
        </w:rPr>
        <w:t>J Surg Res</w:t>
      </w:r>
      <w:r w:rsidRPr="00F551CD">
        <w:rPr>
          <w:rFonts w:ascii="Book Antiqua" w:hAnsi="Book Antiqua"/>
        </w:rPr>
        <w:t xml:space="preserve"> 2015; </w:t>
      </w:r>
      <w:r w:rsidRPr="00F551CD">
        <w:rPr>
          <w:rFonts w:ascii="Book Antiqua" w:hAnsi="Book Antiqua"/>
          <w:b/>
        </w:rPr>
        <w:t>198</w:t>
      </w:r>
      <w:r w:rsidRPr="00F551CD">
        <w:rPr>
          <w:rFonts w:ascii="Book Antiqua" w:hAnsi="Book Antiqua"/>
        </w:rPr>
        <w:t>: 441-449 [PMID: 25930169 DOI: 10.1016/j.jss.2015.03.028]</w:t>
      </w:r>
    </w:p>
    <w:p w14:paraId="53C63E8A"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26 </w:t>
      </w:r>
      <w:r w:rsidRPr="00F551CD">
        <w:rPr>
          <w:rFonts w:ascii="Book Antiqua" w:hAnsi="Book Antiqua"/>
          <w:b/>
        </w:rPr>
        <w:t>Patel SH</w:t>
      </w:r>
      <w:r w:rsidRPr="00F551CD">
        <w:rPr>
          <w:rFonts w:ascii="Book Antiqua" w:hAnsi="Book Antiqua"/>
        </w:rPr>
        <w:t xml:space="preserve">, Kim BJ, Tzeng CD, Chun YS, Conrad C, Vauthey JN, Aloia TA. Reduction of Cardiopulmonary/Renal Complications with Serum BNP-Guided Volume Status Management in Posthepatectomy Patients. </w:t>
      </w:r>
      <w:r w:rsidRPr="00F551CD">
        <w:rPr>
          <w:rFonts w:ascii="Book Antiqua" w:hAnsi="Book Antiqua"/>
          <w:i/>
        </w:rPr>
        <w:t>J Gastrointest Surg</w:t>
      </w:r>
      <w:r w:rsidRPr="00F551CD">
        <w:rPr>
          <w:rFonts w:ascii="Book Antiqua" w:hAnsi="Book Antiqua"/>
        </w:rPr>
        <w:t xml:space="preserve"> 2018; </w:t>
      </w:r>
      <w:r w:rsidRPr="00F551CD">
        <w:rPr>
          <w:rFonts w:ascii="Book Antiqua" w:hAnsi="Book Antiqua"/>
          <w:b/>
        </w:rPr>
        <w:t>22</w:t>
      </w:r>
      <w:r w:rsidRPr="00F551CD">
        <w:rPr>
          <w:rFonts w:ascii="Book Antiqua" w:hAnsi="Book Antiqua"/>
        </w:rPr>
        <w:t>: 467-476 [PMID: 29234998 DOI: 10.1007/s11605-017-3600-1]</w:t>
      </w:r>
    </w:p>
    <w:p w14:paraId="775A2559"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27 </w:t>
      </w:r>
      <w:r w:rsidRPr="00F551CD">
        <w:rPr>
          <w:rFonts w:ascii="Book Antiqua" w:hAnsi="Book Antiqua"/>
          <w:b/>
        </w:rPr>
        <w:t>Fan J</w:t>
      </w:r>
      <w:r w:rsidRPr="00F551CD">
        <w:rPr>
          <w:rFonts w:ascii="Book Antiqua" w:hAnsi="Book Antiqua"/>
        </w:rPr>
        <w:t xml:space="preserve">, Ma J, Xia N, Sun L, Li B, Liu H. Clinical Value of Combined Detection of CK-MB, MYO, cTnI and Plasma NT-proBNP in Diagnosis of Acute Myocardial Infarction. </w:t>
      </w:r>
      <w:r w:rsidRPr="00F551CD">
        <w:rPr>
          <w:rFonts w:ascii="Book Antiqua" w:hAnsi="Book Antiqua"/>
          <w:i/>
        </w:rPr>
        <w:t>Clin Lab</w:t>
      </w:r>
      <w:r w:rsidRPr="00F551CD">
        <w:rPr>
          <w:rFonts w:ascii="Book Antiqua" w:hAnsi="Book Antiqua"/>
        </w:rPr>
        <w:t xml:space="preserve"> 2017; </w:t>
      </w:r>
      <w:r w:rsidRPr="00F551CD">
        <w:rPr>
          <w:rFonts w:ascii="Book Antiqua" w:hAnsi="Book Antiqua"/>
          <w:b/>
        </w:rPr>
        <w:t>63</w:t>
      </w:r>
      <w:r w:rsidRPr="00F551CD">
        <w:rPr>
          <w:rFonts w:ascii="Book Antiqua" w:hAnsi="Book Antiqua"/>
        </w:rPr>
        <w:t>: 427-433 [PMID: 28271683 DOI: 10.7754/Clin.Lab.2016.160533]</w:t>
      </w:r>
    </w:p>
    <w:p w14:paraId="5857B2C7"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28 </w:t>
      </w:r>
      <w:r w:rsidRPr="00F551CD">
        <w:rPr>
          <w:rFonts w:ascii="Book Antiqua" w:hAnsi="Book Antiqua"/>
          <w:b/>
        </w:rPr>
        <w:t>Zhao K</w:t>
      </w:r>
      <w:r w:rsidRPr="00F551CD">
        <w:rPr>
          <w:rFonts w:ascii="Book Antiqua" w:hAnsi="Book Antiqua"/>
        </w:rPr>
        <w:t xml:space="preserve">, Tang M, Wang H, Zhou Z, Wu Y, Liu S. Simultaneous detection of three biomarkers related to acute myocardial infarction based on immunosensing biochip. </w:t>
      </w:r>
      <w:r w:rsidRPr="00F551CD">
        <w:rPr>
          <w:rFonts w:ascii="Book Antiqua" w:hAnsi="Book Antiqua"/>
          <w:i/>
        </w:rPr>
        <w:t>Biosens Bioelectron</w:t>
      </w:r>
      <w:r w:rsidRPr="00F551CD">
        <w:rPr>
          <w:rFonts w:ascii="Book Antiqua" w:hAnsi="Book Antiqua"/>
        </w:rPr>
        <w:t xml:space="preserve"> 2019; </w:t>
      </w:r>
      <w:r w:rsidRPr="00F551CD">
        <w:rPr>
          <w:rFonts w:ascii="Book Antiqua" w:hAnsi="Book Antiqua"/>
          <w:b/>
        </w:rPr>
        <w:t>126</w:t>
      </w:r>
      <w:r w:rsidRPr="00F551CD">
        <w:rPr>
          <w:rFonts w:ascii="Book Antiqua" w:hAnsi="Book Antiqua"/>
        </w:rPr>
        <w:t>: 767-772 [PMID: 30554098 DOI: 10.1016/j.bios.2018.11.044]</w:t>
      </w:r>
    </w:p>
    <w:p w14:paraId="3772686A"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29 </w:t>
      </w:r>
      <w:r w:rsidRPr="00F551CD">
        <w:rPr>
          <w:rFonts w:ascii="Book Antiqua" w:hAnsi="Book Antiqua"/>
          <w:b/>
        </w:rPr>
        <w:t>Columbo JA</w:t>
      </w:r>
      <w:r w:rsidRPr="00F551CD">
        <w:rPr>
          <w:rFonts w:ascii="Book Antiqua" w:hAnsi="Book Antiqua"/>
        </w:rPr>
        <w:t xml:space="preserve">, Lambour AJ, Sundling RA, Chauhan NB, Bessen SY, Linshaw DL, Kang R, Riblet NBV, Goodney PP, Stone DH. A Meta-analysis of the Impact of Aspirin, Clopidogrel, and Dual Antiplatelet Therapy on Bleeding Complications in Noncardiac Surgery. </w:t>
      </w:r>
      <w:r w:rsidRPr="00F551CD">
        <w:rPr>
          <w:rFonts w:ascii="Book Antiqua" w:hAnsi="Book Antiqua"/>
          <w:i/>
        </w:rPr>
        <w:t>Ann Surg</w:t>
      </w:r>
      <w:r w:rsidRPr="00F551CD">
        <w:rPr>
          <w:rFonts w:ascii="Book Antiqua" w:hAnsi="Book Antiqua"/>
        </w:rPr>
        <w:t xml:space="preserve"> 2018; </w:t>
      </w:r>
      <w:r w:rsidRPr="00F551CD">
        <w:rPr>
          <w:rFonts w:ascii="Book Antiqua" w:hAnsi="Book Antiqua"/>
          <w:b/>
        </w:rPr>
        <w:t>267</w:t>
      </w:r>
      <w:r w:rsidRPr="00F551CD">
        <w:rPr>
          <w:rFonts w:ascii="Book Antiqua" w:hAnsi="Book Antiqua"/>
        </w:rPr>
        <w:t>: 1-10 [PMID: 28463896 DOI: 10.1097/SLA.0000000000002279]</w:t>
      </w:r>
    </w:p>
    <w:p w14:paraId="3B1C8878"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30 </w:t>
      </w:r>
      <w:r w:rsidRPr="00F551CD">
        <w:rPr>
          <w:rFonts w:ascii="Book Antiqua" w:hAnsi="Book Antiqua"/>
          <w:b/>
        </w:rPr>
        <w:t>Banihashem N</w:t>
      </w:r>
      <w:r w:rsidRPr="00F551CD">
        <w:rPr>
          <w:rFonts w:ascii="Book Antiqua" w:hAnsi="Book Antiqua"/>
        </w:rPr>
        <w:t xml:space="preserve">, Khorasani M, Vaffai H, Naziri F, Khafri S, Seyfi S. The effect of low- dose tranexamic acid on postoperative blood loss in patients treated with clopidogrel and aspirin. </w:t>
      </w:r>
      <w:r w:rsidRPr="00F551CD">
        <w:rPr>
          <w:rFonts w:ascii="Book Antiqua" w:hAnsi="Book Antiqua"/>
          <w:i/>
        </w:rPr>
        <w:t>Caspian J Intern Med</w:t>
      </w:r>
      <w:r w:rsidRPr="00F551CD">
        <w:rPr>
          <w:rFonts w:ascii="Book Antiqua" w:hAnsi="Book Antiqua"/>
        </w:rPr>
        <w:t xml:space="preserve"> 2019; </w:t>
      </w:r>
      <w:r w:rsidRPr="00F551CD">
        <w:rPr>
          <w:rFonts w:ascii="Book Antiqua" w:hAnsi="Book Antiqua"/>
          <w:b/>
        </w:rPr>
        <w:t>10</w:t>
      </w:r>
      <w:r w:rsidRPr="00F551CD">
        <w:rPr>
          <w:rFonts w:ascii="Book Antiqua" w:hAnsi="Book Antiqua"/>
        </w:rPr>
        <w:t>: 156-161 [PMID: 31363394 DOI: 10.22088/cjim.10.2.156]</w:t>
      </w:r>
    </w:p>
    <w:p w14:paraId="50AC34E4"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31 </w:t>
      </w:r>
      <w:r w:rsidRPr="00F551CD">
        <w:rPr>
          <w:rFonts w:ascii="Book Antiqua" w:hAnsi="Book Antiqua"/>
          <w:b/>
        </w:rPr>
        <w:t>Lewis SR</w:t>
      </w:r>
      <w:r w:rsidRPr="00F551CD">
        <w:rPr>
          <w:rFonts w:ascii="Book Antiqua" w:hAnsi="Book Antiqua"/>
        </w:rPr>
        <w:t xml:space="preserve">, Pritchard MW, Schofield-Robinson OJ, Alderson P, Smith AF. Continuation versus discontinuation of antiplatelet therapy for bleeding and ischaemic events in adults undergoing non-cardiac surgery. </w:t>
      </w:r>
      <w:r w:rsidRPr="00F551CD">
        <w:rPr>
          <w:rFonts w:ascii="Book Antiqua" w:hAnsi="Book Antiqua"/>
          <w:i/>
        </w:rPr>
        <w:t>Cochrane Database Syst Rev</w:t>
      </w:r>
      <w:r w:rsidRPr="00F551CD">
        <w:rPr>
          <w:rFonts w:ascii="Book Antiqua" w:hAnsi="Book Antiqua"/>
        </w:rPr>
        <w:t xml:space="preserve"> 2018; </w:t>
      </w:r>
      <w:r w:rsidRPr="00F551CD">
        <w:rPr>
          <w:rFonts w:ascii="Book Antiqua" w:hAnsi="Book Antiqua"/>
          <w:b/>
        </w:rPr>
        <w:t>7</w:t>
      </w:r>
      <w:r w:rsidRPr="00F551CD">
        <w:rPr>
          <w:rFonts w:ascii="Book Antiqua" w:hAnsi="Book Antiqua"/>
        </w:rPr>
        <w:t>: CD012584 [PMID: 30019463 DOI: 10.1002/14651858.CD012584.pub2]</w:t>
      </w:r>
    </w:p>
    <w:p w14:paraId="7975EBBC" w14:textId="77777777" w:rsidR="002F18D7" w:rsidRPr="00F551CD" w:rsidRDefault="002F18D7" w:rsidP="00F551CD">
      <w:pPr>
        <w:adjustRightInd w:val="0"/>
        <w:snapToGrid w:val="0"/>
        <w:spacing w:line="360" w:lineRule="auto"/>
        <w:jc w:val="both"/>
        <w:rPr>
          <w:rFonts w:ascii="Book Antiqua" w:hAnsi="Book Antiqua"/>
          <w:lang w:eastAsia="zh-CN"/>
        </w:rPr>
      </w:pPr>
    </w:p>
    <w:p w14:paraId="3BE1947E" w14:textId="77777777" w:rsidR="00B72550" w:rsidRPr="00F551CD" w:rsidRDefault="00B72550" w:rsidP="00F551CD">
      <w:pPr>
        <w:adjustRightInd w:val="0"/>
        <w:snapToGrid w:val="0"/>
        <w:spacing w:line="360" w:lineRule="auto"/>
        <w:jc w:val="both"/>
        <w:rPr>
          <w:rFonts w:ascii="Book Antiqua" w:hAnsi="Book Antiqua"/>
          <w:lang w:eastAsia="zh-CN"/>
        </w:rPr>
        <w:sectPr w:rsidR="00B72550" w:rsidRPr="00F551CD">
          <w:pgSz w:w="12240" w:h="15840"/>
          <w:pgMar w:top="1440" w:right="1440" w:bottom="1440" w:left="1440" w:header="720" w:footer="720" w:gutter="0"/>
          <w:cols w:space="720"/>
          <w:docGrid w:linePitch="360"/>
        </w:sectPr>
      </w:pPr>
    </w:p>
    <w:p w14:paraId="580A6FB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Footnotes</w:t>
      </w:r>
    </w:p>
    <w:p w14:paraId="236D172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Informed consent statement: </w:t>
      </w:r>
      <w:r w:rsidRPr="00F551CD">
        <w:rPr>
          <w:rFonts w:ascii="Book Antiqua" w:eastAsia="Book Antiqua" w:hAnsi="Book Antiqua" w:cs="Book Antiqua"/>
        </w:rPr>
        <w:t>Informed written consent was obtained from the patient.</w:t>
      </w:r>
    </w:p>
    <w:p w14:paraId="2B1CF753" w14:textId="77777777" w:rsidR="00A77B3E" w:rsidRPr="00F551CD" w:rsidRDefault="00A77B3E" w:rsidP="00F551CD">
      <w:pPr>
        <w:adjustRightInd w:val="0"/>
        <w:snapToGrid w:val="0"/>
        <w:spacing w:line="360" w:lineRule="auto"/>
        <w:jc w:val="both"/>
        <w:rPr>
          <w:rFonts w:ascii="Book Antiqua" w:hAnsi="Book Antiqua"/>
        </w:rPr>
      </w:pPr>
    </w:p>
    <w:p w14:paraId="1148F6AF" w14:textId="79909899"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Conflict-of-interest statement: </w:t>
      </w:r>
      <w:r w:rsidRPr="00F551CD">
        <w:rPr>
          <w:rFonts w:ascii="Book Antiqua" w:eastAsia="Book Antiqua" w:hAnsi="Book Antiqua" w:cs="Book Antiqua"/>
        </w:rPr>
        <w:t>The authors declare that they have no conflict</w:t>
      </w:r>
      <w:r w:rsidR="00167BFB">
        <w:rPr>
          <w:rFonts w:ascii="Book Antiqua" w:eastAsia="Book Antiqua" w:hAnsi="Book Antiqua" w:cs="Book Antiqua"/>
        </w:rPr>
        <w:t>s</w:t>
      </w:r>
      <w:r w:rsidRPr="00F551CD">
        <w:rPr>
          <w:rFonts w:ascii="Book Antiqua" w:eastAsia="Book Antiqua" w:hAnsi="Book Antiqua" w:cs="Book Antiqua"/>
        </w:rPr>
        <w:t xml:space="preserve"> of interest.</w:t>
      </w:r>
    </w:p>
    <w:p w14:paraId="372C4EA6" w14:textId="77777777" w:rsidR="00A77B3E" w:rsidRPr="00F551CD" w:rsidRDefault="00A77B3E" w:rsidP="00F551CD">
      <w:pPr>
        <w:adjustRightInd w:val="0"/>
        <w:snapToGrid w:val="0"/>
        <w:spacing w:line="360" w:lineRule="auto"/>
        <w:jc w:val="both"/>
        <w:rPr>
          <w:rFonts w:ascii="Book Antiqua" w:hAnsi="Book Antiqua"/>
          <w:lang w:eastAsia="zh-CN"/>
        </w:rPr>
      </w:pPr>
    </w:p>
    <w:p w14:paraId="39D1FD3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CARE Checklist (2016) statement: </w:t>
      </w:r>
      <w:r w:rsidRPr="00F551CD">
        <w:rPr>
          <w:rFonts w:ascii="Book Antiqua" w:eastAsia="Book Antiqua" w:hAnsi="Book Antiqua" w:cs="Book Antiqua"/>
        </w:rPr>
        <w:t>The authors have read the CARE Checklist (2016), and the manuscript was prepared and revised according to the CARE Checklist (2016).</w:t>
      </w:r>
    </w:p>
    <w:p w14:paraId="47EAEDD5" w14:textId="77777777" w:rsidR="00A77B3E" w:rsidRPr="00F551CD" w:rsidRDefault="00A77B3E" w:rsidP="00F551CD">
      <w:pPr>
        <w:adjustRightInd w:val="0"/>
        <w:snapToGrid w:val="0"/>
        <w:spacing w:line="360" w:lineRule="auto"/>
        <w:jc w:val="both"/>
        <w:rPr>
          <w:rFonts w:ascii="Book Antiqua" w:hAnsi="Book Antiqua"/>
        </w:rPr>
      </w:pPr>
    </w:p>
    <w:p w14:paraId="1AB2E49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Open-Access: </w:t>
      </w:r>
      <w:r w:rsidRPr="00F551C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F83106" w14:textId="77777777" w:rsidR="00A77B3E" w:rsidRPr="00F551CD" w:rsidRDefault="00A77B3E" w:rsidP="00F551CD">
      <w:pPr>
        <w:adjustRightInd w:val="0"/>
        <w:snapToGrid w:val="0"/>
        <w:spacing w:line="360" w:lineRule="auto"/>
        <w:jc w:val="both"/>
        <w:rPr>
          <w:rFonts w:ascii="Book Antiqua" w:hAnsi="Book Antiqua"/>
        </w:rPr>
      </w:pPr>
    </w:p>
    <w:p w14:paraId="5B7D878C" w14:textId="77777777" w:rsidR="00A77B3E" w:rsidRPr="00F551CD" w:rsidRDefault="00FB6887" w:rsidP="00F551CD">
      <w:pPr>
        <w:adjustRightInd w:val="0"/>
        <w:snapToGrid w:val="0"/>
        <w:spacing w:line="360" w:lineRule="auto"/>
        <w:jc w:val="both"/>
        <w:rPr>
          <w:rFonts w:ascii="Book Antiqua" w:hAnsi="Book Antiqua" w:cs="Book Antiqua"/>
          <w:lang w:eastAsia="zh-CN"/>
        </w:rPr>
      </w:pPr>
      <w:r w:rsidRPr="00F551CD">
        <w:rPr>
          <w:rFonts w:ascii="Book Antiqua" w:eastAsia="Book Antiqua" w:hAnsi="Book Antiqua" w:cs="Book Antiqua"/>
          <w:b/>
        </w:rPr>
        <w:t xml:space="preserve">Manuscript source: </w:t>
      </w:r>
      <w:r w:rsidRPr="00F551CD">
        <w:rPr>
          <w:rFonts w:ascii="Book Antiqua" w:eastAsia="Book Antiqua" w:hAnsi="Book Antiqua" w:cs="Book Antiqua"/>
        </w:rPr>
        <w:t xml:space="preserve">Invited </w:t>
      </w:r>
      <w:r w:rsidR="0032606E" w:rsidRPr="00F551CD">
        <w:rPr>
          <w:rFonts w:ascii="Book Antiqua" w:eastAsia="Book Antiqua" w:hAnsi="Book Antiqua" w:cs="Book Antiqua"/>
        </w:rPr>
        <w:t>m</w:t>
      </w:r>
      <w:r w:rsidRPr="00F551CD">
        <w:rPr>
          <w:rFonts w:ascii="Book Antiqua" w:eastAsia="Book Antiqua" w:hAnsi="Book Antiqua" w:cs="Book Antiqua"/>
        </w:rPr>
        <w:t>anuscript</w:t>
      </w:r>
    </w:p>
    <w:p w14:paraId="79C5F3ED" w14:textId="77777777" w:rsidR="00B72550" w:rsidRPr="00F551CD" w:rsidRDefault="00B72550" w:rsidP="00F551CD">
      <w:pPr>
        <w:adjustRightInd w:val="0"/>
        <w:snapToGrid w:val="0"/>
        <w:spacing w:line="360" w:lineRule="auto"/>
        <w:jc w:val="both"/>
        <w:rPr>
          <w:rFonts w:ascii="Book Antiqua" w:hAnsi="Book Antiqua"/>
          <w:lang w:eastAsia="zh-CN"/>
        </w:rPr>
      </w:pPr>
    </w:p>
    <w:p w14:paraId="3A2BC4C8"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Corresponding Author's Membership in Professional Societies: </w:t>
      </w:r>
      <w:r w:rsidRPr="00F551CD">
        <w:rPr>
          <w:rFonts w:ascii="Book Antiqua" w:eastAsia="Book Antiqua" w:hAnsi="Book Antiqua" w:cs="Book Antiqua"/>
        </w:rPr>
        <w:t>International Hepato</w:t>
      </w:r>
      <w:r w:rsidR="00B72550" w:rsidRPr="00F551CD">
        <w:rPr>
          <w:rFonts w:ascii="Book Antiqua" w:eastAsia="Book Antiqua" w:hAnsi="Book Antiqua" w:cs="Book Antiqua"/>
        </w:rPr>
        <w:t>-Pancreato Biliary Association</w:t>
      </w:r>
      <w:r w:rsidRPr="00F551CD">
        <w:rPr>
          <w:rFonts w:ascii="Book Antiqua" w:eastAsia="Book Antiqua" w:hAnsi="Book Antiqua" w:cs="Book Antiqua"/>
        </w:rPr>
        <w:t xml:space="preserve">; Biliary Surgery Group of Surgery Branch </w:t>
      </w:r>
      <w:r w:rsidR="00B72550" w:rsidRPr="00F551CD">
        <w:rPr>
          <w:rFonts w:ascii="Book Antiqua" w:eastAsia="Book Antiqua" w:hAnsi="Book Antiqua" w:cs="Book Antiqua"/>
        </w:rPr>
        <w:t>of Chinese Medical Association</w:t>
      </w:r>
      <w:r w:rsidRPr="00F551CD">
        <w:rPr>
          <w:rFonts w:ascii="Book Antiqua" w:eastAsia="Book Antiqua" w:hAnsi="Book Antiqua" w:cs="Book Antiqua"/>
        </w:rPr>
        <w:t xml:space="preserve">; </w:t>
      </w:r>
      <w:r w:rsidR="001F4362" w:rsidRPr="00F551CD">
        <w:rPr>
          <w:rFonts w:ascii="Book Antiqua" w:eastAsia="Book Antiqua" w:hAnsi="Book Antiqua" w:cs="Book Antiqua"/>
        </w:rPr>
        <w:t xml:space="preserve">and </w:t>
      </w:r>
      <w:r w:rsidRPr="00F551CD">
        <w:rPr>
          <w:rFonts w:ascii="Book Antiqua" w:eastAsia="Book Antiqua" w:hAnsi="Book Antiqua" w:cs="Book Antiqua"/>
        </w:rPr>
        <w:t xml:space="preserve">Science </w:t>
      </w:r>
      <w:r w:rsidR="008816BE" w:rsidRPr="00F551CD">
        <w:rPr>
          <w:rFonts w:ascii="Book Antiqua" w:eastAsia="Book Antiqua" w:hAnsi="Book Antiqua" w:cs="Book Antiqua"/>
        </w:rPr>
        <w:t>and</w:t>
      </w:r>
      <w:r w:rsidRPr="00F551CD">
        <w:rPr>
          <w:rFonts w:ascii="Book Antiqua" w:eastAsia="Book Antiqua" w:hAnsi="Book Antiqua" w:cs="Book Antiqua"/>
        </w:rPr>
        <w:t xml:space="preserve"> Technology Commission of Ministry of Education of </w:t>
      </w:r>
      <w:r w:rsidR="00B72550" w:rsidRPr="00F551CD">
        <w:rPr>
          <w:rFonts w:ascii="Book Antiqua" w:eastAsia="Book Antiqua" w:hAnsi="Book Antiqua" w:cs="Book Antiqua"/>
        </w:rPr>
        <w:t>the People's Republic of China</w:t>
      </w:r>
      <w:r w:rsidRPr="00F551CD">
        <w:rPr>
          <w:rFonts w:ascii="Book Antiqua" w:eastAsia="Book Antiqua" w:hAnsi="Book Antiqua" w:cs="Book Antiqua"/>
        </w:rPr>
        <w:t>.</w:t>
      </w:r>
    </w:p>
    <w:p w14:paraId="3C2905E5" w14:textId="77777777" w:rsidR="00A77B3E" w:rsidRPr="00F551CD" w:rsidRDefault="00A77B3E" w:rsidP="00F551CD">
      <w:pPr>
        <w:adjustRightInd w:val="0"/>
        <w:snapToGrid w:val="0"/>
        <w:spacing w:line="360" w:lineRule="auto"/>
        <w:jc w:val="both"/>
        <w:rPr>
          <w:rFonts w:ascii="Book Antiqua" w:hAnsi="Book Antiqua"/>
        </w:rPr>
      </w:pPr>
    </w:p>
    <w:p w14:paraId="0CD408D9"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Peer-review started: </w:t>
      </w:r>
      <w:r w:rsidRPr="00F551CD">
        <w:rPr>
          <w:rFonts w:ascii="Book Antiqua" w:eastAsia="Book Antiqua" w:hAnsi="Book Antiqua" w:cs="Book Antiqua"/>
        </w:rPr>
        <w:t>June 8, 2020</w:t>
      </w:r>
    </w:p>
    <w:p w14:paraId="3D641A7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First decision: </w:t>
      </w:r>
      <w:r w:rsidRPr="00F551CD">
        <w:rPr>
          <w:rFonts w:ascii="Book Antiqua" w:eastAsia="Book Antiqua" w:hAnsi="Book Antiqua" w:cs="Book Antiqua"/>
        </w:rPr>
        <w:t>August 22, 2020</w:t>
      </w:r>
    </w:p>
    <w:p w14:paraId="44581275" w14:textId="53366612"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Article in press: </w:t>
      </w:r>
      <w:r w:rsidR="00B96000" w:rsidRPr="00F551CD">
        <w:rPr>
          <w:rFonts w:ascii="Book Antiqua" w:hAnsi="Book Antiqua" w:cs="Arial"/>
          <w:shd w:val="clear" w:color="auto" w:fill="FFFFFF"/>
        </w:rPr>
        <w:t>September 11, 2020</w:t>
      </w:r>
    </w:p>
    <w:p w14:paraId="01C8FA6F" w14:textId="77777777" w:rsidR="00A77B3E" w:rsidRPr="00F551CD" w:rsidRDefault="00A77B3E" w:rsidP="00F551CD">
      <w:pPr>
        <w:adjustRightInd w:val="0"/>
        <w:snapToGrid w:val="0"/>
        <w:spacing w:line="360" w:lineRule="auto"/>
        <w:jc w:val="both"/>
        <w:rPr>
          <w:rFonts w:ascii="Book Antiqua" w:hAnsi="Book Antiqua"/>
        </w:rPr>
      </w:pPr>
    </w:p>
    <w:p w14:paraId="163C255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Specialty type: </w:t>
      </w:r>
      <w:r w:rsidRPr="00F551CD">
        <w:rPr>
          <w:rFonts w:ascii="Book Antiqua" w:eastAsia="Book Antiqua" w:hAnsi="Book Antiqua" w:cs="Book Antiqua"/>
        </w:rPr>
        <w:t>Surgery</w:t>
      </w:r>
    </w:p>
    <w:p w14:paraId="1C70D96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Country/Territory of origin: </w:t>
      </w:r>
      <w:r w:rsidRPr="00F551CD">
        <w:rPr>
          <w:rFonts w:ascii="Book Antiqua" w:eastAsia="Book Antiqua" w:hAnsi="Book Antiqua" w:cs="Book Antiqua"/>
        </w:rPr>
        <w:t>China</w:t>
      </w:r>
    </w:p>
    <w:p w14:paraId="30519671"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Peer-review report’s scientific quality classification</w:t>
      </w:r>
    </w:p>
    <w:p w14:paraId="45054C3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A (Excellent): 0</w:t>
      </w:r>
    </w:p>
    <w:p w14:paraId="77498151"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Grade B (Very good): B</w:t>
      </w:r>
      <w:r w:rsidR="00E77CB8" w:rsidRPr="00F551CD">
        <w:rPr>
          <w:rFonts w:ascii="Book Antiqua" w:hAnsi="Book Antiqua" w:cs="Book Antiqua"/>
          <w:lang w:eastAsia="zh-CN"/>
        </w:rPr>
        <w:t>, B</w:t>
      </w:r>
    </w:p>
    <w:p w14:paraId="59F2E82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C (Good): 0</w:t>
      </w:r>
    </w:p>
    <w:p w14:paraId="56BFFC7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D (Fair): 0</w:t>
      </w:r>
    </w:p>
    <w:p w14:paraId="1E44A60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E (Poor): E</w:t>
      </w:r>
    </w:p>
    <w:p w14:paraId="4AA29471" w14:textId="77777777" w:rsidR="00A77B3E" w:rsidRPr="00F551CD" w:rsidRDefault="00A77B3E" w:rsidP="00F551CD">
      <w:pPr>
        <w:adjustRightInd w:val="0"/>
        <w:snapToGrid w:val="0"/>
        <w:spacing w:line="360" w:lineRule="auto"/>
        <w:jc w:val="both"/>
        <w:rPr>
          <w:rFonts w:ascii="Book Antiqua" w:hAnsi="Book Antiqua"/>
        </w:rPr>
      </w:pPr>
    </w:p>
    <w:p w14:paraId="5A257F7A" w14:textId="503B30C0" w:rsidR="00A77B3E" w:rsidRPr="000278D5"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t xml:space="preserve">P-Reviewer: </w:t>
      </w:r>
      <w:r w:rsidRPr="00F551CD">
        <w:rPr>
          <w:rFonts w:ascii="Book Antiqua" w:eastAsia="Book Antiqua" w:hAnsi="Book Antiqua" w:cs="Book Antiqua"/>
        </w:rPr>
        <w:t xml:space="preserve">Ferreira LPS, </w:t>
      </w:r>
      <w:r w:rsidR="00E77CB8" w:rsidRPr="00F551CD">
        <w:rPr>
          <w:rFonts w:ascii="Book Antiqua" w:eastAsia="Book Antiqua" w:hAnsi="Book Antiqua" w:cs="Book Antiqua"/>
        </w:rPr>
        <w:t xml:space="preserve">Klaiber U, </w:t>
      </w:r>
      <w:r w:rsidRPr="00F551CD">
        <w:rPr>
          <w:rFonts w:ascii="Book Antiqua" w:eastAsia="Book Antiqua" w:hAnsi="Book Antiqua" w:cs="Book Antiqua"/>
        </w:rPr>
        <w:t xml:space="preserve">Lieto E </w:t>
      </w:r>
      <w:r w:rsidRPr="00F551CD">
        <w:rPr>
          <w:rFonts w:ascii="Book Antiqua" w:eastAsia="Book Antiqua" w:hAnsi="Book Antiqua" w:cs="Book Antiqua"/>
          <w:b/>
        </w:rPr>
        <w:t xml:space="preserve">S-Editor: </w:t>
      </w:r>
      <w:r w:rsidRPr="00F551CD">
        <w:rPr>
          <w:rFonts w:ascii="Book Antiqua" w:eastAsia="Book Antiqua" w:hAnsi="Book Antiqua" w:cs="Book Antiqua"/>
        </w:rPr>
        <w:t>Wang JL</w:t>
      </w:r>
      <w:r w:rsidRPr="00F551CD">
        <w:rPr>
          <w:rFonts w:ascii="Book Antiqua" w:eastAsia="Book Antiqua" w:hAnsi="Book Antiqua" w:cs="Book Antiqua"/>
          <w:b/>
        </w:rPr>
        <w:t xml:space="preserve"> L-Editor: </w:t>
      </w:r>
      <w:r w:rsidR="00472186" w:rsidRPr="00F551CD">
        <w:rPr>
          <w:rFonts w:ascii="Book Antiqua" w:eastAsia="Book Antiqua" w:hAnsi="Book Antiqua" w:cs="Book Antiqua"/>
          <w:bCs/>
        </w:rPr>
        <w:t>Filipodia</w:t>
      </w:r>
      <w:r w:rsidRPr="00F551CD">
        <w:rPr>
          <w:rFonts w:ascii="Book Antiqua" w:eastAsia="Book Antiqua" w:hAnsi="Book Antiqua" w:cs="Book Antiqua"/>
          <w:b/>
        </w:rPr>
        <w:t xml:space="preserve"> P-Editor: </w:t>
      </w:r>
      <w:r w:rsidR="000278D5" w:rsidRPr="000278D5">
        <w:rPr>
          <w:rFonts w:ascii="Book Antiqua" w:hAnsi="Book Antiqua" w:cs="Book Antiqua" w:hint="eastAsia"/>
          <w:lang w:eastAsia="zh-CN"/>
        </w:rPr>
        <w:t>Wang LL</w:t>
      </w:r>
    </w:p>
    <w:p w14:paraId="6A4C4FAC" w14:textId="77777777" w:rsidR="000278D5" w:rsidRPr="000278D5" w:rsidRDefault="000278D5" w:rsidP="00F551CD">
      <w:pPr>
        <w:adjustRightInd w:val="0"/>
        <w:snapToGrid w:val="0"/>
        <w:spacing w:line="360" w:lineRule="auto"/>
        <w:jc w:val="both"/>
        <w:rPr>
          <w:rFonts w:ascii="Book Antiqua" w:hAnsi="Book Antiqua" w:cs="Book Antiqua"/>
          <w:b/>
          <w:lang w:eastAsia="zh-CN"/>
        </w:rPr>
      </w:pPr>
    </w:p>
    <w:p w14:paraId="6B984FA6" w14:textId="77777777" w:rsidR="00305C93" w:rsidRPr="00F551CD" w:rsidRDefault="00305C93" w:rsidP="00F551CD">
      <w:pPr>
        <w:adjustRightInd w:val="0"/>
        <w:snapToGrid w:val="0"/>
        <w:spacing w:line="360" w:lineRule="auto"/>
        <w:jc w:val="both"/>
        <w:rPr>
          <w:rFonts w:ascii="Book Antiqua" w:hAnsi="Book Antiqua"/>
          <w:lang w:eastAsia="zh-CN"/>
        </w:rPr>
        <w:sectPr w:rsidR="00305C93" w:rsidRPr="00F551CD">
          <w:pgSz w:w="12240" w:h="15840"/>
          <w:pgMar w:top="1440" w:right="1440" w:bottom="1440" w:left="1440" w:header="720" w:footer="720" w:gutter="0"/>
          <w:cols w:space="720"/>
          <w:docGrid w:linePitch="360"/>
        </w:sectPr>
      </w:pPr>
    </w:p>
    <w:p w14:paraId="4D347576" w14:textId="77777777" w:rsidR="00E77CB8" w:rsidRPr="00F551CD"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t>Figure Legends</w:t>
      </w:r>
    </w:p>
    <w:p w14:paraId="708B07E8" w14:textId="77777777" w:rsidR="002F18D7" w:rsidRPr="00F551CD" w:rsidRDefault="002F18D7" w:rsidP="00F551CD">
      <w:pPr>
        <w:adjustRightInd w:val="0"/>
        <w:snapToGrid w:val="0"/>
        <w:spacing w:line="360" w:lineRule="auto"/>
        <w:jc w:val="both"/>
        <w:rPr>
          <w:rFonts w:ascii="Book Antiqua" w:hAnsi="Book Antiqua" w:cs="Book Antiqua"/>
          <w:b/>
          <w:bCs/>
          <w:lang w:eastAsia="zh-CN"/>
        </w:rPr>
      </w:pPr>
      <w:r w:rsidRPr="00F551CD">
        <w:rPr>
          <w:rFonts w:ascii="Book Antiqua" w:hAnsi="Book Antiqua"/>
          <w:noProof/>
          <w:lang w:eastAsia="zh-CN"/>
        </w:rPr>
        <w:drawing>
          <wp:inline distT="0" distB="0" distL="0" distR="0" wp14:anchorId="499ADFC3" wp14:editId="55870F02">
            <wp:extent cx="5486400" cy="4424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424680"/>
                    </a:xfrm>
                    <a:prstGeom prst="rect">
                      <a:avLst/>
                    </a:prstGeom>
                  </pic:spPr>
                </pic:pic>
              </a:graphicData>
            </a:graphic>
          </wp:inline>
        </w:drawing>
      </w:r>
      <w:r w:rsidRPr="00F551CD">
        <w:rPr>
          <w:rFonts w:ascii="Book Antiqua" w:eastAsia="Book Antiqua" w:hAnsi="Book Antiqua" w:cs="Book Antiqua"/>
          <w:b/>
          <w:bCs/>
        </w:rPr>
        <w:t xml:space="preserve"> </w:t>
      </w:r>
    </w:p>
    <w:p w14:paraId="20BB3988" w14:textId="133BA5B5"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Figure 1</w:t>
      </w:r>
      <w:r w:rsidR="00E77CB8" w:rsidRPr="00F551CD">
        <w:rPr>
          <w:rFonts w:ascii="Book Antiqua" w:hAnsi="Book Antiqua" w:cs="Book Antiqua"/>
          <w:b/>
          <w:bCs/>
          <w:lang w:eastAsia="zh-CN"/>
        </w:rPr>
        <w:t xml:space="preserve"> </w:t>
      </w:r>
      <w:r w:rsidRPr="00F551CD">
        <w:rPr>
          <w:rFonts w:ascii="Book Antiqua" w:eastAsia="Book Antiqua" w:hAnsi="Book Antiqua" w:cs="Book Antiqua"/>
          <w:b/>
        </w:rPr>
        <w:t xml:space="preserve">Preoperative abdominal </w:t>
      </w:r>
      <w:r w:rsidR="00E77CB8" w:rsidRPr="00F551CD">
        <w:rPr>
          <w:rFonts w:ascii="Book Antiqua" w:eastAsia="Book Antiqua" w:hAnsi="Book Antiqua" w:cs="Book Antiqua"/>
          <w:b/>
        </w:rPr>
        <w:t>magnetic resonance imaging</w:t>
      </w:r>
      <w:r w:rsidRPr="00F551CD">
        <w:rPr>
          <w:rFonts w:ascii="Book Antiqua" w:eastAsia="Book Antiqua" w:hAnsi="Book Antiqua" w:cs="Book Antiqua"/>
          <w:b/>
        </w:rPr>
        <w:t>, intraoperative findings</w:t>
      </w:r>
      <w:r w:rsidR="00153F0B" w:rsidRPr="00F551CD">
        <w:rPr>
          <w:rFonts w:ascii="Book Antiqua" w:eastAsia="Book Antiqua" w:hAnsi="Book Antiqua" w:cs="Book Antiqua"/>
          <w:b/>
        </w:rPr>
        <w:t>,</w:t>
      </w:r>
      <w:r w:rsidRPr="00F551CD">
        <w:rPr>
          <w:rFonts w:ascii="Book Antiqua" w:eastAsia="Book Antiqua" w:hAnsi="Book Antiqua" w:cs="Book Antiqua"/>
          <w:b/>
        </w:rPr>
        <w:t xml:space="preserve"> and postoperative pathological examination. </w:t>
      </w:r>
      <w:r w:rsidRPr="00F551CD">
        <w:rPr>
          <w:rFonts w:ascii="Book Antiqua" w:eastAsia="Book Antiqua" w:hAnsi="Book Antiqua" w:cs="Book Antiqua"/>
        </w:rPr>
        <w:t xml:space="preserve">A: </w:t>
      </w:r>
      <w:r w:rsidR="00E77CB8" w:rsidRPr="00F551CD">
        <w:rPr>
          <w:rFonts w:ascii="Book Antiqua" w:eastAsia="Book Antiqua" w:hAnsi="Book Antiqua" w:cs="Book Antiqua"/>
        </w:rPr>
        <w:t xml:space="preserve">Magnetic resonance imaging </w:t>
      </w:r>
      <w:r w:rsidRPr="00F551CD">
        <w:rPr>
          <w:rFonts w:ascii="Book Antiqua" w:eastAsia="Book Antiqua" w:hAnsi="Book Antiqua" w:cs="Book Antiqua"/>
        </w:rPr>
        <w:t xml:space="preserve">showed gallbladder wall thickness and pericholecystic fluid (red arrow); B: </w:t>
      </w:r>
      <w:r w:rsidR="00E77CB8" w:rsidRPr="00F551CD">
        <w:rPr>
          <w:rFonts w:ascii="Book Antiqua" w:eastAsia="Book Antiqua" w:hAnsi="Book Antiqua" w:cs="Book Antiqua"/>
        </w:rPr>
        <w:t>A</w:t>
      </w:r>
      <w:r w:rsidRPr="00F551CD">
        <w:rPr>
          <w:rFonts w:ascii="Book Antiqua" w:eastAsia="Book Antiqua" w:hAnsi="Book Antiqua" w:cs="Book Antiqua"/>
        </w:rPr>
        <w:t xml:space="preserve"> high-signal shadow of about 2 cm in diameter was seen in the gallbladder neck (red arrow); C: </w:t>
      </w:r>
      <w:r w:rsidR="00720EF4" w:rsidRPr="00F551CD">
        <w:rPr>
          <w:rFonts w:ascii="Book Antiqua" w:eastAsia="Book Antiqua" w:hAnsi="Book Antiqua" w:cs="Book Antiqua"/>
        </w:rPr>
        <w:t xml:space="preserve">Magnetic resonance cholangiopancreatography </w:t>
      </w:r>
      <w:r w:rsidRPr="00F551CD">
        <w:rPr>
          <w:rFonts w:ascii="Book Antiqua" w:eastAsia="Book Antiqua" w:hAnsi="Book Antiqua" w:cs="Book Antiqua"/>
        </w:rPr>
        <w:t xml:space="preserve">showed filling defect of the gallbladder neck (red arrow); D: </w:t>
      </w:r>
      <w:r w:rsidR="00153F0B" w:rsidRPr="00F551CD">
        <w:rPr>
          <w:rFonts w:ascii="Book Antiqua" w:eastAsia="Book Antiqua" w:hAnsi="Book Antiqua" w:cs="Book Antiqua"/>
        </w:rPr>
        <w:t>L</w:t>
      </w:r>
      <w:r w:rsidRPr="00F551CD">
        <w:rPr>
          <w:rFonts w:ascii="Book Antiqua" w:eastAsia="Book Antiqua" w:hAnsi="Book Antiqua" w:cs="Book Antiqua"/>
        </w:rPr>
        <w:t xml:space="preserve">aparoscopic port (black arrow), upper abdominal incision scar (red arrow); E: </w:t>
      </w:r>
      <w:r w:rsidR="00153F0B" w:rsidRPr="00F551CD">
        <w:rPr>
          <w:rFonts w:ascii="Book Antiqua" w:eastAsia="Book Antiqua" w:hAnsi="Book Antiqua" w:cs="Book Antiqua"/>
        </w:rPr>
        <w:t>A</w:t>
      </w:r>
      <w:r w:rsidRPr="00F551CD">
        <w:rPr>
          <w:rFonts w:ascii="Book Antiqua" w:eastAsia="Book Antiqua" w:hAnsi="Book Antiqua" w:cs="Book Antiqua"/>
        </w:rPr>
        <w:t xml:space="preserve">bdominal purulent effusion (red arrow); F: </w:t>
      </w:r>
      <w:r w:rsidR="00167BFB">
        <w:rPr>
          <w:rFonts w:ascii="Book Antiqua" w:eastAsia="Book Antiqua" w:hAnsi="Book Antiqua" w:cs="Book Antiqua"/>
        </w:rPr>
        <w:t>S</w:t>
      </w:r>
      <w:r w:rsidRPr="00F551CD">
        <w:rPr>
          <w:rFonts w:ascii="Book Antiqua" w:eastAsia="Book Antiqua" w:hAnsi="Book Antiqua" w:cs="Book Antiqua"/>
        </w:rPr>
        <w:t xml:space="preserve">evere right upper abdominal adhesions (red arrow); G: </w:t>
      </w:r>
      <w:r w:rsidR="00153F0B" w:rsidRPr="00F551CD">
        <w:rPr>
          <w:rFonts w:ascii="Book Antiqua" w:eastAsia="Book Antiqua" w:hAnsi="Book Antiqua" w:cs="Book Antiqua"/>
        </w:rPr>
        <w:t>G</w:t>
      </w:r>
      <w:r w:rsidRPr="00F551CD">
        <w:rPr>
          <w:rFonts w:ascii="Book Antiqua" w:eastAsia="Book Antiqua" w:hAnsi="Book Antiqua" w:cs="Book Antiqua"/>
        </w:rPr>
        <w:t xml:space="preserve">allbladder wall gangrene; H: </w:t>
      </w:r>
      <w:r w:rsidR="00153F0B" w:rsidRPr="00F551CD">
        <w:rPr>
          <w:rFonts w:ascii="Book Antiqua" w:eastAsia="Book Antiqua" w:hAnsi="Book Antiqua" w:cs="Book Antiqua"/>
        </w:rPr>
        <w:t>G</w:t>
      </w:r>
      <w:r w:rsidRPr="00F551CD">
        <w:rPr>
          <w:rFonts w:ascii="Book Antiqua" w:eastAsia="Book Antiqua" w:hAnsi="Book Antiqua" w:cs="Book Antiqua"/>
        </w:rPr>
        <w:t xml:space="preserve">allbladder bed wound (red arrow), cystic duct clamp (yellow arrow), common bile duct (black arrow); I: </w:t>
      </w:r>
      <w:r w:rsidR="00153F0B" w:rsidRPr="00F551CD">
        <w:rPr>
          <w:rFonts w:ascii="Book Antiqua" w:eastAsia="Book Antiqua" w:hAnsi="Book Antiqua" w:cs="Book Antiqua"/>
        </w:rPr>
        <w:t>M</w:t>
      </w:r>
      <w:r w:rsidRPr="00F551CD">
        <w:rPr>
          <w:rFonts w:ascii="Book Antiqua" w:eastAsia="Book Antiqua" w:hAnsi="Book Antiqua" w:cs="Book Antiqua"/>
        </w:rPr>
        <w:t xml:space="preserve">assive neutrophil infiltration, abscess and necrosis formation in the gallbladder wall (black arrow), gallbladder mucosal epithelial necrosis and shedding (yellow arrow), </w:t>
      </w:r>
      <w:r w:rsidR="00E77CB8" w:rsidRPr="00F551CD">
        <w:rPr>
          <w:rFonts w:ascii="Book Antiqua" w:eastAsia="Book Antiqua" w:hAnsi="Book Antiqua" w:cs="Book Antiqua"/>
        </w:rPr>
        <w:t xml:space="preserve">hematoxylin and eosin </w:t>
      </w:r>
      <w:r w:rsidRPr="00F551CD">
        <w:rPr>
          <w:rFonts w:ascii="Book Antiqua" w:eastAsia="Book Antiqua" w:hAnsi="Book Antiqua" w:cs="Book Antiqua"/>
        </w:rPr>
        <w:t>staining, × 200.</w:t>
      </w:r>
    </w:p>
    <w:sectPr w:rsidR="00A77B3E" w:rsidRPr="00F551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F9D85" w14:textId="77777777" w:rsidR="000D121A" w:rsidRDefault="000D121A" w:rsidP="002F18D7">
      <w:r>
        <w:separator/>
      </w:r>
    </w:p>
  </w:endnote>
  <w:endnote w:type="continuationSeparator" w:id="0">
    <w:p w14:paraId="539FB3D6" w14:textId="77777777" w:rsidR="000D121A" w:rsidRDefault="000D121A" w:rsidP="002F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79269028"/>
      <w:docPartObj>
        <w:docPartGallery w:val="Page Numbers (Bottom of Page)"/>
        <w:docPartUnique/>
      </w:docPartObj>
    </w:sdtPr>
    <w:sdtEndPr>
      <w:rPr>
        <w:noProof/>
      </w:rPr>
    </w:sdtEndPr>
    <w:sdtContent>
      <w:p w14:paraId="56175766" w14:textId="4F940F15" w:rsidR="00046327" w:rsidRPr="00B833AD" w:rsidRDefault="00046327">
        <w:pPr>
          <w:pStyle w:val="a6"/>
          <w:jc w:val="right"/>
          <w:rPr>
            <w:rFonts w:ascii="Book Antiqua" w:hAnsi="Book Antiqua"/>
            <w:sz w:val="24"/>
            <w:szCs w:val="24"/>
          </w:rPr>
        </w:pPr>
        <w:r w:rsidRPr="00B833AD">
          <w:rPr>
            <w:rFonts w:ascii="Book Antiqua" w:hAnsi="Book Antiqua"/>
            <w:sz w:val="24"/>
            <w:szCs w:val="24"/>
          </w:rPr>
          <w:fldChar w:fldCharType="begin"/>
        </w:r>
        <w:r w:rsidRPr="00B833AD">
          <w:rPr>
            <w:rFonts w:ascii="Book Antiqua" w:hAnsi="Book Antiqua"/>
            <w:sz w:val="24"/>
            <w:szCs w:val="24"/>
          </w:rPr>
          <w:instrText xml:space="preserve"> PAGE   \* MERGEFORMAT </w:instrText>
        </w:r>
        <w:r w:rsidRPr="00B833AD">
          <w:rPr>
            <w:rFonts w:ascii="Book Antiqua" w:hAnsi="Book Antiqua"/>
            <w:sz w:val="24"/>
            <w:szCs w:val="24"/>
          </w:rPr>
          <w:fldChar w:fldCharType="separate"/>
        </w:r>
        <w:r w:rsidR="000D121A">
          <w:rPr>
            <w:rFonts w:ascii="Book Antiqua" w:hAnsi="Book Antiqua"/>
            <w:noProof/>
            <w:sz w:val="24"/>
            <w:szCs w:val="24"/>
          </w:rPr>
          <w:t>1</w:t>
        </w:r>
        <w:r w:rsidRPr="00B833AD">
          <w:rPr>
            <w:rFonts w:ascii="Book Antiqua" w:hAnsi="Book Antiqua"/>
            <w:noProof/>
            <w:sz w:val="24"/>
            <w:szCs w:val="24"/>
          </w:rPr>
          <w:fldChar w:fldCharType="end"/>
        </w:r>
        <w:r w:rsidR="00167BFB">
          <w:rPr>
            <w:rFonts w:ascii="Book Antiqua" w:hAnsi="Book Antiqua"/>
            <w:noProof/>
            <w:sz w:val="24"/>
            <w:szCs w:val="24"/>
          </w:rPr>
          <w:t xml:space="preserve"> </w:t>
        </w:r>
        <w:r w:rsidRPr="00B833AD">
          <w:rPr>
            <w:rFonts w:ascii="Book Antiqua" w:hAnsi="Book Antiqua"/>
            <w:noProof/>
            <w:sz w:val="24"/>
            <w:szCs w:val="24"/>
          </w:rPr>
          <w:t>/</w:t>
        </w:r>
        <w:r w:rsidR="00167BFB">
          <w:rPr>
            <w:rFonts w:ascii="Book Antiqua" w:hAnsi="Book Antiqua"/>
            <w:noProof/>
            <w:sz w:val="24"/>
            <w:szCs w:val="24"/>
          </w:rPr>
          <w:t xml:space="preserve"> </w:t>
        </w:r>
        <w:r>
          <w:rPr>
            <w:rFonts w:ascii="Book Antiqua" w:hAnsi="Book Antiqua"/>
            <w:noProof/>
            <w:sz w:val="24"/>
            <w:szCs w:val="24"/>
          </w:rPr>
          <w:t>21</w:t>
        </w:r>
      </w:p>
    </w:sdtContent>
  </w:sdt>
  <w:p w14:paraId="15290B20" w14:textId="77777777" w:rsidR="002F18D7" w:rsidRDefault="002F18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598C8" w14:textId="77777777" w:rsidR="000D121A" w:rsidRDefault="000D121A" w:rsidP="002F18D7">
      <w:r>
        <w:separator/>
      </w:r>
    </w:p>
  </w:footnote>
  <w:footnote w:type="continuationSeparator" w:id="0">
    <w:p w14:paraId="34FDECC0" w14:textId="77777777" w:rsidR="000D121A" w:rsidRDefault="000D121A" w:rsidP="002F18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F65"/>
    <w:rsid w:val="000278D5"/>
    <w:rsid w:val="00046327"/>
    <w:rsid w:val="0005151C"/>
    <w:rsid w:val="000A51CF"/>
    <w:rsid w:val="000D121A"/>
    <w:rsid w:val="000E48B2"/>
    <w:rsid w:val="000F1205"/>
    <w:rsid w:val="00102D74"/>
    <w:rsid w:val="00104421"/>
    <w:rsid w:val="00115AAC"/>
    <w:rsid w:val="00153F0B"/>
    <w:rsid w:val="00167BFB"/>
    <w:rsid w:val="00196246"/>
    <w:rsid w:val="001D74F1"/>
    <w:rsid w:val="001F4362"/>
    <w:rsid w:val="00210D12"/>
    <w:rsid w:val="00222A13"/>
    <w:rsid w:val="002363E4"/>
    <w:rsid w:val="00265AE2"/>
    <w:rsid w:val="00274CE9"/>
    <w:rsid w:val="002846EB"/>
    <w:rsid w:val="00286DCE"/>
    <w:rsid w:val="002E39CE"/>
    <w:rsid w:val="002E5BB2"/>
    <w:rsid w:val="002F18D7"/>
    <w:rsid w:val="00302B50"/>
    <w:rsid w:val="00305C93"/>
    <w:rsid w:val="0032606E"/>
    <w:rsid w:val="00385A9C"/>
    <w:rsid w:val="00391536"/>
    <w:rsid w:val="003E202F"/>
    <w:rsid w:val="003E47E4"/>
    <w:rsid w:val="003F111B"/>
    <w:rsid w:val="003F5789"/>
    <w:rsid w:val="00414EE2"/>
    <w:rsid w:val="0042371E"/>
    <w:rsid w:val="004456B0"/>
    <w:rsid w:val="00456E7D"/>
    <w:rsid w:val="0046472E"/>
    <w:rsid w:val="00472186"/>
    <w:rsid w:val="004A1A25"/>
    <w:rsid w:val="005236B2"/>
    <w:rsid w:val="005448F7"/>
    <w:rsid w:val="00567D93"/>
    <w:rsid w:val="00571F07"/>
    <w:rsid w:val="00582758"/>
    <w:rsid w:val="005B5E41"/>
    <w:rsid w:val="005C590A"/>
    <w:rsid w:val="00607841"/>
    <w:rsid w:val="006B0A87"/>
    <w:rsid w:val="00720EF4"/>
    <w:rsid w:val="00756CFD"/>
    <w:rsid w:val="007A00B6"/>
    <w:rsid w:val="007F2A04"/>
    <w:rsid w:val="0083252F"/>
    <w:rsid w:val="0086408C"/>
    <w:rsid w:val="008816BE"/>
    <w:rsid w:val="00882697"/>
    <w:rsid w:val="008855BF"/>
    <w:rsid w:val="009348B2"/>
    <w:rsid w:val="00943FC6"/>
    <w:rsid w:val="00A02C9A"/>
    <w:rsid w:val="00A24B5F"/>
    <w:rsid w:val="00A26154"/>
    <w:rsid w:val="00A26C8F"/>
    <w:rsid w:val="00A36D71"/>
    <w:rsid w:val="00A503B6"/>
    <w:rsid w:val="00A77B3E"/>
    <w:rsid w:val="00AC2182"/>
    <w:rsid w:val="00AD60C2"/>
    <w:rsid w:val="00AE2B40"/>
    <w:rsid w:val="00AE3462"/>
    <w:rsid w:val="00AF5A75"/>
    <w:rsid w:val="00AF7B41"/>
    <w:rsid w:val="00B063BA"/>
    <w:rsid w:val="00B1559D"/>
    <w:rsid w:val="00B167F2"/>
    <w:rsid w:val="00B2304B"/>
    <w:rsid w:val="00B72550"/>
    <w:rsid w:val="00B833AD"/>
    <w:rsid w:val="00B9563A"/>
    <w:rsid w:val="00B96000"/>
    <w:rsid w:val="00BD01C1"/>
    <w:rsid w:val="00BE71E4"/>
    <w:rsid w:val="00BF396F"/>
    <w:rsid w:val="00C05037"/>
    <w:rsid w:val="00C4086B"/>
    <w:rsid w:val="00C666C7"/>
    <w:rsid w:val="00C73612"/>
    <w:rsid w:val="00CA2A55"/>
    <w:rsid w:val="00CF586F"/>
    <w:rsid w:val="00D146C7"/>
    <w:rsid w:val="00D37402"/>
    <w:rsid w:val="00D435D0"/>
    <w:rsid w:val="00D83890"/>
    <w:rsid w:val="00D97B17"/>
    <w:rsid w:val="00DE0640"/>
    <w:rsid w:val="00E05A17"/>
    <w:rsid w:val="00E1236E"/>
    <w:rsid w:val="00E30557"/>
    <w:rsid w:val="00E77CB8"/>
    <w:rsid w:val="00E90703"/>
    <w:rsid w:val="00EA0647"/>
    <w:rsid w:val="00EA1199"/>
    <w:rsid w:val="00EA485E"/>
    <w:rsid w:val="00EB192D"/>
    <w:rsid w:val="00ED51DB"/>
    <w:rsid w:val="00F0369D"/>
    <w:rsid w:val="00F551CD"/>
    <w:rsid w:val="00FB6887"/>
    <w:rsid w:val="00FC3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2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B0A87"/>
    <w:rPr>
      <w:color w:val="0000FF" w:themeColor="hyperlink"/>
      <w:u w:val="single"/>
    </w:rPr>
  </w:style>
  <w:style w:type="paragraph" w:styleId="a4">
    <w:name w:val="Balloon Text"/>
    <w:basedOn w:val="a"/>
    <w:link w:val="Char"/>
    <w:rsid w:val="002F18D7"/>
    <w:rPr>
      <w:sz w:val="18"/>
      <w:szCs w:val="18"/>
    </w:rPr>
  </w:style>
  <w:style w:type="character" w:customStyle="1" w:styleId="Char">
    <w:name w:val="批注框文本 Char"/>
    <w:basedOn w:val="a0"/>
    <w:link w:val="a4"/>
    <w:rsid w:val="002F18D7"/>
    <w:rPr>
      <w:sz w:val="18"/>
      <w:szCs w:val="18"/>
    </w:rPr>
  </w:style>
  <w:style w:type="paragraph" w:styleId="a5">
    <w:name w:val="header"/>
    <w:basedOn w:val="a"/>
    <w:link w:val="Char0"/>
    <w:rsid w:val="002F18D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F18D7"/>
    <w:rPr>
      <w:sz w:val="18"/>
      <w:szCs w:val="18"/>
    </w:rPr>
  </w:style>
  <w:style w:type="paragraph" w:styleId="a6">
    <w:name w:val="footer"/>
    <w:basedOn w:val="a"/>
    <w:link w:val="Char1"/>
    <w:uiPriority w:val="99"/>
    <w:rsid w:val="002F18D7"/>
    <w:pPr>
      <w:tabs>
        <w:tab w:val="center" w:pos="4153"/>
        <w:tab w:val="right" w:pos="8306"/>
      </w:tabs>
      <w:snapToGrid w:val="0"/>
    </w:pPr>
    <w:rPr>
      <w:sz w:val="18"/>
      <w:szCs w:val="18"/>
    </w:rPr>
  </w:style>
  <w:style w:type="character" w:customStyle="1" w:styleId="Char1">
    <w:name w:val="页脚 Char"/>
    <w:basedOn w:val="a0"/>
    <w:link w:val="a6"/>
    <w:uiPriority w:val="99"/>
    <w:rsid w:val="002F18D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B0A87"/>
    <w:rPr>
      <w:color w:val="0000FF" w:themeColor="hyperlink"/>
      <w:u w:val="single"/>
    </w:rPr>
  </w:style>
  <w:style w:type="paragraph" w:styleId="a4">
    <w:name w:val="Balloon Text"/>
    <w:basedOn w:val="a"/>
    <w:link w:val="Char"/>
    <w:rsid w:val="002F18D7"/>
    <w:rPr>
      <w:sz w:val="18"/>
      <w:szCs w:val="18"/>
    </w:rPr>
  </w:style>
  <w:style w:type="character" w:customStyle="1" w:styleId="Char">
    <w:name w:val="批注框文本 Char"/>
    <w:basedOn w:val="a0"/>
    <w:link w:val="a4"/>
    <w:rsid w:val="002F18D7"/>
    <w:rPr>
      <w:sz w:val="18"/>
      <w:szCs w:val="18"/>
    </w:rPr>
  </w:style>
  <w:style w:type="paragraph" w:styleId="a5">
    <w:name w:val="header"/>
    <w:basedOn w:val="a"/>
    <w:link w:val="Char0"/>
    <w:rsid w:val="002F18D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F18D7"/>
    <w:rPr>
      <w:sz w:val="18"/>
      <w:szCs w:val="18"/>
    </w:rPr>
  </w:style>
  <w:style w:type="paragraph" w:styleId="a6">
    <w:name w:val="footer"/>
    <w:basedOn w:val="a"/>
    <w:link w:val="Char1"/>
    <w:uiPriority w:val="99"/>
    <w:rsid w:val="002F18D7"/>
    <w:pPr>
      <w:tabs>
        <w:tab w:val="center" w:pos="4153"/>
        <w:tab w:val="right" w:pos="8306"/>
      </w:tabs>
      <w:snapToGrid w:val="0"/>
    </w:pPr>
    <w:rPr>
      <w:sz w:val="18"/>
      <w:szCs w:val="18"/>
    </w:rPr>
  </w:style>
  <w:style w:type="character" w:customStyle="1" w:styleId="Char1">
    <w:name w:val="页脚 Char"/>
    <w:basedOn w:val="a0"/>
    <w:link w:val="a6"/>
    <w:uiPriority w:val="99"/>
    <w:rsid w:val="002F18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959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bout:blan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22</Pages>
  <Words>5445</Words>
  <Characters>31038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15</cp:revision>
  <dcterms:created xsi:type="dcterms:W3CDTF">2020-09-11T15:39:00Z</dcterms:created>
  <dcterms:modified xsi:type="dcterms:W3CDTF">2020-10-22T08:03:00Z</dcterms:modified>
</cp:coreProperties>
</file>