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B0050" w14:textId="626D85A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Name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Journal: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World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Journal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of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Clinical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Cases</w:t>
      </w:r>
    </w:p>
    <w:p w14:paraId="3D97C48B" w14:textId="69F4566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NO: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57450</w:t>
      </w:r>
    </w:p>
    <w:p w14:paraId="025BED47" w14:textId="407F7849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Type: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ORIGINAL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</w:p>
    <w:p w14:paraId="1BAA7C0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665246F" w14:textId="4276947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133ABE4" w14:textId="60EF640E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Role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b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in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diastasis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the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pubic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symphysis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peripartum</w:t>
      </w:r>
    </w:p>
    <w:p w14:paraId="5655FD2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BDDAB44" w14:textId="3B5F72D5" w:rsidR="00A77B3E" w:rsidRPr="000F7FAC" w:rsidRDefault="008548B2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peripartum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diastasis</w:t>
      </w:r>
    </w:p>
    <w:p w14:paraId="4200315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717DB8" w14:textId="2843ADC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bookmarkStart w:id="0" w:name="_Hlk54693697"/>
      <w:r w:rsidRPr="000F7FAC">
        <w:rPr>
          <w:rFonts w:ascii="Book Antiqua" w:eastAsia="Book Antiqua" w:hAnsi="Book Antiqua" w:cs="Book Antiqua"/>
          <w:color w:val="000000"/>
        </w:rPr>
        <w:t>Yan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Yong</w:t>
      </w:r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</w:t>
      </w:r>
      <w:r w:rsidR="008548B2" w:rsidRPr="000F7FAC">
        <w:rPr>
          <w:rFonts w:ascii="Book Antiqua" w:eastAsia="Book Antiqua" w:hAnsi="Book Antiqua" w:cs="Book Antiqua"/>
          <w:color w:val="000000"/>
        </w:rPr>
        <w:t>i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Mei</w:t>
      </w:r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Rong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Zun</w:t>
      </w:r>
      <w:proofErr w:type="spellEnd"/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r w:rsidRPr="000F7FAC">
        <w:rPr>
          <w:rFonts w:ascii="Book Antiqua" w:eastAsia="Book Antiqua" w:hAnsi="Book Antiqua" w:cs="Book Antiqua"/>
          <w:color w:val="000000"/>
        </w:rPr>
        <w:t>Cheng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</w:p>
    <w:bookmarkEnd w:id="0"/>
    <w:p w14:paraId="48F0CEA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9343867" w14:textId="20DED9BD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Medicine,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4364A48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709ACF6" w14:textId="098155A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Yong-</w:t>
      </w:r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L</w:t>
      </w:r>
      <w:r w:rsidR="008548B2" w:rsidRPr="000F7FA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Otolaryngology,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193D16E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7A3BACF" w14:textId="2C808EA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Mei-Rong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Obstetrics,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hAnsi="Book Antiqua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3F4287D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66136FD" w14:textId="5A4A9A2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Nan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Qingdao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Fuwai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Cardiovascular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Qingdao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266034,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0A876E7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8A67E84" w14:textId="3968A3B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Zun</w:t>
      </w:r>
      <w:proofErr w:type="spellEnd"/>
      <w:r w:rsidRPr="000F7FAC">
        <w:rPr>
          <w:rFonts w:ascii="Book Antiqua" w:eastAsia="Book Antiqua" w:hAnsi="Book Antiqua" w:cs="Book Antiqua"/>
          <w:b/>
          <w:bCs/>
          <w:color w:val="000000"/>
        </w:rPr>
        <w:t>-Cheng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76503DE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F63D0B5" w14:textId="7B3F1180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ZC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designed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supervised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performance,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manuscript;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project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acquisition,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interpretation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YQ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MR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drafted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manuscript,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06460" w:rsidRPr="000F7FAC">
        <w:rPr>
          <w:rFonts w:ascii="Book Antiqua" w:eastAsia="Book Antiqua" w:hAnsi="Book Antiqua" w:cs="Book Antiqua"/>
          <w:color w:val="000000"/>
        </w:rPr>
        <w:t>critically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F46D6">
        <w:rPr>
          <w:rFonts w:ascii="Book Antiqua" w:eastAsia="Book Antiqua" w:hAnsi="Book Antiqua" w:cs="Book Antiqua"/>
          <w:color w:val="000000"/>
        </w:rPr>
        <w:t>manuscript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intellectual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content.</w:t>
      </w:r>
    </w:p>
    <w:p w14:paraId="60B95E38" w14:textId="77777777" w:rsidR="00381785" w:rsidRDefault="00381785" w:rsidP="000F7FAC">
      <w:pPr>
        <w:spacing w:line="360" w:lineRule="auto"/>
        <w:jc w:val="both"/>
        <w:rPr>
          <w:rFonts w:ascii="Book Antiqua" w:hAnsi="Book Antiqua"/>
        </w:rPr>
      </w:pPr>
    </w:p>
    <w:p w14:paraId="5386992A" w14:textId="2F342A01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proofErr w:type="gramStart"/>
      <w:r w:rsidRPr="000F7FA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979C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D979C7">
        <w:rPr>
          <w:rFonts w:ascii="Book Antiqua" w:hAnsi="Book Antiqua" w:cs="Book Antiqua" w:hint="eastAsia"/>
          <w:color w:val="000000"/>
          <w:lang w:eastAsia="zh-CN"/>
        </w:rPr>
        <w:t>T</w:t>
      </w:r>
      <w:r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Science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Technology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2018NS0203.</w:t>
      </w:r>
      <w:proofErr w:type="gramEnd"/>
    </w:p>
    <w:p w14:paraId="6DAEBAE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6345C154" w14:textId="6EB44DA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_Hlk54693714"/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Zun</w:t>
      </w:r>
      <w:proofErr w:type="spellEnd"/>
      <w:r w:rsidRPr="000F7FAC">
        <w:rPr>
          <w:rFonts w:ascii="Book Antiqua" w:eastAsia="Book Antiqua" w:hAnsi="Book Antiqua" w:cs="Book Antiqua"/>
          <w:b/>
          <w:bCs/>
          <w:color w:val="000000"/>
        </w:rPr>
        <w:t>-Cheng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MAMS,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</w:t>
      </w:r>
      <w:r w:rsidR="00967D41" w:rsidRPr="000F7FAC">
        <w:rPr>
          <w:rFonts w:ascii="Book Antiqua" w:eastAsia="Book Antiqua" w:hAnsi="Book Antiqua" w:cs="Book Antiqua"/>
          <w:color w:val="000000"/>
        </w:rPr>
        <w:t>o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Longtan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EA1497" w:rsidRPr="000F7FAC">
        <w:rPr>
          <w:rFonts w:ascii="Book Antiqua" w:eastAsia="Book Antiqua" w:hAnsi="Book Antiqua" w:cs="Book Antiqua"/>
          <w:color w:val="000000"/>
        </w:rPr>
        <w:t>Road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zhengzc1965@126.com</w:t>
      </w:r>
      <w:bookmarkEnd w:id="1"/>
    </w:p>
    <w:p w14:paraId="0616AC6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EDFB831" w14:textId="39C2D0CD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7A9F70E" w14:textId="07EC83B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October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2E77CA53" w14:textId="4B43DA9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38C9" w:rsidRPr="00EE0FD4">
        <w:rPr>
          <w:rFonts w:ascii="Book Antiqua" w:eastAsia="Book Antiqua" w:hAnsi="Book Antiqua" w:cs="Book Antiqua"/>
          <w:color w:val="000000"/>
        </w:rPr>
        <w:t xml:space="preserve"> </w:t>
      </w:r>
      <w:r w:rsidR="00EE0FD4" w:rsidRPr="00EE0FD4">
        <w:rPr>
          <w:rFonts w:ascii="Book Antiqua" w:eastAsia="Book Antiqua" w:hAnsi="Book Antiqua" w:cs="Book Antiqua"/>
          <w:color w:val="000000"/>
        </w:rPr>
        <w:t>November 13, 2020</w:t>
      </w:r>
    </w:p>
    <w:p w14:paraId="5C680D1D" w14:textId="77777777" w:rsidR="002942F1" w:rsidRPr="005D45D3" w:rsidRDefault="002F2FAC" w:rsidP="002942F1">
      <w:pPr>
        <w:spacing w:line="360" w:lineRule="auto"/>
        <w:jc w:val="both"/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2F1" w:rsidRPr="005D45D3">
        <w:rPr>
          <w:rFonts w:ascii="Book Antiqua" w:eastAsia="Book Antiqua" w:hAnsi="Book Antiqua" w:cs="Book Antiqua"/>
          <w:bCs/>
          <w:color w:val="000000"/>
        </w:rPr>
        <w:t>January 6, 2021</w:t>
      </w:r>
    </w:p>
    <w:p w14:paraId="44999DC1" w14:textId="60AB9468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445D98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  <w:sectPr w:rsidR="00A77B3E" w:rsidRPr="000F7FA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B68615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428108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BACKGROUND</w:t>
      </w:r>
    </w:p>
    <w:p w14:paraId="595D12F4" w14:textId="29396C6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C5B29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corpus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luteum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mediate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hemodynamic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loosen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unknown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factors.</w:t>
      </w:r>
    </w:p>
    <w:p w14:paraId="62AD0F0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4257693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AIM</w:t>
      </w:r>
    </w:p>
    <w:p w14:paraId="4C42BDBE" w14:textId="06DC890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association.</w:t>
      </w:r>
    </w:p>
    <w:p w14:paraId="377601C8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52F34BE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METHODS</w:t>
      </w:r>
    </w:p>
    <w:p w14:paraId="3F0723C2" w14:textId="5108AE2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</w:t>
      </w:r>
      <w:r w:rsidR="000C13B5">
        <w:rPr>
          <w:rFonts w:ascii="Book Antiqua" w:eastAsia="Book Antiqua" w:hAnsi="Book Antiqua" w:cs="Book Antiqua"/>
          <w:color w:val="000000"/>
        </w:rPr>
        <w:t>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Baseline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characteristics</w:t>
      </w:r>
      <w:r w:rsidR="00FD181B">
        <w:rPr>
          <w:rFonts w:ascii="Book Antiqua" w:eastAsia="Book Antiqua" w:hAnsi="Book Antiqua" w:cs="Book Antiqua"/>
          <w:color w:val="000000"/>
        </w:rPr>
        <w:t>,</w:t>
      </w:r>
      <w:r w:rsidR="00F56E78">
        <w:rPr>
          <w:rFonts w:ascii="Book Antiqua" w:eastAsia="Book Antiqua" w:hAnsi="Book Antiqua" w:cs="Book Antiqua"/>
          <w:color w:val="000000"/>
        </w:rPr>
        <w:t xml:space="preserve"> including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106460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inguinal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concentrations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enzyme-linked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immunosorbent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assay,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independent-sample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06460">
        <w:rPr>
          <w:rFonts w:ascii="Book Antiqua" w:eastAsia="Book Antiqua" w:hAnsi="Book Antiqua" w:cs="Book Antiqua"/>
          <w:i/>
          <w:iCs/>
          <w:color w:val="000000"/>
        </w:rPr>
        <w:t>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confounded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Pearson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(ADL)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</w:p>
    <w:p w14:paraId="0FF38EF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DBF4F47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RESULTS</w:t>
      </w:r>
    </w:p>
    <w:p w14:paraId="7F511235" w14:textId="75304CF1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terms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concentrations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(122.3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 w:rsidRPr="00196B0C">
        <w:rPr>
          <w:rFonts w:ascii="Book Antiqua" w:eastAsia="Book Antiqua" w:hAnsi="Book Antiqua" w:cs="Book Antiqua" w:hint="eastAsia"/>
          <w:color w:val="000000"/>
        </w:rPr>
        <w:t>µ</w:t>
      </w:r>
      <w:r w:rsidR="00196B0C" w:rsidRPr="00196B0C">
        <w:rPr>
          <w:rFonts w:ascii="Book Antiqua" w:eastAsia="Book Antiqua" w:hAnsi="Book Antiqua" w:cs="Book Antiqua"/>
          <w:color w:val="000000"/>
        </w:rPr>
        <w:t>g/mL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170.4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42.3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 w:rsidRPr="00005E37">
        <w:rPr>
          <w:rFonts w:ascii="Book Antiqua" w:eastAsia="Book Antiqua" w:hAnsi="Book Antiqua" w:cs="Book Antiqua" w:hint="eastAsia"/>
          <w:color w:val="000000"/>
        </w:rPr>
        <w:t>µ</w:t>
      </w:r>
      <w:r w:rsidRPr="000F7FAC">
        <w:rPr>
          <w:rFonts w:ascii="Book Antiqua" w:eastAsia="Book Antiqua" w:hAnsi="Book Antiqua" w:cs="Book Antiqua"/>
          <w:color w:val="000000"/>
        </w:rPr>
        <w:t>g/mL,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3676.000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521.725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>
        <w:rPr>
          <w:rFonts w:ascii="Book Antiqua" w:eastAsia="Book Antiqua" w:hAnsi="Book Antiqua" w:cs="Book Antiqua"/>
          <w:color w:val="000000"/>
        </w:rPr>
        <w:t>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3379.487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402.420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respectively).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E62FB8">
        <w:rPr>
          <w:rFonts w:ascii="Book Antiqua" w:eastAsia="Book Antiqua" w:hAnsi="Book Antiqua" w:cs="Book Antiqua"/>
          <w:color w:val="000000"/>
        </w:rPr>
        <w:t>[</w:t>
      </w:r>
      <w:r w:rsidRPr="000F7FAC">
        <w:rPr>
          <w:rFonts w:ascii="Book Antiqua" w:eastAsia="Book Antiqua" w:hAnsi="Book Antiqua" w:cs="Book Antiqua"/>
          <w:color w:val="000000"/>
        </w:rPr>
        <w:t>odds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ratio</w:t>
      </w:r>
      <w:r w:rsidR="00E62FB8">
        <w:rPr>
          <w:rFonts w:ascii="Book Antiqua" w:eastAsia="Book Antiqua" w:hAnsi="Book Antiqua" w:cs="Book Antiqua"/>
          <w:color w:val="000000"/>
        </w:rPr>
        <w:t xml:space="preserve"> (OR)</w:t>
      </w:r>
      <w:r w:rsidR="00196B0C"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1.022)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</w:t>
      </w:r>
      <w:r w:rsidR="00E62FB8">
        <w:rPr>
          <w:rFonts w:ascii="Book Antiqua" w:eastAsia="Book Antiqua" w:hAnsi="Book Antiqua" w:cs="Book Antiqua"/>
          <w:color w:val="000000"/>
        </w:rPr>
        <w:t>OR</w:t>
      </w:r>
      <w:r w:rsidR="00196B0C"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1.002)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negatively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confounding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factors.</w:t>
      </w:r>
    </w:p>
    <w:p w14:paraId="64347D0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CAD6676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CONCLUSION</w:t>
      </w:r>
    </w:p>
    <w:p w14:paraId="33408C71" w14:textId="2DCBAC6E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980805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980805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4E58A125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92AD6F8" w14:textId="7CB8D58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</w:p>
    <w:p w14:paraId="68EA090A" w14:textId="77777777" w:rsidR="007B571D" w:rsidRDefault="007B571D" w:rsidP="000F7FAC">
      <w:pPr>
        <w:spacing w:line="360" w:lineRule="auto"/>
        <w:jc w:val="both"/>
        <w:rPr>
          <w:rFonts w:ascii="Book Antiqua" w:hAnsi="Book Antiqua"/>
        </w:rPr>
      </w:pPr>
    </w:p>
    <w:p w14:paraId="11BEE9EB" w14:textId="27D21DC5" w:rsidR="00A77B3E" w:rsidRPr="008D058A" w:rsidRDefault="002F2FAC" w:rsidP="000F7FAC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</w:t>
      </w:r>
      <w:r w:rsidR="00980805">
        <w:rPr>
          <w:rFonts w:ascii="Book Antiqua" w:eastAsia="Book Antiqua" w:hAnsi="Book Antiqua" w:cs="Book Antiqua"/>
          <w:color w:val="000000"/>
        </w:rPr>
        <w:t>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YQ,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ZC.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942F1" w:rsidRPr="002942F1">
        <w:rPr>
          <w:rFonts w:ascii="Book Antiqua" w:eastAsia="Book Antiqua" w:hAnsi="Book Antiqua" w:cs="Book Antiqua"/>
          <w:color w:val="000000"/>
        </w:rPr>
        <w:t xml:space="preserve">9(1): </w:t>
      </w:r>
      <w:r w:rsidR="008D058A">
        <w:rPr>
          <w:rFonts w:ascii="Book Antiqua" w:hAnsi="Book Antiqua" w:cs="Book Antiqua" w:hint="eastAsia"/>
          <w:color w:val="000000"/>
          <w:lang w:eastAsia="zh-CN"/>
        </w:rPr>
        <w:t>91-101</w:t>
      </w:r>
      <w:r w:rsidR="002942F1" w:rsidRPr="002942F1">
        <w:rPr>
          <w:rFonts w:ascii="Book Antiqua" w:eastAsia="Book Antiqua" w:hAnsi="Book Antiqua" w:cs="Book Antiqua"/>
          <w:color w:val="000000"/>
        </w:rPr>
        <w:t xml:space="preserve"> URL: https://www.wjgnet.com/2307-8960/full/v9/i1/</w:t>
      </w:r>
      <w:r w:rsidR="008D058A">
        <w:rPr>
          <w:rFonts w:ascii="Book Antiqua" w:hAnsi="Book Antiqua" w:cs="Book Antiqua" w:hint="eastAsia"/>
          <w:color w:val="000000"/>
          <w:lang w:eastAsia="zh-CN"/>
        </w:rPr>
        <w:t>91</w:t>
      </w:r>
      <w:r w:rsidR="002942F1" w:rsidRPr="002942F1">
        <w:rPr>
          <w:rFonts w:ascii="Book Antiqua" w:eastAsia="Book Antiqua" w:hAnsi="Book Antiqua" w:cs="Book Antiqua"/>
          <w:color w:val="000000"/>
        </w:rPr>
        <w:t xml:space="preserve">.htm DOI: </w:t>
      </w:r>
      <w:bookmarkStart w:id="2" w:name="_GoBack"/>
      <w:r w:rsidR="002942F1" w:rsidRPr="002942F1">
        <w:rPr>
          <w:rFonts w:ascii="Book Antiqua" w:eastAsia="Book Antiqua" w:hAnsi="Book Antiqua" w:cs="Book Antiqua"/>
          <w:color w:val="000000"/>
        </w:rPr>
        <w:t>https://dx.doi.org/10.12998/wjcc.v9.i1.</w:t>
      </w:r>
      <w:r w:rsidR="008D058A">
        <w:rPr>
          <w:rFonts w:ascii="Book Antiqua" w:hAnsi="Book Antiqua" w:cs="Book Antiqua" w:hint="eastAsia"/>
          <w:color w:val="000000"/>
          <w:lang w:eastAsia="zh-CN"/>
        </w:rPr>
        <w:t>91</w:t>
      </w:r>
      <w:bookmarkEnd w:id="2"/>
    </w:p>
    <w:p w14:paraId="6420986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8DADACA" w14:textId="5904C28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frequent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complication,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difficult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ambulation.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Furthermore,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(ADL).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C6514C">
        <w:rPr>
          <w:rFonts w:ascii="Book Antiqua" w:eastAsia="Book Antiqua" w:hAnsi="Book Antiqua" w:cs="Book Antiqua"/>
          <w:color w:val="000000"/>
        </w:rPr>
        <w:t xml:space="preserve"> (</w:t>
      </w:r>
      <w:r w:rsidR="00C6514C" w:rsidRPr="00C6514C">
        <w:rPr>
          <w:rFonts w:ascii="Book Antiqua" w:eastAsia="Book Antiqua" w:hAnsi="Book Antiqua" w:cs="Book Antiqua"/>
          <w:color w:val="000000"/>
        </w:rPr>
        <w:t>RLX</w:t>
      </w:r>
      <w:r w:rsidR="00C6514C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negatively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C6514C" w:rsidRPr="00C6514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C13B5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</w:p>
    <w:p w14:paraId="220C6182" w14:textId="77777777" w:rsidR="003230D6" w:rsidRPr="000F7FAC" w:rsidRDefault="003230D6" w:rsidP="000F7FA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230D6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849F4" w14:textId="5E91FFB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3D9E63A" w14:textId="6C0F0A82" w:rsidR="00C13356" w:rsidRPr="000F7FAC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refers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fibrocartilages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forces.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Soft-tissue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difficulty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often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women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combined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typically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engenders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D21182">
        <w:rPr>
          <w:rFonts w:ascii="Book Antiqua" w:eastAsia="Book Antiqua" w:hAnsi="Book Antiqua" w:cs="Book Antiqua"/>
          <w:color w:val="000000"/>
        </w:rPr>
        <w:t xml:space="preserve"> (PSD</w:t>
      </w:r>
      <w:proofErr w:type="gramStart"/>
      <w:r w:rsidR="00D21182">
        <w:rPr>
          <w:rFonts w:ascii="Book Antiqua" w:eastAsia="Book Antiqua" w:hAnsi="Book Antiqua" w:cs="Book Antiqua"/>
          <w:color w:val="000000"/>
        </w:rPr>
        <w:t>)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published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1932,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approximately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1/30000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[4-8]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Kubitz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4C6F25" w:rsidRPr="004C6F25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et </w:t>
      </w:r>
      <w:proofErr w:type="gramStart"/>
      <w:r w:rsidR="004C6F25" w:rsidRPr="004C6F25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evaluated),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Kane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lowest).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childbirth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country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world,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D21182">
        <w:rPr>
          <w:rFonts w:ascii="Book Antiqua" w:eastAsia="Book Antiqua" w:hAnsi="Book Antiqua" w:cs="Book Antiqua"/>
          <w:color w:val="000000"/>
        </w:rPr>
        <w:t>PSD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9A2628">
        <w:rPr>
          <w:rFonts w:ascii="Book Antiqua" w:eastAsia="Book Antiqua" w:hAnsi="Book Antiqua" w:cs="Book Antiqua"/>
          <w:color w:val="000000"/>
        </w:rPr>
        <w:t>’</w:t>
      </w:r>
      <w:r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fertility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strategy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75C0D">
        <w:rPr>
          <w:rFonts w:ascii="Book Antiqua" w:eastAsia="Book Antiqua" w:hAnsi="Book Antiqua" w:cs="Book Antiqua"/>
          <w:color w:val="000000"/>
        </w:rPr>
        <w:t>2</w:t>
      </w:r>
      <w:r w:rsidRPr="000F7FAC">
        <w:rPr>
          <w:rFonts w:ascii="Book Antiqua" w:eastAsia="Book Antiqua" w:hAnsi="Book Antiqua" w:cs="Book Antiqua"/>
          <w:color w:val="000000"/>
        </w:rPr>
        <w:t>-child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policy,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excitement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regarding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reproductive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family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planning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resurgence,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quite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rare.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understanding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misdiagnosis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reasons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disparity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depicted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complication,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seriously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mental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wellbeing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revert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knowledge,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resulting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injury.</w:t>
      </w:r>
    </w:p>
    <w:p w14:paraId="56F3A71D" w14:textId="68281906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unclear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Bathgate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92A82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early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promoting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cervical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remains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unclear.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1028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E538C9" w:rsidRPr="004D1028">
        <w:rPr>
          <w:rFonts w:ascii="Book Antiqua" w:eastAsia="Book Antiqua" w:hAnsi="Book Antiqua" w:cs="Book Antiqua"/>
          <w:color w:val="000000"/>
        </w:rPr>
        <w:t xml:space="preserve"> </w:t>
      </w:r>
      <w:r w:rsidRPr="004D102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 w:rsidRPr="004D10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D102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79A0" w:rsidRPr="004D10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4C0B" w:rsidRPr="004D1028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="001179A0" w:rsidRPr="004D10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 w:rsidRPr="001179A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proposed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result 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dystocia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urgent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violent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midwifery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asymmetry,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excessively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fetus.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aforementioned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nature,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rigorous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F768D">
        <w:rPr>
          <w:rFonts w:ascii="Book Antiqua" w:eastAsia="Book Antiqua" w:hAnsi="Book Antiqua" w:cs="Book Antiqua"/>
          <w:color w:val="000000"/>
        </w:rPr>
        <w:t>evaluate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single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whereas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multifactorial.</w:t>
      </w:r>
    </w:p>
    <w:p w14:paraId="161E1D0C" w14:textId="18C40B2D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review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literature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imaging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magnetic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resonance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imaging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(MRI)</w:t>
      </w:r>
      <w:r w:rsidRPr="00ED5D37">
        <w:rPr>
          <w:rFonts w:ascii="Book Antiqua" w:eastAsia="Book Antiqua" w:hAnsi="Book Antiqua" w:cs="Book Antiqua"/>
          <w:color w:val="000000"/>
        </w:rPr>
        <w:t>,</w:t>
      </w:r>
      <w:r w:rsidR="00E538C9" w:rsidRPr="00ED5D37">
        <w:rPr>
          <w:rFonts w:ascii="Book Antiqua" w:eastAsia="Book Antiqua" w:hAnsi="Book Antiqua" w:cs="Book Antiqua"/>
          <w:color w:val="000000"/>
        </w:rPr>
        <w:t xml:space="preserve"> </w:t>
      </w:r>
      <w:r w:rsidR="009A2628" w:rsidRPr="00ED5D37">
        <w:rPr>
          <w:rFonts w:ascii="Book Antiqua" w:eastAsia="Book Antiqua" w:hAnsi="Book Antiqua" w:cs="Book Antiqua"/>
          <w:color w:val="000000"/>
        </w:rPr>
        <w:t>computed tomography</w:t>
      </w:r>
      <w:r w:rsidRPr="00ED5D37">
        <w:rPr>
          <w:rFonts w:ascii="Book Antiqua" w:eastAsia="Book Antiqua" w:hAnsi="Book Antiqua" w:cs="Book Antiqua"/>
          <w:color w:val="000000"/>
        </w:rPr>
        <w:t>,</w:t>
      </w:r>
      <w:r w:rsidR="00E538C9" w:rsidRPr="00ED5D37">
        <w:rPr>
          <w:rFonts w:ascii="Book Antiqua" w:eastAsia="Book Antiqua" w:hAnsi="Book Antiqua" w:cs="Book Antiqua"/>
          <w:color w:val="000000"/>
        </w:rPr>
        <w:t xml:space="preserve"> </w:t>
      </w:r>
      <w:r w:rsidRPr="00ED5D37">
        <w:rPr>
          <w:rFonts w:ascii="Book Antiqua" w:eastAsia="Book Antiqua" w:hAnsi="Book Antiqua" w:cs="Book Antiqua"/>
          <w:color w:val="000000"/>
        </w:rPr>
        <w:t>an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accurately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angles,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generally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applicable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become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modalities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choice.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requires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lengthy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expensive,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advantages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elucidating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soft-tissue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(especially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subchondral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edema</w:t>
      </w:r>
      <w:r w:rsidRPr="00EB4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4C0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B4C0B" w:rsidRPr="00EB4C0B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EB4C0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safe,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simple,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economical,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method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B4C0B" w:rsidRPr="00EB4C0B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</w:p>
    <w:p w14:paraId="7933EFFA" w14:textId="3321E5D2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1926,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034DA">
        <w:rPr>
          <w:rFonts w:ascii="Book Antiqua" w:eastAsia="Book Antiqua" w:hAnsi="Book Antiqua" w:cs="Book Antiqua"/>
          <w:color w:val="000000"/>
        </w:rPr>
        <w:t>Hisaw</w:t>
      </w:r>
      <w:proofErr w:type="spellEnd"/>
      <w:r w:rsidR="00E538C9" w:rsidRPr="005034DA">
        <w:rPr>
          <w:rFonts w:ascii="Book Antiqua" w:eastAsia="Book Antiqua" w:hAnsi="Book Antiqua" w:cs="Book Antiqua"/>
          <w:color w:val="000000"/>
        </w:rPr>
        <w:t xml:space="preserve"> </w:t>
      </w:r>
      <w:r w:rsidRPr="005034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 w:rsidRPr="005034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034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2628" w:rsidRPr="005034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4C0B" w:rsidRPr="005034D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9A2628" w:rsidRPr="005034D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guinea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pigs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subcutaneously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guinea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pigs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animals.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1930,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Fevold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34D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extracted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corpus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luteum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(CL)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A262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9A2628">
        <w:rPr>
          <w:rFonts w:ascii="Book Antiqua" w:eastAsia="Book Antiqua" w:hAnsi="Book Antiqua" w:cs="Book Antiqua"/>
          <w:color w:val="000000"/>
        </w:rPr>
        <w:t>”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know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expressed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reproductive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system,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tissues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organs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kidney,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heart,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brain.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diverse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pathologic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targets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organs</w:t>
      </w:r>
      <w:r w:rsidR="0003630E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3630E">
        <w:rPr>
          <w:rFonts w:ascii="Book Antiqua" w:eastAsia="Book Antiqua" w:hAnsi="Book Antiqua" w:cs="Book Antiqua"/>
          <w:color w:val="000000"/>
        </w:rPr>
        <w:t xml:space="preserve">it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multi-potential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broad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implications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3630E">
        <w:rPr>
          <w:rFonts w:ascii="Book Antiqua" w:eastAsia="Book Antiqua" w:hAnsi="Book Antiqua" w:cs="Book Antiqua"/>
          <w:color w:val="000000"/>
        </w:rPr>
        <w:t xml:space="preserve">science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applied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medicine</w:t>
      </w:r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7253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encoded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D21182">
        <w:rPr>
          <w:rFonts w:ascii="Book Antiqua" w:eastAsia="Book Antiqua" w:hAnsi="Book Antiqua" w:cs="Book Antiqua"/>
          <w:i/>
          <w:iCs/>
          <w:color w:val="000000"/>
        </w:rPr>
        <w:t>H2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synthesized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circulation.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endometrial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stromal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cells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glandular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epithelial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cells.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Deciduomata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placenta,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membranes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autocrine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paracrine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critical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importance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maintaining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variety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promoting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breast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endometrial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decidua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formation,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uterine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smooth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stimulating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cervical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reconstruction,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ensuring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smooth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progress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delivery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7253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yet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determined.</w:t>
      </w:r>
    </w:p>
    <w:p w14:paraId="2C09F5ED" w14:textId="3D0FD7EF" w:rsidR="00A77B3E" w:rsidRPr="000F7FAC" w:rsidRDefault="002F2FAC" w:rsidP="000F7FA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designed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285160">
        <w:rPr>
          <w:rFonts w:ascii="Book Antiqua" w:eastAsia="Book Antiqua" w:hAnsi="Book Antiqua" w:cs="Book Antiqua"/>
          <w:color w:val="000000"/>
        </w:rPr>
        <w:t>, 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specifically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152C485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EDED5EA" w14:textId="6FD906C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628BA4" w14:textId="77777777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25C15C55" w14:textId="6186CF5E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criteria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agreed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agreed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inguinal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0F7FAC">
        <w:rPr>
          <w:rFonts w:ascii="Book Antiqua" w:eastAsia="Book Antiqua" w:hAnsi="Book Antiqua" w:cs="Book Antiqua"/>
          <w:color w:val="000000"/>
        </w:rPr>
        <w:t>X</w:t>
      </w:r>
      <w:r w:rsidRPr="000F7FAC">
        <w:rPr>
          <w:rFonts w:ascii="Book Antiqua" w:eastAsia="Book Antiqua" w:hAnsi="Book Antiqua" w:cs="Book Antiqua"/>
          <w:color w:val="000000"/>
        </w:rPr>
        <w:t>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history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renal,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cardiac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underlying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conditions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excluded.</w:t>
      </w:r>
    </w:p>
    <w:p w14:paraId="7807452B" w14:textId="77777777" w:rsidR="00E538C9" w:rsidRPr="000F7FAC" w:rsidRDefault="00E538C9" w:rsidP="000F7FAC">
      <w:pPr>
        <w:spacing w:line="360" w:lineRule="auto"/>
        <w:jc w:val="both"/>
        <w:rPr>
          <w:rFonts w:ascii="Book Antiqua" w:hAnsi="Book Antiqua"/>
        </w:rPr>
      </w:pPr>
    </w:p>
    <w:p w14:paraId="695DE709" w14:textId="750A2C3E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2DCA9750" w14:textId="6AD21EF8" w:rsid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regarding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puerpera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documented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initially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manifestations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4EC995F7" w14:textId="45E43524" w:rsidR="00E538C9" w:rsidRDefault="00692A82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692A82">
        <w:rPr>
          <w:rFonts w:ascii="Book Antiqua" w:eastAsia="Book Antiqua" w:hAnsi="Book Antiqua" w:cs="Book Antiqua"/>
          <w:color w:val="000000"/>
        </w:rPr>
        <w:lastRenderedPageBreak/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samples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collected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FA2B82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</w:t>
      </w:r>
      <w:r w:rsidR="000F463C">
        <w:rPr>
          <w:rFonts w:ascii="Book Antiqua" w:eastAsia="Book Antiqua" w:hAnsi="Book Antiqua" w:cs="Book Antiqua"/>
          <w:color w:val="000000"/>
        </w:rPr>
        <w:t>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participant.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concentration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ELISA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method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follows</w:t>
      </w:r>
      <w:r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(1)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</w:t>
      </w:r>
      <w:r w:rsidR="009A2628">
        <w:rPr>
          <w:rFonts w:ascii="Book Antiqua" w:eastAsia="Book Antiqua" w:hAnsi="Book Antiqua" w:cs="Book Antiqua"/>
          <w:color w:val="000000"/>
        </w:rPr>
        <w:t>’</w:t>
      </w:r>
      <w:r w:rsidR="002F2FAC"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taken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antecubital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vein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placed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tube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anticoagulant.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centrifugation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r/min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4°C,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immediately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stored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D6959">
        <w:rPr>
          <w:rFonts w:ascii="Book Antiqua" w:eastAsia="Book Antiqua" w:hAnsi="Book Antiqua" w:cs="Book Antiqua"/>
          <w:color w:val="000000"/>
        </w:rPr>
        <w:t>-</w:t>
      </w:r>
      <w:r w:rsidR="002F2FAC" w:rsidRPr="000F7FAC">
        <w:rPr>
          <w:rFonts w:ascii="Book Antiqua" w:eastAsia="Book Antiqua" w:hAnsi="Book Antiqua" w:cs="Book Antiqua"/>
          <w:color w:val="000000"/>
        </w:rPr>
        <w:t>80°C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testing</w:t>
      </w:r>
      <w:r>
        <w:rPr>
          <w:rFonts w:ascii="Book Antiqua" w:eastAsia="Book Antiqua" w:hAnsi="Book Antiqua" w:cs="Book Antiqua"/>
          <w:color w:val="000000"/>
        </w:rPr>
        <w:t>; 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D979C7">
        <w:rPr>
          <w:rFonts w:ascii="Book Antiqua" w:hAnsi="Book Antiqua" w:cs="Book Antiqua" w:hint="eastAsia"/>
          <w:color w:val="000000"/>
          <w:lang w:eastAsia="zh-CN"/>
        </w:rPr>
        <w:t>T</w:t>
      </w:r>
      <w:r w:rsidR="002F2FAC"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measured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ELISA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kit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wells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human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antibody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(Redd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Biological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Preparation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Co.</w:t>
      </w:r>
      <w:r w:rsidR="00076F5B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</w:t>
      </w:r>
      <w:r w:rsidR="00E538C9">
        <w:rPr>
          <w:rFonts w:ascii="Book Antiqua" w:eastAsia="Book Antiqua" w:hAnsi="Book Antiqua" w:cs="Book Antiqua"/>
          <w:color w:val="000000"/>
        </w:rPr>
        <w:t>nited States</w:t>
      </w:r>
      <w:r w:rsidR="002F2FAC" w:rsidRPr="000F7FAC">
        <w:rPr>
          <w:rFonts w:ascii="Book Antiqua" w:eastAsia="Book Antiqua" w:hAnsi="Book Antiqua" w:cs="Book Antiqua"/>
          <w:color w:val="000000"/>
        </w:rPr>
        <w:t>).</w:t>
      </w:r>
    </w:p>
    <w:p w14:paraId="3EB0F18F" w14:textId="2628E983" w:rsidR="007B571D" w:rsidRDefault="000F463C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Fifteen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 not have PSD</w:t>
      </w:r>
      <w:r w:rsidR="002F2FAC"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diastasis,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confirmed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ultrasonography,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sections,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spontaneous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>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>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superior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inferior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received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76F5B">
        <w:rPr>
          <w:rFonts w:ascii="Book Antiqua" w:eastAsia="Book Antiqua" w:hAnsi="Book Antiqua" w:cs="Book Antiqua"/>
          <w:color w:val="000000"/>
        </w:rPr>
        <w:t>three</w:t>
      </w:r>
      <w:r w:rsidR="002F2FAC" w:rsidRPr="000F7FAC">
        <w:rPr>
          <w:rFonts w:ascii="Book Antiqua" w:eastAsia="Book Antiqua" w:hAnsi="Book Antiqua" w:cs="Book Antiqua"/>
          <w:color w:val="000000"/>
        </w:rPr>
        <w:t>-dimensional</w:t>
      </w:r>
      <w:r w:rsidR="004A2E3B">
        <w:rPr>
          <w:rFonts w:ascii="Book Antiqua" w:eastAsia="Book Antiqua" w:hAnsi="Book Antiqua" w:cs="Book Antiqua"/>
          <w:color w:val="000000"/>
        </w:rPr>
        <w:t xml:space="preserve"> (3D)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adjustment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under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suspension.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Of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B032F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A377F">
        <w:rPr>
          <w:rFonts w:ascii="Book Antiqua" w:eastAsia="Book Antiqua" w:hAnsi="Book Antiqua" w:cs="Book Antiqua"/>
          <w:color w:val="000000"/>
        </w:rPr>
        <w:t>delivered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spontaneous</w:t>
      </w:r>
      <w:r w:rsidR="007A377F">
        <w:rPr>
          <w:rFonts w:ascii="Book Antiqua" w:eastAsia="Book Antiqua" w:hAnsi="Book Antiqua" w:cs="Book Antiqua"/>
          <w:color w:val="000000"/>
        </w:rPr>
        <w:t>ly</w:t>
      </w:r>
      <w:r w:rsidR="002F2FAC" w:rsidRPr="000F7FAC">
        <w:rPr>
          <w:rFonts w:ascii="Book Antiqua" w:eastAsia="Book Antiqua" w:hAnsi="Book Antiqua" w:cs="Book Antiqua"/>
          <w:color w:val="000000"/>
        </w:rPr>
        <w:t>.</w:t>
      </w:r>
    </w:p>
    <w:p w14:paraId="05FFF90E" w14:textId="456A7A82" w:rsidR="00A77B3E" w:rsidRPr="00E538C9" w:rsidRDefault="002F2FAC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voluntary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fixation,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76F5B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4.185-cm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fixation.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film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4.185-cm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wk.</w:t>
      </w:r>
    </w:p>
    <w:p w14:paraId="643F2F17" w14:textId="77777777" w:rsidR="00E538C9" w:rsidRDefault="00E538C9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4DEA28" w14:textId="7A7C6051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8024F33" w14:textId="20EAB12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(version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20.0</w:t>
      </w:r>
      <w:r w:rsidR="00076F5B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IBM,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</w:t>
      </w:r>
      <w:r w:rsidR="007B571D">
        <w:rPr>
          <w:rFonts w:ascii="Book Antiqua" w:eastAsia="Book Antiqua" w:hAnsi="Book Antiqua" w:cs="Book Antiqua"/>
          <w:color w:val="000000"/>
        </w:rPr>
        <w:t>nited States</w:t>
      </w:r>
      <w:r w:rsidRPr="000F7FAC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E50F6">
        <w:rPr>
          <w:rFonts w:ascii="Book Antiqua" w:eastAsia="Book Antiqua" w:hAnsi="Book Antiqua" w:cs="Book Antiqua"/>
          <w:color w:val="000000"/>
        </w:rPr>
        <w:t>C</w:t>
      </w:r>
      <w:r w:rsidRPr="000F7FAC">
        <w:rPr>
          <w:rFonts w:ascii="Book Antiqua" w:eastAsia="Book Antiqua" w:hAnsi="Book Antiqua" w:cs="Book Antiqua"/>
          <w:color w:val="000000"/>
        </w:rPr>
        <w:t>ontinuous</w:t>
      </w:r>
      <w:r w:rsidR="007B571D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E50F6">
        <w:rPr>
          <w:rFonts w:ascii="Book Antiqua" w:eastAsia="Book Antiqua" w:hAnsi="Book Antiqua" w:cs="Book Antiqua"/>
          <w:color w:val="000000"/>
        </w:rPr>
        <w:t xml:space="preserve">mean ± SD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categorical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percentages.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3E50F6">
        <w:rPr>
          <w:rFonts w:ascii="Book Antiqua" w:eastAsia="Book Antiqua" w:hAnsi="Book Antiqua" w:cs="Book Antiqua"/>
          <w:i/>
          <w:iCs/>
          <w:color w:val="000000"/>
        </w:rPr>
        <w:t>t</w:t>
      </w:r>
      <w:r w:rsidR="003E50F6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Chi-squared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considered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BA34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potential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linear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explore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Pearson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the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0362D" w:rsidRPr="0060362D">
        <w:rPr>
          <w:rFonts w:ascii="Book Antiqua" w:eastAsia="Book Antiqua" w:hAnsi="Book Antiqua" w:cs="Book Antiqua"/>
          <w:color w:val="000000"/>
        </w:rPr>
        <w:t xml:space="preserve">activities of daily living </w:t>
      </w:r>
      <w:r w:rsidR="0060362D">
        <w:rPr>
          <w:rFonts w:ascii="Book Antiqua" w:eastAsia="Book Antiqua" w:hAnsi="Book Antiqua" w:cs="Book Antiqua"/>
          <w:color w:val="000000"/>
        </w:rPr>
        <w:t>(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60362D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</w:p>
    <w:p w14:paraId="1BA52B7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A809F0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EADD013" w14:textId="5F202576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spontaneously,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B032FC">
        <w:rPr>
          <w:rFonts w:ascii="Book Antiqua" w:eastAsia="Book Antiqua" w:hAnsi="Book Antiqua" w:cs="Book Antiqua"/>
          <w:color w:val="000000"/>
        </w:rPr>
        <w:t>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&gt;</w:t>
      </w:r>
      <w:r w:rsidR="00347A60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347A60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received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4A2E3B">
        <w:rPr>
          <w:rFonts w:ascii="Book Antiqua" w:eastAsia="Book Antiqua" w:hAnsi="Book Antiqua" w:cs="Book Antiqua"/>
          <w:color w:val="000000"/>
        </w:rPr>
        <w:t>3D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suspended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With r</w:t>
      </w:r>
      <w:r w:rsidRPr="000F7FAC">
        <w:rPr>
          <w:rFonts w:ascii="Book Antiqua" w:eastAsia="Book Antiqua" w:hAnsi="Book Antiqua" w:cs="Book Antiqua"/>
          <w:color w:val="000000"/>
        </w:rPr>
        <w:t>egard</w:t>
      </w:r>
      <w:r w:rsidR="00B032FC">
        <w:rPr>
          <w:rFonts w:ascii="Book Antiqua" w:eastAsia="Book Antiqua" w:hAnsi="Book Antiqua" w:cs="Book Antiqua"/>
          <w:color w:val="000000"/>
        </w:rPr>
        <w:t xml:space="preserve"> to 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controls</w:t>
      </w:r>
      <w:r w:rsidR="00B032FC" w:rsidRP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without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symphysis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pubis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separation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spontaneous</w:t>
      </w:r>
      <w:r w:rsidR="00B032FC">
        <w:rPr>
          <w:rFonts w:ascii="Book Antiqua" w:eastAsia="Book Antiqua" w:hAnsi="Book Antiqua" w:cs="Book Antiqua"/>
          <w:color w:val="000000"/>
        </w:rPr>
        <w:t>ly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Comparisons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Except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measured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</w:p>
    <w:p w14:paraId="7BD5BB2E" w14:textId="77777777" w:rsidR="007B571D" w:rsidRPr="007B571D" w:rsidRDefault="007B571D" w:rsidP="007B57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B68B23" w14:textId="44048100" w:rsidR="007B571D" w:rsidRPr="007B571D" w:rsidRDefault="002F2FAC" w:rsidP="007B571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parturients</w:t>
      </w:r>
      <w:proofErr w:type="spellEnd"/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</w:p>
    <w:p w14:paraId="67A0AE38" w14:textId="21251ADF" w:rsidR="007B571D" w:rsidRDefault="002F2FAC" w:rsidP="007B57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forward-step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the following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B032FC">
        <w:rPr>
          <w:rFonts w:ascii="Book Antiqua" w:eastAsia="Book Antiqua" w:hAnsi="Book Antiqua" w:cs="Book Antiqua"/>
          <w:color w:val="000000"/>
        </w:rPr>
        <w:t>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entered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=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=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left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lastRenderedPageBreak/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level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C1185E">
        <w:rPr>
          <w:rFonts w:ascii="Book Antiqua" w:eastAsia="Book Antiqua" w:hAnsi="Book Antiqua" w:cs="Book Antiqua"/>
          <w:color w:val="000000"/>
        </w:rPr>
        <w:t>odds ratio (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C1185E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values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1.002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1.022,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respectively,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suggesting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3).</w:t>
      </w:r>
    </w:p>
    <w:p w14:paraId="76B142A4" w14:textId="77777777" w:rsidR="007B571D" w:rsidRDefault="007B571D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8D77E28" w14:textId="462AE573" w:rsidR="007B571D" w:rsidRP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postpartum</w:t>
      </w:r>
    </w:p>
    <w:p w14:paraId="7E30CEC1" w14:textId="105701A8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4).</w:t>
      </w:r>
    </w:p>
    <w:p w14:paraId="01CEC313" w14:textId="77777777" w:rsidR="007B571D" w:rsidRDefault="007B571D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D27DE26" w14:textId="77777777" w:rsidR="007B571D" w:rsidRP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degree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</w:p>
    <w:p w14:paraId="45E4AAA9" w14:textId="2BB89BE0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Taking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linear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T</w:t>
      </w:r>
      <w:r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following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were entered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61C01">
        <w:rPr>
          <w:rFonts w:ascii="Book Antiqua" w:eastAsia="Book Antiqua" w:hAnsi="Book Antiqua" w:cs="Book Antiqua"/>
          <w:color w:val="000000"/>
        </w:rPr>
        <w:t>G</w:t>
      </w:r>
      <w:r w:rsidRPr="000F7FAC">
        <w:rPr>
          <w:rFonts w:ascii="Book Antiqua" w:eastAsia="Book Antiqua" w:hAnsi="Book Antiqua" w:cs="Book Antiqua"/>
          <w:color w:val="000000"/>
        </w:rPr>
        <w:t>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</w:t>
      </w:r>
      <w:r w:rsidR="00975ECC">
        <w:rPr>
          <w:rFonts w:ascii="Book Antiqua" w:eastAsia="Book Antiqua" w:hAnsi="Book Antiqua" w:cs="Book Antiqua"/>
          <w:color w:val="000000"/>
        </w:rPr>
        <w:t>llowing 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transformation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5).</w:t>
      </w:r>
    </w:p>
    <w:p w14:paraId="497DAD0E" w14:textId="77777777" w:rsidR="0060362D" w:rsidRDefault="0060362D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2506244" w14:textId="1F49D69C" w:rsidR="0060362D" w:rsidRDefault="002F2FAC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2537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2A82" w:rsidRPr="00D72537">
        <w:rPr>
          <w:rFonts w:ascii="Book Antiqua" w:eastAsia="Book Antiqua" w:hAnsi="Book Antiqua" w:cs="Book Antiqua"/>
          <w:b/>
          <w:bCs/>
          <w:color w:val="000000"/>
        </w:rPr>
        <w:t>RLX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other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factors:</w:t>
      </w:r>
      <w:r w:rsidR="00E538C9" w:rsidRPr="00D72537">
        <w:rPr>
          <w:rFonts w:ascii="Book Antiqua" w:eastAsia="Book Antiqua" w:hAnsi="Book Antiqua" w:cs="Book Antiqua"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975EC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6).</w:t>
      </w:r>
    </w:p>
    <w:p w14:paraId="3D40CF86" w14:textId="77777777" w:rsidR="004A2E3B" w:rsidRDefault="004A2E3B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620851" w14:textId="0227579D" w:rsidR="00A77B3E" w:rsidRPr="007B571D" w:rsidRDefault="00D72537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2537">
        <w:rPr>
          <w:rFonts w:ascii="Book Antiqua" w:eastAsia="Book Antiqua" w:hAnsi="Book Antiqua" w:cs="Book Antiqua"/>
          <w:b/>
          <w:bCs/>
          <w:color w:val="000000"/>
        </w:rPr>
        <w:t>Analysis of the correlations between the degree of separation and Barthel index and visual analog scale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score: </w:t>
      </w:r>
      <w:r w:rsidR="002F2FAC" w:rsidRPr="00D8637C">
        <w:rPr>
          <w:rFonts w:ascii="Book Antiqua" w:eastAsia="Book Antiqua" w:hAnsi="Book Antiqua" w:cs="Book Antiqua"/>
          <w:color w:val="000000"/>
        </w:rPr>
        <w:t>An</w:t>
      </w:r>
      <w:r w:rsidR="002F2FAC" w:rsidRPr="00F56E78">
        <w:rPr>
          <w:rFonts w:ascii="Book Antiqua" w:eastAsia="Book Antiqua" w:hAnsi="Book Antiqua" w:cs="Book Antiqua"/>
          <w:color w:val="000000"/>
        </w:rPr>
        <w:t>alysis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of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the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correlations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between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the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degree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of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separation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and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ADL</w:t>
      </w:r>
      <w:r w:rsidR="007B571D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7B571D" w:rsidRPr="00F56E78">
        <w:rPr>
          <w:rFonts w:ascii="Book Antiqua" w:eastAsia="宋体" w:hAnsi="Book Antiqua" w:cs="宋体"/>
          <w:color w:val="000000"/>
          <w:lang w:eastAsia="zh-CN"/>
        </w:rPr>
        <w:t>(</w:t>
      </w:r>
      <w:r w:rsidR="002F2FAC" w:rsidRPr="00F56E78">
        <w:rPr>
          <w:rFonts w:ascii="Book Antiqua" w:eastAsia="Book Antiqua" w:hAnsi="Book Antiqua" w:cs="Book Antiqua"/>
          <w:color w:val="000000"/>
        </w:rPr>
        <w:t>Barthel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index)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and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pain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(visual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analog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scale)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shown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Table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7.</w:t>
      </w:r>
    </w:p>
    <w:p w14:paraId="02E5E26C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82BF84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5A1497A" w14:textId="6FB85F8A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Natural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anti-fibrotic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maintain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homeostasis;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fibroblast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proliferation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transforming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factor-β1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(TGF-β1)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angiotensin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II,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stimulate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matrix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degradation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induced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metalloproteinases.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formation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Unemori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0362D" w:rsidRPr="000A035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0362D" w:rsidRPr="000A03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Mookerjee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fibroblasts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collagen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phosphorylation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Smad2,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interfering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TGF-β1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tendon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F67689">
        <w:rPr>
          <w:rFonts w:ascii="Book Antiqua" w:eastAsia="Book Antiqua" w:hAnsi="Book Antiqua" w:cs="Book Antiqua"/>
          <w:color w:val="000000"/>
        </w:rPr>
        <w:t>injury.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exert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stronger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anti-fibrotic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would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period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especially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quickly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</w:p>
    <w:p w14:paraId="0A177333" w14:textId="2796A9A7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independent-sample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9042A6">
        <w:rPr>
          <w:rFonts w:ascii="Book Antiqua" w:eastAsia="Book Antiqua" w:hAnsi="Book Antiqua" w:cs="Book Antiqua"/>
          <w:i/>
          <w:iCs/>
          <w:color w:val="000000"/>
        </w:rPr>
        <w:t>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apparently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older.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principal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dropping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approximately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ignore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role(s)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overcome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puerperal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return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typical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begin.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newborn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values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entail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follow-up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confirm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results.</w:t>
      </w:r>
    </w:p>
    <w:p w14:paraId="3C0793AA" w14:textId="7D737083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usually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attendant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joint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consistent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exceeded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displacement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literature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[8,1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belt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support,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walking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aids,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accompanied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movement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fashion,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wrong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regeneration.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connected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downward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toward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through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unequal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length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either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compensated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through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spine;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compensation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systematic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outpatient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specific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uncertain).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diastatic-gap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abnormal,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abdominal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attached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rectus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inferior),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magnus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pectoral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lymph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nodes,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gluteus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maximus,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gluteus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lumbar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psoas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major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iliopsoas),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erector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spinae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latissimus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dorsi)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relieved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later.</w:t>
      </w:r>
    </w:p>
    <w:p w14:paraId="6F13A52A" w14:textId="77777777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unified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standard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limitations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individual’s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improve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attention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given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</w:p>
    <w:p w14:paraId="06C47960" w14:textId="1CD34234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Limitations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single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dynamic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uncover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reason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should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address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issues.</w:t>
      </w:r>
    </w:p>
    <w:p w14:paraId="2980053A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F55577D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0A32F2" w14:textId="44459465" w:rsidR="00A77B3E" w:rsidRPr="000F7FAC" w:rsidRDefault="0040774B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conclusion,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prophylactic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>
        <w:rPr>
          <w:rFonts w:ascii="Book Antiqua" w:hAnsi="Book Antiqua" w:hint="eastAsia"/>
          <w:lang w:eastAsia="zh-CN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occurrence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2F2FAC"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3A51544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D1A9356" w14:textId="685C9B1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F9333E4" w14:textId="3EA8FFE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D3A9004" w14:textId="50B04C06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mobility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disorders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seriously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A377F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elucidated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etiology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purpose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92A82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involved.</w:t>
      </w:r>
    </w:p>
    <w:p w14:paraId="3AB3A94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197272CC" w14:textId="647E706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6AAB9B3" w14:textId="766F20B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hope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predict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involved,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in 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6EA2EDB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B85FEE2" w14:textId="7F9B9D6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E9024E7" w14:textId="5687AFF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relationships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levels/other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judgment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incidence.</w:t>
      </w:r>
    </w:p>
    <w:p w14:paraId="5AE4950C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E36D31E" w14:textId="0B37DD4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84DCCA2" w14:textId="17E9EB9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Baseline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characteristics</w:t>
      </w:r>
      <w:r w:rsidR="00C4244F">
        <w:rPr>
          <w:rFonts w:ascii="Book Antiqua" w:eastAsia="Book Antiqua" w:hAnsi="Book Antiqua" w:cs="Book Antiqua"/>
          <w:color w:val="000000"/>
        </w:rPr>
        <w:t>,</w:t>
      </w:r>
      <w:r w:rsidR="00AE2477">
        <w:rPr>
          <w:rFonts w:ascii="Book Antiqua" w:eastAsia="Book Antiqua" w:hAnsi="Book Antiqua" w:cs="Book Antiqua"/>
          <w:color w:val="000000"/>
        </w:rPr>
        <w:t xml:space="preserve"> 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AE2477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capability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scores.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S</w:t>
      </w:r>
      <w:r w:rsidRPr="000F7FAC">
        <w:rPr>
          <w:rFonts w:ascii="Book Antiqua" w:eastAsia="Book Antiqua" w:hAnsi="Book Antiqua" w:cs="Book Antiqua"/>
          <w:color w:val="000000"/>
        </w:rPr>
        <w:t>everal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 xml:space="preserve">were </w:t>
      </w:r>
      <w:r w:rsidR="0012570A" w:rsidRPr="000F7FAC">
        <w:rPr>
          <w:rFonts w:ascii="Book Antiqua" w:eastAsia="Book Antiqua" w:hAnsi="Book Antiqua" w:cs="Book Antiqua"/>
          <w:color w:val="000000"/>
        </w:rPr>
        <w:t>used</w:t>
      </w:r>
      <w:r w:rsidR="0012570A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herein,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conduct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studies.</w:t>
      </w:r>
    </w:p>
    <w:p w14:paraId="0BB05F8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84DC7D7" w14:textId="6662258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AF83802" w14:textId="03FEFBF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it 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wished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pathogenic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needed</w:t>
      </w:r>
      <w:r w:rsidR="00EF152B">
        <w:rPr>
          <w:rFonts w:ascii="Book Antiqua" w:eastAsia="Book Antiqua" w:hAnsi="Book Antiqua" w:cs="Book Antiqua"/>
          <w:color w:val="000000"/>
        </w:rPr>
        <w:t>.</w:t>
      </w:r>
    </w:p>
    <w:p w14:paraId="0F89615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46844C9" w14:textId="3759D62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F23A85D" w14:textId="35CDB79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847D1C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847D1C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25FECD5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B18E02B" w14:textId="3EC01A80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45CAFBB" w14:textId="71EB746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explore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continue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subsequent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healing.</w:t>
      </w:r>
    </w:p>
    <w:p w14:paraId="6C88B81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40A3EE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154F51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 </w:t>
      </w:r>
      <w:proofErr w:type="spellStart"/>
      <w:r w:rsidRPr="00990840">
        <w:rPr>
          <w:rFonts w:ascii="Book Antiqua" w:hAnsi="Book Antiqua"/>
          <w:b/>
          <w:bCs/>
        </w:rPr>
        <w:t>Herren</w:t>
      </w:r>
      <w:proofErr w:type="spellEnd"/>
      <w:r w:rsidRPr="00990840">
        <w:rPr>
          <w:rFonts w:ascii="Book Antiqua" w:hAnsi="Book Antiqua"/>
          <w:b/>
          <w:bCs/>
        </w:rPr>
        <w:t xml:space="preserve"> C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Sobottke</w:t>
      </w:r>
      <w:proofErr w:type="spellEnd"/>
      <w:r w:rsidRPr="00990840">
        <w:rPr>
          <w:rFonts w:ascii="Book Antiqua" w:hAnsi="Book Antiqua"/>
        </w:rPr>
        <w:t xml:space="preserve"> R, </w:t>
      </w:r>
      <w:proofErr w:type="spellStart"/>
      <w:r w:rsidRPr="00990840">
        <w:rPr>
          <w:rFonts w:ascii="Book Antiqua" w:hAnsi="Book Antiqua"/>
        </w:rPr>
        <w:t>Dadgar</w:t>
      </w:r>
      <w:proofErr w:type="spellEnd"/>
      <w:r w:rsidRPr="00990840">
        <w:rPr>
          <w:rFonts w:ascii="Book Antiqua" w:hAnsi="Book Antiqua"/>
        </w:rPr>
        <w:t xml:space="preserve"> A, </w:t>
      </w:r>
      <w:proofErr w:type="spellStart"/>
      <w:r w:rsidRPr="00990840">
        <w:rPr>
          <w:rFonts w:ascii="Book Antiqua" w:hAnsi="Book Antiqua"/>
        </w:rPr>
        <w:t>Ringe</w:t>
      </w:r>
      <w:proofErr w:type="spellEnd"/>
      <w:r w:rsidRPr="00990840">
        <w:rPr>
          <w:rFonts w:ascii="Book Antiqua" w:hAnsi="Book Antiqua"/>
        </w:rPr>
        <w:t xml:space="preserve"> MJ, Graf M, Keller K, </w:t>
      </w:r>
      <w:proofErr w:type="spellStart"/>
      <w:r w:rsidRPr="00990840">
        <w:rPr>
          <w:rFonts w:ascii="Book Antiqua" w:hAnsi="Book Antiqua"/>
        </w:rPr>
        <w:t>Eysel</w:t>
      </w:r>
      <w:proofErr w:type="spellEnd"/>
      <w:r w:rsidRPr="00990840">
        <w:rPr>
          <w:rFonts w:ascii="Book Antiqua" w:hAnsi="Book Antiqua"/>
        </w:rPr>
        <w:t xml:space="preserve"> P, </w:t>
      </w:r>
      <w:proofErr w:type="spellStart"/>
      <w:r w:rsidRPr="00990840">
        <w:rPr>
          <w:rFonts w:ascii="Book Antiqua" w:hAnsi="Book Antiqua"/>
        </w:rPr>
        <w:t>Mallmann</w:t>
      </w:r>
      <w:proofErr w:type="spellEnd"/>
      <w:r w:rsidRPr="00990840">
        <w:rPr>
          <w:rFonts w:ascii="Book Antiqua" w:hAnsi="Book Antiqua"/>
        </w:rPr>
        <w:t xml:space="preserve"> P, </w:t>
      </w:r>
      <w:proofErr w:type="spellStart"/>
      <w:r w:rsidRPr="00990840">
        <w:rPr>
          <w:rFonts w:ascii="Book Antiqua" w:hAnsi="Book Antiqua"/>
        </w:rPr>
        <w:t>Siewe</w:t>
      </w:r>
      <w:proofErr w:type="spellEnd"/>
      <w:r w:rsidRPr="00990840">
        <w:rPr>
          <w:rFonts w:ascii="Book Antiqua" w:hAnsi="Book Antiqua"/>
        </w:rPr>
        <w:t xml:space="preserve"> J. Peripartum pubic symphysis separation--Current strategies in diagnosis and therapy and presentation of two cases. </w:t>
      </w:r>
      <w:r w:rsidRPr="00990840">
        <w:rPr>
          <w:rFonts w:ascii="Book Antiqua" w:hAnsi="Book Antiqua"/>
          <w:i/>
          <w:iCs/>
        </w:rPr>
        <w:t>Injury</w:t>
      </w:r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46</w:t>
      </w:r>
      <w:r w:rsidRPr="00990840">
        <w:rPr>
          <w:rFonts w:ascii="Book Antiqua" w:hAnsi="Book Antiqua"/>
        </w:rPr>
        <w:t>: 1074-1080 [PMID: 25816704 DOI: 10.1016/j.injury.2015.02.030]</w:t>
      </w:r>
    </w:p>
    <w:p w14:paraId="3B90B94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 </w:t>
      </w:r>
      <w:proofErr w:type="spellStart"/>
      <w:r w:rsidRPr="00990840">
        <w:rPr>
          <w:rFonts w:ascii="Book Antiqua" w:hAnsi="Book Antiqua"/>
          <w:b/>
          <w:bCs/>
        </w:rPr>
        <w:t>Shnaekel</w:t>
      </w:r>
      <w:proofErr w:type="spellEnd"/>
      <w:r w:rsidRPr="00990840">
        <w:rPr>
          <w:rFonts w:ascii="Book Antiqua" w:hAnsi="Book Antiqua"/>
          <w:b/>
          <w:bCs/>
        </w:rPr>
        <w:t xml:space="preserve"> KL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Magann</w:t>
      </w:r>
      <w:proofErr w:type="spellEnd"/>
      <w:r w:rsidRPr="00990840">
        <w:rPr>
          <w:rFonts w:ascii="Book Antiqua" w:hAnsi="Book Antiqua"/>
        </w:rPr>
        <w:t xml:space="preserve"> EF, Ahmadi S. Pubic Symphysis Rupture and Separation During Pregnancy.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Surv</w:t>
      </w:r>
      <w:proofErr w:type="spellEnd"/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70</w:t>
      </w:r>
      <w:r w:rsidRPr="00990840">
        <w:rPr>
          <w:rFonts w:ascii="Book Antiqua" w:hAnsi="Book Antiqua"/>
        </w:rPr>
        <w:t>: 713-718 [PMID: 26584720 DOI: 10.1097/OGX.0000000000000247]</w:t>
      </w:r>
    </w:p>
    <w:p w14:paraId="3A1FE2DB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3 </w:t>
      </w:r>
      <w:r w:rsidRPr="00990840">
        <w:rPr>
          <w:rFonts w:ascii="Book Antiqua" w:hAnsi="Book Antiqua"/>
          <w:b/>
          <w:bCs/>
        </w:rPr>
        <w:t>Reis RA</w:t>
      </w:r>
      <w:r w:rsidRPr="00990840">
        <w:rPr>
          <w:rFonts w:ascii="Book Antiqua" w:hAnsi="Book Antiqua"/>
        </w:rPr>
        <w:t xml:space="preserve">, Baer JL, </w:t>
      </w:r>
      <w:proofErr w:type="spellStart"/>
      <w:r w:rsidRPr="00990840">
        <w:rPr>
          <w:rFonts w:ascii="Book Antiqua" w:hAnsi="Book Antiqua"/>
        </w:rPr>
        <w:t>Arens</w:t>
      </w:r>
      <w:proofErr w:type="spellEnd"/>
      <w:r w:rsidRPr="00990840">
        <w:rPr>
          <w:rFonts w:ascii="Book Antiqua" w:hAnsi="Book Antiqua"/>
        </w:rPr>
        <w:t xml:space="preserve"> RA, Stewart E. Traumatic separation of the symphysis pubis during spontaneous labor. </w:t>
      </w:r>
      <w:proofErr w:type="spellStart"/>
      <w:r w:rsidRPr="00990840">
        <w:rPr>
          <w:rFonts w:ascii="Book Antiqua" w:hAnsi="Book Antiqua"/>
          <w:i/>
          <w:iCs/>
        </w:rPr>
        <w:t>Surg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</w:t>
      </w:r>
      <w:proofErr w:type="spellEnd"/>
      <w:r w:rsidRPr="00990840">
        <w:rPr>
          <w:rFonts w:ascii="Book Antiqua" w:hAnsi="Book Antiqua"/>
        </w:rPr>
        <w:t xml:space="preserve"> 1932; </w:t>
      </w:r>
      <w:r w:rsidRPr="00990840">
        <w:rPr>
          <w:rFonts w:ascii="Book Antiqua" w:hAnsi="Book Antiqua"/>
          <w:b/>
          <w:bCs/>
        </w:rPr>
        <w:t>55</w:t>
      </w:r>
      <w:r w:rsidRPr="00990840">
        <w:rPr>
          <w:rFonts w:ascii="Book Antiqua" w:hAnsi="Book Antiqua"/>
        </w:rPr>
        <w:t>: 336-354 [DOI: 10.1016/S0002-9378(34)90769-9]</w:t>
      </w:r>
    </w:p>
    <w:p w14:paraId="744EC924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4 </w:t>
      </w:r>
      <w:r w:rsidRPr="00990840">
        <w:rPr>
          <w:rFonts w:ascii="Book Antiqua" w:hAnsi="Book Antiqua"/>
          <w:b/>
          <w:bCs/>
        </w:rPr>
        <w:t>Kane R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Erez</w:t>
      </w:r>
      <w:proofErr w:type="spellEnd"/>
      <w:r w:rsidRPr="00990840">
        <w:rPr>
          <w:rFonts w:ascii="Book Antiqua" w:hAnsi="Book Antiqua"/>
        </w:rPr>
        <w:t xml:space="preserve"> S, O'Leary JA. Symptomatic symphyseal separation in pregnancy. </w:t>
      </w:r>
      <w:proofErr w:type="spellStart"/>
      <w:r w:rsidRPr="00990840">
        <w:rPr>
          <w:rFonts w:ascii="Book Antiqua" w:hAnsi="Book Antiqua"/>
          <w:i/>
          <w:iCs/>
        </w:rPr>
        <w:t>Surg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</w:rPr>
        <w:t xml:space="preserve"> 1967; </w:t>
      </w:r>
      <w:r w:rsidRPr="00990840">
        <w:rPr>
          <w:rFonts w:ascii="Book Antiqua" w:hAnsi="Book Antiqua"/>
          <w:b/>
          <w:bCs/>
        </w:rPr>
        <w:t>124</w:t>
      </w:r>
      <w:r w:rsidRPr="00990840">
        <w:rPr>
          <w:rFonts w:ascii="Book Antiqua" w:hAnsi="Book Antiqua"/>
        </w:rPr>
        <w:t>: 1032-1036 [PMID: 6022477 DOI: 10.1373/clinchem.2012.182717]</w:t>
      </w:r>
    </w:p>
    <w:p w14:paraId="0D87654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5 </w:t>
      </w:r>
      <w:proofErr w:type="spellStart"/>
      <w:r w:rsidRPr="00990840">
        <w:rPr>
          <w:rFonts w:ascii="Book Antiqua" w:hAnsi="Book Antiqua"/>
          <w:b/>
          <w:bCs/>
        </w:rPr>
        <w:t>Kubitz</w:t>
      </w:r>
      <w:proofErr w:type="spellEnd"/>
      <w:r w:rsidRPr="00990840">
        <w:rPr>
          <w:rFonts w:ascii="Book Antiqua" w:hAnsi="Book Antiqua"/>
          <w:b/>
          <w:bCs/>
        </w:rPr>
        <w:t xml:space="preserve"> RL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Goodlin</w:t>
      </w:r>
      <w:proofErr w:type="spellEnd"/>
      <w:r w:rsidRPr="00990840">
        <w:rPr>
          <w:rFonts w:ascii="Book Antiqua" w:hAnsi="Book Antiqua"/>
        </w:rPr>
        <w:t xml:space="preserve"> RC. Symptomatic separation of the pubic symphysis. </w:t>
      </w:r>
      <w:r w:rsidRPr="00990840">
        <w:rPr>
          <w:rFonts w:ascii="Book Antiqua" w:hAnsi="Book Antiqua"/>
          <w:i/>
          <w:iCs/>
        </w:rPr>
        <w:t>South Med J</w:t>
      </w:r>
      <w:r w:rsidRPr="00990840">
        <w:rPr>
          <w:rFonts w:ascii="Book Antiqua" w:hAnsi="Book Antiqua"/>
        </w:rPr>
        <w:t xml:space="preserve"> 1986; </w:t>
      </w:r>
      <w:r w:rsidRPr="00990840">
        <w:rPr>
          <w:rFonts w:ascii="Book Antiqua" w:hAnsi="Book Antiqua"/>
          <w:b/>
          <w:bCs/>
        </w:rPr>
        <w:t>79</w:t>
      </w:r>
      <w:r w:rsidRPr="00990840">
        <w:rPr>
          <w:rFonts w:ascii="Book Antiqua" w:hAnsi="Book Antiqua"/>
        </w:rPr>
        <w:t>: 578-580 [PMID: 3704724 DOI: 10.1097/00007611-198605000-00014]</w:t>
      </w:r>
    </w:p>
    <w:p w14:paraId="1E44867F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6 </w:t>
      </w:r>
      <w:r w:rsidRPr="00990840">
        <w:rPr>
          <w:rFonts w:ascii="Book Antiqua" w:hAnsi="Book Antiqua"/>
          <w:b/>
          <w:bCs/>
        </w:rPr>
        <w:t>Saeed F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Trathen</w:t>
      </w:r>
      <w:proofErr w:type="spellEnd"/>
      <w:r w:rsidRPr="00990840">
        <w:rPr>
          <w:rFonts w:ascii="Book Antiqua" w:hAnsi="Book Antiqua"/>
        </w:rPr>
        <w:t xml:space="preserve"> K, Want A, </w:t>
      </w:r>
      <w:proofErr w:type="spellStart"/>
      <w:r w:rsidRPr="00990840">
        <w:rPr>
          <w:rFonts w:ascii="Book Antiqua" w:hAnsi="Book Antiqua"/>
        </w:rPr>
        <w:t>Kucheria</w:t>
      </w:r>
      <w:proofErr w:type="spellEnd"/>
      <w:r w:rsidRPr="00990840">
        <w:rPr>
          <w:rFonts w:ascii="Book Antiqua" w:hAnsi="Book Antiqua"/>
        </w:rPr>
        <w:t xml:space="preserve"> R, </w:t>
      </w:r>
      <w:proofErr w:type="spellStart"/>
      <w:r w:rsidRPr="00990840">
        <w:rPr>
          <w:rFonts w:ascii="Book Antiqua" w:hAnsi="Book Antiqua"/>
        </w:rPr>
        <w:t>Kalla</w:t>
      </w:r>
      <w:proofErr w:type="spellEnd"/>
      <w:r w:rsidRPr="00990840">
        <w:rPr>
          <w:rFonts w:ascii="Book Antiqua" w:hAnsi="Book Antiqua"/>
        </w:rPr>
        <w:t xml:space="preserve"> S. Pubic symphysis diastasis after an uncomplicated vaginal delivery: A case report. </w:t>
      </w:r>
      <w:r w:rsidRPr="00990840">
        <w:rPr>
          <w:rFonts w:ascii="Book Antiqua" w:hAnsi="Book Antiqua"/>
          <w:i/>
          <w:iCs/>
        </w:rPr>
        <w:t xml:space="preserve">J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Gynaecol</w:t>
      </w:r>
      <w:proofErr w:type="spellEnd"/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35</w:t>
      </w:r>
      <w:r w:rsidRPr="00990840">
        <w:rPr>
          <w:rFonts w:ascii="Book Antiqua" w:hAnsi="Book Antiqua"/>
        </w:rPr>
        <w:t>: 746-747 [PMID: 25546521 DOI: 10.3109/01443615.2014.992873]</w:t>
      </w:r>
    </w:p>
    <w:p w14:paraId="45E870BB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7 </w:t>
      </w:r>
      <w:r w:rsidRPr="00990840">
        <w:rPr>
          <w:rFonts w:ascii="Book Antiqua" w:hAnsi="Book Antiqua"/>
          <w:b/>
          <w:bCs/>
        </w:rPr>
        <w:t>Ku SJ</w:t>
      </w:r>
      <w:r w:rsidRPr="00ED3EB8">
        <w:rPr>
          <w:rFonts w:ascii="Book Antiqua" w:hAnsi="Book Antiqua"/>
        </w:rPr>
        <w:t>,</w:t>
      </w:r>
      <w:r w:rsidRPr="00990840">
        <w:rPr>
          <w:rFonts w:ascii="Book Antiqua" w:hAnsi="Book Antiqua"/>
        </w:rPr>
        <w:t xml:space="preserve"> Kim SB, Kim JH, Park HR, Kim HJ. Clinical analysis of the perinatal pubic bone separation. </w:t>
      </w:r>
      <w:r w:rsidRPr="00ED3EB8">
        <w:rPr>
          <w:rFonts w:ascii="Book Antiqua" w:hAnsi="Book Antiqua"/>
          <w:i/>
          <w:iCs/>
        </w:rPr>
        <w:t xml:space="preserve">Korean J </w:t>
      </w:r>
      <w:proofErr w:type="spellStart"/>
      <w:r w:rsidRPr="00ED3EB8">
        <w:rPr>
          <w:rFonts w:ascii="Book Antiqua" w:hAnsi="Book Antiqua"/>
          <w:i/>
          <w:iCs/>
        </w:rPr>
        <w:t>Obstet</w:t>
      </w:r>
      <w:proofErr w:type="spellEnd"/>
      <w:r w:rsidRPr="00ED3EB8">
        <w:rPr>
          <w:rFonts w:ascii="Book Antiqua" w:hAnsi="Book Antiqua"/>
          <w:i/>
          <w:iCs/>
        </w:rPr>
        <w:t xml:space="preserve"> </w:t>
      </w:r>
      <w:proofErr w:type="spellStart"/>
      <w:r w:rsidRPr="00ED3EB8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</w:rPr>
        <w:t xml:space="preserve"> 2006; </w:t>
      </w:r>
      <w:r w:rsidRPr="00ED3EB8">
        <w:rPr>
          <w:rFonts w:ascii="Book Antiqua" w:hAnsi="Book Antiqua"/>
          <w:b/>
          <w:bCs/>
        </w:rPr>
        <w:t>49</w:t>
      </w:r>
      <w:r w:rsidRPr="00990840">
        <w:rPr>
          <w:rFonts w:ascii="Book Antiqua" w:hAnsi="Book Antiqua"/>
        </w:rPr>
        <w:t>: 315-321</w:t>
      </w:r>
    </w:p>
    <w:p w14:paraId="0139916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lastRenderedPageBreak/>
        <w:t xml:space="preserve">8 </w:t>
      </w:r>
      <w:r w:rsidRPr="00990840">
        <w:rPr>
          <w:rFonts w:ascii="Book Antiqua" w:hAnsi="Book Antiqua"/>
          <w:b/>
          <w:bCs/>
        </w:rPr>
        <w:t>Heath T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Gherman</w:t>
      </w:r>
      <w:proofErr w:type="spellEnd"/>
      <w:r w:rsidRPr="00990840">
        <w:rPr>
          <w:rFonts w:ascii="Book Antiqua" w:hAnsi="Book Antiqua"/>
        </w:rPr>
        <w:t xml:space="preserve"> RB. Symphyseal separation, sacroiliac joint dislocation and transient lateral femoral cutaneous neuropathy associated with McRoberts' maneuver. </w:t>
      </w:r>
      <w:proofErr w:type="gramStart"/>
      <w:r w:rsidRPr="00990840">
        <w:rPr>
          <w:rFonts w:ascii="Book Antiqua" w:hAnsi="Book Antiqua"/>
        </w:rPr>
        <w:t>A case report.</w:t>
      </w:r>
      <w:proofErr w:type="gramEnd"/>
      <w:r w:rsidRPr="00990840">
        <w:rPr>
          <w:rFonts w:ascii="Book Antiqua" w:hAnsi="Book Antiqua"/>
        </w:rPr>
        <w:t xml:space="preserve"> </w:t>
      </w:r>
      <w:r w:rsidRPr="00990840">
        <w:rPr>
          <w:rFonts w:ascii="Book Antiqua" w:hAnsi="Book Antiqua"/>
          <w:i/>
          <w:iCs/>
        </w:rPr>
        <w:t xml:space="preserve">J </w:t>
      </w:r>
      <w:proofErr w:type="spellStart"/>
      <w:r w:rsidRPr="00990840">
        <w:rPr>
          <w:rFonts w:ascii="Book Antiqua" w:hAnsi="Book Antiqua"/>
          <w:i/>
          <w:iCs/>
        </w:rPr>
        <w:t>Reprod</w:t>
      </w:r>
      <w:proofErr w:type="spellEnd"/>
      <w:r w:rsidRPr="00990840">
        <w:rPr>
          <w:rFonts w:ascii="Book Antiqua" w:hAnsi="Book Antiqua"/>
          <w:i/>
          <w:iCs/>
        </w:rPr>
        <w:t xml:space="preserve"> Med</w:t>
      </w:r>
      <w:r w:rsidRPr="00990840">
        <w:rPr>
          <w:rFonts w:ascii="Book Antiqua" w:hAnsi="Book Antiqua"/>
        </w:rPr>
        <w:t xml:space="preserve"> 1999; </w:t>
      </w:r>
      <w:r w:rsidRPr="00990840">
        <w:rPr>
          <w:rFonts w:ascii="Book Antiqua" w:hAnsi="Book Antiqua"/>
          <w:b/>
          <w:bCs/>
        </w:rPr>
        <w:t>44</w:t>
      </w:r>
      <w:r w:rsidRPr="00990840">
        <w:rPr>
          <w:rFonts w:ascii="Book Antiqua" w:hAnsi="Book Antiqua"/>
        </w:rPr>
        <w:t>: 902-904 [PMID: 10554757]</w:t>
      </w:r>
    </w:p>
    <w:p w14:paraId="188CADC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9 </w:t>
      </w:r>
      <w:r w:rsidRPr="00990840">
        <w:rPr>
          <w:rFonts w:ascii="Book Antiqua" w:hAnsi="Book Antiqua"/>
          <w:b/>
          <w:bCs/>
        </w:rPr>
        <w:t>Snow RE</w:t>
      </w:r>
      <w:r w:rsidRPr="00990840">
        <w:rPr>
          <w:rFonts w:ascii="Book Antiqua" w:hAnsi="Book Antiqua"/>
        </w:rPr>
        <w:t xml:space="preserve">, Neubert AG. Peripartum pubic symphysis separation: a case series and review of the literature.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Surv</w:t>
      </w:r>
      <w:proofErr w:type="spellEnd"/>
      <w:r w:rsidRPr="00990840">
        <w:rPr>
          <w:rFonts w:ascii="Book Antiqua" w:hAnsi="Book Antiqua"/>
        </w:rPr>
        <w:t xml:space="preserve"> 1997; </w:t>
      </w:r>
      <w:r w:rsidRPr="00990840">
        <w:rPr>
          <w:rFonts w:ascii="Book Antiqua" w:hAnsi="Book Antiqua"/>
          <w:b/>
          <w:bCs/>
        </w:rPr>
        <w:t>52</w:t>
      </w:r>
      <w:r w:rsidRPr="00990840">
        <w:rPr>
          <w:rFonts w:ascii="Book Antiqua" w:hAnsi="Book Antiqua"/>
        </w:rPr>
        <w:t>: 438-443 [PMID: 9219278 DOI: 10.1097/00006254-199707000-00023]</w:t>
      </w:r>
    </w:p>
    <w:p w14:paraId="67F2B6EE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10 </w:t>
      </w:r>
      <w:r w:rsidRPr="00990840">
        <w:rPr>
          <w:rFonts w:ascii="Book Antiqua" w:hAnsi="Book Antiqua"/>
          <w:b/>
          <w:bCs/>
        </w:rPr>
        <w:t>Bathgate RA</w:t>
      </w:r>
      <w:r w:rsidRPr="00990840">
        <w:rPr>
          <w:rFonts w:ascii="Book Antiqua" w:hAnsi="Book Antiqua"/>
        </w:rPr>
        <w:t xml:space="preserve">, Halls ML, van der </w:t>
      </w:r>
      <w:proofErr w:type="spellStart"/>
      <w:r w:rsidRPr="00990840">
        <w:rPr>
          <w:rFonts w:ascii="Book Antiqua" w:hAnsi="Book Antiqua"/>
        </w:rPr>
        <w:t>Westhuizen</w:t>
      </w:r>
      <w:proofErr w:type="spellEnd"/>
      <w:r w:rsidRPr="00990840">
        <w:rPr>
          <w:rFonts w:ascii="Book Antiqua" w:hAnsi="Book Antiqua"/>
        </w:rPr>
        <w:t xml:space="preserve"> ET, </w:t>
      </w:r>
      <w:proofErr w:type="spellStart"/>
      <w:r w:rsidRPr="00990840">
        <w:rPr>
          <w:rFonts w:ascii="Book Antiqua" w:hAnsi="Book Antiqua"/>
        </w:rPr>
        <w:t>Callander</w:t>
      </w:r>
      <w:proofErr w:type="spellEnd"/>
      <w:r w:rsidRPr="00990840">
        <w:rPr>
          <w:rFonts w:ascii="Book Antiqua" w:hAnsi="Book Antiqua"/>
        </w:rPr>
        <w:t xml:space="preserve"> GE, </w:t>
      </w:r>
      <w:proofErr w:type="spellStart"/>
      <w:r w:rsidRPr="00990840">
        <w:rPr>
          <w:rFonts w:ascii="Book Antiqua" w:hAnsi="Book Antiqua"/>
        </w:rPr>
        <w:t>Kocan</w:t>
      </w:r>
      <w:proofErr w:type="spellEnd"/>
      <w:r w:rsidRPr="00990840">
        <w:rPr>
          <w:rFonts w:ascii="Book Antiqua" w:hAnsi="Book Antiqua"/>
        </w:rPr>
        <w:t xml:space="preserve"> M, Summers RJ.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family peptides and their receptors. </w:t>
      </w:r>
      <w:proofErr w:type="spellStart"/>
      <w:r w:rsidRPr="00990840">
        <w:rPr>
          <w:rFonts w:ascii="Book Antiqua" w:hAnsi="Book Antiqua"/>
          <w:i/>
          <w:iCs/>
        </w:rPr>
        <w:t>Physiol</w:t>
      </w:r>
      <w:proofErr w:type="spellEnd"/>
      <w:r w:rsidRPr="00990840">
        <w:rPr>
          <w:rFonts w:ascii="Book Antiqua" w:hAnsi="Book Antiqua"/>
          <w:i/>
          <w:iCs/>
        </w:rPr>
        <w:t xml:space="preserve"> Rev</w:t>
      </w:r>
      <w:r w:rsidRPr="00990840">
        <w:rPr>
          <w:rFonts w:ascii="Book Antiqua" w:hAnsi="Book Antiqua"/>
        </w:rPr>
        <w:t xml:space="preserve"> 2013; </w:t>
      </w:r>
      <w:r w:rsidRPr="00990840">
        <w:rPr>
          <w:rFonts w:ascii="Book Antiqua" w:hAnsi="Book Antiqua"/>
          <w:b/>
          <w:bCs/>
        </w:rPr>
        <w:t>93</w:t>
      </w:r>
      <w:r w:rsidRPr="00990840">
        <w:rPr>
          <w:rFonts w:ascii="Book Antiqua" w:hAnsi="Book Antiqua"/>
        </w:rPr>
        <w:t>: 405-480 [PMID: 23303914 DOI: 10.1152/physrev.00001.2012]</w:t>
      </w:r>
    </w:p>
    <w:p w14:paraId="6560AA6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11 </w:t>
      </w:r>
      <w:proofErr w:type="spellStart"/>
      <w:r w:rsidRPr="00990840">
        <w:rPr>
          <w:rFonts w:ascii="Book Antiqua" w:hAnsi="Book Antiqua"/>
          <w:b/>
          <w:bCs/>
        </w:rPr>
        <w:t>Yoo</w:t>
      </w:r>
      <w:proofErr w:type="spellEnd"/>
      <w:r w:rsidRPr="00990840">
        <w:rPr>
          <w:rFonts w:ascii="Book Antiqua" w:hAnsi="Book Antiqua"/>
          <w:b/>
          <w:bCs/>
        </w:rPr>
        <w:t xml:space="preserve"> JJ</w:t>
      </w:r>
      <w:r w:rsidRPr="00990840">
        <w:rPr>
          <w:rFonts w:ascii="Book Antiqua" w:hAnsi="Book Antiqua"/>
        </w:rPr>
        <w:t xml:space="preserve">, Ha YC, Lee YK, Hong JS, Kang BJ, Koo KH. Incidence and risk factors of symptomatic peripartum diastasis of pubic symphysis. </w:t>
      </w:r>
      <w:r w:rsidRPr="00990840">
        <w:rPr>
          <w:rFonts w:ascii="Book Antiqua" w:hAnsi="Book Antiqua"/>
          <w:i/>
          <w:iCs/>
        </w:rPr>
        <w:t>J Korean Med Sci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29</w:t>
      </w:r>
      <w:r w:rsidRPr="00990840">
        <w:rPr>
          <w:rFonts w:ascii="Book Antiqua" w:hAnsi="Book Antiqua"/>
        </w:rPr>
        <w:t>: 281-286 [PMID: 24550659 DOI: 10.3346/jkms.2014.29.2.281]</w:t>
      </w:r>
    </w:p>
    <w:p w14:paraId="4877179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12 </w:t>
      </w:r>
      <w:proofErr w:type="spellStart"/>
      <w:r w:rsidRPr="00990840">
        <w:rPr>
          <w:rFonts w:ascii="Book Antiqua" w:hAnsi="Book Antiqua"/>
          <w:b/>
          <w:bCs/>
        </w:rPr>
        <w:t>Valsky</w:t>
      </w:r>
      <w:proofErr w:type="spellEnd"/>
      <w:r w:rsidRPr="00990840">
        <w:rPr>
          <w:rFonts w:ascii="Book Antiqua" w:hAnsi="Book Antiqua"/>
          <w:b/>
          <w:bCs/>
        </w:rPr>
        <w:t xml:space="preserve"> DV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Anteby</w:t>
      </w:r>
      <w:proofErr w:type="spellEnd"/>
      <w:r w:rsidRPr="00990840">
        <w:rPr>
          <w:rFonts w:ascii="Book Antiqua" w:hAnsi="Book Antiqua"/>
        </w:rPr>
        <w:t xml:space="preserve"> EY, Hiller N, Amsalem H, </w:t>
      </w:r>
      <w:proofErr w:type="spellStart"/>
      <w:r w:rsidRPr="00990840">
        <w:rPr>
          <w:rFonts w:ascii="Book Antiqua" w:hAnsi="Book Antiqua"/>
        </w:rPr>
        <w:t>Yagel</w:t>
      </w:r>
      <w:proofErr w:type="spellEnd"/>
      <w:r w:rsidRPr="00990840">
        <w:rPr>
          <w:rFonts w:ascii="Book Antiqua" w:hAnsi="Book Antiqua"/>
        </w:rPr>
        <w:t xml:space="preserve"> S, </w:t>
      </w:r>
      <w:proofErr w:type="spellStart"/>
      <w:r w:rsidRPr="00990840">
        <w:rPr>
          <w:rFonts w:ascii="Book Antiqua" w:hAnsi="Book Antiqua"/>
        </w:rPr>
        <w:t>Hochner-Celnikier</w:t>
      </w:r>
      <w:proofErr w:type="spellEnd"/>
      <w:r w:rsidRPr="00990840">
        <w:rPr>
          <w:rFonts w:ascii="Book Antiqua" w:hAnsi="Book Antiqua"/>
        </w:rPr>
        <w:t xml:space="preserve"> D. Postpartum pubic separation associated with prolonged urinary retention following spontaneous delivery. </w:t>
      </w:r>
      <w:proofErr w:type="spellStart"/>
      <w:r w:rsidRPr="00990840">
        <w:rPr>
          <w:rFonts w:ascii="Book Antiqua" w:hAnsi="Book Antiqua"/>
          <w:i/>
          <w:iCs/>
        </w:rPr>
        <w:t>Acta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Scand</w:t>
      </w:r>
      <w:proofErr w:type="spellEnd"/>
      <w:r w:rsidRPr="00990840">
        <w:rPr>
          <w:rFonts w:ascii="Book Antiqua" w:hAnsi="Book Antiqua"/>
        </w:rPr>
        <w:t xml:space="preserve"> 2006; </w:t>
      </w:r>
      <w:r w:rsidRPr="00990840">
        <w:rPr>
          <w:rFonts w:ascii="Book Antiqua" w:hAnsi="Book Antiqua"/>
          <w:b/>
          <w:bCs/>
        </w:rPr>
        <w:t>85</w:t>
      </w:r>
      <w:r w:rsidRPr="00990840">
        <w:rPr>
          <w:rFonts w:ascii="Book Antiqua" w:hAnsi="Book Antiqua"/>
        </w:rPr>
        <w:t>: 1267-1269 [PMID: 17068689 DOI: 10.1080/00016340600608501]</w:t>
      </w:r>
    </w:p>
    <w:p w14:paraId="1BD04589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13 </w:t>
      </w:r>
      <w:proofErr w:type="spellStart"/>
      <w:r w:rsidRPr="00990840">
        <w:rPr>
          <w:rFonts w:ascii="Book Antiqua" w:hAnsi="Book Antiqua"/>
          <w:b/>
          <w:bCs/>
        </w:rPr>
        <w:t>Svelato</w:t>
      </w:r>
      <w:proofErr w:type="spellEnd"/>
      <w:r w:rsidRPr="00990840">
        <w:rPr>
          <w:rFonts w:ascii="Book Antiqua" w:hAnsi="Book Antiqua"/>
          <w:b/>
          <w:bCs/>
        </w:rPr>
        <w:t xml:space="preserve"> A</w:t>
      </w:r>
      <w:r w:rsidRPr="00990840">
        <w:rPr>
          <w:rFonts w:ascii="Book Antiqua" w:hAnsi="Book Antiqua"/>
        </w:rPr>
        <w:t xml:space="preserve">, Ragusa A, </w:t>
      </w:r>
      <w:proofErr w:type="spellStart"/>
      <w:r w:rsidRPr="00990840">
        <w:rPr>
          <w:rFonts w:ascii="Book Antiqua" w:hAnsi="Book Antiqua"/>
        </w:rPr>
        <w:t>Perino</w:t>
      </w:r>
      <w:proofErr w:type="spellEnd"/>
      <w:r w:rsidRPr="00990840">
        <w:rPr>
          <w:rFonts w:ascii="Book Antiqua" w:hAnsi="Book Antiqua"/>
        </w:rPr>
        <w:t xml:space="preserve"> A, </w:t>
      </w:r>
      <w:proofErr w:type="spellStart"/>
      <w:r w:rsidRPr="00990840">
        <w:rPr>
          <w:rFonts w:ascii="Book Antiqua" w:hAnsi="Book Antiqua"/>
        </w:rPr>
        <w:t>Meroni</w:t>
      </w:r>
      <w:proofErr w:type="spellEnd"/>
      <w:r w:rsidRPr="00990840">
        <w:rPr>
          <w:rFonts w:ascii="Book Antiqua" w:hAnsi="Book Antiqua"/>
        </w:rPr>
        <w:t xml:space="preserve"> MG. Is x-ray compulsory in pubic symphysis diastasis diagnosis? </w:t>
      </w:r>
      <w:proofErr w:type="spellStart"/>
      <w:r w:rsidRPr="00990840">
        <w:rPr>
          <w:rFonts w:ascii="Book Antiqua" w:hAnsi="Book Antiqua"/>
          <w:i/>
          <w:iCs/>
        </w:rPr>
        <w:t>Acta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Scand</w:t>
      </w:r>
      <w:proofErr w:type="spellEnd"/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93</w:t>
      </w:r>
      <w:r w:rsidRPr="00990840">
        <w:rPr>
          <w:rFonts w:ascii="Book Antiqua" w:hAnsi="Book Antiqua"/>
        </w:rPr>
        <w:t>: 219 [PMID: 24576154 DOI: 10.1111/aogs.12275]</w:t>
      </w:r>
    </w:p>
    <w:p w14:paraId="20085829" w14:textId="20A7E609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14 </w:t>
      </w:r>
      <w:proofErr w:type="spellStart"/>
      <w:r w:rsidRPr="00990840">
        <w:rPr>
          <w:rFonts w:ascii="Book Antiqua" w:hAnsi="Book Antiqua"/>
          <w:b/>
          <w:bCs/>
        </w:rPr>
        <w:t>H</w:t>
      </w:r>
      <w:r w:rsidR="007D6959" w:rsidRPr="00990840">
        <w:rPr>
          <w:rFonts w:ascii="Book Antiqua" w:hAnsi="Book Antiqua"/>
          <w:b/>
          <w:bCs/>
        </w:rPr>
        <w:t>isaw</w:t>
      </w:r>
      <w:proofErr w:type="spellEnd"/>
      <w:r w:rsidRPr="00990840">
        <w:rPr>
          <w:rFonts w:ascii="Book Antiqua" w:hAnsi="Book Antiqua"/>
          <w:b/>
          <w:bCs/>
        </w:rPr>
        <w:t xml:space="preserve"> FL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Z</w:t>
      </w:r>
      <w:r w:rsidR="007D6959" w:rsidRPr="00990840">
        <w:rPr>
          <w:rFonts w:ascii="Book Antiqua" w:hAnsi="Book Antiqua"/>
        </w:rPr>
        <w:t>arrow</w:t>
      </w:r>
      <w:proofErr w:type="spellEnd"/>
      <w:r w:rsidRPr="00990840">
        <w:rPr>
          <w:rFonts w:ascii="Book Antiqua" w:hAnsi="Book Antiqua"/>
        </w:rPr>
        <w:t xml:space="preserve"> MX. The physiology of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. </w:t>
      </w:r>
      <w:proofErr w:type="spellStart"/>
      <w:r w:rsidRPr="00990840">
        <w:rPr>
          <w:rFonts w:ascii="Book Antiqua" w:hAnsi="Book Antiqua"/>
          <w:i/>
          <w:iCs/>
        </w:rPr>
        <w:t>Vitam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Horm</w:t>
      </w:r>
      <w:proofErr w:type="spellEnd"/>
      <w:r w:rsidRPr="00990840">
        <w:rPr>
          <w:rFonts w:ascii="Book Antiqua" w:hAnsi="Book Antiqua"/>
        </w:rPr>
        <w:t xml:space="preserve"> 1950; </w:t>
      </w:r>
      <w:r w:rsidRPr="00990840">
        <w:rPr>
          <w:rFonts w:ascii="Book Antiqua" w:hAnsi="Book Antiqua"/>
          <w:b/>
          <w:bCs/>
        </w:rPr>
        <w:t>8</w:t>
      </w:r>
      <w:r w:rsidRPr="00990840">
        <w:rPr>
          <w:rFonts w:ascii="Book Antiqua" w:hAnsi="Book Antiqua"/>
        </w:rPr>
        <w:t>: 151-178 [PMID: 14856016 DOI: 10.1016/s0083-6729(08)60670-6]</w:t>
      </w:r>
    </w:p>
    <w:p w14:paraId="7B2AE9FE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15 </w:t>
      </w:r>
      <w:proofErr w:type="spellStart"/>
      <w:r w:rsidRPr="00990840">
        <w:rPr>
          <w:rFonts w:ascii="Book Antiqua" w:hAnsi="Book Antiqua"/>
          <w:b/>
          <w:bCs/>
        </w:rPr>
        <w:t>Fevold</w:t>
      </w:r>
      <w:proofErr w:type="spellEnd"/>
      <w:r w:rsidRPr="00990840">
        <w:rPr>
          <w:rFonts w:ascii="Book Antiqua" w:hAnsi="Book Antiqua"/>
          <w:b/>
          <w:bCs/>
        </w:rPr>
        <w:t xml:space="preserve"> HL</w:t>
      </w:r>
      <w:r w:rsidRPr="00ED3EB8">
        <w:rPr>
          <w:rFonts w:ascii="Book Antiqua" w:hAnsi="Book Antiqua"/>
        </w:rPr>
        <w:t>,</w:t>
      </w:r>
      <w:r w:rsidRPr="00990840">
        <w:rPr>
          <w:rFonts w:ascii="Book Antiqua" w:hAnsi="Book Antiqua"/>
        </w:rPr>
        <w:t xml:space="preserve"> </w:t>
      </w:r>
      <w:proofErr w:type="spellStart"/>
      <w:r w:rsidRPr="00990840">
        <w:rPr>
          <w:rFonts w:ascii="Book Antiqua" w:hAnsi="Book Antiqua"/>
        </w:rPr>
        <w:t>Hisaw</w:t>
      </w:r>
      <w:proofErr w:type="spellEnd"/>
      <w:r w:rsidRPr="00990840">
        <w:rPr>
          <w:rFonts w:ascii="Book Antiqua" w:hAnsi="Book Antiqua"/>
        </w:rPr>
        <w:t xml:space="preserve"> FL, Meyer RK. The </w:t>
      </w:r>
      <w:proofErr w:type="spellStart"/>
      <w:r w:rsidRPr="00990840">
        <w:rPr>
          <w:rFonts w:ascii="Book Antiqua" w:hAnsi="Book Antiqua"/>
        </w:rPr>
        <w:t>relaxative</w:t>
      </w:r>
      <w:proofErr w:type="spellEnd"/>
      <w:r w:rsidRPr="00990840">
        <w:rPr>
          <w:rFonts w:ascii="Book Antiqua" w:hAnsi="Book Antiqua"/>
        </w:rPr>
        <w:t xml:space="preserve"> hormone of the corpus luteum: its purification and concentration. </w:t>
      </w:r>
      <w:r w:rsidRPr="00ED3EB8">
        <w:rPr>
          <w:rFonts w:ascii="Book Antiqua" w:hAnsi="Book Antiqua"/>
          <w:i/>
          <w:iCs/>
        </w:rPr>
        <w:t>J Am Chem Soc</w:t>
      </w:r>
      <w:r w:rsidRPr="00990840">
        <w:rPr>
          <w:rFonts w:ascii="Book Antiqua" w:hAnsi="Book Antiqua"/>
        </w:rPr>
        <w:t xml:space="preserve"> 2002; </w:t>
      </w:r>
      <w:r w:rsidRPr="00ED3EB8">
        <w:rPr>
          <w:rFonts w:ascii="Book Antiqua" w:hAnsi="Book Antiqua"/>
          <w:b/>
          <w:bCs/>
        </w:rPr>
        <w:t>52</w:t>
      </w:r>
      <w:r w:rsidRPr="00990840">
        <w:rPr>
          <w:rFonts w:ascii="Book Antiqua" w:hAnsi="Book Antiqua"/>
        </w:rPr>
        <w:t>: 3340-3348 [DOI: 10.1021/ja01371a051]</w:t>
      </w:r>
    </w:p>
    <w:p w14:paraId="385FB1F4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16 </w:t>
      </w:r>
      <w:proofErr w:type="spellStart"/>
      <w:r w:rsidRPr="00990840">
        <w:rPr>
          <w:rFonts w:ascii="Book Antiqua" w:hAnsi="Book Antiqua"/>
          <w:b/>
          <w:bCs/>
        </w:rPr>
        <w:t>Cernaro</w:t>
      </w:r>
      <w:proofErr w:type="spellEnd"/>
      <w:r w:rsidRPr="00990840">
        <w:rPr>
          <w:rFonts w:ascii="Book Antiqua" w:hAnsi="Book Antiqua"/>
          <w:b/>
          <w:bCs/>
        </w:rPr>
        <w:t xml:space="preserve"> V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Lacquaniti</w:t>
      </w:r>
      <w:proofErr w:type="spellEnd"/>
      <w:r w:rsidRPr="00990840">
        <w:rPr>
          <w:rFonts w:ascii="Book Antiqua" w:hAnsi="Book Antiqua"/>
        </w:rPr>
        <w:t xml:space="preserve"> A, Lupica R, </w:t>
      </w:r>
      <w:proofErr w:type="spellStart"/>
      <w:r w:rsidRPr="00990840">
        <w:rPr>
          <w:rFonts w:ascii="Book Antiqua" w:hAnsi="Book Antiqua"/>
        </w:rPr>
        <w:t>Buemi</w:t>
      </w:r>
      <w:proofErr w:type="spellEnd"/>
      <w:r w:rsidRPr="00990840">
        <w:rPr>
          <w:rFonts w:ascii="Book Antiqua" w:hAnsi="Book Antiqua"/>
        </w:rPr>
        <w:t xml:space="preserve"> A, </w:t>
      </w:r>
      <w:proofErr w:type="spellStart"/>
      <w:r w:rsidRPr="00990840">
        <w:rPr>
          <w:rFonts w:ascii="Book Antiqua" w:hAnsi="Book Antiqua"/>
        </w:rPr>
        <w:t>Trimboli</w:t>
      </w:r>
      <w:proofErr w:type="spellEnd"/>
      <w:r w:rsidRPr="00990840">
        <w:rPr>
          <w:rFonts w:ascii="Book Antiqua" w:hAnsi="Book Antiqua"/>
        </w:rPr>
        <w:t xml:space="preserve"> D, </w:t>
      </w:r>
      <w:proofErr w:type="spellStart"/>
      <w:r w:rsidRPr="00990840">
        <w:rPr>
          <w:rFonts w:ascii="Book Antiqua" w:hAnsi="Book Antiqua"/>
        </w:rPr>
        <w:t>Giorgianni</w:t>
      </w:r>
      <w:proofErr w:type="spellEnd"/>
      <w:r w:rsidRPr="00990840">
        <w:rPr>
          <w:rFonts w:ascii="Book Antiqua" w:hAnsi="Book Antiqua"/>
        </w:rPr>
        <w:t xml:space="preserve"> G, </w:t>
      </w:r>
      <w:proofErr w:type="spellStart"/>
      <w:r w:rsidRPr="00990840">
        <w:rPr>
          <w:rFonts w:ascii="Book Antiqua" w:hAnsi="Book Antiqua"/>
        </w:rPr>
        <w:t>Bolignano</w:t>
      </w:r>
      <w:proofErr w:type="spellEnd"/>
      <w:r w:rsidRPr="00990840">
        <w:rPr>
          <w:rFonts w:ascii="Book Antiqua" w:hAnsi="Book Antiqua"/>
        </w:rPr>
        <w:t xml:space="preserve"> D, </w:t>
      </w:r>
      <w:proofErr w:type="spellStart"/>
      <w:r w:rsidRPr="00990840">
        <w:rPr>
          <w:rFonts w:ascii="Book Antiqua" w:hAnsi="Book Antiqua"/>
        </w:rPr>
        <w:t>Buemi</w:t>
      </w:r>
      <w:proofErr w:type="spellEnd"/>
      <w:r w:rsidRPr="00990840">
        <w:rPr>
          <w:rFonts w:ascii="Book Antiqua" w:hAnsi="Book Antiqua"/>
        </w:rPr>
        <w:t xml:space="preserve"> M.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: new pathophysiological aspects and pharmacological perspectives for an old protein. </w:t>
      </w:r>
      <w:r w:rsidRPr="00990840">
        <w:rPr>
          <w:rFonts w:ascii="Book Antiqua" w:hAnsi="Book Antiqua"/>
          <w:i/>
          <w:iCs/>
        </w:rPr>
        <w:t>Med Res Rev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34</w:t>
      </w:r>
      <w:r w:rsidRPr="00990840">
        <w:rPr>
          <w:rFonts w:ascii="Book Antiqua" w:hAnsi="Book Antiqua"/>
        </w:rPr>
        <w:t>: 77-105 [PMID: 23401142 DOI: 10.1002/med.21277]</w:t>
      </w:r>
    </w:p>
    <w:p w14:paraId="4A3AC11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lastRenderedPageBreak/>
        <w:t xml:space="preserve">17 </w:t>
      </w:r>
      <w:proofErr w:type="spellStart"/>
      <w:r w:rsidRPr="00990840">
        <w:rPr>
          <w:rFonts w:ascii="Book Antiqua" w:hAnsi="Book Antiqua"/>
          <w:b/>
          <w:bCs/>
        </w:rPr>
        <w:t>Anand-Ivell</w:t>
      </w:r>
      <w:proofErr w:type="spellEnd"/>
      <w:r w:rsidRPr="00990840">
        <w:rPr>
          <w:rFonts w:ascii="Book Antiqua" w:hAnsi="Book Antiqua"/>
          <w:b/>
          <w:bCs/>
        </w:rPr>
        <w:t xml:space="preserve"> R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Ivell</w:t>
      </w:r>
      <w:proofErr w:type="spellEnd"/>
      <w:r w:rsidRPr="00990840">
        <w:rPr>
          <w:rFonts w:ascii="Book Antiqua" w:hAnsi="Book Antiqua"/>
        </w:rPr>
        <w:t xml:space="preserve"> R. Regulation of the reproductive cycle and early pregnancy by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family peptides. </w:t>
      </w:r>
      <w:r w:rsidRPr="00990840">
        <w:rPr>
          <w:rFonts w:ascii="Book Antiqua" w:hAnsi="Book Antiqua"/>
          <w:i/>
          <w:iCs/>
        </w:rPr>
        <w:t>Mol Cell Endocrinol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382</w:t>
      </w:r>
      <w:r w:rsidRPr="00990840">
        <w:rPr>
          <w:rFonts w:ascii="Book Antiqua" w:hAnsi="Book Antiqua"/>
        </w:rPr>
        <w:t>: 472-479 [PMID: 23994019 DOI: 10.1016/j.mce.2013.08.010]</w:t>
      </w:r>
    </w:p>
    <w:p w14:paraId="4B0DAAC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18 </w:t>
      </w:r>
      <w:r w:rsidRPr="00990840">
        <w:rPr>
          <w:rFonts w:ascii="Book Antiqua" w:hAnsi="Book Antiqua"/>
          <w:b/>
          <w:bCs/>
        </w:rPr>
        <w:t>Samuel CS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Lekgabe</w:t>
      </w:r>
      <w:proofErr w:type="spellEnd"/>
      <w:r w:rsidRPr="00990840">
        <w:rPr>
          <w:rFonts w:ascii="Book Antiqua" w:hAnsi="Book Antiqua"/>
        </w:rPr>
        <w:t xml:space="preserve"> ED, </w:t>
      </w:r>
      <w:proofErr w:type="spellStart"/>
      <w:r w:rsidRPr="00990840">
        <w:rPr>
          <w:rFonts w:ascii="Book Antiqua" w:hAnsi="Book Antiqua"/>
        </w:rPr>
        <w:t>Mookerjee</w:t>
      </w:r>
      <w:proofErr w:type="spellEnd"/>
      <w:r w:rsidRPr="00990840">
        <w:rPr>
          <w:rFonts w:ascii="Book Antiqua" w:hAnsi="Book Antiqua"/>
        </w:rPr>
        <w:t xml:space="preserve"> I. The effects of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on extracellular matrix remodeling in health and fibrotic disease. </w:t>
      </w:r>
      <w:r w:rsidRPr="00990840">
        <w:rPr>
          <w:rFonts w:ascii="Book Antiqua" w:hAnsi="Book Antiqua"/>
          <w:i/>
          <w:iCs/>
        </w:rPr>
        <w:t>Adv Exp Med Biol</w:t>
      </w:r>
      <w:r w:rsidRPr="00990840">
        <w:rPr>
          <w:rFonts w:ascii="Book Antiqua" w:hAnsi="Book Antiqua"/>
        </w:rPr>
        <w:t xml:space="preserve"> 2007; </w:t>
      </w:r>
      <w:r w:rsidRPr="00990840">
        <w:rPr>
          <w:rFonts w:ascii="Book Antiqua" w:hAnsi="Book Antiqua"/>
          <w:b/>
          <w:bCs/>
        </w:rPr>
        <w:t>612</w:t>
      </w:r>
      <w:r w:rsidRPr="00990840">
        <w:rPr>
          <w:rFonts w:ascii="Book Antiqua" w:hAnsi="Book Antiqua"/>
        </w:rPr>
        <w:t>: 88-103 [PMID: 18161483 DOI: 10.1007/978-0-387-74672-2_7]</w:t>
      </w:r>
    </w:p>
    <w:p w14:paraId="665E5D7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19 </w:t>
      </w:r>
      <w:proofErr w:type="spellStart"/>
      <w:r w:rsidRPr="00990840">
        <w:rPr>
          <w:rFonts w:ascii="Book Antiqua" w:hAnsi="Book Antiqua"/>
          <w:b/>
          <w:bCs/>
        </w:rPr>
        <w:t>Unemori</w:t>
      </w:r>
      <w:proofErr w:type="spellEnd"/>
      <w:r w:rsidRPr="00990840">
        <w:rPr>
          <w:rFonts w:ascii="Book Antiqua" w:hAnsi="Book Antiqua"/>
          <w:b/>
          <w:bCs/>
        </w:rPr>
        <w:t xml:space="preserve"> EN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Amento</w:t>
      </w:r>
      <w:proofErr w:type="spellEnd"/>
      <w:r w:rsidRPr="00990840">
        <w:rPr>
          <w:rFonts w:ascii="Book Antiqua" w:hAnsi="Book Antiqua"/>
        </w:rPr>
        <w:t xml:space="preserve"> EP.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modulates synthesis and secretion of </w:t>
      </w:r>
      <w:proofErr w:type="spellStart"/>
      <w:r w:rsidRPr="00990840">
        <w:rPr>
          <w:rFonts w:ascii="Book Antiqua" w:hAnsi="Book Antiqua"/>
        </w:rPr>
        <w:t>procollagenase</w:t>
      </w:r>
      <w:proofErr w:type="spellEnd"/>
      <w:r w:rsidRPr="00990840">
        <w:rPr>
          <w:rFonts w:ascii="Book Antiqua" w:hAnsi="Book Antiqua"/>
        </w:rPr>
        <w:t xml:space="preserve"> and collagen by human dermal fibroblasts. </w:t>
      </w:r>
      <w:r w:rsidRPr="00990840">
        <w:rPr>
          <w:rFonts w:ascii="Book Antiqua" w:hAnsi="Book Antiqua"/>
          <w:i/>
          <w:iCs/>
        </w:rPr>
        <w:t>J Biol Chem</w:t>
      </w:r>
      <w:r w:rsidRPr="00990840">
        <w:rPr>
          <w:rFonts w:ascii="Book Antiqua" w:hAnsi="Book Antiqua"/>
        </w:rPr>
        <w:t xml:space="preserve"> 1990; </w:t>
      </w:r>
      <w:r w:rsidRPr="00990840">
        <w:rPr>
          <w:rFonts w:ascii="Book Antiqua" w:hAnsi="Book Antiqua"/>
          <w:b/>
          <w:bCs/>
        </w:rPr>
        <w:t>265</w:t>
      </w:r>
      <w:r w:rsidRPr="00990840">
        <w:rPr>
          <w:rFonts w:ascii="Book Antiqua" w:hAnsi="Book Antiqua"/>
        </w:rPr>
        <w:t>: 10681-10685 [PMID: 2162358 DOI: 10.1016/0005-2728(90)90194-9]</w:t>
      </w:r>
    </w:p>
    <w:p w14:paraId="4D3402F5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20 </w:t>
      </w:r>
      <w:proofErr w:type="spellStart"/>
      <w:r w:rsidRPr="00990840">
        <w:rPr>
          <w:rFonts w:ascii="Book Antiqua" w:hAnsi="Book Antiqua"/>
          <w:b/>
          <w:bCs/>
        </w:rPr>
        <w:t>Mookerjee</w:t>
      </w:r>
      <w:proofErr w:type="spellEnd"/>
      <w:r w:rsidRPr="00990840">
        <w:rPr>
          <w:rFonts w:ascii="Book Antiqua" w:hAnsi="Book Antiqua"/>
          <w:b/>
          <w:bCs/>
        </w:rPr>
        <w:t xml:space="preserve"> I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Hewitson</w:t>
      </w:r>
      <w:proofErr w:type="spellEnd"/>
      <w:r w:rsidRPr="00990840">
        <w:rPr>
          <w:rFonts w:ascii="Book Antiqua" w:hAnsi="Book Antiqua"/>
        </w:rPr>
        <w:t xml:space="preserve"> TD, Halls ML, Summers RJ, Mathai ML, Bathgate RA, </w:t>
      </w:r>
      <w:proofErr w:type="spellStart"/>
      <w:r w:rsidRPr="00990840">
        <w:rPr>
          <w:rFonts w:ascii="Book Antiqua" w:hAnsi="Book Antiqua"/>
        </w:rPr>
        <w:t>Tregear</w:t>
      </w:r>
      <w:proofErr w:type="spellEnd"/>
      <w:r w:rsidRPr="00990840">
        <w:rPr>
          <w:rFonts w:ascii="Book Antiqua" w:hAnsi="Book Antiqua"/>
        </w:rPr>
        <w:t xml:space="preserve"> GW, Samuel CS.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inhibits renal </w:t>
      </w:r>
      <w:proofErr w:type="spellStart"/>
      <w:r w:rsidRPr="00990840">
        <w:rPr>
          <w:rFonts w:ascii="Book Antiqua" w:hAnsi="Book Antiqua"/>
        </w:rPr>
        <w:t>myofibroblast</w:t>
      </w:r>
      <w:proofErr w:type="spellEnd"/>
      <w:r w:rsidRPr="00990840">
        <w:rPr>
          <w:rFonts w:ascii="Book Antiqua" w:hAnsi="Book Antiqua"/>
        </w:rPr>
        <w:t xml:space="preserve"> differentiation via RXFP1, the nitric oxide pathway, and Smad2. </w:t>
      </w:r>
      <w:r w:rsidRPr="00990840">
        <w:rPr>
          <w:rFonts w:ascii="Book Antiqua" w:hAnsi="Book Antiqua"/>
          <w:i/>
          <w:iCs/>
        </w:rPr>
        <w:t>FASEB J</w:t>
      </w:r>
      <w:r w:rsidRPr="00990840">
        <w:rPr>
          <w:rFonts w:ascii="Book Antiqua" w:hAnsi="Book Antiqua"/>
        </w:rPr>
        <w:t xml:space="preserve"> 2009; </w:t>
      </w:r>
      <w:r w:rsidRPr="00990840">
        <w:rPr>
          <w:rFonts w:ascii="Book Antiqua" w:hAnsi="Book Antiqua"/>
          <w:b/>
          <w:bCs/>
        </w:rPr>
        <w:t>23</w:t>
      </w:r>
      <w:r w:rsidRPr="00990840">
        <w:rPr>
          <w:rFonts w:ascii="Book Antiqua" w:hAnsi="Book Antiqua"/>
        </w:rPr>
        <w:t>: 1219-1229 [PMID: 19073841 DOI: 10.1096/fj.08-120857]</w:t>
      </w:r>
    </w:p>
    <w:p w14:paraId="5F62465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21 </w:t>
      </w:r>
      <w:proofErr w:type="spellStart"/>
      <w:r w:rsidRPr="00990840">
        <w:rPr>
          <w:rFonts w:ascii="Book Antiqua" w:hAnsi="Book Antiqua"/>
          <w:b/>
          <w:bCs/>
        </w:rPr>
        <w:t>Konopka</w:t>
      </w:r>
      <w:proofErr w:type="spellEnd"/>
      <w:r w:rsidRPr="00990840">
        <w:rPr>
          <w:rFonts w:ascii="Book Antiqua" w:hAnsi="Book Antiqua"/>
          <w:b/>
          <w:bCs/>
        </w:rPr>
        <w:t xml:space="preserve"> JA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Hsue</w:t>
      </w:r>
      <w:proofErr w:type="spellEnd"/>
      <w:r w:rsidRPr="00990840">
        <w:rPr>
          <w:rFonts w:ascii="Book Antiqua" w:hAnsi="Book Antiqua"/>
        </w:rPr>
        <w:t xml:space="preserve"> LJ, </w:t>
      </w:r>
      <w:proofErr w:type="spellStart"/>
      <w:r w:rsidRPr="00990840">
        <w:rPr>
          <w:rFonts w:ascii="Book Antiqua" w:hAnsi="Book Antiqua"/>
        </w:rPr>
        <w:t>Dragoo</w:t>
      </w:r>
      <w:proofErr w:type="spellEnd"/>
      <w:r w:rsidRPr="00990840">
        <w:rPr>
          <w:rFonts w:ascii="Book Antiqua" w:hAnsi="Book Antiqua"/>
        </w:rPr>
        <w:t xml:space="preserve"> JL. Effect of Oral Contraceptives on Soft Tissue Injury Risk, Soft Tissue Laxity, and Muscle Strength: A Systematic Review of the Literature. </w:t>
      </w:r>
      <w:proofErr w:type="spellStart"/>
      <w:r w:rsidRPr="00990840">
        <w:rPr>
          <w:rFonts w:ascii="Book Antiqua" w:hAnsi="Book Antiqua"/>
          <w:i/>
          <w:iCs/>
        </w:rPr>
        <w:t>Orthop</w:t>
      </w:r>
      <w:proofErr w:type="spellEnd"/>
      <w:r w:rsidRPr="00990840">
        <w:rPr>
          <w:rFonts w:ascii="Book Antiqua" w:hAnsi="Book Antiqua"/>
          <w:i/>
          <w:iCs/>
        </w:rPr>
        <w:t xml:space="preserve"> J Sports Med</w:t>
      </w:r>
      <w:r w:rsidRPr="00990840">
        <w:rPr>
          <w:rFonts w:ascii="Book Antiqua" w:hAnsi="Book Antiqua"/>
        </w:rPr>
        <w:t xml:space="preserve"> 2019; </w:t>
      </w:r>
      <w:r w:rsidRPr="00990840">
        <w:rPr>
          <w:rFonts w:ascii="Book Antiqua" w:hAnsi="Book Antiqua"/>
          <w:b/>
          <w:bCs/>
        </w:rPr>
        <w:t>7</w:t>
      </w:r>
      <w:r w:rsidRPr="00990840">
        <w:rPr>
          <w:rFonts w:ascii="Book Antiqua" w:hAnsi="Book Antiqua"/>
        </w:rPr>
        <w:t>: 2325967119831061 [PMID: 30923726 DOI: 10.1177/2325967119831061]</w:t>
      </w:r>
    </w:p>
    <w:p w14:paraId="583199E6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22 </w:t>
      </w:r>
      <w:r w:rsidRPr="00990840">
        <w:rPr>
          <w:rFonts w:ascii="Book Antiqua" w:hAnsi="Book Antiqua"/>
          <w:b/>
          <w:bCs/>
        </w:rPr>
        <w:t>Xu T</w:t>
      </w:r>
      <w:r w:rsidRPr="00990840">
        <w:rPr>
          <w:rFonts w:ascii="Book Antiqua" w:hAnsi="Book Antiqua"/>
        </w:rPr>
        <w:t xml:space="preserve">, Bai J, Xu M, Yu B, Lin J, Guo X, Liu Y, Zhang D, Yan K, Hu D, </w:t>
      </w:r>
      <w:proofErr w:type="spellStart"/>
      <w:r w:rsidRPr="00990840">
        <w:rPr>
          <w:rFonts w:ascii="Book Antiqua" w:hAnsi="Book Antiqua"/>
        </w:rPr>
        <w:t>Hao</w:t>
      </w:r>
      <w:proofErr w:type="spellEnd"/>
      <w:r w:rsidRPr="00990840">
        <w:rPr>
          <w:rFonts w:ascii="Book Antiqua" w:hAnsi="Book Antiqua"/>
        </w:rPr>
        <w:t xml:space="preserve"> Y, </w:t>
      </w:r>
      <w:proofErr w:type="spellStart"/>
      <w:r w:rsidRPr="00990840">
        <w:rPr>
          <w:rFonts w:ascii="Book Antiqua" w:hAnsi="Book Antiqua"/>
        </w:rPr>
        <w:t>Geng</w:t>
      </w:r>
      <w:proofErr w:type="spellEnd"/>
      <w:r w:rsidRPr="00990840">
        <w:rPr>
          <w:rFonts w:ascii="Book Antiqua" w:hAnsi="Book Antiqua"/>
        </w:rPr>
        <w:t xml:space="preserve"> D.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inhibits patellar tendon healing in rats: a histological and biochemical evaluation. </w:t>
      </w:r>
      <w:r w:rsidRPr="00990840">
        <w:rPr>
          <w:rFonts w:ascii="Book Antiqua" w:hAnsi="Book Antiqua"/>
          <w:i/>
          <w:iCs/>
        </w:rPr>
        <w:t xml:space="preserve">BMC </w:t>
      </w:r>
      <w:proofErr w:type="spellStart"/>
      <w:r w:rsidRPr="00990840">
        <w:rPr>
          <w:rFonts w:ascii="Book Antiqua" w:hAnsi="Book Antiqua"/>
          <w:i/>
          <w:iCs/>
        </w:rPr>
        <w:t>Musculoskelet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Disord</w:t>
      </w:r>
      <w:proofErr w:type="spellEnd"/>
      <w:r w:rsidRPr="00990840">
        <w:rPr>
          <w:rFonts w:ascii="Book Antiqua" w:hAnsi="Book Antiqua"/>
        </w:rPr>
        <w:t xml:space="preserve"> 2019; </w:t>
      </w:r>
      <w:r w:rsidRPr="00990840">
        <w:rPr>
          <w:rFonts w:ascii="Book Antiqua" w:hAnsi="Book Antiqua"/>
          <w:b/>
          <w:bCs/>
        </w:rPr>
        <w:t>20</w:t>
      </w:r>
      <w:r w:rsidRPr="00990840">
        <w:rPr>
          <w:rFonts w:ascii="Book Antiqua" w:hAnsi="Book Antiqua"/>
        </w:rPr>
        <w:t>: 349 [PMID: 31351472 DOI: 10.1186/s12891-019-2729-3]</w:t>
      </w:r>
    </w:p>
    <w:p w14:paraId="01E9F70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23 </w:t>
      </w:r>
      <w:r w:rsidRPr="00990840">
        <w:rPr>
          <w:rFonts w:ascii="Book Antiqua" w:hAnsi="Book Antiqua"/>
          <w:b/>
          <w:bCs/>
        </w:rPr>
        <w:t>Chawla JJ</w:t>
      </w:r>
      <w:r w:rsidRPr="00990840">
        <w:rPr>
          <w:rFonts w:ascii="Book Antiqua" w:hAnsi="Book Antiqua"/>
        </w:rPr>
        <w:t xml:space="preserve">, Arora D, Sandhu N, Jain M, Kumari A. Pubic Symphysis Diastasis: A Case Series and Literature Review. </w:t>
      </w:r>
      <w:r w:rsidRPr="00990840">
        <w:rPr>
          <w:rFonts w:ascii="Book Antiqua" w:hAnsi="Book Antiqua"/>
          <w:i/>
          <w:iCs/>
        </w:rPr>
        <w:t>Oman Med J</w:t>
      </w:r>
      <w:r w:rsidRPr="00990840">
        <w:rPr>
          <w:rFonts w:ascii="Book Antiqua" w:hAnsi="Book Antiqua"/>
        </w:rPr>
        <w:t xml:space="preserve"> 2017; </w:t>
      </w:r>
      <w:r w:rsidRPr="00990840">
        <w:rPr>
          <w:rFonts w:ascii="Book Antiqua" w:hAnsi="Book Antiqua"/>
          <w:b/>
          <w:bCs/>
        </w:rPr>
        <w:t>32</w:t>
      </w:r>
      <w:r w:rsidRPr="00990840">
        <w:rPr>
          <w:rFonts w:ascii="Book Antiqua" w:hAnsi="Book Antiqua"/>
        </w:rPr>
        <w:t>: 510-514 [PMID: 29218129 DOI: 10.5001/omj.2017.97]</w:t>
      </w:r>
    </w:p>
    <w:p w14:paraId="07B6A5A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24 </w:t>
      </w:r>
      <w:proofErr w:type="spellStart"/>
      <w:r w:rsidRPr="00990840">
        <w:rPr>
          <w:rFonts w:ascii="Book Antiqua" w:hAnsi="Book Antiqua"/>
          <w:b/>
          <w:bCs/>
        </w:rPr>
        <w:t>Bahlmann</w:t>
      </w:r>
      <w:proofErr w:type="spellEnd"/>
      <w:r w:rsidRPr="00990840">
        <w:rPr>
          <w:rFonts w:ascii="Book Antiqua" w:hAnsi="Book Antiqua"/>
          <w:b/>
          <w:bCs/>
        </w:rPr>
        <w:t xml:space="preserve"> F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Merz</w:t>
      </w:r>
      <w:proofErr w:type="spellEnd"/>
      <w:r w:rsidRPr="00990840">
        <w:rPr>
          <w:rFonts w:ascii="Book Antiqua" w:hAnsi="Book Antiqua"/>
        </w:rPr>
        <w:t xml:space="preserve"> E, </w:t>
      </w:r>
      <w:proofErr w:type="spellStart"/>
      <w:r w:rsidRPr="00990840">
        <w:rPr>
          <w:rFonts w:ascii="Book Antiqua" w:hAnsi="Book Antiqua"/>
        </w:rPr>
        <w:t>Macchiella</w:t>
      </w:r>
      <w:proofErr w:type="spellEnd"/>
      <w:r w:rsidRPr="00990840">
        <w:rPr>
          <w:rFonts w:ascii="Book Antiqua" w:hAnsi="Book Antiqua"/>
        </w:rPr>
        <w:t xml:space="preserve"> D, Weber G. [Ultrasound imaging of the symphysis fissure for evaluating damage to the symphysis in pregnancy and postpartum]. </w:t>
      </w:r>
      <w:r w:rsidRPr="00990840">
        <w:rPr>
          <w:rFonts w:ascii="Book Antiqua" w:hAnsi="Book Antiqua"/>
          <w:i/>
          <w:iCs/>
        </w:rPr>
        <w:t xml:space="preserve">Z </w:t>
      </w:r>
      <w:proofErr w:type="spellStart"/>
      <w:r w:rsidRPr="00990840">
        <w:rPr>
          <w:rFonts w:ascii="Book Antiqua" w:hAnsi="Book Antiqua"/>
          <w:i/>
          <w:iCs/>
        </w:rPr>
        <w:t>Geburtshilfe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Perinatol</w:t>
      </w:r>
      <w:proofErr w:type="spellEnd"/>
      <w:r w:rsidRPr="00990840">
        <w:rPr>
          <w:rFonts w:ascii="Book Antiqua" w:hAnsi="Book Antiqua"/>
        </w:rPr>
        <w:t xml:space="preserve"> 1993; </w:t>
      </w:r>
      <w:r w:rsidRPr="00990840">
        <w:rPr>
          <w:rFonts w:ascii="Book Antiqua" w:hAnsi="Book Antiqua"/>
          <w:b/>
          <w:bCs/>
        </w:rPr>
        <w:t>197</w:t>
      </w:r>
      <w:r w:rsidRPr="00990840">
        <w:rPr>
          <w:rFonts w:ascii="Book Antiqua" w:hAnsi="Book Antiqua"/>
        </w:rPr>
        <w:t>: 27-30 [PMID: 8484275]</w:t>
      </w:r>
    </w:p>
    <w:p w14:paraId="5669AE4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  <w:sectPr w:rsidR="00A77B3E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0077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3BAECF" w14:textId="2D7B3392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protocol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B1E54">
        <w:rPr>
          <w:rFonts w:ascii="Book Antiqua" w:eastAsia="Book Antiqua" w:hAnsi="Book Antiqua" w:cs="Book Antiqua"/>
          <w:color w:val="000000"/>
        </w:rPr>
        <w:t xml:space="preserve">reviewed and </w:t>
      </w:r>
      <w:r w:rsidRPr="000F7FAC">
        <w:rPr>
          <w:rFonts w:ascii="Book Antiqua" w:eastAsia="Book Antiqua" w:hAnsi="Book Antiqua" w:cs="Book Antiqua"/>
          <w:color w:val="000000"/>
        </w:rPr>
        <w:t>approved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Ethics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Committee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B1E54">
        <w:rPr>
          <w:rFonts w:ascii="Book Antiqua" w:eastAsia="Book Antiqua" w:hAnsi="Book Antiqua" w:cs="Book Antiqua"/>
          <w:color w:val="000000"/>
        </w:rPr>
        <w:t xml:space="preserve">City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Hospital.</w:t>
      </w:r>
    </w:p>
    <w:p w14:paraId="08AE0CBA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182AE0AA" w14:textId="116CAFB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their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legal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guardians,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written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enrollment.</w:t>
      </w:r>
    </w:p>
    <w:p w14:paraId="3FF989DD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632AAE49" w14:textId="0B95AEA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conflicts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report.</w:t>
      </w:r>
    </w:p>
    <w:p w14:paraId="776D1FE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06DC4A6" w14:textId="44A0132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available.</w:t>
      </w:r>
    </w:p>
    <w:p w14:paraId="7E1DE52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9BF3632" w14:textId="29C9F006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20AA" w:rsidRPr="003C20AA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4309F257" w14:textId="77777777" w:rsidR="003C20AA" w:rsidRPr="000F7FAC" w:rsidRDefault="003C20AA" w:rsidP="000F7FAC">
      <w:pPr>
        <w:spacing w:line="360" w:lineRule="auto"/>
        <w:jc w:val="both"/>
        <w:rPr>
          <w:rFonts w:ascii="Book Antiqua" w:hAnsi="Book Antiqua"/>
        </w:rPr>
      </w:pPr>
    </w:p>
    <w:p w14:paraId="278EF1BC" w14:textId="7E9667B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open-access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in-house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editor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peer-reviewed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reviewers.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accordance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Creative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Attribution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BY-NC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4.0)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license,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permits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remix,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adapt,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build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upon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non-commercially,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license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their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derivative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terms,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original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properly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non-commercial.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See: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1DC7D68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2C3DCE3" w14:textId="7EC8BBC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source: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Unsolicited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m</w:t>
      </w:r>
      <w:r w:rsidRPr="000F7FAC">
        <w:rPr>
          <w:rFonts w:ascii="Book Antiqua" w:eastAsia="Book Antiqua" w:hAnsi="Book Antiqua" w:cs="Book Antiqua"/>
          <w:color w:val="000000"/>
        </w:rPr>
        <w:t>anuscript</w:t>
      </w:r>
    </w:p>
    <w:p w14:paraId="5EFDF60F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FD5988E" w14:textId="45839BF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Peer-review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started: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C06E66" w:rsidRPr="000F7FAC">
        <w:rPr>
          <w:rFonts w:ascii="Book Antiqua" w:eastAsia="Book Antiqua" w:hAnsi="Book Antiqua" w:cs="Book Antiqua"/>
          <w:color w:val="000000"/>
        </w:rPr>
        <w:t>5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04A6A22" w14:textId="559B071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First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decision: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September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13,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1D67F6E" w14:textId="4BD284E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Article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in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press: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2F1" w:rsidRPr="002942F1">
        <w:rPr>
          <w:rFonts w:ascii="Book Antiqua" w:eastAsia="Book Antiqua" w:hAnsi="Book Antiqua" w:cs="Book Antiqua"/>
          <w:color w:val="000000"/>
        </w:rPr>
        <w:t>November 13, 2020</w:t>
      </w:r>
    </w:p>
    <w:p w14:paraId="2CE37A1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DCEFFF3" w14:textId="5E564B5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type: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Medicine,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research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and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experimental</w:t>
      </w:r>
    </w:p>
    <w:p w14:paraId="793DC6F8" w14:textId="3875969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Country/Territory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origin: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5207130D" w14:textId="5F69A69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Peer-review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report’s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scientific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quality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72B668" w14:textId="4FCD4F41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(Excellent):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6FCCA811" w14:textId="05EEB9D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good):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195890C9" w14:textId="7F24D9C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(Good):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</w:t>
      </w:r>
    </w:p>
    <w:p w14:paraId="75B72531" w14:textId="53DF84E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(Fair):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0E1AAF28" w14:textId="4FAC3C6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(Poor):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30BE49C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09876D2" w14:textId="47DE820A" w:rsidR="001A1FC5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P-Reviewer: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Carolis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L-Editor: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12570A">
        <w:rPr>
          <w:rFonts w:ascii="Book Antiqua" w:eastAsia="Book Antiqua" w:hAnsi="Book Antiqua" w:cs="Book Antiqua"/>
          <w:color w:val="000000"/>
        </w:rPr>
        <w:t xml:space="preserve">Webster JR </w:t>
      </w:r>
      <w:r w:rsidRPr="000F7FAC">
        <w:rPr>
          <w:rFonts w:ascii="Book Antiqua" w:eastAsia="Book Antiqua" w:hAnsi="Book Antiqua" w:cs="Book Antiqua"/>
          <w:b/>
          <w:color w:val="000000"/>
        </w:rPr>
        <w:t>P-Editor: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2F1" w:rsidRPr="002942F1">
        <w:rPr>
          <w:rFonts w:ascii="Book Antiqua" w:eastAsia="Book Antiqua" w:hAnsi="Book Antiqua" w:cs="Book Antiqua"/>
          <w:color w:val="000000"/>
        </w:rPr>
        <w:t>Xing YX</w:t>
      </w:r>
    </w:p>
    <w:p w14:paraId="6BC26242" w14:textId="77777777" w:rsidR="00687749" w:rsidRPr="000F7FAC" w:rsidRDefault="00687749" w:rsidP="000F7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87749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87BE0" w14:textId="228D62C5" w:rsidR="001A1FC5" w:rsidRPr="000F7FAC" w:rsidRDefault="001A1FC5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lastRenderedPageBreak/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450E16" w:rsidRPr="000F7FAC">
        <w:rPr>
          <w:rFonts w:ascii="Book Antiqua" w:hAnsi="Book Antiqua"/>
          <w:b/>
          <w:bCs/>
          <w:lang w:eastAsia="zh-CN"/>
        </w:rPr>
        <w:t>L</w:t>
      </w:r>
      <w:r w:rsidRPr="000F7FAC">
        <w:rPr>
          <w:rFonts w:ascii="Book Antiqua" w:hAnsi="Book Antiqua"/>
          <w:b/>
          <w:bCs/>
          <w:lang w:eastAsia="zh-CN"/>
        </w:rPr>
        <w:t>egends</w:t>
      </w:r>
    </w:p>
    <w:p w14:paraId="492E3CB2" w14:textId="7AE9E5CF" w:rsidR="008A7460" w:rsidRPr="008A7460" w:rsidRDefault="008A7460" w:rsidP="008A7460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A7460">
        <w:rPr>
          <w:rFonts w:ascii="Book Antiqua" w:eastAsia="宋体" w:hAnsi="Book Antiqua"/>
          <w:noProof/>
          <w:lang w:eastAsia="zh-CN"/>
        </w:rPr>
        <w:drawing>
          <wp:inline distT="0" distB="0" distL="0" distR="0" wp14:anchorId="24CF8BAD" wp14:editId="2CACC40D">
            <wp:extent cx="5943600" cy="3294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939E" w14:textId="4514F312" w:rsidR="00947EBC" w:rsidRPr="000F7FAC" w:rsidRDefault="00950D94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1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Changes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in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0F7FAC">
        <w:rPr>
          <w:rFonts w:ascii="Book Antiqua" w:hAnsi="Book Antiqua"/>
          <w:b/>
          <w:bCs/>
          <w:lang w:eastAsia="zh-CN"/>
        </w:rPr>
        <w:t>relaxin</w:t>
      </w:r>
      <w:proofErr w:type="spellEnd"/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levels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in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5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patients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with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pubic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symphysis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separation.</w:t>
      </w:r>
    </w:p>
    <w:p w14:paraId="0B2892F8" w14:textId="423D4C92" w:rsidR="00950D94" w:rsidRPr="000F7FAC" w:rsidRDefault="00E538C9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50D94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b/>
          <w:bCs/>
          <w:lang w:eastAsia="zh-CN"/>
        </w:rPr>
        <w:t xml:space="preserve"> </w:t>
      </w:r>
    </w:p>
    <w:p w14:paraId="00E17F5E" w14:textId="2237B68A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7F4BA14" wp14:editId="72934989">
            <wp:extent cx="4512468" cy="3294539"/>
            <wp:effectExtent l="0" t="0" r="2540" b="1270"/>
            <wp:docPr id="4" name="Picture 2" descr="截图2020042310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截图202004231034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2468" cy="32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628A8C" w14:textId="6726636B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2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Pre-reduction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9E348F">
        <w:rPr>
          <w:rFonts w:ascii="Book Antiqua" w:hAnsi="Book Antiqua"/>
          <w:b/>
          <w:bCs/>
          <w:lang w:eastAsia="zh-CN"/>
        </w:rPr>
        <w:t xml:space="preserve">X-ray </w:t>
      </w:r>
      <w:r w:rsidR="001B3029">
        <w:rPr>
          <w:rFonts w:ascii="Book Antiqua" w:hAnsi="Book Antiqua"/>
          <w:b/>
          <w:bCs/>
          <w:lang w:eastAsia="zh-CN"/>
        </w:rPr>
        <w:t>image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of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a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patient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with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a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nearly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5-cm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separation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of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the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pubic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symphysis.</w:t>
      </w:r>
    </w:p>
    <w:p w14:paraId="44AA00F2" w14:textId="77777777" w:rsidR="00950D94" w:rsidRPr="00611225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50D94" w:rsidRPr="00611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D6BB99" w14:textId="0E3FE6B5" w:rsidR="008B7824" w:rsidRPr="008B7824" w:rsidRDefault="008B7824" w:rsidP="008B7824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B7824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163D5AF2" wp14:editId="6A16F849">
            <wp:extent cx="5943600" cy="23164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BB4A" w14:textId="4C7D1325" w:rsidR="00950D94" w:rsidRPr="008B7824" w:rsidRDefault="00950D94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950D94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950D94">
        <w:rPr>
          <w:rFonts w:ascii="Book Antiqua" w:hAnsi="Book Antiqua"/>
          <w:b/>
          <w:bCs/>
          <w:lang w:eastAsia="zh-CN"/>
        </w:rPr>
        <w:t>3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8B7824">
        <w:rPr>
          <w:rFonts w:ascii="Book Antiqua" w:hAnsi="Book Antiqua"/>
          <w:b/>
          <w:bCs/>
          <w:lang w:eastAsia="zh-CN"/>
        </w:rPr>
        <w:t xml:space="preserve">X-ray images. </w:t>
      </w:r>
      <w:r w:rsidR="008B7824" w:rsidRPr="008B7824">
        <w:rPr>
          <w:rFonts w:ascii="Book Antiqua" w:hAnsi="Book Antiqua"/>
          <w:lang w:eastAsia="zh-CN"/>
        </w:rPr>
        <w:t xml:space="preserve">A: </w:t>
      </w:r>
      <w:r w:rsidRPr="008B7824">
        <w:rPr>
          <w:rFonts w:ascii="Book Antiqua" w:hAnsi="Book Antiqua"/>
          <w:lang w:eastAsia="zh-CN"/>
        </w:rPr>
        <w:t>After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three-dimensional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adjustment</w:t>
      </w:r>
      <w:r w:rsidR="008B7824">
        <w:rPr>
          <w:rFonts w:ascii="Book Antiqua" w:hAnsi="Book Antiqua"/>
          <w:lang w:eastAsia="zh-CN"/>
        </w:rPr>
        <w:t>; B: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="000C2EC8">
        <w:rPr>
          <w:rFonts w:ascii="Book Antiqua" w:hAnsi="Book Antiqua"/>
          <w:lang w:eastAsia="zh-CN"/>
        </w:rPr>
        <w:t>Two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w</w:t>
      </w:r>
      <w:r w:rsidR="000C2EC8">
        <w:rPr>
          <w:rFonts w:ascii="Book Antiqua" w:hAnsi="Book Antiqua"/>
          <w:lang w:eastAsia="zh-CN"/>
        </w:rPr>
        <w:t>ee</w:t>
      </w:r>
      <w:r w:rsidRPr="008B7824">
        <w:rPr>
          <w:rFonts w:ascii="Book Antiqua" w:hAnsi="Book Antiqua"/>
          <w:lang w:eastAsia="zh-CN"/>
        </w:rPr>
        <w:t>k</w:t>
      </w:r>
      <w:r w:rsidR="000C2EC8">
        <w:rPr>
          <w:rFonts w:ascii="Book Antiqua" w:hAnsi="Book Antiqua"/>
          <w:lang w:eastAsia="zh-CN"/>
        </w:rPr>
        <w:t>s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after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the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pelvic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band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was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removed.</w:t>
      </w:r>
    </w:p>
    <w:p w14:paraId="3BE066E7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6B53D" w14:textId="40BC221F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1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Chi-square</w:t>
      </w:r>
      <w:r w:rsidR="00C7237D">
        <w:rPr>
          <w:rFonts w:ascii="Book Antiqua" w:hAnsi="Book Antiqua"/>
          <w:b/>
          <w:color w:val="000000" w:themeColor="text1"/>
        </w:rPr>
        <w:t>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test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delivery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modes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delivery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bCs/>
          <w:color w:val="000000" w:themeColor="text1"/>
        </w:rPr>
        <w:t>durations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="00C7237D">
        <w:rPr>
          <w:rFonts w:ascii="Book Antiqua" w:hAnsi="Book Antiqua"/>
          <w:b/>
          <w:color w:val="000000" w:themeColor="text1"/>
        </w:rPr>
        <w:t>2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groups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31"/>
        <w:gridCol w:w="2230"/>
        <w:gridCol w:w="1827"/>
        <w:gridCol w:w="605"/>
        <w:gridCol w:w="605"/>
        <w:gridCol w:w="402"/>
      </w:tblGrid>
      <w:tr w:rsidR="0047762F" w:rsidRPr="000F7FAC" w14:paraId="7380B9FA" w14:textId="77777777" w:rsidTr="00E55DC7">
        <w:trPr>
          <w:cantSplit/>
        </w:trPr>
        <w:tc>
          <w:tcPr>
            <w:tcW w:w="197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7A28421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B3BA95" w14:textId="76A1EFA1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modes</w:t>
            </w:r>
            <w:r w:rsidRPr="000F7FAC">
              <w:rPr>
                <w:rFonts w:ascii="Book Antiqua" w:hAnsi="Book Antiqua"/>
                <w:b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09C2BD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Durations</w:t>
            </w:r>
            <w:r w:rsidRPr="000F7FAC">
              <w:rPr>
                <w:rFonts w:ascii="Book Antiqua" w:hAnsi="Book Antiqua"/>
                <w:b/>
                <w:color w:val="000000" w:themeColor="text1"/>
                <w:vertAlign w:val="superscript"/>
              </w:rPr>
              <w:t>b</w:t>
            </w:r>
            <w:proofErr w:type="spellEnd"/>
          </w:p>
        </w:tc>
      </w:tr>
      <w:tr w:rsidR="0047762F" w:rsidRPr="000F7FAC" w14:paraId="13977BCE" w14:textId="77777777" w:rsidTr="00E55DC7">
        <w:trPr>
          <w:cantSplit/>
        </w:trPr>
        <w:tc>
          <w:tcPr>
            <w:tcW w:w="197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6BAC8C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C75319" w14:textId="7A4FA942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Cesarean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section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CBB090" w14:textId="4836D3E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N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atural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labor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414CEB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0AD95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8021A5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3</w:t>
            </w:r>
          </w:p>
        </w:tc>
      </w:tr>
      <w:tr w:rsidR="0047762F" w:rsidRPr="000F7FAC" w14:paraId="0A723AD1" w14:textId="77777777" w:rsidTr="00E55DC7">
        <w:trPr>
          <w:cantSplit/>
        </w:trPr>
        <w:tc>
          <w:tcPr>
            <w:tcW w:w="51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53E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D1084" w14:textId="20F8E93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Control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F96B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66AA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B05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8808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7A35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47762F" w:rsidRPr="000F7FAC" w14:paraId="3F13126F" w14:textId="77777777" w:rsidTr="00E55DC7">
        <w:trPr>
          <w:cantSplit/>
        </w:trPr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47213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14:paraId="52D22B26" w14:textId="3B5076AE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Observational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3CE276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76CB332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77102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B2804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10EF155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47762F" w:rsidRPr="000F7FAC" w14:paraId="35EA15D2" w14:textId="77777777" w:rsidTr="00E55DC7">
        <w:trPr>
          <w:cantSplit/>
        </w:trPr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7060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Total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8B3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921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68A0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98E6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BBD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</w:tbl>
    <w:p w14:paraId="36D8F21A" w14:textId="77777777" w:rsidR="00D979C7" w:rsidRDefault="0047762F" w:rsidP="000F7FAC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color w:val="000000" w:themeColor="text1"/>
          <w:lang w:eastAsia="zh-CN"/>
        </w:rPr>
      </w:pPr>
      <w:r w:rsidRPr="000F7FAC">
        <w:rPr>
          <w:rFonts w:ascii="Book Antiqua" w:hAnsi="Book Antiqua"/>
          <w:color w:val="000000" w:themeColor="text1"/>
          <w:vertAlign w:val="superscript"/>
        </w:rPr>
        <w:t>a</w:t>
      </w:r>
      <w:r w:rsidRPr="000F7FAC">
        <w:rPr>
          <w:rFonts w:ascii="Book Antiqua" w:hAnsi="Book Antiqua"/>
          <w:i/>
          <w:color w:val="000000" w:themeColor="text1"/>
        </w:rPr>
        <w:t>χ</w:t>
      </w:r>
      <w:r w:rsidRPr="000F7FAC">
        <w:rPr>
          <w:rFonts w:ascii="Book Antiqua" w:hAnsi="Book Antiqua"/>
          <w:color w:val="000000" w:themeColor="text1"/>
          <w:vertAlign w:val="superscript"/>
        </w:rPr>
        <w:t>2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1.038,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i/>
          <w:color w:val="000000" w:themeColor="text1"/>
        </w:rPr>
        <w:t>P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0.308</w:t>
      </w:r>
      <w:r w:rsidR="00D979C7"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615C291C" w14:textId="3BCC9F52" w:rsidR="0047762F" w:rsidRPr="000F7FAC" w:rsidRDefault="0047762F" w:rsidP="000F7FAC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color w:val="000000" w:themeColor="text1"/>
        </w:rPr>
      </w:pPr>
      <w:r w:rsidRPr="000F7FAC">
        <w:rPr>
          <w:rFonts w:ascii="Book Antiqua" w:hAnsi="Book Antiqua"/>
          <w:color w:val="000000" w:themeColor="text1"/>
          <w:vertAlign w:val="superscript"/>
        </w:rPr>
        <w:t>b</w:t>
      </w:r>
      <w:r w:rsidRPr="000F7FAC">
        <w:rPr>
          <w:rFonts w:ascii="Book Antiqua" w:hAnsi="Book Antiqua"/>
          <w:i/>
          <w:color w:val="000000" w:themeColor="text1"/>
        </w:rPr>
        <w:t>χ</w:t>
      </w:r>
      <w:r w:rsidRPr="000F7FAC">
        <w:rPr>
          <w:rFonts w:ascii="Book Antiqua" w:hAnsi="Book Antiqua"/>
          <w:color w:val="000000" w:themeColor="text1"/>
          <w:vertAlign w:val="superscript"/>
        </w:rPr>
        <w:t>2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3.018,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i/>
          <w:color w:val="000000" w:themeColor="text1"/>
        </w:rPr>
        <w:t>P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0.221.</w:t>
      </w:r>
    </w:p>
    <w:p w14:paraId="7681D881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A6A73C" w14:textId="51C43DAC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2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Comparison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multiple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patients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without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pubic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symphysis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998"/>
        <w:gridCol w:w="2327"/>
        <w:gridCol w:w="1040"/>
        <w:gridCol w:w="871"/>
      </w:tblGrid>
      <w:tr w:rsidR="0047762F" w:rsidRPr="000F7FAC" w14:paraId="650B6A33" w14:textId="77777777" w:rsidTr="002B1B58"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75D6" w14:textId="7777777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Variables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D7C64" w14:textId="4CBBD2C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Control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E684" w14:textId="68907185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Observational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D15CB" w14:textId="7777777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DD4B" w14:textId="61361D8B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b/>
                <w:iCs/>
                <w:color w:val="000000" w:themeColor="text1"/>
              </w:rPr>
              <w:t xml:space="preserve"> </w:t>
            </w:r>
            <w:r w:rsidR="00550A5B" w:rsidRPr="000F7FAC">
              <w:rPr>
                <w:rFonts w:ascii="Book Antiqua" w:hAnsi="Book Antiqua"/>
                <w:b/>
                <w:iCs/>
                <w:color w:val="000000" w:themeColor="text1"/>
              </w:rPr>
              <w:t>value</w:t>
            </w:r>
          </w:p>
        </w:tc>
      </w:tr>
      <w:tr w:rsidR="0047762F" w:rsidRPr="000F7FAC" w14:paraId="729E217D" w14:textId="77777777" w:rsidTr="002B1B58">
        <w:tc>
          <w:tcPr>
            <w:tcW w:w="1744" w:type="pct"/>
            <w:tcBorders>
              <w:top w:val="single" w:sz="4" w:space="0" w:color="auto"/>
            </w:tcBorders>
            <w:shd w:val="clear" w:color="auto" w:fill="auto"/>
          </w:tcPr>
          <w:p w14:paraId="01F60C5C" w14:textId="43EE935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con</w:t>
            </w:r>
            <w:r w:rsidR="00C7237D">
              <w:rPr>
                <w:rFonts w:ascii="Book Antiqua" w:hAnsi="Book Antiqua"/>
                <w:color w:val="000000" w:themeColor="text1"/>
              </w:rPr>
              <w:t>centration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r w:rsidR="00550A5B" w:rsidRPr="000F7FAC">
              <w:rPr>
                <w:rFonts w:ascii="Book Antiqua" w:hAnsi="Book Antiqua"/>
                <w:color w:val="000000" w:themeColor="text1"/>
              </w:rPr>
              <w:t>µ</w:t>
            </w:r>
            <w:r w:rsidRPr="000F7FAC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5744D321" w14:textId="6B4B31D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170.435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42.299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</w:tcPr>
          <w:p w14:paraId="06646B31" w14:textId="6E5C75C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122.380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0.729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14:paraId="5570E4E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3.245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14:paraId="670980C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0.002</w:t>
            </w:r>
          </w:p>
        </w:tc>
      </w:tr>
      <w:tr w:rsidR="0047762F" w:rsidRPr="000F7FAC" w14:paraId="214861A3" w14:textId="77777777" w:rsidTr="002B1B58">
        <w:tc>
          <w:tcPr>
            <w:tcW w:w="1744" w:type="pct"/>
            <w:shd w:val="clear" w:color="auto" w:fill="auto"/>
          </w:tcPr>
          <w:p w14:paraId="3777B863" w14:textId="4CA8335F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baby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(g)</w:t>
            </w:r>
          </w:p>
        </w:tc>
        <w:tc>
          <w:tcPr>
            <w:tcW w:w="1043" w:type="pct"/>
            <w:shd w:val="clear" w:color="auto" w:fill="auto"/>
          </w:tcPr>
          <w:p w14:paraId="06E99119" w14:textId="19AB0AE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3676.000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521.725</w:t>
            </w:r>
          </w:p>
        </w:tc>
        <w:tc>
          <w:tcPr>
            <w:tcW w:w="1215" w:type="pct"/>
            <w:shd w:val="clear" w:color="auto" w:fill="auto"/>
          </w:tcPr>
          <w:p w14:paraId="49702B79" w14:textId="0FAABD0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3379.487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402.420</w:t>
            </w:r>
          </w:p>
        </w:tc>
        <w:tc>
          <w:tcPr>
            <w:tcW w:w="543" w:type="pct"/>
            <w:shd w:val="clear" w:color="auto" w:fill="auto"/>
          </w:tcPr>
          <w:p w14:paraId="6F408E0E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2.229</w:t>
            </w:r>
          </w:p>
        </w:tc>
        <w:tc>
          <w:tcPr>
            <w:tcW w:w="455" w:type="pct"/>
            <w:shd w:val="clear" w:color="auto" w:fill="auto"/>
          </w:tcPr>
          <w:p w14:paraId="1A96ABC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0.03</w:t>
            </w:r>
          </w:p>
        </w:tc>
      </w:tr>
      <w:tr w:rsidR="0047762F" w:rsidRPr="000F7FAC" w14:paraId="31165F2F" w14:textId="77777777" w:rsidTr="002B1B58">
        <w:tc>
          <w:tcPr>
            <w:tcW w:w="1744" w:type="pct"/>
            <w:shd w:val="clear" w:color="auto" w:fill="auto"/>
          </w:tcPr>
          <w:p w14:paraId="70D65F1D" w14:textId="2C69D108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043" w:type="pct"/>
            <w:shd w:val="clear" w:color="auto" w:fill="auto"/>
          </w:tcPr>
          <w:p w14:paraId="6B0BBE83" w14:textId="2D713C0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39.809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0.839</w:t>
            </w:r>
          </w:p>
        </w:tc>
        <w:tc>
          <w:tcPr>
            <w:tcW w:w="1215" w:type="pct"/>
            <w:shd w:val="clear" w:color="auto" w:fill="auto"/>
          </w:tcPr>
          <w:p w14:paraId="3C98A5D8" w14:textId="420889B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39.105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1.258</w:t>
            </w:r>
          </w:p>
        </w:tc>
        <w:tc>
          <w:tcPr>
            <w:tcW w:w="543" w:type="pct"/>
            <w:shd w:val="clear" w:color="auto" w:fill="auto"/>
          </w:tcPr>
          <w:p w14:paraId="471F2BD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1.998</w:t>
            </w:r>
          </w:p>
        </w:tc>
        <w:tc>
          <w:tcPr>
            <w:tcW w:w="455" w:type="pct"/>
            <w:shd w:val="clear" w:color="auto" w:fill="auto"/>
          </w:tcPr>
          <w:p w14:paraId="11E248F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0.051</w:t>
            </w:r>
          </w:p>
        </w:tc>
      </w:tr>
      <w:tr w:rsidR="0047762F" w:rsidRPr="000F7FAC" w14:paraId="1D4BEC3D" w14:textId="77777777" w:rsidTr="002B1B58">
        <w:tc>
          <w:tcPr>
            <w:tcW w:w="1744" w:type="pct"/>
            <w:shd w:val="clear" w:color="auto" w:fill="auto"/>
          </w:tcPr>
          <w:p w14:paraId="424E690A" w14:textId="13E0C79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043" w:type="pct"/>
            <w:shd w:val="clear" w:color="auto" w:fill="auto"/>
          </w:tcPr>
          <w:p w14:paraId="55206BBD" w14:textId="45F68D6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29.667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4.271</w:t>
            </w:r>
          </w:p>
        </w:tc>
        <w:tc>
          <w:tcPr>
            <w:tcW w:w="1215" w:type="pct"/>
            <w:shd w:val="clear" w:color="auto" w:fill="auto"/>
          </w:tcPr>
          <w:p w14:paraId="57D219F6" w14:textId="7B5311B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30.795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4.964</w:t>
            </w:r>
          </w:p>
        </w:tc>
        <w:tc>
          <w:tcPr>
            <w:tcW w:w="543" w:type="pct"/>
            <w:shd w:val="clear" w:color="auto" w:fill="auto"/>
          </w:tcPr>
          <w:p w14:paraId="323AC63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−0.776</w:t>
            </w:r>
          </w:p>
        </w:tc>
        <w:tc>
          <w:tcPr>
            <w:tcW w:w="455" w:type="pct"/>
            <w:shd w:val="clear" w:color="auto" w:fill="auto"/>
          </w:tcPr>
          <w:p w14:paraId="13D2E94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0.441</w:t>
            </w:r>
          </w:p>
        </w:tc>
      </w:tr>
      <w:tr w:rsidR="0047762F" w:rsidRPr="000F7FAC" w14:paraId="6DB719ED" w14:textId="77777777" w:rsidTr="002B1B58">
        <w:tc>
          <w:tcPr>
            <w:tcW w:w="1744" w:type="pct"/>
            <w:shd w:val="clear" w:color="auto" w:fill="auto"/>
          </w:tcPr>
          <w:p w14:paraId="04B2906B" w14:textId="2B2584A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Pre-pregnancy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1043" w:type="pct"/>
            <w:shd w:val="clear" w:color="auto" w:fill="auto"/>
          </w:tcPr>
          <w:p w14:paraId="515B0B72" w14:textId="41DB317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75.467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8.269</w:t>
            </w:r>
          </w:p>
        </w:tc>
        <w:tc>
          <w:tcPr>
            <w:tcW w:w="1215" w:type="pct"/>
            <w:shd w:val="clear" w:color="auto" w:fill="auto"/>
          </w:tcPr>
          <w:p w14:paraId="2CD3058F" w14:textId="7C9C9C0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76.731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10.807</w:t>
            </w:r>
          </w:p>
        </w:tc>
        <w:tc>
          <w:tcPr>
            <w:tcW w:w="543" w:type="pct"/>
            <w:shd w:val="clear" w:color="auto" w:fill="auto"/>
          </w:tcPr>
          <w:p w14:paraId="3688FD1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−0.408</w:t>
            </w:r>
          </w:p>
        </w:tc>
        <w:tc>
          <w:tcPr>
            <w:tcW w:w="455" w:type="pct"/>
            <w:shd w:val="clear" w:color="auto" w:fill="auto"/>
          </w:tcPr>
          <w:p w14:paraId="40613EE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0.685</w:t>
            </w:r>
          </w:p>
        </w:tc>
      </w:tr>
      <w:tr w:rsidR="0047762F" w:rsidRPr="000F7FAC" w14:paraId="52655901" w14:textId="77777777" w:rsidTr="002B1B58">
        <w:tc>
          <w:tcPr>
            <w:tcW w:w="1744" w:type="pct"/>
            <w:shd w:val="clear" w:color="auto" w:fill="auto"/>
          </w:tcPr>
          <w:p w14:paraId="246A9C86" w14:textId="6EAF044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1043" w:type="pct"/>
            <w:shd w:val="clear" w:color="auto" w:fill="auto"/>
          </w:tcPr>
          <w:p w14:paraId="29038B3C" w14:textId="7C7307D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18.643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2.706</w:t>
            </w:r>
          </w:p>
        </w:tc>
        <w:tc>
          <w:tcPr>
            <w:tcW w:w="1215" w:type="pct"/>
            <w:shd w:val="clear" w:color="auto" w:fill="auto"/>
          </w:tcPr>
          <w:p w14:paraId="08014C60" w14:textId="7132B51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17.716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4.759</w:t>
            </w:r>
          </w:p>
        </w:tc>
        <w:tc>
          <w:tcPr>
            <w:tcW w:w="543" w:type="pct"/>
            <w:shd w:val="clear" w:color="auto" w:fill="auto"/>
          </w:tcPr>
          <w:p w14:paraId="34DBAE9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0.685</w:t>
            </w:r>
          </w:p>
        </w:tc>
        <w:tc>
          <w:tcPr>
            <w:tcW w:w="455" w:type="pct"/>
            <w:shd w:val="clear" w:color="auto" w:fill="auto"/>
          </w:tcPr>
          <w:p w14:paraId="6AC63ED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0.497</w:t>
            </w:r>
          </w:p>
        </w:tc>
      </w:tr>
      <w:tr w:rsidR="0047762F" w:rsidRPr="000F7FAC" w14:paraId="783D4B8A" w14:textId="77777777" w:rsidTr="002B1B58">
        <w:tc>
          <w:tcPr>
            <w:tcW w:w="1744" w:type="pct"/>
            <w:shd w:val="clear" w:color="auto" w:fill="auto"/>
          </w:tcPr>
          <w:p w14:paraId="15145D4C" w14:textId="3119502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First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043" w:type="pct"/>
            <w:shd w:val="clear" w:color="auto" w:fill="auto"/>
          </w:tcPr>
          <w:p w14:paraId="494BEF98" w14:textId="6A52AF0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359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134.346</w:t>
            </w:r>
          </w:p>
        </w:tc>
        <w:tc>
          <w:tcPr>
            <w:tcW w:w="1215" w:type="pct"/>
            <w:shd w:val="clear" w:color="auto" w:fill="auto"/>
          </w:tcPr>
          <w:p w14:paraId="013382E6" w14:textId="05F9F56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374.25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122.553</w:t>
            </w:r>
          </w:p>
        </w:tc>
        <w:tc>
          <w:tcPr>
            <w:tcW w:w="543" w:type="pct"/>
            <w:shd w:val="clear" w:color="auto" w:fill="auto"/>
          </w:tcPr>
          <w:p w14:paraId="30315B84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−0.311</w:t>
            </w:r>
          </w:p>
        </w:tc>
        <w:tc>
          <w:tcPr>
            <w:tcW w:w="455" w:type="pct"/>
            <w:shd w:val="clear" w:color="auto" w:fill="auto"/>
          </w:tcPr>
          <w:p w14:paraId="7090A60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0.758</w:t>
            </w:r>
          </w:p>
        </w:tc>
      </w:tr>
      <w:tr w:rsidR="0047762F" w:rsidRPr="000F7FAC" w14:paraId="63D41E9B" w14:textId="77777777" w:rsidTr="002B1B58">
        <w:tc>
          <w:tcPr>
            <w:tcW w:w="1744" w:type="pct"/>
            <w:shd w:val="clear" w:color="auto" w:fill="auto"/>
          </w:tcPr>
          <w:p w14:paraId="6287E730" w14:textId="22C1BC9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Second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043" w:type="pct"/>
            <w:shd w:val="clear" w:color="auto" w:fill="auto"/>
          </w:tcPr>
          <w:p w14:paraId="12BD1899" w14:textId="1BA5AEC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54.70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43.16</w:t>
            </w:r>
          </w:p>
        </w:tc>
        <w:tc>
          <w:tcPr>
            <w:tcW w:w="1215" w:type="pct"/>
            <w:shd w:val="clear" w:color="auto" w:fill="auto"/>
          </w:tcPr>
          <w:p w14:paraId="7B65583B" w14:textId="399D52B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45.80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39.325</w:t>
            </w:r>
          </w:p>
        </w:tc>
        <w:tc>
          <w:tcPr>
            <w:tcW w:w="543" w:type="pct"/>
            <w:shd w:val="clear" w:color="auto" w:fill="auto"/>
          </w:tcPr>
          <w:p w14:paraId="79F6C7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0.566</w:t>
            </w:r>
          </w:p>
        </w:tc>
        <w:tc>
          <w:tcPr>
            <w:tcW w:w="455" w:type="pct"/>
            <w:shd w:val="clear" w:color="auto" w:fill="auto"/>
          </w:tcPr>
          <w:p w14:paraId="0B51FFEF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0.576</w:t>
            </w:r>
          </w:p>
        </w:tc>
      </w:tr>
    </w:tbl>
    <w:p w14:paraId="6AECD039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FD0662" w14:textId="08775CA9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3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Multivariate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regression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parturients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pubic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symphysis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862"/>
        <w:gridCol w:w="1384"/>
        <w:gridCol w:w="1595"/>
        <w:gridCol w:w="1665"/>
        <w:gridCol w:w="778"/>
        <w:gridCol w:w="596"/>
      </w:tblGrid>
      <w:tr w:rsidR="00337507" w:rsidRPr="000F7FAC" w14:paraId="640F855A" w14:textId="77777777" w:rsidTr="007B61B9">
        <w:trPr>
          <w:cantSplit/>
        </w:trPr>
        <w:tc>
          <w:tcPr>
            <w:tcW w:w="13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463B1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微软雅黑" w:hAnsi="Book Antiqua"/>
                <w:color w:val="000000" w:themeColor="text1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8F15485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b/>
                <w:color w:val="000000" w:themeColor="text1"/>
              </w:rPr>
              <w:t>B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D443647" w14:textId="037A7E3A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Standard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error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CE311F7" w14:textId="58E2807B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Wald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test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quantity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E351835" w14:textId="049E750B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Degrees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of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freedom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5EE7D2D" w14:textId="4B3E7940" w:rsidR="0047762F" w:rsidRPr="000F7FAC" w:rsidRDefault="007B61B9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7B61B9">
              <w:rPr>
                <w:rFonts w:ascii="Book Antiqua" w:eastAsia="微软雅黑" w:hAnsi="Book Antiqua"/>
                <w:b/>
                <w:i/>
                <w:iCs/>
                <w:color w:val="000000" w:themeColor="text1"/>
              </w:rPr>
              <w:t>P</w:t>
            </w:r>
            <w:r w:rsidRPr="007B61B9">
              <w:rPr>
                <w:rFonts w:ascii="Book Antiqua" w:eastAsia="微软雅黑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944EB9B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b/>
                <w:color w:val="000000" w:themeColor="text1"/>
              </w:rPr>
              <w:t>OR</w:t>
            </w:r>
          </w:p>
        </w:tc>
      </w:tr>
      <w:tr w:rsidR="00337507" w:rsidRPr="000F7FAC" w14:paraId="3D6DBA1E" w14:textId="77777777" w:rsidTr="007B61B9">
        <w:trPr>
          <w:cantSplit/>
        </w:trPr>
        <w:tc>
          <w:tcPr>
            <w:tcW w:w="13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7BCB33" w14:textId="04E7802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Weight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of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baby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(kg)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22F46E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.002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ABF206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.001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14AA9C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4.107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860A83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F21124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.043</w:t>
            </w: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2C7FE2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1.002</w:t>
            </w:r>
          </w:p>
        </w:tc>
      </w:tr>
      <w:tr w:rsidR="00337507" w:rsidRPr="000F7FAC" w14:paraId="346CD88C" w14:textId="77777777" w:rsidTr="007B61B9">
        <w:trPr>
          <w:cantSplit/>
        </w:trPr>
        <w:tc>
          <w:tcPr>
            <w:tcW w:w="1347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9E139" w14:textId="7371479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eastAsia="微软雅黑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con</w:t>
            </w:r>
            <w:r w:rsidR="002B1B58">
              <w:rPr>
                <w:rFonts w:ascii="Book Antiqua" w:eastAsia="微软雅黑" w:hAnsi="Book Antiqua"/>
                <w:color w:val="000000" w:themeColor="text1"/>
              </w:rPr>
              <w:t>centration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(</w:t>
            </w:r>
            <w:r w:rsidR="00550A5B" w:rsidRPr="000F7FAC">
              <w:rPr>
                <w:rFonts w:ascii="Book Antiqua" w:eastAsia="微软雅黑" w:hAnsi="Book Antiqua"/>
                <w:color w:val="000000" w:themeColor="text1"/>
              </w:rPr>
              <w:t>µ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g/mL)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59216C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.022</w:t>
            </w:r>
          </w:p>
        </w:tc>
        <w:tc>
          <w:tcPr>
            <w:tcW w:w="735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07FDC2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.008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42DAF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8.075</w:t>
            </w:r>
          </w:p>
        </w:tc>
        <w:tc>
          <w:tcPr>
            <w:tcW w:w="884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7B4262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527E0D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.004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5EA312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1.022</w:t>
            </w:r>
          </w:p>
        </w:tc>
      </w:tr>
      <w:tr w:rsidR="00337507" w:rsidRPr="000F7FAC" w14:paraId="26EC1EAD" w14:textId="77777777" w:rsidTr="007B61B9">
        <w:trPr>
          <w:cantSplit/>
        </w:trPr>
        <w:tc>
          <w:tcPr>
            <w:tcW w:w="1347" w:type="pct"/>
            <w:shd w:val="clear" w:color="auto" w:fill="auto"/>
            <w:tcMar>
              <w:left w:w="28" w:type="dxa"/>
              <w:right w:w="28" w:type="dxa"/>
            </w:tcMar>
          </w:tcPr>
          <w:p w14:paraId="4EBC470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</w:p>
        </w:tc>
        <w:tc>
          <w:tcPr>
            <w:tcW w:w="458" w:type="pct"/>
            <w:shd w:val="clear" w:color="auto" w:fill="FFFFFF"/>
            <w:tcMar>
              <w:left w:w="28" w:type="dxa"/>
              <w:right w:w="28" w:type="dxa"/>
            </w:tcMar>
          </w:tcPr>
          <w:p w14:paraId="27FCCA8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10.508</w:t>
            </w:r>
          </w:p>
        </w:tc>
        <w:tc>
          <w:tcPr>
            <w:tcW w:w="735" w:type="pct"/>
            <w:shd w:val="clear" w:color="auto" w:fill="FFFFFF"/>
            <w:tcMar>
              <w:left w:w="28" w:type="dxa"/>
              <w:right w:w="28" w:type="dxa"/>
            </w:tcMar>
          </w:tcPr>
          <w:p w14:paraId="27F27CB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3.673</w:t>
            </w:r>
          </w:p>
        </w:tc>
        <w:tc>
          <w:tcPr>
            <w:tcW w:w="847" w:type="pct"/>
            <w:shd w:val="clear" w:color="auto" w:fill="FFFFFF"/>
            <w:tcMar>
              <w:left w:w="28" w:type="dxa"/>
              <w:right w:w="28" w:type="dxa"/>
            </w:tcMar>
          </w:tcPr>
          <w:p w14:paraId="1CA7C3B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8.183</w:t>
            </w:r>
          </w:p>
        </w:tc>
        <w:tc>
          <w:tcPr>
            <w:tcW w:w="884" w:type="pct"/>
            <w:shd w:val="clear" w:color="auto" w:fill="FFFFFF"/>
            <w:tcMar>
              <w:left w:w="28" w:type="dxa"/>
              <w:right w:w="28" w:type="dxa"/>
            </w:tcMar>
          </w:tcPr>
          <w:p w14:paraId="6B0B01C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28" w:type="dxa"/>
              <w:right w:w="28" w:type="dxa"/>
            </w:tcMar>
          </w:tcPr>
          <w:p w14:paraId="20508DD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.004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right w:w="28" w:type="dxa"/>
            </w:tcMar>
          </w:tcPr>
          <w:p w14:paraId="4D5DEA2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.000</w:t>
            </w:r>
          </w:p>
        </w:tc>
      </w:tr>
    </w:tbl>
    <w:p w14:paraId="01239E53" w14:textId="64B6BAED" w:rsidR="00550A5B" w:rsidRPr="000F7FAC" w:rsidRDefault="00550A5B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D64B67">
        <w:rPr>
          <w:rFonts w:ascii="Book Antiqua" w:hAnsi="Book Antiqua"/>
          <w:lang w:eastAsia="zh-CN"/>
        </w:rPr>
        <w:t>OR:</w:t>
      </w:r>
      <w:r w:rsidR="00E538C9" w:rsidRPr="00D64B67">
        <w:rPr>
          <w:rFonts w:ascii="Book Antiqua" w:hAnsi="Book Antiqua"/>
          <w:lang w:eastAsia="zh-CN"/>
        </w:rPr>
        <w:t xml:space="preserve"> </w:t>
      </w:r>
      <w:r w:rsidR="00D64B67" w:rsidRPr="00D64B67">
        <w:rPr>
          <w:rFonts w:ascii="Book Antiqua" w:hAnsi="Book Antiqua"/>
          <w:lang w:eastAsia="zh-CN"/>
        </w:rPr>
        <w:t>Od</w:t>
      </w:r>
      <w:r w:rsidR="00D64B67">
        <w:rPr>
          <w:rFonts w:ascii="Book Antiqua" w:hAnsi="Book Antiqua"/>
          <w:lang w:eastAsia="zh-CN"/>
        </w:rPr>
        <w:t>ds ratio.</w:t>
      </w:r>
    </w:p>
    <w:p w14:paraId="29E91E7E" w14:textId="4E7D7E50" w:rsidR="00550A5B" w:rsidRPr="000F7FAC" w:rsidRDefault="00550A5B" w:rsidP="000F7FAC">
      <w:pPr>
        <w:tabs>
          <w:tab w:val="center" w:pos="4680"/>
        </w:tabs>
        <w:spacing w:line="360" w:lineRule="auto"/>
        <w:jc w:val="both"/>
        <w:rPr>
          <w:rFonts w:ascii="Book Antiqua" w:hAnsi="Book Antiqua"/>
          <w:lang w:eastAsia="zh-CN"/>
        </w:rPr>
        <w:sectPr w:rsidR="00550A5B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7FAC">
        <w:rPr>
          <w:rFonts w:ascii="Book Antiqua" w:hAnsi="Book Antiqua"/>
          <w:lang w:eastAsia="zh-CN"/>
        </w:rPr>
        <w:tab/>
      </w:r>
    </w:p>
    <w:p w14:paraId="0D8DF8E3" w14:textId="0436502A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4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Comparison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multiple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pregnant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postpartum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parturients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in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observational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group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268"/>
        <w:gridCol w:w="2268"/>
        <w:gridCol w:w="908"/>
        <w:gridCol w:w="906"/>
      </w:tblGrid>
      <w:tr w:rsidR="00B91061" w:rsidRPr="000F7FAC" w14:paraId="5793FFD5" w14:textId="77777777" w:rsidTr="00B91061">
        <w:trPr>
          <w:jc w:val="center"/>
        </w:trPr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</w:tcPr>
          <w:p w14:paraId="11BA5D9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14:paraId="35A5D714" w14:textId="5BA3068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diastasis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14:paraId="3638F6F4" w14:textId="1B0AFA5D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Postpartum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diastasis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14:paraId="4266BC9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7A5CDCEA" w14:textId="44A4D75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b/>
                <w:iCs/>
                <w:color w:val="000000" w:themeColor="text1"/>
              </w:rPr>
              <w:t xml:space="preserve"> </w:t>
            </w:r>
            <w:r w:rsidR="00B91061" w:rsidRPr="000F7FAC">
              <w:rPr>
                <w:rFonts w:ascii="Book Antiqua" w:hAnsi="Book Antiqua"/>
                <w:b/>
                <w:iCs/>
                <w:color w:val="000000" w:themeColor="text1"/>
              </w:rPr>
              <w:t>value</w:t>
            </w:r>
          </w:p>
        </w:tc>
      </w:tr>
      <w:tr w:rsidR="00B91061" w:rsidRPr="000F7FAC" w14:paraId="70B36DCF" w14:textId="77777777" w:rsidTr="00B91061">
        <w:trPr>
          <w:jc w:val="center"/>
        </w:trPr>
        <w:tc>
          <w:tcPr>
            <w:tcW w:w="1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A6DE9" w14:textId="623A4EE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content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r w:rsidR="00B91061" w:rsidRPr="000F7FAC">
              <w:rPr>
                <w:rFonts w:ascii="Book Antiqua" w:hAnsi="Book Antiqua"/>
                <w:color w:val="000000" w:themeColor="text1"/>
              </w:rPr>
              <w:t>µ</w:t>
            </w:r>
            <w:r w:rsidRPr="000F7FAC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7742F" w14:textId="2EF519D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162.049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43.178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612889" w14:textId="715CEC5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177.774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42.994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CD41A" w14:textId="7092ED71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0.705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41DC7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0.493</w:t>
            </w:r>
          </w:p>
        </w:tc>
      </w:tr>
      <w:tr w:rsidR="00B91061" w:rsidRPr="000F7FAC" w14:paraId="2C021E73" w14:textId="77777777" w:rsidTr="00B91061">
        <w:trPr>
          <w:jc w:val="center"/>
        </w:trPr>
        <w:tc>
          <w:tcPr>
            <w:tcW w:w="1684" w:type="pct"/>
            <w:tcBorders>
              <w:top w:val="nil"/>
            </w:tcBorders>
            <w:shd w:val="clear" w:color="auto" w:fill="auto"/>
          </w:tcPr>
          <w:p w14:paraId="2E88A153" w14:textId="437B61E9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Diastatic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gap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(cm)</w:t>
            </w:r>
          </w:p>
        </w:tc>
        <w:tc>
          <w:tcPr>
            <w:tcW w:w="1184" w:type="pct"/>
            <w:tcBorders>
              <w:top w:val="nil"/>
            </w:tcBorders>
            <w:shd w:val="clear" w:color="auto" w:fill="auto"/>
          </w:tcPr>
          <w:p w14:paraId="4AA1C232" w14:textId="1F65C03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1.285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0.458</w:t>
            </w:r>
          </w:p>
        </w:tc>
        <w:tc>
          <w:tcPr>
            <w:tcW w:w="1184" w:type="pct"/>
            <w:tcBorders>
              <w:top w:val="nil"/>
            </w:tcBorders>
            <w:shd w:val="clear" w:color="auto" w:fill="auto"/>
          </w:tcPr>
          <w:p w14:paraId="3AA3D839" w14:textId="15121BA8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2.168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1.151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</w:tcPr>
          <w:p w14:paraId="3AAAD74D" w14:textId="111C8CF5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1.896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auto"/>
          </w:tcPr>
          <w:p w14:paraId="4712819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0.08</w:t>
            </w:r>
          </w:p>
        </w:tc>
      </w:tr>
      <w:tr w:rsidR="00B91061" w:rsidRPr="000F7FAC" w14:paraId="74DAC29F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6856FC24" w14:textId="6A3A3EF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baby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(g)</w:t>
            </w:r>
          </w:p>
        </w:tc>
        <w:tc>
          <w:tcPr>
            <w:tcW w:w="1184" w:type="pct"/>
            <w:shd w:val="clear" w:color="auto" w:fill="auto"/>
          </w:tcPr>
          <w:p w14:paraId="6C13CD2A" w14:textId="46B3E60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3807.143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440.519</w:t>
            </w:r>
          </w:p>
        </w:tc>
        <w:tc>
          <w:tcPr>
            <w:tcW w:w="1184" w:type="pct"/>
            <w:shd w:val="clear" w:color="auto" w:fill="auto"/>
          </w:tcPr>
          <w:p w14:paraId="4EB2A72A" w14:textId="489D3EB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3561.250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588.058</w:t>
            </w:r>
          </w:p>
        </w:tc>
        <w:tc>
          <w:tcPr>
            <w:tcW w:w="474" w:type="pct"/>
            <w:shd w:val="clear" w:color="auto" w:fill="auto"/>
          </w:tcPr>
          <w:p w14:paraId="36C3C71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0.905</w:t>
            </w:r>
          </w:p>
        </w:tc>
        <w:tc>
          <w:tcPr>
            <w:tcW w:w="473" w:type="pct"/>
            <w:shd w:val="clear" w:color="auto" w:fill="auto"/>
          </w:tcPr>
          <w:p w14:paraId="0FBA304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0.382</w:t>
            </w:r>
          </w:p>
        </w:tc>
      </w:tr>
      <w:tr w:rsidR="00B91061" w:rsidRPr="000F7FAC" w14:paraId="6777D856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07693BC3" w14:textId="57A3FAC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6B264DD4" w14:textId="1BFCE59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39.754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0.837</w:t>
            </w:r>
          </w:p>
        </w:tc>
        <w:tc>
          <w:tcPr>
            <w:tcW w:w="1184" w:type="pct"/>
            <w:shd w:val="clear" w:color="auto" w:fill="auto"/>
          </w:tcPr>
          <w:p w14:paraId="37849B61" w14:textId="2D62964D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39.858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0.896</w:t>
            </w:r>
          </w:p>
        </w:tc>
        <w:tc>
          <w:tcPr>
            <w:tcW w:w="474" w:type="pct"/>
            <w:shd w:val="clear" w:color="auto" w:fill="auto"/>
          </w:tcPr>
          <w:p w14:paraId="7549984D" w14:textId="4BD928B9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0.229</w:t>
            </w:r>
          </w:p>
        </w:tc>
        <w:tc>
          <w:tcPr>
            <w:tcW w:w="473" w:type="pct"/>
            <w:shd w:val="clear" w:color="auto" w:fill="auto"/>
          </w:tcPr>
          <w:p w14:paraId="2364A76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0.822</w:t>
            </w:r>
          </w:p>
        </w:tc>
      </w:tr>
      <w:tr w:rsidR="00B91061" w:rsidRPr="000F7FAC" w14:paraId="7139A90F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7BB34FFA" w14:textId="4BBC5A0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291029E0" w14:textId="17C42D7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3.559</w:t>
            </w:r>
          </w:p>
        </w:tc>
        <w:tc>
          <w:tcPr>
            <w:tcW w:w="1184" w:type="pct"/>
            <w:shd w:val="clear" w:color="auto" w:fill="auto"/>
          </w:tcPr>
          <w:p w14:paraId="6C233A2F" w14:textId="29DAC36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29.375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5.041</w:t>
            </w:r>
          </w:p>
        </w:tc>
        <w:tc>
          <w:tcPr>
            <w:tcW w:w="474" w:type="pct"/>
            <w:shd w:val="clear" w:color="auto" w:fill="auto"/>
          </w:tcPr>
          <w:p w14:paraId="1E7C05A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0.273</w:t>
            </w:r>
          </w:p>
        </w:tc>
        <w:tc>
          <w:tcPr>
            <w:tcW w:w="473" w:type="pct"/>
            <w:shd w:val="clear" w:color="auto" w:fill="auto"/>
          </w:tcPr>
          <w:p w14:paraId="16F2873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0.789</w:t>
            </w:r>
          </w:p>
        </w:tc>
      </w:tr>
      <w:tr w:rsidR="00B91061" w:rsidRPr="000F7FAC" w14:paraId="25CE2B22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4C17961D" w14:textId="6A22733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Pre-pregnancy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1184" w:type="pct"/>
            <w:shd w:val="clear" w:color="auto" w:fill="auto"/>
          </w:tcPr>
          <w:p w14:paraId="3FE6C581" w14:textId="7B0038A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78.500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8.646</w:t>
            </w:r>
          </w:p>
        </w:tc>
        <w:tc>
          <w:tcPr>
            <w:tcW w:w="1184" w:type="pct"/>
            <w:shd w:val="clear" w:color="auto" w:fill="auto"/>
          </w:tcPr>
          <w:p w14:paraId="1333C014" w14:textId="4019151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72.813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7.445</w:t>
            </w:r>
          </w:p>
        </w:tc>
        <w:tc>
          <w:tcPr>
            <w:tcW w:w="474" w:type="pct"/>
            <w:shd w:val="clear" w:color="auto" w:fill="auto"/>
          </w:tcPr>
          <w:p w14:paraId="435C8D6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1.370</w:t>
            </w:r>
          </w:p>
        </w:tc>
        <w:tc>
          <w:tcPr>
            <w:tcW w:w="473" w:type="pct"/>
            <w:shd w:val="clear" w:color="auto" w:fill="auto"/>
          </w:tcPr>
          <w:p w14:paraId="50AA06A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0.194</w:t>
            </w:r>
          </w:p>
        </w:tc>
      </w:tr>
      <w:tr w:rsidR="00B91061" w:rsidRPr="000F7FAC" w14:paraId="16891E26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7159717E" w14:textId="40855F8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1184" w:type="pct"/>
            <w:shd w:val="clear" w:color="auto" w:fill="auto"/>
          </w:tcPr>
          <w:p w14:paraId="0F63ED2E" w14:textId="670627A5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2.345</w:t>
            </w:r>
          </w:p>
        </w:tc>
        <w:tc>
          <w:tcPr>
            <w:tcW w:w="1184" w:type="pct"/>
            <w:shd w:val="clear" w:color="auto" w:fill="auto"/>
          </w:tcPr>
          <w:p w14:paraId="078EC1AD" w14:textId="7F9FA67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18.75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3.105</w:t>
            </w:r>
          </w:p>
        </w:tc>
        <w:tc>
          <w:tcPr>
            <w:tcW w:w="474" w:type="pct"/>
            <w:shd w:val="clear" w:color="auto" w:fill="auto"/>
          </w:tcPr>
          <w:p w14:paraId="0AA8B3A9" w14:textId="3516DF02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0.165</w:t>
            </w:r>
          </w:p>
        </w:tc>
        <w:tc>
          <w:tcPr>
            <w:tcW w:w="473" w:type="pct"/>
            <w:shd w:val="clear" w:color="auto" w:fill="auto"/>
          </w:tcPr>
          <w:p w14:paraId="05011B8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0.872</w:t>
            </w:r>
          </w:p>
        </w:tc>
      </w:tr>
      <w:tr w:rsidR="00B91061" w:rsidRPr="000F7FAC" w14:paraId="083C5B78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25565C11" w14:textId="476A55A9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First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184" w:type="pct"/>
            <w:shd w:val="clear" w:color="auto" w:fill="auto"/>
          </w:tcPr>
          <w:p w14:paraId="7D16BDDB" w14:textId="25E17CB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282.50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173.241</w:t>
            </w:r>
          </w:p>
        </w:tc>
        <w:tc>
          <w:tcPr>
            <w:tcW w:w="1184" w:type="pct"/>
            <w:shd w:val="clear" w:color="auto" w:fill="auto"/>
          </w:tcPr>
          <w:p w14:paraId="6C7E77E9" w14:textId="4C75527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378.13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129.723</w:t>
            </w:r>
          </w:p>
        </w:tc>
        <w:tc>
          <w:tcPr>
            <w:tcW w:w="474" w:type="pct"/>
            <w:shd w:val="clear" w:color="auto" w:fill="auto"/>
          </w:tcPr>
          <w:p w14:paraId="4ACB2180" w14:textId="54AF96A6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0.890</w:t>
            </w:r>
          </w:p>
        </w:tc>
        <w:tc>
          <w:tcPr>
            <w:tcW w:w="473" w:type="pct"/>
            <w:shd w:val="clear" w:color="auto" w:fill="auto"/>
          </w:tcPr>
          <w:p w14:paraId="6DD10F14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0.400</w:t>
            </w:r>
          </w:p>
        </w:tc>
      </w:tr>
      <w:tr w:rsidR="00B91061" w:rsidRPr="000F7FAC" w14:paraId="0377B071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0E8DBEF9" w14:textId="4B3E5ED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Second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184" w:type="pct"/>
            <w:shd w:val="clear" w:color="auto" w:fill="auto"/>
          </w:tcPr>
          <w:p w14:paraId="6EE408A8" w14:textId="70CFCA0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83.50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94.045</w:t>
            </w:r>
          </w:p>
        </w:tc>
        <w:tc>
          <w:tcPr>
            <w:tcW w:w="1184" w:type="pct"/>
            <w:shd w:val="clear" w:color="auto" w:fill="auto"/>
          </w:tcPr>
          <w:p w14:paraId="3D2D09B2" w14:textId="4CA09D5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47.50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28.909</w:t>
            </w:r>
          </w:p>
        </w:tc>
        <w:tc>
          <w:tcPr>
            <w:tcW w:w="474" w:type="pct"/>
            <w:shd w:val="clear" w:color="auto" w:fill="auto"/>
          </w:tcPr>
          <w:p w14:paraId="03D9C47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1.063</w:t>
            </w:r>
          </w:p>
        </w:tc>
        <w:tc>
          <w:tcPr>
            <w:tcW w:w="473" w:type="pct"/>
            <w:shd w:val="clear" w:color="auto" w:fill="auto"/>
          </w:tcPr>
          <w:p w14:paraId="5452B1B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0.319</w:t>
            </w:r>
          </w:p>
        </w:tc>
      </w:tr>
    </w:tbl>
    <w:p w14:paraId="55D72953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53790" w14:textId="1066D7C9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5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Multivariate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linear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regression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degree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29"/>
        <w:gridCol w:w="1229"/>
        <w:gridCol w:w="1418"/>
        <w:gridCol w:w="1713"/>
        <w:gridCol w:w="1405"/>
        <w:gridCol w:w="1247"/>
        <w:gridCol w:w="1405"/>
        <w:gridCol w:w="1094"/>
      </w:tblGrid>
      <w:tr w:rsidR="00713DF0" w:rsidRPr="000F7FAC" w14:paraId="564B7BA0" w14:textId="77777777" w:rsidTr="009173C3">
        <w:trPr>
          <w:cantSplit/>
          <w:trHeight w:val="874"/>
        </w:trPr>
        <w:tc>
          <w:tcPr>
            <w:tcW w:w="1331" w:type="pct"/>
            <w:gridSpan w:val="2"/>
            <w:vMerge w:val="restart"/>
          </w:tcPr>
          <w:p w14:paraId="34C0BD96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5F47D" w14:textId="0B4E3312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Unstandardized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coefficient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6DF146CF" w14:textId="630176AC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Standardization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coefficient</w:t>
            </w:r>
          </w:p>
        </w:tc>
        <w:tc>
          <w:tcPr>
            <w:tcW w:w="542" w:type="pct"/>
            <w:vMerge w:val="restart"/>
          </w:tcPr>
          <w:p w14:paraId="5C366683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81" w:type="pct"/>
            <w:vMerge w:val="restart"/>
          </w:tcPr>
          <w:p w14:paraId="2E079E69" w14:textId="6A654AD9" w:rsidR="0047762F" w:rsidRPr="000F7FAC" w:rsidRDefault="007B61B9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B61B9">
              <w:rPr>
                <w:rFonts w:ascii="Book Antiqua" w:hAnsi="Book Antiqua"/>
                <w:b/>
                <w:i/>
                <w:iCs/>
                <w:color w:val="000000" w:themeColor="text1"/>
              </w:rPr>
              <w:t>P</w:t>
            </w:r>
            <w:r w:rsidRPr="007B61B9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4EE6B" w14:textId="12D691C5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Collinear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statistics</w:t>
            </w:r>
          </w:p>
        </w:tc>
      </w:tr>
      <w:tr w:rsidR="00713DF0" w:rsidRPr="000F7FAC" w14:paraId="5AEBCFD2" w14:textId="77777777" w:rsidTr="009173C3">
        <w:trPr>
          <w:cantSplit/>
          <w:trHeight w:val="377"/>
        </w:trPr>
        <w:tc>
          <w:tcPr>
            <w:tcW w:w="1331" w:type="pct"/>
            <w:gridSpan w:val="2"/>
            <w:vMerge/>
            <w:tcBorders>
              <w:bottom w:val="single" w:sz="4" w:space="0" w:color="auto"/>
            </w:tcBorders>
          </w:tcPr>
          <w:p w14:paraId="28D2939A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317532B1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8268F88" w14:textId="20DE7FFB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Standard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error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7A5D4F6F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Beta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14:paraId="68BD5F6A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44025CB8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9ABD84F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Tolerance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409623E5" w14:textId="09288113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Variance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inflation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factor</w:t>
            </w:r>
          </w:p>
        </w:tc>
      </w:tr>
      <w:tr w:rsidR="00713DF0" w:rsidRPr="000F7FAC" w14:paraId="100EF60F" w14:textId="77777777" w:rsidTr="009173C3">
        <w:trPr>
          <w:cantSplit/>
          <w:trHeight w:val="456"/>
        </w:trPr>
        <w:tc>
          <w:tcPr>
            <w:tcW w:w="8" w:type="pct"/>
            <w:vMerge w:val="restart"/>
            <w:tcBorders>
              <w:top w:val="single" w:sz="4" w:space="0" w:color="auto"/>
              <w:bottom w:val="nil"/>
            </w:tcBorders>
          </w:tcPr>
          <w:p w14:paraId="23909E0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nil"/>
            </w:tcBorders>
          </w:tcPr>
          <w:p w14:paraId="7E0A69B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Variables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086C47B" w14:textId="2A9D2FC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8.200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</w:tcPr>
          <w:p w14:paraId="7D2CA0A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29.024</w:t>
            </w: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</w:tcPr>
          <w:p w14:paraId="341B741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C417F55" w14:textId="41893D00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283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14:paraId="17BEA5B7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0.825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07E81C0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</w:tcPr>
          <w:p w14:paraId="6E88C58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713DF0" w:rsidRPr="000F7FAC" w14:paraId="62C4AB94" w14:textId="77777777" w:rsidTr="009173C3">
        <w:trPr>
          <w:cantSplit/>
          <w:trHeight w:val="443"/>
        </w:trPr>
        <w:tc>
          <w:tcPr>
            <w:tcW w:w="8" w:type="pct"/>
            <w:vMerge/>
            <w:tcBorders>
              <w:top w:val="nil"/>
            </w:tcBorders>
          </w:tcPr>
          <w:p w14:paraId="2902567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  <w:tcBorders>
              <w:top w:val="nil"/>
            </w:tcBorders>
          </w:tcPr>
          <w:p w14:paraId="59BC1C33" w14:textId="59BF54F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Gestational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BE226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74" w:type="pct"/>
            <w:tcBorders>
              <w:top w:val="nil"/>
            </w:tcBorders>
          </w:tcPr>
          <w:p w14:paraId="2092ABD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0.653</w:t>
            </w:r>
          </w:p>
        </w:tc>
        <w:tc>
          <w:tcPr>
            <w:tcW w:w="547" w:type="pct"/>
            <w:tcBorders>
              <w:top w:val="nil"/>
            </w:tcBorders>
          </w:tcPr>
          <w:p w14:paraId="35D8273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0.695</w:t>
            </w:r>
          </w:p>
        </w:tc>
        <w:tc>
          <w:tcPr>
            <w:tcW w:w="661" w:type="pct"/>
            <w:tcBorders>
              <w:top w:val="nil"/>
            </w:tcBorders>
          </w:tcPr>
          <w:p w14:paraId="4065FC7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0.477</w:t>
            </w:r>
          </w:p>
        </w:tc>
        <w:tc>
          <w:tcPr>
            <w:tcW w:w="542" w:type="pct"/>
            <w:tcBorders>
              <w:top w:val="nil"/>
            </w:tcBorders>
          </w:tcPr>
          <w:p w14:paraId="2394437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0.939</w:t>
            </w:r>
          </w:p>
        </w:tc>
        <w:tc>
          <w:tcPr>
            <w:tcW w:w="481" w:type="pct"/>
            <w:tcBorders>
              <w:top w:val="nil"/>
            </w:tcBorders>
          </w:tcPr>
          <w:p w14:paraId="09EE0AD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0.520</w:t>
            </w:r>
          </w:p>
        </w:tc>
        <w:tc>
          <w:tcPr>
            <w:tcW w:w="542" w:type="pct"/>
            <w:tcBorders>
              <w:top w:val="nil"/>
            </w:tcBorders>
          </w:tcPr>
          <w:p w14:paraId="0C21F02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0.361</w:t>
            </w:r>
          </w:p>
        </w:tc>
        <w:tc>
          <w:tcPr>
            <w:tcW w:w="422" w:type="pct"/>
            <w:tcBorders>
              <w:top w:val="nil"/>
            </w:tcBorders>
          </w:tcPr>
          <w:p w14:paraId="0D070E8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2.772</w:t>
            </w:r>
          </w:p>
        </w:tc>
      </w:tr>
      <w:tr w:rsidR="00713DF0" w:rsidRPr="000F7FAC" w14:paraId="39404609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2DF72D8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E994E14" w14:textId="260029DC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at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delivery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BE226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74" w:type="pct"/>
          </w:tcPr>
          <w:p w14:paraId="5A555983" w14:textId="419E78F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137</w:t>
            </w:r>
          </w:p>
        </w:tc>
        <w:tc>
          <w:tcPr>
            <w:tcW w:w="547" w:type="pct"/>
          </w:tcPr>
          <w:p w14:paraId="1757E75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0.111</w:t>
            </w:r>
          </w:p>
        </w:tc>
        <w:tc>
          <w:tcPr>
            <w:tcW w:w="661" w:type="pct"/>
          </w:tcPr>
          <w:p w14:paraId="22537610" w14:textId="765B2C0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562</w:t>
            </w:r>
          </w:p>
        </w:tc>
        <w:tc>
          <w:tcPr>
            <w:tcW w:w="542" w:type="pct"/>
          </w:tcPr>
          <w:p w14:paraId="76E4FBC8" w14:textId="1C58FE2B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1.238</w:t>
            </w:r>
          </w:p>
        </w:tc>
        <w:tc>
          <w:tcPr>
            <w:tcW w:w="481" w:type="pct"/>
          </w:tcPr>
          <w:p w14:paraId="499C1BCB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0.433</w:t>
            </w:r>
          </w:p>
        </w:tc>
        <w:tc>
          <w:tcPr>
            <w:tcW w:w="542" w:type="pct"/>
          </w:tcPr>
          <w:p w14:paraId="04E3299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0.451</w:t>
            </w:r>
          </w:p>
        </w:tc>
        <w:tc>
          <w:tcPr>
            <w:tcW w:w="422" w:type="pct"/>
          </w:tcPr>
          <w:p w14:paraId="19BE6BF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2.215</w:t>
            </w:r>
          </w:p>
        </w:tc>
      </w:tr>
      <w:tr w:rsidR="00713DF0" w:rsidRPr="000F7FAC" w14:paraId="323FB572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71CB8B4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28AC067B" w14:textId="5276B14E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Pre-pregnancy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474" w:type="pct"/>
          </w:tcPr>
          <w:p w14:paraId="6A8159BF" w14:textId="53E5ECAE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077</w:t>
            </w:r>
          </w:p>
        </w:tc>
        <w:tc>
          <w:tcPr>
            <w:tcW w:w="547" w:type="pct"/>
          </w:tcPr>
          <w:p w14:paraId="7F5CF60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0.103</w:t>
            </w:r>
          </w:p>
        </w:tc>
        <w:tc>
          <w:tcPr>
            <w:tcW w:w="661" w:type="pct"/>
          </w:tcPr>
          <w:p w14:paraId="2C56B412" w14:textId="4438061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601</w:t>
            </w:r>
          </w:p>
        </w:tc>
        <w:tc>
          <w:tcPr>
            <w:tcW w:w="542" w:type="pct"/>
          </w:tcPr>
          <w:p w14:paraId="1546EE6F" w14:textId="60727EB6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744</w:t>
            </w:r>
          </w:p>
        </w:tc>
        <w:tc>
          <w:tcPr>
            <w:tcW w:w="481" w:type="pct"/>
          </w:tcPr>
          <w:p w14:paraId="5D35CE4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0.593</w:t>
            </w:r>
          </w:p>
        </w:tc>
        <w:tc>
          <w:tcPr>
            <w:tcW w:w="542" w:type="pct"/>
          </w:tcPr>
          <w:p w14:paraId="743724E0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0.143</w:t>
            </w:r>
          </w:p>
        </w:tc>
        <w:tc>
          <w:tcPr>
            <w:tcW w:w="422" w:type="pct"/>
          </w:tcPr>
          <w:p w14:paraId="028E903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7.008</w:t>
            </w:r>
          </w:p>
        </w:tc>
      </w:tr>
      <w:tr w:rsidR="00713DF0" w:rsidRPr="000F7FAC" w14:paraId="4129BC6C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5120AEF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6DE5B87C" w14:textId="321F364D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Baby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(kg)</w:t>
            </w:r>
          </w:p>
        </w:tc>
        <w:tc>
          <w:tcPr>
            <w:tcW w:w="474" w:type="pct"/>
          </w:tcPr>
          <w:p w14:paraId="20E35D1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547" w:type="pct"/>
          </w:tcPr>
          <w:p w14:paraId="4D761DE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661" w:type="pct"/>
          </w:tcPr>
          <w:p w14:paraId="47671B9C" w14:textId="703D69C7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136</w:t>
            </w:r>
          </w:p>
        </w:tc>
        <w:tc>
          <w:tcPr>
            <w:tcW w:w="542" w:type="pct"/>
          </w:tcPr>
          <w:p w14:paraId="599B1BF1" w14:textId="310D30E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170</w:t>
            </w:r>
          </w:p>
        </w:tc>
        <w:tc>
          <w:tcPr>
            <w:tcW w:w="481" w:type="pct"/>
          </w:tcPr>
          <w:p w14:paraId="2E8BD87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0.893</w:t>
            </w:r>
          </w:p>
        </w:tc>
        <w:tc>
          <w:tcPr>
            <w:tcW w:w="542" w:type="pct"/>
          </w:tcPr>
          <w:p w14:paraId="45FB7CD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0.146</w:t>
            </w:r>
          </w:p>
        </w:tc>
        <w:tc>
          <w:tcPr>
            <w:tcW w:w="422" w:type="pct"/>
          </w:tcPr>
          <w:p w14:paraId="5BF0D50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6.859</w:t>
            </w:r>
          </w:p>
        </w:tc>
      </w:tr>
      <w:tr w:rsidR="00713DF0" w:rsidRPr="000F7FAC" w14:paraId="2AF518B4" w14:textId="77777777" w:rsidTr="009173C3">
        <w:trPr>
          <w:cantSplit/>
          <w:trHeight w:val="443"/>
        </w:trPr>
        <w:tc>
          <w:tcPr>
            <w:tcW w:w="8" w:type="pct"/>
            <w:vMerge/>
          </w:tcPr>
          <w:p w14:paraId="792E424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EB10C08" w14:textId="6DB041F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First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stage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of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labor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474" w:type="pct"/>
          </w:tcPr>
          <w:p w14:paraId="69278D4F" w14:textId="71DE2C7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001</w:t>
            </w:r>
          </w:p>
        </w:tc>
        <w:tc>
          <w:tcPr>
            <w:tcW w:w="547" w:type="pct"/>
          </w:tcPr>
          <w:p w14:paraId="2D64FA06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661" w:type="pct"/>
          </w:tcPr>
          <w:p w14:paraId="15D8885B" w14:textId="2101473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542" w:type="pct"/>
          </w:tcPr>
          <w:p w14:paraId="2EF3CC2C" w14:textId="784C6F2C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200</w:t>
            </w:r>
          </w:p>
        </w:tc>
        <w:tc>
          <w:tcPr>
            <w:tcW w:w="481" w:type="pct"/>
          </w:tcPr>
          <w:p w14:paraId="59EC87E7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0.874</w:t>
            </w:r>
          </w:p>
        </w:tc>
        <w:tc>
          <w:tcPr>
            <w:tcW w:w="542" w:type="pct"/>
          </w:tcPr>
          <w:p w14:paraId="6226938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0.167</w:t>
            </w:r>
          </w:p>
        </w:tc>
        <w:tc>
          <w:tcPr>
            <w:tcW w:w="422" w:type="pct"/>
          </w:tcPr>
          <w:p w14:paraId="7CF7012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6.002</w:t>
            </w:r>
          </w:p>
        </w:tc>
      </w:tr>
      <w:tr w:rsidR="00713DF0" w:rsidRPr="000F7FAC" w14:paraId="675AA860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17C186E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6606F9A" w14:textId="690E2915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Second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stage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of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labor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474" w:type="pct"/>
          </w:tcPr>
          <w:p w14:paraId="6CA66F8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547" w:type="pct"/>
          </w:tcPr>
          <w:p w14:paraId="4811E01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0.010</w:t>
            </w:r>
          </w:p>
        </w:tc>
        <w:tc>
          <w:tcPr>
            <w:tcW w:w="661" w:type="pct"/>
          </w:tcPr>
          <w:p w14:paraId="70CDCB6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0.008</w:t>
            </w:r>
          </w:p>
        </w:tc>
        <w:tc>
          <w:tcPr>
            <w:tcW w:w="542" w:type="pct"/>
          </w:tcPr>
          <w:p w14:paraId="22014FD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0.020</w:t>
            </w:r>
          </w:p>
        </w:tc>
        <w:tc>
          <w:tcPr>
            <w:tcW w:w="481" w:type="pct"/>
          </w:tcPr>
          <w:p w14:paraId="275FC24B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0.987</w:t>
            </w:r>
          </w:p>
        </w:tc>
        <w:tc>
          <w:tcPr>
            <w:tcW w:w="542" w:type="pct"/>
          </w:tcPr>
          <w:p w14:paraId="1FAD880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0.560</w:t>
            </w:r>
          </w:p>
        </w:tc>
        <w:tc>
          <w:tcPr>
            <w:tcW w:w="422" w:type="pct"/>
          </w:tcPr>
          <w:p w14:paraId="5F47FA50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1.786</w:t>
            </w:r>
          </w:p>
        </w:tc>
      </w:tr>
      <w:tr w:rsidR="00713DF0" w:rsidRPr="000F7FAC" w14:paraId="21FB27B2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1BFA587F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6E21D002" w14:textId="00D736DF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content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r w:rsidR="00713DF0" w:rsidRPr="00BE226B">
              <w:rPr>
                <w:rFonts w:ascii="Book Antiqua" w:eastAsia="Book Antiqua" w:hAnsi="Book Antiqua" w:cs="Book Antiqua"/>
                <w:color w:val="000000"/>
              </w:rPr>
              <w:t>µ</w:t>
            </w:r>
            <w:r w:rsidRPr="00BE226B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474" w:type="pct"/>
          </w:tcPr>
          <w:p w14:paraId="2235CEB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0.013</w:t>
            </w:r>
          </w:p>
        </w:tc>
        <w:tc>
          <w:tcPr>
            <w:tcW w:w="547" w:type="pct"/>
          </w:tcPr>
          <w:p w14:paraId="054740C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661" w:type="pct"/>
          </w:tcPr>
          <w:p w14:paraId="198D026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0.494</w:t>
            </w:r>
          </w:p>
        </w:tc>
        <w:tc>
          <w:tcPr>
            <w:tcW w:w="542" w:type="pct"/>
          </w:tcPr>
          <w:p w14:paraId="51A15F9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0.928</w:t>
            </w:r>
          </w:p>
        </w:tc>
        <w:tc>
          <w:tcPr>
            <w:tcW w:w="481" w:type="pct"/>
          </w:tcPr>
          <w:p w14:paraId="36DDE71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0.524</w:t>
            </w:r>
          </w:p>
        </w:tc>
        <w:tc>
          <w:tcPr>
            <w:tcW w:w="542" w:type="pct"/>
          </w:tcPr>
          <w:p w14:paraId="79F7747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0.327</w:t>
            </w:r>
          </w:p>
        </w:tc>
        <w:tc>
          <w:tcPr>
            <w:tcW w:w="422" w:type="pct"/>
          </w:tcPr>
          <w:p w14:paraId="253CA10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3.056</w:t>
            </w:r>
          </w:p>
        </w:tc>
      </w:tr>
      <w:tr w:rsidR="00713DF0" w:rsidRPr="000F7FAC" w14:paraId="3A61DFFF" w14:textId="77777777" w:rsidTr="009173C3">
        <w:trPr>
          <w:cantSplit/>
          <w:trHeight w:val="70"/>
        </w:trPr>
        <w:tc>
          <w:tcPr>
            <w:tcW w:w="8" w:type="pct"/>
            <w:vMerge/>
          </w:tcPr>
          <w:p w14:paraId="3B2EA57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078DA85C" w14:textId="18328A61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gain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during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474" w:type="pct"/>
          </w:tcPr>
          <w:p w14:paraId="60808FC3" w14:textId="5BB4F119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</w:t>
            </w:r>
            <w:r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Pr="00BE226B">
              <w:rPr>
                <w:rFonts w:ascii="Book Antiqua" w:hAnsi="Book Antiqua"/>
                <w:color w:val="000000" w:themeColor="text1"/>
              </w:rPr>
              <w:t>366</w:t>
            </w:r>
          </w:p>
        </w:tc>
        <w:tc>
          <w:tcPr>
            <w:tcW w:w="547" w:type="pct"/>
          </w:tcPr>
          <w:p w14:paraId="3F180A7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0.175</w:t>
            </w:r>
          </w:p>
        </w:tc>
        <w:tc>
          <w:tcPr>
            <w:tcW w:w="661" w:type="pct"/>
          </w:tcPr>
          <w:p w14:paraId="1856AD9C" w14:textId="480CD024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938</w:t>
            </w:r>
          </w:p>
        </w:tc>
        <w:tc>
          <w:tcPr>
            <w:tcW w:w="542" w:type="pct"/>
          </w:tcPr>
          <w:p w14:paraId="504EF17E" w14:textId="09378A8A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2.098</w:t>
            </w:r>
          </w:p>
        </w:tc>
        <w:tc>
          <w:tcPr>
            <w:tcW w:w="481" w:type="pct"/>
          </w:tcPr>
          <w:p w14:paraId="7F9354F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0.283</w:t>
            </w:r>
          </w:p>
        </w:tc>
        <w:tc>
          <w:tcPr>
            <w:tcW w:w="542" w:type="pct"/>
          </w:tcPr>
          <w:p w14:paraId="522FCB5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0.465</w:t>
            </w:r>
          </w:p>
        </w:tc>
        <w:tc>
          <w:tcPr>
            <w:tcW w:w="422" w:type="pct"/>
          </w:tcPr>
          <w:p w14:paraId="0E99B92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2.151</w:t>
            </w:r>
          </w:p>
        </w:tc>
      </w:tr>
    </w:tbl>
    <w:p w14:paraId="6EB51B19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 w:rsidSect="004776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DD7569" w14:textId="65D25A0E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6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correlation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level</w:t>
      </w:r>
      <w:r w:rsidRPr="000F7FAC">
        <w:rPr>
          <w:rFonts w:ascii="Book Antiqua" w:eastAsia="微软雅黑" w:hAnsi="Book Antiqua"/>
          <w:b/>
          <w:color w:val="000000" w:themeColor="text1"/>
        </w:rPr>
        <w:t>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relaxin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other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1700"/>
        <w:gridCol w:w="1560"/>
        <w:gridCol w:w="1700"/>
        <w:gridCol w:w="1995"/>
        <w:gridCol w:w="2261"/>
        <w:gridCol w:w="1476"/>
        <w:gridCol w:w="1383"/>
      </w:tblGrid>
      <w:tr w:rsidR="00945B39" w:rsidRPr="000F7FAC" w14:paraId="2BF439B2" w14:textId="77777777" w:rsidTr="00945B39">
        <w:tc>
          <w:tcPr>
            <w:tcW w:w="418" w:type="pct"/>
            <w:tcBorders>
              <w:left w:val="nil"/>
              <w:right w:val="nil"/>
            </w:tcBorders>
          </w:tcPr>
          <w:p w14:paraId="62F7067F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39C13152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</w:tcPr>
          <w:p w14:paraId="438DE1F1" w14:textId="1396A6CB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w</w:t>
            </w:r>
            <w:r w:rsidR="00D834FE" w:rsidRPr="000F7FAC">
              <w:rPr>
                <w:rFonts w:ascii="Book Antiqua" w:hAnsi="Book Antiqua"/>
                <w:b/>
                <w:color w:val="000000" w:themeColor="text1"/>
              </w:rPr>
              <w:t>k</w:t>
            </w:r>
            <w:proofErr w:type="spellEnd"/>
            <w:r w:rsidRPr="000F7FAC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3521BB82" w14:textId="2C2B7996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757" w:type="pct"/>
            <w:tcBorders>
              <w:left w:val="nil"/>
              <w:right w:val="nil"/>
            </w:tcBorders>
          </w:tcPr>
          <w:p w14:paraId="6A2345B6" w14:textId="4C26B5D6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Pre</w:t>
            </w:r>
            <w:r w:rsidR="00945B39" w:rsidRPr="000F7FAC">
              <w:rPr>
                <w:rFonts w:ascii="Book Antiqua" w:hAnsi="Book Antiqua"/>
                <w:b/>
                <w:color w:val="000000" w:themeColor="text1"/>
              </w:rPr>
              <w:t>-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(kg)</w:t>
            </w:r>
          </w:p>
        </w:tc>
        <w:tc>
          <w:tcPr>
            <w:tcW w:w="858" w:type="pct"/>
            <w:tcBorders>
              <w:left w:val="nil"/>
              <w:right w:val="nil"/>
            </w:tcBorders>
          </w:tcPr>
          <w:p w14:paraId="66364F00" w14:textId="54ECE6B2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(kg)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14:paraId="4C81A4D1" w14:textId="14FA41AE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N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eonatal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(g)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14:paraId="249CBC65" w14:textId="75DE48CB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duration</w:t>
            </w:r>
          </w:p>
        </w:tc>
      </w:tr>
      <w:tr w:rsidR="00945B39" w:rsidRPr="000F7FAC" w14:paraId="3F4E58F3" w14:textId="77777777" w:rsidTr="00945B39"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14:paraId="535634AF" w14:textId="4803BFFE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level</w:t>
            </w:r>
          </w:p>
        </w:tc>
        <w:tc>
          <w:tcPr>
            <w:tcW w:w="645" w:type="pct"/>
            <w:tcBorders>
              <w:left w:val="nil"/>
              <w:bottom w:val="nil"/>
              <w:right w:val="nil"/>
            </w:tcBorders>
          </w:tcPr>
          <w:p w14:paraId="2D30014E" w14:textId="2FA6FD8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Pearson’s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correlation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coefficient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</w:tcPr>
          <w:p w14:paraId="25AEDE1C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0.145</w:t>
            </w:r>
          </w:p>
        </w:tc>
        <w:tc>
          <w:tcPr>
            <w:tcW w:w="645" w:type="pct"/>
            <w:tcBorders>
              <w:left w:val="nil"/>
              <w:bottom w:val="nil"/>
              <w:right w:val="nil"/>
            </w:tcBorders>
          </w:tcPr>
          <w:p w14:paraId="408BAAAB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0.118</w:t>
            </w:r>
          </w:p>
        </w:tc>
        <w:tc>
          <w:tcPr>
            <w:tcW w:w="757" w:type="pct"/>
            <w:tcBorders>
              <w:left w:val="nil"/>
              <w:bottom w:val="nil"/>
              <w:right w:val="nil"/>
            </w:tcBorders>
          </w:tcPr>
          <w:p w14:paraId="491F3B6F" w14:textId="4458442C" w:rsidR="0047762F" w:rsidRPr="000F7FAC" w:rsidRDefault="0071578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Yu Mincho" w:hAnsi="Book Antiqua"/>
                <w:color w:val="000000" w:themeColor="text1"/>
              </w:rPr>
              <w:t>−</w:t>
            </w:r>
            <w:r w:rsidR="0047762F" w:rsidRPr="000F7FAC">
              <w:rPr>
                <w:rFonts w:ascii="Book Antiqua" w:eastAsia="微软雅黑" w:hAnsi="Book Antiqua"/>
                <w:color w:val="000000" w:themeColor="text1"/>
              </w:rPr>
              <w:t>0.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081</w:t>
            </w: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14:paraId="4E37FEF2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0.012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553C59C9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</w:tcPr>
          <w:p w14:paraId="074D65F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0.034</w:t>
            </w:r>
          </w:p>
        </w:tc>
      </w:tr>
      <w:tr w:rsidR="00945B39" w:rsidRPr="000F7FAC" w14:paraId="7C584854" w14:textId="77777777" w:rsidTr="00945B39">
        <w:tc>
          <w:tcPr>
            <w:tcW w:w="418" w:type="pct"/>
            <w:vMerge/>
            <w:tcBorders>
              <w:left w:val="nil"/>
              <w:right w:val="nil"/>
            </w:tcBorders>
          </w:tcPr>
          <w:p w14:paraId="3BB74B67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</w:tcPr>
          <w:p w14:paraId="01D48231" w14:textId="2A9F01A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45B39" w:rsidRPr="000F7FAC">
              <w:rPr>
                <w:rFonts w:ascii="Book Antiqua" w:hAnsi="Book Antiqua"/>
                <w:iCs/>
                <w:color w:val="000000" w:themeColor="text1"/>
              </w:rPr>
              <w:t>value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</w:tcPr>
          <w:p w14:paraId="50934820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0.301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</w:tcPr>
          <w:p w14:paraId="3D42C18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0.339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</w:tcPr>
          <w:p w14:paraId="45082B78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0.563</w:t>
            </w: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14:paraId="65786DF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0.931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5820631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0.986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</w:tcPr>
          <w:p w14:paraId="6D87586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0.808</w:t>
            </w:r>
          </w:p>
        </w:tc>
      </w:tr>
    </w:tbl>
    <w:p w14:paraId="6083451B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 w:rsidSect="004776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6297CB" w14:textId="07703A75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7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correlation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20510D">
        <w:rPr>
          <w:rFonts w:ascii="Book Antiqua" w:hAnsi="Book Antiqua"/>
          <w:b/>
          <w:color w:val="000000" w:themeColor="text1"/>
        </w:rPr>
        <w:t xml:space="preserve"> degree of separation </w:t>
      </w:r>
      <w:r w:rsidR="00C707E6">
        <w:rPr>
          <w:rFonts w:ascii="Book Antiqua" w:hAnsi="Book Antiqua"/>
          <w:b/>
          <w:color w:val="000000" w:themeColor="text1"/>
        </w:rPr>
        <w:t>and</w:t>
      </w:r>
      <w:r w:rsidR="0020510D">
        <w:rPr>
          <w:rFonts w:ascii="Book Antiqua" w:hAnsi="Book Antiqua"/>
          <w:b/>
          <w:color w:val="000000" w:themeColor="text1"/>
        </w:rPr>
        <w:t xml:space="preserve"> Barthel index and v</w:t>
      </w:r>
      <w:r w:rsidR="0020510D" w:rsidRPr="0020510D">
        <w:rPr>
          <w:rFonts w:ascii="Book Antiqua" w:hAnsi="Book Antiqua"/>
          <w:b/>
          <w:color w:val="000000" w:themeColor="text1"/>
        </w:rPr>
        <w:t>isual analog scale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="0020510D">
        <w:rPr>
          <w:rFonts w:ascii="Book Antiqua" w:hAnsi="Book Antiqua"/>
          <w:b/>
          <w:color w:val="000000" w:themeColor="text1"/>
        </w:rPr>
        <w:t>score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81"/>
        <w:gridCol w:w="4722"/>
        <w:gridCol w:w="2221"/>
        <w:gridCol w:w="3052"/>
      </w:tblGrid>
      <w:tr w:rsidR="0047762F" w:rsidRPr="000F7FAC" w14:paraId="2CC62069" w14:textId="77777777" w:rsidTr="00E55DC7">
        <w:tc>
          <w:tcPr>
            <w:tcW w:w="1207" w:type="pct"/>
            <w:tcBorders>
              <w:left w:val="nil"/>
              <w:right w:val="nil"/>
            </w:tcBorders>
          </w:tcPr>
          <w:p w14:paraId="3D070FCB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</w:tcPr>
          <w:p w14:paraId="52F5AA7F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843" w:type="pct"/>
            <w:tcBorders>
              <w:left w:val="nil"/>
              <w:right w:val="nil"/>
            </w:tcBorders>
          </w:tcPr>
          <w:p w14:paraId="359ABC7A" w14:textId="2AFCD3A6" w:rsidR="0047762F" w:rsidRPr="000F7FAC" w:rsidRDefault="0047762F" w:rsidP="008B3D75">
            <w:pPr>
              <w:adjustRightInd w:val="0"/>
              <w:snapToGrid w:val="0"/>
              <w:spacing w:line="360" w:lineRule="auto"/>
              <w:contextualSpacing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Barthel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index</w:t>
            </w:r>
          </w:p>
        </w:tc>
        <w:tc>
          <w:tcPr>
            <w:tcW w:w="1158" w:type="pct"/>
            <w:tcBorders>
              <w:left w:val="nil"/>
              <w:right w:val="nil"/>
            </w:tcBorders>
          </w:tcPr>
          <w:p w14:paraId="0C3D7535" w14:textId="28D4F9DC" w:rsidR="0047762F" w:rsidRPr="000F7FAC" w:rsidRDefault="0047762F" w:rsidP="008B3D75">
            <w:pPr>
              <w:adjustRightInd w:val="0"/>
              <w:snapToGrid w:val="0"/>
              <w:spacing w:line="360" w:lineRule="auto"/>
              <w:contextualSpacing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Visual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analog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scale</w:t>
            </w:r>
          </w:p>
        </w:tc>
      </w:tr>
      <w:tr w:rsidR="0047762F" w:rsidRPr="000F7FAC" w14:paraId="604288B6" w14:textId="77777777" w:rsidTr="00E55DC7">
        <w:tc>
          <w:tcPr>
            <w:tcW w:w="1207" w:type="pct"/>
            <w:vMerge w:val="restart"/>
            <w:tcBorders>
              <w:left w:val="nil"/>
              <w:right w:val="nil"/>
            </w:tcBorders>
          </w:tcPr>
          <w:p w14:paraId="47D631CA" w14:textId="27D82383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Degree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separation</w:t>
            </w:r>
          </w:p>
        </w:tc>
        <w:tc>
          <w:tcPr>
            <w:tcW w:w="1792" w:type="pct"/>
            <w:tcBorders>
              <w:left w:val="nil"/>
              <w:bottom w:val="nil"/>
              <w:right w:val="nil"/>
            </w:tcBorders>
          </w:tcPr>
          <w:p w14:paraId="7F40DD75" w14:textId="7B0FA064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Pearson’s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correlation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coefficient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14:paraId="767CD1DA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−0.</w:t>
            </w:r>
            <w:r w:rsidRPr="000F7FAC">
              <w:rPr>
                <w:rFonts w:ascii="Book Antiqua" w:hAnsi="Book Antiqua"/>
                <w:color w:val="000000" w:themeColor="text1"/>
              </w:rPr>
              <w:t>828</w:t>
            </w:r>
          </w:p>
        </w:tc>
        <w:tc>
          <w:tcPr>
            <w:tcW w:w="1158" w:type="pct"/>
            <w:tcBorders>
              <w:left w:val="nil"/>
              <w:bottom w:val="nil"/>
              <w:right w:val="nil"/>
            </w:tcBorders>
          </w:tcPr>
          <w:p w14:paraId="2D8B9E3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0.960</w:t>
            </w:r>
          </w:p>
        </w:tc>
      </w:tr>
      <w:tr w:rsidR="0047762F" w:rsidRPr="000F7FAC" w14:paraId="3645030D" w14:textId="77777777" w:rsidTr="00E55DC7">
        <w:tc>
          <w:tcPr>
            <w:tcW w:w="1207" w:type="pct"/>
            <w:vMerge/>
            <w:tcBorders>
              <w:left w:val="nil"/>
              <w:right w:val="nil"/>
            </w:tcBorders>
          </w:tcPr>
          <w:p w14:paraId="7383A64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92" w:type="pct"/>
            <w:tcBorders>
              <w:top w:val="nil"/>
              <w:left w:val="nil"/>
              <w:right w:val="nil"/>
            </w:tcBorders>
          </w:tcPr>
          <w:p w14:paraId="1C8FBF4D" w14:textId="3956379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D64F78" w:rsidRPr="00D64F78">
              <w:rPr>
                <w:rFonts w:ascii="Book Antiqua" w:hAnsi="Book Antiqua"/>
                <w:iCs/>
                <w:color w:val="000000" w:themeColor="text1"/>
              </w:rPr>
              <w:t xml:space="preserve"> value</w:t>
            </w:r>
          </w:p>
        </w:tc>
        <w:tc>
          <w:tcPr>
            <w:tcW w:w="843" w:type="pct"/>
            <w:tcBorders>
              <w:top w:val="nil"/>
              <w:left w:val="nil"/>
              <w:right w:val="nil"/>
            </w:tcBorders>
          </w:tcPr>
          <w:p w14:paraId="51AAB308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1CA30D61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7B20D0C1" w14:textId="3030F066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sectPr w:rsidR="00950D94" w:rsidRPr="000F7FAC" w:rsidSect="00477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39E0" w14:textId="77777777" w:rsidR="00E4493F" w:rsidRDefault="00E4493F" w:rsidP="006D41F2">
      <w:r>
        <w:separator/>
      </w:r>
    </w:p>
  </w:endnote>
  <w:endnote w:type="continuationSeparator" w:id="0">
    <w:p w14:paraId="55060BE7" w14:textId="77777777" w:rsidR="00E4493F" w:rsidRDefault="00E4493F" w:rsidP="006D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E6B8" w14:textId="77777777" w:rsidR="000C13B5" w:rsidRPr="006D41F2" w:rsidRDefault="000C13B5" w:rsidP="006D41F2">
    <w:pPr>
      <w:pStyle w:val="a4"/>
      <w:jc w:val="right"/>
      <w:rPr>
        <w:rFonts w:ascii="Book Antiqua" w:hAnsi="Book Antiqua"/>
      </w:rPr>
    </w:pPr>
    <w:r w:rsidRPr="006D41F2">
      <w:rPr>
        <w:rFonts w:ascii="Book Antiqua" w:hAnsi="Book Antiqua"/>
        <w:lang w:val="zh-CN" w:eastAsia="zh-CN"/>
      </w:rPr>
      <w:t xml:space="preserve"> </w:t>
    </w:r>
    <w:r w:rsidRPr="006D41F2">
      <w:rPr>
        <w:rFonts w:ascii="Book Antiqua" w:hAnsi="Book Antiqua"/>
      </w:rPr>
      <w:fldChar w:fldCharType="begin"/>
    </w:r>
    <w:r w:rsidRPr="006D41F2">
      <w:rPr>
        <w:rFonts w:ascii="Book Antiqua" w:hAnsi="Book Antiqua"/>
      </w:rPr>
      <w:instrText>PAGE  \* Arabic  \* MERGEFORMAT</w:instrText>
    </w:r>
    <w:r w:rsidRPr="006D41F2">
      <w:rPr>
        <w:rFonts w:ascii="Book Antiqua" w:hAnsi="Book Antiqua"/>
      </w:rPr>
      <w:fldChar w:fldCharType="separate"/>
    </w:r>
    <w:r w:rsidR="008D058A" w:rsidRPr="008D058A">
      <w:rPr>
        <w:rFonts w:ascii="Book Antiqua" w:hAnsi="Book Antiqua"/>
        <w:noProof/>
        <w:lang w:val="zh-CN" w:eastAsia="zh-CN"/>
      </w:rPr>
      <w:t>4</w:t>
    </w:r>
    <w:r w:rsidRPr="006D41F2">
      <w:rPr>
        <w:rFonts w:ascii="Book Antiqua" w:hAnsi="Book Antiqua"/>
      </w:rPr>
      <w:fldChar w:fldCharType="end"/>
    </w:r>
    <w:r w:rsidRPr="006D41F2">
      <w:rPr>
        <w:rFonts w:ascii="Book Antiqua" w:hAnsi="Book Antiqua"/>
        <w:lang w:val="zh-CN" w:eastAsia="zh-CN"/>
      </w:rPr>
      <w:t xml:space="preserve"> / </w:t>
    </w:r>
    <w:r w:rsidRPr="006D41F2">
      <w:rPr>
        <w:rFonts w:ascii="Book Antiqua" w:hAnsi="Book Antiqua"/>
      </w:rPr>
      <w:fldChar w:fldCharType="begin"/>
    </w:r>
    <w:r w:rsidRPr="006D41F2">
      <w:rPr>
        <w:rFonts w:ascii="Book Antiqua" w:hAnsi="Book Antiqua"/>
      </w:rPr>
      <w:instrText>NUMPAGES  \* Arabic  \* MERGEFORMAT</w:instrText>
    </w:r>
    <w:r w:rsidRPr="006D41F2">
      <w:rPr>
        <w:rFonts w:ascii="Book Antiqua" w:hAnsi="Book Antiqua"/>
      </w:rPr>
      <w:fldChar w:fldCharType="separate"/>
    </w:r>
    <w:r w:rsidR="008D058A" w:rsidRPr="008D058A">
      <w:rPr>
        <w:rFonts w:ascii="Book Antiqua" w:hAnsi="Book Antiqua"/>
        <w:noProof/>
        <w:lang w:val="zh-CN" w:eastAsia="zh-CN"/>
      </w:rPr>
      <w:t>30</w:t>
    </w:r>
    <w:r w:rsidRPr="006D41F2">
      <w:rPr>
        <w:rFonts w:ascii="Book Antiqua" w:hAnsi="Book Antiqua"/>
      </w:rPr>
      <w:fldChar w:fldCharType="end"/>
    </w:r>
  </w:p>
  <w:p w14:paraId="05F2DABF" w14:textId="77777777" w:rsidR="000C13B5" w:rsidRDefault="000C13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A38D" w14:textId="77777777" w:rsidR="00E4493F" w:rsidRDefault="00E4493F" w:rsidP="006D41F2">
      <w:r>
        <w:separator/>
      </w:r>
    </w:p>
  </w:footnote>
  <w:footnote w:type="continuationSeparator" w:id="0">
    <w:p w14:paraId="1ABB71FC" w14:textId="77777777" w:rsidR="00E4493F" w:rsidRDefault="00E4493F" w:rsidP="006D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CE5"/>
    <w:rsid w:val="00027C67"/>
    <w:rsid w:val="0003630E"/>
    <w:rsid w:val="0005268F"/>
    <w:rsid w:val="000600A2"/>
    <w:rsid w:val="00061C01"/>
    <w:rsid w:val="00062517"/>
    <w:rsid w:val="00076F5B"/>
    <w:rsid w:val="0008441E"/>
    <w:rsid w:val="000A0358"/>
    <w:rsid w:val="000B3326"/>
    <w:rsid w:val="000C13B5"/>
    <w:rsid w:val="000C2EC8"/>
    <w:rsid w:val="000C3232"/>
    <w:rsid w:val="000E6182"/>
    <w:rsid w:val="000F0C67"/>
    <w:rsid w:val="000F463C"/>
    <w:rsid w:val="000F7FAC"/>
    <w:rsid w:val="00106460"/>
    <w:rsid w:val="00107629"/>
    <w:rsid w:val="00114A25"/>
    <w:rsid w:val="001157F3"/>
    <w:rsid w:val="001179A0"/>
    <w:rsid w:val="0012570A"/>
    <w:rsid w:val="00133D50"/>
    <w:rsid w:val="00136B85"/>
    <w:rsid w:val="00154E5A"/>
    <w:rsid w:val="001550BF"/>
    <w:rsid w:val="001558A2"/>
    <w:rsid w:val="0019014E"/>
    <w:rsid w:val="00196B0C"/>
    <w:rsid w:val="001A1FC5"/>
    <w:rsid w:val="001B3029"/>
    <w:rsid w:val="001D2463"/>
    <w:rsid w:val="001E309C"/>
    <w:rsid w:val="001E4467"/>
    <w:rsid w:val="0020510D"/>
    <w:rsid w:val="0022048C"/>
    <w:rsid w:val="002349EC"/>
    <w:rsid w:val="00285160"/>
    <w:rsid w:val="002942F1"/>
    <w:rsid w:val="00294F4C"/>
    <w:rsid w:val="002B1B58"/>
    <w:rsid w:val="002E58A1"/>
    <w:rsid w:val="002F2FAC"/>
    <w:rsid w:val="002F69B1"/>
    <w:rsid w:val="003004B8"/>
    <w:rsid w:val="0030605A"/>
    <w:rsid w:val="00312C22"/>
    <w:rsid w:val="003230D6"/>
    <w:rsid w:val="00337507"/>
    <w:rsid w:val="003475B7"/>
    <w:rsid w:val="00347A60"/>
    <w:rsid w:val="00376E14"/>
    <w:rsid w:val="00381785"/>
    <w:rsid w:val="00384722"/>
    <w:rsid w:val="003A2B66"/>
    <w:rsid w:val="003A6A6C"/>
    <w:rsid w:val="003C20AA"/>
    <w:rsid w:val="003C2E90"/>
    <w:rsid w:val="003D047D"/>
    <w:rsid w:val="003E50F6"/>
    <w:rsid w:val="003F46D6"/>
    <w:rsid w:val="003F4AF9"/>
    <w:rsid w:val="0040774B"/>
    <w:rsid w:val="00414F64"/>
    <w:rsid w:val="00450E16"/>
    <w:rsid w:val="004541E1"/>
    <w:rsid w:val="00463F9E"/>
    <w:rsid w:val="0047762F"/>
    <w:rsid w:val="004914F1"/>
    <w:rsid w:val="00492CBA"/>
    <w:rsid w:val="00495B73"/>
    <w:rsid w:val="004A2E3B"/>
    <w:rsid w:val="004C6F25"/>
    <w:rsid w:val="004D1028"/>
    <w:rsid w:val="004E7B3E"/>
    <w:rsid w:val="004F483D"/>
    <w:rsid w:val="005034DA"/>
    <w:rsid w:val="0051043F"/>
    <w:rsid w:val="0052185D"/>
    <w:rsid w:val="00533E42"/>
    <w:rsid w:val="00537776"/>
    <w:rsid w:val="005440AF"/>
    <w:rsid w:val="00550A5B"/>
    <w:rsid w:val="00571D98"/>
    <w:rsid w:val="00581342"/>
    <w:rsid w:val="0059269D"/>
    <w:rsid w:val="005E3190"/>
    <w:rsid w:val="005F3574"/>
    <w:rsid w:val="005F3622"/>
    <w:rsid w:val="0060362D"/>
    <w:rsid w:val="00611225"/>
    <w:rsid w:val="00611F34"/>
    <w:rsid w:val="00614188"/>
    <w:rsid w:val="006144EC"/>
    <w:rsid w:val="00616D5F"/>
    <w:rsid w:val="00635209"/>
    <w:rsid w:val="00644586"/>
    <w:rsid w:val="00654C8E"/>
    <w:rsid w:val="0067210B"/>
    <w:rsid w:val="0067431F"/>
    <w:rsid w:val="00687749"/>
    <w:rsid w:val="00692A82"/>
    <w:rsid w:val="006A5B9B"/>
    <w:rsid w:val="006C5B29"/>
    <w:rsid w:val="006D153A"/>
    <w:rsid w:val="006D41F2"/>
    <w:rsid w:val="00713DF0"/>
    <w:rsid w:val="0071578F"/>
    <w:rsid w:val="007351C3"/>
    <w:rsid w:val="00783B9F"/>
    <w:rsid w:val="007A086B"/>
    <w:rsid w:val="007A377F"/>
    <w:rsid w:val="007B571D"/>
    <w:rsid w:val="007B61B9"/>
    <w:rsid w:val="007D6959"/>
    <w:rsid w:val="007E46B5"/>
    <w:rsid w:val="007F1CB3"/>
    <w:rsid w:val="00800702"/>
    <w:rsid w:val="00804E82"/>
    <w:rsid w:val="00810176"/>
    <w:rsid w:val="008163E9"/>
    <w:rsid w:val="00847D1C"/>
    <w:rsid w:val="00851624"/>
    <w:rsid w:val="008548B2"/>
    <w:rsid w:val="00863B13"/>
    <w:rsid w:val="00867A0F"/>
    <w:rsid w:val="008A7460"/>
    <w:rsid w:val="008B3D75"/>
    <w:rsid w:val="008B7824"/>
    <w:rsid w:val="008C6B6A"/>
    <w:rsid w:val="008D058A"/>
    <w:rsid w:val="008E0B8A"/>
    <w:rsid w:val="008E20A0"/>
    <w:rsid w:val="008E3488"/>
    <w:rsid w:val="009042A6"/>
    <w:rsid w:val="009173C3"/>
    <w:rsid w:val="0094274A"/>
    <w:rsid w:val="00945B39"/>
    <w:rsid w:val="00947EBC"/>
    <w:rsid w:val="00950D94"/>
    <w:rsid w:val="00967D41"/>
    <w:rsid w:val="00970679"/>
    <w:rsid w:val="00975ECC"/>
    <w:rsid w:val="00980805"/>
    <w:rsid w:val="00990840"/>
    <w:rsid w:val="009A2628"/>
    <w:rsid w:val="009E348F"/>
    <w:rsid w:val="009E64CA"/>
    <w:rsid w:val="009F768D"/>
    <w:rsid w:val="00A3797F"/>
    <w:rsid w:val="00A528F9"/>
    <w:rsid w:val="00A73D29"/>
    <w:rsid w:val="00A77B3E"/>
    <w:rsid w:val="00A861C3"/>
    <w:rsid w:val="00A93D36"/>
    <w:rsid w:val="00AE2477"/>
    <w:rsid w:val="00B032FC"/>
    <w:rsid w:val="00B102E3"/>
    <w:rsid w:val="00B63719"/>
    <w:rsid w:val="00B75C0D"/>
    <w:rsid w:val="00B91061"/>
    <w:rsid w:val="00BA3445"/>
    <w:rsid w:val="00BB1E54"/>
    <w:rsid w:val="00BE226B"/>
    <w:rsid w:val="00BE43E2"/>
    <w:rsid w:val="00BF5477"/>
    <w:rsid w:val="00C06E66"/>
    <w:rsid w:val="00C1185E"/>
    <w:rsid w:val="00C13356"/>
    <w:rsid w:val="00C17847"/>
    <w:rsid w:val="00C245A2"/>
    <w:rsid w:val="00C25349"/>
    <w:rsid w:val="00C31B29"/>
    <w:rsid w:val="00C32278"/>
    <w:rsid w:val="00C4244F"/>
    <w:rsid w:val="00C6514C"/>
    <w:rsid w:val="00C707E6"/>
    <w:rsid w:val="00C7237D"/>
    <w:rsid w:val="00C87FB6"/>
    <w:rsid w:val="00CA2A55"/>
    <w:rsid w:val="00CB688E"/>
    <w:rsid w:val="00CC444B"/>
    <w:rsid w:val="00CC7BA7"/>
    <w:rsid w:val="00CD1CD6"/>
    <w:rsid w:val="00D01B63"/>
    <w:rsid w:val="00D1233B"/>
    <w:rsid w:val="00D21182"/>
    <w:rsid w:val="00D34DFD"/>
    <w:rsid w:val="00D372DC"/>
    <w:rsid w:val="00D4473D"/>
    <w:rsid w:val="00D5575A"/>
    <w:rsid w:val="00D577FC"/>
    <w:rsid w:val="00D60F52"/>
    <w:rsid w:val="00D64B67"/>
    <w:rsid w:val="00D64F78"/>
    <w:rsid w:val="00D72537"/>
    <w:rsid w:val="00D834FE"/>
    <w:rsid w:val="00D85377"/>
    <w:rsid w:val="00D8637C"/>
    <w:rsid w:val="00D86FEE"/>
    <w:rsid w:val="00D979C7"/>
    <w:rsid w:val="00DA3F30"/>
    <w:rsid w:val="00DC732D"/>
    <w:rsid w:val="00E04C06"/>
    <w:rsid w:val="00E17B22"/>
    <w:rsid w:val="00E4493F"/>
    <w:rsid w:val="00E538C9"/>
    <w:rsid w:val="00E55DC7"/>
    <w:rsid w:val="00E62FB8"/>
    <w:rsid w:val="00E749EF"/>
    <w:rsid w:val="00E90AE7"/>
    <w:rsid w:val="00EA1497"/>
    <w:rsid w:val="00EB40A7"/>
    <w:rsid w:val="00EB4C0B"/>
    <w:rsid w:val="00EB681D"/>
    <w:rsid w:val="00EC64E1"/>
    <w:rsid w:val="00ED3EB8"/>
    <w:rsid w:val="00ED5D37"/>
    <w:rsid w:val="00ED6A1E"/>
    <w:rsid w:val="00EE0FD4"/>
    <w:rsid w:val="00EE63AE"/>
    <w:rsid w:val="00EF152B"/>
    <w:rsid w:val="00F07E74"/>
    <w:rsid w:val="00F20047"/>
    <w:rsid w:val="00F56E78"/>
    <w:rsid w:val="00F5794B"/>
    <w:rsid w:val="00F660FA"/>
    <w:rsid w:val="00F67689"/>
    <w:rsid w:val="00F74EC8"/>
    <w:rsid w:val="00F80055"/>
    <w:rsid w:val="00F92E70"/>
    <w:rsid w:val="00FA2B82"/>
    <w:rsid w:val="00FA4BFE"/>
    <w:rsid w:val="00FA5987"/>
    <w:rsid w:val="00FC6DB3"/>
    <w:rsid w:val="00FD0A12"/>
    <w:rsid w:val="00FD0AD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3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1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1F2"/>
    <w:rPr>
      <w:sz w:val="18"/>
      <w:szCs w:val="18"/>
    </w:rPr>
  </w:style>
  <w:style w:type="paragraph" w:styleId="a5">
    <w:name w:val="Balloon Text"/>
    <w:basedOn w:val="a"/>
    <w:link w:val="Char1"/>
    <w:rsid w:val="00450E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0E16"/>
    <w:rPr>
      <w:sz w:val="18"/>
      <w:szCs w:val="18"/>
    </w:rPr>
  </w:style>
  <w:style w:type="table" w:styleId="a6">
    <w:name w:val="Table Grid"/>
    <w:basedOn w:val="a1"/>
    <w:uiPriority w:val="39"/>
    <w:qFormat/>
    <w:rsid w:val="0047762F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C7237D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C7237D"/>
  </w:style>
  <w:style w:type="character" w:customStyle="1" w:styleId="Char2">
    <w:name w:val="批注文字 Char"/>
    <w:basedOn w:val="a0"/>
    <w:link w:val="a8"/>
    <w:semiHidden/>
    <w:rsid w:val="00C7237D"/>
    <w:rPr>
      <w:sz w:val="24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C7237D"/>
    <w:rPr>
      <w:b/>
      <w:bCs/>
    </w:rPr>
  </w:style>
  <w:style w:type="character" w:customStyle="1" w:styleId="Char3">
    <w:name w:val="批注主题 Char"/>
    <w:basedOn w:val="Char2"/>
    <w:link w:val="a9"/>
    <w:semiHidden/>
    <w:rsid w:val="00C7237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3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1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1F2"/>
    <w:rPr>
      <w:sz w:val="18"/>
      <w:szCs w:val="18"/>
    </w:rPr>
  </w:style>
  <w:style w:type="paragraph" w:styleId="a5">
    <w:name w:val="Balloon Text"/>
    <w:basedOn w:val="a"/>
    <w:link w:val="Char1"/>
    <w:rsid w:val="00450E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0E16"/>
    <w:rPr>
      <w:sz w:val="18"/>
      <w:szCs w:val="18"/>
    </w:rPr>
  </w:style>
  <w:style w:type="table" w:styleId="a6">
    <w:name w:val="Table Grid"/>
    <w:basedOn w:val="a1"/>
    <w:uiPriority w:val="39"/>
    <w:qFormat/>
    <w:rsid w:val="0047762F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C7237D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C7237D"/>
  </w:style>
  <w:style w:type="character" w:customStyle="1" w:styleId="Char2">
    <w:name w:val="批注文字 Char"/>
    <w:basedOn w:val="a0"/>
    <w:link w:val="a8"/>
    <w:semiHidden/>
    <w:rsid w:val="00C7237D"/>
    <w:rPr>
      <w:sz w:val="24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C7237D"/>
    <w:rPr>
      <w:b/>
      <w:bCs/>
    </w:rPr>
  </w:style>
  <w:style w:type="character" w:customStyle="1" w:styleId="Char3">
    <w:name w:val="批注主题 Char"/>
    <w:basedOn w:val="Char2"/>
    <w:link w:val="a9"/>
    <w:semiHidden/>
    <w:rsid w:val="00C723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DBFD-5276-4399-9F2C-C4DEAAE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8</cp:revision>
  <dcterms:created xsi:type="dcterms:W3CDTF">2020-11-17T13:33:00Z</dcterms:created>
  <dcterms:modified xsi:type="dcterms:W3CDTF">2020-12-29T16:39:00Z</dcterms:modified>
</cp:coreProperties>
</file>