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B3E" w14:textId="7955976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3683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C939A07" w14:textId="37EBBA3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57451</w:t>
      </w:r>
    </w:p>
    <w:p w14:paraId="7588FCF2" w14:textId="67D0D2D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35CBA3D" w14:textId="77777777" w:rsidR="00A77B3E" w:rsidRDefault="00A77B3E">
      <w:pPr>
        <w:spacing w:line="360" w:lineRule="auto"/>
        <w:jc w:val="both"/>
      </w:pPr>
    </w:p>
    <w:p w14:paraId="37618669" w14:textId="7AA1540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36E323A" w14:textId="4FB17FB4" w:rsidR="00A77B3E" w:rsidRDefault="007E30FD">
      <w:pPr>
        <w:spacing w:line="360" w:lineRule="auto"/>
        <w:jc w:val="both"/>
      </w:pPr>
      <w:bookmarkStart w:id="0" w:name="OLE_LINK2016"/>
      <w:bookmarkStart w:id="1" w:name="OLE_LINK2017"/>
      <w:r>
        <w:rPr>
          <w:rFonts w:ascii="Book Antiqua" w:eastAsia="Book Antiqua" w:hAnsi="Book Antiqua" w:cs="Book Antiqua"/>
          <w:b/>
          <w:color w:val="000000"/>
        </w:rPr>
        <w:t>Major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antithrombotics</w:t>
      </w:r>
      <w:proofErr w:type="spellEnd"/>
      <w:r w:rsidR="00097ED1">
        <w:rPr>
          <w:rFonts w:ascii="Book Antiqua" w:eastAsia="Book Antiqua" w:hAnsi="Book Antiqua" w:cs="Book Antiqua"/>
          <w:b/>
          <w:color w:val="000000"/>
        </w:rPr>
        <w:t>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ED1">
        <w:rPr>
          <w:rFonts w:ascii="Book Antiqua" w:eastAsia="Book Antiqua" w:hAnsi="Book Antiqua" w:cs="Book Antiqua"/>
          <w:b/>
          <w:color w:val="000000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haracteristics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</w:p>
    <w:bookmarkEnd w:id="0"/>
    <w:bookmarkEnd w:id="1"/>
    <w:p w14:paraId="2589AADF" w14:textId="77777777" w:rsidR="00A77B3E" w:rsidRDefault="00A77B3E">
      <w:pPr>
        <w:spacing w:line="360" w:lineRule="auto"/>
        <w:jc w:val="both"/>
      </w:pPr>
    </w:p>
    <w:p w14:paraId="2D6CF1A6" w14:textId="5FF82D06" w:rsidR="00A77B3E" w:rsidRDefault="000831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30FD">
        <w:rPr>
          <w:rFonts w:ascii="Book Antiqua" w:eastAsia="Book Antiqua" w:hAnsi="Book Antiqua" w:cs="Book Antiqua"/>
          <w:color w:val="000000"/>
        </w:rPr>
        <w:t>antithrombotics</w:t>
      </w:r>
      <w:proofErr w:type="spellEnd"/>
    </w:p>
    <w:p w14:paraId="477F2F77" w14:textId="77777777" w:rsidR="00A77B3E" w:rsidRDefault="00A77B3E">
      <w:pPr>
        <w:spacing w:line="360" w:lineRule="auto"/>
        <w:jc w:val="both"/>
      </w:pPr>
    </w:p>
    <w:p w14:paraId="754CD0FA" w14:textId="2A4D5D3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Jacques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Damien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Quentin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</w:p>
    <w:p w14:paraId="1EFA047A" w14:textId="77777777" w:rsidR="00A77B3E" w:rsidRDefault="00A77B3E">
      <w:pPr>
        <w:spacing w:line="360" w:lineRule="auto"/>
        <w:jc w:val="both"/>
      </w:pPr>
    </w:p>
    <w:p w14:paraId="788A8752" w14:textId="2CE2E45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Jacques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Bouget,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Pharmacoepidemiology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75764E2C" w14:textId="77777777" w:rsidR="00A77B3E" w:rsidRDefault="00A77B3E">
      <w:pPr>
        <w:spacing w:line="360" w:lineRule="auto"/>
        <w:jc w:val="both"/>
      </w:pPr>
    </w:p>
    <w:p w14:paraId="56A1D1B6" w14:textId="484A2F7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Damien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Viglino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Unit-HP2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U1042,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Grenoble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Tronche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18F72A55" w14:textId="77777777" w:rsidR="00A77B3E" w:rsidRDefault="00A77B3E">
      <w:pPr>
        <w:spacing w:line="360" w:lineRule="auto"/>
        <w:jc w:val="both"/>
      </w:pPr>
    </w:p>
    <w:p w14:paraId="5D1FB1FB" w14:textId="727CC58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Quentin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Yvetot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3FBBF61" w14:textId="77777777" w:rsidR="00A77B3E" w:rsidRDefault="00A77B3E">
      <w:pPr>
        <w:spacing w:line="360" w:lineRule="auto"/>
        <w:jc w:val="both"/>
      </w:pPr>
    </w:p>
    <w:p w14:paraId="0BE9B3E0" w14:textId="4C0BC52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Oger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1FA63E5E" w14:textId="77777777" w:rsidR="00A77B3E" w:rsidRDefault="00A77B3E">
      <w:pPr>
        <w:spacing w:line="360" w:lineRule="auto"/>
        <w:jc w:val="both"/>
      </w:pPr>
    </w:p>
    <w:p w14:paraId="47B35325" w14:textId="20AD8B2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</w:t>
      </w:r>
      <w:r w:rsidR="0008315C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</w:p>
    <w:p w14:paraId="458998B8" w14:textId="77777777" w:rsidR="00A77B3E" w:rsidRDefault="00A77B3E">
      <w:pPr>
        <w:spacing w:line="360" w:lineRule="auto"/>
        <w:jc w:val="both"/>
      </w:pPr>
    </w:p>
    <w:p w14:paraId="4AB4A25C" w14:textId="39A59F7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8315C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No.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PHRC-12-009-0243.</w:t>
      </w:r>
    </w:p>
    <w:p w14:paraId="0EC58342" w14:textId="77777777" w:rsidR="00A77B3E" w:rsidRDefault="00A77B3E">
      <w:pPr>
        <w:spacing w:line="360" w:lineRule="auto"/>
        <w:jc w:val="both"/>
      </w:pPr>
    </w:p>
    <w:p w14:paraId="4A493AAA" w14:textId="0169483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Emmanuel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Oger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7449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Santé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Villejean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Professeur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35000,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emmanuel.oger@univ-rennes1.fr</w:t>
      </w:r>
    </w:p>
    <w:p w14:paraId="765C74BB" w14:textId="77777777" w:rsidR="00A77B3E" w:rsidRDefault="00A77B3E">
      <w:pPr>
        <w:spacing w:line="360" w:lineRule="auto"/>
        <w:jc w:val="both"/>
      </w:pPr>
    </w:p>
    <w:p w14:paraId="53F71621" w14:textId="160E7DB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918D4EB" w14:textId="7FF4CFB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8AD088C" w14:textId="5DBD77F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085E" w:rsidRPr="000B085E">
        <w:rPr>
          <w:rFonts w:ascii="Book Antiqua" w:eastAsia="Book Antiqua" w:hAnsi="Book Antiqua" w:cs="Book Antiqua"/>
          <w:color w:val="000000"/>
        </w:rPr>
        <w:t>August 29, 2020</w:t>
      </w:r>
    </w:p>
    <w:p w14:paraId="012DC026" w14:textId="3476CF0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3312AC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41E36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ABD37E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815E105" w14:textId="7A9609E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2A6669B0" w14:textId="77777777" w:rsidR="00A77B3E" w:rsidRDefault="00A77B3E">
      <w:pPr>
        <w:spacing w:line="360" w:lineRule="auto"/>
        <w:jc w:val="both"/>
      </w:pPr>
    </w:p>
    <w:p w14:paraId="35F15BDB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75DAF03" w14:textId="5B6CA73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300FC063" w14:textId="77777777" w:rsidR="00A77B3E" w:rsidRDefault="00A77B3E">
      <w:pPr>
        <w:spacing w:line="360" w:lineRule="auto"/>
        <w:jc w:val="both"/>
      </w:pPr>
    </w:p>
    <w:p w14:paraId="67545594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63F0C6" w14:textId="445A31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</w:p>
    <w:p w14:paraId="7A18A5E1" w14:textId="77777777" w:rsidR="00A77B3E" w:rsidRDefault="00A77B3E">
      <w:pPr>
        <w:spacing w:line="360" w:lineRule="auto"/>
        <w:jc w:val="both"/>
      </w:pPr>
    </w:p>
    <w:p w14:paraId="1EA0B3A8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61904E2" w14:textId="24EB28A3" w:rsidR="00A77B3E" w:rsidRDefault="0053683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Of </w:t>
      </w:r>
      <w:r w:rsidR="007E30FD">
        <w:rPr>
          <w:rFonts w:ascii="Book Antiqua" w:eastAsia="Book Antiqua" w:hAnsi="Book Antiqua" w:cs="Book Antiqua"/>
          <w:color w:val="000000"/>
        </w:rPr>
        <w:t>576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504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bleeding.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(35.5%)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Gastro-duodenal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(209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408)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colonic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diverticulum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causative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(120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289).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larger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proportion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anticoagulant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those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upper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locations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</w:t>
      </w:r>
      <w:r w:rsidR="0008315C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0.03).</w:t>
      </w:r>
      <w:r>
        <w:rPr>
          <w:rFonts w:ascii="Book Antiqua" w:eastAsia="Book Antiqua" w:hAnsi="Book Antiqua" w:cs="Book Antiqua"/>
          <w:color w:val="000000"/>
        </w:rPr>
        <w:t xml:space="preserve">  </w:t>
      </w:r>
      <w:r w:rsidR="007E30FD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gastro-duodenal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antithrombotic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(</w:t>
      </w:r>
      <w:r w:rsidR="0008315C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0.03),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taking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account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confounders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proton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pump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co-prescription.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Pair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wise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comparisons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pointed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difference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vitamin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antagonist,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oral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anticoagulants,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antiplatelet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monotherapy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E30FD">
        <w:rPr>
          <w:rFonts w:ascii="Book Antiqua" w:eastAsia="Book Antiqua" w:hAnsi="Book Antiqua" w:cs="Book Antiqua"/>
          <w:color w:val="000000"/>
        </w:rPr>
        <w:t>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antiplatelet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agents</w:t>
      </w:r>
      <w:r w:rsidR="007E30FD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58DD0534" w14:textId="77777777" w:rsidR="00A77B3E" w:rsidRDefault="00A77B3E">
      <w:pPr>
        <w:spacing w:line="360" w:lineRule="auto"/>
        <w:jc w:val="both"/>
      </w:pPr>
    </w:p>
    <w:p w14:paraId="321D711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2E8820A0" w14:textId="63B9711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(5.95%).</w:t>
      </w:r>
    </w:p>
    <w:p w14:paraId="3758667A" w14:textId="77777777" w:rsidR="00A77B3E" w:rsidRDefault="00A77B3E">
      <w:pPr>
        <w:spacing w:line="360" w:lineRule="auto"/>
        <w:jc w:val="both"/>
      </w:pPr>
    </w:p>
    <w:p w14:paraId="556033AE" w14:textId="41E1228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eal-world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mergency;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leeding;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ortality;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315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anagement</w:t>
      </w:r>
    </w:p>
    <w:p w14:paraId="66AB807C" w14:textId="77777777" w:rsidR="00A77B3E" w:rsidRDefault="00A77B3E">
      <w:pPr>
        <w:spacing w:line="360" w:lineRule="auto"/>
        <w:jc w:val="both"/>
      </w:pPr>
    </w:p>
    <w:p w14:paraId="5C6D12ED" w14:textId="47C12F0D" w:rsidR="00A77B3E" w:rsidRDefault="007E30FD">
      <w:pPr>
        <w:spacing w:line="360" w:lineRule="auto"/>
        <w:jc w:val="both"/>
      </w:pPr>
      <w:bookmarkStart w:id="2" w:name="OLE_LINK2037"/>
      <w:bookmarkStart w:id="3" w:name="OLE_LINK2038"/>
      <w:r>
        <w:rPr>
          <w:rFonts w:ascii="Book Antiqua" w:eastAsia="Book Antiqua" w:hAnsi="Book Antiqua" w:cs="Book Antiqua"/>
          <w:color w:val="000000"/>
        </w:rPr>
        <w:t>Bouget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Viglino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Yvetot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2"/>
    <w:bookmarkEnd w:id="3"/>
    <w:p w14:paraId="5F7BEDEE" w14:textId="77777777" w:rsidR="00A77B3E" w:rsidRDefault="00A77B3E">
      <w:pPr>
        <w:spacing w:line="360" w:lineRule="auto"/>
        <w:jc w:val="both"/>
      </w:pPr>
    </w:p>
    <w:p w14:paraId="3063A984" w14:textId="24D59D9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3755382" w14:textId="38FFB39F" w:rsidR="00A77B3E" w:rsidRDefault="00B17406">
      <w:pPr>
        <w:spacing w:line="360" w:lineRule="auto"/>
        <w:jc w:val="both"/>
      </w:pPr>
      <w:r>
        <w:br w:type="page"/>
      </w:r>
      <w:r w:rsidR="007E30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7118727" w14:textId="2F01665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-antiplatelet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anticoagulants-particularly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67AD6C8" w14:textId="27B6771F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(VKA)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48926253"/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bookmarkEnd w:id="4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(DOAC),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6-10]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6-10]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</w:p>
    <w:p w14:paraId="618E9AFC" w14:textId="65FF6F03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36DC97C7" w14:textId="77777777" w:rsidR="00A77B3E" w:rsidRDefault="00A77B3E">
      <w:pPr>
        <w:spacing w:line="360" w:lineRule="auto"/>
        <w:jc w:val="both"/>
      </w:pPr>
    </w:p>
    <w:p w14:paraId="47B78C27" w14:textId="3A3A32F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7888C5B" w14:textId="4F3EBAC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7C7D773D" w14:textId="3720F93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4546CD9" w14:textId="1E458387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161A89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computerised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47E08">
        <w:rPr>
          <w:rFonts w:ascii="Book Antiqua" w:eastAsia="Book Antiqua" w:hAnsi="Book Antiqua" w:cs="Book Antiqua"/>
          <w:color w:val="000000"/>
        </w:rPr>
        <w:t>Su</w:t>
      </w:r>
      <w:r w:rsidR="00347E08">
        <w:rPr>
          <w:rFonts w:ascii="Book Antiqua" w:eastAsia="Book Antiqua" w:hAnsi="Book Antiqua" w:cs="Book Antiqua" w:hint="eastAsia"/>
          <w:color w:val="000000"/>
          <w:lang w:eastAsia="zh-CN"/>
        </w:rPr>
        <w:t>pp</w:t>
      </w:r>
      <w:r w:rsidR="00347E08">
        <w:rPr>
          <w:rFonts w:ascii="Book Antiqua" w:eastAsia="Book Antiqua" w:hAnsi="Book Antiqua" w:cs="Book Antiqua"/>
          <w:color w:val="000000"/>
          <w:lang w:eastAsia="zh-CN"/>
        </w:rPr>
        <w:t>lementary T</w:t>
      </w:r>
      <w:r w:rsidR="00347E08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347E08">
        <w:rPr>
          <w:rFonts w:ascii="Book Antiqua" w:eastAsia="Book Antiqua" w:hAnsi="Book Antiqua" w:cs="Book Antiqua"/>
          <w:color w:val="000000"/>
          <w:lang w:eastAsia="zh-CN"/>
        </w:rPr>
        <w:t xml:space="preserve">ble 1, </w:t>
      </w:r>
      <w:r>
        <w:rPr>
          <w:rFonts w:ascii="Book Antiqua" w:eastAsia="Book Antiqua" w:hAnsi="Book Antiqua" w:cs="Book Antiqua"/>
          <w:color w:val="000000"/>
        </w:rPr>
        <w:t>ICD-10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nstable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(systolic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406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53683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40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overdoses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65E0AD40" w14:textId="77777777" w:rsidR="00A77B3E" w:rsidRDefault="00A77B3E">
      <w:pPr>
        <w:spacing w:line="360" w:lineRule="auto"/>
        <w:jc w:val="both"/>
      </w:pPr>
    </w:p>
    <w:p w14:paraId="77636A28" w14:textId="0A91117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3BEC6EAD" w14:textId="6C90AC0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co-morbid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bleeding/outcome,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intensive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17406" w:rsidRPr="00B17406">
        <w:rPr>
          <w:rFonts w:ascii="Book Antiqua" w:eastAsia="Book Antiqua" w:hAnsi="Book Antiqua" w:cs="Book Antiqua"/>
          <w:color w:val="000000"/>
        </w:rPr>
        <w:t>unit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computed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tomography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electro-cautery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</w:p>
    <w:p w14:paraId="785EBD48" w14:textId="77777777" w:rsidR="00A77B3E" w:rsidRDefault="00A77B3E">
      <w:pPr>
        <w:spacing w:line="360" w:lineRule="auto"/>
        <w:jc w:val="both"/>
      </w:pPr>
    </w:p>
    <w:p w14:paraId="65907C93" w14:textId="6B4797F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307F255" w14:textId="08A5270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Firstly,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2E8AC67" w14:textId="1A593AFF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four-class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co-prescription.</w:t>
      </w:r>
    </w:p>
    <w:p w14:paraId="032AB946" w14:textId="48493992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19125B58" w14:textId="5D6A89E3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stratum,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7046F930" w14:textId="12F796C5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United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260155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DD29C72" w14:textId="77777777" w:rsidR="00A77B3E" w:rsidRDefault="00A77B3E">
      <w:pPr>
        <w:spacing w:line="360" w:lineRule="auto"/>
        <w:jc w:val="both"/>
      </w:pPr>
    </w:p>
    <w:p w14:paraId="43C8C4EA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371675" w14:textId="0EF07CE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4654AFD" w14:textId="75F5F3E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(53.3%)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(hematemesis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(46.7%)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(hematochezia).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(1.85%)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(7.41%)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7CFAA67F" w14:textId="1C36AE2E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" w:name="OLE_LINK2020"/>
      <w:bookmarkStart w:id="6" w:name="OLE_LINK2021"/>
      <w:r w:rsidR="0053683E">
        <w:rPr>
          <w:rFonts w:ascii="Book Antiqua" w:eastAsia="Book Antiqua" w:hAnsi="Book Antiqua" w:cs="Book Antiqua"/>
          <w:color w:val="000000"/>
        </w:rPr>
        <w:t>Supplementary T</w:t>
      </w:r>
      <w:r>
        <w:rPr>
          <w:rFonts w:ascii="Book Antiqua" w:eastAsia="Book Antiqua" w:hAnsi="Book Antiqua" w:cs="Book Antiqua"/>
          <w:color w:val="000000"/>
        </w:rPr>
        <w:t>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bookmarkEnd w:id="5"/>
      <w:bookmarkEnd w:id="6"/>
      <w:r>
        <w:rPr>
          <w:rFonts w:ascii="Book Antiqua" w:eastAsia="Book Antiqua" w:hAnsi="Book Antiqua" w:cs="Book Antiqua"/>
          <w:color w:val="000000"/>
        </w:rPr>
        <w:t>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anticoagulant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53683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022"/>
      <w:bookmarkStart w:id="8" w:name="OLE_LINK2023"/>
      <w:r w:rsidR="0053683E">
        <w:rPr>
          <w:rFonts w:ascii="Book Antiqua" w:eastAsia="Book Antiqua" w:hAnsi="Book Antiqua" w:cs="Book Antiqua"/>
          <w:color w:val="000000"/>
        </w:rPr>
        <w:t>Supplementary Table 2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.</w:t>
      </w:r>
    </w:p>
    <w:p w14:paraId="36D24721" w14:textId="4F4A9122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Twenty-one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(1.9%)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3BFF9388" w14:textId="77777777" w:rsidR="00A77B3E" w:rsidRDefault="00A77B3E">
      <w:pPr>
        <w:spacing w:line="360" w:lineRule="auto"/>
        <w:jc w:val="both"/>
      </w:pPr>
    </w:p>
    <w:p w14:paraId="56CB9A60" w14:textId="1663576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5BEE4A23" w14:textId="6D5E1F3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(64.5%),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(35.5%),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Supplementary Table 3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9F04D1" w14:textId="6C20B56B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angiodysplasia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288).</w:t>
      </w:r>
    </w:p>
    <w:p w14:paraId="7288B98A" w14:textId="79B6E5B7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(hematochezia)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242C764" w14:textId="0878A65D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3683E">
        <w:rPr>
          <w:rFonts w:ascii="Book Antiqua" w:eastAsia="Book Antiqua" w:hAnsi="Book Antiqua" w:cs="Book Antiqua"/>
          <w:color w:val="000000"/>
        </w:rPr>
        <w:t>Supplementary Table 4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6E7FC4D" w14:textId="5347F2F1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Supplementary Tables 5 and 6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CC6FFED" w14:textId="1EEA2BDA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1667">
        <w:rPr>
          <w:rFonts w:ascii="Book Antiqua" w:eastAsia="Book Antiqua" w:hAnsi="Book Antiqua" w:cs="Book Antiqua"/>
          <w:color w:val="000000"/>
        </w:rPr>
        <w:t>Supplementary T</w:t>
      </w:r>
      <w:r w:rsidR="00E11667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E11667">
        <w:rPr>
          <w:rFonts w:ascii="Book Antiqua" w:eastAsia="Book Antiqua" w:hAnsi="Book Antiqua" w:cs="Book Antiqua"/>
          <w:color w:val="000000"/>
          <w:lang w:eastAsia="zh-CN"/>
        </w:rPr>
        <w:t xml:space="preserve">le 7 </w:t>
      </w:r>
      <w:r w:rsidR="00260155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60155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Indeed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60155" w:rsidRPr="00161A8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0.02).</w:t>
      </w:r>
    </w:p>
    <w:p w14:paraId="1954EB6F" w14:textId="150D2685" w:rsidR="00A77B3E" w:rsidRDefault="007E30FD" w:rsidP="00161A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PPI</w:t>
      </w:r>
      <w:r w:rsidR="00577B67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7B67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7B67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co-prescription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 w:rsidRPr="00365B11">
        <w:rPr>
          <w:rFonts w:ascii="Book Antiqua" w:eastAsia="Book Antiqua" w:hAnsi="Book Antiqua" w:cs="Book Antiqua"/>
          <w:color w:val="000000"/>
        </w:rPr>
        <w:t>odds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 w:rsidRPr="00365B11">
        <w:rPr>
          <w:rFonts w:ascii="Book Antiqua" w:eastAsia="Book Antiqua" w:hAnsi="Book Antiqua" w:cs="Book Antiqua"/>
          <w:color w:val="000000"/>
        </w:rPr>
        <w:t>ratio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(</w:t>
      </w:r>
      <w:r w:rsidRPr="00365B11">
        <w:rPr>
          <w:rFonts w:ascii="Book Antiqua" w:eastAsia="Book Antiqua" w:hAnsi="Book Antiqua" w:cs="Book Antiqua"/>
          <w:color w:val="000000"/>
        </w:rPr>
        <w:t>OR</w:t>
      </w:r>
      <w:r w:rsidR="00365B11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0.88</w:t>
      </w:r>
      <w:r w:rsidR="00365B11">
        <w:rPr>
          <w:rFonts w:ascii="Book Antiqua" w:eastAsia="Book Antiqua" w:hAnsi="Book Antiqua" w:cs="Book Antiqua"/>
          <w:color w:val="000000"/>
        </w:rPr>
        <w:t>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7.7),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6.7),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39)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577B67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577B6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9D8CDF9" w14:textId="77777777" w:rsidR="00A77B3E" w:rsidRDefault="00A77B3E">
      <w:pPr>
        <w:spacing w:line="360" w:lineRule="auto"/>
        <w:jc w:val="both"/>
      </w:pPr>
    </w:p>
    <w:p w14:paraId="3D62C2B1" w14:textId="1F6F79E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0D3D619" w14:textId="70C661CA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p w14:paraId="74D8E901" w14:textId="77777777" w:rsidR="00577B67" w:rsidRDefault="00577B67">
      <w:pPr>
        <w:spacing w:line="360" w:lineRule="auto"/>
        <w:jc w:val="both"/>
      </w:pPr>
    </w:p>
    <w:p w14:paraId="29C92FBC" w14:textId="68773538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1A89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1A89">
        <w:rPr>
          <w:rFonts w:ascii="Book Antiqua" w:eastAsia="Book Antiqua" w:hAnsi="Book Antiqua" w:cs="Book Antiqua"/>
          <w:b/>
          <w:bCs/>
          <w:color w:val="000000"/>
        </w:rPr>
        <w:t>management: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one-fifth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50.6%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prothrombin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complex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 w:rsidRPr="00D3628A">
        <w:rPr>
          <w:rFonts w:ascii="Book Antiqua" w:eastAsia="Book Antiqua" w:hAnsi="Book Antiqua" w:cs="Book Antiqua"/>
          <w:color w:val="000000"/>
        </w:rPr>
        <w:t>concentrate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D3628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PCC</w:t>
      </w:r>
      <w:r w:rsidR="00D3628A">
        <w:rPr>
          <w:rFonts w:ascii="Book Antiqua" w:eastAsia="Book Antiqua" w:hAnsi="Book Antiqua" w:cs="Book Antiqua"/>
          <w:color w:val="000000"/>
        </w:rPr>
        <w:t>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(</w:t>
      </w:r>
      <w:bookmarkStart w:id="9" w:name="OLE_LINK2024"/>
      <w:bookmarkStart w:id="10" w:name="OLE_LINK2025"/>
      <w:r w:rsidR="0053683E">
        <w:rPr>
          <w:rFonts w:ascii="Book Antiqua" w:eastAsia="Book Antiqua" w:hAnsi="Book Antiqua" w:cs="Book Antiqua"/>
          <w:color w:val="000000"/>
        </w:rPr>
        <w:t>S</w:t>
      </w:r>
      <w:r w:rsidR="0053683E" w:rsidRPr="00577B67">
        <w:rPr>
          <w:rFonts w:ascii="Book Antiqua" w:eastAsia="Book Antiqua" w:hAnsi="Book Antiqua" w:cs="Book Antiqua"/>
          <w:color w:val="000000"/>
        </w:rPr>
        <w:t>upplementary</w:t>
      </w:r>
      <w:r w:rsidR="0053683E">
        <w:rPr>
          <w:rFonts w:ascii="Book Antiqua" w:eastAsia="Book Antiqua" w:hAnsi="Book Antiqua" w:cs="Book Antiqua"/>
          <w:color w:val="000000"/>
        </w:rPr>
        <w:t xml:space="preserve"> T</w:t>
      </w:r>
      <w:r w:rsidR="0053683E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53683E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577B67" w:rsidRPr="00577B67">
        <w:rPr>
          <w:rFonts w:ascii="Book Antiqua" w:eastAsia="Book Antiqua" w:hAnsi="Book Antiqua" w:cs="Book Antiqua"/>
          <w:color w:val="000000"/>
        </w:rPr>
        <w:t>8</w:t>
      </w:r>
      <w:r w:rsidR="0053683E">
        <w:rPr>
          <w:rFonts w:ascii="Book Antiqua" w:eastAsia="Book Antiqua" w:hAnsi="Book Antiqua" w:cs="Book Antiqua"/>
          <w:color w:val="000000"/>
        </w:rPr>
        <w:t xml:space="preserve">, </w:t>
      </w:r>
      <w:r w:rsidR="00577B67" w:rsidRPr="00577B67">
        <w:rPr>
          <w:rFonts w:ascii="Book Antiqua" w:eastAsia="Book Antiqua" w:hAnsi="Book Antiqua" w:cs="Book Antiqua"/>
          <w:color w:val="000000"/>
        </w:rPr>
        <w:t>panel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A</w:t>
      </w:r>
      <w:bookmarkEnd w:id="9"/>
      <w:bookmarkEnd w:id="10"/>
      <w:r w:rsidR="00577B67" w:rsidRPr="00577B6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7BAE81" w14:textId="77777777" w:rsidR="00577B67" w:rsidRDefault="00577B67">
      <w:pPr>
        <w:spacing w:line="360" w:lineRule="auto"/>
        <w:jc w:val="both"/>
      </w:pPr>
    </w:p>
    <w:p w14:paraId="2639110C" w14:textId="13CCE84A" w:rsidR="00A77B3E" w:rsidRDefault="007E30FD">
      <w:pPr>
        <w:spacing w:line="360" w:lineRule="auto"/>
        <w:jc w:val="both"/>
      </w:pPr>
      <w:r w:rsidRPr="00365B11">
        <w:rPr>
          <w:rFonts w:ascii="Book Antiqua" w:eastAsia="Book Antiqua" w:hAnsi="Book Antiqua" w:cs="Book Antiqua"/>
          <w:b/>
          <w:bCs/>
          <w:color w:val="000000"/>
        </w:rPr>
        <w:t>Lower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5B11">
        <w:rPr>
          <w:rFonts w:ascii="Book Antiqua" w:eastAsia="Book Antiqua" w:hAnsi="Book Antiqua" w:cs="Book Antiqua"/>
          <w:b/>
          <w:bCs/>
          <w:color w:val="000000"/>
        </w:rPr>
        <w:t>management: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51.7%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27.3%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DOACs.</w:t>
      </w:r>
      <w:r w:rsidR="0053683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(</w:t>
      </w:r>
      <w:bookmarkStart w:id="11" w:name="OLE_LINK2028"/>
      <w:bookmarkStart w:id="12" w:name="OLE_LINK2029"/>
      <w:r w:rsidR="0053683E">
        <w:rPr>
          <w:rFonts w:ascii="Book Antiqua" w:eastAsia="Book Antiqua" w:hAnsi="Book Antiqua" w:cs="Book Antiqua"/>
          <w:color w:val="000000"/>
        </w:rPr>
        <w:t>S</w:t>
      </w:r>
      <w:r w:rsidR="0053683E" w:rsidRPr="00577B67">
        <w:rPr>
          <w:rFonts w:ascii="Book Antiqua" w:eastAsia="Book Antiqua" w:hAnsi="Book Antiqua" w:cs="Book Antiqua"/>
          <w:color w:val="000000"/>
        </w:rPr>
        <w:t>upplementary</w:t>
      </w:r>
      <w:r w:rsidR="0053683E">
        <w:rPr>
          <w:rFonts w:ascii="Book Antiqua" w:eastAsia="Book Antiqua" w:hAnsi="Book Antiqua" w:cs="Book Antiqua"/>
          <w:color w:val="000000"/>
        </w:rPr>
        <w:t xml:space="preserve"> T</w:t>
      </w:r>
      <w:r w:rsidR="0053683E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53683E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53683E" w:rsidRPr="00577B67">
        <w:rPr>
          <w:rFonts w:ascii="Book Antiqua" w:eastAsia="Book Antiqua" w:hAnsi="Book Antiqua" w:cs="Book Antiqua"/>
          <w:color w:val="000000"/>
        </w:rPr>
        <w:t>8</w:t>
      </w:r>
      <w:bookmarkEnd w:id="11"/>
      <w:bookmarkEnd w:id="12"/>
      <w:r w:rsidR="0053683E">
        <w:rPr>
          <w:rFonts w:ascii="Book Antiqua" w:eastAsia="Book Antiqua" w:hAnsi="Book Antiqua" w:cs="Book Antiqua"/>
          <w:color w:val="000000"/>
        </w:rPr>
        <w:t xml:space="preserve">, </w:t>
      </w:r>
      <w:r w:rsidR="00577B67" w:rsidRPr="00577B67">
        <w:rPr>
          <w:rFonts w:ascii="Book Antiqua" w:eastAsia="Book Antiqua" w:hAnsi="Book Antiqua" w:cs="Book Antiqua"/>
          <w:color w:val="000000"/>
        </w:rPr>
        <w:t>panel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77B67" w:rsidRPr="00577B67">
        <w:rPr>
          <w:rFonts w:ascii="Book Antiqua" w:eastAsia="Book Antiqua" w:hAnsi="Book Antiqua" w:cs="Book Antiqua"/>
          <w:color w:val="000000"/>
        </w:rPr>
        <w:t>B)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4FB35A" w14:textId="78D43C80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81.7%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11667">
        <w:rPr>
          <w:rFonts w:ascii="Book Antiqua" w:eastAsia="Book Antiqua" w:hAnsi="Book Antiqua" w:cs="Book Antiqua"/>
          <w:color w:val="000000"/>
        </w:rPr>
        <w:t>S</w:t>
      </w:r>
      <w:r w:rsidR="00E11667" w:rsidRPr="00577B67">
        <w:rPr>
          <w:rFonts w:ascii="Book Antiqua" w:eastAsia="Book Antiqua" w:hAnsi="Book Antiqua" w:cs="Book Antiqua"/>
          <w:color w:val="000000"/>
        </w:rPr>
        <w:t>upplementary</w:t>
      </w:r>
      <w:r w:rsidR="00E11667">
        <w:rPr>
          <w:rFonts w:ascii="Book Antiqua" w:eastAsia="Book Antiqua" w:hAnsi="Book Antiqua" w:cs="Book Antiqua"/>
          <w:color w:val="000000"/>
        </w:rPr>
        <w:t xml:space="preserve"> T</w:t>
      </w:r>
      <w:r w:rsidR="00E11667">
        <w:rPr>
          <w:rFonts w:ascii="Book Antiqua" w:eastAsia="Book Antiqua" w:hAnsi="Book Antiqua" w:cs="Book Antiqua" w:hint="eastAsia"/>
          <w:color w:val="000000"/>
          <w:lang w:eastAsia="zh-CN"/>
        </w:rPr>
        <w:t>ab</w:t>
      </w:r>
      <w:r w:rsidR="00E11667">
        <w:rPr>
          <w:rFonts w:ascii="Book Antiqua" w:eastAsia="Book Antiqua" w:hAnsi="Book Antiqua" w:cs="Book Antiqua"/>
          <w:color w:val="000000"/>
          <w:lang w:eastAsia="zh-CN"/>
        </w:rPr>
        <w:t xml:space="preserve">le </w:t>
      </w:r>
      <w:r w:rsidR="00E11667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6AA07429" w14:textId="77777777" w:rsidR="00A77B3E" w:rsidRDefault="00A77B3E">
      <w:pPr>
        <w:spacing w:line="360" w:lineRule="auto"/>
        <w:jc w:val="both"/>
      </w:pPr>
    </w:p>
    <w:p w14:paraId="28953B7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Fatalities</w:t>
      </w:r>
    </w:p>
    <w:p w14:paraId="0016ED4C" w14:textId="6414CD5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(5.95%)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6.94%)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437,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4.83%).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628A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0A9A1E68" w14:textId="77777777" w:rsidR="00A77B3E" w:rsidRDefault="00A77B3E">
      <w:pPr>
        <w:spacing w:line="360" w:lineRule="auto"/>
        <w:jc w:val="both"/>
      </w:pPr>
    </w:p>
    <w:p w14:paraId="558D2C2F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3E4FB9C" w14:textId="1A99C85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fatalities.</w:t>
      </w:r>
    </w:p>
    <w:p w14:paraId="22954C97" w14:textId="77777777" w:rsidR="00A77B3E" w:rsidRDefault="00A77B3E">
      <w:pPr>
        <w:spacing w:line="360" w:lineRule="auto"/>
        <w:jc w:val="both"/>
      </w:pPr>
    </w:p>
    <w:p w14:paraId="54A80A2E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Investigations</w:t>
      </w:r>
    </w:p>
    <w:p w14:paraId="4D9B71EF" w14:textId="36F80BD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64.5%,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6A30F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58.4%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3E36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5F6EB4E4" w14:textId="77777777" w:rsidR="00A77B3E" w:rsidRDefault="00A77B3E">
      <w:pPr>
        <w:spacing w:line="360" w:lineRule="auto"/>
        <w:jc w:val="both"/>
      </w:pPr>
    </w:p>
    <w:p w14:paraId="351E6B37" w14:textId="2A1E88A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DOAC</w:t>
      </w:r>
    </w:p>
    <w:p w14:paraId="6B03F565" w14:textId="28DEE69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non-absorbed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bioavailability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causticity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tartric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Sherwood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11EA0A6C" w14:textId="77777777" w:rsidR="00A77B3E" w:rsidRDefault="00A77B3E">
      <w:pPr>
        <w:spacing w:line="360" w:lineRule="auto"/>
        <w:jc w:val="both"/>
      </w:pPr>
    </w:p>
    <w:p w14:paraId="5A9E85E8" w14:textId="713F907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Causative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GI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lesion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anti-platelet</w:t>
      </w:r>
      <w:r w:rsidR="0053683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8409B9" w14:textId="085C46E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cyclo-oxygenase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</w:t>
      </w:r>
      <w:proofErr w:type="spellEnd"/>
      <w:r>
        <w:rPr>
          <w:rFonts w:ascii="Book Antiqua" w:eastAsia="Book Antiqua" w:hAnsi="Book Antiqua" w:cs="Book Antiqua"/>
          <w:color w:val="000000"/>
        </w:rPr>
        <w:t>-protective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diphosphate-induced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cyclo-oxygenase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Adenosine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E3E36">
        <w:rPr>
          <w:rFonts w:ascii="Book Antiqua" w:eastAsia="Book Antiqua" w:hAnsi="Book Antiqua" w:cs="Book Antiqua"/>
          <w:color w:val="000000"/>
        </w:rPr>
        <w:t>diphosphate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18,20,22]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PP</w:t>
      </w:r>
      <w:r w:rsidR="003E3E36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18,23,24]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over-representation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7A75BC05" w14:textId="44D3245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P2Y12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11BB0667" w14:textId="77777777" w:rsidR="00A77B3E" w:rsidRDefault="00A77B3E">
      <w:pPr>
        <w:spacing w:line="360" w:lineRule="auto"/>
        <w:jc w:val="both"/>
      </w:pPr>
    </w:p>
    <w:p w14:paraId="4EF15730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1BAAA801" w14:textId="6FB3866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Percentages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11CD" w:rsidRPr="00BC11CD">
        <w:rPr>
          <w:rFonts w:ascii="Book Antiqua" w:eastAsia="Book Antiqua" w:hAnsi="Book Antiqua" w:cs="Book Antiqua"/>
          <w:color w:val="000000"/>
        </w:rPr>
        <w:t>cryopoor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BC11CD" w:rsidRPr="00BC11CD">
        <w:rPr>
          <w:rFonts w:ascii="Book Antiqua" w:eastAsia="Book Antiqua" w:hAnsi="Book Antiqua" w:cs="Book Antiqua"/>
          <w:color w:val="000000"/>
        </w:rPr>
        <w:t>plasma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12,27]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7CFBE07D" w14:textId="782BCC85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53683E">
        <w:rPr>
          <w:rFonts w:ascii="Book Antiqua" w:eastAsia="Book Antiqua" w:hAnsi="Book Antiqua" w:cs="Book Antiqua"/>
          <w:color w:val="000000"/>
        </w:rPr>
        <w:t xml:space="preserve"> 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Cangemi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Nagatas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Diamantopoulos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embolization/surgery.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5E0091A" w14:textId="77777777" w:rsidR="00A77B3E" w:rsidRDefault="00A77B3E">
      <w:pPr>
        <w:spacing w:line="360" w:lineRule="auto"/>
        <w:jc w:val="both"/>
      </w:pPr>
    </w:p>
    <w:p w14:paraId="5ECA27A6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Fatalities</w:t>
      </w:r>
    </w:p>
    <w:p w14:paraId="0C5FF927" w14:textId="4351F7D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5.95%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</w:p>
    <w:p w14:paraId="0C5738BC" w14:textId="434F73E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AA1A20" w:rsidRPr="006A3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AA1A2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</w:p>
    <w:p w14:paraId="09284377" w14:textId="20FA3E3B" w:rsidR="00A77B3E" w:rsidRDefault="007E30FD" w:rsidP="00365B1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trade-off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centers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lastly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68B0E46D" w14:textId="77777777" w:rsidR="00A77B3E" w:rsidRDefault="00A77B3E">
      <w:pPr>
        <w:spacing w:line="360" w:lineRule="auto"/>
        <w:jc w:val="both"/>
      </w:pPr>
    </w:p>
    <w:p w14:paraId="65380C47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3BE21A" w14:textId="7893C58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3E5DBEE9" w14:textId="77777777" w:rsidR="00A77B3E" w:rsidRDefault="00A77B3E">
      <w:pPr>
        <w:spacing w:line="360" w:lineRule="auto"/>
        <w:jc w:val="both"/>
      </w:pPr>
    </w:p>
    <w:p w14:paraId="2D71C4B7" w14:textId="4EFB33F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368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09472AE" w14:textId="71337C0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003AA7" w14:textId="79D845F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5D6F069" w14:textId="77777777" w:rsidR="00A77B3E" w:rsidRDefault="00A77B3E">
      <w:pPr>
        <w:spacing w:line="360" w:lineRule="auto"/>
        <w:jc w:val="both"/>
      </w:pPr>
    </w:p>
    <w:p w14:paraId="31D1C5FC" w14:textId="42ED1AA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A52638" w14:textId="6A4D0EEE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</w:p>
    <w:p w14:paraId="75B80BBB" w14:textId="77777777" w:rsidR="00A77B3E" w:rsidRDefault="00A77B3E">
      <w:pPr>
        <w:spacing w:line="360" w:lineRule="auto"/>
        <w:jc w:val="both"/>
      </w:pPr>
    </w:p>
    <w:p w14:paraId="30A6F986" w14:textId="7D70B34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0BF556F" w14:textId="11D9DB0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fatalities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173D4F4E" w14:textId="77777777" w:rsidR="00A77B3E" w:rsidRDefault="00A77B3E">
      <w:pPr>
        <w:spacing w:line="360" w:lineRule="auto"/>
        <w:jc w:val="both"/>
      </w:pPr>
    </w:p>
    <w:p w14:paraId="26181DDB" w14:textId="5BB577F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63E2F15" w14:textId="63F805C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Over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(2013</w:t>
      </w:r>
      <w:r w:rsidR="00AA1A2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2015),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computerised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pre-specified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</w:p>
    <w:p w14:paraId="1AA0E7E9" w14:textId="77777777" w:rsidR="00A77B3E" w:rsidRDefault="00A77B3E">
      <w:pPr>
        <w:spacing w:line="360" w:lineRule="auto"/>
        <w:jc w:val="both"/>
      </w:pPr>
    </w:p>
    <w:p w14:paraId="29EDA0B9" w14:textId="3123364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DCFE3C" w14:textId="226BD82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gastro-duodenal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27120CEE" w14:textId="77777777" w:rsidR="00A77B3E" w:rsidRDefault="00A77B3E">
      <w:pPr>
        <w:spacing w:line="360" w:lineRule="auto"/>
        <w:jc w:val="both"/>
      </w:pPr>
    </w:p>
    <w:p w14:paraId="7A86C4B9" w14:textId="58B7B79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35EB3D" w14:textId="2EF9C39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</w:p>
    <w:p w14:paraId="728E4AB7" w14:textId="77777777" w:rsidR="00A77B3E" w:rsidRDefault="00A77B3E">
      <w:pPr>
        <w:spacing w:line="360" w:lineRule="auto"/>
        <w:jc w:val="both"/>
      </w:pPr>
    </w:p>
    <w:p w14:paraId="57D53A3A" w14:textId="7090BF9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68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A27A4B4" w14:textId="6C78448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AA1A20" w:rsidRPr="00AA1A20">
        <w:rPr>
          <w:rFonts w:ascii="Book Antiqua" w:eastAsia="Book Antiqua" w:hAnsi="Book Antiqua" w:cs="Book Antiqua"/>
          <w:color w:val="000000"/>
        </w:rPr>
        <w:t>anticoagulants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E65ADE" w14:textId="77777777" w:rsidR="00A77B3E" w:rsidRDefault="00A77B3E">
      <w:pPr>
        <w:spacing w:line="360" w:lineRule="auto"/>
        <w:jc w:val="both"/>
      </w:pPr>
    </w:p>
    <w:p w14:paraId="1938C972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294E93D" w14:textId="1D02B587" w:rsidR="00A77B3E" w:rsidRDefault="007E30FD">
      <w:pPr>
        <w:spacing w:line="360" w:lineRule="auto"/>
        <w:jc w:val="both"/>
      </w:pPr>
      <w:bookmarkStart w:id="13" w:name="OLE_LINK2026"/>
      <w:bookmarkStart w:id="14" w:name="OLE_LINK2027"/>
      <w:r>
        <w:rPr>
          <w:rFonts w:ascii="Book Antiqua" w:eastAsia="Book Antiqua" w:hAnsi="Book Antiqua" w:cs="Book Antiqua"/>
          <w:color w:val="000000"/>
        </w:rPr>
        <w:t>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Sørensen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Abildstrom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Hvelplund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Torp-Pedersen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374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1967-1974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20006130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10.1016/S0140-6736(09)61751-7]</w:t>
      </w:r>
    </w:p>
    <w:p w14:paraId="15C4A64D" w14:textId="179971A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Ruff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Braunwald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Deenadayalu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Parkhomenko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955-962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24315724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10.1016/S0140-6736(13)62343-0]</w:t>
      </w:r>
    </w:p>
    <w:p w14:paraId="342C82FC" w14:textId="506C9F2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Prisco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Scalera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Ricciardi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335-343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25866382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10.1016/j.blre.2015.03.004]</w:t>
      </w:r>
    </w:p>
    <w:p w14:paraId="2AA9BB11" w14:textId="682B56B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Carrera-</w:t>
      </w:r>
      <w:proofErr w:type="spellStart"/>
      <w:r>
        <w:rPr>
          <w:rFonts w:ascii="Book Antiqua" w:eastAsia="Book Antiqua" w:hAnsi="Book Antiqua" w:cs="Book Antiqua"/>
          <w:color w:val="000000"/>
        </w:rPr>
        <w:t>Lasfuentes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Perez-</w:t>
      </w:r>
      <w:proofErr w:type="spellStart"/>
      <w:r>
        <w:rPr>
          <w:rFonts w:ascii="Book Antiqua" w:eastAsia="Book Antiqua" w:hAnsi="Book Antiqua" w:cs="Book Antiqua"/>
          <w:color w:val="000000"/>
        </w:rPr>
        <w:t>Aísa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Á,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Muñoz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Sostres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García-Rodríguez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906-</w:t>
      </w:r>
      <w:proofErr w:type="gramStart"/>
      <w:r>
        <w:rPr>
          <w:rFonts w:ascii="Book Antiqua" w:eastAsia="Book Antiqua" w:hAnsi="Book Antiqua" w:cs="Book Antiqua"/>
          <w:color w:val="000000"/>
        </w:rPr>
        <w:t>12.e</w:t>
      </w:r>
      <w:proofErr w:type="gramEnd"/>
      <w:r>
        <w:rPr>
          <w:rFonts w:ascii="Book Antiqua" w:eastAsia="Book Antiqua" w:hAnsi="Book Antiqua" w:cs="Book Antiqua"/>
          <w:color w:val="000000"/>
        </w:rPr>
        <w:t>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25460554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10.1016/j.cgh.2014.11.007]</w:t>
      </w:r>
    </w:p>
    <w:p w14:paraId="4C7A3385" w14:textId="75006B5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Bouget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84-89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25466838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10.1016/j.thromres.2014.10.029]</w:t>
      </w:r>
    </w:p>
    <w:p w14:paraId="071765F0" w14:textId="0F187DB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MN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Ambrosino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Tremoli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etexilate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329-342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28084107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10.1080/07853890.2016.1268710]</w:t>
      </w:r>
    </w:p>
    <w:p w14:paraId="27AE5BE4" w14:textId="1FF2BC5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Pannach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Goetze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Tittl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Beyer-</w:t>
      </w:r>
      <w:proofErr w:type="spellStart"/>
      <w:r>
        <w:rPr>
          <w:rFonts w:ascii="Book Antiqua" w:eastAsia="Book Antiqua" w:hAnsi="Book Antiqua" w:cs="Book Antiqua"/>
          <w:color w:val="000000"/>
        </w:rPr>
        <w:t>Westendorf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1211-1220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28210867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10.1007/s00535-017-1320-7]</w:t>
      </w:r>
    </w:p>
    <w:p w14:paraId="6707FA0A" w14:textId="4DD726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Desai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Aisenberg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anticoagulants--defining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23702623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10.1160/TH13-02-0150]</w:t>
      </w:r>
    </w:p>
    <w:p w14:paraId="38104506" w14:textId="096AB42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Cangemi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Weideman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Cipher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Spechler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Feagins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734-739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28244496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10.1038/ajg.2017.39]</w:t>
      </w:r>
    </w:p>
    <w:p w14:paraId="6334C687" w14:textId="12015F1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acetylsalicylic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762-768.e6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21699808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10.1016/j.cgh.2011.05.020]</w:t>
      </w:r>
    </w:p>
    <w:p w14:paraId="7AB11097" w14:textId="20DDF3B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Bouget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Balusson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Scailteux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Maignan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L'her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Pavageau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2012-2015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Fundam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30537335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10.1111/fcp.12444]</w:t>
      </w:r>
    </w:p>
    <w:p w14:paraId="75D6721B" w14:textId="7FA1EAE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Pernot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94E14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Godiér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Gozalo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Tremey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Sié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Authority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Health.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French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practice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guidelines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antagonists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at-risk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situations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(overdose,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active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2010;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b/>
          <w:bCs/>
          <w:color w:val="000000"/>
        </w:rPr>
        <w:t>126</w:t>
      </w:r>
      <w:r w:rsidR="00894E14" w:rsidRPr="00894E14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e167-e174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20630568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10.1016/j.thromres.2010.06.017]</w:t>
      </w:r>
    </w:p>
    <w:p w14:paraId="3EE45C63" w14:textId="6382E24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Kolb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Flack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Chatterjee-Murphy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Wallentin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Brueckmann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Ilgenfritz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Aisenberg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1878-1889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29582237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10.1007/s10620-018-5007-6]</w:t>
      </w:r>
    </w:p>
    <w:p w14:paraId="59B90F11" w14:textId="7280411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Sherwood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Hellkamp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Mahaffey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Piccini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Hankey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Berkowitz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Rivaroxaban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2271-2281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26610874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10.1016/j.jacc.2015.09.024]</w:t>
      </w:r>
    </w:p>
    <w:p w14:paraId="2B83D57F" w14:textId="6D7E5B5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4E14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Spadarella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Tremoli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color w:val="000000"/>
        </w:rPr>
        <w:t>Minno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anticoagulation: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Current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treatment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lastRenderedPageBreak/>
        <w:t>pharmacological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perspectives.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2015;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b/>
          <w:bCs/>
          <w:color w:val="000000"/>
        </w:rPr>
        <w:t>136</w:t>
      </w:r>
      <w:r w:rsidR="00894E14" w:rsidRPr="00894E14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1074-1081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26508464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894E14" w:rsidRPr="00894E14">
        <w:rPr>
          <w:rFonts w:ascii="Book Antiqua" w:eastAsia="Book Antiqua" w:hAnsi="Book Antiqua" w:cs="Book Antiqua"/>
          <w:color w:val="000000"/>
        </w:rPr>
        <w:t>10.1016/j.thromres.2015.10.016]</w:t>
      </w:r>
    </w:p>
    <w:p w14:paraId="7BA22633" w14:textId="609C57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Feagins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Weideman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Better?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1675-1677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29671162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10.1007/s10620-018-5060-1]</w:t>
      </w:r>
    </w:p>
    <w:p w14:paraId="16A07428" w14:textId="1B9A9B0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Abraham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Horsley-Silva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474-480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27636303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10.1097/MOG.0000000000000310]</w:t>
      </w:r>
    </w:p>
    <w:p w14:paraId="2494DF4D" w14:textId="37D7499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Hearnshaw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1327-1335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21490373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10.1136/gut.2010.228437]</w:t>
      </w:r>
    </w:p>
    <w:p w14:paraId="7E474C5C" w14:textId="45C06BC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Eikelboom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Baglin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e89S-e119S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22315278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10.1378/chest.11-2293]</w:t>
      </w:r>
    </w:p>
    <w:p w14:paraId="104958E4" w14:textId="77025CE6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24099473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10.1111/apt.12483]</w:t>
      </w:r>
    </w:p>
    <w:p w14:paraId="68E3D2DB" w14:textId="7744A578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TJ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705-710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23265750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10.1016/j.jfma.2011.11.028]</w:t>
      </w:r>
    </w:p>
    <w:p w14:paraId="071D05F6" w14:textId="0F3E8D8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CAPRIE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Steering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Committee.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(CAPRIE).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CAPRIE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Steering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348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1329-1339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8918275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10.1016/s0140-6736(96)09457-3]</w:t>
      </w:r>
    </w:p>
    <w:p w14:paraId="7F7A5F24" w14:textId="5D53B7B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Sehested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TSG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Carlson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Gerds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Charlot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Torp-Pedersen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Hlatky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Fosbøl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1963-1970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30851041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eurheartj</w:t>
      </w:r>
      <w:proofErr w:type="spellEnd"/>
      <w:r>
        <w:rPr>
          <w:rFonts w:ascii="Book Antiqua" w:eastAsia="Book Antiqua" w:hAnsi="Book Antiqua" w:cs="Book Antiqua"/>
          <w:color w:val="000000"/>
        </w:rPr>
        <w:t>/ehz104]</w:t>
      </w:r>
    </w:p>
    <w:p w14:paraId="14A0F1CD" w14:textId="58ADC4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Ray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Daugherty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Dupont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Warfarin-Related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1105-1112.e10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27639805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10.1053/j.gastro.2016.08.054]</w:t>
      </w:r>
    </w:p>
    <w:p w14:paraId="7D68F38D" w14:textId="05F235E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Yuhara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Corley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Igarashi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Suauki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diverticular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992-1000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24221694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10.1007/s00535-013-0905-z]</w:t>
      </w:r>
    </w:p>
    <w:p w14:paraId="3E545D43" w14:textId="3169E8C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WC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Chuah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1542-1550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28449186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10.1111/apt.14079]</w:t>
      </w:r>
    </w:p>
    <w:p w14:paraId="458AA2B0" w14:textId="1CDBE645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Committee.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Acosta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Abraham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Chandrasekhara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Eloubeidi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Faulx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Muthusamy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Pasha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Saltzman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Shaukat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DeWitt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26621548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10.1016/j.gie.2015.09.035]</w:t>
      </w:r>
    </w:p>
    <w:p w14:paraId="7290217C" w14:textId="5A47A9C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Sakurai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Moriyasu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Okubo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bridging,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e0183423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28863196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10.1371/journal.pone.0183423]</w:t>
      </w:r>
    </w:p>
    <w:p w14:paraId="1E61934D" w14:textId="12F8582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Brodie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Newman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Rockey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573.e9-573.e15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29175237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10.1016/j.amjmed.2017.11.007]</w:t>
      </w:r>
    </w:p>
    <w:p w14:paraId="205CB130" w14:textId="3718AC24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Diamantopoulou</w:t>
      </w:r>
      <w:proofErr w:type="spellEnd"/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Konstantakis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Skroubis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Theocharis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Theopistos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Thomopoulos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With</w:t>
      </w:r>
      <w:proofErr w:type="gram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21-26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30834031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10.14740/gr1115]</w:t>
      </w:r>
    </w:p>
    <w:p w14:paraId="1F064B77" w14:textId="3B1DF2D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Schulman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Kearon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Subcommittee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Haemostasis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antihemostatic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5368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15842354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10.1111/j.1538-7836.</w:t>
      </w:r>
      <w:proofErr w:type="gramStart"/>
      <w:r>
        <w:rPr>
          <w:rFonts w:ascii="Book Antiqua" w:eastAsia="Book Antiqua" w:hAnsi="Book Antiqua" w:cs="Book Antiqua"/>
          <w:color w:val="000000"/>
        </w:rPr>
        <w:t>2005.01204.x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bookmarkEnd w:id="13"/>
    <w:bookmarkEnd w:id="14"/>
    <w:p w14:paraId="4F89E39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C8C50" w14:textId="7777777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CFDA50" w14:textId="45A4DAB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Rennes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F11B9">
        <w:rPr>
          <w:rFonts w:ascii="Book Antiqua" w:eastAsia="Book Antiqua" w:hAnsi="Book Antiqua" w:cs="Book Antiqua"/>
          <w:color w:val="000000"/>
        </w:rPr>
        <w:t>CNIL,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DR-2013-488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DR-2016-489).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</w:p>
    <w:p w14:paraId="037866A9" w14:textId="77777777" w:rsidR="00A77B3E" w:rsidRDefault="00A77B3E">
      <w:pPr>
        <w:spacing w:line="360" w:lineRule="auto"/>
        <w:jc w:val="both"/>
      </w:pPr>
    </w:p>
    <w:p w14:paraId="3D072295" w14:textId="3BFE6DB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</w:p>
    <w:p w14:paraId="55C68904" w14:textId="77777777" w:rsidR="00A77B3E" w:rsidRDefault="00A77B3E">
      <w:pPr>
        <w:spacing w:line="360" w:lineRule="auto"/>
        <w:jc w:val="both"/>
      </w:pPr>
    </w:p>
    <w:p w14:paraId="3C8344F5" w14:textId="16586881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12F93111" w14:textId="77777777" w:rsidR="00A77B3E" w:rsidRDefault="00A77B3E">
      <w:pPr>
        <w:spacing w:line="360" w:lineRule="auto"/>
        <w:jc w:val="both"/>
      </w:pPr>
    </w:p>
    <w:p w14:paraId="7CDC0647" w14:textId="1D26FE3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Bouget</w:t>
      </w:r>
      <w:r w:rsidR="00542DC8">
        <w:rPr>
          <w:rFonts w:ascii="Book Antiqua" w:eastAsia="Book Antiqua" w:hAnsi="Book Antiqua" w:cs="Book Antiqua"/>
          <w:color w:val="000000"/>
        </w:rPr>
        <w:t>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jacques.bouget@univ-rennes1.fr.</w:t>
      </w:r>
    </w:p>
    <w:p w14:paraId="1FE9DF56" w14:textId="77777777" w:rsidR="00A77B3E" w:rsidRDefault="00A77B3E">
      <w:pPr>
        <w:spacing w:line="360" w:lineRule="auto"/>
        <w:jc w:val="both"/>
      </w:pPr>
    </w:p>
    <w:p w14:paraId="6A299E5C" w14:textId="7524A16D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542D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542D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59AD317F" w14:textId="77777777" w:rsidR="00A77B3E" w:rsidRDefault="00A77B3E">
      <w:pPr>
        <w:spacing w:line="360" w:lineRule="auto"/>
        <w:jc w:val="both"/>
      </w:pPr>
    </w:p>
    <w:p w14:paraId="6450BB90" w14:textId="3EBF815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3868C5" w14:textId="77777777" w:rsidR="00A77B3E" w:rsidRDefault="00A77B3E">
      <w:pPr>
        <w:spacing w:line="360" w:lineRule="auto"/>
        <w:jc w:val="both"/>
      </w:pPr>
    </w:p>
    <w:p w14:paraId="7717FECB" w14:textId="1C91C813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>
        <w:rPr>
          <w:rFonts w:ascii="Book Antiqua" w:eastAsia="Book Antiqua" w:hAnsi="Book Antiqua" w:cs="Book Antiqua"/>
          <w:color w:val="000000"/>
        </w:rPr>
        <w:t>manuscript</w:t>
      </w:r>
    </w:p>
    <w:p w14:paraId="6E96988C" w14:textId="77777777" w:rsidR="00A77B3E" w:rsidRDefault="00A77B3E">
      <w:pPr>
        <w:spacing w:line="360" w:lineRule="auto"/>
        <w:jc w:val="both"/>
      </w:pPr>
    </w:p>
    <w:p w14:paraId="226714CB" w14:textId="5D40AC8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79572CE" w14:textId="13FD43A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B62387A" w14:textId="59F777EA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1D92E3" w14:textId="77777777" w:rsidR="00A77B3E" w:rsidRDefault="00A77B3E">
      <w:pPr>
        <w:spacing w:line="360" w:lineRule="auto"/>
        <w:jc w:val="both"/>
      </w:pPr>
    </w:p>
    <w:p w14:paraId="3398DDF7" w14:textId="23F3BCC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Gastroenterology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and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08315C" w:rsidRPr="0008315C">
        <w:rPr>
          <w:rFonts w:ascii="Book Antiqua" w:eastAsia="Book Antiqua" w:hAnsi="Book Antiqua" w:cs="Book Antiqua"/>
          <w:color w:val="000000"/>
        </w:rPr>
        <w:t>hepatology</w:t>
      </w:r>
    </w:p>
    <w:p w14:paraId="0A881BDC" w14:textId="3894418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2A17335" w14:textId="6D591BD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CD7925" w14:textId="0045105C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AD3F75" w14:textId="7CA02DBB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683C21" w14:textId="28D1E029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D7828C" w14:textId="522041F2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B8166A" w14:textId="62CDD567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40CD86" w14:textId="77777777" w:rsidR="00A77B3E" w:rsidRDefault="00A77B3E">
      <w:pPr>
        <w:spacing w:line="360" w:lineRule="auto"/>
        <w:jc w:val="both"/>
      </w:pPr>
    </w:p>
    <w:p w14:paraId="691998F8" w14:textId="2BF0970F" w:rsidR="00A77B3E" w:rsidRDefault="007E30F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Spiliopoulos</w:t>
      </w:r>
      <w:proofErr w:type="spellEnd"/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Gao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365B11">
        <w:rPr>
          <w:rFonts w:ascii="Book Antiqua" w:eastAsia="Book Antiqua" w:hAnsi="Book Antiqua" w:cs="Book Antiqua"/>
          <w:color w:val="000000"/>
        </w:rPr>
        <w:t>CC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0E55B6" w14:textId="71D478C8" w:rsidR="00A77B3E" w:rsidRDefault="007E30F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683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716C46F" w14:textId="6E1AB251" w:rsidR="00542DC8" w:rsidRDefault="00542DC8">
      <w:pPr>
        <w:spacing w:line="360" w:lineRule="auto"/>
        <w:jc w:val="both"/>
      </w:pPr>
      <w:r>
        <w:rPr>
          <w:noProof/>
        </w:rPr>
        <w:drawing>
          <wp:inline distT="0" distB="0" distL="0" distR="0" wp14:anchorId="1137CD68" wp14:editId="2CBD7B68">
            <wp:extent cx="3297279" cy="24106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9104" cy="24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CCC1" w14:textId="5077323F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gastro-intestinal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location.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Pr="00A11291">
        <w:rPr>
          <w:rFonts w:ascii="Book Antiqua" w:eastAsia="Book Antiqua" w:hAnsi="Book Antiqua" w:cs="Book Antiqua"/>
          <w:color w:val="000000"/>
        </w:rPr>
        <w:t>chi-square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542DC8" w:rsidRPr="00542DC8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</w:t>
      </w:r>
      <w:r w:rsidR="00542DC8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pair-wise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anticoagulant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17D5F" w:rsidRPr="006A3252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astrointestinal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7168DD27" w14:textId="100C5B0B" w:rsidR="00A77B3E" w:rsidRDefault="00217D5F">
      <w:pPr>
        <w:spacing w:line="360" w:lineRule="auto"/>
        <w:jc w:val="both"/>
      </w:pPr>
      <w:r>
        <w:br w:type="page"/>
      </w:r>
      <w:r>
        <w:rPr>
          <w:noProof/>
        </w:rPr>
        <w:lastRenderedPageBreak/>
        <w:drawing>
          <wp:inline distT="0" distB="0" distL="0" distR="0" wp14:anchorId="450D7150" wp14:editId="79817157">
            <wp:extent cx="3582816" cy="27273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835" cy="27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F821" w14:textId="3D368FD0" w:rsidR="00A77B3E" w:rsidRDefault="007E30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gastro-duodenal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ulcer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proton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pump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inhibitor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use.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 w:rsidRPr="00217D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36B4EF11" w14:textId="36EFAE1A" w:rsidR="00A77B3E" w:rsidRDefault="00217D5F">
      <w:pPr>
        <w:spacing w:line="360" w:lineRule="auto"/>
        <w:jc w:val="both"/>
      </w:pPr>
      <w:r>
        <w:br w:type="page"/>
      </w:r>
      <w:r>
        <w:rPr>
          <w:noProof/>
        </w:rPr>
        <w:lastRenderedPageBreak/>
        <w:drawing>
          <wp:inline distT="0" distB="0" distL="0" distR="0" wp14:anchorId="23F6FECD" wp14:editId="00F44A4F">
            <wp:extent cx="3586216" cy="26180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773" cy="262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4D27" w14:textId="083EFBC1" w:rsidR="007E30FD" w:rsidRDefault="007E30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classes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gastro-intestinal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in-hospital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mortality.</w:t>
      </w:r>
      <w:r w:rsidR="005368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 w:rsidRPr="00217D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2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217D5F">
        <w:rPr>
          <w:rFonts w:ascii="Book Antiqua" w:eastAsia="Book Antiqua" w:hAnsi="Book Antiqua" w:cs="Book Antiqua"/>
          <w:color w:val="000000"/>
        </w:rPr>
        <w:t>.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ntiplatelet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irect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217D5F">
        <w:rPr>
          <w:rFonts w:ascii="Book Antiqua" w:eastAsia="Book Antiqua" w:hAnsi="Book Antiqua" w:cs="Book Antiqua"/>
          <w:color w:val="000000"/>
        </w:rPr>
        <w:t>;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VKA</w:t>
      </w:r>
      <w:r w:rsidR="00217D5F">
        <w:rPr>
          <w:rFonts w:ascii="Book Antiqua" w:eastAsia="Book Antiqua" w:hAnsi="Book Antiqua" w:cs="Book Antiqua"/>
          <w:color w:val="000000"/>
        </w:rPr>
        <w:t>: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 w:rsidR="00217D5F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itamin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368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217D5F">
        <w:rPr>
          <w:rFonts w:ascii="Book Antiqua" w:eastAsia="Book Antiqua" w:hAnsi="Book Antiqua" w:cs="Book Antiqua"/>
          <w:color w:val="000000"/>
        </w:rPr>
        <w:t>.</w:t>
      </w:r>
    </w:p>
    <w:p w14:paraId="5CAFBEAC" w14:textId="72361362" w:rsidR="00F44E6E" w:rsidRPr="0060023B" w:rsidRDefault="007E30FD" w:rsidP="00826731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60023B">
        <w:rPr>
          <w:rFonts w:ascii="Book Antiqua" w:hAnsi="Book Antiqua" w:cs="Arial"/>
          <w:b/>
        </w:rPr>
        <w:lastRenderedPageBreak/>
        <w:t>Table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1</w:t>
      </w:r>
      <w:r w:rsidR="0053683E">
        <w:rPr>
          <w:rFonts w:ascii="Book Antiqua" w:hAnsi="Book Antiqua" w:cs="Arial"/>
        </w:rPr>
        <w:t xml:space="preserve"> </w:t>
      </w:r>
      <w:r w:rsidRPr="0060023B">
        <w:rPr>
          <w:rFonts w:ascii="Book Antiqua" w:hAnsi="Book Antiqua" w:cs="Arial"/>
          <w:b/>
        </w:rPr>
        <w:t>Patient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characteristics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according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to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gastrointestinal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bleeding</w:t>
      </w:r>
      <w:r w:rsidR="0053683E">
        <w:rPr>
          <w:rFonts w:ascii="Book Antiqua" w:hAnsi="Book Antiqua" w:cs="Arial"/>
          <w:b/>
        </w:rPr>
        <w:t xml:space="preserve"> </w:t>
      </w:r>
      <w:r w:rsidRPr="0060023B">
        <w:rPr>
          <w:rFonts w:ascii="Book Antiqua" w:hAnsi="Book Antiqua" w:cs="Arial"/>
          <w:b/>
        </w:rPr>
        <w:t>symptoms</w:t>
      </w:r>
    </w:p>
    <w:tbl>
      <w:tblPr>
        <w:tblW w:w="8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1275"/>
        <w:gridCol w:w="1778"/>
        <w:gridCol w:w="1327"/>
        <w:gridCol w:w="1132"/>
      </w:tblGrid>
      <w:tr w:rsidR="001B2269" w:rsidRPr="0060023B" w14:paraId="3FE99614" w14:textId="77777777" w:rsidTr="001B2269">
        <w:trPr>
          <w:cantSplit/>
          <w:jc w:val="center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21F59D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Variable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9C63F0" w14:textId="7BA7DDB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Total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1080)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B2CBD9" w14:textId="2109AA4C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Upper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GI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bleeding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576)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431F9E" w14:textId="11A1DF5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color w:val="000000"/>
              </w:rPr>
              <w:t>Lower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GI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bleeding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(</w:t>
            </w: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=</w:t>
            </w:r>
            <w:r w:rsidR="0053683E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504)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20DDCC" w14:textId="5CBB88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0023B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5A567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b/>
                <w:color w:val="000000"/>
              </w:rPr>
              <w:t>value</w:t>
            </w:r>
          </w:p>
        </w:tc>
      </w:tr>
      <w:tr w:rsidR="001B2269" w:rsidRPr="0060023B" w14:paraId="54D98D64" w14:textId="77777777" w:rsidTr="001B2269">
        <w:trPr>
          <w:cantSplit/>
          <w:jc w:val="center"/>
        </w:trPr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2F553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Female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49388E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454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F711EF" w14:textId="724EF74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(234)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77AA68" w14:textId="43D5D93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43.7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(220)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D1348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0.3149</w:t>
            </w:r>
          </w:p>
        </w:tc>
      </w:tr>
      <w:tr w:rsidR="001B2269" w:rsidRPr="0060023B" w14:paraId="0AE7238A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9120773" w14:textId="772EE92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Age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(</w:t>
            </w:r>
            <w:proofErr w:type="spellStart"/>
            <w:r w:rsidRPr="0060023B">
              <w:rPr>
                <w:rFonts w:ascii="Book Antiqua" w:hAnsi="Book Antiqua" w:cs="Arial"/>
                <w:color w:val="000000"/>
              </w:rPr>
              <w:t>y</w:t>
            </w:r>
            <w:r>
              <w:rPr>
                <w:rFonts w:ascii="Book Antiqua" w:hAnsi="Book Antiqua" w:cs="Arial"/>
                <w:color w:val="000000"/>
              </w:rPr>
              <w:t>r</w:t>
            </w:r>
            <w:proofErr w:type="spellEnd"/>
            <w:r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3F599E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01DDA8E" w14:textId="452C48F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78.5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11.7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45656CC" w14:textId="4A4D4D9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11.0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0F4CA874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0.0028</w:t>
            </w:r>
          </w:p>
        </w:tc>
      </w:tr>
      <w:tr w:rsidR="001B2269" w:rsidRPr="0060023B" w14:paraId="346C8E13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04B1DDA" w14:textId="1008B20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Arterial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hypertension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19AFFB4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735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25084D7" w14:textId="4DC0C5D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66.7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46050E09" w14:textId="7E86CD4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69.6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(351)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AF8589E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0.2953</w:t>
            </w:r>
          </w:p>
        </w:tc>
      </w:tr>
      <w:tr w:rsidR="001B2269" w:rsidRPr="0060023B" w14:paraId="522E0B7D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3933F3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CAD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80067F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439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2A04D8F" w14:textId="3AFEE98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41.5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(239)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ACC62F6" w14:textId="5FAA96C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39.7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(200)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DFD1C28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0.5456</w:t>
            </w:r>
          </w:p>
        </w:tc>
      </w:tr>
      <w:tr w:rsidR="001B2269" w:rsidRPr="0060023B" w14:paraId="0C6105E6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B7B95E6" w14:textId="34721F3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Heart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failure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C1C4CB8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166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54B8054F" w14:textId="1F56032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16.8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(97)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2B09911" w14:textId="069A244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13.7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(69)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BECF432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0.1522</w:t>
            </w:r>
          </w:p>
        </w:tc>
      </w:tr>
      <w:tr w:rsidR="001B2269" w:rsidRPr="0060023B" w14:paraId="1AA39E7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12BF2F8" w14:textId="326910C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Diabetes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mellitus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D1F4A63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302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4758AB9" w14:textId="5564C2E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29.7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(171)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6C57B9C4" w14:textId="602A592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(131)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7C7E76E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0.1770</w:t>
            </w:r>
          </w:p>
        </w:tc>
      </w:tr>
      <w:tr w:rsidR="001B2269" w:rsidRPr="0060023B" w14:paraId="5AC04E37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1203C18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Cancer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068925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231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6C1E7B8" w14:textId="76916A9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22.2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7E363FA" w14:textId="2743BC0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(103)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7F111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0.4752</w:t>
            </w:r>
          </w:p>
        </w:tc>
      </w:tr>
      <w:tr w:rsidR="001B2269" w:rsidRPr="0060023B" w14:paraId="335ADF0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1E85752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PVD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0F4E5A0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BE12493" w14:textId="797739A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(115)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744F2CF" w14:textId="03A5190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14.9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B23B16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0.0286</w:t>
            </w:r>
          </w:p>
        </w:tc>
      </w:tr>
      <w:tr w:rsidR="001B2269" w:rsidRPr="0060023B" w14:paraId="0157E167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02B7C2B" w14:textId="1D4054C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Chronic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renal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insufficiency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CC574A1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217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E1817BC" w14:textId="67D2BF6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D535992" w14:textId="561E1D4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(97)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19FFA73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0.5160</w:t>
            </w:r>
          </w:p>
        </w:tc>
      </w:tr>
      <w:tr w:rsidR="001B2269" w:rsidRPr="0060023B" w14:paraId="1BEE7A32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36ED4CE" w14:textId="05BD95D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Liver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cirrhosis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7543C5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58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59C6154" w14:textId="42E20A7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(41)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B4E8711" w14:textId="771AD08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EA06FD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0.0065</w:t>
            </w:r>
          </w:p>
        </w:tc>
      </w:tr>
      <w:tr w:rsidR="001B2269" w:rsidRPr="0060023B" w14:paraId="08A1F57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6D29EEA" w14:textId="0853E55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Alcohol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consumption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3C88CD7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FCFF7AF" w14:textId="243A9C2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13.2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(76)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85DDDDA" w14:textId="412C6B6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414AF9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0.0076</w:t>
            </w:r>
          </w:p>
        </w:tc>
      </w:tr>
      <w:tr w:rsidR="001B2269" w:rsidRPr="0060023B" w14:paraId="01C47E2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8520755" w14:textId="1D1C597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Tobacco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use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EC0933C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CDD3352" w14:textId="20C18C0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(67)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D06B86A" w14:textId="2C0D33D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(26)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5DD9C5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0.0002</w:t>
            </w:r>
          </w:p>
        </w:tc>
      </w:tr>
      <w:tr w:rsidR="001B2269" w:rsidRPr="0060023B" w14:paraId="6F377B0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A28FE0D" w14:textId="5B1AA0E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History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of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bleeding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5C455D8" w14:textId="2223E3B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81E16B0" w14:textId="598748E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55921E6" w14:textId="39A0667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77644BA" w14:textId="2D2683F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  <w:tr w:rsidR="001B2269" w:rsidRPr="0060023B" w14:paraId="76E47E05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E784F48" w14:textId="3ED5769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GI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41886B8E" w14:textId="204CF1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257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2992FD94" w14:textId="285618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(120)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716EC30" w14:textId="1E41A9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27.2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(137)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56FA39D" w14:textId="644E832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0.0275</w:t>
            </w:r>
          </w:p>
        </w:tc>
      </w:tr>
      <w:tr w:rsidR="001B2269" w:rsidRPr="0060023B" w14:paraId="041B651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6C38AAA" w14:textId="1E33A413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ICH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B15FCE3" w14:textId="42E41A9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593982A" w14:textId="50E118F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(15)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A4134EF" w14:textId="23865B4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1.00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2989F13" w14:textId="2685BED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>
              <w:rPr>
                <w:rFonts w:ascii="Book Antiqua" w:hAnsi="Book Antiqua" w:cs="Arial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29274DEE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FDD0272" w14:textId="3E2A343C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339C1259" w14:textId="43DBD3C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80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578A246" w14:textId="72F7AC2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(44)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7FF604E8" w14:textId="31303E5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7.10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(36)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C27424D" w14:textId="73F7A5B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>
              <w:rPr>
                <w:rFonts w:ascii="Book Antiqua" w:hAnsi="Book Antiqua" w:cs="Arial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4D34ECF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A02A868" w14:textId="4D78C29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Gastro-duodenal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ulcer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761F6B4B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195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2E641CE6" w14:textId="5A5AEBE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25.0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(144)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1B578BF" w14:textId="7F27308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10.1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E62562" w14:textId="5B91B60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&lt;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>
              <w:rPr>
                <w:rFonts w:ascii="Book Antiqua" w:hAnsi="Book Antiqua" w:cs="Arial"/>
                <w:color w:val="000000"/>
              </w:rPr>
              <w:t>0</w:t>
            </w:r>
            <w:r w:rsidRPr="0060023B">
              <w:rPr>
                <w:rFonts w:ascii="Book Antiqua" w:hAnsi="Book Antiqua" w:cs="Arial"/>
                <w:color w:val="000000"/>
              </w:rPr>
              <w:t>.0001</w:t>
            </w:r>
          </w:p>
        </w:tc>
      </w:tr>
      <w:tr w:rsidR="001B2269" w:rsidRPr="0060023B" w14:paraId="07930FA4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2732A01" w14:textId="0388C5BD" w:rsidR="001B2269" w:rsidRPr="0060023B" w:rsidRDefault="001B2269" w:rsidP="00826731">
            <w:pPr>
              <w:adjustRightInd w:val="0"/>
              <w:spacing w:line="360" w:lineRule="auto"/>
              <w:ind w:left="325"/>
              <w:jc w:val="both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W</w:t>
            </w:r>
            <w:r w:rsidRPr="0060023B">
              <w:rPr>
                <w:rFonts w:ascii="Book Antiqua" w:hAnsi="Book Antiqua" w:cs="Arial"/>
                <w:color w:val="000000"/>
              </w:rPr>
              <w:t>ith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PPI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treatment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1590350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85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EE0E488" w14:textId="481EA90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37.5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(54)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44AC38C1" w14:textId="3446C8D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60.8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(31)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E0A2DF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0.0040</w:t>
            </w:r>
          </w:p>
        </w:tc>
      </w:tr>
      <w:tr w:rsidR="001B2269" w:rsidRPr="0060023B" w14:paraId="2F2C737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2FCBBA0E" w14:textId="3F93BAD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Antithrombotic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treatment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5B97F7DD" w14:textId="122C943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00CCDDF" w14:textId="703090B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642D621" w14:textId="4B329FF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D1D7C0A" w14:textId="6741324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  <w:tr w:rsidR="001B2269" w:rsidRPr="0060023B" w14:paraId="5DD827F3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7572C72" w14:textId="60E8B0E2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VKA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28CB54E2" w14:textId="4E0DA3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321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1B84277D" w14:textId="2005FFE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30.6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(176)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7EBA188" w14:textId="51A716C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28.8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(145)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65A09DF2" w14:textId="3763C90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0.3735</w:t>
            </w:r>
          </w:p>
        </w:tc>
      </w:tr>
      <w:tr w:rsidR="001B2269" w:rsidRPr="0060023B" w14:paraId="3B2178C0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488189B7" w14:textId="0F6049ED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DOAC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3B84C89D" w14:textId="0A24416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66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0110F2A" w14:textId="447CF77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4.86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597FC02F" w14:textId="00FC87A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7.54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4FCA3B8" w14:textId="2CE49706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73575B1C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0E222C5A" w14:textId="68AE3E7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Parenteral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0123A1D6" w14:textId="7CC30D4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53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F044B22" w14:textId="283FDE6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4.17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(24)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72C340A0" w14:textId="6A217A85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5.75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793274C" w14:textId="5882975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46DE2719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794F2C77" w14:textId="1B5D74B0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mono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103559D5" w14:textId="2B8F360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389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69C3F9D9" w14:textId="4F384BBE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36.5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(210)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1E54DFE3" w14:textId="561EF83A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35.5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(179)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391DCA14" w14:textId="24F506D4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5591E106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38ECF02" w14:textId="0C8F8409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Dual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alone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15AD4FD" w14:textId="426A3CAB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72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74A9CD37" w14:textId="527EED7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6.60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(38)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3132B8FB" w14:textId="287AFCC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6.75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(34)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01EF54B9" w14:textId="6713B028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6C19B25A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31DED556" w14:textId="1E583CE7" w:rsidR="001B2269" w:rsidRPr="0060023B" w:rsidRDefault="001B2269" w:rsidP="00826731">
            <w:pPr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Other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5863A331" w14:textId="45FE2CD1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179</w:t>
            </w: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01787A67" w14:textId="3E97DB9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17.4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(100)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5FC6E9B" w14:textId="06AB9DB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15.7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(79)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402BD1BA" w14:textId="7959D0C2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Courier"/>
                <w:color w:val="000000"/>
                <w:lang w:eastAsia="zh-CN"/>
              </w:rPr>
            </w:pPr>
            <w:r>
              <w:rPr>
                <w:rFonts w:ascii="Book Antiqua" w:hAnsi="Book Antiqua" w:cs="Courier" w:hint="eastAsia"/>
                <w:color w:val="000000"/>
                <w:lang w:eastAsia="zh-CN"/>
              </w:rPr>
              <w:t>-</w:t>
            </w:r>
          </w:p>
        </w:tc>
      </w:tr>
      <w:tr w:rsidR="001B2269" w:rsidRPr="0060023B" w14:paraId="3FCB6600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58727647" w14:textId="7DD57693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lastRenderedPageBreak/>
              <w:t>MAP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(mmHg)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6C71A4EF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5ED15EE1" w14:textId="357BEF2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2131D9E6" w14:textId="27B6898C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93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20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1080FF36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0.8971</w:t>
            </w:r>
          </w:p>
        </w:tc>
      </w:tr>
      <w:tr w:rsidR="001B2269" w:rsidRPr="0060023B" w14:paraId="45509CEB" w14:textId="77777777" w:rsidTr="001B2269">
        <w:trPr>
          <w:cantSplit/>
          <w:jc w:val="center"/>
        </w:trPr>
        <w:tc>
          <w:tcPr>
            <w:tcW w:w="3242" w:type="dxa"/>
            <w:shd w:val="clear" w:color="auto" w:fill="auto"/>
            <w:tcMar>
              <w:left w:w="60" w:type="dxa"/>
              <w:right w:w="60" w:type="dxa"/>
            </w:tcMar>
          </w:tcPr>
          <w:p w14:paraId="6861F9FE" w14:textId="5458350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Creatinine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(µmol/L)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shd w:val="clear" w:color="auto" w:fill="auto"/>
            <w:tcMar>
              <w:left w:w="60" w:type="dxa"/>
              <w:right w:w="60" w:type="dxa"/>
            </w:tcMar>
          </w:tcPr>
          <w:p w14:paraId="1E15F5CD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tcMar>
              <w:left w:w="60" w:type="dxa"/>
              <w:right w:w="60" w:type="dxa"/>
            </w:tcMar>
          </w:tcPr>
          <w:p w14:paraId="4B8381DA" w14:textId="61AA0F6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72</w:t>
            </w:r>
          </w:p>
        </w:tc>
        <w:tc>
          <w:tcPr>
            <w:tcW w:w="1327" w:type="dxa"/>
            <w:shd w:val="clear" w:color="auto" w:fill="auto"/>
            <w:tcMar>
              <w:left w:w="60" w:type="dxa"/>
              <w:right w:w="60" w:type="dxa"/>
            </w:tcMar>
          </w:tcPr>
          <w:p w14:paraId="0F1973DF" w14:textId="120FA5C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104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67</w:t>
            </w:r>
          </w:p>
        </w:tc>
        <w:tc>
          <w:tcPr>
            <w:tcW w:w="1132" w:type="dxa"/>
            <w:shd w:val="clear" w:color="auto" w:fill="auto"/>
            <w:tcMar>
              <w:left w:w="60" w:type="dxa"/>
              <w:right w:w="60" w:type="dxa"/>
            </w:tcMar>
          </w:tcPr>
          <w:p w14:paraId="5E7EE629" w14:textId="5894F77F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0.9005</w:t>
            </w:r>
          </w:p>
        </w:tc>
      </w:tr>
      <w:tr w:rsidR="001B2269" w:rsidRPr="0060023B" w14:paraId="7F8E0F15" w14:textId="77777777" w:rsidTr="001B2269">
        <w:trPr>
          <w:cantSplit/>
          <w:jc w:val="center"/>
        </w:trPr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E84CDA" w14:textId="3363B8CD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Hemoglobin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(g/dL)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on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admission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FBE28FA" w14:textId="7777777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36D2D0" w14:textId="0AFC2809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426728" w14:textId="2FFAA1E0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11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±</w:t>
            </w:r>
            <w:r w:rsidR="0053683E">
              <w:rPr>
                <w:rFonts w:ascii="Book Antiqua" w:hAnsi="Book Antiqua" w:cs="Arial"/>
                <w:color w:val="000000"/>
              </w:rPr>
              <w:t xml:space="preserve"> </w:t>
            </w:r>
            <w:r w:rsidRPr="0060023B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D7C2B18" w14:textId="2D4FE6B7" w:rsidR="001B2269" w:rsidRPr="0060023B" w:rsidRDefault="001B2269" w:rsidP="00826731">
            <w:pPr>
              <w:adjustRightInd w:val="0"/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60023B">
              <w:rPr>
                <w:rFonts w:ascii="Book Antiqua" w:hAnsi="Book Antiqua" w:cs="Arial"/>
                <w:color w:val="000000"/>
              </w:rPr>
              <w:t>0.9495</w:t>
            </w:r>
          </w:p>
        </w:tc>
      </w:tr>
    </w:tbl>
    <w:p w14:paraId="02A14CE0" w14:textId="1105E718" w:rsidR="007E30FD" w:rsidRPr="007E30FD" w:rsidRDefault="009B7E5A" w:rsidP="00826731">
      <w:pPr>
        <w:spacing w:line="360" w:lineRule="auto"/>
        <w:jc w:val="both"/>
        <w:rPr>
          <w:rFonts w:ascii="Book Antiqua" w:hAnsi="Book Antiqua"/>
        </w:rPr>
      </w:pPr>
      <w:r w:rsidRPr="009B7E5A">
        <w:rPr>
          <w:rFonts w:ascii="Book Antiqua" w:hAnsi="Book Antiqua"/>
        </w:rPr>
        <w:t>Values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are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percentages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(frequency)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means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±</w:t>
      </w:r>
      <w:r w:rsidR="0053683E">
        <w:rPr>
          <w:rFonts w:ascii="Book Antiqua" w:hAnsi="Book Antiqua"/>
        </w:rPr>
        <w:t xml:space="preserve"> </w:t>
      </w:r>
      <w:r w:rsidR="005A5676">
        <w:rPr>
          <w:rFonts w:ascii="Book Antiqua" w:hAnsi="Book Antiqua"/>
        </w:rPr>
        <w:t>SD</w:t>
      </w:r>
      <w:r w:rsidRPr="009B7E5A"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  <w:i/>
          <w:iCs/>
        </w:rPr>
        <w:t>P</w:t>
      </w:r>
      <w:r w:rsidR="005A5676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values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based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Student's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  <w:i/>
          <w:iCs/>
        </w:rPr>
        <w:t>t</w:t>
      </w:r>
      <w:r w:rsidRPr="009B7E5A">
        <w:rPr>
          <w:rFonts w:ascii="Book Antiqua" w:hAnsi="Book Antiqua"/>
        </w:rPr>
        <w:t>-test,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chi-square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Fischer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test</w:t>
      </w:r>
      <w:r>
        <w:rPr>
          <w:rFonts w:ascii="Book Antiqua" w:hAnsi="Book Antiqua"/>
        </w:rPr>
        <w:t>.</w:t>
      </w:r>
      <w:r w:rsidR="0053683E">
        <w:rPr>
          <w:rFonts w:ascii="Book Antiqua" w:hAnsi="Book Antiqua"/>
        </w:rPr>
        <w:t xml:space="preserve">  </w:t>
      </w:r>
      <w:r w:rsidRPr="009B7E5A">
        <w:rPr>
          <w:rFonts w:ascii="Book Antiqua" w:hAnsi="Book Antiqua"/>
        </w:rPr>
        <w:t>GI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9B7E5A">
        <w:rPr>
          <w:rFonts w:ascii="Book Antiqua" w:hAnsi="Book Antiqua"/>
        </w:rPr>
        <w:t>astrointestinal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CAD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9B7E5A">
        <w:rPr>
          <w:rFonts w:ascii="Book Antiqua" w:hAnsi="Book Antiqua"/>
        </w:rPr>
        <w:t>oronary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artery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disease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PVD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9B7E5A">
        <w:rPr>
          <w:rFonts w:ascii="Book Antiqua" w:hAnsi="Book Antiqua"/>
        </w:rPr>
        <w:t>eripheral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vascular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disease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ICH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9B7E5A">
        <w:rPr>
          <w:rFonts w:ascii="Book Antiqua" w:hAnsi="Book Antiqua"/>
        </w:rPr>
        <w:t>ntracranial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hemorrhage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PPI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9B7E5A">
        <w:rPr>
          <w:rFonts w:ascii="Book Antiqua" w:hAnsi="Book Antiqua"/>
        </w:rPr>
        <w:t>roton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pump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inhibitor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VKA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</w:t>
      </w:r>
      <w:r w:rsidRPr="009B7E5A">
        <w:rPr>
          <w:rFonts w:ascii="Book Antiqua" w:hAnsi="Book Antiqua"/>
        </w:rPr>
        <w:t>itamin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K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antagonist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DOAC</w:t>
      </w:r>
      <w:r w:rsidR="00A34864"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 w:rsidR="00A34864">
        <w:rPr>
          <w:rFonts w:ascii="Book Antiqua" w:hAnsi="Book Antiqua"/>
        </w:rPr>
        <w:t>D</w:t>
      </w:r>
      <w:r w:rsidRPr="009B7E5A">
        <w:rPr>
          <w:rFonts w:ascii="Book Antiqua" w:hAnsi="Book Antiqua"/>
        </w:rPr>
        <w:t>irect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oral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anticoagulant</w:t>
      </w:r>
      <w:r>
        <w:rPr>
          <w:rFonts w:ascii="Book Antiqua" w:hAnsi="Book Antiqua"/>
        </w:rPr>
        <w:t>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AP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Pr="009B7E5A">
        <w:rPr>
          <w:rFonts w:ascii="Book Antiqua" w:hAnsi="Book Antiqua"/>
        </w:rPr>
        <w:t>ntiplatelet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agent;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MAP</w:t>
      </w:r>
      <w:r>
        <w:rPr>
          <w:rFonts w:ascii="Book Antiqua" w:hAnsi="Book Antiqua"/>
        </w:rPr>
        <w:t>: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Mean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arterial</w:t>
      </w:r>
      <w:r w:rsidR="0053683E">
        <w:rPr>
          <w:rFonts w:ascii="Book Antiqua" w:hAnsi="Book Antiqua"/>
        </w:rPr>
        <w:t xml:space="preserve"> </w:t>
      </w:r>
      <w:r w:rsidRPr="009B7E5A">
        <w:rPr>
          <w:rFonts w:ascii="Book Antiqua" w:hAnsi="Book Antiqua"/>
        </w:rPr>
        <w:t>pressure.</w:t>
      </w:r>
    </w:p>
    <w:sectPr w:rsidR="007E30FD" w:rsidRPr="007E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B3A7" w14:textId="77777777" w:rsidR="00EC1C1B" w:rsidRDefault="00EC1C1B" w:rsidP="005F11B9">
      <w:r>
        <w:separator/>
      </w:r>
    </w:p>
  </w:endnote>
  <w:endnote w:type="continuationSeparator" w:id="0">
    <w:p w14:paraId="26902318" w14:textId="77777777" w:rsidR="00EC1C1B" w:rsidRDefault="00EC1C1B" w:rsidP="005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26126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A1DEA3F" w14:textId="26B30C20" w:rsidR="005F11B9" w:rsidRPr="005F11B9" w:rsidRDefault="0053683E" w:rsidP="005F11B9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11B9" w:rsidRPr="005F11B9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11B9" w:rsidRPr="005F11B9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="005F11B9" w:rsidRPr="005F11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FA26167" w14:textId="77777777" w:rsidR="005F11B9" w:rsidRDefault="005F11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080A" w14:textId="77777777" w:rsidR="00EC1C1B" w:rsidRDefault="00EC1C1B" w:rsidP="005F11B9">
      <w:r>
        <w:separator/>
      </w:r>
    </w:p>
  </w:footnote>
  <w:footnote w:type="continuationSeparator" w:id="0">
    <w:p w14:paraId="1891DE63" w14:textId="77777777" w:rsidR="00EC1C1B" w:rsidRDefault="00EC1C1B" w:rsidP="005F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463"/>
    <w:rsid w:val="0008315C"/>
    <w:rsid w:val="00097ED1"/>
    <w:rsid w:val="000B085E"/>
    <w:rsid w:val="000F3168"/>
    <w:rsid w:val="00161A89"/>
    <w:rsid w:val="001B2269"/>
    <w:rsid w:val="00217D5F"/>
    <w:rsid w:val="00260155"/>
    <w:rsid w:val="00347E08"/>
    <w:rsid w:val="00365B11"/>
    <w:rsid w:val="003E3E36"/>
    <w:rsid w:val="00533B1C"/>
    <w:rsid w:val="0053683E"/>
    <w:rsid w:val="00542DC8"/>
    <w:rsid w:val="00577B67"/>
    <w:rsid w:val="005A5676"/>
    <w:rsid w:val="005F11B9"/>
    <w:rsid w:val="006A30F4"/>
    <w:rsid w:val="006A3252"/>
    <w:rsid w:val="007E30FD"/>
    <w:rsid w:val="008079D9"/>
    <w:rsid w:val="00826731"/>
    <w:rsid w:val="00894E14"/>
    <w:rsid w:val="008D78F5"/>
    <w:rsid w:val="009B7E5A"/>
    <w:rsid w:val="00A11291"/>
    <w:rsid w:val="00A34864"/>
    <w:rsid w:val="00A77B3E"/>
    <w:rsid w:val="00AA1A20"/>
    <w:rsid w:val="00AD65AC"/>
    <w:rsid w:val="00B03B1C"/>
    <w:rsid w:val="00B040B2"/>
    <w:rsid w:val="00B17406"/>
    <w:rsid w:val="00B565FD"/>
    <w:rsid w:val="00BC11CD"/>
    <w:rsid w:val="00BD0E23"/>
    <w:rsid w:val="00CA2A55"/>
    <w:rsid w:val="00D3628A"/>
    <w:rsid w:val="00D9268B"/>
    <w:rsid w:val="00E11667"/>
    <w:rsid w:val="00E42281"/>
    <w:rsid w:val="00EC1C1B"/>
    <w:rsid w:val="00ED21F8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C43C"/>
  <w15:docId w15:val="{AC31022A-E71E-436E-850B-C9E04AE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315C"/>
    <w:rPr>
      <w:sz w:val="18"/>
      <w:szCs w:val="18"/>
    </w:rPr>
  </w:style>
  <w:style w:type="character" w:customStyle="1" w:styleId="a4">
    <w:name w:val="批注框文本 字符"/>
    <w:basedOn w:val="a0"/>
    <w:link w:val="a3"/>
    <w:rsid w:val="0008315C"/>
    <w:rPr>
      <w:sz w:val="18"/>
      <w:szCs w:val="18"/>
    </w:rPr>
  </w:style>
  <w:style w:type="character" w:styleId="a5">
    <w:name w:val="annotation reference"/>
    <w:basedOn w:val="a0"/>
    <w:semiHidden/>
    <w:unhideWhenUsed/>
    <w:rsid w:val="00B565FD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B565FD"/>
  </w:style>
  <w:style w:type="character" w:customStyle="1" w:styleId="a7">
    <w:name w:val="批注文字 字符"/>
    <w:basedOn w:val="a0"/>
    <w:link w:val="a6"/>
    <w:semiHidden/>
    <w:rsid w:val="00B565FD"/>
    <w:rPr>
      <w:sz w:val="24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B565FD"/>
    <w:rPr>
      <w:b/>
      <w:bCs/>
    </w:rPr>
  </w:style>
  <w:style w:type="character" w:customStyle="1" w:styleId="a9">
    <w:name w:val="批注主题 字符"/>
    <w:basedOn w:val="a7"/>
    <w:link w:val="a8"/>
    <w:semiHidden/>
    <w:rsid w:val="00B565FD"/>
    <w:rPr>
      <w:b/>
      <w:bCs/>
      <w:sz w:val="24"/>
      <w:szCs w:val="24"/>
    </w:rPr>
  </w:style>
  <w:style w:type="paragraph" w:styleId="aa">
    <w:name w:val="header"/>
    <w:basedOn w:val="a"/>
    <w:link w:val="ab"/>
    <w:unhideWhenUsed/>
    <w:rsid w:val="005F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F11B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F1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F1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Liansheng Ma</cp:lastModifiedBy>
  <cp:revision>2</cp:revision>
  <dcterms:created xsi:type="dcterms:W3CDTF">2020-08-29T00:17:00Z</dcterms:created>
  <dcterms:modified xsi:type="dcterms:W3CDTF">2020-08-29T00:17:00Z</dcterms:modified>
</cp:coreProperties>
</file>