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8E97" w14:textId="233683B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Name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of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Journal: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color w:val="000000"/>
        </w:rPr>
        <w:t>World</w:t>
      </w:r>
      <w:r w:rsidR="00B104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color w:val="000000"/>
        </w:rPr>
        <w:t>Journal</w:t>
      </w:r>
      <w:r w:rsidR="00B104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color w:val="000000"/>
        </w:rPr>
        <w:t>of</w:t>
      </w:r>
      <w:r w:rsidR="00B104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color w:val="000000"/>
        </w:rPr>
        <w:t>Hepatology</w:t>
      </w:r>
    </w:p>
    <w:p w14:paraId="2FC01CE9" w14:textId="50E52F8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Manuscript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NO: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57493</w:t>
      </w:r>
    </w:p>
    <w:p w14:paraId="7821D941" w14:textId="25425A5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Manuscript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Type: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341"/>
      <w:bookmarkStart w:id="1" w:name="OLE_LINK342"/>
      <w:r w:rsidRPr="00B104C2"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45987ECF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0645B022" w14:textId="6670ED1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bookmarkStart w:id="2" w:name="OLE_LINK339"/>
      <w:bookmarkStart w:id="3" w:name="OLE_LINK340"/>
      <w:r w:rsidRPr="00B104C2">
        <w:rPr>
          <w:rFonts w:ascii="Book Antiqua" w:eastAsia="Book Antiqua" w:hAnsi="Book Antiqua" w:cs="Book Antiqua"/>
          <w:b/>
          <w:bCs/>
          <w:color w:val="000000"/>
        </w:rPr>
        <w:t>Metabolic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era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bariatric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surgery: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What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you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need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know!</w:t>
      </w:r>
    </w:p>
    <w:bookmarkEnd w:id="2"/>
    <w:bookmarkEnd w:id="3"/>
    <w:p w14:paraId="3A82AF2A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4286BB8B" w14:textId="3427F34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</w:p>
    <w:p w14:paraId="45D5A2CE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2FD39479" w14:textId="3B86392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04C2">
        <w:rPr>
          <w:rFonts w:ascii="Book Antiqua" w:eastAsia="Book Antiqua" w:hAnsi="Book Antiqua" w:cs="Book Antiqua"/>
          <w:color w:val="000000"/>
        </w:rPr>
        <w:t>Ioannis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Konstantinos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Zapsalis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Dimitrios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Giannis,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Georgios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Tsoulfas</w:t>
      </w:r>
      <w:proofErr w:type="spellEnd"/>
    </w:p>
    <w:p w14:paraId="62F3C56A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3CE95D15" w14:textId="5D80CCE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Ioannis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Ziogas</w:t>
      </w:r>
      <w:proofErr w:type="spellEnd"/>
      <w:r w:rsidRPr="00B104C2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Department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Division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Hepatobiliary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Vanderbilt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University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Medical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Center,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Nashville,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37232,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States</w:t>
      </w:r>
    </w:p>
    <w:p w14:paraId="5FA4C5D8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4F46D9CB" w14:textId="24BA70E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Zapsalis</w:t>
      </w:r>
      <w:proofErr w:type="spellEnd"/>
      <w:r w:rsidRPr="00B104C2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Aristotle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University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54124,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Greece</w:t>
      </w:r>
    </w:p>
    <w:p w14:paraId="6C1E10EB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587BEED9" w14:textId="1F26B3E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Giannis,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Center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Health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Innovations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Research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(CHIOR),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Feinstein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Institute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Medical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Research,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Manhasset,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11030,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States</w:t>
      </w:r>
    </w:p>
    <w:p w14:paraId="2586CED4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3FB9663E" w14:textId="5BB2D9F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Tsoulfas</w:t>
      </w:r>
      <w:proofErr w:type="spellEnd"/>
      <w:r w:rsidRPr="00B104C2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04C2" w:rsidRPr="00B104C2">
        <w:rPr>
          <w:rFonts w:ascii="Book Antiqua" w:eastAsia="Book Antiqua" w:hAnsi="Book Antiqua" w:cs="Book Antiqua"/>
          <w:color w:val="000000"/>
        </w:rPr>
        <w:t>T</w:t>
      </w:r>
      <w:r w:rsidRPr="00B104C2">
        <w:rPr>
          <w:rFonts w:ascii="Book Antiqua" w:eastAsia="Book Antiqua" w:hAnsi="Book Antiqua" w:cs="Book Antiqua"/>
          <w:color w:val="000000"/>
        </w:rPr>
        <w:t>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First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Department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Aristotle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University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54124,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Greece</w:t>
      </w:r>
    </w:p>
    <w:p w14:paraId="46944073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40795325" w14:textId="44FB72A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71BF" w:rsidRPr="00B104C2">
        <w:rPr>
          <w:rFonts w:ascii="Book Antiqua" w:eastAsia="Book Antiqua" w:hAnsi="Book Antiqua" w:cs="Book Antiqua"/>
          <w:bCs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371BF" w:rsidRPr="00B104C2">
        <w:rPr>
          <w:rFonts w:ascii="Book Antiqua" w:eastAsia="Book Antiqua" w:hAnsi="Book Antiqua" w:cs="Book Antiqua"/>
          <w:bCs/>
          <w:color w:val="000000"/>
        </w:rPr>
        <w:t>IA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371BF" w:rsidRPr="00B104C2">
        <w:rPr>
          <w:rFonts w:ascii="Book Antiqua" w:eastAsia="Book Antiqua" w:hAnsi="Book Antiqua" w:cs="Book Antiqua"/>
          <w:bCs/>
          <w:color w:val="000000"/>
        </w:rPr>
        <w:t>and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E371BF" w:rsidRPr="00B104C2">
        <w:rPr>
          <w:rFonts w:ascii="Book Antiqua" w:eastAsia="Book Antiqua" w:hAnsi="Book Antiqua" w:cs="Book Antiqua"/>
          <w:bCs/>
          <w:color w:val="000000"/>
        </w:rPr>
        <w:t>Zapsalis</w:t>
      </w:r>
      <w:proofErr w:type="spellEnd"/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371BF" w:rsidRPr="00B104C2">
        <w:rPr>
          <w:rFonts w:ascii="Book Antiqua" w:eastAsia="Book Antiqua" w:hAnsi="Book Antiqua" w:cs="Book Antiqua"/>
          <w:bCs/>
          <w:color w:val="000000"/>
        </w:rPr>
        <w:t>K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4151" w:rsidRPr="00B104C2">
        <w:rPr>
          <w:rFonts w:ascii="Book Antiqua" w:hAnsi="Book Antiqua" w:cs="Book Antiqua"/>
          <w:bCs/>
          <w:color w:val="000000"/>
          <w:lang w:eastAsia="zh-CN"/>
        </w:rPr>
        <w:t>contributed</w:t>
      </w:r>
      <w:r w:rsidR="00B104C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4151" w:rsidRPr="00B104C2">
        <w:rPr>
          <w:rFonts w:ascii="Book Antiqua" w:hAnsi="Book Antiqua" w:cs="Book Antiqua"/>
          <w:bCs/>
          <w:color w:val="000000"/>
          <w:lang w:eastAsia="zh-CN"/>
        </w:rPr>
        <w:t>to</w:t>
      </w:r>
      <w:r w:rsidR="00B104C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4151" w:rsidRPr="00B104C2">
        <w:rPr>
          <w:rFonts w:ascii="Book Antiqua" w:hAnsi="Book Antiqua" w:cs="Book Antiqua"/>
          <w:bCs/>
          <w:color w:val="000000"/>
          <w:lang w:eastAsia="zh-CN"/>
        </w:rPr>
        <w:t>this</w:t>
      </w:r>
      <w:r w:rsidR="00B104C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4151" w:rsidRPr="00B104C2">
        <w:rPr>
          <w:rFonts w:ascii="Book Antiqua" w:hAnsi="Book Antiqua" w:cs="Book Antiqua"/>
          <w:bCs/>
          <w:color w:val="000000"/>
          <w:lang w:eastAsia="zh-CN"/>
        </w:rPr>
        <w:t>paper</w:t>
      </w:r>
      <w:r w:rsidR="00B104C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4151" w:rsidRPr="00B104C2">
        <w:rPr>
          <w:rFonts w:ascii="Book Antiqua" w:hAnsi="Book Antiqua" w:cs="Book Antiqua"/>
          <w:bCs/>
          <w:color w:val="000000"/>
          <w:lang w:eastAsia="zh-CN"/>
        </w:rPr>
        <w:t>equally</w:t>
      </w:r>
      <w:r w:rsidR="00E371BF" w:rsidRPr="00B104C2">
        <w:rPr>
          <w:rFonts w:ascii="Book Antiqua" w:eastAsia="Book Antiqua" w:hAnsi="Book Antiqua" w:cs="Book Antiqua"/>
          <w:bCs/>
          <w:color w:val="000000"/>
        </w:rPr>
        <w:t>.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contributed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conception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design;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Zapsalis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Giannis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contributed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acquisition,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analysis,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interpretation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data;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Zapsalis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Giannis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contributed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drafting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manuscript;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Zapsalis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Giannis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contributed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critical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approval.</w:t>
      </w:r>
    </w:p>
    <w:p w14:paraId="09778457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491CC589" w14:textId="59924DA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Tsoulfas</w:t>
      </w:r>
      <w:proofErr w:type="spellEnd"/>
      <w:r w:rsidRPr="00B104C2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FICS,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04C2" w:rsidRPr="00B104C2">
        <w:rPr>
          <w:rFonts w:ascii="Book Antiqua" w:eastAsia="Book Antiqua" w:hAnsi="Book Antiqua" w:cs="Book Antiqua"/>
          <w:color w:val="000000"/>
        </w:rPr>
        <w:t>T</w:t>
      </w:r>
      <w:r w:rsidRPr="00B104C2">
        <w:rPr>
          <w:rFonts w:ascii="Book Antiqua" w:eastAsia="Book Antiqua" w:hAnsi="Book Antiqua" w:cs="Book Antiqua"/>
          <w:color w:val="000000"/>
        </w:rPr>
        <w:t>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First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Department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Aristotle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University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Tsimiski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Street,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Thessaloniki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54124,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Greece.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tsoulfasg@auth.gr</w:t>
      </w:r>
    </w:p>
    <w:p w14:paraId="6FD300FE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0CDA0384" w14:textId="23228A4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June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</w:p>
    <w:p w14:paraId="22C5A084" w14:textId="008DBEF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August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</w:p>
    <w:p w14:paraId="12ABBF53" w14:textId="4F987705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0777" w:rsidRPr="00C60777">
        <w:rPr>
          <w:rFonts w:ascii="Book Antiqua" w:eastAsia="Book Antiqua" w:hAnsi="Book Antiqua" w:cs="Book Antiqua"/>
          <w:bCs/>
          <w:color w:val="000000"/>
        </w:rPr>
        <w:t>September 1, 2020</w:t>
      </w:r>
    </w:p>
    <w:p w14:paraId="61D77EAF" w14:textId="76B3E75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323EDDF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  <w:sectPr w:rsidR="00A77B3E" w:rsidRPr="00B104C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6945E0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5AA6F40" w14:textId="69595A4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(MS)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constellation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resistance,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serum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triglycerides,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high-density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lipoprotein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cholesterol,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pressure.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increasingly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people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progressively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evolves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serious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issue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widespread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healthcare,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cost,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quality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consequences.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mortality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chronic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Conservative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includes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diet,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exercise,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antidiabetic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agents,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mainstay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depends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compliance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medical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adherence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lifestyle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modification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recommendations.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recently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emerged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appropriate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alternative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promising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constitute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performed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proven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cost-effective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safe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rates.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definitive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end-stage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utilization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fivefold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summarize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current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evidence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MS.</w:t>
      </w:r>
    </w:p>
    <w:p w14:paraId="367AD207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20D81FFA" w14:textId="6E237EA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b</w:t>
      </w:r>
      <w:r w:rsidRPr="00B104C2">
        <w:rPr>
          <w:rFonts w:ascii="Book Antiqua" w:eastAsia="Book Antiqua" w:hAnsi="Book Antiqua" w:cs="Book Antiqua"/>
          <w:color w:val="000000"/>
        </w:rPr>
        <w:t>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s</w:t>
      </w:r>
      <w:r w:rsidRPr="00B104C2">
        <w:rPr>
          <w:rFonts w:ascii="Book Antiqua" w:eastAsia="Book Antiqua" w:hAnsi="Book Antiqua" w:cs="Book Antiqua"/>
          <w:color w:val="000000"/>
        </w:rPr>
        <w:t>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g</w:t>
      </w:r>
      <w:r w:rsidRPr="00B104C2">
        <w:rPr>
          <w:rFonts w:ascii="Book Antiqua" w:eastAsia="Book Antiqua" w:hAnsi="Book Antiqua" w:cs="Book Antiqua"/>
          <w:color w:val="000000"/>
        </w:rPr>
        <w:t>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aps/>
          <w:color w:val="000000"/>
        </w:rPr>
        <w:t>l</w:t>
      </w:r>
      <w:r w:rsidRPr="00B104C2">
        <w:rPr>
          <w:rFonts w:ascii="Book Antiqua" w:eastAsia="Book Antiqua" w:hAnsi="Book Antiqua" w:cs="Book Antiqua"/>
          <w:color w:val="000000"/>
        </w:rPr>
        <w:t>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</w:p>
    <w:p w14:paraId="1E4F6D99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682C4DC3" w14:textId="47548A3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proofErr w:type="spellStart"/>
      <w:r w:rsidRPr="00B104C2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Zapsalis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Giannis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era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you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know!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press</w:t>
      </w:r>
    </w:p>
    <w:p w14:paraId="06B0211D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2DF2FEE6" w14:textId="610364C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343"/>
      <w:bookmarkStart w:id="5" w:name="OLE_LINK344"/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(MS)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increasingly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developed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countries,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hyperlipidemia,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Diet,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exercise,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milestones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conservative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emerged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promising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severely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conservative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measures.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performed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definitive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end-stage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secondary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(LT).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optimal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timing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required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determined.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bookmarkEnd w:id="4"/>
      <w:bookmarkEnd w:id="5"/>
    </w:p>
    <w:p w14:paraId="5E297B38" w14:textId="77777777" w:rsidR="00A77B3E" w:rsidRPr="00B104C2" w:rsidRDefault="00125B40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hAnsi="Book Antiqua"/>
        </w:rPr>
        <w:br w:type="page"/>
      </w:r>
      <w:r w:rsidR="00045599" w:rsidRPr="00B104C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868FFFD" w14:textId="4CFDCFF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(MS),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also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known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X,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complex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entity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consisting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resistance,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hypertriglyceridemia,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waist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circumference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hypertension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According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Lung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Institute,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least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three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should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establish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diagnosis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(1)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60777">
        <w:rPr>
          <w:rFonts w:ascii="Book Antiqua" w:eastAsia="Book Antiqua" w:hAnsi="Book Antiqua" w:cs="Book Antiqua"/>
          <w:color w:val="000000"/>
        </w:rPr>
        <w:t>O</w:t>
      </w:r>
      <w:r w:rsidRPr="00B104C2">
        <w:rPr>
          <w:rFonts w:ascii="Book Antiqua" w:eastAsia="Book Antiqua" w:hAnsi="Book Antiqua" w:cs="Book Antiqua"/>
          <w:color w:val="000000"/>
        </w:rPr>
        <w:t>besity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(waist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circumference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102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women);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(2)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triglycerides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150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mg/dL;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(3)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high-density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lipoprotein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(HDL)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cholesterol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40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mg/dL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mg/dL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women;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(4)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systolic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130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mmHg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diastolic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85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mmHg;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(5)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mg/dL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B104C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patterns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(T2DM),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[1,5,6]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populations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(BMI),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Asian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Americans,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decades,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physically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older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quite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evident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evolves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epidemic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problem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mandates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timely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[1,8]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sought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particular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focus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focusing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F317548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576D4C68" w14:textId="0CD28A7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MS</w:t>
      </w:r>
    </w:p>
    <w:p w14:paraId="1719185C" w14:textId="257BEDC4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predictor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nonfatal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stroke,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ischemic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Wilson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3323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8-years,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myocardial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infarctions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deaths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16%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attributed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MS.</w:t>
      </w:r>
    </w:p>
    <w:p w14:paraId="38C84E73" w14:textId="5364905E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resistance,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consequently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BMI,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1960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2000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1.8%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5.8%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period,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undiagnosed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trend,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activity,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[8,11]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7766120" w14:textId="021D02E3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Moreover,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spectrum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conditions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ranging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(NAFLD)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(NASH)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cirrhosis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eventually,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hepatocellular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carcinoma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(HCC).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cause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chronic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western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permeation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parenchyma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alcohol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abuse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one-third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general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80%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predisposing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older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hypertriglyceridemia,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resistance,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[13,16]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earliest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warranted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occurrence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irreversible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histopathologic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parenchyma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[12,14]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Notably,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Ekstedt</w:t>
      </w:r>
      <w:proofErr w:type="spellEnd"/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129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(2.3%)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recruited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HCC.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stored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hepatocytes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necrosis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stimulate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pro-oncogenic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pathways,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nuclear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kappa-light-chain-enhancer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activated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c-Jun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N-terminal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suppressor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definitive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pathophysiologic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predisposing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elucidated.</w:t>
      </w:r>
    </w:p>
    <w:p w14:paraId="1378F02E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21A2C963" w14:textId="3572B9D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CONSERVATIVE</w:t>
      </w:r>
      <w:r w:rsid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MANAGEMENT</w:t>
      </w:r>
    </w:p>
    <w:p w14:paraId="7D14A909" w14:textId="7AF0239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evidence,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cornerstone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restricted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calories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combined,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regular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exercise,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pioglitazone,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metformin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found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FLINT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REGENERATE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expected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become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first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FDA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approved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drug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[22</w:t>
      </w:r>
      <w:r w:rsidR="00B104C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mphetamine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derivatives,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phentermine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desoxyephedrine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statins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occasionally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liraglutide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Finally,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zinc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sulfate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seem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[30,31]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CA5C8D0" w14:textId="408F26A1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depends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compliance,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conservative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limiting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progression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pharmacologic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non-surgical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always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yield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fruitful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(BMI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30).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F15A7DC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CD563AA" w14:textId="2ACFB5F4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SURGICAL</w:t>
      </w:r>
      <w:r w:rsid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MANAGEMENT</w:t>
      </w:r>
    </w:p>
    <w:p w14:paraId="415D21D6" w14:textId="325F5A1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lipids,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tolerance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conservative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lowering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level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hemoglobin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A1c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(HbA1c)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latter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[34</w:t>
      </w:r>
      <w:r w:rsidR="00B104C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C-peptide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tolerance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lifelong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surgeries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facilitate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CE7E79C" w14:textId="67B17631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historically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restrictive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Restrictive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ingested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capacity,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remove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bypass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absorptive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surface.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general,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restrictive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Usually,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restriction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mediate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surgeries.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instance,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hormones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enteroplasticity</w:t>
      </w:r>
      <w:proofErr w:type="spellEnd"/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while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alteration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intestinal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microbiome,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gut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hormone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production,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neural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signaling,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hepatic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and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pancreatic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function,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and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gastrointestinal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nutrient-sensing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glucose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homeostasis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sensitivity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laparoscopically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B104C2">
        <w:rPr>
          <w:rFonts w:ascii="Book Antiqua" w:eastAsia="Book Antiqua" w:hAnsi="Book Antiqua" w:cs="Book Antiqua"/>
          <w:color w:val="000000"/>
        </w:rPr>
        <w:t>96%)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following: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(RYGB),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(SG),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(BPD)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duodenal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switch,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placement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adjustable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(LAGB)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</w:p>
    <w:p w14:paraId="57AD0F7B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2537CA49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  <w:b/>
          <w:bCs/>
        </w:rPr>
      </w:pPr>
      <w:r w:rsidRPr="00B104C2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RYGB</w:t>
      </w:r>
    </w:p>
    <w:p w14:paraId="68581BDF" w14:textId="5F55B30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involves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formation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50-mL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pouch,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antecolic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gastrojejunostomy.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Immediate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include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restricted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intake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calories,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rapid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entry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intestine,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delivery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distal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intestine,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concurrently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excludes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proximal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intestine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lead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136.9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B104C2" w:rsidRPr="00B104C2">
        <w:rPr>
          <w:rFonts w:ascii="Book Antiqua" w:eastAsia="Book Antiqua" w:hAnsi="Book Antiqua" w:cs="Book Antiqua"/>
          <w:color w:val="000000"/>
        </w:rPr>
        <w:t xml:space="preserve">kg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100.6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1804"/>
      <w:bookmarkStart w:id="7" w:name="OLE_LINK1805"/>
      <w:r w:rsidRPr="00B104C2">
        <w:rPr>
          <w:rFonts w:ascii="Book Antiqua" w:eastAsia="Book Antiqua" w:hAnsi="Book Antiqua" w:cs="Book Antiqua"/>
          <w:color w:val="000000"/>
        </w:rPr>
        <w:t>kg</w:t>
      </w:r>
      <w:bookmarkEnd w:id="6"/>
      <w:bookmarkEnd w:id="7"/>
      <w:r w:rsidRPr="00B104C2">
        <w:rPr>
          <w:rFonts w:ascii="Book Antiqua" w:eastAsia="Book Antiqua" w:hAnsi="Book Antiqua" w:cs="Book Antiqua"/>
          <w:color w:val="000000"/>
        </w:rPr>
        <w:t>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decrease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BMI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45.5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B104C2" w:rsidRPr="00B104C2">
        <w:rPr>
          <w:rFonts w:ascii="Book Antiqua" w:eastAsia="Book Antiqua" w:hAnsi="Book Antiqua" w:cs="Book Antiqua"/>
          <w:color w:val="000000"/>
        </w:rPr>
        <w:t>kg/</w:t>
      </w:r>
      <w:r w:rsidR="00B104C2"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m²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down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33.3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m²)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75.8%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65%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lipids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metabolism.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HbA1c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8.6%,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1-year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73.5%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5-year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period,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abate,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insufficient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reservoir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hyperlipidemia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reemerge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post-procedure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.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This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finding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signifies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potential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importance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lifelong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treatment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with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antihypertensive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and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lipid-lowering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medications.</w:t>
      </w:r>
    </w:p>
    <w:p w14:paraId="1732338C" w14:textId="393E214B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modality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anastomotic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leakage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(0.63%),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hemorrhage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(0.52%),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(0.4%)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[38,47]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hernia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Petersen’s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hernia,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herniation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helix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mesenteric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created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prevented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mesenteric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closure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laparoscopic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Pr="00B104C2">
        <w:rPr>
          <w:rFonts w:ascii="Book Antiqua" w:eastAsia="Book Antiqua" w:hAnsi="Book Antiqua" w:cs="Book Antiqua"/>
          <w:color w:val="000000"/>
          <w:vertAlign w:val="subscript"/>
        </w:rPr>
        <w:t>1,</w:t>
      </w:r>
      <w:r w:rsidR="00B104C2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</w:t>
      </w:r>
      <w:r w:rsidRPr="00B104C2">
        <w:rPr>
          <w:rFonts w:ascii="Book Antiqua" w:eastAsia="Book Antiqua" w:hAnsi="Book Antiqua" w:cs="Book Antiqua"/>
          <w:color w:val="000000"/>
          <w:vertAlign w:val="subscript"/>
        </w:rPr>
        <w:t>12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iron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calcium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deficiency,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peptic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ulcer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Moreover,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reoperation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endoscopic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intervention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(anastomotic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leak,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infection,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hernia,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bowel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obstruction,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insufficient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undergoing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22.1%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Additional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quality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include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postprandial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dumping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hypoglycemia,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calcium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oxalate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nephrolithiasis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chronic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kidney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[52</w:t>
      </w:r>
      <w:r w:rsidR="00B104C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5-year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3%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BF04D29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4CCD0CCA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  <w:b/>
          <w:bCs/>
        </w:rPr>
      </w:pPr>
      <w:r w:rsidRPr="00B104C2">
        <w:rPr>
          <w:rFonts w:ascii="Book Antiqua" w:eastAsia="Book Antiqua" w:hAnsi="Book Antiqua" w:cs="Book Antiqua"/>
          <w:b/>
          <w:bCs/>
          <w:i/>
          <w:color w:val="000000"/>
        </w:rPr>
        <w:t>SG</w:t>
      </w:r>
    </w:p>
    <w:p w14:paraId="717074A0" w14:textId="1F900F5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mainly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caloric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restriction,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rapid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entry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intestine,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enhanced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delivery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distal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jejunum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ileum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involves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resection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approximately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80%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stomach.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widely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applied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worldwide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constituents,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except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hypertriglyceridemia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B104C2">
        <w:rPr>
          <w:rFonts w:ascii="Book Antiqua" w:eastAsia="Book Antiqua" w:hAnsi="Book Antiqua" w:cs="Book Antiqua"/>
          <w:color w:val="000000"/>
        </w:rPr>
        <w:t>.</w:t>
      </w:r>
    </w:p>
    <w:p w14:paraId="023716C3" w14:textId="5F4EB5A6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Although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lead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decrease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BMI,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pronounced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meta-analysis,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demonstrated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higher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percentage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(65.7%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57.3%,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&lt;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0.0001)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Despite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simple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offers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benefits,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including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glycemic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sensitivity,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hypoglycemic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agents,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Postoperatively,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insulin-dependent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tend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reduce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even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stop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taking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their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their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changed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hypoglycemic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agents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832505">
        <w:rPr>
          <w:rFonts w:ascii="Book Antiqua" w:eastAsia="Book Antiqua" w:hAnsi="Book Antiqua" w:cs="Book Antiqua"/>
          <w:color w:val="000000"/>
          <w:vertAlign w:val="superscript"/>
        </w:rPr>
        <w:t>6-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84%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resolution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remission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T2DM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.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However,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30%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to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50%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patients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exhibit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recurrence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diabetes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in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B104C2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Style w:val="identifier"/>
          <w:rFonts w:ascii="Book Antiqua" w:eastAsia="Book Antiqua" w:hAnsi="Book Antiqua" w:cs="Book Antiqua"/>
          <w:color w:val="000000"/>
        </w:rPr>
        <w:t>long-term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effectiveness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lowering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glucose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levels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fasting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glucagon-like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peptide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incretin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promotes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glucose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homeostasis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secretion,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improvements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also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reported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terms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HDL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cholesterol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levels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hypertension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addition,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nephrolithiasis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chronic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kidney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[53,62]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</w:p>
    <w:p w14:paraId="1670FB67" w14:textId="411433CC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considered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safer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spectrum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postprocedural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except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deficiencies,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typically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However,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iron,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B12,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deficiencies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ongoing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monitoring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supplementation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necessary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[63,64]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Reflux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esophagitis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relatively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also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deemed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contraindication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percentage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require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supplementary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endoscopic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intervention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complain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nausea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vomiting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intake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extremely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(BMI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&gt;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m²),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comparable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769599E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6F9FB98B" w14:textId="7F346AE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duodenal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switch</w:t>
      </w:r>
    </w:p>
    <w:p w14:paraId="5D9DFDB5" w14:textId="7CA5A0F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resembles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mediate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expertise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skill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(BMI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m²)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modalities,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35%-45%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constitutes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1.5%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11AFE78" w14:textId="60F4ED9E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Postoperatively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HDL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remain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triglycerides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normalize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too,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three-fourths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70%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3A102C8" w14:textId="58543277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Immediate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anastomotic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leak,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anemia,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deficiencies,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hypoproteinemia,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demineralization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[47,70]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strict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lifelong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supplementation,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soluble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[52,71]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Similarly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nephrolithiasis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[53,62]</w:t>
      </w:r>
    </w:p>
    <w:p w14:paraId="62F48D8B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AE6F3FF" w14:textId="55F4C509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placement</w:t>
      </w:r>
    </w:p>
    <w:p w14:paraId="692B6A0E" w14:textId="6C34716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inflatable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silicone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device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stomach,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pouch.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device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subcutaneous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port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adjust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width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pouch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sufficient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6.56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m²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[72,73]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urinary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oxalate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excretion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19094EB" w14:textId="56E702D7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infrequently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erosion,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slippage,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esophagitis,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dilation,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port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technically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easier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</w:t>
      </w:r>
      <w:r w:rsidR="00C50AA6"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reoperation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reoperation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4.5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postoperatively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[72,75]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inferior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improved,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attributed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unchanged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ghrelin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least,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deemed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2ADE28C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43D8F345" w14:textId="46FFCB29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Comparison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procedures</w:t>
      </w:r>
    </w:p>
    <w:p w14:paraId="74F972CF" w14:textId="090E535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official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guidance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allocation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modalities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date.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growing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ranked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ascending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maintenance)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follows: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(1)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(2)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(3)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4)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effectiveness,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varying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lifelong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deficiencies.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general,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render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BPD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suitable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inadequate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suffering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MS-related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conditions.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western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countries,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monitoring.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mentioned,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worldwide.</w:t>
      </w:r>
    </w:p>
    <w:p w14:paraId="20B659C0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0E9DD99E" w14:textId="5180F65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role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NAFLD/NASH</w:t>
      </w:r>
    </w:p>
    <w:p w14:paraId="58B24515" w14:textId="309025A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advocate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non-diabetics)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pioglitazone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warranted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prostate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bladder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development,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[78,79]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nonsurgical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effectively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57DC" w:rsidRPr="00B104C2">
        <w:rPr>
          <w:rFonts w:ascii="Book Antiqua" w:hAnsi="Book Antiqua" w:cs="Book Antiqua"/>
          <w:color w:val="000000"/>
          <w:shd w:val="clear" w:color="auto" w:fill="FFFFFF"/>
          <w:lang w:eastAsia="zh-CN"/>
        </w:rPr>
        <w:t>fi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brosis),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early-stage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57DC" w:rsidRPr="00B104C2">
        <w:rPr>
          <w:rFonts w:ascii="Book Antiqua" w:hAnsi="Book Antiqua" w:cs="Book Antiqua"/>
          <w:color w:val="000000"/>
          <w:shd w:val="clear" w:color="auto" w:fill="FFFFFF"/>
          <w:lang w:eastAsia="zh-CN"/>
        </w:rPr>
        <w:t>fi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brosis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meet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sustained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assessment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necro-inflammatory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lesions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1A2D65"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Activity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Score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(NAS)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Research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Network,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comprised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semi-quantitatively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assessed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histology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features</w:t>
      </w:r>
      <w:r w:rsidR="00B104C2">
        <w:rPr>
          <w:rFonts w:ascii="Book Antiqua" w:eastAsia="Book Antiqua" w:hAnsi="Book Antiqua" w:cs="Book Antiqua"/>
          <w:color w:val="000000"/>
        </w:rPr>
        <w:t xml:space="preserve"> [</w:t>
      </w:r>
      <w:r w:rsidRPr="00B104C2">
        <w:rPr>
          <w:rFonts w:ascii="Book Antiqua" w:eastAsia="Book Antiqua" w:hAnsi="Book Antiqua" w:cs="Book Antiqua"/>
          <w:color w:val="000000"/>
        </w:rPr>
        <w:t>steatosis</w:t>
      </w:r>
      <w:r w:rsidR="00B104C2">
        <w:rPr>
          <w:rFonts w:ascii="Book Antiqua" w:eastAsia="Book Antiqua" w:hAnsi="Book Antiqua" w:cs="Book Antiqua"/>
          <w:color w:val="000000"/>
        </w:rPr>
        <w:t xml:space="preserve"> (</w:t>
      </w:r>
      <w:r w:rsidRPr="00B104C2">
        <w:rPr>
          <w:rFonts w:ascii="Book Antiqua" w:eastAsia="Book Antiqua" w:hAnsi="Book Antiqua" w:cs="Book Antiqua"/>
          <w:color w:val="000000"/>
        </w:rPr>
        <w:t>0-3</w:t>
      </w:r>
      <w:r w:rsidR="00B104C2">
        <w:rPr>
          <w:rFonts w:ascii="Book Antiqua" w:eastAsia="Book Antiqua" w:hAnsi="Book Antiqua" w:cs="Book Antiqua"/>
          <w:color w:val="000000"/>
        </w:rPr>
        <w:t>)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lobular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inflammation</w:t>
      </w:r>
      <w:r w:rsidR="00B104C2">
        <w:rPr>
          <w:rFonts w:ascii="Book Antiqua" w:eastAsia="Book Antiqua" w:hAnsi="Book Antiqua" w:cs="Book Antiqua"/>
          <w:color w:val="000000"/>
        </w:rPr>
        <w:t xml:space="preserve"> (</w:t>
      </w:r>
      <w:r w:rsidRPr="00B104C2">
        <w:rPr>
          <w:rFonts w:ascii="Book Antiqua" w:eastAsia="Book Antiqua" w:hAnsi="Book Antiqua" w:cs="Book Antiqua"/>
          <w:color w:val="000000"/>
        </w:rPr>
        <w:t>0-2</w:t>
      </w:r>
      <w:r w:rsidR="00B104C2">
        <w:rPr>
          <w:rFonts w:ascii="Book Antiqua" w:eastAsia="Book Antiqua" w:hAnsi="Book Antiqua" w:cs="Book Antiqua"/>
          <w:color w:val="000000"/>
        </w:rPr>
        <w:t>)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hepatocellular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ballooning</w:t>
      </w:r>
      <w:r w:rsidR="00B104C2">
        <w:rPr>
          <w:rFonts w:ascii="Book Antiqua" w:eastAsia="Book Antiqua" w:hAnsi="Book Antiqua" w:cs="Book Antiqua"/>
          <w:color w:val="000000"/>
        </w:rPr>
        <w:t xml:space="preserve"> (</w:t>
      </w:r>
      <w:r w:rsidRPr="00B104C2">
        <w:rPr>
          <w:rFonts w:ascii="Book Antiqua" w:eastAsia="Book Antiqua" w:hAnsi="Book Antiqua" w:cs="Book Antiqua"/>
          <w:color w:val="000000"/>
        </w:rPr>
        <w:t>0-2</w:t>
      </w:r>
      <w:r w:rsidR="00B104C2">
        <w:rPr>
          <w:rFonts w:ascii="Book Antiqua" w:eastAsia="Book Antiqua" w:hAnsi="Book Antiqua" w:cs="Book Antiqua"/>
          <w:color w:val="000000"/>
        </w:rPr>
        <w:t>)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fibrosis</w:t>
      </w:r>
      <w:r w:rsidR="00B104C2">
        <w:rPr>
          <w:rFonts w:ascii="Book Antiqua" w:eastAsia="Book Antiqua" w:hAnsi="Book Antiqua" w:cs="Book Antiqua"/>
          <w:color w:val="000000"/>
        </w:rPr>
        <w:t xml:space="preserve"> (</w:t>
      </w:r>
      <w:r w:rsidRPr="00B104C2">
        <w:rPr>
          <w:rFonts w:ascii="Book Antiqua" w:eastAsia="Book Antiqua" w:hAnsi="Book Antiqua" w:cs="Book Antiqua"/>
          <w:color w:val="000000"/>
        </w:rPr>
        <w:t>0-4</w:t>
      </w:r>
      <w:r w:rsidR="00B104C2">
        <w:rPr>
          <w:rFonts w:ascii="Book Antiqua" w:eastAsia="Book Antiqua" w:hAnsi="Book Antiqua" w:cs="Book Antiqua"/>
          <w:color w:val="000000"/>
        </w:rPr>
        <w:t xml:space="preserve">)]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histologic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features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recorded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either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absent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A1129CB" w14:textId="46C38F31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namely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one-anastomosis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bypass,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grades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infiltration,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ballooning,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lobular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specifically,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disappeared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41.7%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50.0%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borderline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supports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demonstrating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worsening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84.4%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growing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histology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(0.3%),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warranted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recommending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decompensated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(0.9%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16.3%,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summarizing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122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cirrhotics</w:t>
      </w:r>
      <w:proofErr w:type="spellEnd"/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(96.5%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Child-Pugh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3.4%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Child-Pugh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1.6%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2.45%,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F7D318F" w14:textId="6D128222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recommends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otherwise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deduce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meaningful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conclusions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specifically,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offer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case-by-case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basis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0E2E223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2B0A327B" w14:textId="637F0BE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transplantation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surgery</w:t>
      </w:r>
    </w:p>
    <w:p w14:paraId="413F6363" w14:textId="1260579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eventually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(LT)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MS-related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conditions;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sequence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investigation.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“bridge”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predetermined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Besides,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post-LT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Theoretically,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fewer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graft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rejection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anastomotic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leakage,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possibly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non-compensated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(16.3%),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contrast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(&lt;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1%)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RYGB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likelihood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renders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“bridging”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questionable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[84,88</w:t>
      </w:r>
      <w:r w:rsidR="00B104C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7D4AA7A" w14:textId="4916A302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“simultaneous”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emerged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“bridging”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[86,91]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manipulations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tract,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malabsorption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typically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cost,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staple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line,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rarely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49CD82B" w14:textId="43228A9D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option.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dehiscence,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attributed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corticosteroids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30-day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[86,93]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Post-LT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adhesions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operation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[44,72,86]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01DDF42" w14:textId="3AC1CEDC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Currently,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definitively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bariatric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worth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mentioning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2000s,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3%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2011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19%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2020,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western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5-year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attributed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60%-85%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50AC7B5" w14:textId="1738B40A" w:rsidR="00A77B3E" w:rsidRPr="00B104C2" w:rsidRDefault="00045599" w:rsidP="00B104C2">
      <w:pPr>
        <w:spacing w:line="360" w:lineRule="auto"/>
        <w:ind w:firstLine="720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results,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indications,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dysfunction,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sepsis,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mechanical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ventilation.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long-term,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hyperlipidemia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deteriorate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post-LT,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immunosuppression,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recurrence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12%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re-transplantation: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57DC" w:rsidRPr="00B104C2">
        <w:rPr>
          <w:rFonts w:ascii="Book Antiqua" w:hAnsi="Book Antiqua" w:cs="Book Antiqua"/>
          <w:color w:val="000000"/>
          <w:shd w:val="clear" w:color="auto" w:fill="FFFFFF"/>
          <w:lang w:eastAsia="zh-CN"/>
        </w:rPr>
        <w:t>(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1)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NASH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recurrence,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attributed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causes,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agents,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excess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adipose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[44,70,95]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57DC" w:rsidRPr="00B104C2">
        <w:rPr>
          <w:rFonts w:ascii="Book Antiqua" w:hAnsi="Book Antiqua" w:cs="Book Antiqua"/>
          <w:color w:val="000000"/>
          <w:shd w:val="clear" w:color="auto" w:fill="FFFFFF"/>
          <w:lang w:eastAsia="zh-CN"/>
        </w:rPr>
        <w:t>(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2)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graft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rejection,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LT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[12,92]</w:t>
      </w:r>
      <w:r w:rsidRPr="00B104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04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99C57B4" w14:textId="77777777" w:rsidR="00A77B3E" w:rsidRPr="00B104C2" w:rsidRDefault="00A77B3E" w:rsidP="00B104C2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DDD4BEA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DB61A56" w14:textId="357D5F5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entity,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particularly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western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countries.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usually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accompanied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dyslipidemia,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mortality.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Although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diet,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exercise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cornerstone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initial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emerged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alternative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approach,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particularly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severely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conservative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RYGB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utilized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definitively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therapeutic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modality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end-stage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secondary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optimal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time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frame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required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combination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determined.</w:t>
      </w:r>
    </w:p>
    <w:p w14:paraId="5E1D3646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21B7FDE3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REFERENCES</w:t>
      </w:r>
    </w:p>
    <w:p w14:paraId="2A93BADE" w14:textId="7FCBFFC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bookmarkStart w:id="8" w:name="OLE_LINK1806"/>
      <w:bookmarkStart w:id="9" w:name="OLE_LINK1807"/>
      <w:r w:rsidRPr="00B104C2">
        <w:rPr>
          <w:rFonts w:ascii="Book Antiqua" w:eastAsia="Book Antiqua" w:hAnsi="Book Antiqua" w:cs="Book Antiqua"/>
          <w:color w:val="000000"/>
        </w:rPr>
        <w:t>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Saklayen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Global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Epidemic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29480368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10.1007/s11906-018-0812-z]</w:t>
      </w:r>
    </w:p>
    <w:p w14:paraId="0074A27B" w14:textId="69BF8F6C" w:rsidR="00A77B3E" w:rsidRPr="00B104C2" w:rsidRDefault="00045599" w:rsidP="00B104C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2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 w:themeColor="text1"/>
          <w:highlight w:val="yellow"/>
        </w:rPr>
        <w:t>Metabolic</w:t>
      </w:r>
      <w:r w:rsidR="00B104C2" w:rsidRPr="00B104C2">
        <w:rPr>
          <w:rFonts w:ascii="Book Antiqua" w:eastAsia="Book Antiqua" w:hAnsi="Book Antiqua" w:cs="Book Antiqua"/>
          <w:b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 w:themeColor="text1"/>
          <w:highlight w:val="yellow"/>
        </w:rPr>
        <w:t>Syndrome</w:t>
      </w:r>
      <w:r w:rsidR="00B104C2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. </w:t>
      </w:r>
      <w:r w:rsidRPr="00B104C2">
        <w:rPr>
          <w:rFonts w:ascii="Book Antiqua" w:eastAsia="Book Antiqua" w:hAnsi="Book Antiqua" w:cs="Book Antiqua"/>
          <w:bCs/>
          <w:color w:val="000000" w:themeColor="text1"/>
          <w:highlight w:val="yellow"/>
        </w:rPr>
        <w:t>National</w:t>
      </w:r>
      <w:r w:rsidR="00B104C2">
        <w:rPr>
          <w:rFonts w:ascii="Book Antiqua" w:eastAsia="Book Antiqua" w:hAnsi="Book Antiqua" w:cs="Book Antiqua"/>
          <w:bCs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bCs/>
          <w:color w:val="000000" w:themeColor="text1"/>
          <w:highlight w:val="yellow"/>
        </w:rPr>
        <w:t>Heart,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Lung,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and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Blood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Institute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(NHLBI)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[Internet]</w:t>
      </w:r>
      <w:r w:rsidR="003D57DC" w:rsidRPr="00B104C2">
        <w:rPr>
          <w:rFonts w:ascii="Book Antiqua" w:hAnsi="Book Antiqua" w:cs="Book Antiqua"/>
          <w:color w:val="000000" w:themeColor="text1"/>
          <w:highlight w:val="yellow"/>
          <w:lang w:eastAsia="zh-CN"/>
        </w:rPr>
        <w:t>.</w:t>
      </w:r>
      <w:r w:rsidR="00B104C2">
        <w:rPr>
          <w:rFonts w:ascii="Book Antiqua" w:hAnsi="Book Antiqua" w:cs="Book Antiqua"/>
          <w:color w:val="000000" w:themeColor="text1"/>
          <w:highlight w:val="yellow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[cited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2020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C60777">
        <w:rPr>
          <w:rFonts w:ascii="Book Antiqua" w:eastAsia="Book Antiqua" w:hAnsi="Book Antiqua" w:cs="Book Antiqua"/>
          <w:color w:val="000000" w:themeColor="text1"/>
          <w:highlight w:val="yellow"/>
        </w:rPr>
        <w:t>January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29]</w:t>
      </w:r>
      <w:r w:rsidR="00C60777">
        <w:rPr>
          <w:rFonts w:ascii="Book Antiqua" w:eastAsia="Book Antiqua" w:hAnsi="Book Antiqua" w:cs="Book Antiqua"/>
          <w:color w:val="000000" w:themeColor="text1"/>
          <w:highlight w:val="yellow"/>
        </w:rPr>
        <w:t>.</w:t>
      </w:r>
      <w:r w:rsidR="00B104C2">
        <w:rPr>
          <w:rFonts w:ascii="Book Antiqua" w:hAnsi="Book Antiqua" w:cs="Book Antiqua"/>
          <w:color w:val="000000" w:themeColor="text1"/>
          <w:highlight w:val="yellow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Available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from:</w:t>
      </w:r>
      <w:r w:rsidR="00B104C2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 w:themeColor="text1"/>
          <w:highlight w:val="yellow"/>
        </w:rPr>
        <w:t>https://www.nhlbi.nih.gov/health-topics/metabolic-syndrome</w:t>
      </w:r>
    </w:p>
    <w:p w14:paraId="1589F545" w14:textId="5E04A66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Canada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Expert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Punthakee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Goldenberg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Katz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Definition,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Classification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Diagnosis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42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Cs/>
          <w:color w:val="000000"/>
        </w:rPr>
        <w:t>Suppl</w:t>
      </w:r>
      <w:r w:rsidR="00B104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Cs/>
          <w:color w:val="000000"/>
        </w:rPr>
        <w:t>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S10-S15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29650080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10.1016/j.jcjd.2017.10.003]</w:t>
      </w:r>
    </w:p>
    <w:p w14:paraId="68930E77" w14:textId="7B19E85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Alberti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KG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Eckel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Grundy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Zimmet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Cleeman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Donato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Fruchart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James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Loria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Federation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Task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Epidemiology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Prevention;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Hational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Lung,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Institute;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Federation;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Atherosclerosis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Society;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Harmonizing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joint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Federation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Task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Epidemiology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Prevention;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Lung,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Institute;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Federation;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Atherosclerosis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Society;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1640-1645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19805654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10.1161/CIRCULATIONAHA.109.192644]</w:t>
      </w:r>
    </w:p>
    <w:p w14:paraId="6C9ECBA0" w14:textId="059B9B7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Alberti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KG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Zimmet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Shaw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IDF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Epidemiology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Task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Consensus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Group.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syndrome--a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worldwide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definition.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1059-1062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16182882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10.1016/S0140-6736(05)67402-8]</w:t>
      </w:r>
    </w:p>
    <w:p w14:paraId="22F699EF" w14:textId="0127136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Moore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JX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Chaudhary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Akinyemiju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Prevalence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Race/Ethnicity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Sex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United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Health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Examination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Survey,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1988-2012.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Chronic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E24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28301314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10.5888/pcd14.160287]</w:t>
      </w:r>
    </w:p>
    <w:p w14:paraId="697C335F" w14:textId="1C78027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Palaniappan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LP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Fortmann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Lauderdale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Asian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greater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prevalence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despite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index.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B104C2">
        <w:rPr>
          <w:rFonts w:ascii="Book Antiqua" w:eastAsia="Book Antiqua" w:hAnsi="Book Antiqua" w:cs="Book Antiqua"/>
          <w:i/>
          <w:iCs/>
          <w:color w:val="000000"/>
        </w:rPr>
        <w:t>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2011;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393-400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20680014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10.1038/ijo.2010.152]</w:t>
      </w:r>
    </w:p>
    <w:p w14:paraId="5CCBC3A3" w14:textId="4E9739E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O'Neill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O'Driscoll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closer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look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epidemic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pathologies.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1-12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25407540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10.1111/obr.12229]</w:t>
      </w:r>
    </w:p>
    <w:p w14:paraId="101D3549" w14:textId="67296EF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Jeppesen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Hansen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Rasmussen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Ibsen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Torp-Pedersen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Madsbad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resistance,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incident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population-based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2112-2119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17531661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10.1016/j.jacc.2007.01.088]</w:t>
      </w:r>
    </w:p>
    <w:p w14:paraId="4B91E8AB" w14:textId="0CFB00F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Wilson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PW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D'Agostino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Parise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Sullivan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Meigs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JB.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precursor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type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mellitus.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3066-3072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16275870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10.1161/CIRCULATIONAHA.105.539528]</w:t>
      </w:r>
    </w:p>
    <w:p w14:paraId="3797B5F9" w14:textId="3762BCD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Gregg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EW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Cadwell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Cheng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Cowie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Williams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Geiss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Engelgau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Vinicor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Trends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prevalence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ratio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diagnosed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undiagnosed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according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levels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U.S.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2806-2812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15562189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10.2337/diacare.27.12.2806]</w:t>
      </w:r>
    </w:p>
    <w:p w14:paraId="522CE0BB" w14:textId="5232F51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Cauchy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Fuks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Zarzavadjian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Costi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scourges?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306-314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24868324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10.4254/wjh.v6.i5.306]</w:t>
      </w:r>
    </w:p>
    <w:p w14:paraId="1EB64685" w14:textId="5932CBC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Byrne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CD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Targher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multisystem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S47-S64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25920090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10.1016/j.jhep.2014.12.012]</w:t>
      </w:r>
    </w:p>
    <w:p w14:paraId="51BC14F6" w14:textId="77553E0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Singh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Ganie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Alsayari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injury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brief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update.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(Qassim)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265-270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21475547]</w:t>
      </w:r>
    </w:p>
    <w:p w14:paraId="377D077F" w14:textId="46CC335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Caravatto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PP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Cohen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Improvement.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Atheroscler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28986720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10.1007/s11883-017-0681-y]</w:t>
      </w:r>
    </w:p>
    <w:p w14:paraId="52955CB7" w14:textId="0A8DA71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Wardani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Rahmadi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Ardianto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Balan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Kamaruddin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Khotib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Development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model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high-fat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rats.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Basic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31760381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10.1515/jbcpp-2019-0258]</w:t>
      </w:r>
    </w:p>
    <w:p w14:paraId="4712C08E" w14:textId="2F3A27A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17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Martins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Ascensão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Collado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Portincasa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Molecular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Mechanisms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621080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26078958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10.1155/2015/621080]</w:t>
      </w:r>
    </w:p>
    <w:p w14:paraId="3571ECE4" w14:textId="2DDA449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Ekstedt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Franzén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Mathiesen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Thorelius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Holmqvist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Bodemar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Kechagias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follow-up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elevated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enzymes.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865-873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17006923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10.1002/hep.21327]</w:t>
      </w:r>
    </w:p>
    <w:p w14:paraId="6E99B07B" w14:textId="02E10B4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19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mechanisms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hepatocarcinogenesis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(HBV,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HCV,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understanding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approach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HCC?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Book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2013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23714479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10.1200/EdBook_AM.2013.33.e132]</w:t>
      </w:r>
    </w:p>
    <w:p w14:paraId="19144DBB" w14:textId="415D93D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Aguilar-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Olivos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Almeda-Valdes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Aguilar-Salinas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Uribe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Méndez-Sánchez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1196-1207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26435078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10.1016/j.metabol.2015.09.004]</w:t>
      </w:r>
    </w:p>
    <w:p w14:paraId="3AF6B9E7" w14:textId="4544FC1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Rotman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Sanyal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Pioglitazone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type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mellitus-authors'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response.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1372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28468762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10.1136/gutjnl-2017-314263]</w:t>
      </w:r>
    </w:p>
    <w:p w14:paraId="2646AAE3" w14:textId="34FBFA1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Alkhouri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emerging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drugs,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therapeutic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targets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translational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challenges.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31984804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10.1080/13543784.2020.1721169]</w:t>
      </w:r>
    </w:p>
    <w:p w14:paraId="00168363" w14:textId="000A607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Neuschwander-Tetri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Loomba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Sanyal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Lavine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Natta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Abdelmalek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Chalasani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Dasarathy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Diehl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Hameed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Kowdley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McCullough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Terrault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Clark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Tonascia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Brunt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Kleiner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Research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Network.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Farnesoid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X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nuclear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receptor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ligand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non-cirrhotic,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(FLINT):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placebo-controlled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385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956-965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25468160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10.1016/S0140-6736(14)61933-4]</w:t>
      </w:r>
    </w:p>
    <w:p w14:paraId="7ABB13ED" w14:textId="64A91D4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Eslam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Alvani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Shiha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towards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first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approval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394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2131-2133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31813639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10.1016/S0140-6736(19)32963-0]</w:t>
      </w:r>
    </w:p>
    <w:p w14:paraId="75F85652" w14:textId="06A7216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Siddiqui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Natta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Connelly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Vuppalanchi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Neuschwander-Tetri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Tonascia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Guy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Loomba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Dasarathy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Wattacheril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Chalasani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Sanyal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CRN.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Impact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lipoprotein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profile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25-33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31634532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10.1016/j.jhep.2019.10.006]</w:t>
      </w:r>
    </w:p>
    <w:p w14:paraId="53146C91" w14:textId="735F4D1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Younossi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Ratziu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Loomba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Rinella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Anstee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Goodman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Bedossa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Geier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Beckebaum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Newsome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Sheridan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Sheikh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Trotter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Knapple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Lawitz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Abdelmalek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Kowdley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Montano-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Loza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Boursier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Mathurin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Bugianesi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Mazzella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Olveira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Cortez-Pinto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Graupera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Gluud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Dufour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Shapiro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Campagna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Zaru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MacConell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Shringarpure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Harrison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Sanyal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REGENERATE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Investigators.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analysis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placebo-controlled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phase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394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2184-2196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31813633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10.1016/S0140-6736(19)33041-7]</w:t>
      </w:r>
    </w:p>
    <w:p w14:paraId="5195DC5A" w14:textId="7163058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Johnny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Nergard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Stray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Frazier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Geir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Leifsson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Aghajani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Gislason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1449-1456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27387692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10.1016/j.soard.2016.03.017]</w:t>
      </w:r>
    </w:p>
    <w:p w14:paraId="7D335530" w14:textId="557CBD7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Athyros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VG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Boutari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Stavropoulos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Anagnostis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Imprialos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Doumas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Karagiannis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Statins: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Under-Appreciated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Asset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Prevention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Related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246-253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28676019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10.2174/1570161115666170621082910]</w:t>
      </w:r>
    </w:p>
    <w:p w14:paraId="3558133D" w14:textId="5EE66F14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29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Capristo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Panunzi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Gaetano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Raffaelli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Guidone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Iaconelli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L'Abbate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Birkenfeld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Bellantone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Bornstein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Mingrone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Intensive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lifestyle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modifications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without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liraglutide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3mg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three-arm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controlled,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pilot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235-242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29398254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10.1016/j.diabet.2017.12.007]</w:t>
      </w:r>
    </w:p>
    <w:p w14:paraId="0EE6EE4B" w14:textId="5A50C9D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Belenchia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Hillman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Peterson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Correcting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insufficiency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sensitivity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adolescents: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randomized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controlled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2013;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774-781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23407306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10.3945/ajcn.112.050013]</w:t>
      </w:r>
    </w:p>
    <w:p w14:paraId="4C5072A3" w14:textId="60D442F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Kelishadi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Hashemipour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Adeli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Tavakoli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Movahedian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-Attar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Shapouri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Poursafa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Rouzbahani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zinc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supplementation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markers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resistance,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oxidative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stress,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inflammation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prepubescent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children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505-510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21028969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10.1089/met.2010.0020]</w:t>
      </w:r>
    </w:p>
    <w:p w14:paraId="454AA451" w14:textId="0DAF617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Vitiello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Angrisani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Santonicola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Iovino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Pilone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Forestieri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Versus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Lifestyle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Intervention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7-10-Year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Retrospective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758-762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30430189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10.1007/s00268-018-4847-8]</w:t>
      </w:r>
    </w:p>
    <w:p w14:paraId="5B8E8DBE" w14:textId="29AD1DA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Ikramuddin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Korner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Thomas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Connett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Bantle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Leslie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Inabnet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3rd,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Jeffery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Chuang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Jensen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Vella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Ahmed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Belani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Billington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Lifestyle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Intervention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Medical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Without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Hemoglobin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A1c,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LDL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Cholesterol,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Blood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Pressure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319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266-278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29340678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10.1001/jama.2017.20813]</w:t>
      </w:r>
    </w:p>
    <w:p w14:paraId="06E09575" w14:textId="01FF0F8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Cazzo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Gestic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Utrini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Machado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Geloneze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Pareja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Impact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insulin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resistance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parameters.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262-265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24299427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10.1089/dia.2013.0249]</w:t>
      </w:r>
    </w:p>
    <w:p w14:paraId="70D25E67" w14:textId="438A320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Sethi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Thillai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Ahuja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Vayoth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Khurana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Central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Indian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Adults-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PC01-PC04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28273998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10.7860/JCDR/2017/24477.9232]</w:t>
      </w:r>
    </w:p>
    <w:p w14:paraId="517C7866" w14:textId="0511CB35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Nugent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Elariny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Gopalakrishnan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Quigley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Garone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Afendy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Wheeler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Afendy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ZM.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1278-1286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18401668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10.1007/s11695-008-9511-1]</w:t>
      </w:r>
    </w:p>
    <w:p w14:paraId="2F23B8F2" w14:textId="24DFFCD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Vinzens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Kilchenmann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Zumstein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Slawik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Gebhart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Peterli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adjustable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(LAGB):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results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Swiss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single-center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405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years'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follow-up.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1313-1319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28602794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10.1016/j.soard.2017.04.030]</w:t>
      </w:r>
    </w:p>
    <w:p w14:paraId="087AF83B" w14:textId="6A3DB39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38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Nassour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Almandoz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Adams-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Huet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Kukreja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Puzziferri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remission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393-402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29033596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10.2147/DMSO.S142731]</w:t>
      </w:r>
    </w:p>
    <w:p w14:paraId="70919A84" w14:textId="30ECFD7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39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Tabesh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Maleklou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Ejtehadi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Alizadeh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Physical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Activity,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Prescription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Supplements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Pre-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Post-bariatric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Practical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Guideline.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3385-3400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31367987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10.1007/s11695-019-04112-y]</w:t>
      </w:r>
    </w:p>
    <w:p w14:paraId="1CE1A4CE" w14:textId="591836B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Yu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Zhang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Zhang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Tu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X,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Visceral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predictor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short-term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remission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Chinese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index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6-11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25547054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10.1016/j.soard.2014.06.019]</w:t>
      </w:r>
    </w:p>
    <w:p w14:paraId="177C2737" w14:textId="492AC86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VT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Hüttl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Piotrowski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Parhofer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Changes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glucose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homeostasis,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lipid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profiles,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restrictive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2012;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547-552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23070831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10.1055/s-0032-1323738]</w:t>
      </w:r>
    </w:p>
    <w:p w14:paraId="10F91B30" w14:textId="0A05CB85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Mulla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Middelbeek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RJW,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Patti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Mechanisms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metabolism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Y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1411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53-64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28868615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10.1111/nyas.13409]</w:t>
      </w:r>
    </w:p>
    <w:p w14:paraId="3F94A860" w14:textId="5DBBED5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Batterham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Cummings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Mechanisms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Bariatric/Metabolic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893-901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27222547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10.2337/dc16-0145]</w:t>
      </w:r>
    </w:p>
    <w:p w14:paraId="450C3D99" w14:textId="4422853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García-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Pajares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Peñas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-Herrero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Sánchez-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Ocaña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Torrres-Yuste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Cimavilla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-Román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Carbajo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-López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Almohalla</w:t>
      </w:r>
      <w:proofErr w:type="spellEnd"/>
      <w:r w:rsidRPr="00B104C2">
        <w:rPr>
          <w:rFonts w:ascii="Book Antiqua" w:eastAsia="Book Antiqua" w:hAnsi="Book Antiqua" w:cs="Book Antiqua"/>
          <w:color w:val="000000"/>
        </w:rPr>
        <w:t>-Alvarez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Saborido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Muñoz-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Conejero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Gonzalez-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Sagrado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Caro-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Patón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Sánchez-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Antolín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Five-Year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Prevalence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Factors.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3010-3012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27932133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10.1016/j.transproceed.2016.07.038]</w:t>
      </w:r>
    </w:p>
    <w:p w14:paraId="01A3DE71" w14:textId="212B4AA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Martini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Anty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Schneck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Casanova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Iannelli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Gugenheim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Predictors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persistence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1054-1060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25868838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10.1016/j.soard.2015.02.019]</w:t>
      </w:r>
    </w:p>
    <w:p w14:paraId="06994FF3" w14:textId="415CAD1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46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Sjöström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Lindroos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Torgerson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Bouchard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Carlsson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Dahlgren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Larsson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Narbro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Sjöström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Sullivan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Wedel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Swedish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Subjects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Scientific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Group.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Lifestyle,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cardiovascular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351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2683-2693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15616203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10.1056/NEJMoa035622]</w:t>
      </w:r>
    </w:p>
    <w:p w14:paraId="429CC7EA" w14:textId="7F3F4BC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Consalvo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Salsano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Sarno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Three-Port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Adjustable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(LAGB):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Technique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Three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Follow-Up.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93-96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28537646]</w:t>
      </w:r>
    </w:p>
    <w:p w14:paraId="13AE288C" w14:textId="3BE72E31" w:rsidR="00A77B3E" w:rsidRPr="00B104C2" w:rsidRDefault="00045599" w:rsidP="00B104C2">
      <w:pPr>
        <w:spacing w:line="360" w:lineRule="auto"/>
        <w:jc w:val="both"/>
        <w:rPr>
          <w:rFonts w:ascii="Book Antiqua" w:hAnsi="Book Antiqua"/>
          <w:lang w:eastAsia="zh-CN"/>
        </w:rPr>
      </w:pPr>
      <w:r w:rsidRPr="00B104C2">
        <w:rPr>
          <w:rFonts w:ascii="Book Antiqua" w:eastAsia="Book Antiqua" w:hAnsi="Book Antiqua" w:cs="Book Antiqua"/>
          <w:color w:val="000000"/>
          <w:highlight w:val="yellow"/>
        </w:rPr>
        <w:t>48</w:t>
      </w:r>
      <w:r w:rsidR="00B104C2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color w:val="000000"/>
          <w:highlight w:val="yellow"/>
        </w:rPr>
        <w:t>Blackbourne</w:t>
      </w:r>
      <w:proofErr w:type="spellEnd"/>
      <w:r w:rsidR="00B104C2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  <w:highlight w:val="yellow"/>
        </w:rPr>
        <w:t>LH</w:t>
      </w:r>
      <w:r w:rsidRPr="00B104C2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B104C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highlight w:val="yellow"/>
        </w:rPr>
        <w:t>Surgical</w:t>
      </w:r>
      <w:r w:rsidR="00B104C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highlight w:val="yellow"/>
        </w:rPr>
        <w:t>recall.</w:t>
      </w:r>
      <w:r w:rsidR="00B104C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highlight w:val="yellow"/>
        </w:rPr>
        <w:t>Philadelphia:</w:t>
      </w:r>
      <w:r w:rsidR="00B104C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highlight w:val="yellow"/>
        </w:rPr>
        <w:t>Lippincott</w:t>
      </w:r>
      <w:r w:rsidR="00B104C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highlight w:val="yellow"/>
        </w:rPr>
        <w:t>Williams</w:t>
      </w:r>
      <w:r w:rsidR="00B104C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highlight w:val="yellow"/>
        </w:rPr>
        <w:t>&amp;</w:t>
      </w:r>
      <w:r w:rsidR="00B104C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highlight w:val="yellow"/>
        </w:rPr>
        <w:t>Wilkins;</w:t>
      </w:r>
      <w:r w:rsidR="00B104C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  <w:highlight w:val="yellow"/>
        </w:rPr>
        <w:t>2015</w:t>
      </w:r>
    </w:p>
    <w:p w14:paraId="1B56307E" w14:textId="385B6A3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49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Magouliotis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Tzovaras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Tasiopoulou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Christodoulidis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Zacharoulis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Closure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Mesenteric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Meta-Analysis.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1935-1943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31955371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10.1007/s11695-020-04418-2]</w:t>
      </w:r>
    </w:p>
    <w:p w14:paraId="548F1D00" w14:textId="244053A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Major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Wysocki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PÄ™dziwiatr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Pisarska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Dworak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MaÅ‚czak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BudzyÅ„ski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71-78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27956112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10.1016/j.ijsu.2016.12.012]</w:t>
      </w:r>
    </w:p>
    <w:p w14:paraId="115870EE" w14:textId="33A1CD8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Peterli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Wölnerhanssen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Peters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Vetter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Kröll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Borbély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Schultes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Beglinger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Drewe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Schiesser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Nett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Bueter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SM-BOSS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Randomized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319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255-265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29340679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10.1001/jama.2017.20897]</w:t>
      </w:r>
    </w:p>
    <w:p w14:paraId="08F10B78" w14:textId="2699F97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Våge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Nilsen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Berstad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Behme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Sletteskog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Gåsdal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Laukeland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Mellgren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Predictors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remission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major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components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duodenal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switch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(BPDDS).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2013;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80-86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23011463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10.1007/s11695-012-0775-0]</w:t>
      </w:r>
    </w:p>
    <w:p w14:paraId="2251A621" w14:textId="3DCD0D3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Lieske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Mehta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Milliner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Rule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Bergstralh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Sarr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Kidney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stones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839-845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25354237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10.1038/ki.2014.352]</w:t>
      </w:r>
    </w:p>
    <w:p w14:paraId="315F07EC" w14:textId="37286DE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Nasr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D'Agati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Stokes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Largoza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Radhakrishnan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Markowitz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Oxalate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nephropathy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lastRenderedPageBreak/>
        <w:t>underrecognized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cause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irreversible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failure.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1676-1683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18701613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10.2215/CJN.02940608]</w:t>
      </w:r>
    </w:p>
    <w:p w14:paraId="25BFAA99" w14:textId="26BF235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Weiner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Sayes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Theodoridou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Weiner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Scheffel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Early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post-operative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complications: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incidence,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impact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length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hospital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retrospective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between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2013;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2004-2012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23846474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10.1007/s11695-013-1022-z]</w:t>
      </w:r>
    </w:p>
    <w:p w14:paraId="45007C75" w14:textId="459F2AF9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Sharples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Mahawar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Meta-Analysis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Controlled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664-672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31724116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10.1007/s11695-019-04235-2]</w:t>
      </w:r>
    </w:p>
    <w:p w14:paraId="3EB37C48" w14:textId="4F2CDA5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Arica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Aydin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Zengin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Kocael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Orhan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Zengin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Gelisgen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Taskin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Uzun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Related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Peptides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Applications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89-95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28635510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10.1080/08941939.2017.1280564]</w:t>
      </w:r>
    </w:p>
    <w:p w14:paraId="06B39F97" w14:textId="15842A85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Dolan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Hatzifotis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Newbury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Lowe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Fielding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nutritional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without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duodenal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switch.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51-56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15213618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10.1097/01.sla.0000129280.68540.76]</w:t>
      </w:r>
    </w:p>
    <w:p w14:paraId="33FE17A2" w14:textId="59FABD1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59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Helmiö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Victorzon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Ovaska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Leivonen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Juuti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Peromaa-Haavisto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Nuutila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Vahlberg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Salminen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short-term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randomized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controlled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multicenter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6-month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follow-up.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175-181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24522349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10.1177/1457496913509984]</w:t>
      </w:r>
    </w:p>
    <w:p w14:paraId="35DD6909" w14:textId="46C92E1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Andalib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Aminian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Possible?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29-40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28797344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10.1016/j.yasu.2017.03.003]</w:t>
      </w:r>
    </w:p>
    <w:p w14:paraId="0A13472E" w14:textId="0DFBD0C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Williams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Lee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Zhou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X,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fasting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gastrointestinal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peptide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hormones: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nonrandomized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1521-1529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30449509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10.1016/j.soard.2018.06.003]</w:t>
      </w:r>
    </w:p>
    <w:p w14:paraId="209E5913" w14:textId="1859DC0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62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Grams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Navaneethan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SD.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Kidney-Related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261-270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28439568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10.1016/j.ekir.2017.01.010]</w:t>
      </w:r>
    </w:p>
    <w:p w14:paraId="75CBEB91" w14:textId="7FBF246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Dix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CF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Bauer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Wright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Status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215-225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27815862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10.1007/s11695-016-2436-1]</w:t>
      </w:r>
    </w:p>
    <w:p w14:paraId="2B190653" w14:textId="012CF96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Kwon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Menzo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Szomstein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Rosenthal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Anemia,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iron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B12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deficiencies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sleeve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gastrectomy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meta-analysis.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589-597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24582411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10.1016/j.soard.2013.12.005]</w:t>
      </w:r>
    </w:p>
    <w:p w14:paraId="7A146050" w14:textId="5D7D00A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Scopinaro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Papadia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Marinari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Camerini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Adami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control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type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mellitus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other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major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components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BMI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&lt;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kg/m</w:t>
      </w:r>
      <w:r w:rsidRPr="00B104C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185-192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17476869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10.1007/s11695-007-9045-y]</w:t>
      </w:r>
    </w:p>
    <w:p w14:paraId="7ABFC5CF" w14:textId="0DF4D5B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O'Brien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Hindle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Brennan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Skinner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Burton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Crosthwaite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Brown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Meta-analysis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Years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Single-Centre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20-Year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Adjustable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Banding.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3-14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30293134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10.1007/s11695-018-3525-0]</w:t>
      </w:r>
    </w:p>
    <w:p w14:paraId="2A149401" w14:textId="7175A40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Castagneto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Gissey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Casella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Mariolo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Mingrone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How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Choose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Procedure?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Atheroscler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27229936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10.1007/s11883-016-0590-5]</w:t>
      </w:r>
    </w:p>
    <w:p w14:paraId="727EC34D" w14:textId="0687967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Loy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Youn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Schwack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Kurian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Fielding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Fielding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Improvement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adolescents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undergoing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442-449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25820083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10.1016/j.soard.2014.11.010]</w:t>
      </w:r>
    </w:p>
    <w:p w14:paraId="0417521E" w14:textId="5DE506B4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69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Scopinaro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Marinari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Camerini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Papadia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Adami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GF.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Specific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major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components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follow-up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2406-2411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16186271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10.2337/diacare.28.10.2406]</w:t>
      </w:r>
    </w:p>
    <w:p w14:paraId="0DB6072B" w14:textId="18FD318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70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den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Berg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EH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Douwes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Meijer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Schreuder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TCMA,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Blokzijl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NASH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cirrhosis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performed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expense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major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post-operative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morbidity.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68-75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28935188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10.1016/j.dld.2017.08.022]</w:t>
      </w:r>
    </w:p>
    <w:p w14:paraId="1B3DADED" w14:textId="2C1D3130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Homan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Betzel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Aarts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EO,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Dogan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Laarhoven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Janssen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Berends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Mineral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Deficiencies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Biliopancreatic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Diversion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Duodenal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Switch--the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Rule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Rather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Exception.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1626-1632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25595384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10.1007/s11695-015-1570-5]</w:t>
      </w:r>
    </w:p>
    <w:p w14:paraId="28462482" w14:textId="418A5AB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Yu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Zhang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Zhang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Tu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X,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Roux-en-Y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Chinese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Type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2190-2197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26809584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10.1007/s11695-016-2074-7]</w:t>
      </w:r>
    </w:p>
    <w:p w14:paraId="25F346AD" w14:textId="2D8C60C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Penniston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Kaplon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Gould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Nakada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placement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urinary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urolithiasis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compared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2340-2346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19762051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10.1016/j.juro.2009.07.041]</w:t>
      </w:r>
    </w:p>
    <w:p w14:paraId="00EB1E36" w14:textId="617BEB5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Semins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Asplin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Steele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Assimos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Lingeman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Donahue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Magnuson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Schweitzer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Matlaga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restrictive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urinary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stone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factors.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Urology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826-829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20381135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10.1016/j.urology.2010.01.037]</w:t>
      </w:r>
    </w:p>
    <w:p w14:paraId="56F2BC68" w14:textId="38B19C2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Ibrahim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Thumma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Dimick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JB.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Reoperation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Medicare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Expenditures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Laparoscopic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835-842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28514487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10.1001/jamasurg.2017.1093]</w:t>
      </w:r>
    </w:p>
    <w:p w14:paraId="3932C3DD" w14:textId="77FE7E0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Lak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Helm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Kindel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Gould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JC.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Predictor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Mortality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2019;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739-744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30430431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10.1007/s11605-018-4035-z]</w:t>
      </w:r>
    </w:p>
    <w:p w14:paraId="6B90D1AB" w14:textId="57F8D1B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Chalasani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Lavine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Charlton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Cusi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Rinella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Harrison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Brunt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Sanyal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diagnosis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management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Practice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guidance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328-357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28714183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10.1002/hep.29367]</w:t>
      </w:r>
    </w:p>
    <w:p w14:paraId="2DC88BE7" w14:textId="43F0660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78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Ferrara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Hedderson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Bilker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Quesenberry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Vaughn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Nessel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Selby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Strom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bladder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cancer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diabetic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treated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pioglitazone: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report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longitudinal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cohort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2011;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916-922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21447663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10.2337/dc10-1068]</w:t>
      </w:r>
    </w:p>
    <w:p w14:paraId="01ABDD49" w14:textId="2518418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79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Klein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Thompson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Tangen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Crowley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Lucia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Goodman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Minasian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Parnes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Gaziano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Karp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Lieber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Walther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Klotz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Parsons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Darke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Lippman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Goodman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Meyskens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Baker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risk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prostate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cancer: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Selenium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Vitamin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Cancer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Prevention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Trial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(SELECT).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2011;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306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1549-1556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21990298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10.1001/jama.2011.1437]</w:t>
      </w:r>
    </w:p>
    <w:p w14:paraId="3954EE1F" w14:textId="6488B524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Vilar</w:t>
      </w:r>
      <w:proofErr w:type="spellEnd"/>
      <w:r w:rsidRPr="00B104C2">
        <w:rPr>
          <w:rFonts w:ascii="Book Antiqua" w:eastAsia="Book Antiqua" w:hAnsi="Book Antiqua" w:cs="Book Antiqua"/>
          <w:b/>
          <w:bCs/>
          <w:color w:val="000000"/>
        </w:rPr>
        <w:t>-Gomez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Martinez-Perez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Calzadilla-Bertot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Torres-Gonzalez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Gra-Oramas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Gonzalez-Fabian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Friedman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Diago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Romero-Gomez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Weight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Through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Lifestyle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Modification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Reduces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Features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367-78.e5;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quiz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e14-5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25865049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10.1053/j.gastro.2015.04.005]</w:t>
      </w:r>
    </w:p>
    <w:p w14:paraId="0A3FE260" w14:textId="70D8903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Kleiner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Brunt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Natta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Behling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Contos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Cummings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OW,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Ferrell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Liu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Torbenson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Unalp-Arida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Yeh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McCullough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Sanyal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AJ;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Clinical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Research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Network.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Design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validation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histological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scoring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2005;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1313-1321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15915461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10.1002/hep.20701]</w:t>
      </w:r>
    </w:p>
    <w:p w14:paraId="4FDC2F73" w14:textId="2ED2021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Salman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Salman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Omar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Abdelsalam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Mostafa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Tourky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Sultan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AAEA,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Elshafey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Abdelaty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Salem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Khaliel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OO,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Elshafey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Atallah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Shaaban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Yousef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Nafea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effects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one-anastomosis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bypass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histopathology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NAFLD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cases: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prospective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32556752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10.1007/s00464-020-07725-y]</w:t>
      </w:r>
    </w:p>
    <w:p w14:paraId="4D153FEB" w14:textId="2C29C1B3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Lassailly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Caiazzo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Ntandja-Wandji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Gnemmi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Baud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Verkindt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Ningarhari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Louvet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Leteurtre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Raverdy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V,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Dharancy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Pattou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Mathurin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Provides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Long-term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Resolution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Steatohepatitis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Regression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Fibrosis.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32553765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10.1053/j.gastro.2020.06.006]</w:t>
      </w:r>
    </w:p>
    <w:p w14:paraId="4341FEDA" w14:textId="68252DAC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84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Mosko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Nguyen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GC.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Increased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perioperative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mortality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following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among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cirrhosis.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2011;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897-901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21782772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10.1016/j.cgh.2011.07.007]</w:t>
      </w:r>
    </w:p>
    <w:p w14:paraId="55DABAEC" w14:textId="68B21C6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Jan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Narwaria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Mahawar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Systematic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Cirrhosis.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2015;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1518-1526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25982807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10.1007/s11695-015-1727-2]</w:t>
      </w:r>
    </w:p>
    <w:p w14:paraId="4341E5BF" w14:textId="05BE7BA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Suraweera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Dutson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Saab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Best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Approach.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215-230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28364810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10.1016/j.cld.2016.12.001]</w:t>
      </w:r>
    </w:p>
    <w:p w14:paraId="5217AD72" w14:textId="35CDD93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Tasca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stone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etiology.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2011;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129-133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21191301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10.1097/MOU.0b013e3283435cbc]</w:t>
      </w:r>
    </w:p>
    <w:p w14:paraId="7165DF2E" w14:textId="466E7F2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Eilenberg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Langer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FB,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Trauner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Prager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Staufer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K.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Significant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Liver-Related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Morbidity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Reversal-a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Series.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812-819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28965313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10.1007/s11695-017-2925-x]</w:t>
      </w:r>
    </w:p>
    <w:p w14:paraId="6C2FCFB6" w14:textId="161F63AF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89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Kosola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Lampela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Makisalo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Lohi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Arola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Jalanko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Pakarinen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pediatric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2014;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1185-1192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1808"/>
      <w:bookmarkStart w:id="11" w:name="OLE_LINK1809"/>
      <w:r w:rsidRPr="00B104C2">
        <w:rPr>
          <w:rFonts w:ascii="Book Antiqua" w:eastAsia="Book Antiqua" w:hAnsi="Book Antiqua" w:cs="Book Antiqua"/>
          <w:color w:val="000000"/>
        </w:rPr>
        <w:t>24923737</w:t>
      </w:r>
      <w:bookmarkEnd w:id="10"/>
      <w:bookmarkEnd w:id="11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10.1002/Lt.23931]</w:t>
      </w:r>
    </w:p>
    <w:p w14:paraId="01405775" w14:textId="5BA81B2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90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Geerts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Darius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Chapelle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Roeyen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Francque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Libbrecht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Nevens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Pirenne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Troisi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multicenter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Belgian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survey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hepatocellular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failure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after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4395-4398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21168706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10.1016/j.transproceed.2010.07.010]</w:t>
      </w:r>
    </w:p>
    <w:p w14:paraId="1C67CAFE" w14:textId="0D3B755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91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Diwan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TS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Rice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TC,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Heimbach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JK,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Schauer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Timing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1280-1287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30080949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10.1002/Lt.25303]</w:t>
      </w:r>
    </w:p>
    <w:p w14:paraId="54E3418C" w14:textId="15C95A0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92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Adair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obese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undergoing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1-2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28528269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10.1016/j.hpb.2017.02.446]</w:t>
      </w:r>
    </w:p>
    <w:p w14:paraId="2D5683F2" w14:textId="2B45E4D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93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Andalib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Aminian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Khorgami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Z,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Jamal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MH,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Augustin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Schauer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Brethauer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SA.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Early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Postoperative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Outcomes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Primary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Bariatric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Patients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Chronic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Steroid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Immunosuppressive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Therapy.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2016;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1479-1486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26647068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10.1007/s11695-015-1923-0]</w:t>
      </w:r>
    </w:p>
    <w:p w14:paraId="6B10A23E" w14:textId="0CDDED78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94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b/>
          <w:bCs/>
          <w:color w:val="000000"/>
        </w:rPr>
        <w:t>Mikolasevic</w:t>
      </w:r>
      <w:proofErr w:type="spellEnd"/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Filipec-Kanizaj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Mijic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Jakopcic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Milic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Hrstic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Sobocan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Stimac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Burra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Nonalcoholic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fatty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-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Where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stand?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2018;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1491-1506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29662288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10.3748/wjg.v24.i14.1491]</w:t>
      </w:r>
    </w:p>
    <w:p w14:paraId="782D21BA" w14:textId="50C8F0A9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95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B104C2">
        <w:rPr>
          <w:rFonts w:ascii="Book Antiqua" w:eastAsia="Book Antiqua" w:hAnsi="Book Antiqua" w:cs="Book Antiqua"/>
          <w:color w:val="000000"/>
        </w:rPr>
        <w:t>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Shadab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Siddiqui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Role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Metabolic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Syndrome.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Options</w:t>
      </w:r>
      <w:r w:rsidR="00B104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2017;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104C2">
        <w:rPr>
          <w:rFonts w:ascii="Book Antiqua" w:eastAsia="Book Antiqua" w:hAnsi="Book Antiqua" w:cs="Book Antiqua"/>
          <w:color w:val="000000"/>
        </w:rPr>
        <w:t>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316-331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[PMID: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28432575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DOI: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10.1007/s11938-017-0135-1]</w:t>
      </w:r>
    </w:p>
    <w:bookmarkEnd w:id="8"/>
    <w:bookmarkEnd w:id="9"/>
    <w:p w14:paraId="7673CA7D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  <w:sectPr w:rsidR="00A77B3E" w:rsidRPr="00B104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2C093B" w14:textId="7777777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B6B04F5" w14:textId="3885C471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All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authors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would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like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declare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there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conflict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interest</w:t>
      </w:r>
    </w:p>
    <w:p w14:paraId="33AA13C1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1EC4AA68" w14:textId="7FE2C4B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104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article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open-access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article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that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was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selected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in-house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editor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fully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peer-reviewed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external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reviewers.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distributed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accordance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with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Creative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Commons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Attribution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104C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(CC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BY-NC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4.0)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license,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which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permits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others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to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distribute,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remix,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adapt,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build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upon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non-commercially,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license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their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derivative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works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different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terms,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provided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original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work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properly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cited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and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use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is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non-commercial.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See: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9CA22B5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5AA26C2B" w14:textId="69F4159F" w:rsidR="00A77B3E" w:rsidRPr="00B104C2" w:rsidRDefault="00045599" w:rsidP="00B104C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Manuscript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source: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Invited</w:t>
      </w:r>
      <w:r w:rsidR="00B104C2">
        <w:rPr>
          <w:rFonts w:ascii="Book Antiqua" w:eastAsia="Book Antiqua" w:hAnsi="Book Antiqua" w:cs="Book Antiqua"/>
          <w:color w:val="000000"/>
        </w:rPr>
        <w:t xml:space="preserve"> m</w:t>
      </w:r>
      <w:r w:rsidRPr="00B104C2">
        <w:rPr>
          <w:rFonts w:ascii="Book Antiqua" w:eastAsia="Book Antiqua" w:hAnsi="Book Antiqua" w:cs="Book Antiqua"/>
          <w:color w:val="000000"/>
        </w:rPr>
        <w:t>anuscript</w:t>
      </w:r>
    </w:p>
    <w:p w14:paraId="241C958C" w14:textId="77777777" w:rsidR="00CC4151" w:rsidRPr="00B104C2" w:rsidRDefault="00CC4151" w:rsidP="00B104C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7A1F339" w14:textId="33417456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Corresponding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Author's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Membership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in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Professional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Societies: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for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Study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Liver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Diseases,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hAnsi="Book Antiqua" w:cs="Book Antiqua"/>
          <w:color w:val="000000"/>
          <w:lang w:eastAsia="zh-CN"/>
        </w:rPr>
        <w:t>No.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111687;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Gastroenterological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Association,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hAnsi="Book Antiqua" w:cs="Book Antiqua"/>
          <w:color w:val="000000"/>
          <w:lang w:eastAsia="zh-CN"/>
        </w:rPr>
        <w:t>No.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378360;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eastAsia="Book Antiqua" w:hAnsi="Book Antiqua" w:cs="Book Antiqua"/>
          <w:color w:val="000000"/>
        </w:rPr>
        <w:t>Society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eastAsia="Book Antiqua" w:hAnsi="Book Antiqua" w:cs="Book Antiqua"/>
          <w:color w:val="000000"/>
        </w:rPr>
        <w:t>Transplant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eastAsia="Book Antiqua" w:hAnsi="Book Antiqua" w:cs="Book Antiqua"/>
          <w:color w:val="000000"/>
        </w:rPr>
        <w:t>Surgeons</w:t>
      </w:r>
      <w:r w:rsidRPr="00B104C2">
        <w:rPr>
          <w:rFonts w:ascii="Book Antiqua" w:eastAsia="Book Antiqua" w:hAnsi="Book Antiqua" w:cs="Book Antiqua"/>
          <w:color w:val="000000"/>
        </w:rPr>
        <w:t>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Society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CC4151" w:rsidRPr="00B104C2">
        <w:rPr>
          <w:rFonts w:ascii="Book Antiqua" w:hAnsi="Book Antiqua" w:cs="Book Antiqua"/>
          <w:color w:val="000000"/>
          <w:lang w:eastAsia="zh-CN"/>
        </w:rPr>
        <w:t>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The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Transplantation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Society;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American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College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of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Surgeons,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="00CC4151" w:rsidRPr="00B104C2">
        <w:rPr>
          <w:rFonts w:ascii="Book Antiqua" w:hAnsi="Book Antiqua" w:cs="Book Antiqua"/>
          <w:color w:val="000000"/>
          <w:lang w:eastAsia="zh-CN"/>
        </w:rPr>
        <w:t>No.</w:t>
      </w:r>
      <w:r w:rsidR="00B104C2">
        <w:rPr>
          <w:rFonts w:ascii="Book Antiqua" w:hAnsi="Book Antiqua" w:cs="Book Antiqua"/>
          <w:color w:val="000000"/>
          <w:lang w:eastAsia="zh-CN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03054282.</w:t>
      </w:r>
    </w:p>
    <w:p w14:paraId="1AFCC9F8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6EDCF719" w14:textId="6983227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Peer-review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started: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June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11,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</w:p>
    <w:p w14:paraId="2E006947" w14:textId="1E9CD63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First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decision: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July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30,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2020</w:t>
      </w:r>
    </w:p>
    <w:p w14:paraId="60D3918C" w14:textId="61F4312B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Article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in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press: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F839003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653888FF" w14:textId="02F5D91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Specialty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type: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04C2" w:rsidRPr="00E700C2">
        <w:rPr>
          <w:rFonts w:ascii="Book Antiqua" w:eastAsia="Microsoft YaHei" w:hAnsi="Book Antiqua" w:cs="SimSun"/>
        </w:rPr>
        <w:t>Gastroenterology and hepatology</w:t>
      </w:r>
    </w:p>
    <w:p w14:paraId="44EC8A89" w14:textId="643E49D2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Country/Territory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of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origin: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Greece</w:t>
      </w:r>
    </w:p>
    <w:p w14:paraId="418B72D3" w14:textId="022A035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Peer-review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report’s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scientific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quality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DC0E651" w14:textId="106A5187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Grade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(Excellent):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</w:t>
      </w:r>
    </w:p>
    <w:p w14:paraId="0C5066DA" w14:textId="645A571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Grade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B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(Very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good):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</w:t>
      </w:r>
    </w:p>
    <w:p w14:paraId="0386803B" w14:textId="02A42ACE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Grade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(Good):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C</w:t>
      </w:r>
    </w:p>
    <w:p w14:paraId="59F21267" w14:textId="5CBEB3FD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D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(Fair):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</w:t>
      </w:r>
    </w:p>
    <w:p w14:paraId="36B8D162" w14:textId="75CBEDEA" w:rsidR="00A77B3E" w:rsidRPr="00B104C2" w:rsidRDefault="00045599" w:rsidP="00B104C2">
      <w:pPr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eastAsia="Book Antiqua" w:hAnsi="Book Antiqua" w:cs="Book Antiqua"/>
          <w:color w:val="000000"/>
        </w:rPr>
        <w:t>Grade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E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(Poor):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0</w:t>
      </w:r>
    </w:p>
    <w:p w14:paraId="6B457FE1" w14:textId="77777777" w:rsidR="00A77B3E" w:rsidRPr="00B104C2" w:rsidRDefault="00A77B3E" w:rsidP="00B104C2">
      <w:pPr>
        <w:spacing w:line="360" w:lineRule="auto"/>
        <w:jc w:val="both"/>
        <w:rPr>
          <w:rFonts w:ascii="Book Antiqua" w:hAnsi="Book Antiqua"/>
        </w:rPr>
      </w:pPr>
    </w:p>
    <w:p w14:paraId="6447CE6D" w14:textId="2D06E7DA" w:rsidR="00A77B3E" w:rsidRPr="00B104C2" w:rsidRDefault="00045599" w:rsidP="00B104C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104C2">
        <w:rPr>
          <w:rFonts w:ascii="Book Antiqua" w:eastAsia="Book Antiqua" w:hAnsi="Book Antiqua" w:cs="Book Antiqua"/>
          <w:b/>
          <w:color w:val="000000"/>
        </w:rPr>
        <w:t>P-Reviewer: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Shabbir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A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S-Editor: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Ma</w:t>
      </w:r>
      <w:r w:rsidR="00B104C2">
        <w:rPr>
          <w:rFonts w:ascii="Book Antiqua" w:eastAsia="Book Antiqua" w:hAnsi="Book Antiqua" w:cs="Book Antiqua"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color w:val="000000"/>
        </w:rPr>
        <w:t>YJ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04C2">
        <w:rPr>
          <w:rFonts w:ascii="Book Antiqua" w:eastAsia="Book Antiqua" w:hAnsi="Book Antiqua" w:cs="Book Antiqua"/>
          <w:b/>
          <w:color w:val="000000"/>
        </w:rPr>
        <w:t>L-Editor: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B104C2">
        <w:rPr>
          <w:rFonts w:ascii="Book Antiqua" w:eastAsia="Book Antiqua" w:hAnsi="Book Antiqua" w:cs="Book Antiqua"/>
          <w:b/>
          <w:color w:val="000000"/>
        </w:rPr>
        <w:t>P-Editor:</w:t>
      </w:r>
      <w:r w:rsidR="00B104C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1C716D2" w14:textId="77777777" w:rsidR="00A84764" w:rsidRPr="00B104C2" w:rsidRDefault="00A84764" w:rsidP="00B104C2">
      <w:pPr>
        <w:widowControl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A84764" w:rsidRPr="00B104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104C2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3DC34D5B" w14:textId="66434CE7" w:rsidR="00A84764" w:rsidRPr="00B104C2" w:rsidRDefault="00A84764" w:rsidP="00B104C2">
      <w:pPr>
        <w:widowControl w:val="0"/>
        <w:spacing w:line="360" w:lineRule="auto"/>
        <w:jc w:val="both"/>
        <w:rPr>
          <w:rFonts w:ascii="Book Antiqua" w:hAnsi="Book Antiqua"/>
          <w:b/>
        </w:rPr>
      </w:pPr>
      <w:bookmarkStart w:id="12" w:name="OLE_LINK1810"/>
      <w:bookmarkStart w:id="13" w:name="OLE_LINK1811"/>
      <w:r w:rsidRPr="00B104C2">
        <w:rPr>
          <w:rFonts w:ascii="Book Antiqua" w:hAnsi="Book Antiqua"/>
          <w:b/>
        </w:rPr>
        <w:lastRenderedPageBreak/>
        <w:t>Table</w:t>
      </w:r>
      <w:bookmarkEnd w:id="12"/>
      <w:bookmarkEnd w:id="13"/>
      <w:r w:rsidR="00B104C2">
        <w:rPr>
          <w:rFonts w:ascii="Book Antiqua" w:hAnsi="Book Antiqua"/>
          <w:b/>
          <w:lang w:eastAsia="zh-CN"/>
        </w:rPr>
        <w:t xml:space="preserve"> </w:t>
      </w:r>
      <w:r w:rsidRPr="00B104C2">
        <w:rPr>
          <w:rFonts w:ascii="Book Antiqua" w:hAnsi="Book Antiqua"/>
          <w:b/>
          <w:lang w:eastAsia="zh-CN"/>
        </w:rPr>
        <w:t>1</w:t>
      </w:r>
      <w:r w:rsidR="00B104C2">
        <w:rPr>
          <w:rFonts w:ascii="Book Antiqua" w:hAnsi="Book Antiqua"/>
          <w:b/>
          <w:lang w:eastAsia="zh-CN"/>
        </w:rPr>
        <w:t xml:space="preserve"> </w:t>
      </w:r>
      <w:r w:rsidRPr="00B104C2">
        <w:rPr>
          <w:rFonts w:ascii="Book Antiqua" w:hAnsi="Book Antiqua"/>
          <w:b/>
        </w:rPr>
        <w:t>Bariatric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surgery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studies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with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histological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assessment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of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liver</w:t>
      </w:r>
      <w:r w:rsidR="00B104C2">
        <w:rPr>
          <w:rFonts w:ascii="Book Antiqua" w:hAnsi="Book Antiqua"/>
          <w:b/>
        </w:rPr>
        <w:t xml:space="preserve"> </w:t>
      </w:r>
      <w:r w:rsidRPr="00B104C2">
        <w:rPr>
          <w:rFonts w:ascii="Book Antiqua" w:hAnsi="Book Antiqua"/>
          <w:b/>
        </w:rPr>
        <w:t>biopsy</w:t>
      </w:r>
    </w:p>
    <w:tbl>
      <w:tblPr>
        <w:tblStyle w:val="TableGrid"/>
        <w:tblW w:w="15650" w:type="dxa"/>
        <w:tblInd w:w="-1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930"/>
        <w:gridCol w:w="718"/>
        <w:gridCol w:w="1076"/>
        <w:gridCol w:w="864"/>
        <w:gridCol w:w="1063"/>
        <w:gridCol w:w="1483"/>
        <w:gridCol w:w="1134"/>
        <w:gridCol w:w="1549"/>
        <w:gridCol w:w="1073"/>
        <w:gridCol w:w="1163"/>
        <w:gridCol w:w="894"/>
        <w:gridCol w:w="1163"/>
        <w:gridCol w:w="1252"/>
      </w:tblGrid>
      <w:tr w:rsidR="00A84764" w:rsidRPr="00B104C2" w14:paraId="091F5261" w14:textId="77777777" w:rsidTr="00A84764">
        <w:trPr>
          <w:trHeight w:val="865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B787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PMID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885D5" w14:textId="38FE5D5E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First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author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FCB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Year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6DFF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Country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BB404" w14:textId="609C162B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Study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design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5E5C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Patients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BF0F6" w14:textId="7DE9C918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Type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of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surgery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7CAA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Steatosis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67F34" w14:textId="54EBEAC6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Hepatocyte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ballooning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A9E2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Inflammation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1CA6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Fibrosis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DF36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NAS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ED20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Deterioration</w:t>
            </w:r>
            <w:r w:rsidRPr="00B104C2">
              <w:rPr>
                <w:rFonts w:ascii="Book Antiqua" w:hAnsi="Book Antiqua"/>
                <w:b/>
                <w:vertAlign w:val="superscript"/>
                <w:lang w:val="en-US" w:eastAsia="zh-C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BAE03" w14:textId="37185098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B104C2">
              <w:rPr>
                <w:rFonts w:ascii="Book Antiqua" w:hAnsi="Book Antiqua"/>
                <w:b/>
                <w:lang w:val="en-US"/>
              </w:rPr>
              <w:t>Follow-up</w:t>
            </w:r>
            <w:r w:rsidR="00B104C2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b/>
                <w:lang w:val="en-US"/>
              </w:rPr>
              <w:t>(</w:t>
            </w:r>
            <w:proofErr w:type="spellStart"/>
            <w:r w:rsidRPr="00B104C2">
              <w:rPr>
                <w:rFonts w:ascii="Book Antiqua" w:hAnsi="Book Antiqua"/>
                <w:b/>
                <w:lang w:val="en-US"/>
              </w:rPr>
              <w:t>mo</w:t>
            </w:r>
            <w:proofErr w:type="spellEnd"/>
            <w:r w:rsidRPr="00B104C2">
              <w:rPr>
                <w:rFonts w:ascii="Book Antiqua" w:hAnsi="Book Antiqua"/>
                <w:b/>
                <w:lang w:val="en-US"/>
              </w:rPr>
              <w:t>)</w:t>
            </w:r>
          </w:p>
        </w:tc>
      </w:tr>
      <w:tr w:rsidR="00A84764" w:rsidRPr="00B104C2" w14:paraId="62E31FD5" w14:textId="77777777" w:rsidTr="00A84764">
        <w:trPr>
          <w:trHeight w:val="865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14:paraId="11A809F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32553765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7692069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Lassailly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5B13B6D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1E5ACDE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France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1C9997F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67CD6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</w:rPr>
              <w:t>180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683FA6C2" w14:textId="2F9D6402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  <w:r w:rsidRPr="00B104C2">
              <w:rPr>
                <w:rFonts w:ascii="Book Antiqua" w:hAnsi="Book Antiqua"/>
              </w:rPr>
              <w:t>,</w:t>
            </w:r>
            <w:r w:rsidR="00B104C2">
              <w:rPr>
                <w:rFonts w:ascii="Book Antiqua" w:hAnsi="Book Antiqua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</w:t>
            </w:r>
            <w:r w:rsidRPr="00B104C2">
              <w:rPr>
                <w:rFonts w:ascii="Book Antiqua" w:hAnsi="Book Antiqua"/>
              </w:rPr>
              <w:t>,</w:t>
            </w:r>
            <w:r w:rsidR="00B104C2">
              <w:rPr>
                <w:rFonts w:ascii="Book Antiqua" w:hAnsi="Book Antiqua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BPD</w:t>
            </w:r>
            <w:r w:rsidRPr="00B104C2">
              <w:rPr>
                <w:rFonts w:ascii="Book Antiqua" w:hAnsi="Book Antiqua"/>
              </w:rPr>
              <w:t>,</w:t>
            </w:r>
            <w:r w:rsidR="00B104C2">
              <w:rPr>
                <w:rFonts w:ascii="Book Antiqua" w:hAnsi="Book Antiqua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ED3F1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14:paraId="649AFED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292E9CA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7C3B73E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0FDA2D3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4005C87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38E922A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</w:rPr>
              <w:t>60</w:t>
            </w:r>
          </w:p>
        </w:tc>
      </w:tr>
      <w:tr w:rsidR="00A84764" w:rsidRPr="00B104C2" w14:paraId="3583F1E4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3E490CF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32556752</w:t>
            </w:r>
          </w:p>
        </w:tc>
        <w:tc>
          <w:tcPr>
            <w:tcW w:w="930" w:type="dxa"/>
            <w:vAlign w:val="center"/>
          </w:tcPr>
          <w:p w14:paraId="138235D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Salman</w:t>
            </w:r>
          </w:p>
        </w:tc>
        <w:tc>
          <w:tcPr>
            <w:tcW w:w="718" w:type="dxa"/>
            <w:vAlign w:val="center"/>
          </w:tcPr>
          <w:p w14:paraId="055967F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vAlign w:val="center"/>
          </w:tcPr>
          <w:p w14:paraId="51F5E17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Egypt</w:t>
            </w:r>
          </w:p>
        </w:tc>
        <w:tc>
          <w:tcPr>
            <w:tcW w:w="864" w:type="dxa"/>
            <w:vAlign w:val="center"/>
          </w:tcPr>
          <w:p w14:paraId="60D78CA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483C27F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67</w:t>
            </w:r>
          </w:p>
        </w:tc>
        <w:tc>
          <w:tcPr>
            <w:tcW w:w="1483" w:type="dxa"/>
            <w:vAlign w:val="center"/>
          </w:tcPr>
          <w:p w14:paraId="46D59F7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OAGB</w:t>
            </w:r>
          </w:p>
        </w:tc>
        <w:tc>
          <w:tcPr>
            <w:tcW w:w="1134" w:type="dxa"/>
            <w:vAlign w:val="center"/>
          </w:tcPr>
          <w:p w14:paraId="0C52B02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5B3CBCE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4427E9F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4A47B93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3C986E6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ED165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023B3C4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15</w:t>
            </w:r>
          </w:p>
        </w:tc>
      </w:tr>
      <w:tr w:rsidR="00A84764" w:rsidRPr="00B104C2" w14:paraId="28F7ABBB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21E394F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  <w:lang w:val="en-US"/>
              </w:rPr>
              <w:t>32153044</w:t>
            </w:r>
          </w:p>
        </w:tc>
        <w:tc>
          <w:tcPr>
            <w:tcW w:w="930" w:type="dxa"/>
            <w:vAlign w:val="center"/>
          </w:tcPr>
          <w:p w14:paraId="32D6B01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Salman</w:t>
            </w:r>
          </w:p>
        </w:tc>
        <w:tc>
          <w:tcPr>
            <w:tcW w:w="718" w:type="dxa"/>
            <w:vAlign w:val="center"/>
          </w:tcPr>
          <w:p w14:paraId="712ED69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vAlign w:val="center"/>
          </w:tcPr>
          <w:p w14:paraId="2CEC714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Egypt</w:t>
            </w:r>
          </w:p>
        </w:tc>
        <w:tc>
          <w:tcPr>
            <w:tcW w:w="864" w:type="dxa"/>
            <w:vAlign w:val="center"/>
          </w:tcPr>
          <w:p w14:paraId="05C33AD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2DB60A5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</w:rPr>
              <w:t>8</w:t>
            </w:r>
            <w:r w:rsidRPr="00B104C2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1483" w:type="dxa"/>
            <w:vAlign w:val="center"/>
          </w:tcPr>
          <w:p w14:paraId="3BB7DEE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17EF5DA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54E95ED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17E7F8E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9459D5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3EB245D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582DE8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7448D3F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</w:rPr>
              <w:t>18</w:t>
            </w:r>
          </w:p>
        </w:tc>
      </w:tr>
      <w:tr w:rsidR="00A84764" w:rsidRPr="00B104C2" w14:paraId="4E78CEFE" w14:textId="77777777" w:rsidTr="00A84764">
        <w:trPr>
          <w:trHeight w:val="561"/>
        </w:trPr>
        <w:tc>
          <w:tcPr>
            <w:tcW w:w="1288" w:type="dxa"/>
            <w:vAlign w:val="center"/>
          </w:tcPr>
          <w:p w14:paraId="4083DD0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32152677</w:t>
            </w:r>
          </w:p>
        </w:tc>
        <w:tc>
          <w:tcPr>
            <w:tcW w:w="930" w:type="dxa"/>
            <w:vAlign w:val="center"/>
          </w:tcPr>
          <w:p w14:paraId="1DC43D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Salman</w:t>
            </w:r>
          </w:p>
        </w:tc>
        <w:tc>
          <w:tcPr>
            <w:tcW w:w="718" w:type="dxa"/>
            <w:vAlign w:val="center"/>
          </w:tcPr>
          <w:p w14:paraId="0C83A18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vAlign w:val="center"/>
          </w:tcPr>
          <w:p w14:paraId="30D8EA3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Egypt</w:t>
            </w:r>
          </w:p>
        </w:tc>
        <w:tc>
          <w:tcPr>
            <w:tcW w:w="864" w:type="dxa"/>
            <w:vAlign w:val="center"/>
          </w:tcPr>
          <w:p w14:paraId="0C9E644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337A9E6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71</w:t>
            </w:r>
          </w:p>
        </w:tc>
        <w:tc>
          <w:tcPr>
            <w:tcW w:w="1483" w:type="dxa"/>
            <w:vAlign w:val="center"/>
          </w:tcPr>
          <w:p w14:paraId="021C041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07D5364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198F1DE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NA</w:t>
            </w:r>
          </w:p>
        </w:tc>
        <w:tc>
          <w:tcPr>
            <w:tcW w:w="1073" w:type="dxa"/>
            <w:vAlign w:val="center"/>
          </w:tcPr>
          <w:p w14:paraId="227BF46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NA</w:t>
            </w:r>
          </w:p>
        </w:tc>
        <w:tc>
          <w:tcPr>
            <w:tcW w:w="1163" w:type="dxa"/>
            <w:vAlign w:val="center"/>
          </w:tcPr>
          <w:p w14:paraId="085C639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5B66126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5DBE5F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noProof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1013463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30</w:t>
            </w:r>
          </w:p>
        </w:tc>
      </w:tr>
      <w:tr w:rsidR="00A84764" w:rsidRPr="00B104C2" w14:paraId="7E97B4BD" w14:textId="77777777" w:rsidTr="00A84764">
        <w:trPr>
          <w:trHeight w:val="288"/>
        </w:trPr>
        <w:tc>
          <w:tcPr>
            <w:tcW w:w="1288" w:type="dxa"/>
            <w:vAlign w:val="center"/>
          </w:tcPr>
          <w:p w14:paraId="0BA9D68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32124215</w:t>
            </w:r>
          </w:p>
        </w:tc>
        <w:tc>
          <w:tcPr>
            <w:tcW w:w="930" w:type="dxa"/>
            <w:vAlign w:val="center"/>
          </w:tcPr>
          <w:p w14:paraId="0D97638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Nikai</w:t>
            </w:r>
            <w:proofErr w:type="spellEnd"/>
          </w:p>
        </w:tc>
        <w:tc>
          <w:tcPr>
            <w:tcW w:w="718" w:type="dxa"/>
            <w:vAlign w:val="center"/>
          </w:tcPr>
          <w:p w14:paraId="03D279F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vAlign w:val="center"/>
          </w:tcPr>
          <w:p w14:paraId="3C9D50C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Japan</w:t>
            </w:r>
          </w:p>
        </w:tc>
        <w:tc>
          <w:tcPr>
            <w:tcW w:w="864" w:type="dxa"/>
            <w:vAlign w:val="center"/>
          </w:tcPr>
          <w:p w14:paraId="7A315CB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52BE40E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28</w:t>
            </w:r>
          </w:p>
        </w:tc>
        <w:tc>
          <w:tcPr>
            <w:tcW w:w="1483" w:type="dxa"/>
            <w:vAlign w:val="center"/>
          </w:tcPr>
          <w:p w14:paraId="67CBC95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0FF7BAA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2DC0DE1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5B157D2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627069E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0D9CEB5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57FC2EB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0098BD0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24</w:t>
            </w:r>
          </w:p>
        </w:tc>
      </w:tr>
      <w:tr w:rsidR="00A84764" w:rsidRPr="00B104C2" w14:paraId="567E6E44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1CFDADA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32360804</w:t>
            </w:r>
          </w:p>
        </w:tc>
        <w:tc>
          <w:tcPr>
            <w:tcW w:w="930" w:type="dxa"/>
            <w:vAlign w:val="center"/>
          </w:tcPr>
          <w:p w14:paraId="4AFB896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Bazerbachi</w:t>
            </w:r>
            <w:proofErr w:type="spellEnd"/>
          </w:p>
        </w:tc>
        <w:tc>
          <w:tcPr>
            <w:tcW w:w="718" w:type="dxa"/>
            <w:vAlign w:val="center"/>
          </w:tcPr>
          <w:p w14:paraId="2ED314E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076" w:type="dxa"/>
            <w:vAlign w:val="center"/>
          </w:tcPr>
          <w:p w14:paraId="72D6A023" w14:textId="14289C06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104C2">
              <w:rPr>
                <w:rFonts w:ascii="Book Antiqua" w:hAnsi="Book Antiqua"/>
                <w:lang w:val="en-US"/>
              </w:rPr>
              <w:t>U</w:t>
            </w:r>
            <w:r w:rsidRPr="00B104C2">
              <w:rPr>
                <w:rFonts w:ascii="Book Antiqua" w:hAnsi="Book Antiqua"/>
                <w:lang w:val="en-US" w:eastAsia="zh-CN"/>
              </w:rPr>
              <w:t>nited</w:t>
            </w:r>
            <w:r w:rsidR="00B104C2">
              <w:rPr>
                <w:rFonts w:ascii="Book Antiqua" w:hAnsi="Book Antiqua"/>
                <w:lang w:val="en-US" w:eastAsia="zh-CN"/>
              </w:rPr>
              <w:t xml:space="preserve"> </w:t>
            </w:r>
            <w:r w:rsidRPr="00B104C2">
              <w:rPr>
                <w:rFonts w:ascii="Book Antiqua" w:hAnsi="Book Antiqua"/>
                <w:lang w:val="en-US" w:eastAsia="zh-CN"/>
              </w:rPr>
              <w:t>States</w:t>
            </w:r>
          </w:p>
        </w:tc>
        <w:tc>
          <w:tcPr>
            <w:tcW w:w="864" w:type="dxa"/>
            <w:vAlign w:val="center"/>
          </w:tcPr>
          <w:p w14:paraId="2ECA48F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215DF51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</w:t>
            </w:r>
          </w:p>
        </w:tc>
        <w:tc>
          <w:tcPr>
            <w:tcW w:w="1483" w:type="dxa"/>
            <w:vAlign w:val="center"/>
          </w:tcPr>
          <w:p w14:paraId="2C90202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IGB</w:t>
            </w:r>
          </w:p>
        </w:tc>
        <w:tc>
          <w:tcPr>
            <w:tcW w:w="1134" w:type="dxa"/>
            <w:vAlign w:val="center"/>
          </w:tcPr>
          <w:p w14:paraId="302EB69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0B1E7AD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2B5B83B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0D8D5C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894" w:type="dxa"/>
            <w:vAlign w:val="center"/>
          </w:tcPr>
          <w:p w14:paraId="498D118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43E6156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6CCED99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6</w:t>
            </w:r>
          </w:p>
        </w:tc>
      </w:tr>
      <w:tr w:rsidR="00A84764" w:rsidRPr="00B104C2" w14:paraId="6273C507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4B58FCA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29126863</w:t>
            </w:r>
          </w:p>
        </w:tc>
        <w:tc>
          <w:tcPr>
            <w:tcW w:w="930" w:type="dxa"/>
            <w:vAlign w:val="center"/>
          </w:tcPr>
          <w:p w14:paraId="2FE12CE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Garg</w:t>
            </w:r>
          </w:p>
        </w:tc>
        <w:tc>
          <w:tcPr>
            <w:tcW w:w="718" w:type="dxa"/>
            <w:vAlign w:val="center"/>
          </w:tcPr>
          <w:p w14:paraId="6C8416B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2018</w:t>
            </w:r>
          </w:p>
        </w:tc>
        <w:tc>
          <w:tcPr>
            <w:tcW w:w="1076" w:type="dxa"/>
            <w:vAlign w:val="center"/>
          </w:tcPr>
          <w:p w14:paraId="22678BC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India</w:t>
            </w:r>
          </w:p>
        </w:tc>
        <w:tc>
          <w:tcPr>
            <w:tcW w:w="864" w:type="dxa"/>
            <w:vAlign w:val="center"/>
          </w:tcPr>
          <w:p w14:paraId="7969EDF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6FDBF28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32</w:t>
            </w:r>
          </w:p>
        </w:tc>
        <w:tc>
          <w:tcPr>
            <w:tcW w:w="1483" w:type="dxa"/>
            <w:vAlign w:val="center"/>
          </w:tcPr>
          <w:p w14:paraId="63F4FDF0" w14:textId="2B3E5D4D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48BEBD9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587D6A0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5E58A21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9505F7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6B6B611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163" w:type="dxa"/>
            <w:vAlign w:val="center"/>
          </w:tcPr>
          <w:p w14:paraId="1179DCF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0B1FEA7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12</w:t>
            </w:r>
          </w:p>
        </w:tc>
      </w:tr>
      <w:tr w:rsidR="00A84764" w:rsidRPr="00B104C2" w14:paraId="3E838C5E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0E5A94E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27697327</w:t>
            </w:r>
          </w:p>
        </w:tc>
        <w:tc>
          <w:tcPr>
            <w:tcW w:w="930" w:type="dxa"/>
            <w:vAlign w:val="center"/>
          </w:tcPr>
          <w:p w14:paraId="440F495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Manco</w:t>
            </w:r>
          </w:p>
        </w:tc>
        <w:tc>
          <w:tcPr>
            <w:tcW w:w="718" w:type="dxa"/>
            <w:vAlign w:val="center"/>
          </w:tcPr>
          <w:p w14:paraId="197C9BB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2017</w:t>
            </w:r>
          </w:p>
        </w:tc>
        <w:tc>
          <w:tcPr>
            <w:tcW w:w="1076" w:type="dxa"/>
            <w:vAlign w:val="center"/>
          </w:tcPr>
          <w:p w14:paraId="5C6F906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Italy</w:t>
            </w:r>
          </w:p>
        </w:tc>
        <w:tc>
          <w:tcPr>
            <w:tcW w:w="864" w:type="dxa"/>
            <w:vAlign w:val="center"/>
          </w:tcPr>
          <w:p w14:paraId="3F03AB1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0AC76BD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</w:t>
            </w:r>
          </w:p>
        </w:tc>
        <w:tc>
          <w:tcPr>
            <w:tcW w:w="1483" w:type="dxa"/>
            <w:vAlign w:val="center"/>
          </w:tcPr>
          <w:p w14:paraId="1F820DA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5B535A2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27B6356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142B82D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6447447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1D19E18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4ED7AD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258D730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12</w:t>
            </w:r>
          </w:p>
        </w:tc>
      </w:tr>
      <w:tr w:rsidR="00A84764" w:rsidRPr="00B104C2" w14:paraId="5B9C7615" w14:textId="77777777" w:rsidTr="00A84764">
        <w:trPr>
          <w:trHeight w:val="561"/>
        </w:trPr>
        <w:tc>
          <w:tcPr>
            <w:tcW w:w="1288" w:type="dxa"/>
            <w:vAlign w:val="center"/>
          </w:tcPr>
          <w:p w14:paraId="57ACD966" w14:textId="7279C352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27405478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14:paraId="1D1D036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Aldoheyan</w:t>
            </w:r>
            <w:proofErr w:type="spellEnd"/>
          </w:p>
        </w:tc>
        <w:tc>
          <w:tcPr>
            <w:tcW w:w="718" w:type="dxa"/>
            <w:vAlign w:val="center"/>
          </w:tcPr>
          <w:p w14:paraId="7D1989F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2017</w:t>
            </w:r>
          </w:p>
        </w:tc>
        <w:tc>
          <w:tcPr>
            <w:tcW w:w="1076" w:type="dxa"/>
            <w:vAlign w:val="center"/>
          </w:tcPr>
          <w:p w14:paraId="57CDF3D6" w14:textId="74262BEB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Saudi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Arabia</w:t>
            </w:r>
          </w:p>
        </w:tc>
        <w:tc>
          <w:tcPr>
            <w:tcW w:w="864" w:type="dxa"/>
            <w:vAlign w:val="center"/>
          </w:tcPr>
          <w:p w14:paraId="13103A6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709C425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  <w:lang w:val="en-US"/>
              </w:rPr>
              <w:t>27</w:t>
            </w:r>
          </w:p>
        </w:tc>
        <w:tc>
          <w:tcPr>
            <w:tcW w:w="1483" w:type="dxa"/>
            <w:vAlign w:val="center"/>
          </w:tcPr>
          <w:p w14:paraId="35AA497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60D235A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7B61EB9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7697CD1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8A4692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166245F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532233C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62290B1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</w:t>
            </w:r>
          </w:p>
        </w:tc>
      </w:tr>
      <w:tr w:rsidR="00A84764" w:rsidRPr="00B104C2" w14:paraId="5368A1BB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1C6AEAF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26077701</w:t>
            </w:r>
          </w:p>
        </w:tc>
        <w:tc>
          <w:tcPr>
            <w:tcW w:w="930" w:type="dxa"/>
            <w:vAlign w:val="center"/>
          </w:tcPr>
          <w:p w14:paraId="4CC47EF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Froylich</w:t>
            </w:r>
            <w:proofErr w:type="spellEnd"/>
          </w:p>
        </w:tc>
        <w:tc>
          <w:tcPr>
            <w:tcW w:w="718" w:type="dxa"/>
            <w:vAlign w:val="center"/>
          </w:tcPr>
          <w:p w14:paraId="29487C6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2016</w:t>
            </w:r>
          </w:p>
        </w:tc>
        <w:tc>
          <w:tcPr>
            <w:tcW w:w="1076" w:type="dxa"/>
            <w:vAlign w:val="center"/>
          </w:tcPr>
          <w:p w14:paraId="5CD9B371" w14:textId="186238E8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U</w:t>
            </w:r>
            <w:r w:rsidRPr="00B104C2">
              <w:rPr>
                <w:rFonts w:ascii="Book Antiqua" w:hAnsi="Book Antiqua"/>
                <w:lang w:val="en-US" w:eastAsia="zh-CN"/>
              </w:rPr>
              <w:t>nited</w:t>
            </w:r>
            <w:r w:rsidR="00B104C2">
              <w:rPr>
                <w:rFonts w:ascii="Book Antiqua" w:hAnsi="Book Antiqua"/>
                <w:lang w:val="en-US" w:eastAsia="zh-CN"/>
              </w:rPr>
              <w:t xml:space="preserve"> </w:t>
            </w:r>
            <w:r w:rsidRPr="00B104C2">
              <w:rPr>
                <w:rFonts w:ascii="Book Antiqua" w:hAnsi="Book Antiqua"/>
                <w:lang w:val="en-US" w:eastAsia="zh-CN"/>
              </w:rPr>
              <w:t>States</w:t>
            </w:r>
          </w:p>
        </w:tc>
        <w:tc>
          <w:tcPr>
            <w:tcW w:w="864" w:type="dxa"/>
            <w:vAlign w:val="center"/>
          </w:tcPr>
          <w:p w14:paraId="26C5D41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0E66284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25</w:t>
            </w:r>
          </w:p>
        </w:tc>
        <w:tc>
          <w:tcPr>
            <w:tcW w:w="1483" w:type="dxa"/>
            <w:vAlign w:val="center"/>
          </w:tcPr>
          <w:p w14:paraId="002344C5" w14:textId="7BD7E57C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6411F66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2026E08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0E7F8C3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4E33855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98ED5D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67AD4E6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7EA6787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18</w:t>
            </w:r>
          </w:p>
        </w:tc>
      </w:tr>
      <w:tr w:rsidR="00A84764" w:rsidRPr="00B104C2" w14:paraId="31487A97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701172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27594839</w:t>
            </w:r>
          </w:p>
        </w:tc>
        <w:tc>
          <w:tcPr>
            <w:tcW w:w="930" w:type="dxa"/>
            <w:vAlign w:val="center"/>
          </w:tcPr>
          <w:p w14:paraId="686E039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Schneck</w:t>
            </w:r>
            <w:proofErr w:type="spellEnd"/>
          </w:p>
        </w:tc>
        <w:tc>
          <w:tcPr>
            <w:tcW w:w="718" w:type="dxa"/>
            <w:vAlign w:val="center"/>
          </w:tcPr>
          <w:p w14:paraId="5F8C2E3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2016</w:t>
            </w:r>
          </w:p>
        </w:tc>
        <w:tc>
          <w:tcPr>
            <w:tcW w:w="1076" w:type="dxa"/>
            <w:vAlign w:val="center"/>
          </w:tcPr>
          <w:p w14:paraId="1FD4D71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France</w:t>
            </w:r>
          </w:p>
        </w:tc>
        <w:tc>
          <w:tcPr>
            <w:tcW w:w="864" w:type="dxa"/>
            <w:vAlign w:val="center"/>
          </w:tcPr>
          <w:p w14:paraId="434C0CD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579516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9</w:t>
            </w:r>
          </w:p>
        </w:tc>
        <w:tc>
          <w:tcPr>
            <w:tcW w:w="1483" w:type="dxa"/>
            <w:vAlign w:val="center"/>
          </w:tcPr>
          <w:p w14:paraId="0D98A4F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</w:p>
        </w:tc>
        <w:tc>
          <w:tcPr>
            <w:tcW w:w="1134" w:type="dxa"/>
            <w:vAlign w:val="center"/>
          </w:tcPr>
          <w:p w14:paraId="33FE7B0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44C3158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0B1D052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35A81D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7234713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60E94AD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70E8E28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55</w:t>
            </w:r>
          </w:p>
        </w:tc>
      </w:tr>
      <w:tr w:rsidR="00A84764" w:rsidRPr="00B104C2" w14:paraId="667C4739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4493C96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25537957</w:t>
            </w:r>
          </w:p>
        </w:tc>
        <w:tc>
          <w:tcPr>
            <w:tcW w:w="930" w:type="dxa"/>
            <w:vAlign w:val="center"/>
          </w:tcPr>
          <w:p w14:paraId="74A2200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Taitano</w:t>
            </w:r>
            <w:proofErr w:type="spellEnd"/>
          </w:p>
        </w:tc>
        <w:tc>
          <w:tcPr>
            <w:tcW w:w="718" w:type="dxa"/>
            <w:vAlign w:val="center"/>
          </w:tcPr>
          <w:p w14:paraId="0AB37B7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2015</w:t>
            </w:r>
          </w:p>
        </w:tc>
        <w:tc>
          <w:tcPr>
            <w:tcW w:w="1076" w:type="dxa"/>
            <w:vAlign w:val="center"/>
          </w:tcPr>
          <w:p w14:paraId="2293823B" w14:textId="1FC02854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U</w:t>
            </w:r>
            <w:r w:rsidRPr="00B104C2">
              <w:rPr>
                <w:rFonts w:ascii="Book Antiqua" w:hAnsi="Book Antiqua"/>
                <w:lang w:val="en-US" w:eastAsia="zh-CN"/>
              </w:rPr>
              <w:t>nited</w:t>
            </w:r>
            <w:r w:rsidR="00B104C2">
              <w:rPr>
                <w:rFonts w:ascii="Book Antiqua" w:hAnsi="Book Antiqua"/>
                <w:lang w:val="en-US" w:eastAsia="zh-CN"/>
              </w:rPr>
              <w:t xml:space="preserve"> </w:t>
            </w:r>
            <w:r w:rsidRPr="00B104C2">
              <w:rPr>
                <w:rFonts w:ascii="Book Antiqua" w:hAnsi="Book Antiqua"/>
                <w:lang w:val="en-US" w:eastAsia="zh-CN"/>
              </w:rPr>
              <w:t>States</w:t>
            </w:r>
          </w:p>
        </w:tc>
        <w:tc>
          <w:tcPr>
            <w:tcW w:w="864" w:type="dxa"/>
            <w:vAlign w:val="center"/>
          </w:tcPr>
          <w:p w14:paraId="0FF7E5A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343217C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160</w:t>
            </w:r>
          </w:p>
        </w:tc>
        <w:tc>
          <w:tcPr>
            <w:tcW w:w="1483" w:type="dxa"/>
            <w:vAlign w:val="center"/>
          </w:tcPr>
          <w:p w14:paraId="00C7EF0A" w14:textId="5ADE8992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</w:t>
            </w:r>
          </w:p>
        </w:tc>
        <w:tc>
          <w:tcPr>
            <w:tcW w:w="1134" w:type="dxa"/>
            <w:vAlign w:val="center"/>
          </w:tcPr>
          <w:p w14:paraId="112A04C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1405742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073" w:type="dxa"/>
            <w:vAlign w:val="center"/>
          </w:tcPr>
          <w:p w14:paraId="30469E5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2034D2A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581E92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163" w:type="dxa"/>
            <w:vAlign w:val="center"/>
          </w:tcPr>
          <w:p w14:paraId="03D98FB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4C6C015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31</w:t>
            </w:r>
          </w:p>
        </w:tc>
      </w:tr>
      <w:tr w:rsidR="00A84764" w:rsidRPr="00B104C2" w14:paraId="174B46AC" w14:textId="77777777" w:rsidTr="00A84764">
        <w:trPr>
          <w:trHeight w:val="561"/>
        </w:trPr>
        <w:tc>
          <w:tcPr>
            <w:tcW w:w="1288" w:type="dxa"/>
            <w:vAlign w:val="center"/>
          </w:tcPr>
          <w:p w14:paraId="48C54B5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lastRenderedPageBreak/>
              <w:t>26003897</w:t>
            </w:r>
          </w:p>
        </w:tc>
        <w:tc>
          <w:tcPr>
            <w:tcW w:w="930" w:type="dxa"/>
            <w:vAlign w:val="center"/>
          </w:tcPr>
          <w:p w14:paraId="53E84F8D" w14:textId="78F35028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Praveen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Raj</w:t>
            </w:r>
          </w:p>
        </w:tc>
        <w:tc>
          <w:tcPr>
            <w:tcW w:w="718" w:type="dxa"/>
            <w:vAlign w:val="center"/>
          </w:tcPr>
          <w:p w14:paraId="1240B33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2015</w:t>
            </w:r>
          </w:p>
        </w:tc>
        <w:tc>
          <w:tcPr>
            <w:tcW w:w="1076" w:type="dxa"/>
            <w:vAlign w:val="center"/>
          </w:tcPr>
          <w:p w14:paraId="5728C48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India</w:t>
            </w:r>
          </w:p>
        </w:tc>
        <w:tc>
          <w:tcPr>
            <w:tcW w:w="864" w:type="dxa"/>
            <w:vAlign w:val="center"/>
          </w:tcPr>
          <w:p w14:paraId="520991E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542EBFE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30</w:t>
            </w:r>
          </w:p>
        </w:tc>
        <w:tc>
          <w:tcPr>
            <w:tcW w:w="1483" w:type="dxa"/>
            <w:vAlign w:val="center"/>
          </w:tcPr>
          <w:p w14:paraId="2084E639" w14:textId="0C756D1E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2580E25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5C78D27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222F006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02FAC8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3FFAEF4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18BADCD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53B664F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6</w:t>
            </w:r>
          </w:p>
        </w:tc>
      </w:tr>
      <w:tr w:rsidR="00A84764" w:rsidRPr="00B104C2" w14:paraId="61C39452" w14:textId="77777777" w:rsidTr="00A84764">
        <w:trPr>
          <w:trHeight w:val="865"/>
        </w:trPr>
        <w:tc>
          <w:tcPr>
            <w:tcW w:w="1288" w:type="dxa"/>
            <w:vAlign w:val="center"/>
          </w:tcPr>
          <w:p w14:paraId="3DE2F52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25917783</w:t>
            </w:r>
          </w:p>
        </w:tc>
        <w:tc>
          <w:tcPr>
            <w:tcW w:w="930" w:type="dxa"/>
            <w:vAlign w:val="center"/>
          </w:tcPr>
          <w:p w14:paraId="46E3834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Lassailly</w:t>
            </w:r>
            <w:proofErr w:type="spellEnd"/>
          </w:p>
        </w:tc>
        <w:tc>
          <w:tcPr>
            <w:tcW w:w="718" w:type="dxa"/>
            <w:vAlign w:val="center"/>
          </w:tcPr>
          <w:p w14:paraId="213017C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2015</w:t>
            </w:r>
          </w:p>
        </w:tc>
        <w:tc>
          <w:tcPr>
            <w:tcW w:w="1076" w:type="dxa"/>
            <w:vAlign w:val="center"/>
          </w:tcPr>
          <w:p w14:paraId="4D0D171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France</w:t>
            </w:r>
          </w:p>
        </w:tc>
        <w:tc>
          <w:tcPr>
            <w:tcW w:w="864" w:type="dxa"/>
            <w:vAlign w:val="center"/>
          </w:tcPr>
          <w:p w14:paraId="0A3BB97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30475B4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30</w:t>
            </w:r>
          </w:p>
        </w:tc>
        <w:tc>
          <w:tcPr>
            <w:tcW w:w="1483" w:type="dxa"/>
            <w:vAlign w:val="center"/>
          </w:tcPr>
          <w:p w14:paraId="3C85AA74" w14:textId="1FDF33C1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BPD,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6EE9010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7BDA328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7CD23B8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284301C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DA76D9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B23BB8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74DD1D8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12</w:t>
            </w:r>
          </w:p>
        </w:tc>
      </w:tr>
      <w:tr w:rsidR="00A84764" w:rsidRPr="00B104C2" w14:paraId="3E44D8F2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271DEF6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25379859</w:t>
            </w:r>
          </w:p>
        </w:tc>
        <w:tc>
          <w:tcPr>
            <w:tcW w:w="930" w:type="dxa"/>
            <w:vAlign w:val="center"/>
          </w:tcPr>
          <w:p w14:paraId="4276CFB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Caiazzo</w:t>
            </w:r>
            <w:proofErr w:type="spellEnd"/>
          </w:p>
        </w:tc>
        <w:tc>
          <w:tcPr>
            <w:tcW w:w="718" w:type="dxa"/>
            <w:vAlign w:val="center"/>
          </w:tcPr>
          <w:p w14:paraId="630B4BE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2014</w:t>
            </w:r>
          </w:p>
        </w:tc>
        <w:tc>
          <w:tcPr>
            <w:tcW w:w="1076" w:type="dxa"/>
            <w:vAlign w:val="center"/>
          </w:tcPr>
          <w:p w14:paraId="436C1ED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France</w:t>
            </w:r>
          </w:p>
        </w:tc>
        <w:tc>
          <w:tcPr>
            <w:tcW w:w="864" w:type="dxa"/>
            <w:vAlign w:val="center"/>
          </w:tcPr>
          <w:p w14:paraId="25E7AE8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441ECF5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413</w:t>
            </w:r>
          </w:p>
        </w:tc>
        <w:tc>
          <w:tcPr>
            <w:tcW w:w="1483" w:type="dxa"/>
            <w:vAlign w:val="center"/>
          </w:tcPr>
          <w:p w14:paraId="6D048708" w14:textId="05F57BAC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</w:t>
            </w:r>
          </w:p>
        </w:tc>
        <w:tc>
          <w:tcPr>
            <w:tcW w:w="1134" w:type="dxa"/>
            <w:vAlign w:val="center"/>
          </w:tcPr>
          <w:p w14:paraId="61BD1C9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2EFFA3A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073" w:type="dxa"/>
            <w:vAlign w:val="center"/>
          </w:tcPr>
          <w:p w14:paraId="203617B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5639478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6E79399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BA431C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252" w:type="dxa"/>
            <w:vAlign w:val="center"/>
          </w:tcPr>
          <w:p w14:paraId="2515540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60</w:t>
            </w:r>
          </w:p>
        </w:tc>
      </w:tr>
      <w:tr w:rsidR="00A84764" w:rsidRPr="00B104C2" w14:paraId="021A487A" w14:textId="77777777" w:rsidTr="00A84764">
        <w:trPr>
          <w:trHeight w:val="288"/>
        </w:trPr>
        <w:tc>
          <w:tcPr>
            <w:tcW w:w="1288" w:type="dxa"/>
            <w:vAlign w:val="center"/>
          </w:tcPr>
          <w:p w14:paraId="72439E4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22161114</w:t>
            </w:r>
          </w:p>
        </w:tc>
        <w:tc>
          <w:tcPr>
            <w:tcW w:w="930" w:type="dxa"/>
            <w:vAlign w:val="center"/>
          </w:tcPr>
          <w:p w14:paraId="271C900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Tai</w:t>
            </w:r>
          </w:p>
        </w:tc>
        <w:tc>
          <w:tcPr>
            <w:tcW w:w="718" w:type="dxa"/>
            <w:vAlign w:val="center"/>
          </w:tcPr>
          <w:p w14:paraId="0DCEC5F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2012</w:t>
            </w:r>
          </w:p>
        </w:tc>
        <w:tc>
          <w:tcPr>
            <w:tcW w:w="1076" w:type="dxa"/>
            <w:vAlign w:val="center"/>
          </w:tcPr>
          <w:p w14:paraId="508CA77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Taiwan</w:t>
            </w:r>
          </w:p>
        </w:tc>
        <w:tc>
          <w:tcPr>
            <w:tcW w:w="864" w:type="dxa"/>
            <w:vAlign w:val="center"/>
          </w:tcPr>
          <w:p w14:paraId="3F02205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4F9F200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21</w:t>
            </w:r>
          </w:p>
        </w:tc>
        <w:tc>
          <w:tcPr>
            <w:tcW w:w="1483" w:type="dxa"/>
            <w:vAlign w:val="center"/>
          </w:tcPr>
          <w:p w14:paraId="269C09B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</w:p>
        </w:tc>
        <w:tc>
          <w:tcPr>
            <w:tcW w:w="1134" w:type="dxa"/>
            <w:vAlign w:val="center"/>
          </w:tcPr>
          <w:p w14:paraId="4B2D067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195E1FC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4AF51A1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7F78CB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EDD716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054C6C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4F5B716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12</w:t>
            </w:r>
          </w:p>
        </w:tc>
      </w:tr>
      <w:tr w:rsidR="00A84764" w:rsidRPr="00B104C2" w14:paraId="77C08858" w14:textId="77777777" w:rsidTr="00A84764">
        <w:trPr>
          <w:trHeight w:val="561"/>
        </w:trPr>
        <w:tc>
          <w:tcPr>
            <w:tcW w:w="1288" w:type="dxa"/>
            <w:vAlign w:val="center"/>
          </w:tcPr>
          <w:p w14:paraId="455B19D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23355916</w:t>
            </w:r>
          </w:p>
        </w:tc>
        <w:tc>
          <w:tcPr>
            <w:tcW w:w="930" w:type="dxa"/>
            <w:vAlign w:val="center"/>
          </w:tcPr>
          <w:p w14:paraId="52FACBF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Vargas</w:t>
            </w:r>
          </w:p>
        </w:tc>
        <w:tc>
          <w:tcPr>
            <w:tcW w:w="718" w:type="dxa"/>
            <w:vAlign w:val="center"/>
          </w:tcPr>
          <w:p w14:paraId="7A70579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2012</w:t>
            </w:r>
          </w:p>
        </w:tc>
        <w:tc>
          <w:tcPr>
            <w:tcW w:w="1076" w:type="dxa"/>
            <w:vAlign w:val="center"/>
          </w:tcPr>
          <w:p w14:paraId="42DD1BE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Spain</w:t>
            </w:r>
          </w:p>
        </w:tc>
        <w:tc>
          <w:tcPr>
            <w:tcW w:w="864" w:type="dxa"/>
            <w:vAlign w:val="center"/>
          </w:tcPr>
          <w:p w14:paraId="3784B4C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7917144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26</w:t>
            </w:r>
          </w:p>
        </w:tc>
        <w:tc>
          <w:tcPr>
            <w:tcW w:w="1483" w:type="dxa"/>
            <w:vAlign w:val="center"/>
          </w:tcPr>
          <w:p w14:paraId="05728CB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</w:p>
        </w:tc>
        <w:tc>
          <w:tcPr>
            <w:tcW w:w="1134" w:type="dxa"/>
            <w:vAlign w:val="center"/>
          </w:tcPr>
          <w:p w14:paraId="168C172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176002A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5952032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3A4FC42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1244BC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87CF68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3D0B5B7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16</w:t>
            </w:r>
          </w:p>
        </w:tc>
      </w:tr>
      <w:tr w:rsidR="00A84764" w:rsidRPr="00B104C2" w14:paraId="671A7797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303B86F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22108808</w:t>
            </w:r>
          </w:p>
        </w:tc>
        <w:tc>
          <w:tcPr>
            <w:tcW w:w="930" w:type="dxa"/>
            <w:vAlign w:val="center"/>
          </w:tcPr>
          <w:p w14:paraId="76B47F7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Moretto</w:t>
            </w:r>
          </w:p>
        </w:tc>
        <w:tc>
          <w:tcPr>
            <w:tcW w:w="718" w:type="dxa"/>
            <w:vAlign w:val="center"/>
          </w:tcPr>
          <w:p w14:paraId="058B407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2012</w:t>
            </w:r>
          </w:p>
        </w:tc>
        <w:tc>
          <w:tcPr>
            <w:tcW w:w="1076" w:type="dxa"/>
            <w:vAlign w:val="center"/>
          </w:tcPr>
          <w:p w14:paraId="4A33EFB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Brazil</w:t>
            </w:r>
          </w:p>
        </w:tc>
        <w:tc>
          <w:tcPr>
            <w:tcW w:w="864" w:type="dxa"/>
            <w:vAlign w:val="center"/>
          </w:tcPr>
          <w:p w14:paraId="45800FF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5CF0E0A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78</w:t>
            </w:r>
          </w:p>
        </w:tc>
        <w:tc>
          <w:tcPr>
            <w:tcW w:w="1483" w:type="dxa"/>
            <w:vAlign w:val="center"/>
          </w:tcPr>
          <w:p w14:paraId="1FE643E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OAGB</w:t>
            </w:r>
          </w:p>
        </w:tc>
        <w:tc>
          <w:tcPr>
            <w:tcW w:w="1134" w:type="dxa"/>
            <w:vAlign w:val="center"/>
          </w:tcPr>
          <w:p w14:paraId="5FC8A0D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2ECFCF8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7558F29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0604DF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399B1FB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163" w:type="dxa"/>
            <w:vAlign w:val="center"/>
          </w:tcPr>
          <w:p w14:paraId="0F1DAC58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00696A2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</w:tr>
      <w:tr w:rsidR="00A84764" w:rsidRPr="00B104C2" w14:paraId="61480D66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7D6ACDBF" w14:textId="5ED33E56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20460923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14:paraId="0564043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Weiner</w:t>
            </w:r>
          </w:p>
        </w:tc>
        <w:tc>
          <w:tcPr>
            <w:tcW w:w="718" w:type="dxa"/>
            <w:vAlign w:val="center"/>
          </w:tcPr>
          <w:p w14:paraId="69024DC7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2010</w:t>
            </w:r>
          </w:p>
        </w:tc>
        <w:tc>
          <w:tcPr>
            <w:tcW w:w="1076" w:type="dxa"/>
            <w:vAlign w:val="center"/>
          </w:tcPr>
          <w:p w14:paraId="186EB40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Germany</w:t>
            </w:r>
          </w:p>
        </w:tc>
        <w:tc>
          <w:tcPr>
            <w:tcW w:w="864" w:type="dxa"/>
            <w:vAlign w:val="center"/>
          </w:tcPr>
          <w:p w14:paraId="69FDE149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4BB89ED0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116</w:t>
            </w:r>
          </w:p>
        </w:tc>
        <w:tc>
          <w:tcPr>
            <w:tcW w:w="1483" w:type="dxa"/>
            <w:vAlign w:val="center"/>
          </w:tcPr>
          <w:p w14:paraId="04B15D9E" w14:textId="10F47408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BPD</w:t>
            </w:r>
          </w:p>
        </w:tc>
        <w:tc>
          <w:tcPr>
            <w:tcW w:w="1134" w:type="dxa"/>
            <w:vAlign w:val="center"/>
          </w:tcPr>
          <w:p w14:paraId="236137E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63A9CFD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073" w:type="dxa"/>
            <w:vAlign w:val="center"/>
          </w:tcPr>
          <w:p w14:paraId="0498274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5C28A2E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1DFDF09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NA</w:t>
            </w:r>
          </w:p>
        </w:tc>
        <w:tc>
          <w:tcPr>
            <w:tcW w:w="1163" w:type="dxa"/>
            <w:vAlign w:val="center"/>
          </w:tcPr>
          <w:p w14:paraId="320318E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3BDE7C0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19.4</w:t>
            </w:r>
          </w:p>
        </w:tc>
      </w:tr>
      <w:tr w:rsidR="00A84764" w:rsidRPr="00B104C2" w14:paraId="282F4B4A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2436F67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19409898</w:t>
            </w:r>
          </w:p>
        </w:tc>
        <w:tc>
          <w:tcPr>
            <w:tcW w:w="930" w:type="dxa"/>
            <w:vAlign w:val="center"/>
          </w:tcPr>
          <w:p w14:paraId="6B9B23F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Mathurin</w:t>
            </w:r>
          </w:p>
        </w:tc>
        <w:tc>
          <w:tcPr>
            <w:tcW w:w="718" w:type="dxa"/>
            <w:vAlign w:val="center"/>
          </w:tcPr>
          <w:p w14:paraId="39BF1BD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2009</w:t>
            </w:r>
          </w:p>
        </w:tc>
        <w:tc>
          <w:tcPr>
            <w:tcW w:w="1076" w:type="dxa"/>
            <w:vAlign w:val="center"/>
          </w:tcPr>
          <w:p w14:paraId="739CA70D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France</w:t>
            </w:r>
          </w:p>
        </w:tc>
        <w:tc>
          <w:tcPr>
            <w:tcW w:w="864" w:type="dxa"/>
            <w:vAlign w:val="center"/>
          </w:tcPr>
          <w:p w14:paraId="5BC19FA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2E167BF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211</w:t>
            </w:r>
          </w:p>
        </w:tc>
        <w:tc>
          <w:tcPr>
            <w:tcW w:w="1483" w:type="dxa"/>
            <w:vAlign w:val="center"/>
          </w:tcPr>
          <w:p w14:paraId="2F9DC82F" w14:textId="1013A256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LAGB,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  <w:r w:rsidRPr="00B104C2">
              <w:rPr>
                <w:rFonts w:ascii="Book Antiqua" w:hAnsi="Book Antiqua"/>
                <w:lang w:val="en-US"/>
              </w:rPr>
              <w:t>BPD</w:t>
            </w:r>
          </w:p>
        </w:tc>
        <w:tc>
          <w:tcPr>
            <w:tcW w:w="1134" w:type="dxa"/>
            <w:vAlign w:val="center"/>
          </w:tcPr>
          <w:p w14:paraId="531581A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7B1C921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121CE70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163" w:type="dxa"/>
            <w:vAlign w:val="center"/>
          </w:tcPr>
          <w:p w14:paraId="79D6CDD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894" w:type="dxa"/>
            <w:vAlign w:val="center"/>
          </w:tcPr>
          <w:p w14:paraId="40A32E4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4F3277B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5E2763D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60</w:t>
            </w:r>
          </w:p>
        </w:tc>
      </w:tr>
      <w:tr w:rsidR="00A84764" w:rsidRPr="00B104C2" w14:paraId="16533687" w14:textId="77777777" w:rsidTr="00A84764">
        <w:trPr>
          <w:trHeight w:val="577"/>
        </w:trPr>
        <w:tc>
          <w:tcPr>
            <w:tcW w:w="1288" w:type="dxa"/>
            <w:vAlign w:val="center"/>
          </w:tcPr>
          <w:p w14:paraId="3968113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17376042</w:t>
            </w:r>
          </w:p>
        </w:tc>
        <w:tc>
          <w:tcPr>
            <w:tcW w:w="930" w:type="dxa"/>
            <w:vAlign w:val="center"/>
          </w:tcPr>
          <w:p w14:paraId="6869B28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B104C2">
              <w:rPr>
                <w:rFonts w:ascii="Book Antiqua" w:hAnsi="Book Antiqua"/>
                <w:lang w:val="en-US"/>
              </w:rPr>
              <w:t>Furuya</w:t>
            </w:r>
            <w:proofErr w:type="spellEnd"/>
          </w:p>
        </w:tc>
        <w:tc>
          <w:tcPr>
            <w:tcW w:w="718" w:type="dxa"/>
            <w:vAlign w:val="center"/>
          </w:tcPr>
          <w:p w14:paraId="39F240A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2007</w:t>
            </w:r>
          </w:p>
        </w:tc>
        <w:tc>
          <w:tcPr>
            <w:tcW w:w="1076" w:type="dxa"/>
            <w:vAlign w:val="center"/>
          </w:tcPr>
          <w:p w14:paraId="1DA62FB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Brazil</w:t>
            </w:r>
          </w:p>
        </w:tc>
        <w:tc>
          <w:tcPr>
            <w:tcW w:w="864" w:type="dxa"/>
            <w:vAlign w:val="center"/>
          </w:tcPr>
          <w:p w14:paraId="0B804C8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P</w:t>
            </w:r>
          </w:p>
        </w:tc>
        <w:tc>
          <w:tcPr>
            <w:tcW w:w="1063" w:type="dxa"/>
            <w:vAlign w:val="center"/>
          </w:tcPr>
          <w:p w14:paraId="5405A05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18</w:t>
            </w:r>
          </w:p>
        </w:tc>
        <w:tc>
          <w:tcPr>
            <w:tcW w:w="1483" w:type="dxa"/>
            <w:vAlign w:val="center"/>
          </w:tcPr>
          <w:p w14:paraId="76E5827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</w:p>
        </w:tc>
        <w:tc>
          <w:tcPr>
            <w:tcW w:w="1134" w:type="dxa"/>
            <w:vAlign w:val="center"/>
          </w:tcPr>
          <w:p w14:paraId="5DCA42E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3374882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1897446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E27611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47C52C2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723C1BB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06FF9712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24</w:t>
            </w:r>
          </w:p>
        </w:tc>
      </w:tr>
      <w:tr w:rsidR="00A84764" w:rsidRPr="00B104C2" w14:paraId="218B16D6" w14:textId="77777777" w:rsidTr="00A84764">
        <w:trPr>
          <w:trHeight w:val="273"/>
        </w:trPr>
        <w:tc>
          <w:tcPr>
            <w:tcW w:w="1288" w:type="dxa"/>
            <w:vAlign w:val="center"/>
          </w:tcPr>
          <w:p w14:paraId="115F9A3C" w14:textId="3F2E8CD0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16076987</w:t>
            </w:r>
            <w:r w:rsidR="00B104C2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14:paraId="1BACA45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Clark</w:t>
            </w:r>
          </w:p>
        </w:tc>
        <w:tc>
          <w:tcPr>
            <w:tcW w:w="718" w:type="dxa"/>
            <w:vAlign w:val="center"/>
          </w:tcPr>
          <w:p w14:paraId="4928C44A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2005</w:t>
            </w:r>
          </w:p>
        </w:tc>
        <w:tc>
          <w:tcPr>
            <w:tcW w:w="1076" w:type="dxa"/>
            <w:vAlign w:val="center"/>
          </w:tcPr>
          <w:p w14:paraId="3BFF374E" w14:textId="6FCE5D71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U</w:t>
            </w:r>
            <w:r w:rsidRPr="00B104C2">
              <w:rPr>
                <w:rFonts w:ascii="Book Antiqua" w:hAnsi="Book Antiqua"/>
                <w:lang w:val="en-US" w:eastAsia="zh-CN"/>
              </w:rPr>
              <w:t>nited</w:t>
            </w:r>
            <w:r w:rsidR="00B104C2">
              <w:rPr>
                <w:rFonts w:ascii="Book Antiqua" w:hAnsi="Book Antiqua"/>
                <w:lang w:val="en-US" w:eastAsia="zh-CN"/>
              </w:rPr>
              <w:t xml:space="preserve"> </w:t>
            </w:r>
            <w:r w:rsidRPr="00B104C2">
              <w:rPr>
                <w:rFonts w:ascii="Book Antiqua" w:hAnsi="Book Antiqua"/>
                <w:lang w:val="en-US" w:eastAsia="zh-CN"/>
              </w:rPr>
              <w:t>States</w:t>
            </w:r>
          </w:p>
        </w:tc>
        <w:tc>
          <w:tcPr>
            <w:tcW w:w="864" w:type="dxa"/>
            <w:vAlign w:val="center"/>
          </w:tcPr>
          <w:p w14:paraId="48F97EC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14:paraId="26828C04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16</w:t>
            </w:r>
          </w:p>
        </w:tc>
        <w:tc>
          <w:tcPr>
            <w:tcW w:w="1483" w:type="dxa"/>
            <w:vAlign w:val="center"/>
          </w:tcPr>
          <w:p w14:paraId="79422D7F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RYGB</w:t>
            </w:r>
          </w:p>
        </w:tc>
        <w:tc>
          <w:tcPr>
            <w:tcW w:w="1134" w:type="dxa"/>
            <w:vAlign w:val="center"/>
          </w:tcPr>
          <w:p w14:paraId="7AD85C3E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549" w:type="dxa"/>
            <w:vAlign w:val="center"/>
          </w:tcPr>
          <w:p w14:paraId="5957A125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073" w:type="dxa"/>
            <w:vAlign w:val="center"/>
          </w:tcPr>
          <w:p w14:paraId="11CDF491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252C1646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894" w:type="dxa"/>
            <w:vAlign w:val="center"/>
          </w:tcPr>
          <w:p w14:paraId="275F4CBB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noProof/>
                <w:lang w:val="en-US"/>
              </w:rPr>
              <w:t>Yes</w:t>
            </w:r>
          </w:p>
        </w:tc>
        <w:tc>
          <w:tcPr>
            <w:tcW w:w="1163" w:type="dxa"/>
            <w:vAlign w:val="center"/>
          </w:tcPr>
          <w:p w14:paraId="0E0F587C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B104C2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1252" w:type="dxa"/>
            <w:vAlign w:val="center"/>
          </w:tcPr>
          <w:p w14:paraId="7DC24983" w14:textId="77777777" w:rsidR="00A84764" w:rsidRPr="00B104C2" w:rsidRDefault="00A84764" w:rsidP="00B104C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B104C2">
              <w:rPr>
                <w:rFonts w:ascii="Book Antiqua" w:hAnsi="Book Antiqua"/>
              </w:rPr>
              <w:t>10.2</w:t>
            </w:r>
          </w:p>
        </w:tc>
      </w:tr>
    </w:tbl>
    <w:p w14:paraId="6FF7C71D" w14:textId="6A6A855F" w:rsidR="00A84764" w:rsidRPr="00B104C2" w:rsidRDefault="00A84764" w:rsidP="00B104C2">
      <w:pPr>
        <w:widowControl w:val="0"/>
        <w:spacing w:line="360" w:lineRule="auto"/>
        <w:jc w:val="both"/>
        <w:rPr>
          <w:rFonts w:ascii="Book Antiqua" w:hAnsi="Book Antiqua"/>
        </w:rPr>
      </w:pPr>
      <w:r w:rsidRPr="00B104C2">
        <w:rPr>
          <w:rFonts w:ascii="Book Antiqua" w:hAnsi="Book Antiqua"/>
          <w:vertAlign w:val="superscript"/>
          <w:lang w:eastAsia="zh-CN"/>
        </w:rPr>
        <w:t>1</w:t>
      </w:r>
      <w:r w:rsidRPr="00B104C2">
        <w:rPr>
          <w:rFonts w:ascii="Book Antiqua" w:hAnsi="Book Antiqua"/>
        </w:rPr>
        <w:t>Did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the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parameter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improve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after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the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bariatric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operation?</w:t>
      </w:r>
      <w:r w:rsidR="00B104C2">
        <w:rPr>
          <w:rFonts w:ascii="Book Antiqua" w:hAnsi="Book Antiqua"/>
          <w:lang w:eastAsia="zh-CN"/>
        </w:rPr>
        <w:t xml:space="preserve"> </w:t>
      </w:r>
      <w:r w:rsidRPr="00B104C2">
        <w:rPr>
          <w:rFonts w:ascii="Book Antiqua" w:hAnsi="Book Antiqua"/>
          <w:vertAlign w:val="superscript"/>
          <w:lang w:eastAsia="zh-CN"/>
        </w:rPr>
        <w:t>2</w:t>
      </w:r>
      <w:r w:rsidRPr="00B104C2">
        <w:rPr>
          <w:rFonts w:ascii="Book Antiqua" w:hAnsi="Book Antiqua"/>
        </w:rPr>
        <w:t>Did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any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patient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experience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worsening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in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any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of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the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parameters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after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the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bariatric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operation?</w:t>
      </w:r>
      <w:r w:rsidR="00B104C2">
        <w:rPr>
          <w:rFonts w:ascii="Book Antiqua" w:hAnsi="Book Antiqua"/>
          <w:lang w:eastAsia="zh-CN"/>
        </w:rPr>
        <w:t xml:space="preserve"> </w:t>
      </w:r>
      <w:r w:rsidRPr="00B104C2">
        <w:rPr>
          <w:rFonts w:ascii="Book Antiqua" w:hAnsi="Book Antiqua"/>
        </w:rPr>
        <w:t>BPD</w:t>
      </w:r>
      <w:r w:rsidRPr="00B104C2">
        <w:rPr>
          <w:rFonts w:ascii="Book Antiqua" w:hAnsi="Book Antiqua"/>
          <w:lang w:eastAsia="zh-CN"/>
        </w:rPr>
        <w:t>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Biliopancreatic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diversion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with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duodenal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switch;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IGB: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  <w:caps/>
        </w:rPr>
        <w:t>i</w:t>
      </w:r>
      <w:r w:rsidRPr="00B104C2">
        <w:rPr>
          <w:rFonts w:ascii="Book Antiqua" w:hAnsi="Book Antiqua"/>
        </w:rPr>
        <w:t>ntragastric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balloon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placement;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LAGB: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Laparoscopic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adjustable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gastric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banding;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NA: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  <w:caps/>
        </w:rPr>
        <w:t>n</w:t>
      </w:r>
      <w:r w:rsidRPr="00B104C2">
        <w:rPr>
          <w:rFonts w:ascii="Book Antiqua" w:hAnsi="Book Antiqua"/>
        </w:rPr>
        <w:t>ot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available;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OAGB:</w:t>
      </w:r>
      <w:r w:rsidR="00B104C2">
        <w:rPr>
          <w:rFonts w:ascii="Book Antiqua" w:hAnsi="Book Antiqua"/>
        </w:rPr>
        <w:t xml:space="preserve"> </w:t>
      </w:r>
      <w:r w:rsidR="00C60777">
        <w:rPr>
          <w:rFonts w:ascii="Book Antiqua" w:hAnsi="Book Antiqua"/>
        </w:rPr>
        <w:t>O</w:t>
      </w:r>
      <w:bookmarkStart w:id="14" w:name="_GoBack"/>
      <w:bookmarkEnd w:id="14"/>
      <w:r w:rsidRPr="00B104C2">
        <w:rPr>
          <w:rFonts w:ascii="Book Antiqua" w:hAnsi="Book Antiqua"/>
        </w:rPr>
        <w:t>ne-anastomosis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gastric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bypass;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P: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  <w:caps/>
        </w:rPr>
        <w:t>p</w:t>
      </w:r>
      <w:r w:rsidRPr="00B104C2">
        <w:rPr>
          <w:rFonts w:ascii="Book Antiqua" w:hAnsi="Book Antiqua"/>
        </w:rPr>
        <w:t>rospective;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R: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  <w:caps/>
        </w:rPr>
        <w:t>r</w:t>
      </w:r>
      <w:r w:rsidRPr="00B104C2">
        <w:rPr>
          <w:rFonts w:ascii="Book Antiqua" w:hAnsi="Book Antiqua"/>
        </w:rPr>
        <w:t>etrospective;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RYGB: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Roux-en-Y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gastric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bypass;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SG: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Sleeve</w:t>
      </w:r>
      <w:r w:rsidR="00B104C2">
        <w:rPr>
          <w:rFonts w:ascii="Book Antiqua" w:hAnsi="Book Antiqua"/>
        </w:rPr>
        <w:t xml:space="preserve"> </w:t>
      </w:r>
      <w:r w:rsidRPr="00B104C2">
        <w:rPr>
          <w:rFonts w:ascii="Book Antiqua" w:hAnsi="Book Antiqua"/>
        </w:rPr>
        <w:t>gastrectomy.</w:t>
      </w:r>
    </w:p>
    <w:p w14:paraId="0F9E864B" w14:textId="77777777" w:rsidR="00A84764" w:rsidRPr="00B104C2" w:rsidRDefault="00A84764" w:rsidP="00B104C2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84764" w:rsidRPr="00B104C2" w:rsidSect="00A84764">
      <w:pgSz w:w="15876" w:h="15842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EB51" w14:textId="77777777" w:rsidR="004A5758" w:rsidRDefault="004A5758" w:rsidP="002D7235">
      <w:r>
        <w:separator/>
      </w:r>
    </w:p>
  </w:endnote>
  <w:endnote w:type="continuationSeparator" w:id="0">
    <w:p w14:paraId="5025AD99" w14:textId="77777777" w:rsidR="004A5758" w:rsidRDefault="004A5758" w:rsidP="002D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0534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36ADD18" w14:textId="0D35D1CB" w:rsidR="00B104C2" w:rsidRDefault="00B104C2" w:rsidP="002D7235">
            <w:pPr>
              <w:pStyle w:val="Footer"/>
              <w:jc w:val="right"/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D7235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33</w:t>
            </w:r>
            <w:r w:rsidRPr="002D723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0AC34" w14:textId="77777777" w:rsidR="00B104C2" w:rsidRDefault="00B10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9A1C" w14:textId="77777777" w:rsidR="004A5758" w:rsidRDefault="004A5758" w:rsidP="002D7235">
      <w:r>
        <w:separator/>
      </w:r>
    </w:p>
  </w:footnote>
  <w:footnote w:type="continuationSeparator" w:id="0">
    <w:p w14:paraId="6A02C6C4" w14:textId="77777777" w:rsidR="004A5758" w:rsidRDefault="004A5758" w:rsidP="002D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5599"/>
    <w:rsid w:val="000676D0"/>
    <w:rsid w:val="00125B40"/>
    <w:rsid w:val="001A2D65"/>
    <w:rsid w:val="002D49FC"/>
    <w:rsid w:val="002D7235"/>
    <w:rsid w:val="002E7F33"/>
    <w:rsid w:val="003D57DC"/>
    <w:rsid w:val="004A5758"/>
    <w:rsid w:val="004E1BA8"/>
    <w:rsid w:val="00693836"/>
    <w:rsid w:val="007B1134"/>
    <w:rsid w:val="00832505"/>
    <w:rsid w:val="00922122"/>
    <w:rsid w:val="00A77B3E"/>
    <w:rsid w:val="00A84764"/>
    <w:rsid w:val="00B104C2"/>
    <w:rsid w:val="00BE50D4"/>
    <w:rsid w:val="00C50AA6"/>
    <w:rsid w:val="00C60777"/>
    <w:rsid w:val="00C86B12"/>
    <w:rsid w:val="00CA2A55"/>
    <w:rsid w:val="00CB4C21"/>
    <w:rsid w:val="00CC4151"/>
    <w:rsid w:val="00DA7520"/>
    <w:rsid w:val="00E12A49"/>
    <w:rsid w:val="00E371BF"/>
    <w:rsid w:val="00E641F1"/>
    <w:rsid w:val="00ED4900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780CD"/>
  <w15:docId w15:val="{88054AAA-8A51-6A42-90A9-63B1DDC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3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dentifier">
    <w:name w:val="identifier"/>
    <w:basedOn w:val="DefaultParagraphFont"/>
    <w:rsid w:val="00693836"/>
  </w:style>
  <w:style w:type="table" w:styleId="TableGrid">
    <w:name w:val="Table Grid"/>
    <w:basedOn w:val="TableNormal"/>
    <w:uiPriority w:val="39"/>
    <w:rsid w:val="00A84764"/>
    <w:rPr>
      <w:rFonts w:asciiTheme="minorHAnsi" w:hAnsiTheme="minorHAnsi" w:cstheme="minorBidi"/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D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D723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D72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D7235"/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C50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8765</Words>
  <Characters>49963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dimitrisg</dc:creator>
  <cp:lastModifiedBy>Na Ma</cp:lastModifiedBy>
  <cp:revision>2</cp:revision>
  <dcterms:created xsi:type="dcterms:W3CDTF">2020-09-01T19:48:00Z</dcterms:created>
  <dcterms:modified xsi:type="dcterms:W3CDTF">2020-09-01T19:48:00Z</dcterms:modified>
</cp:coreProperties>
</file>