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FD" w:rsidRPr="006F2809" w:rsidRDefault="00D55DFD" w:rsidP="004D1EA2">
      <w:pPr>
        <w:pStyle w:val="p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r w:rsidRPr="006F2809">
        <w:rPr>
          <w:rFonts w:ascii="Book Antiqua" w:hAnsi="Book Antiqua"/>
          <w:b/>
          <w:color w:val="0033CC"/>
          <w:sz w:val="24"/>
          <w:szCs w:val="24"/>
        </w:rPr>
        <w:t>Name of journal:</w:t>
      </w:r>
      <w:r w:rsidRPr="006F2809">
        <w:rPr>
          <w:rFonts w:ascii="Book Antiqua" w:hAnsi="Book Antiqua"/>
          <w:b/>
          <w:color w:val="000000"/>
          <w:sz w:val="24"/>
          <w:szCs w:val="24"/>
        </w:rPr>
        <w:t xml:space="preserve"> </w:t>
      </w:r>
      <w:bookmarkStart w:id="4" w:name="OLE_LINK718"/>
      <w:bookmarkStart w:id="5" w:name="OLE_LINK719"/>
      <w:r w:rsidRPr="006F2809">
        <w:rPr>
          <w:rFonts w:ascii="Book Antiqua" w:hAnsi="Book Antiqua"/>
          <w:i/>
          <w:color w:val="000000"/>
          <w:sz w:val="24"/>
          <w:szCs w:val="24"/>
        </w:rPr>
        <w:t>World Journal of Gastroenterology</w:t>
      </w:r>
      <w:bookmarkEnd w:id="4"/>
      <w:bookmarkEnd w:id="5"/>
    </w:p>
    <w:p w:rsidR="00D55DFD" w:rsidRPr="006F2809" w:rsidRDefault="00D55DFD" w:rsidP="004D1EA2">
      <w:pPr>
        <w:adjustRightInd w:val="0"/>
        <w:snapToGrid w:val="0"/>
        <w:spacing w:after="0" w:line="360" w:lineRule="auto"/>
        <w:jc w:val="both"/>
        <w:rPr>
          <w:rFonts w:ascii="Book Antiqua" w:hAnsi="Book Antiqua" w:cs="宋体"/>
          <w:b/>
          <w:i/>
          <w:color w:val="000000"/>
          <w:sz w:val="24"/>
          <w:szCs w:val="24"/>
          <w:lang w:eastAsia="zh-CN"/>
        </w:rPr>
      </w:pPr>
      <w:r w:rsidRPr="006F2809">
        <w:rPr>
          <w:rFonts w:ascii="Book Antiqua" w:hAnsi="Book Antiqua" w:cs="Arial"/>
          <w:b/>
          <w:color w:val="0033CC"/>
          <w:sz w:val="24"/>
          <w:szCs w:val="24"/>
        </w:rPr>
        <w:t>ESPS Manuscript NO:</w:t>
      </w:r>
      <w:r w:rsidRPr="006F2809">
        <w:rPr>
          <w:rFonts w:ascii="Book Antiqua" w:hAnsi="Book Antiqua" w:cs="Arial"/>
          <w:b/>
          <w:color w:val="222222"/>
          <w:sz w:val="24"/>
          <w:szCs w:val="24"/>
        </w:rPr>
        <w:t xml:space="preserve"> </w:t>
      </w:r>
      <w:r w:rsidRPr="006F2809">
        <w:rPr>
          <w:rFonts w:ascii="Book Antiqua" w:hAnsi="Book Antiqua" w:cs="Arial"/>
          <w:b/>
          <w:color w:val="222222"/>
          <w:sz w:val="24"/>
          <w:szCs w:val="24"/>
          <w:lang w:eastAsia="zh-CN"/>
        </w:rPr>
        <w:t>5753</w:t>
      </w:r>
    </w:p>
    <w:p w:rsidR="00D55DFD" w:rsidRPr="006F2809" w:rsidRDefault="00D55DFD" w:rsidP="004D1EA2">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6F2809">
        <w:rPr>
          <w:rFonts w:ascii="Book Antiqua" w:hAnsi="Book Antiqua"/>
          <w:b/>
          <w:color w:val="0033CC"/>
          <w:sz w:val="24"/>
          <w:szCs w:val="24"/>
        </w:rPr>
        <w:t>Columns:</w:t>
      </w:r>
      <w:r w:rsidRPr="006F2809">
        <w:rPr>
          <w:rFonts w:ascii="Book Antiqua" w:hAnsi="Book Antiqua"/>
          <w:b/>
          <w:color w:val="000000"/>
          <w:sz w:val="24"/>
          <w:szCs w:val="24"/>
        </w:rPr>
        <w:t xml:space="preserve"> TOPIC HIGHLIGHT</w:t>
      </w:r>
    </w:p>
    <w:p w:rsidR="00D55DFD" w:rsidRPr="006F2809" w:rsidRDefault="00D55DFD" w:rsidP="004D1EA2">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bookmarkEnd w:id="0"/>
    <w:bookmarkEnd w:id="1"/>
    <w:bookmarkEnd w:id="2"/>
    <w:bookmarkEnd w:id="3"/>
    <w:bookmarkEnd w:id="6"/>
    <w:bookmarkEnd w:id="7"/>
    <w:bookmarkEnd w:id="8"/>
    <w:bookmarkEnd w:id="9"/>
    <w:bookmarkEnd w:id="10"/>
    <w:bookmarkEnd w:id="11"/>
    <w:bookmarkEnd w:id="12"/>
    <w:bookmarkEnd w:id="13"/>
    <w:bookmarkEnd w:id="14"/>
    <w:p w:rsidR="00D55DFD" w:rsidRPr="006F2809" w:rsidRDefault="00D55DFD" w:rsidP="004D1EA2">
      <w:pPr>
        <w:snapToGrid w:val="0"/>
        <w:spacing w:after="0" w:line="360" w:lineRule="auto"/>
        <w:jc w:val="both"/>
        <w:rPr>
          <w:rFonts w:ascii="Book Antiqua" w:hAnsi="Book Antiqua"/>
          <w:sz w:val="24"/>
          <w:szCs w:val="24"/>
        </w:rPr>
      </w:pPr>
      <w:r w:rsidRPr="006F2809">
        <w:rPr>
          <w:rFonts w:ascii="Book Antiqua" w:hAnsi="Book Antiqua" w:cs="TwCenMT-Bold"/>
          <w:bCs/>
          <w:sz w:val="24"/>
          <w:szCs w:val="24"/>
        </w:rPr>
        <w:t>WJG 20th Anniversary Special Issues</w:t>
      </w:r>
      <w:r w:rsidRPr="006F2809">
        <w:rPr>
          <w:rFonts w:ascii="Book Antiqua" w:hAnsi="Book Antiqua"/>
          <w:sz w:val="24"/>
          <w:szCs w:val="24"/>
        </w:rPr>
        <w:t xml:space="preserve"> (</w:t>
      </w:r>
      <w:r w:rsidRPr="006F2809">
        <w:rPr>
          <w:rFonts w:ascii="Book Antiqua" w:hAnsi="Book Antiqua"/>
          <w:sz w:val="24"/>
          <w:szCs w:val="24"/>
          <w:lang w:eastAsia="zh-CN"/>
        </w:rPr>
        <w:t>5</w:t>
      </w:r>
      <w:r w:rsidRPr="006F2809">
        <w:rPr>
          <w:rFonts w:ascii="Book Antiqua" w:hAnsi="Book Antiqua"/>
          <w:sz w:val="24"/>
          <w:szCs w:val="24"/>
        </w:rPr>
        <w:t>):</w:t>
      </w:r>
      <w:r w:rsidRPr="006F2809">
        <w:rPr>
          <w:rFonts w:ascii="Book Antiqua" w:hAnsi="Book Antiqua"/>
          <w:color w:val="241F20"/>
          <w:sz w:val="24"/>
          <w:szCs w:val="24"/>
        </w:rPr>
        <w:t xml:space="preserve"> Colorectal cancer</w:t>
      </w:r>
    </w:p>
    <w:p w:rsidR="00D55DFD" w:rsidRDefault="00D55DFD" w:rsidP="004D1EA2">
      <w:pPr>
        <w:autoSpaceDE w:val="0"/>
        <w:autoSpaceDN w:val="0"/>
        <w:adjustRightInd w:val="0"/>
        <w:snapToGrid w:val="0"/>
        <w:spacing w:after="0" w:line="360" w:lineRule="auto"/>
        <w:jc w:val="both"/>
        <w:rPr>
          <w:rFonts w:ascii="Book Antiqua" w:hAnsi="Book Antiqua"/>
          <w:b/>
          <w:color w:val="241F20"/>
          <w:sz w:val="24"/>
          <w:szCs w:val="24"/>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eastAsia="zh-CN"/>
        </w:rPr>
      </w:pPr>
      <w:r w:rsidRPr="006F2809">
        <w:rPr>
          <w:rFonts w:ascii="Book Antiqua" w:hAnsi="Book Antiqua"/>
          <w:b/>
          <w:color w:val="241F20"/>
          <w:sz w:val="24"/>
          <w:szCs w:val="24"/>
        </w:rPr>
        <w:t xml:space="preserve">Telomeres, telomerase and colorectal cancer </w:t>
      </w:r>
    </w:p>
    <w:p w:rsidR="00D55DFD" w:rsidRPr="00F65571" w:rsidRDefault="00D55DFD" w:rsidP="004D1EA2">
      <w:pPr>
        <w:autoSpaceDE w:val="0"/>
        <w:autoSpaceDN w:val="0"/>
        <w:adjustRightInd w:val="0"/>
        <w:snapToGrid w:val="0"/>
        <w:spacing w:after="0" w:line="360" w:lineRule="auto"/>
        <w:jc w:val="both"/>
        <w:rPr>
          <w:rFonts w:ascii="Book Antiqua" w:hAnsi="Book Antiqua"/>
          <w:b/>
          <w:color w:val="241F20"/>
          <w:sz w:val="24"/>
          <w:szCs w:val="24"/>
          <w:lang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eastAsia="zh-CN"/>
        </w:rPr>
      </w:pPr>
      <w:r w:rsidRPr="006F2809">
        <w:rPr>
          <w:rFonts w:ascii="Book Antiqua" w:hAnsi="Book Antiqua"/>
          <w:color w:val="241F20"/>
          <w:sz w:val="24"/>
          <w:szCs w:val="24"/>
        </w:rPr>
        <w:t>Bertorelle</w:t>
      </w:r>
      <w:r w:rsidRPr="006F2809">
        <w:rPr>
          <w:rFonts w:ascii="Book Antiqua" w:hAnsi="Book Antiqua"/>
          <w:color w:val="241F20"/>
          <w:sz w:val="24"/>
          <w:szCs w:val="24"/>
          <w:lang w:eastAsia="zh-CN"/>
        </w:rPr>
        <w:t xml:space="preserve"> R</w:t>
      </w:r>
      <w:r w:rsidRPr="006F2809">
        <w:rPr>
          <w:rFonts w:ascii="Book Antiqua" w:hAnsi="Book Antiqua"/>
          <w:i/>
          <w:color w:val="241F20"/>
          <w:sz w:val="24"/>
          <w:szCs w:val="24"/>
          <w:lang w:eastAsia="zh-CN"/>
        </w:rPr>
        <w:t xml:space="preserve"> et al</w:t>
      </w:r>
      <w:r w:rsidRPr="006F2809">
        <w:rPr>
          <w:rFonts w:ascii="Book Antiqua" w:hAnsi="Book Antiqua"/>
          <w:color w:val="241F20"/>
          <w:sz w:val="24"/>
          <w:szCs w:val="24"/>
          <w:lang w:eastAsia="zh-CN"/>
        </w:rPr>
        <w:t>.</w:t>
      </w:r>
      <w:r w:rsidRPr="006F2809">
        <w:rPr>
          <w:rFonts w:ascii="Book Antiqua" w:hAnsi="Book Antiqua"/>
          <w:b/>
          <w:color w:val="241F20"/>
          <w:sz w:val="24"/>
          <w:szCs w:val="24"/>
        </w:rPr>
        <w:t xml:space="preserve"> </w:t>
      </w:r>
      <w:r w:rsidRPr="006F2809">
        <w:rPr>
          <w:rFonts w:ascii="Book Antiqua" w:hAnsi="Book Antiqua"/>
          <w:color w:val="241F20"/>
          <w:sz w:val="24"/>
          <w:szCs w:val="24"/>
        </w:rPr>
        <w:t xml:space="preserve">Telomeres, telomerase and colorectal cancer </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eastAsia="zh-CN"/>
        </w:rPr>
      </w:pPr>
      <w:r w:rsidRPr="006F2809">
        <w:rPr>
          <w:rFonts w:ascii="Book Antiqua" w:hAnsi="Book Antiqua"/>
          <w:color w:val="241F20"/>
          <w:sz w:val="24"/>
          <w:szCs w:val="24"/>
        </w:rPr>
        <w:t>Roberta Bertorelle, Enrica Rampazzo, Salvatore Pucciarelli, Donato Nitti,</w:t>
      </w:r>
      <w:r w:rsidRPr="006F2809">
        <w:rPr>
          <w:rFonts w:ascii="Book Antiqua" w:hAnsi="Book Antiqua"/>
          <w:color w:val="241F20"/>
          <w:sz w:val="24"/>
          <w:szCs w:val="24"/>
          <w:lang w:eastAsia="zh-CN"/>
        </w:rPr>
        <w:t xml:space="preserve"> </w:t>
      </w:r>
      <w:r w:rsidRPr="006F2809">
        <w:rPr>
          <w:rFonts w:ascii="Book Antiqua" w:hAnsi="Book Antiqua"/>
          <w:color w:val="241F20"/>
          <w:sz w:val="24"/>
          <w:szCs w:val="24"/>
        </w:rPr>
        <w:t>Anita De Rossi</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r w:rsidRPr="006F2809">
        <w:rPr>
          <w:rFonts w:ascii="Book Antiqua" w:hAnsi="Book Antiqua"/>
          <w:b/>
          <w:color w:val="241F20"/>
          <w:sz w:val="24"/>
          <w:szCs w:val="24"/>
        </w:rPr>
        <w:t>Roberta Bertorelle, Enrica Rampazzo, Anita De Rossi</w:t>
      </w:r>
      <w:r w:rsidRPr="006F2809">
        <w:rPr>
          <w:rFonts w:ascii="Book Antiqua" w:hAnsi="Book Antiqua"/>
          <w:b/>
          <w:color w:val="241F20"/>
          <w:sz w:val="24"/>
          <w:szCs w:val="24"/>
          <w:lang w:eastAsia="zh-CN"/>
        </w:rPr>
        <w:t>,</w:t>
      </w:r>
      <w:r w:rsidRPr="006F2809">
        <w:rPr>
          <w:rFonts w:ascii="Book Antiqua" w:hAnsi="Book Antiqua"/>
          <w:b/>
          <w:color w:val="241F20"/>
          <w:sz w:val="24"/>
          <w:szCs w:val="24"/>
        </w:rPr>
        <w:t xml:space="preserve"> </w:t>
      </w:r>
      <w:r w:rsidRPr="006F2809">
        <w:rPr>
          <w:rFonts w:ascii="Book Antiqua" w:hAnsi="Book Antiqua"/>
          <w:color w:val="241F20"/>
          <w:sz w:val="24"/>
          <w:szCs w:val="24"/>
          <w:lang w:val="en-US"/>
        </w:rPr>
        <w:t>Department of Surgery, Oncology and Gastroenterology, Section of Oncology and Immunology, University of Padova, IOV-IRCCS, 35128 Padova, Italy</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r w:rsidRPr="006F2809">
        <w:rPr>
          <w:rFonts w:ascii="Book Antiqua" w:hAnsi="Book Antiqua"/>
          <w:b/>
          <w:color w:val="241F20"/>
          <w:sz w:val="24"/>
          <w:szCs w:val="24"/>
        </w:rPr>
        <w:t>Salvatore Pucciarelli</w:t>
      </w:r>
      <w:r w:rsidRPr="006F2809">
        <w:rPr>
          <w:rFonts w:ascii="Book Antiqua" w:hAnsi="Book Antiqua"/>
          <w:b/>
          <w:color w:val="241F20"/>
          <w:sz w:val="24"/>
          <w:szCs w:val="24"/>
          <w:lang w:val="en-US" w:eastAsia="zh-CN"/>
        </w:rPr>
        <w:t xml:space="preserve">, </w:t>
      </w:r>
      <w:r w:rsidRPr="006F2809">
        <w:rPr>
          <w:rFonts w:ascii="Book Antiqua" w:hAnsi="Book Antiqua"/>
          <w:b/>
          <w:color w:val="241F20"/>
          <w:sz w:val="24"/>
          <w:szCs w:val="24"/>
        </w:rPr>
        <w:t>Donato Nitti,</w:t>
      </w:r>
      <w:r w:rsidRPr="006F2809">
        <w:rPr>
          <w:rFonts w:ascii="Book Antiqua" w:hAnsi="Book Antiqua"/>
          <w:b/>
          <w:color w:val="241F20"/>
          <w:sz w:val="24"/>
          <w:szCs w:val="24"/>
          <w:lang w:eastAsia="zh-CN"/>
        </w:rPr>
        <w:t xml:space="preserve"> </w:t>
      </w:r>
      <w:r w:rsidRPr="006F2809">
        <w:rPr>
          <w:rFonts w:ascii="Book Antiqua" w:hAnsi="Book Antiqua"/>
          <w:color w:val="241F20"/>
          <w:sz w:val="24"/>
          <w:szCs w:val="24"/>
          <w:lang w:val="en-US"/>
        </w:rPr>
        <w:t>Department of Surgery, Oncology and Gastroenterology, Section of Surgery, University of Padova</w:t>
      </w:r>
      <w:r w:rsidRPr="006F2809">
        <w:rPr>
          <w:rFonts w:ascii="Book Antiqua" w:hAnsi="Book Antiqua"/>
          <w:color w:val="241F20"/>
          <w:sz w:val="24"/>
          <w:szCs w:val="24"/>
          <w:lang w:val="en-US" w:eastAsia="zh-CN"/>
        </w:rPr>
        <w:t xml:space="preserve">, </w:t>
      </w:r>
      <w:r w:rsidRPr="006F2809">
        <w:rPr>
          <w:rFonts w:ascii="Book Antiqua" w:hAnsi="Book Antiqua"/>
          <w:color w:val="241F20"/>
          <w:sz w:val="24"/>
          <w:szCs w:val="24"/>
          <w:lang w:val="en-US"/>
        </w:rPr>
        <w:t>35128 Padova, Italy</w:t>
      </w: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r w:rsidRPr="006F2809">
        <w:rPr>
          <w:rFonts w:ascii="Book Antiqua" w:hAnsi="Book Antiqua"/>
          <w:b/>
          <w:color w:val="241F20"/>
          <w:sz w:val="24"/>
          <w:szCs w:val="24"/>
          <w:lang w:val="en-US"/>
        </w:rPr>
        <w:t>Author contributions:</w:t>
      </w:r>
      <w:r w:rsidRPr="006F2809">
        <w:rPr>
          <w:rFonts w:ascii="Book Antiqua" w:hAnsi="Book Antiqua"/>
          <w:color w:val="241F20"/>
          <w:sz w:val="24"/>
          <w:szCs w:val="24"/>
          <w:lang w:val="en-US"/>
        </w:rPr>
        <w:t xml:space="preserve"> De Rossi A designed the study</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All the authors reviewed the literature and analysed the data</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De Rossi A and Bertorelle R wrote the article. All authors reviewed and approved the final version of the article. </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sz w:val="24"/>
          <w:szCs w:val="24"/>
          <w:lang w:val="en-US" w:eastAsia="zh-CN"/>
        </w:rPr>
      </w:pPr>
      <w:r w:rsidRPr="006F2809">
        <w:rPr>
          <w:rFonts w:ascii="Book Antiqua" w:hAnsi="Book Antiqua"/>
          <w:b/>
          <w:color w:val="241F20"/>
          <w:sz w:val="24"/>
          <w:szCs w:val="24"/>
          <w:lang w:val="en-US"/>
        </w:rPr>
        <w:t>Supported by</w:t>
      </w:r>
      <w:r w:rsidRPr="006F2809">
        <w:rPr>
          <w:rFonts w:ascii="Book Antiqua" w:hAnsi="Book Antiqua"/>
          <w:color w:val="241F20"/>
          <w:sz w:val="24"/>
          <w:szCs w:val="24"/>
          <w:lang w:val="en-US"/>
        </w:rPr>
        <w:t xml:space="preserve"> A grant from Cariparo, Project "</w:t>
      </w:r>
      <w:r w:rsidRPr="006F2809">
        <w:rPr>
          <w:rFonts w:ascii="Book Antiqua" w:hAnsi="Book Antiqua"/>
          <w:sz w:val="24"/>
          <w:szCs w:val="24"/>
          <w:lang w:val="en-US"/>
        </w:rPr>
        <w:t>Tumour microenvironment and tumour spread in gastrointestinal cancers”, 2013/2014, N</w:t>
      </w:r>
      <w:r w:rsidRPr="006F2809">
        <w:rPr>
          <w:rFonts w:ascii="Book Antiqua" w:hAnsi="Book Antiqua"/>
          <w:sz w:val="24"/>
          <w:szCs w:val="24"/>
          <w:lang w:val="en-US" w:eastAsia="zh-CN"/>
        </w:rPr>
        <w:t>o</w:t>
      </w:r>
      <w:r w:rsidRPr="006F2809">
        <w:rPr>
          <w:rFonts w:ascii="Book Antiqua" w:hAnsi="Book Antiqua"/>
          <w:sz w:val="24"/>
          <w:szCs w:val="24"/>
          <w:lang w:val="en-US"/>
        </w:rPr>
        <w:t>. 6421</w:t>
      </w:r>
      <w:r w:rsidRPr="006F2809">
        <w:rPr>
          <w:rFonts w:ascii="Book Antiqua" w:hAnsi="Book Antiqua"/>
          <w:sz w:val="24"/>
          <w:szCs w:val="24"/>
          <w:lang w:val="en-US" w:eastAsia="zh-CN"/>
        </w:rPr>
        <w:t xml:space="preserve"> to</w:t>
      </w:r>
      <w:r w:rsidRPr="006F2809">
        <w:rPr>
          <w:rFonts w:ascii="Book Antiqua" w:hAnsi="Book Antiqua"/>
          <w:color w:val="241F20"/>
          <w:sz w:val="24"/>
          <w:szCs w:val="24"/>
        </w:rPr>
        <w:t xml:space="preserve"> Rampazzo</w:t>
      </w:r>
      <w:r w:rsidRPr="006F2809">
        <w:rPr>
          <w:rFonts w:ascii="Book Antiqua" w:hAnsi="Book Antiqua"/>
          <w:color w:val="241F20"/>
          <w:sz w:val="24"/>
          <w:szCs w:val="24"/>
          <w:lang w:eastAsia="zh-CN"/>
        </w:rPr>
        <w:t xml:space="preserve"> E</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bookmarkStart w:id="15" w:name="OLE_LINK703"/>
      <w:bookmarkStart w:id="16" w:name="OLE_LINK704"/>
      <w:bookmarkStart w:id="17" w:name="OLE_LINK706"/>
      <w:bookmarkStart w:id="18" w:name="OLE_LINK1358"/>
      <w:bookmarkStart w:id="19" w:name="OLE_LINK1625"/>
      <w:bookmarkStart w:id="20" w:name="OLE_LINK1626"/>
      <w:bookmarkStart w:id="21" w:name="OLE_LINK1528"/>
      <w:bookmarkStart w:id="22" w:name="OLE_LINK1529"/>
      <w:bookmarkStart w:id="23" w:name="OLE_LINK1521"/>
      <w:bookmarkStart w:id="24" w:name="OLE_LINK1522"/>
      <w:bookmarkStart w:id="25" w:name="OLE_LINK1898"/>
      <w:bookmarkStart w:id="26" w:name="OLE_LINK1900"/>
      <w:bookmarkStart w:id="27" w:name="OLE_LINK1981"/>
      <w:bookmarkStart w:id="28" w:name="OLE_LINK2645"/>
      <w:bookmarkStart w:id="29" w:name="OLE_LINK2646"/>
      <w:r w:rsidRPr="006F2809">
        <w:rPr>
          <w:rFonts w:ascii="Book Antiqua" w:hAnsi="Book Antiqua" w:cs="Gulim"/>
          <w:b/>
          <w:sz w:val="24"/>
          <w:szCs w:val="24"/>
        </w:rPr>
        <w:t>Correspondence to</w:t>
      </w:r>
      <w:r w:rsidRPr="006F2809">
        <w:rPr>
          <w:rFonts w:ascii="Book Antiqua" w:hAnsi="Book Antiqua" w:cs="Gulim"/>
          <w:b/>
          <w:bCs/>
          <w:sz w:val="24"/>
          <w:szCs w:val="24"/>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6F2809">
        <w:rPr>
          <w:rFonts w:ascii="Book Antiqua" w:hAnsi="Book Antiqua" w:cs="Gulim"/>
          <w:b/>
          <w:bCs/>
          <w:sz w:val="24"/>
          <w:szCs w:val="24"/>
          <w:lang w:eastAsia="zh-CN"/>
        </w:rPr>
        <w:t xml:space="preserve"> </w:t>
      </w:r>
      <w:r w:rsidRPr="006F2809">
        <w:rPr>
          <w:rFonts w:ascii="Book Antiqua" w:hAnsi="Book Antiqua"/>
          <w:b/>
          <w:color w:val="241F20"/>
          <w:sz w:val="24"/>
          <w:szCs w:val="24"/>
          <w:lang w:val="en-US"/>
        </w:rPr>
        <w:t>Anita De Rossi,</w:t>
      </w:r>
      <w:r w:rsidRPr="006F2809">
        <w:rPr>
          <w:rFonts w:ascii="Book Antiqua" w:hAnsi="Book Antiqua"/>
          <w:b/>
          <w:color w:val="241F20"/>
          <w:sz w:val="24"/>
          <w:szCs w:val="24"/>
          <w:lang w:val="en-US" w:eastAsia="zh-CN"/>
        </w:rPr>
        <w:t xml:space="preserve"> PhD,</w:t>
      </w:r>
      <w:r w:rsidRPr="006F2809">
        <w:rPr>
          <w:rFonts w:ascii="Book Antiqua" w:hAnsi="Book Antiqua"/>
          <w:b/>
          <w:color w:val="241F20"/>
          <w:sz w:val="24"/>
          <w:szCs w:val="24"/>
          <w:lang w:val="en-US"/>
        </w:rPr>
        <w:t xml:space="preserve"> </w:t>
      </w:r>
      <w:r w:rsidRPr="006F2809">
        <w:rPr>
          <w:rFonts w:ascii="Book Antiqua" w:hAnsi="Book Antiqua"/>
          <w:color w:val="241F20"/>
          <w:sz w:val="24"/>
          <w:szCs w:val="24"/>
          <w:lang w:val="en-US"/>
        </w:rPr>
        <w:t>Department of Surgery, Oncology and Gastroenterology, Section of Oncology and Immunology, University of Padova, IOV-IRCCS, Padova, Via Gattamelata 64, 35128 Padova, Italy. anita.derossi@unipd.it</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r w:rsidRPr="006F2809">
        <w:rPr>
          <w:rFonts w:ascii="Book Antiqua" w:hAnsi="Book Antiqua"/>
          <w:color w:val="241F20"/>
          <w:sz w:val="24"/>
          <w:szCs w:val="24"/>
          <w:lang w:val="en-US"/>
        </w:rPr>
        <w:t xml:space="preserve"> </w:t>
      </w:r>
    </w:p>
    <w:p w:rsidR="00D55DFD" w:rsidRPr="006F2809" w:rsidRDefault="00D55DFD" w:rsidP="004D1EA2">
      <w:pPr>
        <w:autoSpaceDE w:val="0"/>
        <w:autoSpaceDN w:val="0"/>
        <w:adjustRightInd w:val="0"/>
        <w:snapToGrid w:val="0"/>
        <w:spacing w:after="0" w:line="360" w:lineRule="auto"/>
        <w:rPr>
          <w:rFonts w:ascii="Book Antiqua" w:hAnsi="Book Antiqua"/>
          <w:color w:val="000000"/>
          <w:sz w:val="24"/>
          <w:szCs w:val="24"/>
        </w:rPr>
      </w:pPr>
      <w:bookmarkStart w:id="30" w:name="OLE_LINK65"/>
      <w:bookmarkStart w:id="31" w:name="OLE_LINK106"/>
      <w:bookmarkStart w:id="32" w:name="OLE_LINK331"/>
      <w:bookmarkStart w:id="33" w:name="OLE_LINK2444"/>
      <w:bookmarkStart w:id="34" w:name="OLE_LINK2772"/>
      <w:bookmarkStart w:id="35" w:name="OLE_LINK207"/>
      <w:bookmarkStart w:id="36" w:name="OLE_LINK208"/>
      <w:bookmarkStart w:id="37" w:name="OLE_LINK143"/>
      <w:bookmarkStart w:id="38" w:name="OLE_LINK429"/>
      <w:bookmarkStart w:id="39" w:name="OLE_LINK724"/>
      <w:bookmarkStart w:id="40" w:name="OLE_LINK601"/>
      <w:bookmarkStart w:id="41" w:name="OLE_LINK570"/>
      <w:bookmarkStart w:id="42" w:name="OLE_LINK788"/>
      <w:bookmarkStart w:id="43" w:name="OLE_LINK978"/>
      <w:bookmarkStart w:id="44" w:name="OLE_LINK503"/>
      <w:bookmarkStart w:id="45" w:name="OLE_LINK542"/>
      <w:bookmarkStart w:id="46" w:name="OLE_LINK636"/>
      <w:bookmarkStart w:id="47" w:name="OLE_LINK659"/>
      <w:bookmarkStart w:id="48" w:name="OLE_LINK567"/>
      <w:bookmarkStart w:id="49" w:name="OLE_LINK737"/>
      <w:bookmarkStart w:id="50" w:name="OLE_LINK786"/>
      <w:bookmarkStart w:id="51" w:name="OLE_LINK842"/>
      <w:bookmarkStart w:id="52" w:name="OLE_LINK858"/>
      <w:bookmarkStart w:id="53" w:name="OLE_LINK873"/>
      <w:bookmarkStart w:id="54" w:name="OLE_LINK924"/>
      <w:bookmarkStart w:id="55" w:name="OLE_LINK761"/>
      <w:bookmarkStart w:id="56" w:name="OLE_LINK848"/>
      <w:bookmarkStart w:id="57" w:name="OLE_LINK1020"/>
      <w:bookmarkStart w:id="58" w:name="OLE_LINK1066"/>
      <w:bookmarkStart w:id="59" w:name="OLE_LINK1085"/>
      <w:bookmarkStart w:id="60" w:name="OLE_LINK1115"/>
      <w:bookmarkStart w:id="61" w:name="OLE_LINK1162"/>
      <w:bookmarkStart w:id="62" w:name="OLE_LINK1243"/>
      <w:bookmarkStart w:id="63" w:name="OLE_LINK1264"/>
      <w:bookmarkStart w:id="64" w:name="OLE_LINK1283"/>
      <w:bookmarkStart w:id="65" w:name="OLE_LINK1311"/>
      <w:bookmarkStart w:id="66" w:name="OLE_LINK1360"/>
      <w:bookmarkStart w:id="67" w:name="OLE_LINK1383"/>
      <w:bookmarkStart w:id="68" w:name="OLE_LINK1430"/>
      <w:bookmarkStart w:id="69" w:name="OLE_LINK1453"/>
      <w:bookmarkStart w:id="70" w:name="OLE_LINK913"/>
      <w:bookmarkStart w:id="71" w:name="OLE_LINK1228"/>
      <w:bookmarkStart w:id="72" w:name="OLE_LINK1356"/>
      <w:bookmarkStart w:id="73" w:name="OLE_LINK1359"/>
      <w:bookmarkStart w:id="74" w:name="OLE_LINK1629"/>
      <w:bookmarkStart w:id="75" w:name="OLE_LINK1630"/>
      <w:bookmarkStart w:id="76" w:name="OLE_LINK1631"/>
      <w:bookmarkStart w:id="77" w:name="OLE_LINK1632"/>
      <w:bookmarkStart w:id="78" w:name="OLE_LINK1837"/>
      <w:bookmarkStart w:id="79" w:name="OLE_LINK1532"/>
      <w:bookmarkStart w:id="80" w:name="OLE_LINK1533"/>
      <w:bookmarkStart w:id="81" w:name="OLE_LINK1534"/>
      <w:bookmarkStart w:id="82" w:name="OLE_LINK1535"/>
      <w:bookmarkStart w:id="83" w:name="OLE_LINK1525"/>
      <w:bookmarkStart w:id="84" w:name="OLE_LINK1567"/>
      <w:bookmarkStart w:id="85" w:name="OLE_LINK1728"/>
      <w:bookmarkStart w:id="86" w:name="OLE_LINK1768"/>
      <w:bookmarkStart w:id="87" w:name="OLE_LINK1857"/>
      <w:bookmarkStart w:id="88" w:name="OLE_LINK1968"/>
      <w:bookmarkStart w:id="89" w:name="OLE_LINK1969"/>
      <w:bookmarkStart w:id="90" w:name="OLE_LINK1970"/>
      <w:bookmarkStart w:id="91" w:name="OLE_LINK1971"/>
      <w:bookmarkStart w:id="92" w:name="OLE_LINK1904"/>
      <w:bookmarkStart w:id="93" w:name="OLE_LINK1940"/>
      <w:bookmarkStart w:id="94" w:name="OLE_LINK1933"/>
      <w:bookmarkStart w:id="95" w:name="OLE_LINK1991"/>
      <w:bookmarkStart w:id="96" w:name="OLE_LINK2074"/>
      <w:bookmarkStart w:id="97" w:name="OLE_LINK1916"/>
      <w:bookmarkStart w:id="98" w:name="OLE_LINK1961"/>
      <w:bookmarkStart w:id="99" w:name="OLE_LINK2003"/>
      <w:bookmarkStart w:id="100" w:name="OLE_LINK2404"/>
      <w:bookmarkStart w:id="101" w:name="OLE_LINK2185"/>
      <w:bookmarkStart w:id="102" w:name="OLE_LINK2302"/>
      <w:bookmarkStart w:id="103" w:name="OLE_LINK2311"/>
      <w:bookmarkStart w:id="104" w:name="OLE_LINK2528"/>
      <w:bookmarkStart w:id="105" w:name="OLE_LINK2421"/>
      <w:bookmarkStart w:id="106" w:name="OLE_LINK2434"/>
      <w:bookmarkStart w:id="107" w:name="OLE_LINK2438"/>
      <w:bookmarkStart w:id="108" w:name="OLE_LINK2649"/>
      <w:bookmarkStart w:id="109" w:name="OLE_LINK3139"/>
      <w:bookmarkStart w:id="110" w:name="OLE_LINK2633"/>
      <w:bookmarkStart w:id="111" w:name="OLE_LINK2755"/>
      <w:bookmarkStart w:id="112" w:name="OLE_LINK2867"/>
      <w:bookmarkStart w:id="113" w:name="OLE_LINK23"/>
      <w:bookmarkStart w:id="114" w:name="OLE_LINK502"/>
      <w:r w:rsidRPr="006F2809">
        <w:rPr>
          <w:rFonts w:ascii="Book Antiqua" w:hAnsi="Book Antiqua"/>
          <w:b/>
          <w:bCs/>
          <w:color w:val="000000"/>
          <w:sz w:val="24"/>
          <w:szCs w:val="24"/>
        </w:rPr>
        <w:t xml:space="preserve">Telephone: </w:t>
      </w:r>
      <w:bookmarkStart w:id="115" w:name="OLE_LINK1415"/>
      <w:bookmarkStart w:id="116" w:name="OLE_LINK1416"/>
      <w:bookmarkStart w:id="117" w:name="OLE_LINK1417"/>
      <w:r w:rsidRPr="006F2809">
        <w:rPr>
          <w:rFonts w:ascii="Book Antiqua" w:hAnsi="Book Antiqua"/>
          <w:color w:val="000000"/>
          <w:sz w:val="24"/>
          <w:szCs w:val="24"/>
        </w:rPr>
        <w:t>+</w:t>
      </w:r>
      <w:bookmarkStart w:id="118" w:name="OLE_LINK42"/>
      <w:bookmarkStart w:id="119" w:name="OLE_LINK128"/>
      <w:bookmarkStart w:id="120" w:name="OLE_LINK951"/>
      <w:bookmarkStart w:id="121" w:name="OLE_LINK955"/>
      <w:bookmarkEnd w:id="115"/>
      <w:bookmarkEnd w:id="116"/>
      <w:bookmarkEnd w:id="117"/>
      <w:r w:rsidRPr="006F2809">
        <w:rPr>
          <w:rFonts w:ascii="Book Antiqua" w:hAnsi="Book Antiqua"/>
          <w:color w:val="000000"/>
          <w:sz w:val="24"/>
          <w:szCs w:val="24"/>
        </w:rPr>
        <w:t xml:space="preserve"> 39</w:t>
      </w:r>
      <w:r w:rsidRPr="006F2809">
        <w:rPr>
          <w:rFonts w:ascii="Book Antiqua" w:hAnsi="Book Antiqua"/>
          <w:color w:val="000000"/>
          <w:sz w:val="24"/>
          <w:szCs w:val="24"/>
          <w:lang w:eastAsia="zh-CN"/>
        </w:rPr>
        <w:t>-</w:t>
      </w:r>
      <w:r w:rsidRPr="006F2809">
        <w:rPr>
          <w:rFonts w:ascii="Book Antiqua" w:hAnsi="Book Antiqua"/>
          <w:color w:val="000000"/>
          <w:sz w:val="24"/>
          <w:szCs w:val="24"/>
        </w:rPr>
        <w:t>49</w:t>
      </w:r>
      <w:r w:rsidRPr="006F2809">
        <w:rPr>
          <w:rFonts w:ascii="Book Antiqua" w:hAnsi="Book Antiqua"/>
          <w:color w:val="000000"/>
          <w:sz w:val="24"/>
          <w:szCs w:val="24"/>
          <w:lang w:eastAsia="zh-CN"/>
        </w:rPr>
        <w:t>-</w:t>
      </w:r>
      <w:r w:rsidRPr="006F2809">
        <w:rPr>
          <w:rFonts w:ascii="Book Antiqua" w:hAnsi="Book Antiqua"/>
          <w:color w:val="000000"/>
          <w:sz w:val="24"/>
          <w:szCs w:val="24"/>
        </w:rPr>
        <w:t xml:space="preserve">8215894   </w:t>
      </w:r>
      <w:r w:rsidRPr="006F2809">
        <w:rPr>
          <w:rFonts w:ascii="Book Antiqua" w:hAnsi="Book Antiqua"/>
          <w:color w:val="000000"/>
          <w:sz w:val="24"/>
          <w:szCs w:val="24"/>
          <w:lang w:eastAsia="zh-CN"/>
        </w:rPr>
        <w:t xml:space="preserve">   </w:t>
      </w:r>
      <w:r w:rsidRPr="006F2809">
        <w:rPr>
          <w:rFonts w:ascii="Book Antiqua" w:hAnsi="Book Antiqua"/>
          <w:color w:val="000000"/>
          <w:sz w:val="24"/>
          <w:szCs w:val="24"/>
        </w:rPr>
        <w:t xml:space="preserve"> </w:t>
      </w:r>
      <w:r w:rsidRPr="006F2809">
        <w:rPr>
          <w:rFonts w:ascii="Book Antiqua" w:hAnsi="Book Antiqua"/>
          <w:b/>
          <w:bCs/>
          <w:color w:val="000000"/>
          <w:sz w:val="24"/>
          <w:szCs w:val="24"/>
        </w:rPr>
        <w:t xml:space="preserve"> </w:t>
      </w:r>
      <w:bookmarkStart w:id="122" w:name="OLE_LINK440"/>
      <w:r w:rsidRPr="006F2809">
        <w:rPr>
          <w:rFonts w:ascii="Book Antiqua" w:hAnsi="Book Antiqua"/>
          <w:b/>
          <w:bCs/>
          <w:color w:val="000000"/>
          <w:sz w:val="24"/>
          <w:szCs w:val="24"/>
          <w:lang w:eastAsia="zh-CN"/>
        </w:rPr>
        <w:t xml:space="preserve">      </w:t>
      </w:r>
      <w:r w:rsidRPr="006F2809">
        <w:rPr>
          <w:rFonts w:ascii="Book Antiqua" w:hAnsi="Book Antiqua"/>
          <w:b/>
          <w:bCs/>
          <w:color w:val="000000"/>
          <w:sz w:val="24"/>
          <w:szCs w:val="24"/>
        </w:rPr>
        <w:t>Fax:</w:t>
      </w:r>
      <w:r w:rsidRPr="006F2809">
        <w:rPr>
          <w:rFonts w:ascii="Book Antiqua" w:hAnsi="Book Antiqua"/>
          <w:color w:val="000000"/>
          <w:sz w:val="24"/>
          <w:szCs w:val="24"/>
        </w:rPr>
        <w:t xml:space="preserve"> +</w:t>
      </w:r>
      <w:bookmarkEnd w:id="30"/>
      <w:bookmarkEnd w:id="31"/>
      <w:bookmarkEnd w:id="118"/>
      <w:bookmarkEnd w:id="119"/>
      <w:bookmarkEnd w:id="122"/>
      <w:r w:rsidRPr="006F2809">
        <w:rPr>
          <w:rFonts w:ascii="Book Antiqua" w:hAnsi="Book Antiqua"/>
          <w:color w:val="000000"/>
          <w:sz w:val="24"/>
          <w:szCs w:val="24"/>
        </w:rPr>
        <w:t>39</w:t>
      </w:r>
      <w:r w:rsidRPr="006F2809">
        <w:rPr>
          <w:rFonts w:ascii="Book Antiqua" w:hAnsi="Book Antiqua"/>
          <w:color w:val="000000"/>
          <w:sz w:val="24"/>
          <w:szCs w:val="24"/>
          <w:lang w:eastAsia="zh-CN"/>
        </w:rPr>
        <w:t>-</w:t>
      </w:r>
      <w:r w:rsidRPr="006F2809">
        <w:rPr>
          <w:rFonts w:ascii="Book Antiqua" w:hAnsi="Book Antiqua"/>
          <w:color w:val="000000"/>
          <w:sz w:val="24"/>
          <w:szCs w:val="24"/>
        </w:rPr>
        <w:t>49</w:t>
      </w:r>
      <w:r w:rsidRPr="006F2809">
        <w:rPr>
          <w:rFonts w:ascii="Book Antiqua" w:hAnsi="Book Antiqua"/>
          <w:color w:val="000000"/>
          <w:sz w:val="24"/>
          <w:szCs w:val="24"/>
          <w:lang w:eastAsia="zh-CN"/>
        </w:rPr>
        <w:t>-</w:t>
      </w:r>
      <w:r w:rsidRPr="006F2809">
        <w:rPr>
          <w:rFonts w:ascii="Book Antiqua" w:hAnsi="Book Antiqua"/>
          <w:color w:val="000000"/>
          <w:sz w:val="24"/>
          <w:szCs w:val="24"/>
        </w:rPr>
        <w:t>8215894</w:t>
      </w:r>
    </w:p>
    <w:p w:rsidR="00D55DFD" w:rsidRPr="006F2809" w:rsidRDefault="00D55DFD" w:rsidP="004D1EA2">
      <w:pPr>
        <w:adjustRightInd w:val="0"/>
        <w:snapToGrid w:val="0"/>
        <w:spacing w:after="0" w:line="360" w:lineRule="auto"/>
        <w:rPr>
          <w:rFonts w:ascii="Book Antiqua" w:hAnsi="Book Antiqua"/>
          <w:sz w:val="24"/>
          <w:szCs w:val="24"/>
        </w:rPr>
      </w:pPr>
      <w:bookmarkStart w:id="123" w:name="OLE_LINK25"/>
      <w:bookmarkStart w:id="124" w:name="OLE_LINK26"/>
      <w:bookmarkStart w:id="125" w:name="OLE_LINK145"/>
      <w:bookmarkStart w:id="126" w:name="OLE_LINK215"/>
      <w:bookmarkStart w:id="127" w:name="OLE_LINK352"/>
      <w:bookmarkStart w:id="128" w:name="OLE_LINK364"/>
      <w:bookmarkStart w:id="129" w:name="OLE_LINK383"/>
      <w:bookmarkStart w:id="130" w:name="OLE_LINK361"/>
      <w:bookmarkStart w:id="131" w:name="OLE_LINK444"/>
      <w:bookmarkStart w:id="132" w:name="OLE_LINK501"/>
      <w:bookmarkStart w:id="133" w:name="OLE_LINK572"/>
      <w:bookmarkStart w:id="134" w:name="OLE_LINK573"/>
      <w:bookmarkStart w:id="135" w:name="OLE_LINK756"/>
      <w:bookmarkStart w:id="136" w:name="OLE_LINK757"/>
      <w:bookmarkStart w:id="137" w:name="OLE_LINK805"/>
      <w:bookmarkStart w:id="138" w:name="OLE_LINK806"/>
      <w:bookmarkStart w:id="139" w:name="OLE_LINK958"/>
      <w:bookmarkStart w:id="140" w:name="OLE_LINK1018"/>
      <w:bookmarkStart w:id="141" w:name="OLE_LINK1059"/>
      <w:bookmarkStart w:id="142" w:name="OLE_LINK1122"/>
      <w:bookmarkStart w:id="143" w:name="OLE_LINK1123"/>
      <w:bookmarkStart w:id="144" w:name="OLE_LINK1402"/>
      <w:bookmarkStart w:id="145" w:name="OLE_LINK1750"/>
      <w:bookmarkStart w:id="146" w:name="OLE_LINK1751"/>
      <w:bookmarkStart w:id="147" w:name="OLE_LINK1832"/>
      <w:bookmarkStart w:id="148" w:name="OLE_LINK1878"/>
      <w:bookmarkStart w:id="149" w:name="OLE_LINK1917"/>
      <w:bookmarkStart w:id="150" w:name="OLE_LINK1918"/>
      <w:bookmarkStart w:id="151" w:name="OLE_LINK1985"/>
      <w:bookmarkStart w:id="152" w:name="OLE_LINK1986"/>
      <w:bookmarkStart w:id="153" w:name="OLE_LINK1927"/>
      <w:bookmarkStart w:id="154" w:name="OLE_LINK1928"/>
      <w:bookmarkStart w:id="155" w:name="OLE_LINK2044"/>
      <w:bookmarkStart w:id="156" w:name="OLE_LINK2352"/>
      <w:bookmarkStart w:id="157" w:name="OLE_LINK2220"/>
      <w:bookmarkStart w:id="158" w:name="OLE_LINK2344"/>
      <w:bookmarkStart w:id="159" w:name="OLE_LINK2347"/>
      <w:bookmarkStart w:id="160" w:name="OLE_LINK2626"/>
      <w:bookmarkStart w:id="161" w:name="OLE_LINK2390"/>
      <w:bookmarkStart w:id="162" w:name="OLE_LINK2752"/>
      <w:bookmarkStart w:id="163" w:name="OLE_LINK2753"/>
      <w:bookmarkStart w:id="164" w:name="OLE_LINK2855"/>
      <w:bookmarkStart w:id="165" w:name="OLE_LINK2992"/>
      <w:bookmarkStart w:id="166" w:name="OLE_LINK3241"/>
      <w:bookmarkStart w:id="167" w:name="OLE_LINK2682"/>
      <w:bookmarkEnd w:id="32"/>
      <w:bookmarkEnd w:id="33"/>
      <w:bookmarkEnd w:id="34"/>
      <w:r w:rsidRPr="006F2809">
        <w:rPr>
          <w:rFonts w:ascii="Book Antiqua" w:hAnsi="Book Antiqua"/>
          <w:b/>
          <w:sz w:val="24"/>
          <w:szCs w:val="24"/>
        </w:rPr>
        <w:t xml:space="preserve">Received: </w:t>
      </w:r>
      <w:r w:rsidRPr="006F2809">
        <w:rPr>
          <w:rFonts w:ascii="Book Antiqua" w:hAnsi="Book Antiqua"/>
          <w:sz w:val="24"/>
          <w:szCs w:val="24"/>
          <w:lang w:eastAsia="zh-CN"/>
        </w:rPr>
        <w:t>September 24, 2013</w:t>
      </w:r>
      <w:r w:rsidRPr="006F2809">
        <w:rPr>
          <w:rFonts w:ascii="Book Antiqua" w:hAnsi="Book Antiqua"/>
          <w:sz w:val="24"/>
          <w:szCs w:val="24"/>
        </w:rPr>
        <w:t xml:space="preserve"> </w:t>
      </w:r>
      <w:r w:rsidRPr="006F2809">
        <w:rPr>
          <w:rFonts w:ascii="Book Antiqua" w:hAnsi="Book Antiqua"/>
          <w:sz w:val="24"/>
          <w:szCs w:val="24"/>
          <w:lang w:eastAsia="zh-CN"/>
        </w:rPr>
        <w:t xml:space="preserve">  </w:t>
      </w:r>
      <w:r w:rsidRPr="006F2809">
        <w:rPr>
          <w:rFonts w:ascii="Book Antiqua" w:hAnsi="Book Antiqua"/>
          <w:b/>
          <w:sz w:val="24"/>
          <w:szCs w:val="24"/>
          <w:lang w:eastAsia="zh-CN"/>
        </w:rPr>
        <w:t xml:space="preserve">     </w:t>
      </w:r>
      <w:r>
        <w:rPr>
          <w:rFonts w:ascii="Book Antiqua" w:hAnsi="Book Antiqua"/>
          <w:b/>
          <w:sz w:val="24"/>
          <w:szCs w:val="24"/>
          <w:lang w:eastAsia="zh-CN"/>
        </w:rPr>
        <w:t xml:space="preserve">   </w:t>
      </w:r>
      <w:r w:rsidRPr="006F2809">
        <w:rPr>
          <w:rFonts w:ascii="Book Antiqua" w:hAnsi="Book Antiqua"/>
          <w:b/>
          <w:sz w:val="24"/>
          <w:szCs w:val="24"/>
        </w:rPr>
        <w:t xml:space="preserve">Revised: </w:t>
      </w:r>
      <w:bookmarkEnd w:id="123"/>
      <w:bookmarkEnd w:id="124"/>
      <w:r w:rsidRPr="006F2809">
        <w:rPr>
          <w:rFonts w:ascii="Book Antiqua" w:hAnsi="Book Antiqua"/>
          <w:sz w:val="24"/>
          <w:szCs w:val="24"/>
          <w:lang w:eastAsia="zh-CN"/>
        </w:rPr>
        <w:t>December 3, 2013</w:t>
      </w:r>
      <w:r w:rsidRPr="006F2809">
        <w:rPr>
          <w:rFonts w:ascii="Book Antiqua" w:hAnsi="Book Antiqua"/>
          <w:sz w:val="24"/>
          <w:szCs w:val="24"/>
        </w:rPr>
        <w:t xml:space="preserve"> </w:t>
      </w:r>
      <w:bookmarkStart w:id="168" w:name="OLE_LINK103"/>
      <w:bookmarkStart w:id="169" w:name="OLE_LINK104"/>
      <w:bookmarkStart w:id="170" w:name="OLE_LINK69"/>
      <w:bookmarkStart w:id="171" w:name="OLE_LINK70"/>
    </w:p>
    <w:p w:rsidR="008D2856" w:rsidRPr="0064057D" w:rsidRDefault="00D55DFD" w:rsidP="008D2856">
      <w:pPr>
        <w:rPr>
          <w:rFonts w:ascii="Book Antiqua" w:hAnsi="Book Antiqua"/>
          <w:sz w:val="24"/>
          <w:szCs w:val="24"/>
        </w:rPr>
      </w:pPr>
      <w:bookmarkStart w:id="172" w:name="OLE_LINK303"/>
      <w:bookmarkStart w:id="173" w:name="OLE_LINK304"/>
      <w:bookmarkStart w:id="174" w:name="OLE_LINK1382"/>
      <w:bookmarkStart w:id="175" w:name="OLE_LINK2188"/>
      <w:bookmarkStart w:id="176" w:name="OLE_LINK2189"/>
      <w:bookmarkStart w:id="177" w:name="OLE_LINK2615"/>
      <w:r w:rsidRPr="006F2809">
        <w:rPr>
          <w:rFonts w:ascii="Book Antiqua" w:hAnsi="Book Antiqua"/>
          <w:b/>
          <w:sz w:val="24"/>
          <w:szCs w:val="24"/>
        </w:rPr>
        <w:lastRenderedPageBreak/>
        <w:t>Accepted:</w:t>
      </w:r>
      <w:r w:rsidR="008D2856" w:rsidRPr="008D2856">
        <w:rPr>
          <w:rFonts w:ascii="Book Antiqua" w:hAnsi="Book Antiqua"/>
          <w:sz w:val="24"/>
          <w:szCs w:val="24"/>
        </w:rPr>
        <w:t xml:space="preserve"> </w:t>
      </w:r>
      <w:r w:rsidR="008D2856" w:rsidRPr="0064057D">
        <w:rPr>
          <w:rFonts w:ascii="Book Antiqua" w:hAnsi="Book Antiqua"/>
          <w:sz w:val="24"/>
          <w:szCs w:val="24"/>
        </w:rPr>
        <w:t>January 14, 2014</w:t>
      </w:r>
    </w:p>
    <w:p w:rsidR="00D55DFD" w:rsidRPr="006F2809" w:rsidRDefault="00D55DFD" w:rsidP="004D1EA2">
      <w:pPr>
        <w:adjustRightInd w:val="0"/>
        <w:snapToGrid w:val="0"/>
        <w:spacing w:after="0" w:line="360" w:lineRule="auto"/>
        <w:rPr>
          <w:rFonts w:ascii="Book Antiqua" w:hAnsi="Book Antiqua"/>
          <w:b/>
          <w:sz w:val="24"/>
          <w:szCs w:val="24"/>
        </w:rPr>
      </w:pPr>
      <w:bookmarkStart w:id="178" w:name="_GoBack"/>
      <w:bookmarkEnd w:id="178"/>
      <w:r w:rsidRPr="006F2809">
        <w:rPr>
          <w:rFonts w:ascii="Book Antiqua" w:hAnsi="Book Antiqua"/>
          <w:b/>
          <w:sz w:val="24"/>
          <w:szCs w:val="24"/>
        </w:rPr>
        <w:t xml:space="preserve">  </w:t>
      </w:r>
    </w:p>
    <w:p w:rsidR="00D55DFD" w:rsidRPr="006F2809" w:rsidRDefault="00D55DFD" w:rsidP="004D1EA2">
      <w:pPr>
        <w:adjustRightInd w:val="0"/>
        <w:snapToGrid w:val="0"/>
        <w:spacing w:after="0" w:line="360" w:lineRule="auto"/>
        <w:rPr>
          <w:rFonts w:ascii="Book Antiqua" w:hAnsi="Book Antiqua"/>
          <w:b/>
          <w:sz w:val="24"/>
          <w:szCs w:val="24"/>
        </w:rPr>
      </w:pPr>
      <w:r w:rsidRPr="006F2809">
        <w:rPr>
          <w:rFonts w:ascii="Book Antiqua" w:hAnsi="Book Antiqua"/>
          <w:b/>
          <w:sz w:val="24"/>
          <w:szCs w:val="24"/>
        </w:rPr>
        <w:t xml:space="preserve">Published online: </w:t>
      </w:r>
      <w:bookmarkEnd w:id="168"/>
      <w:bookmarkEnd w:id="169"/>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0"/>
    <w:bookmarkEnd w:id="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70"/>
    <w:bookmarkEnd w:id="171"/>
    <w:bookmarkEnd w:id="172"/>
    <w:bookmarkEnd w:id="173"/>
    <w:bookmarkEnd w:id="174"/>
    <w:bookmarkEnd w:id="175"/>
    <w:bookmarkEnd w:id="176"/>
    <w:bookmarkEnd w:id="177"/>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r w:rsidRPr="006F2809">
        <w:rPr>
          <w:rFonts w:ascii="Book Antiqua" w:hAnsi="Book Antiqua"/>
          <w:b/>
          <w:color w:val="241F20"/>
          <w:sz w:val="24"/>
          <w:szCs w:val="24"/>
          <w:lang w:val="en-US"/>
        </w:rPr>
        <w:t>Abstract</w:t>
      </w: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r w:rsidRPr="006F2809">
        <w:rPr>
          <w:rFonts w:ascii="Book Antiqua" w:hAnsi="Book Antiqua"/>
          <w:sz w:val="24"/>
          <w:szCs w:val="24"/>
          <w:lang w:val="en-US"/>
        </w:rPr>
        <w:t>C</w:t>
      </w:r>
      <w:r w:rsidRPr="006F2809">
        <w:rPr>
          <w:rFonts w:ascii="Book Antiqua" w:hAnsi="Book Antiqua"/>
          <w:color w:val="241F20"/>
          <w:sz w:val="24"/>
          <w:szCs w:val="24"/>
          <w:lang w:val="en-US"/>
        </w:rPr>
        <w:t>olorectal cancer (CRC) is the third most common cancer worldwide and, despite improved treatments, is still an important cause of cancer-related deaths</w:t>
      </w:r>
      <w:r w:rsidRPr="006F2809">
        <w:rPr>
          <w:rFonts w:ascii="Book Antiqua" w:hAnsi="Book Antiqua"/>
          <w:sz w:val="24"/>
          <w:szCs w:val="24"/>
          <w:lang w:val="en-US"/>
        </w:rPr>
        <w:t>. CRC encompasses a complex of diseases arising from a multi-step process of genetic and epigenetic events. Besides heterogenei</w:t>
      </w:r>
      <w:r w:rsidRPr="006F2809">
        <w:rPr>
          <w:rFonts w:ascii="Book Antiqua" w:hAnsi="Book Antiqua"/>
          <w:b/>
          <w:sz w:val="24"/>
          <w:szCs w:val="24"/>
          <w:lang w:val="en-US"/>
        </w:rPr>
        <w:t>ty</w:t>
      </w:r>
      <w:r w:rsidRPr="006F2809">
        <w:rPr>
          <w:rFonts w:ascii="Book Antiqua" w:hAnsi="Book Antiqua"/>
          <w:sz w:val="24"/>
          <w:szCs w:val="24"/>
          <w:lang w:val="en-US"/>
        </w:rPr>
        <w:t xml:space="preserve"> in the molecular and biological features of CRC, chromosomal instability is </w:t>
      </w:r>
      <w:r w:rsidRPr="006F2809">
        <w:rPr>
          <w:rFonts w:ascii="Book Antiqua" w:eastAsia="Arial Unicode MS" w:hAnsi="Book Antiqua"/>
          <w:color w:val="2E2E2E"/>
          <w:sz w:val="24"/>
          <w:szCs w:val="24"/>
          <w:lang w:val="en-GB"/>
        </w:rPr>
        <w:t xml:space="preserve">a hallmark of cancer </w:t>
      </w:r>
      <w:r w:rsidRPr="006F2809">
        <w:rPr>
          <w:rFonts w:ascii="Book Antiqua" w:hAnsi="Book Antiqua"/>
          <w:sz w:val="24"/>
          <w:szCs w:val="24"/>
          <w:lang w:val="en-US"/>
        </w:rPr>
        <w:t xml:space="preserve">and cancer cells may also circumvent replicative senescence and acquire the ability to sustain unlimited proliferation. </w:t>
      </w:r>
      <w:r w:rsidRPr="006F2809">
        <w:rPr>
          <w:rFonts w:ascii="Book Antiqua" w:hAnsi="Book Antiqua"/>
          <w:iCs/>
          <w:sz w:val="24"/>
          <w:szCs w:val="24"/>
          <w:lang w:val="en-GB" w:eastAsia="it-IT"/>
        </w:rPr>
        <w:t>Telomere/telomerase interplay is an important mechanism involved in both genomic stability and cellular replicative potential, and its dysfunction plays a key role in the oncogenetic process. The e</w:t>
      </w:r>
      <w:r w:rsidRPr="006F2809">
        <w:rPr>
          <w:rFonts w:ascii="Book Antiqua" w:hAnsi="Book Antiqua"/>
          <w:sz w:val="24"/>
          <w:szCs w:val="24"/>
          <w:lang w:val="en-US"/>
        </w:rPr>
        <w:t xml:space="preserve">rosion of telomeres, mainly because of cell proliferation, may be accelerated by specific alterations in the genes involved in CRC, such as </w:t>
      </w:r>
      <w:r w:rsidRPr="006F2809">
        <w:rPr>
          <w:rFonts w:ascii="Book Antiqua" w:hAnsi="Book Antiqua"/>
          <w:i/>
          <w:sz w:val="24"/>
          <w:szCs w:val="24"/>
          <w:lang w:val="en-US"/>
        </w:rPr>
        <w:t>APC</w:t>
      </w:r>
      <w:r w:rsidRPr="006F2809">
        <w:rPr>
          <w:rFonts w:ascii="Book Antiqua" w:hAnsi="Book Antiqua"/>
          <w:sz w:val="24"/>
          <w:szCs w:val="24"/>
          <w:lang w:val="en-US"/>
        </w:rPr>
        <w:t xml:space="preserve"> and </w:t>
      </w:r>
      <w:r w:rsidRPr="006F2809">
        <w:rPr>
          <w:rFonts w:ascii="Book Antiqua" w:hAnsi="Book Antiqua"/>
          <w:i/>
          <w:sz w:val="24"/>
          <w:szCs w:val="24"/>
          <w:lang w:val="en-US"/>
        </w:rPr>
        <w:t>MSH2</w:t>
      </w:r>
      <w:r w:rsidRPr="006F2809">
        <w:rPr>
          <w:rFonts w:ascii="Book Antiqua" w:hAnsi="Book Antiqua"/>
          <w:sz w:val="24"/>
          <w:szCs w:val="24"/>
          <w:lang w:val="en-US"/>
        </w:rPr>
        <w:t xml:space="preserve">. Although there is general agreement that the shortening of telomeres plays a role in the early steps of CRC carcinogenesis by promoting chromosomal instability, the prognostic role of telomere length in CRC is still under debate. The activation of telomerase reverse transcriptase (TERT), the catalytic component of the telomerase complex, </w:t>
      </w:r>
      <w:r w:rsidRPr="006F2809">
        <w:rPr>
          <w:rStyle w:val="hps"/>
          <w:rFonts w:ascii="Book Antiqua" w:hAnsi="Book Antiqua"/>
          <w:color w:val="222222"/>
          <w:sz w:val="24"/>
          <w:szCs w:val="24"/>
          <w:lang w:val="en-GB"/>
        </w:rPr>
        <w:t>allows</w:t>
      </w:r>
      <w:r w:rsidRPr="006F2809">
        <w:rPr>
          <w:rStyle w:val="longtext"/>
          <w:rFonts w:ascii="Book Antiqua" w:hAnsi="Book Antiqua"/>
          <w:color w:val="222222"/>
          <w:sz w:val="24"/>
          <w:szCs w:val="24"/>
          <w:lang w:val="en-GB"/>
        </w:rPr>
        <w:t xml:space="preserve"> </w:t>
      </w:r>
      <w:r w:rsidRPr="006F2809">
        <w:rPr>
          <w:rStyle w:val="hps"/>
          <w:rFonts w:ascii="Book Antiqua" w:hAnsi="Book Antiqua"/>
          <w:color w:val="222222"/>
          <w:sz w:val="24"/>
          <w:szCs w:val="24"/>
          <w:lang w:val="en-GB"/>
        </w:rPr>
        <w:t>cancer cells to</w:t>
      </w:r>
      <w:r w:rsidRPr="006F2809">
        <w:rPr>
          <w:rStyle w:val="longtext"/>
          <w:rFonts w:ascii="Book Antiqua" w:hAnsi="Book Antiqua"/>
          <w:color w:val="222222"/>
          <w:sz w:val="24"/>
          <w:szCs w:val="24"/>
          <w:lang w:val="en-GB"/>
        </w:rPr>
        <w:t xml:space="preserve"> </w:t>
      </w:r>
      <w:r w:rsidRPr="006F2809">
        <w:rPr>
          <w:rStyle w:val="hps"/>
          <w:rFonts w:ascii="Book Antiqua" w:hAnsi="Book Antiqua"/>
          <w:color w:val="222222"/>
          <w:sz w:val="24"/>
          <w:szCs w:val="24"/>
          <w:lang w:val="en-GB"/>
        </w:rPr>
        <w:t>grow</w:t>
      </w:r>
      <w:r w:rsidRPr="006F2809">
        <w:rPr>
          <w:rStyle w:val="longtext"/>
          <w:rFonts w:ascii="Book Antiqua" w:hAnsi="Book Antiqua"/>
          <w:color w:val="222222"/>
          <w:sz w:val="24"/>
          <w:szCs w:val="24"/>
          <w:lang w:val="en-GB"/>
        </w:rPr>
        <w:t xml:space="preserve"> </w:t>
      </w:r>
      <w:r w:rsidRPr="006F2809">
        <w:rPr>
          <w:rStyle w:val="hps"/>
          <w:rFonts w:ascii="Book Antiqua" w:hAnsi="Book Antiqua"/>
          <w:color w:val="222222"/>
          <w:sz w:val="24"/>
          <w:szCs w:val="24"/>
          <w:lang w:val="en-GB"/>
        </w:rPr>
        <w:t>indefinitely</w:t>
      </w:r>
      <w:r w:rsidRPr="006F2809">
        <w:rPr>
          <w:rFonts w:ascii="Book Antiqua" w:hAnsi="Book Antiqua"/>
          <w:sz w:val="24"/>
          <w:szCs w:val="24"/>
          <w:lang w:val="en-US"/>
        </w:rPr>
        <w:t xml:space="preserve"> by maintaining the length of the telomeres,</w:t>
      </w:r>
      <w:r w:rsidRPr="006F2809">
        <w:rPr>
          <w:rStyle w:val="longtext"/>
          <w:rFonts w:ascii="Book Antiqua" w:hAnsi="Book Antiqua"/>
          <w:color w:val="222222"/>
          <w:sz w:val="24"/>
          <w:szCs w:val="24"/>
          <w:lang w:val="en-GB"/>
        </w:rPr>
        <w:t xml:space="preserve"> </w:t>
      </w:r>
      <w:r w:rsidRPr="006F2809">
        <w:rPr>
          <w:rStyle w:val="hps"/>
          <w:rFonts w:ascii="Book Antiqua" w:hAnsi="Book Antiqua"/>
          <w:color w:val="222222"/>
          <w:sz w:val="24"/>
          <w:szCs w:val="24"/>
          <w:lang w:val="en-GB"/>
        </w:rPr>
        <w:t>thus favouring tumour formation/progression. Several studies indicate that TERT increases</w:t>
      </w:r>
      <w:r w:rsidRPr="006F2809">
        <w:rPr>
          <w:rFonts w:ascii="Book Antiqua" w:hAnsi="Book Antiqua"/>
          <w:sz w:val="24"/>
          <w:szCs w:val="24"/>
          <w:lang w:val="en-US"/>
        </w:rPr>
        <w:t xml:space="preserve"> with disease progression, and most studies suggest that telomerase is a useful prognostic factor. Plasma TERT m</w:t>
      </w:r>
      <w:r w:rsidRPr="006F2809">
        <w:rPr>
          <w:rFonts w:ascii="Book Antiqua" w:hAnsi="Book Antiqua"/>
          <w:sz w:val="24"/>
          <w:szCs w:val="24"/>
          <w:lang w:val="en-US" w:eastAsia="zh-CN"/>
        </w:rPr>
        <w:t>icro</w:t>
      </w:r>
      <w:r w:rsidRPr="006F2809">
        <w:rPr>
          <w:rFonts w:ascii="Book Antiqua" w:hAnsi="Book Antiqua"/>
          <w:sz w:val="24"/>
          <w:szCs w:val="24"/>
          <w:lang w:val="en-US"/>
        </w:rPr>
        <w:t xml:space="preserve">RNA may also be a promising marker for the minimally invasive monitoring of disease progression and response to therapy. </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p>
    <w:p w:rsidR="00D55DFD" w:rsidRPr="006F2809" w:rsidRDefault="00D55DFD" w:rsidP="004D1EA2">
      <w:pPr>
        <w:adjustRightInd w:val="0"/>
        <w:snapToGrid w:val="0"/>
        <w:spacing w:after="0" w:line="360" w:lineRule="auto"/>
        <w:rPr>
          <w:rFonts w:ascii="Book Antiqua" w:hAnsi="Book Antiqua"/>
          <w:sz w:val="24"/>
          <w:szCs w:val="24"/>
        </w:rPr>
      </w:pPr>
      <w:bookmarkStart w:id="179" w:name="OLE_LINK98"/>
      <w:bookmarkStart w:id="180" w:name="OLE_LINK156"/>
      <w:bookmarkStart w:id="181" w:name="OLE_LINK196"/>
      <w:bookmarkStart w:id="182" w:name="OLE_LINK217"/>
      <w:bookmarkStart w:id="183" w:name="OLE_LINK242"/>
      <w:bookmarkStart w:id="184" w:name="OLE_LINK247"/>
      <w:bookmarkStart w:id="185" w:name="OLE_LINK311"/>
      <w:bookmarkStart w:id="186" w:name="OLE_LINK312"/>
      <w:bookmarkStart w:id="187" w:name="OLE_LINK325"/>
      <w:bookmarkStart w:id="188" w:name="OLE_LINK330"/>
      <w:bookmarkStart w:id="189" w:name="OLE_LINK513"/>
      <w:bookmarkStart w:id="190" w:name="OLE_LINK514"/>
      <w:bookmarkStart w:id="191" w:name="OLE_LINK464"/>
      <w:bookmarkStart w:id="192" w:name="OLE_LINK465"/>
      <w:bookmarkStart w:id="193" w:name="OLE_LINK466"/>
      <w:bookmarkStart w:id="194" w:name="OLE_LINK470"/>
      <w:bookmarkStart w:id="195" w:name="OLE_LINK471"/>
      <w:bookmarkStart w:id="196" w:name="OLE_LINK472"/>
      <w:bookmarkStart w:id="197" w:name="OLE_LINK474"/>
      <w:bookmarkStart w:id="198" w:name="OLE_LINK512"/>
      <w:bookmarkStart w:id="199" w:name="OLE_LINK800"/>
      <w:bookmarkStart w:id="200" w:name="OLE_LINK982"/>
      <w:bookmarkStart w:id="201" w:name="OLE_LINK1027"/>
      <w:bookmarkStart w:id="202" w:name="OLE_LINK504"/>
      <w:bookmarkStart w:id="203" w:name="OLE_LINK546"/>
      <w:bookmarkStart w:id="204" w:name="OLE_LINK547"/>
      <w:bookmarkStart w:id="205" w:name="OLE_LINK575"/>
      <w:bookmarkStart w:id="206" w:name="OLE_LINK640"/>
      <w:bookmarkStart w:id="207" w:name="OLE_LINK672"/>
      <w:bookmarkStart w:id="208" w:name="OLE_LINK714"/>
      <w:bookmarkStart w:id="209" w:name="OLE_LINK651"/>
      <w:bookmarkStart w:id="210" w:name="OLE_LINK652"/>
      <w:bookmarkStart w:id="211" w:name="OLE_LINK744"/>
      <w:bookmarkStart w:id="212" w:name="OLE_LINK758"/>
      <w:bookmarkStart w:id="213" w:name="OLE_LINK787"/>
      <w:bookmarkStart w:id="214" w:name="OLE_LINK807"/>
      <w:bookmarkStart w:id="215" w:name="OLE_LINK820"/>
      <w:bookmarkStart w:id="216" w:name="OLE_LINK862"/>
      <w:bookmarkStart w:id="217" w:name="OLE_LINK879"/>
      <w:bookmarkStart w:id="218" w:name="OLE_LINK906"/>
      <w:bookmarkStart w:id="219" w:name="OLE_LINK928"/>
      <w:bookmarkStart w:id="220" w:name="OLE_LINK960"/>
      <w:bookmarkStart w:id="221" w:name="OLE_LINK861"/>
      <w:bookmarkStart w:id="222" w:name="OLE_LINK983"/>
      <w:bookmarkStart w:id="223" w:name="OLE_LINK1334"/>
      <w:bookmarkStart w:id="224" w:name="OLE_LINK1029"/>
      <w:bookmarkStart w:id="225" w:name="OLE_LINK1060"/>
      <w:bookmarkStart w:id="226" w:name="OLE_LINK1061"/>
      <w:bookmarkStart w:id="227" w:name="OLE_LINK1348"/>
      <w:bookmarkStart w:id="228" w:name="OLE_LINK1086"/>
      <w:bookmarkStart w:id="229" w:name="OLE_LINK1100"/>
      <w:bookmarkStart w:id="230" w:name="OLE_LINK1125"/>
      <w:bookmarkStart w:id="231" w:name="OLE_LINK1163"/>
      <w:bookmarkStart w:id="232" w:name="OLE_LINK1193"/>
      <w:bookmarkStart w:id="233" w:name="OLE_LINK1219"/>
      <w:bookmarkStart w:id="234" w:name="OLE_LINK1247"/>
      <w:bookmarkStart w:id="235" w:name="OLE_LINK1284"/>
      <w:bookmarkStart w:id="236" w:name="OLE_LINK1313"/>
      <w:bookmarkStart w:id="237" w:name="OLE_LINK1361"/>
      <w:bookmarkStart w:id="238" w:name="OLE_LINK1384"/>
      <w:bookmarkStart w:id="239" w:name="OLE_LINK1403"/>
      <w:bookmarkStart w:id="240" w:name="OLE_LINK1437"/>
      <w:bookmarkStart w:id="241" w:name="OLE_LINK1454"/>
      <w:bookmarkStart w:id="242" w:name="OLE_LINK1480"/>
      <w:bookmarkStart w:id="243" w:name="OLE_LINK1504"/>
      <w:bookmarkStart w:id="244" w:name="OLE_LINK1516"/>
      <w:bookmarkStart w:id="245" w:name="OLE_LINK135"/>
      <w:bookmarkStart w:id="246" w:name="OLE_LINK216"/>
      <w:bookmarkStart w:id="247" w:name="OLE_LINK259"/>
      <w:bookmarkStart w:id="248" w:name="OLE_LINK1186"/>
      <w:bookmarkStart w:id="249" w:name="OLE_LINK1265"/>
      <w:bookmarkStart w:id="250" w:name="OLE_LINK1373"/>
      <w:bookmarkStart w:id="251" w:name="OLE_LINK1478"/>
      <w:bookmarkStart w:id="252" w:name="OLE_LINK1644"/>
      <w:bookmarkStart w:id="253" w:name="OLE_LINK1884"/>
      <w:bookmarkStart w:id="254" w:name="OLE_LINK1885"/>
      <w:bookmarkStart w:id="255" w:name="OLE_LINK1538"/>
      <w:bookmarkStart w:id="256" w:name="OLE_LINK1539"/>
      <w:bookmarkStart w:id="257" w:name="OLE_LINK1543"/>
      <w:bookmarkStart w:id="258" w:name="OLE_LINK1549"/>
      <w:bookmarkStart w:id="259" w:name="OLE_LINK1778"/>
      <w:bookmarkStart w:id="260" w:name="OLE_LINK1756"/>
      <w:bookmarkStart w:id="261" w:name="OLE_LINK1776"/>
      <w:bookmarkStart w:id="262" w:name="OLE_LINK1777"/>
      <w:bookmarkStart w:id="263" w:name="OLE_LINK1868"/>
      <w:bookmarkStart w:id="264" w:name="OLE_LINK1744"/>
      <w:bookmarkStart w:id="265" w:name="OLE_LINK1817"/>
      <w:bookmarkStart w:id="266" w:name="OLE_LINK1835"/>
      <w:bookmarkStart w:id="267" w:name="OLE_LINK1866"/>
      <w:bookmarkStart w:id="268" w:name="OLE_LINK1882"/>
      <w:bookmarkStart w:id="269" w:name="OLE_LINK1901"/>
      <w:bookmarkStart w:id="270" w:name="OLE_LINK1902"/>
      <w:bookmarkStart w:id="271" w:name="OLE_LINK2013"/>
      <w:bookmarkStart w:id="272" w:name="OLE_LINK1894"/>
      <w:bookmarkStart w:id="273" w:name="OLE_LINK1929"/>
      <w:bookmarkStart w:id="274" w:name="OLE_LINK1941"/>
      <w:bookmarkStart w:id="275" w:name="OLE_LINK1995"/>
      <w:bookmarkStart w:id="276" w:name="OLE_LINK1938"/>
      <w:bookmarkStart w:id="277" w:name="OLE_LINK2081"/>
      <w:bookmarkStart w:id="278" w:name="OLE_LINK2082"/>
      <w:bookmarkStart w:id="279" w:name="OLE_LINK2292"/>
      <w:bookmarkStart w:id="280" w:name="OLE_LINK1931"/>
      <w:bookmarkStart w:id="281" w:name="OLE_LINK1964"/>
      <w:bookmarkStart w:id="282" w:name="OLE_LINK2020"/>
      <w:bookmarkStart w:id="283" w:name="OLE_LINK2071"/>
      <w:bookmarkStart w:id="284" w:name="OLE_LINK2134"/>
      <w:bookmarkStart w:id="285" w:name="OLE_LINK2265"/>
      <w:bookmarkStart w:id="286" w:name="OLE_LINK2562"/>
      <w:bookmarkStart w:id="287" w:name="OLE_LINK1923"/>
      <w:bookmarkStart w:id="288" w:name="OLE_LINK2192"/>
      <w:bookmarkStart w:id="289" w:name="OLE_LINK2110"/>
      <w:bookmarkStart w:id="290" w:name="OLE_LINK2445"/>
      <w:bookmarkStart w:id="291" w:name="OLE_LINK2446"/>
      <w:bookmarkStart w:id="292" w:name="OLE_LINK2169"/>
      <w:bookmarkStart w:id="293" w:name="OLE_LINK2190"/>
      <w:bookmarkStart w:id="294" w:name="OLE_LINK2331"/>
      <w:bookmarkStart w:id="295" w:name="OLE_LINK2345"/>
      <w:bookmarkStart w:id="296" w:name="OLE_LINK2467"/>
      <w:bookmarkStart w:id="297" w:name="OLE_LINK2484"/>
      <w:bookmarkStart w:id="298" w:name="OLE_LINK2157"/>
      <w:bookmarkStart w:id="299" w:name="OLE_LINK2221"/>
      <w:bookmarkStart w:id="300" w:name="OLE_LINK2252"/>
      <w:bookmarkStart w:id="301" w:name="OLE_LINK2348"/>
      <w:bookmarkStart w:id="302" w:name="OLE_LINK2451"/>
      <w:bookmarkStart w:id="303" w:name="OLE_LINK2627"/>
      <w:bookmarkStart w:id="304" w:name="OLE_LINK2482"/>
      <w:bookmarkStart w:id="305" w:name="OLE_LINK2663"/>
      <w:bookmarkStart w:id="306" w:name="OLE_LINK2761"/>
      <w:bookmarkStart w:id="307" w:name="OLE_LINK2856"/>
      <w:bookmarkStart w:id="308" w:name="OLE_LINK2993"/>
      <w:bookmarkStart w:id="309" w:name="OLE_LINK2643"/>
      <w:bookmarkStart w:id="310" w:name="OLE_LINK2583"/>
      <w:bookmarkStart w:id="311" w:name="OLE_LINK2762"/>
      <w:bookmarkStart w:id="312" w:name="OLE_LINK2962"/>
      <w:bookmarkStart w:id="313" w:name="OLE_LINK2582"/>
      <w:r w:rsidRPr="006F2809">
        <w:rPr>
          <w:rFonts w:ascii="Book Antiqua" w:hAnsi="Book Antiqua"/>
          <w:sz w:val="24"/>
          <w:szCs w:val="24"/>
        </w:rPr>
        <w:t xml:space="preserve">© 2014 Baishideng Publishing Group Co., Limited. All rights reserved.  </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r w:rsidRPr="006F2809">
        <w:rPr>
          <w:rFonts w:ascii="Book Antiqua" w:hAnsi="Book Antiqua"/>
          <w:b/>
          <w:color w:val="241F20"/>
          <w:sz w:val="24"/>
          <w:szCs w:val="24"/>
          <w:lang w:val="en-US"/>
        </w:rPr>
        <w:t>Key</w:t>
      </w:r>
      <w:r w:rsidRPr="006F2809">
        <w:rPr>
          <w:rFonts w:ascii="Book Antiqua" w:hAnsi="Book Antiqua"/>
          <w:b/>
          <w:color w:val="241F20"/>
          <w:sz w:val="24"/>
          <w:szCs w:val="24"/>
          <w:lang w:val="en-US" w:eastAsia="zh-CN"/>
        </w:rPr>
        <w:t xml:space="preserve"> </w:t>
      </w:r>
      <w:r w:rsidRPr="006F2809">
        <w:rPr>
          <w:rFonts w:ascii="Book Antiqua" w:hAnsi="Book Antiqua"/>
          <w:b/>
          <w:color w:val="241F20"/>
          <w:sz w:val="24"/>
          <w:szCs w:val="24"/>
          <w:lang w:val="en-US"/>
        </w:rPr>
        <w:t xml:space="preserve">words: </w:t>
      </w:r>
      <w:r w:rsidRPr="006F2809">
        <w:rPr>
          <w:rFonts w:ascii="Book Antiqua" w:hAnsi="Book Antiqua"/>
          <w:color w:val="241F20"/>
          <w:sz w:val="24"/>
          <w:szCs w:val="24"/>
          <w:lang w:val="en-US"/>
        </w:rPr>
        <w:t>Telomere</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Telomerase</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w:t>
      </w:r>
      <w:r w:rsidRPr="006F2809">
        <w:rPr>
          <w:rFonts w:ascii="Book Antiqua" w:hAnsi="Book Antiqua"/>
          <w:sz w:val="24"/>
          <w:szCs w:val="24"/>
          <w:lang w:val="en-US"/>
        </w:rPr>
        <w:t>Telomerase reverse transcriptase</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Colorectal cancer</w:t>
      </w:r>
      <w:r w:rsidRPr="006F2809">
        <w:rPr>
          <w:rFonts w:ascii="Book Antiqua" w:hAnsi="Book Antiqua"/>
          <w:color w:val="241F20"/>
          <w:sz w:val="24"/>
          <w:szCs w:val="24"/>
          <w:lang w:val="en-US" w:eastAsia="zh-CN"/>
        </w:rPr>
        <w:t>;</w:t>
      </w:r>
      <w:r w:rsidRPr="006F2809">
        <w:rPr>
          <w:rFonts w:ascii="Book Antiqua" w:hAnsi="Book Antiqua"/>
          <w:color w:val="241F20"/>
          <w:sz w:val="24"/>
          <w:szCs w:val="24"/>
          <w:lang w:val="en-US"/>
        </w:rPr>
        <w:t xml:space="preserve"> Prognostic marker</w:t>
      </w:r>
    </w:p>
    <w:p w:rsidR="00D55DFD" w:rsidRPr="006F2809" w:rsidRDefault="00D55DFD" w:rsidP="004D1EA2">
      <w:pPr>
        <w:autoSpaceDE w:val="0"/>
        <w:autoSpaceDN w:val="0"/>
        <w:adjustRightInd w:val="0"/>
        <w:snapToGrid w:val="0"/>
        <w:spacing w:after="0" w:line="360" w:lineRule="auto"/>
        <w:jc w:val="both"/>
        <w:rPr>
          <w:rFonts w:ascii="Book Antiqua" w:hAnsi="Book Antiqua"/>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b/>
          <w:sz w:val="24"/>
          <w:szCs w:val="24"/>
          <w:lang w:val="en-US" w:eastAsia="zh-CN"/>
        </w:rPr>
      </w:pPr>
      <w:r w:rsidRPr="006F2809">
        <w:rPr>
          <w:rFonts w:ascii="Book Antiqua" w:hAnsi="Book Antiqua"/>
          <w:b/>
          <w:sz w:val="24"/>
          <w:szCs w:val="24"/>
          <w:lang w:val="en-US"/>
        </w:rPr>
        <w:t>Core tip</w:t>
      </w:r>
      <w:r w:rsidRPr="006F2809">
        <w:rPr>
          <w:rFonts w:ascii="Book Antiqua" w:hAnsi="Book Antiqua"/>
          <w:b/>
          <w:sz w:val="24"/>
          <w:szCs w:val="24"/>
          <w:lang w:val="en-US" w:eastAsia="zh-CN"/>
        </w:rPr>
        <w:t xml:space="preserve">: </w:t>
      </w:r>
      <w:r w:rsidRPr="006F2809">
        <w:rPr>
          <w:rFonts w:ascii="Book Antiqua" w:hAnsi="Book Antiqua"/>
          <w:sz w:val="24"/>
          <w:szCs w:val="24"/>
          <w:lang w:val="en-GB" w:eastAsia="it-IT"/>
        </w:rPr>
        <w:t xml:space="preserve">Telomere/telomerase interplay is an important mechanism involved in both genomic stability and cellular replicative potential. Telomere </w:t>
      </w:r>
      <w:r w:rsidRPr="006F2809">
        <w:rPr>
          <w:rFonts w:ascii="Book Antiqua" w:hAnsi="Book Antiqua"/>
          <w:sz w:val="24"/>
          <w:szCs w:val="24"/>
          <w:lang w:val="en-US"/>
        </w:rPr>
        <w:t xml:space="preserve">shortening is an early event </w:t>
      </w:r>
      <w:r w:rsidRPr="006F2809">
        <w:rPr>
          <w:rFonts w:ascii="Book Antiqua" w:hAnsi="Book Antiqua"/>
          <w:sz w:val="24"/>
          <w:szCs w:val="24"/>
          <w:lang w:val="en-US"/>
        </w:rPr>
        <w:lastRenderedPageBreak/>
        <w:t>that contributes to genetic instability, which plays a key role in the early steps of carcinogenesis. The activation of telomerase, which preserves replicative potential by maintaining the length of telomeres, o</w:t>
      </w:r>
      <w:r w:rsidRPr="006F2809">
        <w:rPr>
          <w:rFonts w:ascii="Book Antiqua" w:eastAsia="AdvTimes" w:hAnsi="Book Antiqua"/>
          <w:sz w:val="24"/>
          <w:szCs w:val="24"/>
          <w:lang w:val="en-US" w:eastAsia="ja-JP"/>
        </w:rPr>
        <w:t xml:space="preserve">ccurs during the adenoma-carcinoma sequence and increases during tumour progression. While the prognostic value of telomere length is controversial, most studies agree that the level of telomerase in tumours represents a useful prognostic marker. Circulating </w:t>
      </w:r>
      <w:r w:rsidRPr="006F2809">
        <w:rPr>
          <w:rFonts w:ascii="Book Antiqua" w:hAnsi="Book Antiqua"/>
          <w:sz w:val="24"/>
          <w:szCs w:val="24"/>
          <w:lang w:val="en-US"/>
        </w:rPr>
        <w:t>telomerase reverse transcriptase</w:t>
      </w:r>
      <w:r w:rsidRPr="006F2809">
        <w:rPr>
          <w:rFonts w:ascii="Book Antiqua" w:eastAsia="AdvTimes" w:hAnsi="Book Antiqua"/>
          <w:sz w:val="24"/>
          <w:szCs w:val="24"/>
          <w:lang w:val="en-US" w:eastAsia="ja-JP"/>
        </w:rPr>
        <w:t xml:space="preserve"> is a promising marker for the minimally invasive monitoring of disease and response to therapy.</w:t>
      </w:r>
    </w:p>
    <w:p w:rsidR="00D55DFD" w:rsidRPr="006F2809" w:rsidRDefault="00D55DFD" w:rsidP="004D1EA2">
      <w:pPr>
        <w:autoSpaceDE w:val="0"/>
        <w:autoSpaceDN w:val="0"/>
        <w:adjustRightInd w:val="0"/>
        <w:snapToGrid w:val="0"/>
        <w:spacing w:after="0" w:line="360" w:lineRule="auto"/>
        <w:jc w:val="both"/>
        <w:rPr>
          <w:rFonts w:ascii="Book Antiqua" w:eastAsia="AdvTimes" w:hAnsi="Book Antiqua"/>
          <w:sz w:val="24"/>
          <w:szCs w:val="24"/>
          <w:lang w:val="en-US" w:eastAsia="ja-JP"/>
        </w:rPr>
      </w:pP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eastAsia="zh-CN"/>
        </w:rPr>
      </w:pPr>
      <w:r w:rsidRPr="006F2809">
        <w:rPr>
          <w:rFonts w:ascii="Book Antiqua" w:hAnsi="Book Antiqua"/>
          <w:color w:val="241F20"/>
          <w:sz w:val="24"/>
          <w:szCs w:val="24"/>
        </w:rPr>
        <w:t>Bertorelle</w:t>
      </w:r>
      <w:r w:rsidRPr="006F2809">
        <w:rPr>
          <w:rFonts w:ascii="Book Antiqua" w:hAnsi="Book Antiqua"/>
          <w:color w:val="241F20"/>
          <w:sz w:val="24"/>
          <w:szCs w:val="24"/>
          <w:lang w:eastAsia="zh-CN"/>
        </w:rPr>
        <w:t xml:space="preserve"> R</w:t>
      </w:r>
      <w:r w:rsidRPr="006F2809">
        <w:rPr>
          <w:rFonts w:ascii="Book Antiqua" w:hAnsi="Book Antiqua"/>
          <w:color w:val="241F20"/>
          <w:sz w:val="24"/>
          <w:szCs w:val="24"/>
        </w:rPr>
        <w:t>, Rampazzo</w:t>
      </w:r>
      <w:r w:rsidRPr="006F2809">
        <w:rPr>
          <w:rFonts w:ascii="Book Antiqua" w:hAnsi="Book Antiqua"/>
          <w:color w:val="241F20"/>
          <w:sz w:val="24"/>
          <w:szCs w:val="24"/>
          <w:lang w:eastAsia="zh-CN"/>
        </w:rPr>
        <w:t xml:space="preserve"> E</w:t>
      </w:r>
      <w:r w:rsidRPr="006F2809">
        <w:rPr>
          <w:rFonts w:ascii="Book Antiqua" w:hAnsi="Book Antiqua"/>
          <w:color w:val="241F20"/>
          <w:sz w:val="24"/>
          <w:szCs w:val="24"/>
        </w:rPr>
        <w:t>, Pucciarelli</w:t>
      </w:r>
      <w:r w:rsidRPr="006F2809">
        <w:rPr>
          <w:rFonts w:ascii="Book Antiqua" w:hAnsi="Book Antiqua"/>
          <w:color w:val="241F20"/>
          <w:sz w:val="24"/>
          <w:szCs w:val="24"/>
          <w:lang w:eastAsia="zh-CN"/>
        </w:rPr>
        <w:t xml:space="preserve"> S</w:t>
      </w:r>
      <w:r w:rsidRPr="006F2809">
        <w:rPr>
          <w:rFonts w:ascii="Book Antiqua" w:hAnsi="Book Antiqua"/>
          <w:color w:val="241F20"/>
          <w:sz w:val="24"/>
          <w:szCs w:val="24"/>
        </w:rPr>
        <w:t>, Nitti</w:t>
      </w:r>
      <w:r w:rsidRPr="006F2809">
        <w:rPr>
          <w:rFonts w:ascii="Book Antiqua" w:hAnsi="Book Antiqua"/>
          <w:color w:val="241F20"/>
          <w:sz w:val="24"/>
          <w:szCs w:val="24"/>
          <w:lang w:eastAsia="zh-CN"/>
        </w:rPr>
        <w:t xml:space="preserve"> D</w:t>
      </w:r>
      <w:r w:rsidRPr="006F2809">
        <w:rPr>
          <w:rFonts w:ascii="Book Antiqua" w:hAnsi="Book Antiqua"/>
          <w:color w:val="241F20"/>
          <w:sz w:val="24"/>
          <w:szCs w:val="24"/>
        </w:rPr>
        <w:t>,</w:t>
      </w:r>
      <w:r w:rsidRPr="006F2809">
        <w:rPr>
          <w:rFonts w:ascii="Book Antiqua" w:hAnsi="Book Antiqua"/>
          <w:color w:val="241F20"/>
          <w:sz w:val="24"/>
          <w:szCs w:val="24"/>
          <w:lang w:eastAsia="zh-CN"/>
        </w:rPr>
        <w:t xml:space="preserve"> </w:t>
      </w:r>
      <w:r w:rsidRPr="006F2809">
        <w:rPr>
          <w:rFonts w:ascii="Book Antiqua" w:hAnsi="Book Antiqua"/>
          <w:color w:val="241F20"/>
          <w:sz w:val="24"/>
          <w:szCs w:val="24"/>
        </w:rPr>
        <w:t>De Rossi</w:t>
      </w:r>
      <w:r w:rsidRPr="006F2809">
        <w:rPr>
          <w:rFonts w:ascii="Book Antiqua" w:hAnsi="Book Antiqua"/>
          <w:color w:val="241F20"/>
          <w:sz w:val="24"/>
          <w:szCs w:val="24"/>
          <w:lang w:eastAsia="zh-CN"/>
        </w:rPr>
        <w:t xml:space="preserve"> A. </w:t>
      </w:r>
      <w:r w:rsidRPr="006F2809">
        <w:rPr>
          <w:rFonts w:ascii="Book Antiqua" w:hAnsi="Book Antiqua"/>
          <w:color w:val="241F20"/>
          <w:sz w:val="24"/>
          <w:szCs w:val="24"/>
        </w:rPr>
        <w:t>Telomeres, telomerase and colorectal cancer</w:t>
      </w:r>
      <w:r w:rsidRPr="006F2809">
        <w:rPr>
          <w:rFonts w:ascii="Book Antiqua" w:hAnsi="Book Antiqua"/>
          <w:color w:val="241F20"/>
          <w:sz w:val="24"/>
          <w:szCs w:val="24"/>
          <w:lang w:eastAsia="zh-CN"/>
        </w:rPr>
        <w:t>.</w:t>
      </w:r>
      <w:bookmarkStart w:id="314" w:name="OLE_LINK335"/>
      <w:bookmarkStart w:id="315" w:name="OLE_LINK336"/>
      <w:bookmarkStart w:id="316" w:name="OLE_LINK87"/>
      <w:bookmarkStart w:id="317" w:name="OLE_LINK97"/>
      <w:bookmarkStart w:id="318" w:name="OLE_LINK1297"/>
      <w:bookmarkStart w:id="319" w:name="OLE_LINK1298"/>
      <w:bookmarkStart w:id="320" w:name="OLE_LINK1689"/>
      <w:bookmarkStart w:id="321" w:name="OLE_LINK144"/>
      <w:bookmarkStart w:id="322" w:name="OLE_LINK152"/>
      <w:bookmarkStart w:id="323" w:name="OLE_LINK163"/>
      <w:bookmarkStart w:id="324" w:name="OLE_LINK1895"/>
      <w:bookmarkStart w:id="325" w:name="OLE_LINK1897"/>
      <w:bookmarkStart w:id="326" w:name="OLE_LINK1937"/>
      <w:bookmarkStart w:id="327" w:name="OLE_LINK2087"/>
      <w:bookmarkStart w:id="328" w:name="OLE_LINK2088"/>
      <w:bookmarkStart w:id="329" w:name="OLE_LINK2569"/>
      <w:bookmarkStart w:id="330" w:name="OLE_LINK2570"/>
      <w:bookmarkStart w:id="331" w:name="OLE_LINK2127"/>
      <w:bookmarkStart w:id="332" w:name="OLE_LINK2128"/>
      <w:bookmarkStart w:id="333" w:name="OLE_LINK2200"/>
      <w:bookmarkStart w:id="334" w:name="OLE_LINK2113"/>
      <w:bookmarkStart w:id="335" w:name="OLE_LINK2391"/>
      <w:bookmarkStart w:id="336" w:name="OLE_LINK2392"/>
      <w:bookmarkStart w:id="337" w:name="OLE_LINK2499"/>
      <w:bookmarkStart w:id="338" w:name="OLE_LINK2782"/>
      <w:bookmarkStart w:id="339" w:name="OLE_LINK2783"/>
      <w:bookmarkStart w:id="340" w:name="OLE_LINK2667"/>
      <w:bookmarkStart w:id="341" w:name="OLE_LINK2668"/>
      <w:bookmarkStart w:id="342" w:name="OLE_LINK2766"/>
      <w:bookmarkStart w:id="343" w:name="OLE_LINK3008"/>
      <w:bookmarkStart w:id="344" w:name="OLE_LINK3156"/>
      <w:bookmarkStart w:id="345" w:name="OLE_LINK3303"/>
      <w:bookmarkStart w:id="346" w:name="OLE_LINK3304"/>
      <w:bookmarkStart w:id="347" w:name="OLE_LINK2689"/>
      <w:bookmarkStart w:id="348" w:name="OLE_LINK2588"/>
      <w:bookmarkStart w:id="349" w:name="OLE_LINK2769"/>
      <w:bookmarkStart w:id="350" w:name="OLE_LINK3019"/>
      <w:bookmarkStart w:id="351" w:name="OLE_LINK3020"/>
      <w:r w:rsidRPr="006F2809">
        <w:rPr>
          <w:rFonts w:ascii="Book Antiqua" w:hAnsi="Book Antiqua"/>
          <w:color w:val="241F20"/>
          <w:sz w:val="24"/>
          <w:szCs w:val="24"/>
          <w:lang w:eastAsia="zh-CN"/>
        </w:rPr>
        <w:t xml:space="preserve"> </w:t>
      </w:r>
      <w:r w:rsidRPr="006F2809">
        <w:rPr>
          <w:rFonts w:ascii="Book Antiqua" w:hAnsi="Book Antiqua"/>
          <w:i/>
          <w:sz w:val="24"/>
          <w:szCs w:val="24"/>
        </w:rPr>
        <w:t>World J Gastroenterol</w:t>
      </w:r>
      <w:r w:rsidRPr="006F2809">
        <w:rPr>
          <w:rFonts w:ascii="Book Antiqua" w:hAnsi="Book Antiqua"/>
          <w:sz w:val="24"/>
          <w:szCs w:val="24"/>
        </w:rPr>
        <w:t xml:space="preserve"> </w:t>
      </w:r>
      <w:bookmarkEnd w:id="314"/>
      <w:bookmarkEnd w:id="315"/>
      <w:r w:rsidRPr="006F2809">
        <w:rPr>
          <w:rFonts w:ascii="Book Antiqua" w:hAnsi="Book Antiqua"/>
          <w:sz w:val="24"/>
          <w:szCs w:val="24"/>
        </w:rPr>
        <w:t xml:space="preserve">2014;  </w:t>
      </w:r>
    </w:p>
    <w:p w:rsidR="00D55DFD" w:rsidRPr="006F2809" w:rsidRDefault="00D55DFD" w:rsidP="004D1EA2">
      <w:pPr>
        <w:pStyle w:val="p0"/>
        <w:adjustRightInd w:val="0"/>
        <w:snapToGrid w:val="0"/>
        <w:spacing w:line="360" w:lineRule="auto"/>
        <w:jc w:val="both"/>
        <w:rPr>
          <w:rFonts w:ascii="Book Antiqua" w:hAnsi="Book Antiqua"/>
          <w:sz w:val="24"/>
          <w:szCs w:val="24"/>
        </w:rPr>
      </w:pPr>
      <w:bookmarkStart w:id="352" w:name="OLE_LINK404"/>
      <w:bookmarkStart w:id="353" w:name="OLE_LINK405"/>
      <w:bookmarkStart w:id="354" w:name="OLE_LINK406"/>
      <w:bookmarkStart w:id="355" w:name="OLE_LINK407"/>
      <w:bookmarkStart w:id="356" w:name="OLE_LINK629"/>
      <w:bookmarkStart w:id="357" w:name="OLE_LINK630"/>
      <w:bookmarkStart w:id="358" w:name="OLE_LINK1908"/>
      <w:bookmarkStart w:id="359" w:name="OLE_LINK1864"/>
      <w:bookmarkStart w:id="360" w:name="OLE_LINK2809"/>
      <w:bookmarkStart w:id="361" w:name="OLE_LINK2930"/>
      <w:bookmarkStart w:id="362" w:name="OLE_LINK2296"/>
      <w:bookmarkStart w:id="363" w:name="OLE_LINK2297"/>
      <w:bookmarkStart w:id="364" w:name="OLE_LINK1016"/>
      <w:bookmarkStart w:id="365" w:name="OLE_LINK401"/>
      <w:bookmarkStart w:id="366" w:name="OLE_LINK402"/>
      <w:bookmarkStart w:id="367" w:name="OLE_LINK99"/>
      <w:bookmarkStart w:id="368" w:name="OLE_LINK100"/>
      <w:bookmarkStart w:id="369" w:name="OLE_LINK271"/>
      <w:bookmarkStart w:id="370" w:name="OLE_LINK272"/>
      <w:bookmarkStart w:id="371" w:name="OLE_LINK300"/>
      <w:bookmarkStart w:id="372" w:name="OLE_LINK302"/>
      <w:bookmarkStart w:id="373" w:name="OLE_LINK1824"/>
      <w:bookmarkStart w:id="374" w:name="OLE_LINK1825"/>
      <w:bookmarkStart w:id="375" w:name="OLE_LINK1945"/>
      <w:bookmarkStart w:id="376" w:name="OLE_LINK1826"/>
      <w:bookmarkStart w:id="377" w:name="OLE_LINK1921"/>
      <w:bookmarkStart w:id="378" w:name="OLE_LINK1912"/>
      <w:bookmarkStart w:id="379" w:name="OLE_LINK1974"/>
      <w:bookmarkStart w:id="380" w:name="OLE_LINK1975"/>
      <w:bookmarkStart w:id="381" w:name="OLE_LINK1946"/>
      <w:bookmarkStart w:id="382" w:name="OLE_LINK1998"/>
      <w:bookmarkStart w:id="383" w:name="OLE_LINK2000"/>
      <w:bookmarkStart w:id="384" w:name="OLE_LINK1944"/>
      <w:bookmarkStart w:id="385" w:name="OLE_LINK2001"/>
      <w:bookmarkStart w:id="386" w:name="OLE_LINK2307"/>
      <w:bookmarkStart w:id="387" w:name="OLE_LINK2453"/>
      <w:bookmarkStart w:id="388" w:name="OLE_LINK2454"/>
      <w:bookmarkStart w:id="389" w:name="OLE_LINK2228"/>
      <w:bookmarkStart w:id="390" w:name="OLE_LINK2346"/>
      <w:bookmarkStart w:id="391" w:name="OLE_LINK2389"/>
      <w:bookmarkStart w:id="392" w:name="OLE_LINK2550"/>
      <w:bookmarkStart w:id="393" w:name="OLE_LINK2551"/>
      <w:bookmarkStart w:id="394" w:name="OLE_LINK2394"/>
      <w:bookmarkStart w:id="395" w:name="OLE_LINK2860"/>
      <w:bookmarkStart w:id="396" w:name="OLE_LINK2644"/>
      <w:bookmarkStart w:id="397" w:name="OLE_LINK2879"/>
      <w:bookmarkStart w:id="398" w:name="OLE_LINK2880"/>
      <w:bookmarkStart w:id="399" w:name="OLE_LINK2966"/>
      <w:bookmarkStart w:id="400" w:name="OLE_LINK2967"/>
      <w:bookmarkStart w:id="401" w:name="OLE_LINK2589"/>
      <w:bookmarkStart w:id="402" w:name="OLE_LINK2590"/>
      <w:bookmarkStart w:id="403" w:name="OLE_LINK206"/>
      <w:bookmarkStart w:id="404" w:name="OLE_LINK449"/>
      <w:bookmarkStart w:id="405" w:name="OLE_LINK450"/>
      <w:bookmarkStart w:id="406" w:name="OLE_LINK456"/>
      <w:bookmarkStart w:id="407" w:name="OLE_LINK705"/>
      <w:bookmarkStart w:id="408" w:name="OLE_LINK522"/>
      <w:bookmarkStart w:id="409" w:name="OLE_LINK621"/>
      <w:bookmarkStart w:id="410" w:name="OLE_LINK1242"/>
      <w:bookmarkStart w:id="411" w:name="OLE_LINK1102"/>
      <w:bookmarkStart w:id="412" w:name="OLE_LINK1103"/>
      <w:bookmarkStart w:id="413" w:name="OLE_LINK1546"/>
      <w:bookmarkStart w:id="414" w:name="OLE_LINK2014"/>
      <w:bookmarkStart w:id="415" w:name="OLE_LINK2015"/>
      <w:bookmarkStart w:id="416" w:name="OLE_LINK2138"/>
      <w:bookmarkStart w:id="417" w:name="OLE_LINK2139"/>
      <w:bookmarkStart w:id="418" w:name="OLE_LINK2202"/>
      <w:bookmarkStart w:id="419" w:name="OLE_LINK2203"/>
      <w:bookmarkStart w:id="420" w:name="OLE_LINK2205"/>
      <w:bookmarkStart w:id="421" w:name="OLE_LINK2206"/>
      <w:bookmarkStart w:id="422" w:name="OLE_LINK2485"/>
      <w:bookmarkStart w:id="423" w:name="OLE_LINK2398"/>
      <w:bookmarkEnd w:id="316"/>
      <w:bookmarkEnd w:id="317"/>
      <w:bookmarkEnd w:id="318"/>
      <w:bookmarkEnd w:id="319"/>
      <w:bookmarkEnd w:id="320"/>
      <w:r w:rsidRPr="006F2809">
        <w:rPr>
          <w:rFonts w:ascii="Book Antiqua" w:hAnsi="Book Antiqua"/>
          <w:b/>
          <w:bCs/>
          <w:sz w:val="24"/>
          <w:szCs w:val="24"/>
        </w:rPr>
        <w:t>Available from:</w:t>
      </w:r>
      <w:r w:rsidRPr="006F2809">
        <w:rPr>
          <w:rFonts w:ascii="Book Antiqua" w:hAnsi="Book Antiqua"/>
          <w:sz w:val="24"/>
          <w:szCs w:val="24"/>
        </w:rPr>
        <w:t xml:space="preserve"> </w:t>
      </w:r>
      <w:bookmarkEnd w:id="352"/>
      <w:bookmarkEnd w:id="353"/>
      <w:r w:rsidRPr="006F2809">
        <w:rPr>
          <w:rFonts w:ascii="Book Antiqua" w:hAnsi="Book Antiqua"/>
          <w:color w:val="000000"/>
          <w:sz w:val="24"/>
          <w:szCs w:val="24"/>
        </w:rPr>
        <w:t>URL:</w:t>
      </w:r>
      <w:bookmarkEnd w:id="354"/>
      <w:bookmarkEnd w:id="355"/>
      <w:bookmarkEnd w:id="356"/>
      <w:bookmarkEnd w:id="357"/>
      <w:bookmarkEnd w:id="358"/>
      <w:bookmarkEnd w:id="359"/>
      <w:bookmarkEnd w:id="360"/>
      <w:bookmarkEnd w:id="361"/>
      <w:r w:rsidRPr="006F2809">
        <w:rPr>
          <w:rFonts w:ascii="Book Antiqua" w:hAnsi="Book Antiqua"/>
          <w:color w:val="000000"/>
          <w:sz w:val="24"/>
          <w:szCs w:val="24"/>
        </w:rPr>
        <w:t xml:space="preserve"> </w:t>
      </w:r>
      <w:bookmarkEnd w:id="362"/>
      <w:bookmarkEnd w:id="363"/>
      <w:bookmarkEnd w:id="364"/>
      <w:r w:rsidRPr="006F2809">
        <w:rPr>
          <w:rFonts w:ascii="Book Antiqua" w:hAnsi="Book Antiqua"/>
          <w:color w:val="000000"/>
          <w:sz w:val="24"/>
          <w:szCs w:val="24"/>
        </w:rPr>
        <w:t>http://</w:t>
      </w:r>
      <w:bookmarkEnd w:id="365"/>
      <w:bookmarkEnd w:id="366"/>
      <w:r w:rsidRPr="006F2809">
        <w:rPr>
          <w:rFonts w:ascii="Book Antiqua" w:hAnsi="Book Antiqua"/>
          <w:color w:val="000000"/>
          <w:sz w:val="24"/>
          <w:szCs w:val="24"/>
        </w:rPr>
        <w:t xml:space="preserve">www.wjgnet.com/esps/  </w:t>
      </w:r>
    </w:p>
    <w:p w:rsidR="00D55DFD" w:rsidRPr="006F2809" w:rsidRDefault="00D55DFD" w:rsidP="004D1EA2">
      <w:pPr>
        <w:autoSpaceDE w:val="0"/>
        <w:autoSpaceDN w:val="0"/>
        <w:adjustRightInd w:val="0"/>
        <w:snapToGrid w:val="0"/>
        <w:spacing w:after="0" w:line="360" w:lineRule="auto"/>
        <w:jc w:val="both"/>
        <w:rPr>
          <w:rFonts w:ascii="Book Antiqua" w:hAnsi="Book Antiqua"/>
          <w:color w:val="241F20"/>
          <w:sz w:val="24"/>
          <w:szCs w:val="24"/>
          <w:lang w:val="en-US"/>
        </w:rPr>
      </w:pPr>
      <w:bookmarkStart w:id="424" w:name="OLE_LINK399"/>
      <w:bookmarkStart w:id="425" w:name="OLE_LINK400"/>
      <w:bookmarkStart w:id="426" w:name="OLE_LINK494"/>
      <w:bookmarkStart w:id="427" w:name="OLE_LINK495"/>
      <w:bookmarkStart w:id="428" w:name="OLE_LINK607"/>
      <w:bookmarkStart w:id="429" w:name="OLE_LINK608"/>
      <w:bookmarkStart w:id="430" w:name="OLE_LINK609"/>
      <w:bookmarkStart w:id="431" w:name="OLE_LINK727"/>
      <w:bookmarkStart w:id="432" w:name="OLE_LINK853"/>
      <w:bookmarkStart w:id="433" w:name="OLE_LINK585"/>
      <w:bookmarkStart w:id="434" w:name="OLE_LINK689"/>
      <w:bookmarkStart w:id="435" w:name="OLE_LINK539"/>
      <w:bookmarkEnd w:id="321"/>
      <w:bookmarkEnd w:id="322"/>
      <w:bookmarkEnd w:id="323"/>
      <w:bookmarkEnd w:id="367"/>
      <w:bookmarkEnd w:id="368"/>
      <w:bookmarkEnd w:id="369"/>
      <w:bookmarkEnd w:id="370"/>
      <w:bookmarkEnd w:id="371"/>
      <w:bookmarkEnd w:id="372"/>
      <w:r w:rsidRPr="006F2809">
        <w:rPr>
          <w:rFonts w:ascii="Book Antiqua" w:hAnsi="Book Antiqua"/>
          <w:b/>
          <w:bCs/>
          <w:kern w:val="2"/>
          <w:sz w:val="24"/>
          <w:szCs w:val="24"/>
        </w:rPr>
        <w:t xml:space="preserve">DOI: </w:t>
      </w:r>
      <w:r w:rsidRPr="006F2809">
        <w:rPr>
          <w:rFonts w:ascii="Book Antiqua" w:hAnsi="Book Antiqua"/>
          <w:bCs/>
          <w:kern w:val="2"/>
          <w:sz w:val="24"/>
          <w:szCs w:val="24"/>
        </w:rPr>
        <w:t>http://dx.doi.org/10.3748/wjg.v20.i0.0000</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color w:val="241F20"/>
          <w:sz w:val="24"/>
          <w:szCs w:val="24"/>
          <w:lang w:val="en-US"/>
        </w:rPr>
      </w:pPr>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color w:val="241F20"/>
          <w:sz w:val="24"/>
          <w:szCs w:val="24"/>
          <w:lang w:val="en-US"/>
        </w:rPr>
      </w:pPr>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color w:val="241F20"/>
          <w:sz w:val="24"/>
          <w:szCs w:val="24"/>
          <w:lang w:val="en-US"/>
        </w:rPr>
      </w:pPr>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color w:val="241F20"/>
          <w:sz w:val="24"/>
          <w:szCs w:val="24"/>
          <w:lang w:val="en-US"/>
        </w:rPr>
      </w:pPr>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color w:val="241F20"/>
          <w:sz w:val="24"/>
          <w:szCs w:val="24"/>
          <w:lang w:val="en-US"/>
        </w:rPr>
      </w:pPr>
    </w:p>
    <w:p w:rsidR="00D55DFD" w:rsidRPr="006F2809" w:rsidRDefault="00D55DFD" w:rsidP="004D1EA2">
      <w:pPr>
        <w:pStyle w:val="a3"/>
        <w:autoSpaceDE w:val="0"/>
        <w:autoSpaceDN w:val="0"/>
        <w:adjustRightInd w:val="0"/>
        <w:snapToGrid w:val="0"/>
        <w:spacing w:after="0" w:line="360" w:lineRule="auto"/>
        <w:contextualSpacing w:val="0"/>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r w:rsidRPr="006F2809">
        <w:rPr>
          <w:rFonts w:ascii="Book Antiqua" w:hAnsi="Book Antiqua"/>
          <w:b/>
          <w:color w:val="241F20"/>
          <w:sz w:val="24"/>
          <w:szCs w:val="24"/>
          <w:lang w:val="en-US"/>
        </w:rPr>
        <w:br w:type="page"/>
      </w:r>
      <w:r w:rsidRPr="006F2809">
        <w:rPr>
          <w:rFonts w:ascii="Book Antiqua" w:hAnsi="Book Antiqua"/>
          <w:b/>
          <w:color w:val="241F20"/>
          <w:sz w:val="24"/>
          <w:szCs w:val="24"/>
          <w:lang w:val="en-US"/>
        </w:rPr>
        <w:lastRenderedPageBreak/>
        <w:t>INTRODUCTION</w:t>
      </w:r>
    </w:p>
    <w:p w:rsidR="00D55DFD" w:rsidRPr="006F2809" w:rsidRDefault="00D55DFD" w:rsidP="004D1EA2">
      <w:pPr>
        <w:tabs>
          <w:tab w:val="left" w:pos="567"/>
        </w:tabs>
        <w:snapToGrid w:val="0"/>
        <w:spacing w:after="0" w:line="360" w:lineRule="auto"/>
        <w:jc w:val="both"/>
        <w:rPr>
          <w:rFonts w:ascii="Book Antiqua" w:hAnsi="Book Antiqua"/>
          <w:iCs/>
          <w:sz w:val="24"/>
          <w:szCs w:val="24"/>
          <w:lang w:val="en-GB" w:eastAsia="it-IT"/>
        </w:rPr>
      </w:pPr>
      <w:r w:rsidRPr="006F2809">
        <w:rPr>
          <w:rFonts w:ascii="Book Antiqua" w:hAnsi="Book Antiqua"/>
          <w:sz w:val="24"/>
          <w:szCs w:val="24"/>
          <w:lang w:val="en-US"/>
        </w:rPr>
        <w:t>C</w:t>
      </w:r>
      <w:r w:rsidRPr="006F2809">
        <w:rPr>
          <w:rFonts w:ascii="Book Antiqua" w:hAnsi="Book Antiqua"/>
          <w:color w:val="241F20"/>
          <w:sz w:val="24"/>
          <w:szCs w:val="24"/>
          <w:lang w:val="en-US"/>
        </w:rPr>
        <w:t>olorectal cancer (CRC) is the third most common cancer worldwide; over 1.2 million new cancer cases and nearly 600000 deaths are estimated to have occurred in 2008</w:t>
      </w:r>
      <w:r w:rsidRPr="006F2809">
        <w:rPr>
          <w:rFonts w:ascii="Book Antiqua" w:hAnsi="Book Antiqua"/>
          <w:color w:val="241F20"/>
          <w:sz w:val="24"/>
          <w:szCs w:val="24"/>
          <w:vertAlign w:val="superscript"/>
          <w:lang w:val="en-US"/>
        </w:rPr>
        <w:t>[1]</w:t>
      </w:r>
      <w:r w:rsidRPr="006F2809">
        <w:rPr>
          <w:rFonts w:ascii="Book Antiqua" w:hAnsi="Book Antiqua"/>
          <w:color w:val="241F20"/>
          <w:sz w:val="24"/>
          <w:szCs w:val="24"/>
          <w:lang w:val="en-US"/>
        </w:rPr>
        <w:t>. Despite improved treatments, increased awareness and early detection, which have all contributed to prolonged survival, CRC is still an important cause of cancer-related deaths</w:t>
      </w:r>
      <w:r w:rsidRPr="006F2809">
        <w:rPr>
          <w:rFonts w:ascii="Book Antiqua" w:hAnsi="Book Antiqua"/>
          <w:color w:val="241F20"/>
          <w:sz w:val="24"/>
          <w:szCs w:val="24"/>
          <w:vertAlign w:val="superscript"/>
          <w:lang w:val="en-US"/>
        </w:rPr>
        <w:t>[1]</w:t>
      </w:r>
      <w:r w:rsidRPr="006F2809">
        <w:rPr>
          <w:rFonts w:ascii="Book Antiqua" w:hAnsi="Book Antiqua"/>
          <w:color w:val="241F20"/>
          <w:sz w:val="24"/>
          <w:szCs w:val="24"/>
          <w:lang w:val="en-US"/>
        </w:rPr>
        <w:t>. C</w:t>
      </w:r>
      <w:r w:rsidRPr="006F2809">
        <w:rPr>
          <w:rFonts w:ascii="Book Antiqua" w:hAnsi="Book Antiqua"/>
          <w:sz w:val="24"/>
          <w:szCs w:val="24"/>
          <w:lang w:val="en-US"/>
        </w:rPr>
        <w:t>RCs encompass a complex of diseases with different molecular pathways and biological characteristics arising from a multi-step process that involves several genetic and epigenetic events</w:t>
      </w:r>
      <w:r w:rsidRPr="006F2809">
        <w:rPr>
          <w:rFonts w:ascii="Book Antiqua" w:hAnsi="Book Antiqua"/>
          <w:sz w:val="24"/>
          <w:szCs w:val="24"/>
          <w:vertAlign w:val="superscript"/>
          <w:lang w:val="en-US"/>
        </w:rPr>
        <w:t>[2,3]</w:t>
      </w:r>
      <w:r w:rsidRPr="006F2809">
        <w:rPr>
          <w:rFonts w:ascii="Book Antiqua" w:hAnsi="Book Antiqua"/>
          <w:sz w:val="24"/>
          <w:szCs w:val="24"/>
          <w:lang w:val="en-US"/>
        </w:rPr>
        <w:t xml:space="preserve">. The </w:t>
      </w:r>
      <w:r w:rsidRPr="006F2809">
        <w:rPr>
          <w:rFonts w:ascii="Book Antiqua" w:hAnsi="Book Antiqua"/>
          <w:sz w:val="24"/>
          <w:szCs w:val="24"/>
          <w:lang w:val="en-GB"/>
        </w:rPr>
        <w:t xml:space="preserve">stepwise change in morphology from normal epithelium to carcinoma occurs through </w:t>
      </w:r>
      <w:r w:rsidRPr="006F2809">
        <w:rPr>
          <w:rFonts w:ascii="Book Antiqua" w:hAnsi="Book Antiqua"/>
          <w:sz w:val="24"/>
          <w:szCs w:val="24"/>
          <w:lang w:val="en-US"/>
        </w:rPr>
        <w:t>a multi-step genetic model with the loss of the functions of tumour suppressor genes, such as adenomatous polyposis coli (</w:t>
      </w:r>
      <w:r w:rsidRPr="006F2809">
        <w:rPr>
          <w:rFonts w:ascii="Book Antiqua" w:hAnsi="Book Antiqua"/>
          <w:i/>
          <w:sz w:val="24"/>
          <w:szCs w:val="24"/>
          <w:lang w:val="en-US"/>
        </w:rPr>
        <w:t>APC</w:t>
      </w:r>
      <w:r w:rsidRPr="006F2809">
        <w:rPr>
          <w:rFonts w:ascii="Book Antiqua" w:hAnsi="Book Antiqua"/>
          <w:sz w:val="24"/>
          <w:szCs w:val="24"/>
          <w:lang w:val="en-US"/>
        </w:rPr>
        <w:t xml:space="preserve">) and TP53, and the gain of the function of oncogenes, such as </w:t>
      </w:r>
      <w:r w:rsidRPr="006F2809">
        <w:rPr>
          <w:rFonts w:ascii="Book Antiqua" w:hAnsi="Book Antiqua"/>
          <w:i/>
          <w:sz w:val="24"/>
          <w:szCs w:val="24"/>
          <w:lang w:val="en-US"/>
        </w:rPr>
        <w:t>KRAS</w:t>
      </w:r>
      <w:r w:rsidRPr="006F2809">
        <w:rPr>
          <w:rFonts w:ascii="Book Antiqua" w:hAnsi="Book Antiqua"/>
          <w:sz w:val="24"/>
          <w:szCs w:val="24"/>
          <w:lang w:val="en-US"/>
        </w:rPr>
        <w:t>. Recent genome-wide sequencing analyses have estimated as many as 80 mutated genes in CRC. Although a smaller number of mutations are considered drivers of tumourigenesis, multiple genetic hits are required for tumour onset and progression</w:t>
      </w:r>
      <w:r w:rsidRPr="006F2809">
        <w:rPr>
          <w:rFonts w:ascii="Book Antiqua" w:hAnsi="Book Antiqua"/>
          <w:sz w:val="24"/>
          <w:szCs w:val="24"/>
          <w:vertAlign w:val="superscript"/>
          <w:lang w:val="en-US"/>
        </w:rPr>
        <w:t>[4]</w:t>
      </w:r>
      <w:r w:rsidRPr="006F2809">
        <w:rPr>
          <w:rFonts w:ascii="Book Antiqua" w:hAnsi="Book Antiqua"/>
          <w:sz w:val="24"/>
          <w:szCs w:val="24"/>
          <w:lang w:val="en-US"/>
        </w:rPr>
        <w:t>. Many efforts have been made to identify molecular markers that predict the outcome of CRC patients, and several genetic and epigenetic alterations that are involved in the development of CRC have been proposed as prognostic markers of disease progression; however, no agreement has been reached</w:t>
      </w:r>
      <w:r w:rsidRPr="006F2809">
        <w:rPr>
          <w:rFonts w:ascii="Book Antiqua" w:hAnsi="Book Antiqua"/>
          <w:sz w:val="24"/>
          <w:szCs w:val="24"/>
          <w:vertAlign w:val="superscript"/>
          <w:lang w:val="en-US"/>
        </w:rPr>
        <w:t>[5,6]</w:t>
      </w:r>
      <w:r w:rsidRPr="006F2809">
        <w:rPr>
          <w:rFonts w:ascii="Book Antiqua" w:hAnsi="Book Antiqua"/>
          <w:sz w:val="24"/>
          <w:szCs w:val="24"/>
          <w:lang w:val="en-US"/>
        </w:rPr>
        <w:t>. Besides great heterogeneity of the molecular and biological features, chromosomal instability may play a key role in the early steps of carcinogenesis</w:t>
      </w:r>
      <w:r w:rsidRPr="006F2809">
        <w:rPr>
          <w:rFonts w:ascii="Book Antiqua" w:hAnsi="Book Antiqua"/>
          <w:sz w:val="24"/>
          <w:szCs w:val="24"/>
          <w:vertAlign w:val="superscript"/>
          <w:lang w:val="en-US"/>
        </w:rPr>
        <w:t>[7]</w:t>
      </w:r>
      <w:r w:rsidRPr="006F2809">
        <w:rPr>
          <w:rFonts w:ascii="Book Antiqua" w:hAnsi="Book Antiqua"/>
          <w:sz w:val="24"/>
          <w:szCs w:val="24"/>
          <w:lang w:val="en-US"/>
        </w:rPr>
        <w:t>. Cancer cells may also circumvent replicative senescence and acquire the ability to sustain unlimited proliferation</w:t>
      </w:r>
      <w:r w:rsidRPr="006F2809">
        <w:rPr>
          <w:rFonts w:ascii="Book Antiqua" w:hAnsi="Book Antiqua"/>
          <w:sz w:val="24"/>
          <w:szCs w:val="24"/>
          <w:vertAlign w:val="superscript"/>
          <w:lang w:val="en-US"/>
        </w:rPr>
        <w:t>[8]</w:t>
      </w:r>
      <w:r w:rsidRPr="006F2809">
        <w:rPr>
          <w:rFonts w:ascii="Book Antiqua" w:hAnsi="Book Antiqua"/>
          <w:sz w:val="24"/>
          <w:szCs w:val="24"/>
          <w:lang w:val="en-US"/>
        </w:rPr>
        <w:t xml:space="preserve">. </w:t>
      </w:r>
      <w:r w:rsidRPr="006F2809">
        <w:rPr>
          <w:rFonts w:ascii="Book Antiqua" w:hAnsi="Book Antiqua"/>
          <w:iCs/>
          <w:sz w:val="24"/>
          <w:szCs w:val="24"/>
          <w:lang w:val="en-GB" w:eastAsia="it-IT"/>
        </w:rPr>
        <w:t xml:space="preserve">Telomere/telomerase interplay is an important mechanism involved in the genomic stability and cellular replicative potential, and telomere/telomerase dysfunction has emerged as playing a key role in carcinogenesis. Here, we review the role of telomeres and telomerase in the genesis and progression of CRC. </w:t>
      </w: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GB"/>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r w:rsidRPr="006F2809">
        <w:rPr>
          <w:rFonts w:ascii="Book Antiqua" w:hAnsi="Book Antiqua"/>
          <w:b/>
          <w:color w:val="241F20"/>
          <w:sz w:val="24"/>
          <w:szCs w:val="24"/>
          <w:lang w:val="en-US"/>
        </w:rPr>
        <w:t>TELOMERES AND TELOMERASE</w:t>
      </w:r>
    </w:p>
    <w:p w:rsidR="00D55DFD" w:rsidRPr="006F2809" w:rsidRDefault="00D55DFD" w:rsidP="004D1EA2">
      <w:pPr>
        <w:autoSpaceDE w:val="0"/>
        <w:autoSpaceDN w:val="0"/>
        <w:adjustRightInd w:val="0"/>
        <w:snapToGrid w:val="0"/>
        <w:spacing w:after="0" w:line="360" w:lineRule="auto"/>
        <w:jc w:val="both"/>
        <w:rPr>
          <w:rFonts w:ascii="Book Antiqua" w:hAnsi="Book Antiqua"/>
          <w:i/>
          <w:iCs/>
          <w:color w:val="000000"/>
          <w:sz w:val="24"/>
          <w:szCs w:val="24"/>
          <w:lang w:val="en-GB" w:eastAsia="it-IT"/>
        </w:rPr>
      </w:pPr>
      <w:r w:rsidRPr="006F2809">
        <w:rPr>
          <w:rFonts w:ascii="Book Antiqua" w:eastAsia="AdvTimes" w:hAnsi="Book Antiqua"/>
          <w:sz w:val="24"/>
          <w:szCs w:val="24"/>
          <w:lang w:val="en-GB" w:eastAsia="ja-JP"/>
        </w:rPr>
        <w:t>Telomeres are specialised DNA structures located at the end of chromosomes; they are essential for stabilising chromosomes by protecting them from end-to-end fusion and DNA degradation</w:t>
      </w:r>
      <w:r w:rsidRPr="006F2809">
        <w:rPr>
          <w:rFonts w:ascii="Book Antiqua" w:eastAsia="AdvTimes" w:hAnsi="Book Antiqua"/>
          <w:sz w:val="24"/>
          <w:szCs w:val="24"/>
          <w:vertAlign w:val="superscript"/>
          <w:lang w:val="en-GB" w:eastAsia="ja-JP"/>
        </w:rPr>
        <w:t>[9]</w:t>
      </w:r>
      <w:r w:rsidRPr="006F2809">
        <w:rPr>
          <w:rFonts w:ascii="Book Antiqua" w:eastAsia="AdvTimes" w:hAnsi="Book Antiqua"/>
          <w:sz w:val="24"/>
          <w:szCs w:val="24"/>
          <w:lang w:val="en-GB" w:eastAsia="ja-JP"/>
        </w:rPr>
        <w:t xml:space="preserve">. In human cells, telomeres are composed of (TTAGGG)n tandem repeats that are associated with the capping proteins TTAGGG repeat binding factor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TRF</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1, TRF2, repressor and activator protein 1, TRF1-interacting nuclear protein 2, protection of telomeres 1 (POT1)</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 xml:space="preserve"> which constitute the shelterin complex</w:t>
      </w:r>
      <w:r w:rsidRPr="006F2809">
        <w:rPr>
          <w:rFonts w:ascii="Book Antiqua" w:eastAsia="AdvTimes" w:hAnsi="Book Antiqua"/>
          <w:sz w:val="24"/>
          <w:szCs w:val="24"/>
          <w:vertAlign w:val="superscript"/>
          <w:lang w:val="en-GB" w:eastAsia="ja-JP"/>
        </w:rPr>
        <w:t>[10]</w:t>
      </w:r>
      <w:r w:rsidRPr="006F2809">
        <w:rPr>
          <w:rFonts w:ascii="Book Antiqua" w:eastAsia="AdvTimes" w:hAnsi="Book Antiqua"/>
          <w:sz w:val="24"/>
          <w:szCs w:val="24"/>
          <w:lang w:val="en-GB" w:eastAsia="ja-JP"/>
        </w:rPr>
        <w:t xml:space="preserve">. Telomeres are </w:t>
      </w:r>
      <w:r w:rsidRPr="006F2809">
        <w:rPr>
          <w:rFonts w:ascii="Book Antiqua" w:eastAsia="AdvTimes" w:hAnsi="Book Antiqua"/>
          <w:sz w:val="24"/>
          <w:szCs w:val="24"/>
          <w:lang w:val="en-GB" w:eastAsia="ja-JP"/>
        </w:rPr>
        <w:lastRenderedPageBreak/>
        <w:t>progressively shortened during each cell division by replication-dependent loss of sequences at the DNA termini, caused by the failure of DNA polymerase to completely replicate the 3' end of chromosomes</w:t>
      </w:r>
      <w:r w:rsidRPr="006F2809">
        <w:rPr>
          <w:rFonts w:ascii="Book Antiqua" w:eastAsia="AdvTimes" w:hAnsi="Book Antiqua"/>
          <w:sz w:val="24"/>
          <w:szCs w:val="24"/>
          <w:vertAlign w:val="superscript"/>
          <w:lang w:val="en-GB" w:eastAsia="ja-JP"/>
        </w:rPr>
        <w:t>[11]</w:t>
      </w:r>
      <w:r w:rsidRPr="006F2809">
        <w:rPr>
          <w:rFonts w:ascii="Book Antiqua" w:eastAsia="AdvTimes" w:hAnsi="Book Antiqua"/>
          <w:sz w:val="24"/>
          <w:szCs w:val="24"/>
          <w:lang w:val="en-GB" w:eastAsia="ja-JP"/>
        </w:rPr>
        <w:t>. When telomeres become critically short (</w:t>
      </w:r>
      <w:r w:rsidRPr="006F2809">
        <w:rPr>
          <w:rFonts w:ascii="Book Antiqua" w:eastAsia="AdvTimes" w:hAnsi="Book Antiqua"/>
          <w:i/>
          <w:sz w:val="24"/>
          <w:szCs w:val="24"/>
          <w:lang w:val="en-GB" w:eastAsia="ja-JP"/>
        </w:rPr>
        <w:t>i.e.</w:t>
      </w:r>
      <w:r w:rsidRPr="006F2809">
        <w:rPr>
          <w:rFonts w:ascii="Book Antiqua" w:eastAsia="AdvTimes" w:hAnsi="Book Antiqua"/>
          <w:sz w:val="24"/>
          <w:szCs w:val="24"/>
          <w:lang w:val="en-GB" w:eastAsia="ja-JP"/>
        </w:rPr>
        <w:t>, the Hayflick limit), they are no longer protected by the shelterin complex; at that point they are recognised as DNA double-strand breaks that trigger a DNA damage response (DDR), and the cells undergo replicative senescence and apoptosis</w:t>
      </w:r>
      <w:r w:rsidRPr="006F2809">
        <w:rPr>
          <w:rFonts w:ascii="Book Antiqua" w:eastAsia="AdvTimes" w:hAnsi="Book Antiqua"/>
          <w:sz w:val="24"/>
          <w:szCs w:val="24"/>
          <w:vertAlign w:val="superscript"/>
          <w:lang w:val="en-GB" w:eastAsia="ja-JP"/>
        </w:rPr>
        <w:t>[10]</w:t>
      </w:r>
      <w:r w:rsidRPr="006F2809">
        <w:rPr>
          <w:rFonts w:ascii="Book Antiqua" w:eastAsia="AdvTimes" w:hAnsi="Book Antiqua"/>
          <w:i/>
          <w:sz w:val="24"/>
          <w:szCs w:val="24"/>
          <w:lang w:val="en-GB" w:eastAsia="ja-JP"/>
        </w:rPr>
        <w:t xml:space="preserve">. </w:t>
      </w:r>
      <w:r w:rsidRPr="006F2809">
        <w:rPr>
          <w:rFonts w:ascii="Book Antiqua" w:eastAsia="AdvTimes" w:hAnsi="Book Antiqua"/>
          <w:sz w:val="24"/>
          <w:szCs w:val="24"/>
          <w:lang w:val="en-GB" w:eastAsia="ja-JP"/>
        </w:rPr>
        <w:t>If protective mechanisms, such as that of the TP53 protein, are inactive, cells continue to proliferate; the further erosion of telomeres impairs their role in protecting chromosome ends and ultimately causes chromosomal instability</w:t>
      </w:r>
      <w:r w:rsidRPr="006F2809">
        <w:rPr>
          <w:rFonts w:ascii="Book Antiqua" w:eastAsia="AdvTimes" w:hAnsi="Book Antiqua"/>
          <w:sz w:val="24"/>
          <w:szCs w:val="24"/>
          <w:vertAlign w:val="superscript"/>
          <w:lang w:val="en-GB" w:eastAsia="ja-JP"/>
        </w:rPr>
        <w:t>[12]</w:t>
      </w:r>
      <w:r w:rsidRPr="006F2809">
        <w:rPr>
          <w:rFonts w:ascii="Book Antiqua" w:eastAsia="AdvTimes" w:hAnsi="Book Antiqua"/>
          <w:sz w:val="24"/>
          <w:szCs w:val="24"/>
          <w:lang w:val="en-GB" w:eastAsia="ja-JP"/>
        </w:rPr>
        <w:t>. Thus, telomere erosion may play two conflicting roles: tumour suppression by inducing cell death, and tumour promotion by causing genetic instability, a key event in the initiation of carcinogenesis. It has been recently advanced that short telomeres may also affect genome-wide DNA methylation, which may modulate oncogene and oncosuppressor gene expression</w:t>
      </w:r>
      <w:r w:rsidRPr="006F2809">
        <w:rPr>
          <w:rFonts w:ascii="Book Antiqua" w:eastAsia="AdvTimes" w:hAnsi="Book Antiqua"/>
          <w:sz w:val="24"/>
          <w:szCs w:val="24"/>
          <w:vertAlign w:val="superscript"/>
          <w:lang w:val="en-GB" w:eastAsia="ja-JP"/>
        </w:rPr>
        <w:t>[13]</w:t>
      </w:r>
      <w:r w:rsidRPr="006F2809">
        <w:rPr>
          <w:rFonts w:ascii="Book Antiqua" w:eastAsia="AdvTimes" w:hAnsi="Book Antiqua"/>
          <w:sz w:val="24"/>
          <w:szCs w:val="24"/>
          <w:lang w:val="en-GB" w:eastAsia="ja-JP"/>
        </w:rPr>
        <w:t xml:space="preserve">. However, cell division-associated telomere shortening prevents unlimited cell proliferation and thus tumour development/progression. To escape this proliferation barrier, cells must stabilise their telomeres. Most tumours maintain their ability to grow indefinitely through the inappropriate expression of telomerase, a ribonucleoprotein complex containing an internal RNA component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 xml:space="preserve">telomerase RNA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TR</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 xml:space="preserve">, or telomerase RNA component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TERC</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 xml:space="preserve"> and a catalytic protein with telomere-specific reverse transcriptase activity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 xml:space="preserve">telomerase reverse trancriptase </w:t>
      </w:r>
      <w:r w:rsidRPr="006F2809">
        <w:rPr>
          <w:rFonts w:ascii="Book Antiqua" w:hAnsi="Book Antiqua"/>
          <w:sz w:val="24"/>
          <w:szCs w:val="24"/>
          <w:lang w:val="en-GB" w:eastAsia="zh-CN"/>
        </w:rPr>
        <w:t>(</w:t>
      </w:r>
      <w:r w:rsidRPr="006F2809">
        <w:rPr>
          <w:rFonts w:ascii="Book Antiqua" w:eastAsia="AdvTimes" w:hAnsi="Book Antiqua"/>
          <w:sz w:val="24"/>
          <w:szCs w:val="24"/>
          <w:lang w:val="en-GB" w:eastAsia="ja-JP"/>
        </w:rPr>
        <w:t>TERT</w:t>
      </w:r>
      <w:r w:rsidRPr="006F2809">
        <w:rPr>
          <w:rFonts w:ascii="Book Antiqua" w:hAnsi="Book Antiqua"/>
          <w:sz w:val="24"/>
          <w:szCs w:val="24"/>
          <w:lang w:val="en-GB" w:eastAsia="zh-CN"/>
        </w:rPr>
        <w:t>)]</w:t>
      </w:r>
      <w:r w:rsidRPr="006F2809">
        <w:rPr>
          <w:rFonts w:ascii="Book Antiqua" w:eastAsia="AdvTimes" w:hAnsi="Book Antiqua"/>
          <w:sz w:val="24"/>
          <w:szCs w:val="24"/>
          <w:vertAlign w:val="superscript"/>
          <w:lang w:val="en-GB" w:eastAsia="ja-JP"/>
        </w:rPr>
        <w:t>[14]</w:t>
      </w:r>
      <w:r w:rsidRPr="006F2809">
        <w:rPr>
          <w:rFonts w:ascii="Book Antiqua" w:eastAsia="AdvTimes" w:hAnsi="Book Antiqua"/>
          <w:sz w:val="24"/>
          <w:szCs w:val="24"/>
          <w:lang w:val="en-GB" w:eastAsia="ja-JP"/>
        </w:rPr>
        <w:t xml:space="preserve">. TERT </w:t>
      </w:r>
      <w:r w:rsidRPr="006F2809">
        <w:rPr>
          <w:rFonts w:ascii="Book Antiqua" w:hAnsi="Book Antiqua"/>
          <w:sz w:val="24"/>
          <w:szCs w:val="24"/>
          <w:lang w:val="en-GB"/>
        </w:rPr>
        <w:t xml:space="preserve">which synthesises </w:t>
      </w:r>
      <w:r w:rsidRPr="006F2809">
        <w:rPr>
          <w:rFonts w:ascii="Book Antiqua" w:hAnsi="Book Antiqua"/>
          <w:i/>
          <w:sz w:val="24"/>
          <w:szCs w:val="24"/>
          <w:lang w:val="en-GB"/>
        </w:rPr>
        <w:t xml:space="preserve">de novo </w:t>
      </w:r>
      <w:r w:rsidRPr="006F2809">
        <w:rPr>
          <w:rFonts w:ascii="Book Antiqua" w:hAnsi="Book Antiqua"/>
          <w:sz w:val="24"/>
          <w:szCs w:val="24"/>
          <w:lang w:val="en-GB"/>
        </w:rPr>
        <w:t>telomere sequences by using TR as a template, is the rate-limiting component of the telomerase complex, and its expression is correlated with telomerase activity</w:t>
      </w:r>
      <w:r w:rsidRPr="006F2809">
        <w:rPr>
          <w:rFonts w:ascii="Book Antiqua" w:hAnsi="Book Antiqua"/>
          <w:sz w:val="24"/>
          <w:szCs w:val="24"/>
          <w:vertAlign w:val="superscript"/>
          <w:lang w:val="en-GB"/>
        </w:rPr>
        <w:t>[15]</w:t>
      </w:r>
      <w:r w:rsidRPr="006F2809">
        <w:rPr>
          <w:rFonts w:ascii="Book Antiqua" w:hAnsi="Book Antiqua"/>
          <w:iCs/>
          <w:color w:val="05004F"/>
          <w:sz w:val="24"/>
          <w:szCs w:val="24"/>
          <w:lang w:val="en-GB" w:eastAsia="it-IT"/>
        </w:rPr>
        <w:t xml:space="preserve">. </w:t>
      </w:r>
      <w:r w:rsidRPr="006F2809">
        <w:rPr>
          <w:rFonts w:ascii="Book Antiqua" w:eastAsia="AdvTimes" w:hAnsi="Book Antiqua"/>
          <w:sz w:val="24"/>
          <w:szCs w:val="24"/>
          <w:lang w:val="en-GB" w:eastAsia="ja-JP"/>
        </w:rPr>
        <w:t xml:space="preserve">While TR has broad tissue distribution and is constitutively present in normal and tumour cells, expression of TERT, which is usually repressed in normal somatic cells, occurs in germ-line cells and most cancer cells. TERT </w:t>
      </w:r>
      <w:r w:rsidRPr="006F2809">
        <w:rPr>
          <w:rFonts w:ascii="Book Antiqua" w:hAnsi="Book Antiqua"/>
          <w:iCs/>
          <w:color w:val="05004F"/>
          <w:sz w:val="24"/>
          <w:szCs w:val="24"/>
          <w:lang w:val="en-GB" w:eastAsia="it-IT"/>
        </w:rPr>
        <w:t xml:space="preserve">is </w:t>
      </w:r>
      <w:r w:rsidRPr="006F2809">
        <w:rPr>
          <w:rFonts w:ascii="Book Antiqua" w:hAnsi="Book Antiqua"/>
          <w:iCs/>
          <w:sz w:val="24"/>
          <w:szCs w:val="24"/>
          <w:lang w:val="en-GB" w:eastAsia="it-IT"/>
        </w:rPr>
        <w:t>essential for unlimited cell growth and thus plays a critical role in tumour formation and progression</w:t>
      </w:r>
      <w:r w:rsidRPr="006F2809">
        <w:rPr>
          <w:rFonts w:ascii="Book Antiqua" w:hAnsi="Book Antiqua"/>
          <w:iCs/>
          <w:sz w:val="24"/>
          <w:szCs w:val="24"/>
          <w:vertAlign w:val="superscript"/>
          <w:lang w:val="en-GB" w:eastAsia="it-IT"/>
        </w:rPr>
        <w:t>[16]</w:t>
      </w:r>
      <w:r w:rsidRPr="006F2809">
        <w:rPr>
          <w:rFonts w:ascii="Book Antiqua" w:hAnsi="Book Antiqua"/>
          <w:i/>
          <w:iCs/>
          <w:color w:val="000000"/>
          <w:sz w:val="24"/>
          <w:szCs w:val="24"/>
          <w:lang w:val="en-GB" w:eastAsia="it-IT"/>
        </w:rPr>
        <w:t xml:space="preserve">. </w:t>
      </w:r>
    </w:p>
    <w:p w:rsidR="00D55DFD" w:rsidRPr="006F2809" w:rsidRDefault="00D55DFD" w:rsidP="004D1EA2">
      <w:pPr>
        <w:tabs>
          <w:tab w:val="left" w:pos="567"/>
        </w:tabs>
        <w:snapToGrid w:val="0"/>
        <w:spacing w:after="0" w:line="360" w:lineRule="auto"/>
        <w:ind w:firstLineChars="50" w:firstLine="120"/>
        <w:jc w:val="both"/>
        <w:rPr>
          <w:rFonts w:ascii="Book Antiqua" w:eastAsia="AdvTimes" w:hAnsi="Book Antiqua"/>
          <w:sz w:val="24"/>
          <w:szCs w:val="24"/>
          <w:lang w:val="en-GB" w:eastAsia="ja-JP"/>
        </w:rPr>
      </w:pPr>
      <w:r w:rsidRPr="006F2809">
        <w:rPr>
          <w:rFonts w:ascii="Book Antiqua" w:eastAsia="AdvTimes" w:hAnsi="Book Antiqua"/>
          <w:sz w:val="24"/>
          <w:szCs w:val="24"/>
          <w:lang w:val="en-GB" w:eastAsia="ja-JP"/>
        </w:rPr>
        <w:t xml:space="preserve">Regulation of telomerase operates at several biological levels: transcription, mRNA splicing, subcellular localisation of each component and the assembly of TR and TERT in an active ribonucleoprotein. Transcription of the </w:t>
      </w:r>
      <w:r w:rsidRPr="006F2809">
        <w:rPr>
          <w:rFonts w:ascii="Book Antiqua" w:eastAsia="AdvTimes" w:hAnsi="Book Antiqua"/>
          <w:i/>
          <w:sz w:val="24"/>
          <w:szCs w:val="24"/>
          <w:lang w:val="en-GB" w:eastAsia="ja-JP"/>
        </w:rPr>
        <w:t xml:space="preserve">TERT </w:t>
      </w:r>
      <w:r w:rsidRPr="006F2809">
        <w:rPr>
          <w:rFonts w:ascii="Book Antiqua" w:eastAsia="AdvTimes" w:hAnsi="Book Antiqua"/>
          <w:sz w:val="24"/>
          <w:szCs w:val="24"/>
          <w:lang w:val="en-GB" w:eastAsia="ja-JP"/>
        </w:rPr>
        <w:t xml:space="preserve">gene is most likely the key determinant in the regulation of telomerase activity; notably, TERT transcriptional activity is specifically up-regulated in cancer cells, but is silent in most normal cells. The </w:t>
      </w:r>
      <w:r w:rsidRPr="006F2809">
        <w:rPr>
          <w:rFonts w:ascii="Book Antiqua" w:eastAsia="AdvTimes" w:hAnsi="Book Antiqua"/>
          <w:i/>
          <w:sz w:val="24"/>
          <w:szCs w:val="24"/>
          <w:lang w:val="en-GB" w:eastAsia="ja-JP"/>
        </w:rPr>
        <w:t>TERT</w:t>
      </w:r>
      <w:r w:rsidRPr="006F2809">
        <w:rPr>
          <w:rFonts w:ascii="Book Antiqua" w:eastAsia="AdvTimes" w:hAnsi="Book Antiqua"/>
          <w:sz w:val="24"/>
          <w:szCs w:val="24"/>
          <w:lang w:val="en-GB" w:eastAsia="ja-JP"/>
        </w:rPr>
        <w:t xml:space="preserve"> gene consists of approximately 35 kb DNA and comprises 16 exons and 15 introns. At the </w:t>
      </w:r>
      <w:r w:rsidRPr="006F2809">
        <w:rPr>
          <w:rFonts w:ascii="Book Antiqua" w:eastAsia="AdvTimes" w:hAnsi="Book Antiqua"/>
          <w:sz w:val="24"/>
          <w:szCs w:val="24"/>
          <w:lang w:val="en-GB" w:eastAsia="ja-JP"/>
        </w:rPr>
        <w:lastRenderedPageBreak/>
        <w:t xml:space="preserve">transcriptional level, more than 20 transcription factor-binding sites that act as activators or repressors have been identified within the TERT promoter. The cooperation of MYC and SP1 is required for the full activation of the </w:t>
      </w:r>
      <w:r w:rsidRPr="006F2809">
        <w:rPr>
          <w:rFonts w:ascii="Book Antiqua" w:eastAsia="AdvTimes" w:hAnsi="Book Antiqua"/>
          <w:i/>
          <w:sz w:val="24"/>
          <w:szCs w:val="24"/>
          <w:lang w:val="en-GB" w:eastAsia="ja-JP"/>
        </w:rPr>
        <w:t>TERT</w:t>
      </w:r>
      <w:r w:rsidRPr="006F2809">
        <w:rPr>
          <w:rFonts w:ascii="Book Antiqua" w:eastAsia="AdvTimes" w:hAnsi="Book Antiqua"/>
          <w:sz w:val="24"/>
          <w:szCs w:val="24"/>
          <w:lang w:val="en-GB" w:eastAsia="ja-JP"/>
        </w:rPr>
        <w:t xml:space="preserve"> promoter, while TP53, through its interaction with SP1, down-regulates TERT. </w:t>
      </w:r>
      <w:r w:rsidRPr="006F2809">
        <w:rPr>
          <w:rFonts w:ascii="Book Antiqua" w:eastAsia="AdvTimes" w:hAnsi="Book Antiqua"/>
          <w:i/>
          <w:sz w:val="24"/>
          <w:szCs w:val="24"/>
          <w:lang w:val="en-GB" w:eastAsia="ja-JP"/>
        </w:rPr>
        <w:t>TERT</w:t>
      </w:r>
      <w:r w:rsidRPr="006F2809">
        <w:rPr>
          <w:rFonts w:ascii="Book Antiqua" w:eastAsia="AdvTimes" w:hAnsi="Book Antiqua"/>
          <w:sz w:val="24"/>
          <w:szCs w:val="24"/>
          <w:lang w:val="en-GB" w:eastAsia="ja-JP"/>
        </w:rPr>
        <w:t xml:space="preserve"> is also directly activated by nuclear factor-kB, hypoxia-inducible factor (HIF)-1, and the ETS/MYC complex. The histone methyltransferase SMYD3 also directly contributes to inducible and constitutive TERT expression in normal and malignant human cells. TERT expression is suppressed by the oncosuppressor genes </w:t>
      </w:r>
      <w:r w:rsidRPr="006F2809">
        <w:rPr>
          <w:rFonts w:ascii="Book Antiqua" w:eastAsia="AdvTimes" w:hAnsi="Book Antiqua"/>
          <w:i/>
          <w:sz w:val="24"/>
          <w:szCs w:val="24"/>
          <w:lang w:val="en-GB" w:eastAsia="ja-JP"/>
        </w:rPr>
        <w:t>WT127</w:t>
      </w:r>
      <w:r w:rsidRPr="006F2809">
        <w:rPr>
          <w:rFonts w:ascii="Book Antiqua" w:eastAsia="AdvTimes" w:hAnsi="Book Antiqua"/>
          <w:sz w:val="24"/>
          <w:szCs w:val="24"/>
          <w:lang w:val="en-GB" w:eastAsia="ja-JP"/>
        </w:rPr>
        <w:t xml:space="preserve"> and</w:t>
      </w:r>
      <w:r w:rsidRPr="006F2809">
        <w:rPr>
          <w:rFonts w:ascii="Book Antiqua" w:eastAsia="AdvTimes" w:hAnsi="Book Antiqua"/>
          <w:i/>
          <w:sz w:val="24"/>
          <w:szCs w:val="24"/>
          <w:lang w:val="en-GB" w:eastAsia="ja-JP"/>
        </w:rPr>
        <w:t xml:space="preserve"> MEN1,</w:t>
      </w:r>
      <w:r w:rsidRPr="006F2809">
        <w:rPr>
          <w:rFonts w:ascii="Book Antiqua" w:eastAsia="AdvTimes" w:hAnsi="Book Antiqua"/>
          <w:sz w:val="24"/>
          <w:szCs w:val="24"/>
          <w:lang w:val="en-GB" w:eastAsia="ja-JP"/>
        </w:rPr>
        <w:t xml:space="preserve"> and through the MAD/MYC and TGF-β/SMAD pathways. The cell cycle inhibitors p16INK4a and p27KIP1 have also been shown to down-regulate TERT expression in cancer cells</w:t>
      </w:r>
      <w:r w:rsidRPr="006F2809">
        <w:rPr>
          <w:rFonts w:ascii="Book Antiqua" w:eastAsia="AdvTimes" w:hAnsi="Book Antiqua"/>
          <w:sz w:val="24"/>
          <w:szCs w:val="24"/>
          <w:vertAlign w:val="superscript"/>
          <w:lang w:val="en-GB" w:eastAsia="ja-JP"/>
        </w:rPr>
        <w:t>[17]</w:t>
      </w:r>
      <w:r w:rsidRPr="006F2809">
        <w:rPr>
          <w:rFonts w:ascii="Book Antiqua" w:eastAsia="AdvTimes" w:hAnsi="Book Antiqua"/>
          <w:sz w:val="24"/>
          <w:szCs w:val="24"/>
          <w:lang w:val="en-GB" w:eastAsia="ja-JP"/>
        </w:rPr>
        <w:t xml:space="preserve">. Regulation of </w:t>
      </w:r>
      <w:r w:rsidRPr="006F2809">
        <w:rPr>
          <w:rFonts w:ascii="Book Antiqua" w:eastAsia="AdvTimes" w:hAnsi="Book Antiqua"/>
          <w:i/>
          <w:sz w:val="24"/>
          <w:szCs w:val="24"/>
          <w:lang w:val="en-GB" w:eastAsia="ja-JP"/>
        </w:rPr>
        <w:t>TERT</w:t>
      </w:r>
      <w:r w:rsidRPr="006F2809">
        <w:rPr>
          <w:rFonts w:ascii="Book Antiqua" w:eastAsia="AdvTimes" w:hAnsi="Book Antiqua"/>
          <w:sz w:val="24"/>
          <w:szCs w:val="24"/>
          <w:lang w:val="en-GB" w:eastAsia="ja-JP"/>
        </w:rPr>
        <w:t xml:space="preserve"> transcription may also involve DNA methylation, because the </w:t>
      </w:r>
      <w:r w:rsidRPr="006F2809">
        <w:rPr>
          <w:rFonts w:ascii="Book Antiqua" w:eastAsia="AdvTimes" w:hAnsi="Book Antiqua"/>
          <w:i/>
          <w:sz w:val="24"/>
          <w:szCs w:val="24"/>
          <w:lang w:val="en-GB" w:eastAsia="ja-JP"/>
        </w:rPr>
        <w:t>TERT</w:t>
      </w:r>
      <w:r w:rsidRPr="006F2809">
        <w:rPr>
          <w:rFonts w:ascii="Book Antiqua" w:eastAsia="AdvTimes" w:hAnsi="Book Antiqua"/>
          <w:sz w:val="24"/>
          <w:szCs w:val="24"/>
          <w:lang w:val="en-GB" w:eastAsia="ja-JP"/>
        </w:rPr>
        <w:t xml:space="preserve"> promoter contains a cluster of CpG sites. At the post-transcriptional level, modulation of telomerase may occur by alternative splicings that may be tissue-specific; at least 10 different variants of TERT mRNA have been described, and some of these splicing products may exert a dominant negative function by competitive interaction with components of the telomerase complex</w:t>
      </w:r>
      <w:r w:rsidRPr="006F2809">
        <w:rPr>
          <w:rFonts w:ascii="Book Antiqua" w:eastAsia="AdvTimes" w:hAnsi="Book Antiqua"/>
          <w:sz w:val="24"/>
          <w:szCs w:val="24"/>
          <w:vertAlign w:val="superscript"/>
          <w:lang w:val="en-GB" w:eastAsia="ja-JP"/>
        </w:rPr>
        <w:t>[18,19]</w:t>
      </w:r>
      <w:r w:rsidRPr="006F2809">
        <w:rPr>
          <w:rFonts w:ascii="Book Antiqua" w:eastAsia="AdvTimes" w:hAnsi="Book Antiqua"/>
          <w:sz w:val="24"/>
          <w:szCs w:val="24"/>
          <w:lang w:val="en-GB" w:eastAsia="ja-JP"/>
        </w:rPr>
        <w:t>. Telomerase activity is also controlled through post-translational modifications of the TERT protein. Phosphorylation of the protein at critical sites by the PI3K/AKT kinase pathway seems to be crucial for telomerase activity</w:t>
      </w:r>
      <w:r w:rsidRPr="006F2809">
        <w:rPr>
          <w:rFonts w:ascii="Book Antiqua" w:eastAsia="AdvTimes" w:hAnsi="Book Antiqua"/>
          <w:sz w:val="24"/>
          <w:szCs w:val="24"/>
          <w:vertAlign w:val="superscript"/>
          <w:lang w:val="en-GB" w:eastAsia="ja-JP"/>
        </w:rPr>
        <w:t>[20]</w:t>
      </w:r>
      <w:r w:rsidRPr="006F2809">
        <w:rPr>
          <w:rFonts w:ascii="Book Antiqua" w:eastAsia="AdvTimes" w:hAnsi="Book Antiqua"/>
          <w:sz w:val="24"/>
          <w:szCs w:val="24"/>
          <w:lang w:val="en-GB" w:eastAsia="ja-JP"/>
        </w:rPr>
        <w:t>. Telomere-associated shelterin plays a role in the activity of telomerase; TPP1 is heterodimerised with POT1 and the POT1-TPP1 complex can recruit and stimulate telomerase activity, thereby regulating telomere length through the TPP1-telomerase interaction</w:t>
      </w:r>
      <w:r w:rsidRPr="006F2809">
        <w:rPr>
          <w:rFonts w:ascii="Book Antiqua" w:eastAsia="AdvTimes" w:hAnsi="Book Antiqua"/>
          <w:sz w:val="24"/>
          <w:szCs w:val="24"/>
          <w:vertAlign w:val="superscript"/>
          <w:lang w:val="en-GB" w:eastAsia="ja-JP"/>
        </w:rPr>
        <w:t>[21]</w:t>
      </w:r>
      <w:r w:rsidRPr="006F2809">
        <w:rPr>
          <w:rFonts w:ascii="Book Antiqua" w:eastAsia="AdvTimes" w:hAnsi="Book Antiqua"/>
          <w:sz w:val="24"/>
          <w:szCs w:val="24"/>
          <w:lang w:val="en-GB" w:eastAsia="ja-JP"/>
        </w:rPr>
        <w:t xml:space="preserve">. </w:t>
      </w:r>
      <w:r w:rsidRPr="006F2809">
        <w:rPr>
          <w:rFonts w:ascii="Book Antiqua" w:hAnsi="Book Antiqua"/>
          <w:sz w:val="24"/>
          <w:szCs w:val="24"/>
          <w:lang w:val="en-US"/>
        </w:rPr>
        <w:t>Notably, recent studies have suggested that, in addition to maintaining telomere length, TERT is involved in several other cell functions. The expression of TERT increases replicative kinetics</w:t>
      </w:r>
      <w:r w:rsidRPr="006F2809">
        <w:rPr>
          <w:rFonts w:ascii="Book Antiqua" w:hAnsi="Book Antiqua"/>
          <w:sz w:val="24"/>
          <w:szCs w:val="24"/>
          <w:vertAlign w:val="superscript"/>
          <w:lang w:val="en-US"/>
        </w:rPr>
        <w:t>[22,23]</w:t>
      </w:r>
      <w:r w:rsidRPr="006F2809">
        <w:rPr>
          <w:rFonts w:ascii="Book Antiqua" w:hAnsi="Book Antiqua"/>
          <w:sz w:val="24"/>
          <w:szCs w:val="24"/>
          <w:lang w:val="en-US"/>
        </w:rPr>
        <w:t>, promotes cell growth under adverse conditions and may also act as an anti-apoptotic agent</w:t>
      </w:r>
      <w:r w:rsidRPr="006F2809">
        <w:rPr>
          <w:rFonts w:ascii="Book Antiqua" w:hAnsi="Book Antiqua"/>
          <w:sz w:val="24"/>
          <w:szCs w:val="24"/>
          <w:vertAlign w:val="superscript"/>
          <w:lang w:val="en-US"/>
        </w:rPr>
        <w:t>[24-26]</w:t>
      </w:r>
      <w:r w:rsidRPr="006F2809">
        <w:rPr>
          <w:rFonts w:ascii="Book Antiqua" w:hAnsi="Book Antiqua"/>
          <w:sz w:val="24"/>
          <w:szCs w:val="24"/>
          <w:lang w:val="en-US"/>
        </w:rPr>
        <w:t>.</w:t>
      </w:r>
      <w:r w:rsidRPr="006F2809">
        <w:rPr>
          <w:rFonts w:ascii="Book Antiqua" w:eastAsia="AdvTimes" w:hAnsi="Book Antiqua"/>
          <w:sz w:val="24"/>
          <w:szCs w:val="24"/>
          <w:lang w:val="en-GB" w:eastAsia="ja-JP"/>
        </w:rPr>
        <w:t xml:space="preserve"> High levels of telomerase confer resistance to several antineoplastic drugs </w:t>
      </w:r>
      <w:r w:rsidRPr="006F2809">
        <w:rPr>
          <w:rFonts w:ascii="Book Antiqua" w:eastAsia="AdvTimes" w:hAnsi="Book Antiqua"/>
          <w:sz w:val="24"/>
          <w:szCs w:val="24"/>
          <w:vertAlign w:val="superscript"/>
          <w:lang w:val="en-GB" w:eastAsia="ja-JP"/>
        </w:rPr>
        <w:t>[27,28]</w:t>
      </w:r>
      <w:r w:rsidRPr="006F2809">
        <w:rPr>
          <w:rFonts w:ascii="Book Antiqua" w:eastAsia="AdvTimes" w:hAnsi="Book Antiqua"/>
          <w:sz w:val="24"/>
          <w:szCs w:val="24"/>
          <w:lang w:val="en-GB" w:eastAsia="ja-JP"/>
        </w:rPr>
        <w:t xml:space="preserve">. </w:t>
      </w:r>
    </w:p>
    <w:p w:rsidR="00D55DFD" w:rsidRPr="006F2809" w:rsidRDefault="00D55DFD" w:rsidP="004D1EA2">
      <w:pPr>
        <w:tabs>
          <w:tab w:val="left" w:pos="567"/>
        </w:tabs>
        <w:snapToGrid w:val="0"/>
        <w:spacing w:after="0" w:line="360" w:lineRule="auto"/>
        <w:ind w:firstLineChars="50" w:firstLine="120"/>
        <w:jc w:val="both"/>
        <w:rPr>
          <w:rFonts w:ascii="Book Antiqua" w:eastAsia="AdvTimes" w:hAnsi="Book Antiqua"/>
          <w:sz w:val="24"/>
          <w:szCs w:val="24"/>
          <w:lang w:val="en-GB" w:eastAsia="ja-JP"/>
        </w:rPr>
      </w:pPr>
      <w:r w:rsidRPr="006F2809">
        <w:rPr>
          <w:rFonts w:ascii="Book Antiqua" w:hAnsi="Book Antiqua"/>
          <w:sz w:val="24"/>
          <w:szCs w:val="24"/>
          <w:lang w:val="en-GB"/>
        </w:rPr>
        <w:t xml:space="preserve">We direct our attention here to the questions listed in </w:t>
      </w:r>
      <w:r w:rsidRPr="006F2809">
        <w:rPr>
          <w:rFonts w:ascii="Book Antiqua" w:hAnsi="Book Antiqua"/>
          <w:sz w:val="24"/>
          <w:szCs w:val="24"/>
          <w:lang w:val="en-GB" w:eastAsia="zh-CN"/>
        </w:rPr>
        <w:t xml:space="preserve">Table </w:t>
      </w:r>
      <w:r w:rsidRPr="006F2809">
        <w:rPr>
          <w:rFonts w:ascii="Book Antiqua" w:hAnsi="Book Antiqua"/>
          <w:sz w:val="24"/>
          <w:szCs w:val="24"/>
          <w:lang w:val="en-GB"/>
        </w:rPr>
        <w:t xml:space="preserve">1. The answers to these questions are important in defining the role of telomere/telomerase interplay in the CRC carcinogenesis. </w:t>
      </w: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eastAsia="zh-CN"/>
        </w:rPr>
      </w:pP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r w:rsidRPr="006F2809">
        <w:rPr>
          <w:rFonts w:ascii="Book Antiqua" w:hAnsi="Book Antiqua"/>
          <w:b/>
          <w:color w:val="241F20"/>
          <w:sz w:val="24"/>
          <w:szCs w:val="24"/>
          <w:lang w:val="en-US"/>
        </w:rPr>
        <w:t xml:space="preserve">TELOMERES AND GENETIC INSTABILITY IN THE GENESIS OF COLORECTAL CANCERS </w:t>
      </w:r>
    </w:p>
    <w:p w:rsidR="00D55DFD" w:rsidRPr="006F2809" w:rsidRDefault="00D55DFD" w:rsidP="004D1EA2">
      <w:pPr>
        <w:tabs>
          <w:tab w:val="left" w:pos="567"/>
        </w:tabs>
        <w:snapToGrid w:val="0"/>
        <w:spacing w:after="0" w:line="360" w:lineRule="auto"/>
        <w:jc w:val="both"/>
        <w:rPr>
          <w:rFonts w:ascii="Book Antiqua" w:hAnsi="Book Antiqua"/>
          <w:sz w:val="24"/>
          <w:szCs w:val="24"/>
          <w:lang w:val="en-GB"/>
        </w:rPr>
      </w:pPr>
      <w:r w:rsidRPr="006F2809">
        <w:rPr>
          <w:rFonts w:ascii="Book Antiqua" w:hAnsi="Book Antiqua"/>
          <w:sz w:val="24"/>
          <w:szCs w:val="24"/>
          <w:lang w:val="en-US"/>
        </w:rPr>
        <w:lastRenderedPageBreak/>
        <w:t xml:space="preserve">There are at least two major pathways by which molecular events can lead to CRC; most CRCs (approximately 85% of cases) are characterised by chromosomal instability (CIN), while the other CRCs have a microsatellite instability (MSI) phenotype. CIN is a dynamic process of allelic imbalance at several chromosomal loci, with chromosome amplification and translocation, and it is an efficient mechanism for causing the loss of oncosuppressor genes, such as </w:t>
      </w:r>
      <w:r w:rsidRPr="006F2809">
        <w:rPr>
          <w:rFonts w:ascii="Book Antiqua" w:hAnsi="Book Antiqua"/>
          <w:i/>
          <w:sz w:val="24"/>
          <w:szCs w:val="24"/>
          <w:lang w:val="en-US"/>
        </w:rPr>
        <w:t xml:space="preserve">APC, TP53, </w:t>
      </w:r>
      <w:r w:rsidRPr="006F2809">
        <w:rPr>
          <w:rFonts w:ascii="Book Antiqua" w:hAnsi="Book Antiqua"/>
          <w:sz w:val="24"/>
          <w:szCs w:val="24"/>
          <w:lang w:val="en-US"/>
        </w:rPr>
        <w:t xml:space="preserve">and </w:t>
      </w:r>
      <w:r w:rsidRPr="006F2809">
        <w:rPr>
          <w:rFonts w:ascii="Book Antiqua" w:hAnsi="Book Antiqua"/>
          <w:i/>
          <w:sz w:val="24"/>
          <w:szCs w:val="24"/>
          <w:lang w:val="en-US"/>
        </w:rPr>
        <w:t>SMAD</w:t>
      </w:r>
      <w:r w:rsidRPr="006F2809">
        <w:rPr>
          <w:rFonts w:ascii="Book Antiqua" w:hAnsi="Book Antiqua"/>
          <w:sz w:val="24"/>
          <w:szCs w:val="24"/>
          <w:lang w:val="en-US"/>
        </w:rPr>
        <w:t xml:space="preserve"> family member 2 and 4 involved in the TGF-β</w:t>
      </w:r>
      <w:r w:rsidRPr="006F2809">
        <w:rPr>
          <w:rFonts w:ascii="Book Antiqua" w:hAnsi="Book Antiqua"/>
          <w:sz w:val="24"/>
          <w:szCs w:val="24"/>
          <w:lang w:val="en-US" w:eastAsia="zh-CN"/>
        </w:rPr>
        <w:t xml:space="preserve"> </w:t>
      </w:r>
      <w:r w:rsidRPr="006F2809">
        <w:rPr>
          <w:rFonts w:ascii="Book Antiqua" w:hAnsi="Book Antiqua"/>
          <w:sz w:val="24"/>
          <w:szCs w:val="24"/>
          <w:lang w:val="en-US"/>
        </w:rPr>
        <w:t xml:space="preserve">signaling pathway, and the activation of oncogenes, such as </w:t>
      </w:r>
      <w:r w:rsidRPr="006F2809">
        <w:rPr>
          <w:rFonts w:ascii="Book Antiqua" w:hAnsi="Book Antiqua"/>
          <w:i/>
          <w:sz w:val="24"/>
          <w:szCs w:val="24"/>
          <w:lang w:val="en-US"/>
        </w:rPr>
        <w:t>KRAS</w:t>
      </w:r>
      <w:r w:rsidRPr="006F2809">
        <w:rPr>
          <w:rFonts w:ascii="Book Antiqua" w:hAnsi="Book Antiqua"/>
          <w:sz w:val="24"/>
          <w:szCs w:val="24"/>
          <w:lang w:val="en-US"/>
        </w:rPr>
        <w:t xml:space="preserve"> and </w:t>
      </w:r>
      <w:r w:rsidRPr="006F2809">
        <w:rPr>
          <w:rFonts w:ascii="Book Antiqua" w:hAnsi="Book Antiqua"/>
          <w:i/>
          <w:sz w:val="24"/>
          <w:szCs w:val="24"/>
          <w:lang w:val="en-US"/>
        </w:rPr>
        <w:t>BRAF,</w:t>
      </w:r>
      <w:r w:rsidRPr="006F2809">
        <w:rPr>
          <w:rFonts w:ascii="Book Antiqua" w:hAnsi="Book Antiqua"/>
          <w:sz w:val="24"/>
          <w:szCs w:val="24"/>
          <w:lang w:val="en-US"/>
        </w:rPr>
        <w:t xml:space="preserve"> which activate the mitogen-activated protein kinase signalling pathway</w:t>
      </w:r>
      <w:r w:rsidRPr="006F2809">
        <w:rPr>
          <w:rFonts w:ascii="Book Antiqua" w:hAnsi="Book Antiqua"/>
          <w:sz w:val="24"/>
          <w:szCs w:val="24"/>
          <w:vertAlign w:val="superscript"/>
          <w:lang w:val="en-US"/>
        </w:rPr>
        <w:t>[29]</w:t>
      </w:r>
      <w:r w:rsidRPr="006F2809">
        <w:rPr>
          <w:rFonts w:ascii="Book Antiqua" w:hAnsi="Book Antiqua"/>
          <w:sz w:val="24"/>
          <w:szCs w:val="24"/>
          <w:lang w:val="en-US"/>
        </w:rPr>
        <w:t xml:space="preserve">. The MSI phenotype is generated by a deficient DNA mismatch repair (MMR) system. Alterations to one of the seven known </w:t>
      </w:r>
      <w:r w:rsidRPr="006F2809">
        <w:rPr>
          <w:rFonts w:ascii="Book Antiqua" w:hAnsi="Book Antiqua"/>
          <w:i/>
          <w:sz w:val="24"/>
          <w:szCs w:val="24"/>
          <w:lang w:val="en-US"/>
        </w:rPr>
        <w:t>MMR</w:t>
      </w:r>
      <w:r w:rsidRPr="006F2809">
        <w:rPr>
          <w:rFonts w:ascii="Book Antiqua" w:hAnsi="Book Antiqua"/>
          <w:sz w:val="24"/>
          <w:szCs w:val="24"/>
          <w:lang w:val="en-US"/>
        </w:rPr>
        <w:t xml:space="preserve"> genes (</w:t>
      </w:r>
      <w:r w:rsidRPr="006F2809">
        <w:rPr>
          <w:rFonts w:ascii="Book Antiqua" w:hAnsi="Book Antiqua"/>
          <w:i/>
          <w:sz w:val="24"/>
          <w:szCs w:val="24"/>
          <w:lang w:val="en-US"/>
        </w:rPr>
        <w:t>MSH2, MLH1, MSH6, PMS1, PMS2, MSH3</w:t>
      </w:r>
      <w:r w:rsidRPr="006F2809">
        <w:rPr>
          <w:rFonts w:ascii="Book Antiqua" w:hAnsi="Book Antiqua"/>
          <w:sz w:val="24"/>
          <w:szCs w:val="24"/>
          <w:lang w:val="en-US"/>
        </w:rPr>
        <w:t xml:space="preserve">, and </w:t>
      </w:r>
      <w:r w:rsidRPr="006F2809">
        <w:rPr>
          <w:rFonts w:ascii="Book Antiqua" w:hAnsi="Book Antiqua"/>
          <w:i/>
          <w:sz w:val="24"/>
          <w:szCs w:val="24"/>
          <w:lang w:val="en-US"/>
        </w:rPr>
        <w:t>MLH3</w:t>
      </w:r>
      <w:r w:rsidRPr="006F2809">
        <w:rPr>
          <w:rFonts w:ascii="Book Antiqua" w:hAnsi="Book Antiqua"/>
          <w:sz w:val="24"/>
          <w:szCs w:val="24"/>
          <w:lang w:val="en-US"/>
        </w:rPr>
        <w:t xml:space="preserve">) cause unrepaired errors in the nucleotide repeat sequences, known as microsatellites. Methylation of promoters of </w:t>
      </w:r>
      <w:r w:rsidRPr="006F2809">
        <w:rPr>
          <w:rFonts w:ascii="Book Antiqua" w:hAnsi="Book Antiqua"/>
          <w:i/>
          <w:sz w:val="24"/>
          <w:szCs w:val="24"/>
          <w:lang w:val="en-US"/>
        </w:rPr>
        <w:t>MMR</w:t>
      </w:r>
      <w:r w:rsidRPr="006F2809">
        <w:rPr>
          <w:rFonts w:ascii="Book Antiqua" w:hAnsi="Book Antiqua"/>
          <w:sz w:val="24"/>
          <w:szCs w:val="24"/>
          <w:lang w:val="en-US"/>
        </w:rPr>
        <w:t xml:space="preserve"> genes, particularly </w:t>
      </w:r>
      <w:r w:rsidRPr="006F2809">
        <w:rPr>
          <w:rFonts w:ascii="Book Antiqua" w:hAnsi="Book Antiqua"/>
          <w:i/>
          <w:sz w:val="24"/>
          <w:szCs w:val="24"/>
          <w:lang w:val="en-US"/>
        </w:rPr>
        <w:t>MLH1</w:t>
      </w:r>
      <w:r w:rsidRPr="006F2809">
        <w:rPr>
          <w:rFonts w:ascii="Book Antiqua" w:hAnsi="Book Antiqua"/>
          <w:sz w:val="24"/>
          <w:szCs w:val="24"/>
          <w:lang w:val="en-US"/>
        </w:rPr>
        <w:t xml:space="preserve">, is the most frequent mechanism for silencing </w:t>
      </w:r>
      <w:r w:rsidRPr="006F2809">
        <w:rPr>
          <w:rFonts w:ascii="Book Antiqua" w:hAnsi="Book Antiqua"/>
          <w:i/>
          <w:sz w:val="24"/>
          <w:szCs w:val="24"/>
          <w:lang w:val="en-US"/>
        </w:rPr>
        <w:t>MMR</w:t>
      </w:r>
      <w:r w:rsidRPr="006F2809">
        <w:rPr>
          <w:rFonts w:ascii="Book Antiqua" w:hAnsi="Book Antiqua"/>
          <w:sz w:val="24"/>
          <w:szCs w:val="24"/>
          <w:lang w:val="en-US"/>
        </w:rPr>
        <w:t xml:space="preserve"> genes in sporadic CRCs, which in fact is frequently associated with the GpG island methylator phenotype</w:t>
      </w:r>
      <w:r w:rsidRPr="006F2809">
        <w:rPr>
          <w:rFonts w:ascii="Book Antiqua" w:hAnsi="Book Antiqua"/>
          <w:sz w:val="24"/>
          <w:szCs w:val="24"/>
          <w:vertAlign w:val="superscript"/>
          <w:lang w:val="en-US"/>
        </w:rPr>
        <w:t>[4,30]</w:t>
      </w:r>
      <w:r w:rsidRPr="006F2809">
        <w:rPr>
          <w:rFonts w:ascii="Book Antiqua" w:hAnsi="Book Antiqua"/>
          <w:sz w:val="24"/>
          <w:szCs w:val="24"/>
          <w:lang w:val="en-US"/>
        </w:rPr>
        <w:t>. While the significance of telomere alterations in MSI is unclear, telomere dysfunction may be considered a major driving force in the generation of CIN.</w:t>
      </w:r>
    </w:p>
    <w:p w:rsidR="00D55DFD" w:rsidRPr="006F2809" w:rsidRDefault="00D55DFD" w:rsidP="004D1EA2">
      <w:pPr>
        <w:autoSpaceDE w:val="0"/>
        <w:autoSpaceDN w:val="0"/>
        <w:adjustRightInd w:val="0"/>
        <w:snapToGrid w:val="0"/>
        <w:spacing w:after="0" w:line="360" w:lineRule="auto"/>
        <w:ind w:firstLineChars="50" w:firstLine="120"/>
        <w:jc w:val="both"/>
        <w:rPr>
          <w:rFonts w:ascii="Book Antiqua" w:hAnsi="Book Antiqua"/>
          <w:sz w:val="24"/>
          <w:szCs w:val="24"/>
          <w:lang w:val="en-GB"/>
        </w:rPr>
      </w:pPr>
      <w:r w:rsidRPr="006F2809">
        <w:rPr>
          <w:rFonts w:ascii="Book Antiqua" w:hAnsi="Book Antiqua"/>
          <w:sz w:val="24"/>
          <w:szCs w:val="24"/>
          <w:lang w:val="en-GB"/>
        </w:rPr>
        <w:t xml:space="preserve">Several studies have demonstrated that </w:t>
      </w:r>
      <w:r w:rsidRPr="006F2809">
        <w:rPr>
          <w:rFonts w:ascii="Book Antiqua" w:hAnsi="Book Antiqua"/>
          <w:iCs/>
          <w:sz w:val="24"/>
          <w:szCs w:val="24"/>
          <w:lang w:val="en-GB" w:eastAsia="it-IT"/>
        </w:rPr>
        <w:t>telomeres are shorter in CRCs than in the adjacent mucosa</w:t>
      </w:r>
      <w:r w:rsidRPr="006F2809">
        <w:rPr>
          <w:rFonts w:ascii="Book Antiqua" w:hAnsi="Book Antiqua"/>
          <w:i/>
          <w:iCs/>
          <w:sz w:val="24"/>
          <w:szCs w:val="24"/>
          <w:lang w:val="en-GB" w:eastAsia="it-IT"/>
        </w:rPr>
        <w:t xml:space="preserve"> </w:t>
      </w:r>
      <w:r w:rsidRPr="006F2809">
        <w:rPr>
          <w:rFonts w:ascii="Book Antiqua" w:hAnsi="Book Antiqua"/>
          <w:iCs/>
          <w:sz w:val="24"/>
          <w:szCs w:val="24"/>
          <w:lang w:val="en-GB" w:eastAsia="it-IT"/>
        </w:rPr>
        <w:t xml:space="preserve">(Table </w:t>
      </w:r>
      <w:r w:rsidRPr="006F2809">
        <w:rPr>
          <w:rFonts w:ascii="Book Antiqua" w:hAnsi="Book Antiqua"/>
          <w:iCs/>
          <w:sz w:val="24"/>
          <w:szCs w:val="24"/>
          <w:lang w:val="en-GB" w:eastAsia="zh-CN"/>
        </w:rPr>
        <w:t>2</w:t>
      </w:r>
      <w:r w:rsidRPr="006F2809">
        <w:rPr>
          <w:rFonts w:ascii="Book Antiqua" w:hAnsi="Book Antiqua"/>
          <w:iCs/>
          <w:sz w:val="24"/>
          <w:szCs w:val="24"/>
          <w:lang w:val="en-GB" w:eastAsia="it-IT"/>
        </w:rPr>
        <w:t xml:space="preserve">). </w:t>
      </w:r>
      <w:r w:rsidRPr="006F2809">
        <w:rPr>
          <w:rFonts w:ascii="Book Antiqua" w:hAnsi="Book Antiqua"/>
          <w:sz w:val="24"/>
          <w:szCs w:val="24"/>
          <w:lang w:val="en-GB"/>
        </w:rPr>
        <w:t xml:space="preserve">While telomere length in somatic cells primarily reflects cellular proliferation, in tumour cells it reflects the balance between cellular proliferation with telomere loss and telomerase activity with </w:t>
      </w:r>
      <w:r w:rsidRPr="006F2809">
        <w:rPr>
          <w:rFonts w:ascii="Book Antiqua" w:hAnsi="Book Antiqua"/>
          <w:i/>
          <w:sz w:val="24"/>
          <w:szCs w:val="24"/>
          <w:lang w:val="en-GB"/>
        </w:rPr>
        <w:t>de novo</w:t>
      </w:r>
      <w:r w:rsidRPr="006F2809">
        <w:rPr>
          <w:rFonts w:ascii="Book Antiqua" w:hAnsi="Book Antiqua"/>
          <w:sz w:val="24"/>
          <w:szCs w:val="24"/>
          <w:lang w:val="en-GB"/>
        </w:rPr>
        <w:t xml:space="preserve"> synthesis of telomeric sequences. Evidence that telomeres are shorter in CRCs than in adjacent mucosa, even in well-differentiated tumours, strongly supports the concept that telomere erosion is a critical initial event in colorectal carcinogenesis. TRF1 is a main negative regulator of telomere length; over-expression of TRF1 in colorectal cells is correlated with shorter telomeres</w:t>
      </w:r>
      <w:r w:rsidRPr="006F2809">
        <w:rPr>
          <w:rFonts w:ascii="Book Antiqua" w:hAnsi="Book Antiqua"/>
          <w:sz w:val="24"/>
          <w:szCs w:val="24"/>
          <w:vertAlign w:val="superscript"/>
          <w:lang w:val="en-GB"/>
        </w:rPr>
        <w:t>[38]</w:t>
      </w:r>
      <w:r w:rsidRPr="006F2809">
        <w:rPr>
          <w:rFonts w:ascii="Book Antiqua" w:hAnsi="Book Antiqua"/>
          <w:sz w:val="24"/>
          <w:szCs w:val="24"/>
          <w:lang w:val="en-GB"/>
        </w:rPr>
        <w:t>. Telomere shortening in colorectal polyps was recently correlated with large-scale genomic rearrangements</w:t>
      </w:r>
      <w:r w:rsidRPr="006F2809">
        <w:rPr>
          <w:rFonts w:ascii="Book Antiqua" w:hAnsi="Book Antiqua"/>
          <w:sz w:val="24"/>
          <w:szCs w:val="24"/>
          <w:vertAlign w:val="superscript"/>
          <w:lang w:val="en-GB"/>
        </w:rPr>
        <w:t>[43]</w:t>
      </w:r>
      <w:r w:rsidRPr="006F2809">
        <w:rPr>
          <w:rFonts w:ascii="Book Antiqua" w:hAnsi="Book Antiqua"/>
          <w:sz w:val="24"/>
          <w:szCs w:val="24"/>
          <w:lang w:val="en-GB"/>
        </w:rPr>
        <w:t>. Notably, telomere shortening in adenomas is not correlated with polyp size. In  addition, the great differences in telomere length (differences of up to 4.6 kb between normal mucosa and polyps) are too large to be explained by replicative telomere erosion alone. Thus, the telomere length in CRC may reflect the short telomere length in the cells that originated the tumours, and telomere erosion may even precede the colorectal adenomagenesis</w:t>
      </w:r>
      <w:r w:rsidRPr="006F2809">
        <w:rPr>
          <w:rFonts w:ascii="Book Antiqua" w:hAnsi="Book Antiqua"/>
          <w:sz w:val="24"/>
          <w:szCs w:val="24"/>
          <w:vertAlign w:val="superscript"/>
          <w:lang w:val="en-GB"/>
        </w:rPr>
        <w:t>[43]</w:t>
      </w:r>
      <w:r w:rsidRPr="006F2809">
        <w:rPr>
          <w:rFonts w:ascii="Book Antiqua" w:hAnsi="Book Antiqua"/>
          <w:sz w:val="24"/>
          <w:szCs w:val="24"/>
          <w:lang w:val="en-GB"/>
        </w:rPr>
        <w:t xml:space="preserve">. Because this pattern has been observed in colorectal </w:t>
      </w:r>
      <w:r w:rsidRPr="006F2809">
        <w:rPr>
          <w:rFonts w:ascii="Book Antiqua" w:hAnsi="Book Antiqua"/>
          <w:sz w:val="24"/>
          <w:szCs w:val="24"/>
          <w:lang w:val="en-GB"/>
        </w:rPr>
        <w:lastRenderedPageBreak/>
        <w:t xml:space="preserve">adenomas from patients with familial adenomatous polyposis, it remains to be established whether it also occurs in sporadic CRCs. </w:t>
      </w:r>
    </w:p>
    <w:p w:rsidR="00D55DFD" w:rsidRPr="006F2809" w:rsidRDefault="00D55DFD" w:rsidP="004D1EA2">
      <w:pPr>
        <w:snapToGrid w:val="0"/>
        <w:spacing w:after="0" w:line="360" w:lineRule="auto"/>
        <w:ind w:firstLineChars="50" w:firstLine="120"/>
        <w:jc w:val="both"/>
        <w:rPr>
          <w:rFonts w:ascii="Book Antiqua" w:hAnsi="Book Antiqua"/>
          <w:sz w:val="24"/>
          <w:szCs w:val="24"/>
          <w:lang w:val="en-GB"/>
        </w:rPr>
      </w:pPr>
      <w:r w:rsidRPr="006F2809">
        <w:rPr>
          <w:rFonts w:ascii="Book Antiqua" w:hAnsi="Book Antiqua"/>
          <w:bCs/>
          <w:sz w:val="24"/>
          <w:szCs w:val="24"/>
          <w:lang w:val="en-GB"/>
        </w:rPr>
        <w:t xml:space="preserve">Approximately 15% of CRCs present MSI, whereas the </w:t>
      </w:r>
      <w:r w:rsidRPr="006F2809">
        <w:rPr>
          <w:rFonts w:ascii="Book Antiqua" w:hAnsi="Book Antiqua"/>
          <w:bCs/>
          <w:i/>
          <w:sz w:val="24"/>
          <w:szCs w:val="24"/>
          <w:lang w:val="en-GB"/>
        </w:rPr>
        <w:t>TP53</w:t>
      </w:r>
      <w:r w:rsidRPr="006F2809">
        <w:rPr>
          <w:rFonts w:ascii="Book Antiqua" w:hAnsi="Book Antiqua"/>
          <w:bCs/>
          <w:sz w:val="24"/>
          <w:szCs w:val="24"/>
          <w:lang w:val="en-GB"/>
        </w:rPr>
        <w:t xml:space="preserve"> gene is the known major genetic alteration in CRCs with chromosomal instability and stable microsatellites (MSS)</w:t>
      </w:r>
      <w:r w:rsidRPr="006F2809">
        <w:rPr>
          <w:rFonts w:ascii="Book Antiqua" w:hAnsi="Book Antiqua"/>
          <w:bCs/>
          <w:sz w:val="24"/>
          <w:szCs w:val="24"/>
          <w:vertAlign w:val="superscript"/>
          <w:lang w:val="en-GB"/>
        </w:rPr>
        <w:t>[5,44]</w:t>
      </w:r>
      <w:r w:rsidRPr="006F2809">
        <w:rPr>
          <w:rFonts w:ascii="Book Antiqua" w:hAnsi="Book Antiqua"/>
          <w:bCs/>
          <w:sz w:val="24"/>
          <w:szCs w:val="24"/>
          <w:lang w:val="en-GB"/>
        </w:rPr>
        <w:t>. A study performed on a large number of CRCs demonstrated that both MSI and MSS tumours have shorter telomeres compared with adjacent mucosa, but MSI cancers have shorter telomeres than MSS cancers</w:t>
      </w:r>
      <w:r w:rsidRPr="006F2809">
        <w:rPr>
          <w:rFonts w:ascii="Book Antiqua" w:hAnsi="Book Antiqua"/>
          <w:bCs/>
          <w:sz w:val="24"/>
          <w:szCs w:val="24"/>
          <w:vertAlign w:val="superscript"/>
          <w:lang w:val="en-GB"/>
        </w:rPr>
        <w:t>[41]</w:t>
      </w:r>
      <w:r w:rsidRPr="006F2809">
        <w:rPr>
          <w:rFonts w:ascii="Book Antiqua" w:hAnsi="Book Antiqua"/>
          <w:bCs/>
          <w:sz w:val="24"/>
          <w:szCs w:val="24"/>
          <w:lang w:val="en-GB"/>
        </w:rPr>
        <w:t>. This result matches another study</w:t>
      </w:r>
      <w:r w:rsidRPr="006F2809">
        <w:rPr>
          <w:rFonts w:ascii="Book Antiqua" w:hAnsi="Book Antiqua"/>
          <w:bCs/>
          <w:sz w:val="24"/>
          <w:szCs w:val="24"/>
          <w:vertAlign w:val="superscript"/>
          <w:lang w:val="en-GB"/>
        </w:rPr>
        <w:t>[44]</w:t>
      </w:r>
      <w:r w:rsidRPr="006F2809">
        <w:rPr>
          <w:rFonts w:ascii="Book Antiqua" w:hAnsi="Book Antiqua"/>
          <w:bCs/>
          <w:i/>
          <w:sz w:val="24"/>
          <w:szCs w:val="24"/>
          <w:lang w:val="en-GB"/>
        </w:rPr>
        <w:t>.</w:t>
      </w:r>
      <w:r w:rsidRPr="006F2809">
        <w:rPr>
          <w:rFonts w:ascii="Book Antiqua" w:hAnsi="Book Antiqua"/>
          <w:bCs/>
          <w:sz w:val="24"/>
          <w:szCs w:val="24"/>
          <w:lang w:val="en-GB"/>
        </w:rPr>
        <w:t xml:space="preserve"> The MSI pathway involves the failure of the MMR system</w:t>
      </w:r>
      <w:r w:rsidRPr="006F2809">
        <w:rPr>
          <w:rFonts w:ascii="Book Antiqua" w:hAnsi="Book Antiqua"/>
          <w:bCs/>
          <w:sz w:val="24"/>
          <w:szCs w:val="24"/>
          <w:vertAlign w:val="superscript"/>
          <w:lang w:val="en-GB"/>
        </w:rPr>
        <w:t>[46]</w:t>
      </w:r>
      <w:r w:rsidRPr="006F2809">
        <w:rPr>
          <w:rFonts w:ascii="Book Antiqua" w:hAnsi="Book Antiqua"/>
          <w:bCs/>
          <w:sz w:val="24"/>
          <w:szCs w:val="24"/>
          <w:lang w:val="en-GB"/>
        </w:rPr>
        <w:t>, which maintains genetic stability by repairing DNA replication errors and preventing chromosomal recombinations; a deficiency in MMR helps cells overcome cellular crises caused by the critical shortening of telomeres</w:t>
      </w:r>
      <w:r w:rsidRPr="006F2809">
        <w:rPr>
          <w:rFonts w:ascii="Book Antiqua" w:hAnsi="Book Antiqua"/>
          <w:bCs/>
          <w:sz w:val="24"/>
          <w:szCs w:val="24"/>
          <w:vertAlign w:val="superscript"/>
          <w:lang w:val="en-GB"/>
        </w:rPr>
        <w:t>[47]</w:t>
      </w:r>
      <w:r w:rsidRPr="006F2809">
        <w:rPr>
          <w:rFonts w:ascii="Book Antiqua" w:hAnsi="Book Antiqua"/>
          <w:bCs/>
          <w:sz w:val="24"/>
          <w:szCs w:val="24"/>
          <w:lang w:val="en-GB"/>
        </w:rPr>
        <w:t xml:space="preserve">. Thus, cells from MSI cancers may undergo more replicative cycles and more pronounced shortening of telomeres before stabilising compared with cells from MSS cancers. The difference is particularly great and significant when MSI tumours are compared with MSS tumours carrying the wild-type </w:t>
      </w:r>
      <w:r w:rsidRPr="006F2809">
        <w:rPr>
          <w:rFonts w:ascii="Book Antiqua" w:hAnsi="Book Antiqua"/>
          <w:bCs/>
          <w:i/>
          <w:sz w:val="24"/>
          <w:szCs w:val="24"/>
          <w:lang w:val="en-GB"/>
        </w:rPr>
        <w:t>TP53</w:t>
      </w:r>
      <w:r w:rsidRPr="006F2809">
        <w:rPr>
          <w:rFonts w:ascii="Book Antiqua" w:hAnsi="Book Antiqua"/>
          <w:bCs/>
          <w:sz w:val="24"/>
          <w:szCs w:val="24"/>
          <w:lang w:val="en-GB"/>
        </w:rPr>
        <w:t xml:space="preserve"> gene. Notably, MSS tumours with a mutated </w:t>
      </w:r>
      <w:r w:rsidRPr="006F2809">
        <w:rPr>
          <w:rFonts w:ascii="Book Antiqua" w:hAnsi="Book Antiqua"/>
          <w:bCs/>
          <w:i/>
          <w:sz w:val="24"/>
          <w:szCs w:val="24"/>
          <w:lang w:val="en-GB"/>
        </w:rPr>
        <w:t>TP53</w:t>
      </w:r>
      <w:r w:rsidRPr="006F2809">
        <w:rPr>
          <w:rFonts w:ascii="Book Antiqua" w:hAnsi="Book Antiqua"/>
          <w:bCs/>
          <w:sz w:val="24"/>
          <w:szCs w:val="24"/>
          <w:lang w:val="en-GB"/>
        </w:rPr>
        <w:t xml:space="preserve"> gene have slightly shorter telomeres than MSS tumours with the wild-type </w:t>
      </w:r>
      <w:r w:rsidRPr="006F2809">
        <w:rPr>
          <w:rFonts w:ascii="Book Antiqua" w:hAnsi="Book Antiqua"/>
          <w:bCs/>
          <w:i/>
          <w:sz w:val="24"/>
          <w:szCs w:val="24"/>
          <w:lang w:val="en-GB"/>
        </w:rPr>
        <w:t>TP53</w:t>
      </w:r>
      <w:r w:rsidRPr="006F2809">
        <w:rPr>
          <w:rFonts w:ascii="Book Antiqua" w:hAnsi="Book Antiqua"/>
          <w:bCs/>
          <w:sz w:val="24"/>
          <w:szCs w:val="24"/>
          <w:lang w:val="en-GB"/>
        </w:rPr>
        <w:t xml:space="preserve"> gene do. In cells with mutated </w:t>
      </w:r>
      <w:r w:rsidRPr="006F2809">
        <w:rPr>
          <w:rFonts w:ascii="Book Antiqua" w:hAnsi="Book Antiqua"/>
          <w:bCs/>
          <w:i/>
          <w:sz w:val="24"/>
          <w:szCs w:val="24"/>
          <w:lang w:val="en-GB"/>
        </w:rPr>
        <w:t>TP53</w:t>
      </w:r>
      <w:r w:rsidRPr="006F2809">
        <w:rPr>
          <w:rFonts w:ascii="Book Antiqua" w:hAnsi="Book Antiqua"/>
          <w:bCs/>
          <w:sz w:val="24"/>
          <w:szCs w:val="24"/>
          <w:lang w:val="en-GB"/>
        </w:rPr>
        <w:t>, telomeres may protract their shortening with cell proliferation. H</w:t>
      </w:r>
      <w:r w:rsidRPr="006F2809">
        <w:rPr>
          <w:rFonts w:ascii="Book Antiqua" w:hAnsi="Book Antiqua"/>
          <w:sz w:val="24"/>
          <w:szCs w:val="24"/>
          <w:lang w:val="en-GB"/>
        </w:rPr>
        <w:t xml:space="preserve">owever, TP53 is a well-known negative regulator of the </w:t>
      </w:r>
      <w:r w:rsidRPr="006F2809">
        <w:rPr>
          <w:rFonts w:ascii="Book Antiqua" w:hAnsi="Book Antiqua"/>
          <w:i/>
          <w:sz w:val="24"/>
          <w:szCs w:val="24"/>
          <w:lang w:val="en-GB"/>
        </w:rPr>
        <w:t>TERT</w:t>
      </w:r>
      <w:r w:rsidRPr="006F2809">
        <w:rPr>
          <w:rFonts w:ascii="Book Antiqua" w:hAnsi="Book Antiqua"/>
          <w:sz w:val="24"/>
          <w:szCs w:val="24"/>
          <w:lang w:val="en-GB"/>
        </w:rPr>
        <w:t xml:space="preserve"> promoter, and mutated TP53 protein may also result in TERT activation, so telomere stabilisation may occur earlier than it does in MSI tumours</w:t>
      </w:r>
      <w:r w:rsidRPr="006F2809">
        <w:rPr>
          <w:rFonts w:ascii="Book Antiqua" w:hAnsi="Book Antiqua"/>
          <w:sz w:val="24"/>
          <w:szCs w:val="24"/>
          <w:vertAlign w:val="superscript"/>
          <w:lang w:val="en-GB"/>
        </w:rPr>
        <w:t>[41]</w:t>
      </w:r>
      <w:r w:rsidRPr="006F2809">
        <w:rPr>
          <w:rFonts w:ascii="Book Antiqua" w:hAnsi="Book Antiqua"/>
          <w:sz w:val="24"/>
          <w:szCs w:val="24"/>
          <w:lang w:val="en-GB"/>
        </w:rPr>
        <w:t>.</w:t>
      </w:r>
    </w:p>
    <w:p w:rsidR="00D55DFD" w:rsidRPr="006F2809" w:rsidRDefault="00D55DFD" w:rsidP="004D1EA2">
      <w:pPr>
        <w:snapToGrid w:val="0"/>
        <w:spacing w:after="0" w:line="360" w:lineRule="auto"/>
        <w:ind w:firstLineChars="50" w:firstLine="120"/>
        <w:jc w:val="both"/>
        <w:rPr>
          <w:rFonts w:ascii="Book Antiqua" w:hAnsi="Book Antiqua"/>
          <w:bCs/>
          <w:sz w:val="24"/>
          <w:szCs w:val="24"/>
          <w:lang w:val="en-GB"/>
        </w:rPr>
      </w:pPr>
      <w:r w:rsidRPr="006F2809">
        <w:rPr>
          <w:rFonts w:ascii="Book Antiqua" w:hAnsi="Book Antiqua"/>
          <w:bCs/>
          <w:sz w:val="24"/>
          <w:szCs w:val="24"/>
          <w:lang w:val="en-GB"/>
        </w:rPr>
        <w:t>The down-regulation of MSH2 is associated with greater telomere shortening than in control cells; thus MSH2 deficiency may accelerate telomere shortening</w:t>
      </w:r>
      <w:r w:rsidRPr="006F2809">
        <w:rPr>
          <w:rFonts w:ascii="Book Antiqua" w:hAnsi="Book Antiqua"/>
          <w:bCs/>
          <w:sz w:val="24"/>
          <w:szCs w:val="24"/>
          <w:vertAlign w:val="superscript"/>
          <w:lang w:val="en-GB"/>
        </w:rPr>
        <w:t>[48]</w:t>
      </w:r>
      <w:r w:rsidRPr="006F2809">
        <w:rPr>
          <w:rFonts w:ascii="Book Antiqua" w:hAnsi="Book Antiqua"/>
          <w:bCs/>
          <w:sz w:val="24"/>
          <w:szCs w:val="24"/>
          <w:lang w:val="en-GB"/>
        </w:rPr>
        <w:t xml:space="preserve">. It is worth noting that the leukocyte telomeres of patients with Lynch syndrome, a hereditary CRC syndrome caused by germline mutations in </w:t>
      </w:r>
      <w:r w:rsidRPr="006F2809">
        <w:rPr>
          <w:rFonts w:ascii="Book Antiqua" w:hAnsi="Book Antiqua"/>
          <w:bCs/>
          <w:i/>
          <w:sz w:val="24"/>
          <w:szCs w:val="24"/>
          <w:lang w:val="en-GB"/>
        </w:rPr>
        <w:t>MMR</w:t>
      </w:r>
      <w:r w:rsidRPr="006F2809">
        <w:rPr>
          <w:rFonts w:ascii="Book Antiqua" w:hAnsi="Book Antiqua"/>
          <w:bCs/>
          <w:sz w:val="24"/>
          <w:szCs w:val="24"/>
          <w:lang w:val="en-GB"/>
        </w:rPr>
        <w:t xml:space="preserve"> genes are shorter than those of age-matched controls</w:t>
      </w:r>
      <w:r w:rsidRPr="006F2809">
        <w:rPr>
          <w:rFonts w:ascii="Book Antiqua" w:hAnsi="Book Antiqua"/>
          <w:bCs/>
          <w:sz w:val="24"/>
          <w:szCs w:val="24"/>
          <w:vertAlign w:val="superscript"/>
          <w:lang w:val="en-GB"/>
        </w:rPr>
        <w:t>[49]</w:t>
      </w:r>
      <w:r w:rsidRPr="006F2809">
        <w:rPr>
          <w:rFonts w:ascii="Book Antiqua" w:hAnsi="Book Antiqua"/>
          <w:bCs/>
          <w:sz w:val="24"/>
          <w:szCs w:val="24"/>
          <w:lang w:val="en-GB"/>
        </w:rPr>
        <w:t>. Whether a shorter telomere length in leukocytes is a risk factor for CRC or a consequence of either disease treatment or disease burden is a controversial question</w:t>
      </w:r>
      <w:r w:rsidRPr="006F2809">
        <w:rPr>
          <w:rFonts w:ascii="Book Antiqua" w:hAnsi="Book Antiqua"/>
          <w:bCs/>
          <w:sz w:val="24"/>
          <w:szCs w:val="24"/>
          <w:vertAlign w:val="superscript"/>
          <w:lang w:val="en-GB"/>
        </w:rPr>
        <w:t>[50-52]</w:t>
      </w:r>
      <w:r w:rsidRPr="006F2809">
        <w:rPr>
          <w:rFonts w:ascii="Book Antiqua" w:hAnsi="Book Antiqua"/>
          <w:bCs/>
          <w:sz w:val="24"/>
          <w:szCs w:val="24"/>
          <w:lang w:val="en-GB"/>
        </w:rPr>
        <w:t>, but there is general agreement that telomere shortening is an early event in colorectal carcinogenesis, even in sporadic CRC (Figure 1). Activation of the DDR is almost universal during the earliest stages of carcinogenesis</w:t>
      </w:r>
      <w:r w:rsidRPr="006F2809">
        <w:rPr>
          <w:rFonts w:ascii="Book Antiqua" w:hAnsi="Book Antiqua"/>
          <w:bCs/>
          <w:sz w:val="24"/>
          <w:szCs w:val="24"/>
          <w:vertAlign w:val="superscript"/>
          <w:lang w:val="en-GB"/>
        </w:rPr>
        <w:t>[53,54]</w:t>
      </w:r>
      <w:r w:rsidRPr="006F2809">
        <w:rPr>
          <w:rFonts w:ascii="Book Antiqua" w:hAnsi="Book Antiqua"/>
          <w:bCs/>
          <w:sz w:val="24"/>
          <w:szCs w:val="24"/>
          <w:lang w:val="en-GB"/>
        </w:rPr>
        <w:t>. A recent study suggested that telomere length is inversely correlated with activation of the DDR pathway, and telomere fusion may leads to general genomic instability</w:t>
      </w:r>
      <w:r w:rsidRPr="006F2809">
        <w:rPr>
          <w:rFonts w:ascii="Book Antiqua" w:hAnsi="Book Antiqua"/>
          <w:bCs/>
          <w:sz w:val="24"/>
          <w:szCs w:val="24"/>
          <w:vertAlign w:val="superscript"/>
          <w:lang w:val="en-GB"/>
        </w:rPr>
        <w:t>[40]</w:t>
      </w:r>
      <w:r w:rsidRPr="006F2809">
        <w:rPr>
          <w:rFonts w:ascii="Book Antiqua" w:hAnsi="Book Antiqua"/>
          <w:bCs/>
          <w:sz w:val="24"/>
          <w:szCs w:val="24"/>
          <w:lang w:val="en-GB"/>
        </w:rPr>
        <w:t xml:space="preserve">. </w:t>
      </w:r>
    </w:p>
    <w:p w:rsidR="00D55DFD" w:rsidRPr="006F2809" w:rsidRDefault="00D55DFD" w:rsidP="004D1EA2">
      <w:pPr>
        <w:snapToGrid w:val="0"/>
        <w:spacing w:after="0" w:line="360" w:lineRule="auto"/>
        <w:jc w:val="both"/>
        <w:rPr>
          <w:rFonts w:ascii="Book Antiqua" w:eastAsia="AdvTimes" w:hAnsi="Book Antiqua"/>
          <w:sz w:val="24"/>
          <w:szCs w:val="24"/>
          <w:lang w:val="en-GB" w:eastAsia="ja-JP"/>
        </w:rPr>
      </w:pPr>
    </w:p>
    <w:p w:rsidR="00D55DFD" w:rsidRPr="006F2809" w:rsidRDefault="00D55DFD" w:rsidP="004D1EA2">
      <w:pPr>
        <w:snapToGrid w:val="0"/>
        <w:spacing w:after="0" w:line="360" w:lineRule="auto"/>
        <w:ind w:firstLineChars="50" w:firstLine="120"/>
        <w:jc w:val="both"/>
        <w:rPr>
          <w:rFonts w:ascii="Book Antiqua" w:hAnsi="Book Antiqua"/>
          <w:bCs/>
          <w:sz w:val="24"/>
          <w:szCs w:val="24"/>
          <w:lang w:val="en-GB"/>
        </w:rPr>
      </w:pPr>
      <w:r w:rsidRPr="006F2809">
        <w:rPr>
          <w:rFonts w:ascii="Book Antiqua" w:eastAsia="AdvTimes" w:hAnsi="Book Antiqua"/>
          <w:sz w:val="24"/>
          <w:szCs w:val="24"/>
          <w:lang w:val="en-US" w:eastAsia="ja-JP"/>
        </w:rPr>
        <w:lastRenderedPageBreak/>
        <w:t xml:space="preserve">While there is general agreement that telomere shortening, which is mainly caused by high  proliferation of preneoplastic lesions and most likely accelerated by alterations in genes such as </w:t>
      </w:r>
      <w:r w:rsidRPr="006F2809">
        <w:rPr>
          <w:rFonts w:ascii="Book Antiqua" w:eastAsia="AdvTimes" w:hAnsi="Book Antiqua"/>
          <w:i/>
          <w:sz w:val="24"/>
          <w:szCs w:val="24"/>
          <w:lang w:val="en-US" w:eastAsia="ja-JP"/>
        </w:rPr>
        <w:t xml:space="preserve">APC </w:t>
      </w:r>
      <w:r w:rsidRPr="006F2809">
        <w:rPr>
          <w:rFonts w:ascii="Book Antiqua" w:eastAsia="AdvTimes" w:hAnsi="Book Antiqua"/>
          <w:sz w:val="24"/>
          <w:szCs w:val="24"/>
          <w:lang w:val="en-US" w:eastAsia="ja-JP"/>
        </w:rPr>
        <w:t>and</w:t>
      </w:r>
      <w:r w:rsidRPr="006F2809">
        <w:rPr>
          <w:rFonts w:ascii="Book Antiqua" w:eastAsia="AdvTimes" w:hAnsi="Book Antiqua"/>
          <w:i/>
          <w:sz w:val="24"/>
          <w:szCs w:val="24"/>
          <w:lang w:val="en-US" w:eastAsia="ja-JP"/>
        </w:rPr>
        <w:t xml:space="preserve"> MSH2</w:t>
      </w:r>
      <w:r w:rsidRPr="006F2809">
        <w:rPr>
          <w:rFonts w:ascii="Book Antiqua" w:eastAsia="AdvTimes" w:hAnsi="Book Antiqua"/>
          <w:sz w:val="24"/>
          <w:szCs w:val="24"/>
          <w:lang w:val="en-US" w:eastAsia="ja-JP"/>
        </w:rPr>
        <w:t>, is an early event in the CRC carcinogenesis, there is no</w:t>
      </w:r>
      <w:r w:rsidRPr="006F2809">
        <w:rPr>
          <w:rFonts w:ascii="Book Antiqua" w:hAnsi="Book Antiqua"/>
          <w:bCs/>
          <w:sz w:val="24"/>
          <w:szCs w:val="24"/>
          <w:lang w:val="en-GB"/>
        </w:rPr>
        <w:t xml:space="preserve"> agreement concerning the role of telomere length as a marker of disease progression. Only a few studies report that telomeres are longer in late stage cancer than in preneoplastic lesions and/or early neoplastic stages; the activation of telomerase and/or high levels of telomerase expression may explain the increase in telomere length with disease progression</w:t>
      </w:r>
      <w:r w:rsidRPr="006F2809">
        <w:rPr>
          <w:rFonts w:ascii="Book Antiqua" w:hAnsi="Book Antiqua"/>
          <w:bCs/>
          <w:sz w:val="24"/>
          <w:szCs w:val="24"/>
          <w:vertAlign w:val="superscript"/>
          <w:lang w:val="en-GB"/>
        </w:rPr>
        <w:t>[37,38]</w:t>
      </w:r>
      <w:r w:rsidRPr="006F2809">
        <w:rPr>
          <w:rFonts w:ascii="Book Antiqua" w:hAnsi="Book Antiqua"/>
          <w:bCs/>
          <w:sz w:val="24"/>
          <w:szCs w:val="24"/>
          <w:lang w:val="en-GB"/>
        </w:rPr>
        <w:t xml:space="preserve">. However, other studies have not indicated any correlation between telomere length and tumour stage or grade (Table </w:t>
      </w:r>
      <w:r w:rsidRPr="006F2809">
        <w:rPr>
          <w:rFonts w:ascii="Book Antiqua" w:hAnsi="Book Antiqua"/>
          <w:bCs/>
          <w:sz w:val="24"/>
          <w:szCs w:val="24"/>
          <w:lang w:val="en-GB" w:eastAsia="zh-CN"/>
        </w:rPr>
        <w:t>2</w:t>
      </w:r>
      <w:r w:rsidRPr="006F2809">
        <w:rPr>
          <w:rFonts w:ascii="Book Antiqua" w:hAnsi="Book Antiqua"/>
          <w:bCs/>
          <w:sz w:val="24"/>
          <w:szCs w:val="24"/>
          <w:lang w:val="en-GB"/>
        </w:rPr>
        <w:t>). Telomere lengths may stabilise with tumour progression because of increased telomerase activity that compensates for replicative telomere loss</w:t>
      </w:r>
      <w:r w:rsidRPr="006F2809">
        <w:rPr>
          <w:rFonts w:ascii="Book Antiqua" w:hAnsi="Book Antiqua"/>
          <w:bCs/>
          <w:sz w:val="24"/>
          <w:szCs w:val="24"/>
          <w:vertAlign w:val="superscript"/>
          <w:lang w:val="en-GB"/>
        </w:rPr>
        <w:t>[41,55]</w:t>
      </w:r>
      <w:r w:rsidRPr="006F2809">
        <w:rPr>
          <w:rFonts w:ascii="Book Antiqua" w:hAnsi="Book Antiqua"/>
          <w:bCs/>
          <w:sz w:val="24"/>
          <w:szCs w:val="24"/>
          <w:lang w:val="en-GB"/>
        </w:rPr>
        <w:t xml:space="preserve">. </w:t>
      </w:r>
    </w:p>
    <w:p w:rsidR="00D55DFD" w:rsidRPr="006F2809" w:rsidRDefault="00D55DFD" w:rsidP="004D1EA2">
      <w:pPr>
        <w:snapToGrid w:val="0"/>
        <w:spacing w:after="0" w:line="360" w:lineRule="auto"/>
        <w:jc w:val="both"/>
        <w:rPr>
          <w:rFonts w:ascii="Book Antiqua" w:hAnsi="Book Antiqua"/>
          <w:b/>
          <w:sz w:val="24"/>
          <w:szCs w:val="24"/>
          <w:lang w:val="en-GB" w:eastAsia="it-IT"/>
        </w:rPr>
      </w:pPr>
    </w:p>
    <w:p w:rsidR="00D55DFD" w:rsidRPr="006F2809" w:rsidRDefault="00D55DFD" w:rsidP="004D1EA2">
      <w:pPr>
        <w:tabs>
          <w:tab w:val="left" w:pos="567"/>
        </w:tabs>
        <w:snapToGrid w:val="0"/>
        <w:spacing w:after="0" w:line="360" w:lineRule="auto"/>
        <w:jc w:val="both"/>
        <w:rPr>
          <w:rFonts w:ascii="Book Antiqua" w:hAnsi="Book Antiqua"/>
          <w:b/>
          <w:sz w:val="24"/>
          <w:szCs w:val="24"/>
          <w:lang w:val="en-GB" w:eastAsia="it-IT"/>
        </w:rPr>
      </w:pPr>
      <w:r w:rsidRPr="006F2809">
        <w:rPr>
          <w:rFonts w:ascii="Book Antiqua" w:hAnsi="Book Antiqua"/>
          <w:b/>
          <w:sz w:val="24"/>
          <w:szCs w:val="24"/>
          <w:lang w:val="en-GB" w:eastAsia="it-IT"/>
        </w:rPr>
        <w:t xml:space="preserve">TELOMERASE AS A MARKER OF DISEASE PROGRESSION IN COLORECTAL CANCER </w:t>
      </w:r>
    </w:p>
    <w:p w:rsidR="00D55DFD" w:rsidRPr="006F2809" w:rsidRDefault="00D55DFD" w:rsidP="004D1EA2">
      <w:pPr>
        <w:tabs>
          <w:tab w:val="left" w:pos="567"/>
        </w:tabs>
        <w:snapToGrid w:val="0"/>
        <w:spacing w:after="0" w:line="360" w:lineRule="auto"/>
        <w:jc w:val="both"/>
        <w:rPr>
          <w:rFonts w:ascii="Book Antiqua" w:hAnsi="Book Antiqua"/>
          <w:sz w:val="24"/>
          <w:szCs w:val="24"/>
          <w:lang w:val="en-GB" w:eastAsia="zh-CN"/>
        </w:rPr>
      </w:pPr>
      <w:r w:rsidRPr="006F2809">
        <w:rPr>
          <w:rFonts w:ascii="Book Antiqua" w:hAnsi="Book Antiqua"/>
          <w:sz w:val="24"/>
          <w:szCs w:val="24"/>
          <w:lang w:val="en-GB" w:eastAsia="it-IT"/>
        </w:rPr>
        <w:t>Two main strategies are used to estimate telomerase levels: quantification of TERT mRNA and quantification of telomerase activity. The telomerase level, even in telomerase-positive tumour cells, is estimated to be relatively low (approximately 100 molecules per cell), so its detection, either as mRNA or activity, requires methods based on polymerase chain reaction (PCR) amplification. In general, all quantitative data acquired with real-time PCR must be normalised by a housekeeping gene. The ideal housekeeping gene should not vary with disease progression. The g</w:t>
      </w:r>
      <w:r w:rsidRPr="006F2809">
        <w:rPr>
          <w:rFonts w:ascii="Book Antiqua" w:hAnsi="Book Antiqua"/>
          <w:bCs/>
          <w:sz w:val="24"/>
          <w:szCs w:val="24"/>
          <w:lang w:val="en-GB"/>
        </w:rPr>
        <w:t>lyceraldehyde 3-phosphate dehydrogenase</w:t>
      </w:r>
      <w:r w:rsidRPr="006F2809">
        <w:rPr>
          <w:rFonts w:ascii="Book Antiqua" w:hAnsi="Book Antiqua"/>
          <w:sz w:val="24"/>
          <w:szCs w:val="24"/>
          <w:lang w:val="en-GB"/>
        </w:rPr>
        <w:t xml:space="preserve"> </w:t>
      </w:r>
      <w:r w:rsidRPr="006F2809">
        <w:rPr>
          <w:rFonts w:ascii="Book Antiqua" w:hAnsi="Book Antiqua"/>
          <w:sz w:val="24"/>
          <w:szCs w:val="24"/>
          <w:lang w:val="en-GB" w:eastAsia="it-IT"/>
        </w:rPr>
        <w:t>gene, which is often employed as housekeeping gene, is activated by HIF and is thus expressed at higher levels in advanced disease than in tumours at early stages. Other genes, such as the</w:t>
      </w:r>
      <w:r w:rsidRPr="006F2809">
        <w:rPr>
          <w:rFonts w:ascii="Book Antiqua" w:hAnsi="Book Antiqua"/>
          <w:b/>
          <w:bCs/>
          <w:sz w:val="24"/>
          <w:szCs w:val="24"/>
          <w:lang w:val="en-GB"/>
        </w:rPr>
        <w:t xml:space="preserve"> </w:t>
      </w:r>
      <w:r w:rsidRPr="006F2809">
        <w:rPr>
          <w:rFonts w:ascii="Book Antiqua" w:hAnsi="Book Antiqua"/>
          <w:bCs/>
          <w:sz w:val="24"/>
          <w:szCs w:val="24"/>
          <w:lang w:val="en-GB"/>
        </w:rPr>
        <w:t>hypoxanthine-guanine phosphoribosyltransferase</w:t>
      </w:r>
      <w:r w:rsidRPr="006F2809">
        <w:rPr>
          <w:rFonts w:ascii="Book Antiqua" w:hAnsi="Book Antiqua"/>
          <w:sz w:val="24"/>
          <w:szCs w:val="24"/>
          <w:lang w:val="en-GB" w:eastAsia="it-IT"/>
        </w:rPr>
        <w:t xml:space="preserve"> 1</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w:t>
      </w:r>
      <w:r w:rsidRPr="006F2809">
        <w:rPr>
          <w:rFonts w:ascii="Book Antiqua" w:hAnsi="Book Antiqua"/>
          <w:i/>
          <w:sz w:val="24"/>
          <w:szCs w:val="24"/>
          <w:lang w:val="en-GB" w:eastAsia="it-IT"/>
        </w:rPr>
        <w:t>HPRT1</w:t>
      </w:r>
      <w:r w:rsidRPr="006F2809">
        <w:rPr>
          <w:rFonts w:ascii="Book Antiqua" w:hAnsi="Book Antiqua"/>
          <w:sz w:val="24"/>
          <w:szCs w:val="24"/>
          <w:lang w:val="en-GB" w:eastAsia="it-IT"/>
        </w:rPr>
        <w:t>) gene, which does not vary with tumour stage</w:t>
      </w:r>
      <w:r w:rsidRPr="006F2809">
        <w:rPr>
          <w:rFonts w:ascii="Book Antiqua" w:hAnsi="Book Antiqua"/>
          <w:sz w:val="24"/>
          <w:szCs w:val="24"/>
          <w:vertAlign w:val="superscript"/>
          <w:lang w:val="en-GB" w:eastAsia="it-IT"/>
        </w:rPr>
        <w:t>[56]</w:t>
      </w:r>
      <w:r w:rsidRPr="006F2809">
        <w:rPr>
          <w:rFonts w:ascii="Book Antiqua" w:hAnsi="Book Antiqua"/>
          <w:sz w:val="24"/>
          <w:szCs w:val="24"/>
          <w:lang w:val="en-GB" w:eastAsia="it-IT"/>
        </w:rPr>
        <w:t xml:space="preserve">, allow a more reliable estimation of TERT levels. In CRC, a study by real-time PCR with </w:t>
      </w:r>
      <w:r w:rsidRPr="006F2809">
        <w:rPr>
          <w:rFonts w:ascii="Book Antiqua" w:hAnsi="Book Antiqua"/>
          <w:i/>
          <w:sz w:val="24"/>
          <w:szCs w:val="24"/>
          <w:lang w:val="en-GB" w:eastAsia="it-IT"/>
        </w:rPr>
        <w:t>HPRT1</w:t>
      </w:r>
      <w:r w:rsidRPr="006F2809">
        <w:rPr>
          <w:rFonts w:ascii="Book Antiqua" w:hAnsi="Book Antiqua"/>
          <w:sz w:val="24"/>
          <w:szCs w:val="24"/>
          <w:lang w:val="en-GB" w:eastAsia="it-IT"/>
        </w:rPr>
        <w:t xml:space="preserve"> as a housekeeping gene demonstrated that there is a good relationship between the levels of all TERT transcripts and the full-length TERT transcript; in addition, levels of TERT mRNA correlated with telomerase activity, as estimated with a telomere repeat amplification protocol (TRAP) assay</w:t>
      </w:r>
      <w:r w:rsidRPr="006F2809">
        <w:rPr>
          <w:rFonts w:ascii="Book Antiqua" w:hAnsi="Book Antiqua"/>
          <w:sz w:val="24"/>
          <w:szCs w:val="24"/>
          <w:vertAlign w:val="superscript"/>
          <w:lang w:val="en-GB" w:eastAsia="it-IT"/>
        </w:rPr>
        <w:t>[54]</w:t>
      </w:r>
      <w:r w:rsidRPr="006F2809">
        <w:rPr>
          <w:rFonts w:ascii="Book Antiqua" w:hAnsi="Book Antiqua"/>
          <w:sz w:val="24"/>
          <w:szCs w:val="24"/>
          <w:lang w:val="en-GB" w:eastAsia="it-IT"/>
        </w:rPr>
        <w:t>. Although there are no clinically approved telomerase assays, several promising approaches have recently been published</w:t>
      </w:r>
      <w:r w:rsidRPr="006F2809">
        <w:rPr>
          <w:rFonts w:ascii="Book Antiqua" w:hAnsi="Book Antiqua"/>
          <w:sz w:val="24"/>
          <w:szCs w:val="24"/>
          <w:vertAlign w:val="superscript"/>
          <w:lang w:val="en-GB" w:eastAsia="it-IT"/>
        </w:rPr>
        <w:t>[57]</w:t>
      </w:r>
      <w:r w:rsidRPr="006F2809">
        <w:rPr>
          <w:rFonts w:ascii="Book Antiqua" w:hAnsi="Book Antiqua"/>
          <w:sz w:val="24"/>
          <w:szCs w:val="24"/>
          <w:lang w:val="en-GB" w:eastAsia="it-IT"/>
        </w:rPr>
        <w:t xml:space="preserve">. </w:t>
      </w:r>
    </w:p>
    <w:p w:rsidR="00D55DFD" w:rsidRPr="006F2809" w:rsidRDefault="00D55DFD" w:rsidP="004D1EA2">
      <w:pPr>
        <w:tabs>
          <w:tab w:val="left" w:pos="567"/>
        </w:tabs>
        <w:snapToGrid w:val="0"/>
        <w:spacing w:after="0" w:line="360" w:lineRule="auto"/>
        <w:ind w:firstLineChars="50" w:firstLine="120"/>
        <w:jc w:val="both"/>
        <w:rPr>
          <w:rFonts w:ascii="Book Antiqua" w:hAnsi="Book Antiqua"/>
          <w:sz w:val="24"/>
          <w:szCs w:val="24"/>
          <w:lang w:val="en-GB" w:eastAsia="it-IT"/>
        </w:rPr>
      </w:pPr>
      <w:r w:rsidRPr="006F2809">
        <w:rPr>
          <w:rFonts w:ascii="Book Antiqua" w:hAnsi="Book Antiqua"/>
          <w:sz w:val="24"/>
          <w:szCs w:val="24"/>
          <w:lang w:val="en-GB" w:eastAsia="it-IT"/>
        </w:rPr>
        <w:lastRenderedPageBreak/>
        <w:t>There is general agreement that TERT levels and telomerase activity increase with the adenoma-carcinoma sequence</w:t>
      </w:r>
      <w:r w:rsidRPr="006F2809">
        <w:rPr>
          <w:rFonts w:ascii="Book Antiqua" w:hAnsi="Book Antiqua"/>
          <w:sz w:val="24"/>
          <w:szCs w:val="24"/>
          <w:vertAlign w:val="superscript"/>
          <w:lang w:val="en-GB" w:eastAsia="it-IT"/>
        </w:rPr>
        <w:t>[60,64, 70]</w:t>
      </w:r>
      <w:r w:rsidRPr="006F2809">
        <w:rPr>
          <w:rFonts w:ascii="Book Antiqua" w:hAnsi="Book Antiqua"/>
          <w:sz w:val="24"/>
          <w:szCs w:val="24"/>
          <w:lang w:val="en-GB" w:eastAsia="it-IT"/>
        </w:rPr>
        <w:t xml:space="preserve">, and are </w:t>
      </w:r>
      <w:r w:rsidRPr="006F2809">
        <w:rPr>
          <w:rFonts w:ascii="Book Antiqua" w:eastAsia="AdvTimes" w:hAnsi="Book Antiqua"/>
          <w:sz w:val="24"/>
          <w:szCs w:val="24"/>
          <w:lang w:val="en-GB" w:eastAsia="ja-JP"/>
        </w:rPr>
        <w:t xml:space="preserve">higher in </w:t>
      </w:r>
      <w:r w:rsidRPr="006F2809">
        <w:rPr>
          <w:rFonts w:ascii="Book Antiqua" w:eastAsia="AdvTimes" w:hAnsi="Book Antiqua"/>
          <w:sz w:val="24"/>
          <w:szCs w:val="24"/>
          <w:lang w:val="en-US" w:eastAsia="ja-JP"/>
        </w:rPr>
        <w:t xml:space="preserve">CRCs than in adjacent non-cancerous mucosa (Table </w:t>
      </w:r>
      <w:r w:rsidRPr="006F2809">
        <w:rPr>
          <w:rFonts w:ascii="Book Antiqua" w:hAnsi="Book Antiqua"/>
          <w:sz w:val="24"/>
          <w:szCs w:val="24"/>
          <w:lang w:val="en-US" w:eastAsia="zh-CN"/>
        </w:rPr>
        <w:t>3</w:t>
      </w:r>
      <w:r w:rsidRPr="006F2809">
        <w:rPr>
          <w:rFonts w:ascii="Book Antiqua" w:eastAsia="AdvTimes" w:hAnsi="Book Antiqua"/>
          <w:sz w:val="24"/>
          <w:szCs w:val="24"/>
          <w:lang w:val="en-US" w:eastAsia="ja-JP"/>
        </w:rPr>
        <w:t>).</w:t>
      </w:r>
      <w:r w:rsidRPr="006F2809">
        <w:rPr>
          <w:rFonts w:ascii="Book Antiqua" w:hAnsi="Book Antiqua"/>
          <w:sz w:val="24"/>
          <w:szCs w:val="24"/>
          <w:lang w:val="en-GB" w:eastAsia="it-IT"/>
        </w:rPr>
        <w:t xml:space="preserve"> Normal adjacent mucosa may have some detectable TERT mRNA and telomerase activity, mainly because of intestinal crypt basal cells</w:t>
      </w:r>
      <w:r w:rsidRPr="006F2809">
        <w:rPr>
          <w:rFonts w:ascii="Book Antiqua" w:hAnsi="Book Antiqua"/>
          <w:sz w:val="24"/>
          <w:szCs w:val="24"/>
          <w:vertAlign w:val="superscript"/>
          <w:lang w:val="en-GB" w:eastAsia="it-IT"/>
        </w:rPr>
        <w:t>[55,58]</w:t>
      </w:r>
      <w:r w:rsidRPr="006F2809">
        <w:rPr>
          <w:rFonts w:ascii="Book Antiqua" w:hAnsi="Book Antiqua"/>
          <w:sz w:val="24"/>
          <w:szCs w:val="24"/>
          <w:lang w:val="en-GB" w:eastAsia="it-IT"/>
        </w:rPr>
        <w:t>. T</w:t>
      </w:r>
      <w:r w:rsidRPr="006F2809">
        <w:rPr>
          <w:rFonts w:ascii="Book Antiqua" w:eastAsia="AdvTimes" w:hAnsi="Book Antiqua"/>
          <w:sz w:val="24"/>
          <w:szCs w:val="24"/>
          <w:lang w:val="en-US" w:eastAsia="ja-JP"/>
        </w:rPr>
        <w:t xml:space="preserve">hese findings strongly support the hypothesis that telomerase activation is subsequent to telomere erosion (Figure 1). </w:t>
      </w:r>
    </w:p>
    <w:p w:rsidR="00D55DFD" w:rsidRPr="006F2809" w:rsidRDefault="00D55DFD" w:rsidP="004D1EA2">
      <w:pPr>
        <w:tabs>
          <w:tab w:val="left" w:pos="567"/>
        </w:tabs>
        <w:snapToGrid w:val="0"/>
        <w:spacing w:after="0" w:line="360" w:lineRule="auto"/>
        <w:ind w:firstLineChars="50" w:firstLine="120"/>
        <w:jc w:val="both"/>
        <w:rPr>
          <w:rFonts w:ascii="Book Antiqua" w:hAnsi="Book Antiqua"/>
          <w:color w:val="000000"/>
          <w:sz w:val="24"/>
          <w:szCs w:val="24"/>
          <w:lang w:val="en-GB"/>
        </w:rPr>
      </w:pPr>
      <w:r w:rsidRPr="006F2809">
        <w:rPr>
          <w:rFonts w:ascii="Book Antiqua" w:eastAsia="AdvTimes" w:hAnsi="Book Antiqua"/>
          <w:sz w:val="24"/>
          <w:szCs w:val="24"/>
          <w:lang w:val="en-US" w:eastAsia="ja-JP"/>
        </w:rPr>
        <w:t xml:space="preserve">Most studies have demonstrated that TERT expression and/or telomerase activity increase with tumour progression (Table </w:t>
      </w:r>
      <w:r w:rsidRPr="006F2809">
        <w:rPr>
          <w:rFonts w:ascii="Book Antiqua" w:hAnsi="Book Antiqua"/>
          <w:sz w:val="24"/>
          <w:szCs w:val="24"/>
          <w:lang w:val="en-US" w:eastAsia="zh-CN"/>
        </w:rPr>
        <w:t>3</w:t>
      </w:r>
      <w:r w:rsidRPr="006F2809">
        <w:rPr>
          <w:rFonts w:ascii="Book Antiqua" w:eastAsia="AdvTimes" w:hAnsi="Book Antiqua"/>
          <w:sz w:val="24"/>
          <w:szCs w:val="24"/>
          <w:lang w:val="en-US" w:eastAsia="ja-JP"/>
        </w:rPr>
        <w:t xml:space="preserve"> and Figure 2A).</w:t>
      </w:r>
      <w:r w:rsidRPr="006F2809">
        <w:rPr>
          <w:rFonts w:ascii="Book Antiqua" w:hAnsi="Book Antiqua"/>
          <w:sz w:val="24"/>
          <w:szCs w:val="24"/>
          <w:lang w:val="en-GB" w:eastAsia="it-IT"/>
        </w:rPr>
        <w:t xml:space="preserve"> Well-differentiated and moderately differentiated tumours have significantly lower TERT levels than poorly differentiated tumours do, and </w:t>
      </w:r>
      <w:r w:rsidRPr="006F2809">
        <w:rPr>
          <w:rFonts w:ascii="Book Antiqua" w:eastAsia="AdvTimes" w:hAnsi="Book Antiqua"/>
          <w:sz w:val="24"/>
          <w:szCs w:val="24"/>
          <w:lang w:val="en-US" w:eastAsia="ja-JP"/>
        </w:rPr>
        <w:t>late-stage tumours (Dukes C and D) show higher telomerase activity than early-stage tumours</w:t>
      </w:r>
      <w:r w:rsidRPr="006F2809">
        <w:rPr>
          <w:rFonts w:ascii="Book Antiqua" w:eastAsia="AdvTimes" w:hAnsi="Book Antiqua"/>
          <w:sz w:val="24"/>
          <w:szCs w:val="24"/>
          <w:vertAlign w:val="superscript"/>
          <w:lang w:val="en-US" w:eastAsia="ja-JP"/>
        </w:rPr>
        <w:t>[63,67]</w:t>
      </w:r>
      <w:r w:rsidRPr="006F2809">
        <w:rPr>
          <w:rFonts w:ascii="Book Antiqua" w:eastAsia="AdvTimes" w:hAnsi="Book Antiqua"/>
          <w:sz w:val="24"/>
          <w:szCs w:val="24"/>
          <w:lang w:val="en-US" w:eastAsia="ja-JP"/>
        </w:rPr>
        <w:t>.</w:t>
      </w:r>
      <w:r w:rsidRPr="006F2809">
        <w:rPr>
          <w:rFonts w:ascii="Book Antiqua" w:eastAsia="AdvTimes" w:hAnsi="Book Antiqua"/>
          <w:i/>
          <w:sz w:val="24"/>
          <w:szCs w:val="24"/>
          <w:lang w:val="en-US" w:eastAsia="ja-JP"/>
        </w:rPr>
        <w:t xml:space="preserve"> </w:t>
      </w:r>
      <w:r w:rsidRPr="006F2809">
        <w:rPr>
          <w:rFonts w:ascii="Book Antiqua" w:eastAsia="AdvTimes" w:hAnsi="Book Antiqua"/>
          <w:sz w:val="24"/>
          <w:szCs w:val="24"/>
          <w:lang w:val="en-US" w:eastAsia="ja-JP"/>
        </w:rPr>
        <w:t>Only a few studies have found no correlation between levels of telomerase activity, as assessed by the semi-quantitative TRAP assay, and tumor progressio</w:t>
      </w:r>
      <w:r w:rsidRPr="006F2809">
        <w:rPr>
          <w:rFonts w:ascii="Book Antiqua" w:eastAsia="AdvTimes" w:hAnsi="Book Antiqua"/>
          <w:i/>
          <w:sz w:val="24"/>
          <w:szCs w:val="24"/>
          <w:lang w:val="en-US" w:eastAsia="ja-JP"/>
        </w:rPr>
        <w:t xml:space="preserve"> </w:t>
      </w:r>
      <w:r w:rsidRPr="006F2809">
        <w:rPr>
          <w:rFonts w:ascii="Book Antiqua" w:eastAsia="AdvTimes" w:hAnsi="Book Antiqua"/>
          <w:sz w:val="24"/>
          <w:szCs w:val="24"/>
          <w:vertAlign w:val="superscript"/>
          <w:lang w:val="en-US" w:eastAsia="ja-JP"/>
        </w:rPr>
        <w:t>[38,58,61]</w:t>
      </w:r>
      <w:r w:rsidRPr="006F2809">
        <w:rPr>
          <w:rFonts w:ascii="Book Antiqua" w:eastAsia="AdvTimes" w:hAnsi="Book Antiqua"/>
          <w:i/>
          <w:sz w:val="24"/>
          <w:szCs w:val="24"/>
          <w:lang w:val="en-US" w:eastAsia="ja-JP"/>
        </w:rPr>
        <w:t xml:space="preserve">. </w:t>
      </w:r>
      <w:r w:rsidRPr="006F2809">
        <w:rPr>
          <w:rFonts w:ascii="Book Antiqua" w:hAnsi="Book Antiqua"/>
          <w:sz w:val="24"/>
          <w:szCs w:val="24"/>
          <w:lang w:val="en-GB" w:eastAsia="it-IT"/>
        </w:rPr>
        <w:t>Unlike telomere length, levels of telomerase expression/activity do not correlate with MSI status and increase with disease progression in both MSI and MSS tumours</w:t>
      </w:r>
      <w:r w:rsidRPr="006F2809">
        <w:rPr>
          <w:rFonts w:ascii="Book Antiqua" w:hAnsi="Book Antiqua"/>
          <w:sz w:val="24"/>
          <w:szCs w:val="24"/>
          <w:vertAlign w:val="superscript"/>
          <w:lang w:val="en-GB" w:eastAsia="it-IT"/>
        </w:rPr>
        <w:t>[68,73]</w:t>
      </w:r>
      <w:r w:rsidRPr="006F2809">
        <w:rPr>
          <w:rFonts w:ascii="Book Antiqua" w:hAnsi="Book Antiqua"/>
          <w:sz w:val="24"/>
          <w:szCs w:val="24"/>
          <w:lang w:val="en-GB" w:eastAsia="it-IT"/>
        </w:rPr>
        <w:t>. The f</w:t>
      </w:r>
      <w:r w:rsidRPr="006F2809">
        <w:rPr>
          <w:rFonts w:ascii="Book Antiqua" w:hAnsi="Book Antiqua"/>
          <w:color w:val="000000"/>
          <w:sz w:val="24"/>
          <w:szCs w:val="24"/>
          <w:lang w:val="en-GB"/>
        </w:rPr>
        <w:t xml:space="preserve">inding that TERT mRNA is higher in tumours bearing </w:t>
      </w:r>
      <w:r w:rsidRPr="006F2809">
        <w:rPr>
          <w:rFonts w:ascii="Book Antiqua" w:hAnsi="Book Antiqua"/>
          <w:i/>
          <w:color w:val="000000"/>
          <w:sz w:val="24"/>
          <w:szCs w:val="24"/>
          <w:lang w:val="en-GB"/>
        </w:rPr>
        <w:t>TP53</w:t>
      </w:r>
      <w:r w:rsidRPr="006F2809">
        <w:rPr>
          <w:rFonts w:ascii="Book Antiqua" w:hAnsi="Book Antiqua"/>
          <w:color w:val="000000"/>
          <w:sz w:val="24"/>
          <w:szCs w:val="24"/>
          <w:lang w:val="en-GB"/>
        </w:rPr>
        <w:t xml:space="preserve"> mutations</w:t>
      </w:r>
      <w:r w:rsidRPr="006F2809">
        <w:rPr>
          <w:rFonts w:ascii="Book Antiqua" w:hAnsi="Book Antiqua"/>
          <w:color w:val="000000"/>
          <w:sz w:val="24"/>
          <w:szCs w:val="24"/>
          <w:vertAlign w:val="superscript"/>
          <w:lang w:val="en-GB"/>
        </w:rPr>
        <w:t>[66]</w:t>
      </w:r>
      <w:r w:rsidRPr="006F2809">
        <w:rPr>
          <w:rFonts w:ascii="Book Antiqua" w:hAnsi="Book Antiqua"/>
          <w:color w:val="000000"/>
          <w:sz w:val="24"/>
          <w:szCs w:val="24"/>
          <w:lang w:val="en-GB"/>
        </w:rPr>
        <w:t xml:space="preserve"> may support the hypothesis that high TERT expression is a marker of poor outcome and poor response to therapy</w:t>
      </w:r>
      <w:r w:rsidRPr="006F2809">
        <w:rPr>
          <w:rFonts w:ascii="Book Antiqua" w:hAnsi="Book Antiqua"/>
          <w:color w:val="000000"/>
          <w:sz w:val="24"/>
          <w:szCs w:val="24"/>
          <w:vertAlign w:val="superscript"/>
          <w:lang w:val="en-GB"/>
        </w:rPr>
        <w:t>[</w:t>
      </w:r>
      <w:r>
        <w:rPr>
          <w:rFonts w:ascii="Book Antiqua" w:hAnsi="Book Antiqua"/>
          <w:color w:val="000000"/>
          <w:sz w:val="24"/>
          <w:szCs w:val="24"/>
          <w:vertAlign w:val="superscript"/>
          <w:lang w:val="en-GB" w:eastAsia="zh-CN"/>
        </w:rPr>
        <w:t>27,</w:t>
      </w:r>
      <w:r w:rsidRPr="006F2809">
        <w:rPr>
          <w:rFonts w:ascii="Book Antiqua" w:hAnsi="Book Antiqua"/>
          <w:color w:val="000000"/>
          <w:sz w:val="24"/>
          <w:szCs w:val="24"/>
          <w:vertAlign w:val="superscript"/>
          <w:lang w:val="en-GB"/>
        </w:rPr>
        <w:t>73]</w:t>
      </w:r>
      <w:r w:rsidRPr="003F7825">
        <w:rPr>
          <w:rFonts w:ascii="Book Antiqua" w:hAnsi="Book Antiqua"/>
          <w:color w:val="000000"/>
          <w:sz w:val="24"/>
          <w:szCs w:val="24"/>
          <w:lang w:val="en-GB"/>
        </w:rPr>
        <w:t>.</w:t>
      </w:r>
    </w:p>
    <w:p w:rsidR="00D55DFD" w:rsidRPr="006F2809" w:rsidRDefault="00D55DFD" w:rsidP="004D1EA2">
      <w:pPr>
        <w:tabs>
          <w:tab w:val="left" w:pos="567"/>
        </w:tabs>
        <w:snapToGrid w:val="0"/>
        <w:spacing w:after="0" w:line="360" w:lineRule="auto"/>
        <w:jc w:val="both"/>
        <w:rPr>
          <w:rFonts w:ascii="Book Antiqua" w:eastAsia="AdvTimes" w:hAnsi="Book Antiqua"/>
          <w:i/>
          <w:sz w:val="24"/>
          <w:szCs w:val="24"/>
          <w:lang w:val="en-GB" w:eastAsia="ja-JP"/>
        </w:rPr>
      </w:pPr>
    </w:p>
    <w:p w:rsidR="00D55DFD" w:rsidRPr="006F2809" w:rsidRDefault="00D55DFD" w:rsidP="004D1EA2">
      <w:pPr>
        <w:tabs>
          <w:tab w:val="left" w:pos="567"/>
        </w:tabs>
        <w:snapToGrid w:val="0"/>
        <w:spacing w:after="0" w:line="360" w:lineRule="auto"/>
        <w:jc w:val="both"/>
        <w:rPr>
          <w:rFonts w:ascii="Book Antiqua" w:hAnsi="Book Antiqua"/>
          <w:b/>
          <w:sz w:val="24"/>
          <w:szCs w:val="24"/>
          <w:lang w:val="en-GB" w:eastAsia="it-IT"/>
        </w:rPr>
      </w:pPr>
      <w:r w:rsidRPr="006F2809">
        <w:rPr>
          <w:rFonts w:ascii="Book Antiqua" w:hAnsi="Book Antiqua"/>
          <w:b/>
          <w:sz w:val="24"/>
          <w:szCs w:val="24"/>
          <w:lang w:val="en-GB" w:eastAsia="it-IT"/>
        </w:rPr>
        <w:t xml:space="preserve">TELOMERASE, BUT NOT TELOMERES, MAY ACT AS A PROGNOSTIC FACTOR IN COLORECTAL CANCERS </w:t>
      </w:r>
    </w:p>
    <w:p w:rsidR="00D55DFD" w:rsidRPr="006F2809" w:rsidRDefault="00D55DFD" w:rsidP="004D1EA2">
      <w:pPr>
        <w:tabs>
          <w:tab w:val="left" w:pos="567"/>
        </w:tabs>
        <w:snapToGrid w:val="0"/>
        <w:spacing w:after="0" w:line="360" w:lineRule="auto"/>
        <w:jc w:val="both"/>
        <w:rPr>
          <w:rFonts w:ascii="Book Antiqua" w:hAnsi="Book Antiqua"/>
          <w:sz w:val="24"/>
          <w:szCs w:val="24"/>
          <w:lang w:val="en-GB" w:eastAsia="it-IT"/>
        </w:rPr>
      </w:pPr>
      <w:r w:rsidRPr="006F2809">
        <w:rPr>
          <w:rFonts w:ascii="Book Antiqua" w:hAnsi="Book Antiqua"/>
          <w:sz w:val="24"/>
          <w:szCs w:val="24"/>
          <w:lang w:val="en-GB" w:eastAsia="it-IT"/>
        </w:rPr>
        <w:t>Pathologic tumour staging remains a key determinant of CRC prognosis and treatment. Invasive cancers are confined within the wall of the colon (stages I and II), but if untreated they spread to regional lymph nodes (stage III) and then metastasise to distant sites (stage IV). Although radical resection and adjuvant therapy are effective curative treatments, the risk of disease recurrence cannot be foreseen, even among patients at the same tumour stage. Although 5-fluorouracil-based adjuvant chemotherapy is the standard care for stage III patients, the role of adjuvant therapy for stage II is still debated. The controversial results obtained in various studies</w:t>
      </w:r>
      <w:r w:rsidRPr="006F2809">
        <w:rPr>
          <w:rFonts w:ascii="Book Antiqua" w:hAnsi="Book Antiqua"/>
          <w:sz w:val="24"/>
          <w:szCs w:val="24"/>
          <w:vertAlign w:val="superscript"/>
          <w:lang w:val="en-GB" w:eastAsia="it-IT"/>
        </w:rPr>
        <w:t>[7</w:t>
      </w:r>
      <w:r>
        <w:rPr>
          <w:rFonts w:ascii="Book Antiqua" w:hAnsi="Book Antiqua"/>
          <w:sz w:val="24"/>
          <w:szCs w:val="24"/>
          <w:vertAlign w:val="superscript"/>
          <w:lang w:val="en-GB" w:eastAsia="zh-CN"/>
        </w:rPr>
        <w:t>4</w:t>
      </w:r>
      <w:r w:rsidRPr="006F2809">
        <w:rPr>
          <w:rFonts w:ascii="Book Antiqua" w:hAnsi="Book Antiqua"/>
          <w:sz w:val="24"/>
          <w:szCs w:val="24"/>
          <w:vertAlign w:val="superscript"/>
          <w:lang w:val="en-GB" w:eastAsia="it-IT"/>
        </w:rPr>
        <w:t>-7</w:t>
      </w:r>
      <w:r>
        <w:rPr>
          <w:rFonts w:ascii="Book Antiqua" w:hAnsi="Book Antiqua"/>
          <w:sz w:val="24"/>
          <w:szCs w:val="24"/>
          <w:vertAlign w:val="superscript"/>
          <w:lang w:val="en-GB" w:eastAsia="zh-CN"/>
        </w:rPr>
        <w:t>8</w:t>
      </w:r>
      <w:r w:rsidRPr="006F2809">
        <w:rPr>
          <w:rFonts w:ascii="Book Antiqua" w:hAnsi="Book Antiqua"/>
          <w:sz w:val="24"/>
          <w:szCs w:val="24"/>
          <w:vertAlign w:val="superscript"/>
          <w:lang w:val="en-GB" w:eastAsia="it-IT"/>
        </w:rPr>
        <w:t>]</w:t>
      </w:r>
      <w:r w:rsidRPr="006F2809">
        <w:rPr>
          <w:rFonts w:ascii="Book Antiqua" w:hAnsi="Book Antiqua"/>
          <w:sz w:val="24"/>
          <w:szCs w:val="24"/>
          <w:lang w:val="en-GB" w:eastAsia="it-IT"/>
        </w:rPr>
        <w:t xml:space="preserve"> may reflect the molecular and biological heterogeneity of CRC and highlight the need for definitive prognostic markers able to stratify patients.</w:t>
      </w:r>
    </w:p>
    <w:p w:rsidR="00D55DFD" w:rsidRPr="006F2809" w:rsidRDefault="00D55DFD" w:rsidP="004D1EA2">
      <w:pPr>
        <w:tabs>
          <w:tab w:val="left" w:pos="567"/>
        </w:tabs>
        <w:snapToGrid w:val="0"/>
        <w:spacing w:after="0" w:line="360" w:lineRule="auto"/>
        <w:ind w:firstLineChars="50" w:firstLine="120"/>
        <w:jc w:val="both"/>
        <w:rPr>
          <w:rFonts w:ascii="Book Antiqua" w:hAnsi="Book Antiqua"/>
          <w:i/>
          <w:sz w:val="24"/>
          <w:szCs w:val="24"/>
          <w:lang w:val="en-US"/>
        </w:rPr>
      </w:pPr>
      <w:r w:rsidRPr="006F2809">
        <w:rPr>
          <w:rFonts w:ascii="Book Antiqua" w:hAnsi="Book Antiqua"/>
          <w:bCs/>
          <w:sz w:val="24"/>
          <w:szCs w:val="24"/>
          <w:lang w:val="en-GB"/>
        </w:rPr>
        <w:t xml:space="preserve">While most studies do not confirm the prognostic role of telomere length (Table </w:t>
      </w:r>
      <w:r w:rsidRPr="006F2809">
        <w:rPr>
          <w:rFonts w:ascii="Book Antiqua" w:hAnsi="Book Antiqua"/>
          <w:bCs/>
          <w:sz w:val="24"/>
          <w:szCs w:val="24"/>
          <w:lang w:val="en-GB" w:eastAsia="zh-CN"/>
        </w:rPr>
        <w:t>2</w:t>
      </w:r>
      <w:r w:rsidRPr="006F2809">
        <w:rPr>
          <w:rFonts w:ascii="Book Antiqua" w:hAnsi="Book Antiqua"/>
          <w:bCs/>
          <w:sz w:val="24"/>
          <w:szCs w:val="24"/>
          <w:lang w:val="en-GB"/>
        </w:rPr>
        <w:t xml:space="preserve">), there is general agreement that high levels of TERT and /or telomerase activity are associated </w:t>
      </w:r>
      <w:r w:rsidRPr="006F2809">
        <w:rPr>
          <w:rFonts w:ascii="Book Antiqua" w:hAnsi="Book Antiqua"/>
          <w:bCs/>
          <w:sz w:val="24"/>
          <w:szCs w:val="24"/>
          <w:lang w:val="en-GB"/>
        </w:rPr>
        <w:lastRenderedPageBreak/>
        <w:t xml:space="preserve">with poor prognosis (Table </w:t>
      </w:r>
      <w:r w:rsidRPr="006F2809">
        <w:rPr>
          <w:rFonts w:ascii="Book Antiqua" w:hAnsi="Book Antiqua"/>
          <w:bCs/>
          <w:sz w:val="24"/>
          <w:szCs w:val="24"/>
          <w:lang w:val="en-GB" w:eastAsia="zh-CN"/>
        </w:rPr>
        <w:t>3</w:t>
      </w:r>
      <w:r w:rsidRPr="006F2809">
        <w:rPr>
          <w:rFonts w:ascii="Book Antiqua" w:hAnsi="Book Antiqua"/>
          <w:bCs/>
          <w:sz w:val="24"/>
          <w:szCs w:val="24"/>
          <w:lang w:val="en-GB"/>
        </w:rPr>
        <w:t>) Only two studies do not confirm the prognostic value of TERT</w:t>
      </w:r>
      <w:r w:rsidRPr="006F2809">
        <w:rPr>
          <w:rFonts w:ascii="Book Antiqua" w:hAnsi="Book Antiqua"/>
          <w:bCs/>
          <w:sz w:val="24"/>
          <w:szCs w:val="24"/>
          <w:vertAlign w:val="superscript"/>
          <w:lang w:val="en-GB"/>
        </w:rPr>
        <w:t>[72]</w:t>
      </w:r>
      <w:r w:rsidRPr="006F2809">
        <w:rPr>
          <w:rFonts w:ascii="Book Antiqua" w:hAnsi="Book Antiqua"/>
          <w:bCs/>
          <w:sz w:val="24"/>
          <w:szCs w:val="24"/>
          <w:lang w:val="en-GB"/>
        </w:rPr>
        <w:t xml:space="preserve"> or telomerase activity</w:t>
      </w:r>
      <w:r w:rsidRPr="006F2809">
        <w:rPr>
          <w:rFonts w:ascii="Book Antiqua" w:hAnsi="Book Antiqua"/>
          <w:bCs/>
          <w:sz w:val="24"/>
          <w:szCs w:val="24"/>
          <w:vertAlign w:val="superscript"/>
          <w:lang w:val="en-GB"/>
        </w:rPr>
        <w:t>[62]</w:t>
      </w:r>
      <w:r w:rsidRPr="006F2809">
        <w:rPr>
          <w:rFonts w:ascii="Book Antiqua" w:hAnsi="Book Antiqua"/>
          <w:bCs/>
          <w:sz w:val="24"/>
          <w:szCs w:val="24"/>
          <w:lang w:val="en-GB"/>
        </w:rPr>
        <w:t xml:space="preserve">. </w:t>
      </w:r>
      <w:r w:rsidRPr="006F2809">
        <w:rPr>
          <w:rFonts w:ascii="Book Antiqua" w:hAnsi="Book Antiqua"/>
          <w:sz w:val="24"/>
          <w:szCs w:val="24"/>
          <w:lang w:val="en-GB" w:eastAsia="it-IT"/>
        </w:rPr>
        <w:t>High levels of TERT mRNA and/or telomerase activity have been associated with worse overall survival (OS) and this negative prognostic effect is independent of pathologic stage. In particular, over a median follow-up of 70 mo, patients with high levels of TERT mRNA (above the median) had approximately double the risk of death compared with patients with low levels of TERT (below the median) did</w:t>
      </w:r>
      <w:r w:rsidRPr="006F2809">
        <w:rPr>
          <w:rFonts w:ascii="Book Antiqua" w:hAnsi="Book Antiqua"/>
          <w:sz w:val="24"/>
          <w:szCs w:val="24"/>
          <w:vertAlign w:val="superscript"/>
          <w:lang w:val="en-GB" w:eastAsia="it-IT"/>
        </w:rPr>
        <w:t>[73]</w:t>
      </w:r>
      <w:r w:rsidRPr="00162957">
        <w:rPr>
          <w:rFonts w:ascii="Book Antiqua" w:hAnsi="Book Antiqua"/>
          <w:sz w:val="24"/>
          <w:szCs w:val="24"/>
          <w:lang w:val="en-GB" w:eastAsia="it-IT"/>
        </w:rPr>
        <w:t>.</w:t>
      </w:r>
      <w:r w:rsidRPr="006F2809">
        <w:rPr>
          <w:rFonts w:ascii="Book Antiqua" w:hAnsi="Book Antiqua"/>
          <w:i/>
          <w:sz w:val="24"/>
          <w:szCs w:val="24"/>
          <w:lang w:val="en-GB" w:eastAsia="it-IT"/>
        </w:rPr>
        <w:t xml:space="preserve"> </w:t>
      </w:r>
      <w:r w:rsidRPr="006F2809">
        <w:rPr>
          <w:rFonts w:ascii="Book Antiqua" w:hAnsi="Book Antiqua"/>
          <w:sz w:val="24"/>
          <w:szCs w:val="24"/>
          <w:lang w:val="en-GB" w:eastAsia="it-IT"/>
        </w:rPr>
        <w:t xml:space="preserve">Only two studies analysed stage II patients in detail. In one study, </w:t>
      </w:r>
      <w:r w:rsidRPr="006F2809">
        <w:rPr>
          <w:rFonts w:ascii="Book Antiqua" w:hAnsi="Book Antiqua"/>
          <w:sz w:val="24"/>
          <w:szCs w:val="24"/>
          <w:lang w:val="en-US"/>
        </w:rPr>
        <w:t>in which telomerase activity was determined with TRAP assay, patients with telomerase-positive CRCs had longer disease-free survival (DFS) than did patients with telomerase-negative tumours</w:t>
      </w:r>
      <w:r w:rsidRPr="006F2809">
        <w:rPr>
          <w:rFonts w:ascii="Book Antiqua" w:hAnsi="Book Antiqua"/>
          <w:sz w:val="24"/>
          <w:szCs w:val="24"/>
          <w:vertAlign w:val="superscript"/>
          <w:lang w:val="en-GB" w:eastAsia="it-IT"/>
        </w:rPr>
        <w:t>[62]</w:t>
      </w:r>
      <w:r w:rsidRPr="006F2809">
        <w:rPr>
          <w:rFonts w:ascii="Book Antiqua" w:hAnsi="Book Antiqua"/>
          <w:sz w:val="24"/>
          <w:szCs w:val="24"/>
          <w:lang w:val="en-GB" w:eastAsia="it-IT"/>
        </w:rPr>
        <w:t xml:space="preserve">. In the second study, TERT levels estimated using </w:t>
      </w:r>
      <w:r w:rsidRPr="006F2809">
        <w:rPr>
          <w:rFonts w:ascii="Book Antiqua" w:hAnsi="Book Antiqua"/>
          <w:sz w:val="24"/>
          <w:szCs w:val="24"/>
          <w:lang w:val="en-US"/>
        </w:rPr>
        <w:t>real-time PCR</w:t>
      </w:r>
      <w:r w:rsidRPr="006F2809">
        <w:rPr>
          <w:rFonts w:ascii="Book Antiqua" w:hAnsi="Book Antiqua"/>
          <w:sz w:val="24"/>
          <w:szCs w:val="24"/>
          <w:lang w:val="en-GB" w:eastAsia="it-IT"/>
        </w:rPr>
        <w:t xml:space="preserve"> significantly stratified stage II patients; </w:t>
      </w:r>
      <w:r w:rsidRPr="006F2809">
        <w:rPr>
          <w:rFonts w:ascii="Book Antiqua" w:hAnsi="Book Antiqua"/>
          <w:sz w:val="24"/>
          <w:szCs w:val="24"/>
          <w:lang w:val="en-US"/>
        </w:rPr>
        <w:t>stage II patients with high TERT levels showed significantly worse median OS and DFS than patients with low TERT levels did</w:t>
      </w:r>
      <w:r w:rsidRPr="006F2809">
        <w:rPr>
          <w:rFonts w:ascii="Book Antiqua" w:hAnsi="Book Antiqua"/>
          <w:sz w:val="24"/>
          <w:szCs w:val="24"/>
          <w:vertAlign w:val="superscript"/>
          <w:lang w:val="en-US"/>
        </w:rPr>
        <w:t>[73]</w:t>
      </w:r>
      <w:r w:rsidRPr="006F2809">
        <w:rPr>
          <w:rFonts w:ascii="Book Antiqua" w:hAnsi="Book Antiqua"/>
          <w:i/>
          <w:sz w:val="24"/>
          <w:szCs w:val="24"/>
          <w:lang w:val="en-US"/>
        </w:rPr>
        <w:t>.</w:t>
      </w:r>
    </w:p>
    <w:p w:rsidR="00D55DFD" w:rsidRPr="006F2809" w:rsidRDefault="00D55DFD" w:rsidP="004D1EA2">
      <w:pPr>
        <w:tabs>
          <w:tab w:val="left" w:pos="567"/>
        </w:tabs>
        <w:snapToGrid w:val="0"/>
        <w:spacing w:after="0" w:line="360" w:lineRule="auto"/>
        <w:ind w:firstLineChars="50" w:firstLine="120"/>
        <w:jc w:val="both"/>
        <w:rPr>
          <w:rFonts w:ascii="Book Antiqua" w:hAnsi="Book Antiqua"/>
          <w:sz w:val="24"/>
          <w:szCs w:val="24"/>
          <w:lang w:val="en-GB"/>
        </w:rPr>
      </w:pPr>
      <w:r w:rsidRPr="006F2809">
        <w:rPr>
          <w:rFonts w:ascii="Book Antiqua" w:hAnsi="Book Antiqua"/>
          <w:sz w:val="24"/>
          <w:szCs w:val="24"/>
          <w:lang w:val="en-GB" w:eastAsia="it-IT"/>
        </w:rPr>
        <w:t>In recent years, g</w:t>
      </w:r>
      <w:r w:rsidRPr="006F2809">
        <w:rPr>
          <w:rFonts w:ascii="Book Antiqua" w:hAnsi="Book Antiqua"/>
          <w:sz w:val="24"/>
          <w:szCs w:val="24"/>
          <w:lang w:val="en-GB"/>
        </w:rPr>
        <w:t>reat efforts have been made to identify markers for minimally invasive early diagnosis and/or monitoring of disease. The expression of epithelial cell adhesion molecules has been used primarily to detect CRC cells in the hematopoietic milieu, and the detection of circulating cancer cells is a promising approach, although its diagnostic/prognostic role needs to be established</w:t>
      </w:r>
      <w:r w:rsidRPr="006F2809">
        <w:rPr>
          <w:rFonts w:ascii="Book Antiqua" w:hAnsi="Book Antiqua"/>
          <w:sz w:val="24"/>
          <w:szCs w:val="24"/>
          <w:vertAlign w:val="superscript"/>
          <w:lang w:val="en-GB"/>
        </w:rPr>
        <w:t>[</w:t>
      </w:r>
      <w:r>
        <w:rPr>
          <w:rFonts w:ascii="Book Antiqua" w:hAnsi="Book Antiqua"/>
          <w:sz w:val="24"/>
          <w:szCs w:val="24"/>
          <w:vertAlign w:val="superscript"/>
          <w:lang w:val="en-GB" w:eastAsia="zh-CN"/>
        </w:rPr>
        <w:t>79</w:t>
      </w:r>
      <w:r w:rsidRPr="006F2809">
        <w:rPr>
          <w:rFonts w:ascii="Book Antiqua" w:hAnsi="Book Antiqua"/>
          <w:sz w:val="24"/>
          <w:szCs w:val="24"/>
          <w:vertAlign w:val="superscript"/>
          <w:lang w:val="en-GB"/>
        </w:rPr>
        <w:t>]</w:t>
      </w:r>
      <w:r w:rsidRPr="006F2809">
        <w:rPr>
          <w:rFonts w:ascii="Book Antiqua" w:hAnsi="Book Antiqua"/>
          <w:sz w:val="24"/>
          <w:szCs w:val="24"/>
          <w:lang w:val="en-GB"/>
        </w:rPr>
        <w:t>.</w:t>
      </w:r>
      <w:r w:rsidRPr="006F2809">
        <w:rPr>
          <w:rFonts w:ascii="Book Antiqua" w:hAnsi="Book Antiqua"/>
          <w:i/>
          <w:sz w:val="24"/>
          <w:szCs w:val="24"/>
          <w:lang w:val="en-GB"/>
        </w:rPr>
        <w:t xml:space="preserve"> </w:t>
      </w:r>
      <w:r w:rsidRPr="006F2809">
        <w:rPr>
          <w:rFonts w:ascii="Book Antiqua" w:hAnsi="Book Antiqua"/>
          <w:sz w:val="24"/>
          <w:szCs w:val="24"/>
          <w:lang w:val="en-GB"/>
        </w:rPr>
        <w:t>The detection of cancer-related RNA molecules in plasma has recently been proposed as a marker of cancer onset and outcome, and ongoing studies indicate that circulating microRNAs may be biomarkers for the early detection of CRC</w:t>
      </w:r>
      <w:r w:rsidRPr="006F2809">
        <w:rPr>
          <w:rFonts w:ascii="Book Antiqua" w:hAnsi="Book Antiqua"/>
          <w:sz w:val="24"/>
          <w:szCs w:val="24"/>
          <w:vertAlign w:val="superscript"/>
          <w:lang w:val="en-GB"/>
        </w:rPr>
        <w:t>[8</w:t>
      </w:r>
      <w:r>
        <w:rPr>
          <w:rFonts w:ascii="Book Antiqua" w:hAnsi="Book Antiqua"/>
          <w:sz w:val="24"/>
          <w:szCs w:val="24"/>
          <w:vertAlign w:val="superscript"/>
          <w:lang w:val="en-GB" w:eastAsia="zh-CN"/>
        </w:rPr>
        <w:t>0</w:t>
      </w:r>
      <w:r w:rsidRPr="006F2809">
        <w:rPr>
          <w:rFonts w:ascii="Book Antiqua" w:hAnsi="Book Antiqua"/>
          <w:sz w:val="24"/>
          <w:szCs w:val="24"/>
          <w:vertAlign w:val="superscript"/>
          <w:lang w:val="en-GB"/>
        </w:rPr>
        <w:t>,8</w:t>
      </w:r>
      <w:r>
        <w:rPr>
          <w:rFonts w:ascii="Book Antiqua" w:hAnsi="Book Antiqua"/>
          <w:sz w:val="24"/>
          <w:szCs w:val="24"/>
          <w:vertAlign w:val="superscript"/>
          <w:lang w:val="en-GB" w:eastAsia="zh-CN"/>
        </w:rPr>
        <w:t>1</w:t>
      </w:r>
      <w:r w:rsidRPr="006F2809">
        <w:rPr>
          <w:rFonts w:ascii="Book Antiqua" w:hAnsi="Book Antiqua"/>
          <w:sz w:val="24"/>
          <w:szCs w:val="24"/>
          <w:vertAlign w:val="superscript"/>
          <w:lang w:val="en-GB"/>
        </w:rPr>
        <w:t>]</w:t>
      </w:r>
      <w:r w:rsidRPr="006F2809">
        <w:rPr>
          <w:rFonts w:ascii="Book Antiqua" w:hAnsi="Book Antiqua"/>
          <w:i/>
          <w:sz w:val="24"/>
          <w:szCs w:val="24"/>
          <w:lang w:val="en-GB"/>
        </w:rPr>
        <w:t xml:space="preserve">. </w:t>
      </w:r>
      <w:r w:rsidRPr="006F2809">
        <w:rPr>
          <w:rFonts w:ascii="Book Antiqua" w:hAnsi="Book Antiqua"/>
          <w:sz w:val="24"/>
          <w:szCs w:val="24"/>
          <w:lang w:val="en-GB"/>
        </w:rPr>
        <w:t>Within this framework, recent studies suggest that cell-free circulating TERT mRNA is also a potential marker of disease.</w:t>
      </w:r>
    </w:p>
    <w:p w:rsidR="00D55DFD" w:rsidRPr="006F2809" w:rsidRDefault="00D55DFD" w:rsidP="004D1EA2">
      <w:pPr>
        <w:tabs>
          <w:tab w:val="left" w:pos="567"/>
        </w:tabs>
        <w:snapToGrid w:val="0"/>
        <w:spacing w:after="0" w:line="360" w:lineRule="auto"/>
        <w:ind w:firstLineChars="50" w:firstLine="120"/>
        <w:jc w:val="both"/>
        <w:rPr>
          <w:rFonts w:ascii="Book Antiqua" w:hAnsi="Book Antiqua"/>
          <w:sz w:val="24"/>
          <w:szCs w:val="24"/>
          <w:lang w:val="en-GB" w:eastAsia="it-IT"/>
        </w:rPr>
      </w:pPr>
      <w:r w:rsidRPr="006F2809">
        <w:rPr>
          <w:rFonts w:ascii="Book Antiqua" w:hAnsi="Book Antiqua"/>
          <w:color w:val="000000"/>
          <w:sz w:val="24"/>
          <w:szCs w:val="24"/>
          <w:lang w:val="en-GB"/>
        </w:rPr>
        <w:t>Transcripts of TERT have been detected in the plasma of patients with different tumours, including CRC</w:t>
      </w:r>
      <w:r w:rsidRPr="006F2809">
        <w:rPr>
          <w:rFonts w:ascii="Book Antiqua" w:hAnsi="Book Antiqua"/>
          <w:color w:val="000000"/>
          <w:sz w:val="24"/>
          <w:szCs w:val="24"/>
          <w:vertAlign w:val="superscript"/>
          <w:lang w:val="en-GB"/>
        </w:rPr>
        <w:t>[8</w:t>
      </w:r>
      <w:r>
        <w:rPr>
          <w:rFonts w:ascii="Book Antiqua" w:hAnsi="Book Antiqua"/>
          <w:color w:val="000000"/>
          <w:sz w:val="24"/>
          <w:szCs w:val="24"/>
          <w:vertAlign w:val="superscript"/>
          <w:lang w:val="en-GB" w:eastAsia="zh-CN"/>
        </w:rPr>
        <w:t>2</w:t>
      </w:r>
      <w:r w:rsidRPr="006F2809">
        <w:rPr>
          <w:rFonts w:ascii="Book Antiqua" w:hAnsi="Book Antiqua"/>
          <w:color w:val="000000"/>
          <w:sz w:val="24"/>
          <w:szCs w:val="24"/>
          <w:vertAlign w:val="superscript"/>
          <w:lang w:val="en-GB"/>
        </w:rPr>
        <w:t>,8</w:t>
      </w:r>
      <w:r>
        <w:rPr>
          <w:rFonts w:ascii="Book Antiqua" w:hAnsi="Book Antiqua"/>
          <w:color w:val="000000"/>
          <w:sz w:val="24"/>
          <w:szCs w:val="24"/>
          <w:vertAlign w:val="superscript"/>
          <w:lang w:val="en-GB" w:eastAsia="zh-CN"/>
        </w:rPr>
        <w:t>3</w:t>
      </w:r>
      <w:r w:rsidRPr="006F2809">
        <w:rPr>
          <w:rFonts w:ascii="Book Antiqua" w:hAnsi="Book Antiqua"/>
          <w:color w:val="000000"/>
          <w:sz w:val="24"/>
          <w:szCs w:val="24"/>
          <w:vertAlign w:val="superscript"/>
          <w:lang w:val="en-GB"/>
        </w:rPr>
        <w:t>]</w:t>
      </w:r>
      <w:r w:rsidRPr="006F2809">
        <w:rPr>
          <w:rFonts w:ascii="Book Antiqua" w:hAnsi="Book Antiqua"/>
          <w:color w:val="000000"/>
          <w:sz w:val="24"/>
          <w:szCs w:val="24"/>
          <w:lang w:val="en-GB"/>
        </w:rPr>
        <w:t>. I</w:t>
      </w:r>
      <w:r w:rsidRPr="006F2809">
        <w:rPr>
          <w:rFonts w:ascii="Book Antiqua" w:hAnsi="Book Antiqua"/>
          <w:sz w:val="24"/>
          <w:szCs w:val="24"/>
          <w:lang w:val="en-GB"/>
        </w:rPr>
        <w:t>n a series of CRCs (stage I to stage IV), the TERT mRNA levels in plasma were related to those in tumours</w:t>
      </w:r>
      <w:r w:rsidRPr="006F2809">
        <w:rPr>
          <w:rFonts w:ascii="Book Antiqua" w:hAnsi="Book Antiqua"/>
          <w:sz w:val="24"/>
          <w:szCs w:val="24"/>
          <w:vertAlign w:val="superscript"/>
          <w:lang w:val="en-GB"/>
        </w:rPr>
        <w:t>[55]</w:t>
      </w:r>
      <w:r w:rsidRPr="006F2809">
        <w:rPr>
          <w:rFonts w:ascii="Book Antiqua" w:hAnsi="Book Antiqua"/>
          <w:sz w:val="24"/>
          <w:szCs w:val="24"/>
          <w:lang w:val="en-GB"/>
        </w:rPr>
        <w:t xml:space="preserve"> (Figure 2B). In addition, while 95% of patients with tumours had detectable cell-free circulating TERT, aged-matched controls were negative in almost all cases</w:t>
      </w:r>
      <w:r w:rsidRPr="006F2809">
        <w:rPr>
          <w:rFonts w:ascii="Book Antiqua" w:hAnsi="Book Antiqua"/>
          <w:sz w:val="24"/>
          <w:szCs w:val="24"/>
          <w:vertAlign w:val="superscript"/>
          <w:lang w:val="en-GB"/>
        </w:rPr>
        <w:t>[55]</w:t>
      </w:r>
      <w:r w:rsidRPr="006F2809">
        <w:rPr>
          <w:rFonts w:ascii="Book Antiqua" w:hAnsi="Book Antiqua"/>
          <w:sz w:val="24"/>
          <w:szCs w:val="24"/>
          <w:lang w:val="en-GB"/>
        </w:rPr>
        <w:t>.</w:t>
      </w:r>
      <w:r w:rsidRPr="006F2809">
        <w:rPr>
          <w:rFonts w:ascii="Book Antiqua" w:hAnsi="Book Antiqua"/>
          <w:color w:val="000000"/>
          <w:sz w:val="24"/>
          <w:szCs w:val="24"/>
          <w:lang w:val="en-GB"/>
        </w:rPr>
        <w:t xml:space="preserve"> This finding suggests that TERT levels in plasma reflect those in tumours. Very promising findings have been reported in patients with rectal cancer who underwent chemoradiotherapy (CRT) prior to surgery; plasma TERT was </w:t>
      </w:r>
      <w:r w:rsidRPr="006F2809">
        <w:rPr>
          <w:rFonts w:ascii="Book Antiqua" w:hAnsi="Book Antiqua"/>
          <w:sz w:val="24"/>
          <w:szCs w:val="24"/>
          <w:lang w:val="en-GB"/>
        </w:rPr>
        <w:t>significantly decreased in patients who underwent a complete pathologic response, but remained unchanged or increased in patients who did not respond to CRT</w:t>
      </w:r>
      <w:r w:rsidRPr="006F2809">
        <w:rPr>
          <w:rFonts w:ascii="Book Antiqua" w:hAnsi="Book Antiqua"/>
          <w:sz w:val="24"/>
          <w:szCs w:val="24"/>
          <w:vertAlign w:val="superscript"/>
          <w:lang w:val="en-GB"/>
        </w:rPr>
        <w:t>[8</w:t>
      </w:r>
      <w:r>
        <w:rPr>
          <w:rFonts w:ascii="Book Antiqua" w:hAnsi="Book Antiqua"/>
          <w:sz w:val="24"/>
          <w:szCs w:val="24"/>
          <w:vertAlign w:val="superscript"/>
          <w:lang w:val="en-GB" w:eastAsia="zh-CN"/>
        </w:rPr>
        <w:t>4</w:t>
      </w:r>
      <w:r w:rsidRPr="006F2809">
        <w:rPr>
          <w:rFonts w:ascii="Book Antiqua" w:hAnsi="Book Antiqua"/>
          <w:sz w:val="24"/>
          <w:szCs w:val="24"/>
          <w:vertAlign w:val="superscript"/>
          <w:lang w:val="en-GB"/>
        </w:rPr>
        <w:t xml:space="preserve">] </w:t>
      </w:r>
      <w:r w:rsidRPr="006F2809">
        <w:rPr>
          <w:rFonts w:ascii="Book Antiqua" w:hAnsi="Book Antiqua"/>
          <w:sz w:val="24"/>
          <w:szCs w:val="24"/>
          <w:lang w:val="en-GB"/>
        </w:rPr>
        <w:t>(Figure 2C). These findings also suggest that circulating TERT is a useful marker for monitoring the response to therapy. However, f</w:t>
      </w:r>
      <w:r w:rsidRPr="006F2809">
        <w:rPr>
          <w:rFonts w:ascii="Book Antiqua" w:hAnsi="Book Antiqua"/>
          <w:sz w:val="24"/>
          <w:szCs w:val="24"/>
          <w:lang w:val="en-US"/>
        </w:rPr>
        <w:t xml:space="preserve">urther studies with a prospective design and with a large </w:t>
      </w:r>
      <w:r w:rsidRPr="006F2809">
        <w:rPr>
          <w:rFonts w:ascii="Book Antiqua" w:hAnsi="Book Antiqua"/>
          <w:sz w:val="24"/>
          <w:szCs w:val="24"/>
          <w:lang w:val="en-US"/>
        </w:rPr>
        <w:lastRenderedPageBreak/>
        <w:t>sample sizes are required to clearly define the prognostic role of telomerase in CRC patients and to ascertain the cut-off values and reliability of circulating TERT as a marker for monitoring disease outcome and response to therapy.</w:t>
      </w:r>
    </w:p>
    <w:p w:rsidR="00D55DFD" w:rsidRPr="006F2809" w:rsidRDefault="00D55DFD" w:rsidP="004D1EA2">
      <w:pPr>
        <w:tabs>
          <w:tab w:val="left" w:pos="567"/>
        </w:tabs>
        <w:snapToGrid w:val="0"/>
        <w:spacing w:after="0" w:line="360" w:lineRule="auto"/>
        <w:jc w:val="both"/>
        <w:rPr>
          <w:rFonts w:ascii="Book Antiqua" w:hAnsi="Book Antiqua"/>
          <w:b/>
          <w:sz w:val="24"/>
          <w:szCs w:val="24"/>
          <w:lang w:val="en-GB" w:eastAsia="it-IT"/>
        </w:rPr>
      </w:pPr>
    </w:p>
    <w:p w:rsidR="00D55DFD" w:rsidRPr="006F2809" w:rsidRDefault="00D55DFD" w:rsidP="004D1EA2">
      <w:pPr>
        <w:tabs>
          <w:tab w:val="left" w:pos="567"/>
        </w:tabs>
        <w:snapToGrid w:val="0"/>
        <w:spacing w:after="0" w:line="360" w:lineRule="auto"/>
        <w:jc w:val="both"/>
        <w:rPr>
          <w:rFonts w:ascii="Book Antiqua" w:hAnsi="Book Antiqua"/>
          <w:b/>
          <w:sz w:val="24"/>
          <w:szCs w:val="24"/>
          <w:lang w:val="en-GB" w:eastAsia="zh-CN"/>
        </w:rPr>
      </w:pPr>
      <w:r w:rsidRPr="006F2809">
        <w:rPr>
          <w:rFonts w:ascii="Book Antiqua" w:hAnsi="Book Antiqua"/>
          <w:b/>
          <w:sz w:val="24"/>
          <w:szCs w:val="24"/>
          <w:lang w:val="en-GB" w:eastAsia="zh-CN"/>
        </w:rPr>
        <w:t>CONCLUSION</w:t>
      </w:r>
    </w:p>
    <w:p w:rsidR="00D55DFD" w:rsidRPr="006F2809" w:rsidRDefault="00D55DFD" w:rsidP="004D1EA2">
      <w:pPr>
        <w:autoSpaceDE w:val="0"/>
        <w:autoSpaceDN w:val="0"/>
        <w:adjustRightInd w:val="0"/>
        <w:snapToGrid w:val="0"/>
        <w:spacing w:after="0" w:line="360" w:lineRule="auto"/>
        <w:jc w:val="both"/>
        <w:rPr>
          <w:rFonts w:ascii="Book Antiqua" w:eastAsia="AdvTimes" w:hAnsi="Book Antiqua"/>
          <w:sz w:val="24"/>
          <w:szCs w:val="24"/>
          <w:lang w:val="en-US" w:eastAsia="ja-JP"/>
        </w:rPr>
      </w:pPr>
      <w:r w:rsidRPr="006F2809">
        <w:rPr>
          <w:rFonts w:ascii="Book Antiqua" w:hAnsi="Book Antiqua"/>
          <w:sz w:val="24"/>
          <w:szCs w:val="24"/>
          <w:lang w:val="en-US"/>
        </w:rPr>
        <w:t>Besides extensive heterogeneity in the molecular and biological features of CRC, chromosomal instability plays a key role in the early steps of carcinogenesis. The majority of studies agree that telomere shortening is an early event in the oncogenetic process and that telomere erosion leads to genetic instability. Telomerase, which maintains telomere length and preserves the cell's replicative potential,</w:t>
      </w:r>
      <w:r w:rsidRPr="006F2809">
        <w:rPr>
          <w:rFonts w:ascii="Book Antiqua" w:eastAsia="AdvTimes" w:hAnsi="Book Antiqua"/>
          <w:sz w:val="24"/>
          <w:szCs w:val="24"/>
          <w:lang w:val="en-US" w:eastAsia="ja-JP"/>
        </w:rPr>
        <w:t xml:space="preserve"> is activated during the adenoma-carcinoma sequence and its activity increases during tumour progression. </w:t>
      </w:r>
    </w:p>
    <w:p w:rsidR="00D55DFD" w:rsidRPr="006F2809" w:rsidRDefault="00D55DFD" w:rsidP="004D1EA2">
      <w:pPr>
        <w:snapToGrid w:val="0"/>
        <w:spacing w:after="0" w:line="360" w:lineRule="auto"/>
        <w:ind w:firstLineChars="50" w:firstLine="120"/>
        <w:jc w:val="both"/>
        <w:rPr>
          <w:rFonts w:ascii="Book Antiqua" w:hAnsi="Book Antiqua"/>
          <w:sz w:val="24"/>
          <w:szCs w:val="24"/>
          <w:lang w:val="en-GB"/>
        </w:rPr>
      </w:pPr>
      <w:r w:rsidRPr="006F2809">
        <w:rPr>
          <w:rFonts w:ascii="Book Antiqua" w:hAnsi="Book Antiqua"/>
          <w:bCs/>
          <w:sz w:val="24"/>
          <w:szCs w:val="24"/>
          <w:lang w:val="en-GB"/>
        </w:rPr>
        <w:t xml:space="preserve">While most studies do not confirm the prognostic role of telomere length, there is general agreement that high levels of TERT and/or telomerase activity are associated with poor prognosis. Emerging data also suggest that circulating TERT levels reflects tumour TERT levels. Overall, there is sufficient evidence to indicate that </w:t>
      </w:r>
      <w:r w:rsidRPr="006F2809">
        <w:rPr>
          <w:rFonts w:ascii="Book Antiqua" w:eastAsia="AdvTimes" w:hAnsi="Book Antiqua"/>
          <w:sz w:val="24"/>
          <w:szCs w:val="24"/>
          <w:lang w:val="en-US" w:eastAsia="ja-JP"/>
        </w:rPr>
        <w:t xml:space="preserve">telomerase is a useful marker for monitoring and predicting disease outcome. </w:t>
      </w:r>
      <w:r w:rsidRPr="006F2809">
        <w:rPr>
          <w:rFonts w:ascii="Book Antiqua" w:hAnsi="Book Antiqua"/>
          <w:sz w:val="24"/>
          <w:szCs w:val="24"/>
          <w:lang w:val="en-US"/>
        </w:rPr>
        <w:t xml:space="preserve">A caveat to the use of telomerase as a marker is the availability of simple and reliable assays to quantify telomerase expression and/or activity. The use of reliable assays will allow </w:t>
      </w:r>
      <w:r w:rsidRPr="006F2809">
        <w:rPr>
          <w:rFonts w:ascii="Book Antiqua" w:hAnsi="Book Antiqua"/>
          <w:color w:val="222222"/>
          <w:sz w:val="24"/>
          <w:szCs w:val="24"/>
          <w:lang w:val="en-GB"/>
        </w:rPr>
        <w:t xml:space="preserve">researchers to compare data and to </w:t>
      </w:r>
      <w:r w:rsidRPr="006F2809">
        <w:rPr>
          <w:rFonts w:ascii="Book Antiqua" w:hAnsi="Book Antiqua"/>
          <w:sz w:val="24"/>
          <w:szCs w:val="24"/>
          <w:lang w:val="en-US"/>
        </w:rPr>
        <w:t>define useful cut-off values to discriminate between patients at low and high risk of disease progression.</w:t>
      </w:r>
      <w:r w:rsidRPr="006F2809">
        <w:rPr>
          <w:rFonts w:ascii="Book Antiqua" w:hAnsi="Book Antiqua"/>
          <w:i/>
          <w:sz w:val="24"/>
          <w:szCs w:val="24"/>
          <w:lang w:val="en-US"/>
        </w:rPr>
        <w:t xml:space="preserve"> </w:t>
      </w:r>
      <w:r w:rsidRPr="006F2809">
        <w:rPr>
          <w:rFonts w:ascii="Book Antiqua" w:hAnsi="Book Antiqua"/>
          <w:sz w:val="24"/>
          <w:szCs w:val="24"/>
          <w:lang w:val="en-US"/>
        </w:rPr>
        <w:t xml:space="preserve">Further studies with a prospective design and large sample sizes are required to clearly define the prognostic role of telomerase and to acertain its reliability as a circulating biomarker for the minimally invasive monitoring of disease and the response to therapy. </w:t>
      </w:r>
    </w:p>
    <w:p w:rsidR="00D55DFD" w:rsidRPr="006F2809" w:rsidRDefault="00D55DFD" w:rsidP="004D1EA2">
      <w:pPr>
        <w:snapToGrid w:val="0"/>
        <w:spacing w:after="0" w:line="360" w:lineRule="auto"/>
        <w:jc w:val="both"/>
        <w:rPr>
          <w:rFonts w:ascii="Book Antiqua" w:hAnsi="Book Antiqua"/>
          <w:b/>
          <w:sz w:val="24"/>
          <w:szCs w:val="24"/>
          <w:lang w:val="en-US" w:eastAsia="zh-CN"/>
        </w:rPr>
      </w:pPr>
    </w:p>
    <w:p w:rsidR="00D55DFD" w:rsidRPr="006F2809" w:rsidRDefault="00D55DFD" w:rsidP="004D1EA2">
      <w:pPr>
        <w:snapToGrid w:val="0"/>
        <w:spacing w:after="0" w:line="360" w:lineRule="auto"/>
        <w:jc w:val="both"/>
        <w:rPr>
          <w:rFonts w:ascii="Book Antiqua" w:hAnsi="Book Antiqua"/>
          <w:b/>
          <w:sz w:val="24"/>
          <w:szCs w:val="24"/>
          <w:lang w:val="en-US" w:eastAsia="zh-CN"/>
        </w:rPr>
      </w:pPr>
      <w:r w:rsidRPr="006F2809">
        <w:rPr>
          <w:rFonts w:ascii="Book Antiqua" w:hAnsi="Book Antiqua"/>
          <w:b/>
          <w:sz w:val="24"/>
          <w:szCs w:val="24"/>
          <w:lang w:val="en-US"/>
        </w:rPr>
        <w:t>REFERENCES</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 </w:t>
      </w:r>
      <w:r w:rsidRPr="006F2809">
        <w:rPr>
          <w:rFonts w:ascii="Book Antiqua" w:hAnsi="Book Antiqua" w:cs="宋体"/>
          <w:b/>
          <w:bCs/>
          <w:sz w:val="24"/>
          <w:szCs w:val="24"/>
          <w:lang w:val="en-US" w:eastAsia="zh-CN"/>
        </w:rPr>
        <w:t>Jemal A</w:t>
      </w:r>
      <w:r w:rsidRPr="006F2809">
        <w:rPr>
          <w:rFonts w:ascii="Book Antiqua" w:hAnsi="Book Antiqua" w:cs="宋体"/>
          <w:sz w:val="24"/>
          <w:szCs w:val="24"/>
          <w:lang w:val="en-US" w:eastAsia="zh-CN"/>
        </w:rPr>
        <w:t xml:space="preserve">, Bray F, Center MM, Ferlay J, Ward E, Forman D. Global cancer statistics. </w:t>
      </w:r>
      <w:r w:rsidRPr="006F2809">
        <w:rPr>
          <w:rFonts w:ascii="Book Antiqua" w:hAnsi="Book Antiqua" w:cs="宋体"/>
          <w:i/>
          <w:iCs/>
          <w:sz w:val="24"/>
          <w:szCs w:val="24"/>
          <w:lang w:val="en-US" w:eastAsia="zh-CN"/>
        </w:rPr>
        <w:t>CA Cancer J Clin</w:t>
      </w:r>
      <w:r w:rsidRPr="006F2809">
        <w:rPr>
          <w:rFonts w:ascii="Book Antiqua" w:hAnsi="Book Antiqua" w:cs="宋体"/>
          <w:sz w:val="24"/>
          <w:szCs w:val="24"/>
          <w:lang w:val="en-US" w:eastAsia="zh-CN"/>
        </w:rPr>
        <w:t xml:space="preserve"> </w:t>
      </w:r>
      <w:r>
        <w:rPr>
          <w:rFonts w:ascii="Book Antiqua" w:hAnsi="Book Antiqua" w:cs="宋体"/>
          <w:sz w:val="24"/>
          <w:szCs w:val="24"/>
          <w:lang w:val="en-US" w:eastAsia="zh-CN"/>
        </w:rPr>
        <w:t>2011</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61</w:t>
      </w:r>
      <w:r w:rsidRPr="006F2809">
        <w:rPr>
          <w:rFonts w:ascii="Book Antiqua" w:hAnsi="Book Antiqua" w:cs="宋体"/>
          <w:sz w:val="24"/>
          <w:szCs w:val="24"/>
          <w:lang w:val="en-US" w:eastAsia="zh-CN"/>
        </w:rPr>
        <w:t>: 69-90 [PMID: 21296855 DOI: 10.3322/caac.20107]</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 </w:t>
      </w:r>
      <w:r w:rsidRPr="006F2809">
        <w:rPr>
          <w:rFonts w:ascii="Book Antiqua" w:hAnsi="Book Antiqua" w:cs="宋体"/>
          <w:b/>
          <w:bCs/>
          <w:sz w:val="24"/>
          <w:szCs w:val="24"/>
          <w:lang w:val="en-US" w:eastAsia="zh-CN"/>
        </w:rPr>
        <w:t>Markowitz SD</w:t>
      </w:r>
      <w:r w:rsidRPr="006F2809">
        <w:rPr>
          <w:rFonts w:ascii="Book Antiqua" w:hAnsi="Book Antiqua" w:cs="宋体"/>
          <w:sz w:val="24"/>
          <w:szCs w:val="24"/>
          <w:lang w:val="en-US" w:eastAsia="zh-CN"/>
        </w:rPr>
        <w:t xml:space="preserve">, Bertagnolli MM. Molecular origins of cancer: Molecular basis of colorectal cancer. </w:t>
      </w:r>
      <w:r w:rsidRPr="006F2809">
        <w:rPr>
          <w:rFonts w:ascii="Book Antiqua" w:hAnsi="Book Antiqua" w:cs="宋体"/>
          <w:i/>
          <w:iCs/>
          <w:sz w:val="24"/>
          <w:szCs w:val="24"/>
          <w:lang w:val="en-US" w:eastAsia="zh-CN"/>
        </w:rPr>
        <w:t>N Engl J Med</w:t>
      </w:r>
      <w:r w:rsidRPr="006F2809">
        <w:rPr>
          <w:rFonts w:ascii="Book Antiqua" w:hAnsi="Book Antiqua" w:cs="宋体"/>
          <w:sz w:val="24"/>
          <w:szCs w:val="24"/>
          <w:lang w:val="en-US" w:eastAsia="zh-CN"/>
        </w:rPr>
        <w:t xml:space="preserve"> 2009; </w:t>
      </w:r>
      <w:r w:rsidRPr="006F2809">
        <w:rPr>
          <w:rFonts w:ascii="Book Antiqua" w:hAnsi="Book Antiqua" w:cs="宋体"/>
          <w:b/>
          <w:bCs/>
          <w:sz w:val="24"/>
          <w:szCs w:val="24"/>
          <w:lang w:val="en-US" w:eastAsia="zh-CN"/>
        </w:rPr>
        <w:t>361</w:t>
      </w:r>
      <w:r w:rsidRPr="006F2809">
        <w:rPr>
          <w:rFonts w:ascii="Book Antiqua" w:hAnsi="Book Antiqua" w:cs="宋体"/>
          <w:sz w:val="24"/>
          <w:szCs w:val="24"/>
          <w:lang w:val="en-US" w:eastAsia="zh-CN"/>
        </w:rPr>
        <w:t>: 2449-2460 [PMID: 20018966 DOI: 10.1056/NEJMra0804588]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 </w:t>
      </w:r>
      <w:r w:rsidRPr="006F2809">
        <w:rPr>
          <w:rFonts w:ascii="Book Antiqua" w:hAnsi="Book Antiqua" w:cs="宋体"/>
          <w:b/>
          <w:bCs/>
          <w:sz w:val="24"/>
          <w:szCs w:val="24"/>
          <w:lang w:val="en-US" w:eastAsia="zh-CN"/>
        </w:rPr>
        <w:t>Winder T</w:t>
      </w:r>
      <w:r w:rsidRPr="006F2809">
        <w:rPr>
          <w:rFonts w:ascii="Book Antiqua" w:hAnsi="Book Antiqua" w:cs="宋体"/>
          <w:sz w:val="24"/>
          <w:szCs w:val="24"/>
          <w:lang w:val="en-US" w:eastAsia="zh-CN"/>
        </w:rPr>
        <w:t xml:space="preserve">, Lenz HJ. Beyond KRAS: a new approach in metastatic colorectal cancer. </w:t>
      </w:r>
      <w:r w:rsidRPr="006F2809">
        <w:rPr>
          <w:rFonts w:ascii="Book Antiqua" w:hAnsi="Book Antiqua" w:cs="宋体"/>
          <w:i/>
          <w:iCs/>
          <w:sz w:val="24"/>
          <w:szCs w:val="24"/>
          <w:lang w:val="en-US" w:eastAsia="zh-CN"/>
        </w:rPr>
        <w:t>Lancet Oncol</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11</w:t>
      </w:r>
      <w:r w:rsidRPr="006F2809">
        <w:rPr>
          <w:rFonts w:ascii="Book Antiqua" w:hAnsi="Book Antiqua" w:cs="宋体"/>
          <w:sz w:val="24"/>
          <w:szCs w:val="24"/>
          <w:lang w:val="en-US" w:eastAsia="zh-CN"/>
        </w:rPr>
        <w:t>: 706-707 [PMID: 20619738 DOI: 10.1016/S1470-2045(10)70147-9]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 xml:space="preserve">4 </w:t>
      </w:r>
      <w:r w:rsidRPr="006F2809">
        <w:rPr>
          <w:rFonts w:ascii="Book Antiqua" w:hAnsi="Book Antiqua" w:cs="宋体"/>
          <w:b/>
          <w:bCs/>
          <w:sz w:val="24"/>
          <w:szCs w:val="24"/>
          <w:lang w:val="en-US" w:eastAsia="zh-CN"/>
        </w:rPr>
        <w:t>Pino MS</w:t>
      </w:r>
      <w:r w:rsidRPr="006F2809">
        <w:rPr>
          <w:rFonts w:ascii="Book Antiqua" w:hAnsi="Book Antiqua" w:cs="宋体"/>
          <w:sz w:val="24"/>
          <w:szCs w:val="24"/>
          <w:lang w:val="en-US" w:eastAsia="zh-CN"/>
        </w:rPr>
        <w:t xml:space="preserve">, Chung DC. The chromosomal instability pathway in colon cancer. </w:t>
      </w:r>
      <w:r w:rsidRPr="006F2809">
        <w:rPr>
          <w:rFonts w:ascii="Book Antiqua" w:hAnsi="Book Antiqua" w:cs="宋体"/>
          <w:i/>
          <w:iCs/>
          <w:sz w:val="24"/>
          <w:szCs w:val="24"/>
          <w:lang w:val="en-US" w:eastAsia="zh-CN"/>
        </w:rPr>
        <w:t>Gastroenterology</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138</w:t>
      </w:r>
      <w:r w:rsidRPr="006F2809">
        <w:rPr>
          <w:rFonts w:ascii="Book Antiqua" w:hAnsi="Book Antiqua" w:cs="宋体"/>
          <w:sz w:val="24"/>
          <w:szCs w:val="24"/>
          <w:lang w:val="en-US" w:eastAsia="zh-CN"/>
        </w:rPr>
        <w:t>: 2059-2072 [PMID: 20420946 DOI: 10.1053/j.gastro.2009.12.065]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 </w:t>
      </w:r>
      <w:r w:rsidRPr="006F2809">
        <w:rPr>
          <w:rFonts w:ascii="Book Antiqua" w:hAnsi="Book Antiqua" w:cs="宋体"/>
          <w:b/>
          <w:bCs/>
          <w:sz w:val="24"/>
          <w:szCs w:val="24"/>
          <w:lang w:val="en-US" w:eastAsia="zh-CN"/>
        </w:rPr>
        <w:t>Kim GP</w:t>
      </w:r>
      <w:r w:rsidRPr="006F2809">
        <w:rPr>
          <w:rFonts w:ascii="Book Antiqua" w:hAnsi="Book Antiqua" w:cs="宋体"/>
          <w:sz w:val="24"/>
          <w:szCs w:val="24"/>
          <w:lang w:val="en-US" w:eastAsia="zh-CN"/>
        </w:rPr>
        <w:t xml:space="preserve">, Colangelo LH, Paik S, O'Connell MJ, Kirsch IR, Allegra C, Wolmark N. Predictive value of microsatellite instability-high remains controversial. </w:t>
      </w:r>
      <w:r w:rsidRPr="006F2809">
        <w:rPr>
          <w:rFonts w:ascii="Book Antiqua" w:hAnsi="Book Antiqua" w:cs="宋体"/>
          <w:i/>
          <w:iCs/>
          <w:sz w:val="24"/>
          <w:szCs w:val="24"/>
          <w:lang w:val="en-US" w:eastAsia="zh-CN"/>
        </w:rPr>
        <w:t>J Clin Oncol</w:t>
      </w:r>
      <w:r w:rsidRPr="006F2809">
        <w:rPr>
          <w:rFonts w:ascii="Book Antiqua" w:hAnsi="Book Antiqua" w:cs="宋体"/>
          <w:sz w:val="24"/>
          <w:szCs w:val="24"/>
          <w:lang w:val="en-US" w:eastAsia="zh-CN"/>
        </w:rPr>
        <w:t xml:space="preserve"> 2007; </w:t>
      </w:r>
      <w:r w:rsidRPr="006F2809">
        <w:rPr>
          <w:rFonts w:ascii="Book Antiqua" w:hAnsi="Book Antiqua" w:cs="宋体"/>
          <w:b/>
          <w:bCs/>
          <w:sz w:val="24"/>
          <w:szCs w:val="24"/>
          <w:lang w:val="en-US" w:eastAsia="zh-CN"/>
        </w:rPr>
        <w:t>25</w:t>
      </w:r>
      <w:r w:rsidRPr="006F2809">
        <w:rPr>
          <w:rFonts w:ascii="Book Antiqua" w:hAnsi="Book Antiqua" w:cs="宋体"/>
          <w:sz w:val="24"/>
          <w:szCs w:val="24"/>
          <w:lang w:val="en-US" w:eastAsia="zh-CN"/>
        </w:rPr>
        <w:t>: 4857; author reply 4857-4858 [PMID: 17947740 DOI: 10.1200/JCO.2007.13.2019]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 </w:t>
      </w:r>
      <w:r w:rsidRPr="006F2809">
        <w:rPr>
          <w:rFonts w:ascii="Book Antiqua" w:hAnsi="Book Antiqua" w:cs="宋体"/>
          <w:b/>
          <w:bCs/>
          <w:sz w:val="24"/>
          <w:szCs w:val="24"/>
          <w:lang w:val="en-US" w:eastAsia="zh-CN"/>
        </w:rPr>
        <w:t>Cunningham D</w:t>
      </w:r>
      <w:r w:rsidRPr="006F2809">
        <w:rPr>
          <w:rFonts w:ascii="Book Antiqua" w:hAnsi="Book Antiqua" w:cs="宋体"/>
          <w:sz w:val="24"/>
          <w:szCs w:val="24"/>
          <w:lang w:val="en-US" w:eastAsia="zh-CN"/>
        </w:rPr>
        <w:t xml:space="preserve">, Atkin W, Lenz HJ, Lynch HT, Minsky B, Nordlinger B, Starling N. Colorectal cancer. </w:t>
      </w:r>
      <w:r w:rsidRPr="006F2809">
        <w:rPr>
          <w:rFonts w:ascii="Book Antiqua" w:hAnsi="Book Antiqua" w:cs="宋体"/>
          <w:i/>
          <w:iCs/>
          <w:sz w:val="24"/>
          <w:szCs w:val="24"/>
          <w:lang w:val="en-US" w:eastAsia="zh-CN"/>
        </w:rPr>
        <w:t>Lancet</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375</w:t>
      </w:r>
      <w:r w:rsidRPr="006F2809">
        <w:rPr>
          <w:rFonts w:ascii="Book Antiqua" w:hAnsi="Book Antiqua" w:cs="宋体"/>
          <w:sz w:val="24"/>
          <w:szCs w:val="24"/>
          <w:lang w:val="en-US" w:eastAsia="zh-CN"/>
        </w:rPr>
        <w:t>: 1030-1047 [PMID: 20304247 DOI: 10.1016/S0140-6736(10)60353-4]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7 </w:t>
      </w:r>
      <w:r w:rsidRPr="006F2809">
        <w:rPr>
          <w:rFonts w:ascii="Book Antiqua" w:hAnsi="Book Antiqua" w:cs="宋体"/>
          <w:b/>
          <w:bCs/>
          <w:sz w:val="24"/>
          <w:szCs w:val="24"/>
          <w:lang w:val="en-US" w:eastAsia="zh-CN"/>
        </w:rPr>
        <w:t>Lengauer C</w:t>
      </w:r>
      <w:r w:rsidRPr="006F2809">
        <w:rPr>
          <w:rFonts w:ascii="Book Antiqua" w:hAnsi="Book Antiqua" w:cs="宋体"/>
          <w:sz w:val="24"/>
          <w:szCs w:val="24"/>
          <w:lang w:val="en-US" w:eastAsia="zh-CN"/>
        </w:rPr>
        <w:t xml:space="preserve">, Kinzler KW, Vogelstein B. Genetic instability in colorectal cancers.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1997; </w:t>
      </w:r>
      <w:r w:rsidRPr="006F2809">
        <w:rPr>
          <w:rFonts w:ascii="Book Antiqua" w:hAnsi="Book Antiqua" w:cs="宋体"/>
          <w:b/>
          <w:bCs/>
          <w:sz w:val="24"/>
          <w:szCs w:val="24"/>
          <w:lang w:val="en-US" w:eastAsia="zh-CN"/>
        </w:rPr>
        <w:t>386</w:t>
      </w:r>
      <w:r w:rsidRPr="006F2809">
        <w:rPr>
          <w:rFonts w:ascii="Book Antiqua" w:hAnsi="Book Antiqua" w:cs="宋体"/>
          <w:sz w:val="24"/>
          <w:szCs w:val="24"/>
          <w:lang w:val="en-US" w:eastAsia="zh-CN"/>
        </w:rPr>
        <w:t>: 623-627 [PMID: 9121588 DOI: 10.1038/386623a0]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8 </w:t>
      </w:r>
      <w:r w:rsidRPr="006F2809">
        <w:rPr>
          <w:rFonts w:ascii="Book Antiqua" w:hAnsi="Book Antiqua" w:cs="宋体"/>
          <w:b/>
          <w:bCs/>
          <w:sz w:val="24"/>
          <w:szCs w:val="24"/>
          <w:lang w:val="en-US" w:eastAsia="zh-CN"/>
        </w:rPr>
        <w:t>Hanahan D</w:t>
      </w:r>
      <w:r w:rsidRPr="006F2809">
        <w:rPr>
          <w:rFonts w:ascii="Book Antiqua" w:hAnsi="Book Antiqua" w:cs="宋体"/>
          <w:sz w:val="24"/>
          <w:szCs w:val="24"/>
          <w:lang w:val="en-US" w:eastAsia="zh-CN"/>
        </w:rPr>
        <w:t xml:space="preserve">, Weinberg RA. Hallmarks of cancer: the next generation. </w:t>
      </w:r>
      <w:r w:rsidRPr="006F2809">
        <w:rPr>
          <w:rFonts w:ascii="Book Antiqua" w:hAnsi="Book Antiqua" w:cs="宋体"/>
          <w:i/>
          <w:iCs/>
          <w:sz w:val="24"/>
          <w:szCs w:val="24"/>
          <w:lang w:val="en-US" w:eastAsia="zh-CN"/>
        </w:rPr>
        <w:t>Cell</w:t>
      </w:r>
      <w:r w:rsidRPr="006F2809">
        <w:rPr>
          <w:rFonts w:ascii="Book Antiqua" w:hAnsi="Book Antiqua" w:cs="宋体"/>
          <w:sz w:val="24"/>
          <w:szCs w:val="24"/>
          <w:lang w:val="en-US" w:eastAsia="zh-CN"/>
        </w:rPr>
        <w:t xml:space="preserve"> 2011; </w:t>
      </w:r>
      <w:r w:rsidRPr="006F2809">
        <w:rPr>
          <w:rFonts w:ascii="Book Antiqua" w:hAnsi="Book Antiqua" w:cs="宋体"/>
          <w:b/>
          <w:bCs/>
          <w:sz w:val="24"/>
          <w:szCs w:val="24"/>
          <w:lang w:val="en-US" w:eastAsia="zh-CN"/>
        </w:rPr>
        <w:t>144</w:t>
      </w:r>
      <w:r w:rsidRPr="006F2809">
        <w:rPr>
          <w:rFonts w:ascii="Book Antiqua" w:hAnsi="Book Antiqua" w:cs="宋体"/>
          <w:sz w:val="24"/>
          <w:szCs w:val="24"/>
          <w:lang w:val="en-US" w:eastAsia="zh-CN"/>
        </w:rPr>
        <w:t>: 646-674 [PMID: 21376230 DOI: 10.1016/j.cell.2011.02.013]</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9 </w:t>
      </w:r>
      <w:r w:rsidRPr="006F2809">
        <w:rPr>
          <w:rFonts w:ascii="Book Antiqua" w:hAnsi="Book Antiqua" w:cs="宋体"/>
          <w:b/>
          <w:bCs/>
          <w:sz w:val="24"/>
          <w:szCs w:val="24"/>
          <w:lang w:val="en-US" w:eastAsia="zh-CN"/>
        </w:rPr>
        <w:t>Blackburn EH</w:t>
      </w:r>
      <w:r w:rsidRPr="006F2809">
        <w:rPr>
          <w:rFonts w:ascii="Book Antiqua" w:hAnsi="Book Antiqua" w:cs="宋体"/>
          <w:sz w:val="24"/>
          <w:szCs w:val="24"/>
          <w:lang w:val="en-US" w:eastAsia="zh-CN"/>
        </w:rPr>
        <w:t xml:space="preserve">, Greider CW, Szostak JW. Telomeres and telomerase: the path from maize, Tetrahymena and yeast to human cancer and aging. </w:t>
      </w:r>
      <w:r w:rsidRPr="006F2809">
        <w:rPr>
          <w:rFonts w:ascii="Book Antiqua" w:hAnsi="Book Antiqua" w:cs="宋体"/>
          <w:i/>
          <w:iCs/>
          <w:sz w:val="24"/>
          <w:szCs w:val="24"/>
          <w:lang w:val="en-US" w:eastAsia="zh-CN"/>
        </w:rPr>
        <w:t>Nat Med</w:t>
      </w:r>
      <w:r w:rsidRPr="006F2809">
        <w:rPr>
          <w:rFonts w:ascii="Book Antiqua" w:hAnsi="Book Antiqua" w:cs="宋体"/>
          <w:sz w:val="24"/>
          <w:szCs w:val="24"/>
          <w:lang w:val="en-US" w:eastAsia="zh-CN"/>
        </w:rPr>
        <w:t xml:space="preserve"> 2006; </w:t>
      </w:r>
      <w:r w:rsidRPr="006F2809">
        <w:rPr>
          <w:rFonts w:ascii="Book Antiqua" w:hAnsi="Book Antiqua" w:cs="宋体"/>
          <w:b/>
          <w:bCs/>
          <w:sz w:val="24"/>
          <w:szCs w:val="24"/>
          <w:lang w:val="en-US" w:eastAsia="zh-CN"/>
        </w:rPr>
        <w:t>12</w:t>
      </w:r>
      <w:r w:rsidRPr="006F2809">
        <w:rPr>
          <w:rFonts w:ascii="Book Antiqua" w:hAnsi="Book Antiqua" w:cs="宋体"/>
          <w:sz w:val="24"/>
          <w:szCs w:val="24"/>
          <w:lang w:val="en-US" w:eastAsia="zh-CN"/>
        </w:rPr>
        <w:t>: 1133-1138 [PMID: 17024208 DOI: 10.1038/nm1006-1133]</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10 </w:t>
      </w:r>
      <w:r w:rsidRPr="006F2809">
        <w:rPr>
          <w:rFonts w:ascii="Book Antiqua" w:hAnsi="Book Antiqua" w:cs="宋体"/>
          <w:b/>
          <w:bCs/>
          <w:sz w:val="24"/>
          <w:szCs w:val="24"/>
          <w:lang w:val="en-US" w:eastAsia="zh-CN"/>
        </w:rPr>
        <w:t>Palm W</w:t>
      </w:r>
      <w:r w:rsidRPr="006F2809">
        <w:rPr>
          <w:rFonts w:ascii="Book Antiqua" w:hAnsi="Book Antiqua" w:cs="宋体"/>
          <w:sz w:val="24"/>
          <w:szCs w:val="24"/>
          <w:lang w:val="en-US" w:eastAsia="zh-CN"/>
        </w:rPr>
        <w:t xml:space="preserve">, de Lange T. How shelterin protects mammalian telomeres. </w:t>
      </w:r>
      <w:r w:rsidRPr="006F2809">
        <w:rPr>
          <w:rFonts w:ascii="Book Antiqua" w:hAnsi="Book Antiqua" w:cs="宋体"/>
          <w:i/>
          <w:iCs/>
          <w:sz w:val="24"/>
          <w:szCs w:val="24"/>
          <w:lang w:val="en-US" w:eastAsia="zh-CN"/>
        </w:rPr>
        <w:t>Annu Rev Genet</w:t>
      </w:r>
      <w:r w:rsidRPr="006F2809">
        <w:rPr>
          <w:rFonts w:ascii="Book Antiqua" w:hAnsi="Book Antiqua" w:cs="宋体"/>
          <w:sz w:val="24"/>
          <w:szCs w:val="24"/>
          <w:lang w:val="en-US" w:eastAsia="zh-CN"/>
        </w:rPr>
        <w:t xml:space="preserve"> 2008; </w:t>
      </w:r>
      <w:r w:rsidRPr="006F2809">
        <w:rPr>
          <w:rFonts w:ascii="Book Antiqua" w:hAnsi="Book Antiqua" w:cs="宋体"/>
          <w:b/>
          <w:bCs/>
          <w:sz w:val="24"/>
          <w:szCs w:val="24"/>
          <w:lang w:val="en-US" w:eastAsia="zh-CN"/>
        </w:rPr>
        <w:t>42</w:t>
      </w:r>
      <w:r w:rsidRPr="006F2809">
        <w:rPr>
          <w:rFonts w:ascii="Book Antiqua" w:hAnsi="Book Antiqua" w:cs="宋体"/>
          <w:sz w:val="24"/>
          <w:szCs w:val="24"/>
          <w:lang w:val="en-US" w:eastAsia="zh-CN"/>
        </w:rPr>
        <w:t>: 301-334 [PMID: 18680434 DOI: 10.1146/annurev.genet.41.110306.130350]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11 </w:t>
      </w:r>
      <w:r w:rsidRPr="006F2809">
        <w:rPr>
          <w:rFonts w:ascii="Book Antiqua" w:hAnsi="Book Antiqua" w:cs="宋体"/>
          <w:b/>
          <w:bCs/>
          <w:sz w:val="24"/>
          <w:szCs w:val="24"/>
          <w:lang w:val="en-US" w:eastAsia="zh-CN"/>
        </w:rPr>
        <w:t>Harley CB</w:t>
      </w:r>
      <w:r w:rsidRPr="006F2809">
        <w:rPr>
          <w:rFonts w:ascii="Book Antiqua" w:hAnsi="Book Antiqua" w:cs="宋体"/>
          <w:sz w:val="24"/>
          <w:szCs w:val="24"/>
          <w:lang w:val="en-US" w:eastAsia="zh-CN"/>
        </w:rPr>
        <w:t xml:space="preserve">, Futcher AB, Greider CW. Telomeres shorten during ageing of human fibroblasts.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1990; </w:t>
      </w:r>
      <w:r w:rsidRPr="006F2809">
        <w:rPr>
          <w:rFonts w:ascii="Book Antiqua" w:hAnsi="Book Antiqua" w:cs="宋体"/>
          <w:b/>
          <w:bCs/>
          <w:sz w:val="24"/>
          <w:szCs w:val="24"/>
          <w:lang w:val="en-US" w:eastAsia="zh-CN"/>
        </w:rPr>
        <w:t>345</w:t>
      </w:r>
      <w:r w:rsidRPr="006F2809">
        <w:rPr>
          <w:rFonts w:ascii="Book Antiqua" w:hAnsi="Book Antiqua" w:cs="宋体"/>
          <w:sz w:val="24"/>
          <w:szCs w:val="24"/>
          <w:lang w:val="en-US" w:eastAsia="zh-CN"/>
        </w:rPr>
        <w:t>: 458-460 [PMID: 2342578 DOI: 10.1038/345458a0]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12 </w:t>
      </w:r>
      <w:r w:rsidRPr="006F2809">
        <w:rPr>
          <w:rFonts w:ascii="Book Antiqua" w:hAnsi="Book Antiqua" w:cs="宋体"/>
          <w:b/>
          <w:bCs/>
          <w:sz w:val="24"/>
          <w:szCs w:val="24"/>
          <w:lang w:val="en-US" w:eastAsia="zh-CN"/>
        </w:rPr>
        <w:t>Hackett JA</w:t>
      </w:r>
      <w:r w:rsidRPr="006F2809">
        <w:rPr>
          <w:rFonts w:ascii="Book Antiqua" w:hAnsi="Book Antiqua" w:cs="宋体"/>
          <w:sz w:val="24"/>
          <w:szCs w:val="24"/>
          <w:lang w:val="en-US" w:eastAsia="zh-CN"/>
        </w:rPr>
        <w:t xml:space="preserve">, Greider CW. Balancing instability: dual roles for telomerase and telomere dysfunction in tumorigenesis. </w:t>
      </w:r>
      <w:r w:rsidRPr="006F2809">
        <w:rPr>
          <w:rFonts w:ascii="Book Antiqua" w:hAnsi="Book Antiqua" w:cs="宋体"/>
          <w:i/>
          <w:iCs/>
          <w:sz w:val="24"/>
          <w:szCs w:val="24"/>
          <w:lang w:val="en-US" w:eastAsia="zh-CN"/>
        </w:rPr>
        <w:t>Oncogene</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21</w:t>
      </w:r>
      <w:r w:rsidRPr="006F2809">
        <w:rPr>
          <w:rFonts w:ascii="Book Antiqua" w:hAnsi="Book Antiqua" w:cs="宋体"/>
          <w:sz w:val="24"/>
          <w:szCs w:val="24"/>
          <w:lang w:val="en-US" w:eastAsia="zh-CN"/>
        </w:rPr>
        <w:t>: 619-626 [PMID: 11850787 DOI: 10.1038/sj.onc.1205061]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13 </w:t>
      </w:r>
      <w:r w:rsidRPr="006F2809">
        <w:rPr>
          <w:rFonts w:ascii="Book Antiqua" w:hAnsi="Book Antiqua" w:cs="宋体"/>
          <w:b/>
          <w:bCs/>
          <w:sz w:val="24"/>
          <w:szCs w:val="24"/>
          <w:lang w:val="en-US" w:eastAsia="zh-CN"/>
        </w:rPr>
        <w:t>Pucci F</w:t>
      </w:r>
      <w:r w:rsidRPr="006F2809">
        <w:rPr>
          <w:rFonts w:ascii="Book Antiqua" w:hAnsi="Book Antiqua" w:cs="宋体"/>
          <w:sz w:val="24"/>
          <w:szCs w:val="24"/>
          <w:lang w:val="en-US" w:eastAsia="zh-CN"/>
        </w:rPr>
        <w:t xml:space="preserve">, Gardano L, Harrington L. Short telomeres in ESCs lead to unstable differentiation. </w:t>
      </w:r>
      <w:r w:rsidRPr="006F2809">
        <w:rPr>
          <w:rFonts w:ascii="Book Antiqua" w:hAnsi="Book Antiqua" w:cs="宋体"/>
          <w:i/>
          <w:iCs/>
          <w:sz w:val="24"/>
          <w:szCs w:val="24"/>
          <w:lang w:val="en-US" w:eastAsia="zh-CN"/>
        </w:rPr>
        <w:t>Cell Stem Cell</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12</w:t>
      </w:r>
      <w:r w:rsidRPr="006F2809">
        <w:rPr>
          <w:rFonts w:ascii="Book Antiqua" w:hAnsi="Book Antiqua" w:cs="宋体"/>
          <w:sz w:val="24"/>
          <w:szCs w:val="24"/>
          <w:lang w:val="en-US" w:eastAsia="zh-CN"/>
        </w:rPr>
        <w:t>: 479-486 [PMID: 23561444 DOI: 10.1016/j.stem.2013.01.018]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14 </w:t>
      </w:r>
      <w:r w:rsidRPr="006F2809">
        <w:rPr>
          <w:rFonts w:ascii="Book Antiqua" w:hAnsi="Book Antiqua" w:cs="宋体"/>
          <w:b/>
          <w:bCs/>
          <w:sz w:val="24"/>
          <w:szCs w:val="24"/>
          <w:lang w:val="en-US" w:eastAsia="zh-CN"/>
        </w:rPr>
        <w:t>Greider CW</w:t>
      </w:r>
      <w:r w:rsidRPr="006F2809">
        <w:rPr>
          <w:rFonts w:ascii="Book Antiqua" w:hAnsi="Book Antiqua" w:cs="宋体"/>
          <w:sz w:val="24"/>
          <w:szCs w:val="24"/>
          <w:lang w:val="en-US" w:eastAsia="zh-CN"/>
        </w:rPr>
        <w:t xml:space="preserve">, Blackburn EH. Identification of a specific telomere terminal transferase activity in Tetrahymena extracts. </w:t>
      </w:r>
      <w:r w:rsidRPr="006F2809">
        <w:rPr>
          <w:rFonts w:ascii="Book Antiqua" w:hAnsi="Book Antiqua" w:cs="宋体"/>
          <w:i/>
          <w:iCs/>
          <w:sz w:val="24"/>
          <w:szCs w:val="24"/>
          <w:lang w:val="en-US" w:eastAsia="zh-CN"/>
        </w:rPr>
        <w:t>Cell</w:t>
      </w:r>
      <w:r w:rsidRPr="006F2809">
        <w:rPr>
          <w:rFonts w:ascii="Book Antiqua" w:hAnsi="Book Antiqua" w:cs="宋体"/>
          <w:sz w:val="24"/>
          <w:szCs w:val="24"/>
          <w:lang w:val="en-US" w:eastAsia="zh-CN"/>
        </w:rPr>
        <w:t xml:space="preserve"> 1985; </w:t>
      </w:r>
      <w:r w:rsidRPr="006F2809">
        <w:rPr>
          <w:rFonts w:ascii="Book Antiqua" w:hAnsi="Book Antiqua" w:cs="宋体"/>
          <w:b/>
          <w:bCs/>
          <w:sz w:val="24"/>
          <w:szCs w:val="24"/>
          <w:lang w:val="en-US" w:eastAsia="zh-CN"/>
        </w:rPr>
        <w:t>43</w:t>
      </w:r>
      <w:r w:rsidRPr="006F2809">
        <w:rPr>
          <w:rFonts w:ascii="Book Antiqua" w:hAnsi="Book Antiqua" w:cs="宋体"/>
          <w:sz w:val="24"/>
          <w:szCs w:val="24"/>
          <w:lang w:val="en-US" w:eastAsia="zh-CN"/>
        </w:rPr>
        <w:t>: 405-413 [PMID: 3907856 DOI: 10.1016/0092-8674(85)90170-9]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15 </w:t>
      </w:r>
      <w:r w:rsidRPr="006F2809">
        <w:rPr>
          <w:rFonts w:ascii="Book Antiqua" w:hAnsi="Book Antiqua" w:cs="宋体"/>
          <w:b/>
          <w:bCs/>
          <w:sz w:val="24"/>
          <w:szCs w:val="24"/>
          <w:lang w:val="en-US" w:eastAsia="zh-CN"/>
        </w:rPr>
        <w:t>Nakamura TM</w:t>
      </w:r>
      <w:r w:rsidRPr="006F2809">
        <w:rPr>
          <w:rFonts w:ascii="Book Antiqua" w:hAnsi="Book Antiqua" w:cs="宋体"/>
          <w:sz w:val="24"/>
          <w:szCs w:val="24"/>
          <w:lang w:val="en-US" w:eastAsia="zh-CN"/>
        </w:rPr>
        <w:t xml:space="preserve">, Morin GB, Chapman KB, Weinrich SL, Andrews WH, Lingner J, Harley CB, Cech TR. Telomerase catalytic subunit homologs from fission yeast and human. </w:t>
      </w:r>
      <w:r w:rsidRPr="006F2809">
        <w:rPr>
          <w:rFonts w:ascii="Book Antiqua" w:hAnsi="Book Antiqua" w:cs="宋体"/>
          <w:i/>
          <w:iCs/>
          <w:sz w:val="24"/>
          <w:szCs w:val="24"/>
          <w:lang w:val="en-US" w:eastAsia="zh-CN"/>
        </w:rPr>
        <w:t>Science</w:t>
      </w:r>
      <w:r w:rsidRPr="006F2809">
        <w:rPr>
          <w:rFonts w:ascii="Book Antiqua" w:hAnsi="Book Antiqua" w:cs="宋体"/>
          <w:sz w:val="24"/>
          <w:szCs w:val="24"/>
          <w:lang w:val="en-US" w:eastAsia="zh-CN"/>
        </w:rPr>
        <w:t xml:space="preserve"> 1997; </w:t>
      </w:r>
      <w:r w:rsidRPr="006F2809">
        <w:rPr>
          <w:rFonts w:ascii="Book Antiqua" w:hAnsi="Book Antiqua" w:cs="宋体"/>
          <w:b/>
          <w:bCs/>
          <w:sz w:val="24"/>
          <w:szCs w:val="24"/>
          <w:lang w:val="en-US" w:eastAsia="zh-CN"/>
        </w:rPr>
        <w:t>277</w:t>
      </w:r>
      <w:r w:rsidRPr="006F2809">
        <w:rPr>
          <w:rFonts w:ascii="Book Antiqua" w:hAnsi="Book Antiqua" w:cs="宋体"/>
          <w:sz w:val="24"/>
          <w:szCs w:val="24"/>
          <w:lang w:val="en-US" w:eastAsia="zh-CN"/>
        </w:rPr>
        <w:t>: 955-959 [PMID: 9252327 DOI: 10.1126/science.277.5328.955]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 xml:space="preserve">16 </w:t>
      </w:r>
      <w:r w:rsidRPr="006F2809">
        <w:rPr>
          <w:rFonts w:ascii="Book Antiqua" w:hAnsi="Book Antiqua" w:cs="宋体"/>
          <w:b/>
          <w:bCs/>
          <w:sz w:val="24"/>
          <w:szCs w:val="24"/>
          <w:lang w:val="en-US" w:eastAsia="zh-CN"/>
        </w:rPr>
        <w:t>Kim NW</w:t>
      </w:r>
      <w:r w:rsidRPr="006F2809">
        <w:rPr>
          <w:rFonts w:ascii="Book Antiqua" w:hAnsi="Book Antiqua" w:cs="宋体"/>
          <w:sz w:val="24"/>
          <w:szCs w:val="24"/>
          <w:lang w:val="en-US" w:eastAsia="zh-CN"/>
        </w:rPr>
        <w:t xml:space="preserve">, Piatyszek MA, Prowse KR, Harley CB, West MD, Ho PL, Coviello GM, Wright WE, Weinrich SL, Shay JW. Specific association of human telomerase activity with immortal cells and cancer. </w:t>
      </w:r>
      <w:r w:rsidRPr="006F2809">
        <w:rPr>
          <w:rFonts w:ascii="Book Antiqua" w:hAnsi="Book Antiqua" w:cs="宋体"/>
          <w:i/>
          <w:iCs/>
          <w:sz w:val="24"/>
          <w:szCs w:val="24"/>
          <w:lang w:val="en-US" w:eastAsia="zh-CN"/>
        </w:rPr>
        <w:t>Science</w:t>
      </w:r>
      <w:r w:rsidRPr="006F2809">
        <w:rPr>
          <w:rFonts w:ascii="Book Antiqua" w:hAnsi="Book Antiqua" w:cs="宋体"/>
          <w:sz w:val="24"/>
          <w:szCs w:val="24"/>
          <w:lang w:val="en-US" w:eastAsia="zh-CN"/>
        </w:rPr>
        <w:t xml:space="preserve"> 1994; </w:t>
      </w:r>
      <w:r w:rsidRPr="006F2809">
        <w:rPr>
          <w:rFonts w:ascii="Book Antiqua" w:hAnsi="Book Antiqua" w:cs="宋体"/>
          <w:b/>
          <w:bCs/>
          <w:sz w:val="24"/>
          <w:szCs w:val="24"/>
          <w:lang w:val="en-US" w:eastAsia="zh-CN"/>
        </w:rPr>
        <w:t>266</w:t>
      </w:r>
      <w:r w:rsidRPr="006F2809">
        <w:rPr>
          <w:rFonts w:ascii="Book Antiqua" w:hAnsi="Book Antiqua" w:cs="宋体"/>
          <w:sz w:val="24"/>
          <w:szCs w:val="24"/>
          <w:lang w:val="en-US" w:eastAsia="zh-CN"/>
        </w:rPr>
        <w:t>: 2011-2015 [PMID: 7605428 DOI: 10.1126/science.7605428]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17 </w:t>
      </w:r>
      <w:r w:rsidRPr="006F2809">
        <w:rPr>
          <w:rFonts w:ascii="Book Antiqua" w:hAnsi="Book Antiqua" w:cs="宋体"/>
          <w:b/>
          <w:bCs/>
          <w:sz w:val="24"/>
          <w:szCs w:val="24"/>
          <w:lang w:val="en-US" w:eastAsia="zh-CN"/>
        </w:rPr>
        <w:t>Dolcetti R</w:t>
      </w:r>
      <w:r w:rsidRPr="006F2809">
        <w:rPr>
          <w:rFonts w:ascii="Book Antiqua" w:hAnsi="Book Antiqua" w:cs="宋体"/>
          <w:sz w:val="24"/>
          <w:szCs w:val="24"/>
          <w:lang w:val="en-US" w:eastAsia="zh-CN"/>
        </w:rPr>
        <w:t xml:space="preserve">, De Rossi A. Telomere/telomerase interplay in virus-driven and virus-independent lymphomagenesis: pathogenic and clinical implications. </w:t>
      </w:r>
      <w:r w:rsidRPr="006F2809">
        <w:rPr>
          <w:rFonts w:ascii="Book Antiqua" w:hAnsi="Book Antiqua" w:cs="宋体"/>
          <w:i/>
          <w:iCs/>
          <w:sz w:val="24"/>
          <w:szCs w:val="24"/>
          <w:lang w:val="en-US" w:eastAsia="zh-CN"/>
        </w:rPr>
        <w:t>Med Res Rev</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32</w:t>
      </w:r>
      <w:r w:rsidRPr="006F2809">
        <w:rPr>
          <w:rFonts w:ascii="Book Antiqua" w:hAnsi="Book Antiqua" w:cs="宋体"/>
          <w:sz w:val="24"/>
          <w:szCs w:val="24"/>
          <w:lang w:val="en-US" w:eastAsia="zh-CN"/>
        </w:rPr>
        <w:t>: 233-253 [PMID: 20549676 DOI: 10.1002/med.20211]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18 </w:t>
      </w:r>
      <w:r w:rsidRPr="006F2809">
        <w:rPr>
          <w:rFonts w:ascii="Book Antiqua" w:hAnsi="Book Antiqua" w:cs="宋体"/>
          <w:b/>
          <w:bCs/>
          <w:sz w:val="24"/>
          <w:szCs w:val="24"/>
          <w:lang w:val="en-US" w:eastAsia="zh-CN"/>
        </w:rPr>
        <w:t>Ulaner GA</w:t>
      </w:r>
      <w:r w:rsidRPr="006F2809">
        <w:rPr>
          <w:rFonts w:ascii="Book Antiqua" w:hAnsi="Book Antiqua" w:cs="宋体"/>
          <w:sz w:val="24"/>
          <w:szCs w:val="24"/>
          <w:lang w:val="en-US" w:eastAsia="zh-CN"/>
        </w:rPr>
        <w:t xml:space="preserve">, Hu JF, Vu TH, Giudice LC, Hoffman AR. Telomerase activity in human development is regulated by human telomerase reverse transcriptase (hTERT) transcription and by alternate splicing of hTERT transcripts. </w:t>
      </w:r>
      <w:r w:rsidRPr="006F2809">
        <w:rPr>
          <w:rFonts w:ascii="Book Antiqua" w:hAnsi="Book Antiqua" w:cs="宋体"/>
          <w:i/>
          <w:iCs/>
          <w:sz w:val="24"/>
          <w:szCs w:val="24"/>
          <w:lang w:val="en-US" w:eastAsia="zh-CN"/>
        </w:rPr>
        <w:t>Cancer Res</w:t>
      </w:r>
      <w:r w:rsidRPr="006F2809">
        <w:rPr>
          <w:rFonts w:ascii="Book Antiqua" w:hAnsi="Book Antiqua" w:cs="宋体"/>
          <w:sz w:val="24"/>
          <w:szCs w:val="24"/>
          <w:lang w:val="en-US" w:eastAsia="zh-CN"/>
        </w:rPr>
        <w:t xml:space="preserve"> 1998; </w:t>
      </w:r>
      <w:r w:rsidRPr="006F2809">
        <w:rPr>
          <w:rFonts w:ascii="Book Antiqua" w:hAnsi="Book Antiqua" w:cs="宋体"/>
          <w:b/>
          <w:bCs/>
          <w:sz w:val="24"/>
          <w:szCs w:val="24"/>
          <w:lang w:val="en-US" w:eastAsia="zh-CN"/>
        </w:rPr>
        <w:t>58</w:t>
      </w:r>
      <w:r w:rsidRPr="006F2809">
        <w:rPr>
          <w:rFonts w:ascii="Book Antiqua" w:hAnsi="Book Antiqua" w:cs="宋体"/>
          <w:sz w:val="24"/>
          <w:szCs w:val="24"/>
          <w:lang w:val="en-US" w:eastAsia="zh-CN"/>
        </w:rPr>
        <w:t>: 4168-4172 [PMID: 9751630]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19 </w:t>
      </w:r>
      <w:r w:rsidRPr="006F2809">
        <w:rPr>
          <w:rFonts w:ascii="Book Antiqua" w:hAnsi="Book Antiqua" w:cs="宋体"/>
          <w:b/>
          <w:bCs/>
          <w:sz w:val="24"/>
          <w:szCs w:val="24"/>
          <w:lang w:val="en-US" w:eastAsia="zh-CN"/>
        </w:rPr>
        <w:t>Saebøe-Larssen S</w:t>
      </w:r>
      <w:r w:rsidRPr="006F2809">
        <w:rPr>
          <w:rFonts w:ascii="Book Antiqua" w:hAnsi="Book Antiqua" w:cs="宋体"/>
          <w:sz w:val="24"/>
          <w:szCs w:val="24"/>
          <w:lang w:val="en-US" w:eastAsia="zh-CN"/>
        </w:rPr>
        <w:t xml:space="preserve">, Fossberg E, Gaudernack G. Characterization of novel alternative splicing sites in human telomerase reverse transcriptase (hTERT): analysis of expression and mutual correlation in mRNA isoforms from normal and tumour tissues. </w:t>
      </w:r>
      <w:r w:rsidRPr="006F2809">
        <w:rPr>
          <w:rFonts w:ascii="Book Antiqua" w:hAnsi="Book Antiqua" w:cs="宋体"/>
          <w:i/>
          <w:iCs/>
          <w:sz w:val="24"/>
          <w:szCs w:val="24"/>
          <w:lang w:val="en-US" w:eastAsia="zh-CN"/>
        </w:rPr>
        <w:t>BMC Mol Biol</w:t>
      </w:r>
      <w:r w:rsidRPr="006F2809">
        <w:rPr>
          <w:rFonts w:ascii="Book Antiqua" w:hAnsi="Book Antiqua" w:cs="宋体"/>
          <w:sz w:val="24"/>
          <w:szCs w:val="24"/>
          <w:lang w:val="en-US" w:eastAsia="zh-CN"/>
        </w:rPr>
        <w:t xml:space="preserve"> 2006; </w:t>
      </w:r>
      <w:r w:rsidRPr="006F2809">
        <w:rPr>
          <w:rFonts w:ascii="Book Antiqua" w:hAnsi="Book Antiqua" w:cs="宋体"/>
          <w:b/>
          <w:bCs/>
          <w:sz w:val="24"/>
          <w:szCs w:val="24"/>
          <w:lang w:val="en-US" w:eastAsia="zh-CN"/>
        </w:rPr>
        <w:t>7</w:t>
      </w:r>
      <w:r w:rsidRPr="006F2809">
        <w:rPr>
          <w:rFonts w:ascii="Book Antiqua" w:hAnsi="Book Antiqua" w:cs="宋体"/>
          <w:sz w:val="24"/>
          <w:szCs w:val="24"/>
          <w:lang w:val="en-US" w:eastAsia="zh-CN"/>
        </w:rPr>
        <w:t>: 26 [PMID: 16939641 DOI: 10.1186/1471-2199-7-26]</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20 </w:t>
      </w:r>
      <w:r w:rsidRPr="006F2809">
        <w:rPr>
          <w:rFonts w:ascii="Book Antiqua" w:hAnsi="Book Antiqua" w:cs="宋体"/>
          <w:b/>
          <w:bCs/>
          <w:sz w:val="24"/>
          <w:szCs w:val="24"/>
          <w:lang w:val="en-US" w:eastAsia="zh-CN"/>
        </w:rPr>
        <w:t>Haendeler J</w:t>
      </w:r>
      <w:r w:rsidRPr="006F2809">
        <w:rPr>
          <w:rFonts w:ascii="Book Antiqua" w:hAnsi="Book Antiqua" w:cs="宋体"/>
          <w:sz w:val="24"/>
          <w:szCs w:val="24"/>
          <w:lang w:val="en-US" w:eastAsia="zh-CN"/>
        </w:rPr>
        <w:t xml:space="preserve">, Hoffmann J, Rahman S, Zeiher AM, Dimmeler S. Regulation of telomerase activity and anti-apoptotic function by protein-protein interaction and phosphorylation. </w:t>
      </w:r>
      <w:r w:rsidRPr="006F2809">
        <w:rPr>
          <w:rFonts w:ascii="Book Antiqua" w:hAnsi="Book Antiqua" w:cs="宋体"/>
          <w:i/>
          <w:iCs/>
          <w:sz w:val="24"/>
          <w:szCs w:val="24"/>
          <w:lang w:val="en-US" w:eastAsia="zh-CN"/>
        </w:rPr>
        <w:t>FEBS Lett</w:t>
      </w:r>
      <w:r w:rsidRPr="006F2809">
        <w:rPr>
          <w:rFonts w:ascii="Book Antiqua" w:hAnsi="Book Antiqua" w:cs="宋体"/>
          <w:sz w:val="24"/>
          <w:szCs w:val="24"/>
          <w:lang w:val="en-US" w:eastAsia="zh-CN"/>
        </w:rPr>
        <w:t xml:space="preserve"> 2003; </w:t>
      </w:r>
      <w:r w:rsidRPr="006F2809">
        <w:rPr>
          <w:rFonts w:ascii="Book Antiqua" w:hAnsi="Book Antiqua" w:cs="宋体"/>
          <w:b/>
          <w:bCs/>
          <w:sz w:val="24"/>
          <w:szCs w:val="24"/>
          <w:lang w:val="en-US" w:eastAsia="zh-CN"/>
        </w:rPr>
        <w:t>536</w:t>
      </w:r>
      <w:r w:rsidRPr="006F2809">
        <w:rPr>
          <w:rFonts w:ascii="Book Antiqua" w:hAnsi="Book Antiqua" w:cs="宋体"/>
          <w:sz w:val="24"/>
          <w:szCs w:val="24"/>
          <w:lang w:val="en-US" w:eastAsia="zh-CN"/>
        </w:rPr>
        <w:t>: 180-186 [PMID: 12586360 DOI: 10.1016/S0014-5793(03)00058-9]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21 </w:t>
      </w:r>
      <w:r w:rsidRPr="006F2809">
        <w:rPr>
          <w:rFonts w:ascii="Book Antiqua" w:hAnsi="Book Antiqua" w:cs="宋体"/>
          <w:b/>
          <w:bCs/>
          <w:sz w:val="24"/>
          <w:szCs w:val="24"/>
          <w:lang w:val="en-US" w:eastAsia="zh-CN"/>
        </w:rPr>
        <w:t>Nandakumar J</w:t>
      </w:r>
      <w:r w:rsidRPr="006F2809">
        <w:rPr>
          <w:rFonts w:ascii="Book Antiqua" w:hAnsi="Book Antiqua" w:cs="宋体"/>
          <w:sz w:val="24"/>
          <w:szCs w:val="24"/>
          <w:lang w:val="en-US" w:eastAsia="zh-CN"/>
        </w:rPr>
        <w:t xml:space="preserve">, Bell CF, Weidenfeld I, Zaug AJ, Leinwand LA, Cech TR. The TEL patch of telomere protein TPP1 mediates telomerase recruitment and processivity.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492</w:t>
      </w:r>
      <w:r w:rsidRPr="006F2809">
        <w:rPr>
          <w:rFonts w:ascii="Book Antiqua" w:hAnsi="Book Antiqua" w:cs="宋体"/>
          <w:sz w:val="24"/>
          <w:szCs w:val="24"/>
          <w:lang w:val="en-US" w:eastAsia="zh-CN"/>
        </w:rPr>
        <w:t>: 285-289 [PMID: 23103865 DOI: 10.1038/nature11648]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22 </w:t>
      </w:r>
      <w:r w:rsidRPr="006F2809">
        <w:rPr>
          <w:rFonts w:ascii="Book Antiqua" w:hAnsi="Book Antiqua" w:cs="宋体"/>
          <w:b/>
          <w:bCs/>
          <w:sz w:val="24"/>
          <w:szCs w:val="24"/>
          <w:lang w:val="en-US" w:eastAsia="zh-CN"/>
        </w:rPr>
        <w:t>Rufer N</w:t>
      </w:r>
      <w:r w:rsidRPr="006F2809">
        <w:rPr>
          <w:rFonts w:ascii="Book Antiqua" w:hAnsi="Book Antiqua" w:cs="宋体"/>
          <w:sz w:val="24"/>
          <w:szCs w:val="24"/>
          <w:lang w:val="en-US" w:eastAsia="zh-CN"/>
        </w:rPr>
        <w:t xml:space="preserve">, Migliaccio M, Antonchuk J, Humphries RK, Roosnek E, Lansdorp PM. Transfer of the human telomerase reverse transcriptase (TERT) gene into T lymphocytes results in extension of replicative potential. </w:t>
      </w:r>
      <w:r w:rsidRPr="006F2809">
        <w:rPr>
          <w:rFonts w:ascii="Book Antiqua" w:hAnsi="Book Antiqua" w:cs="宋体"/>
          <w:i/>
          <w:iCs/>
          <w:sz w:val="24"/>
          <w:szCs w:val="24"/>
          <w:lang w:val="en-US" w:eastAsia="zh-CN"/>
        </w:rPr>
        <w:t>Blood</w:t>
      </w:r>
      <w:r w:rsidRPr="006F2809">
        <w:rPr>
          <w:rFonts w:ascii="Book Antiqua" w:hAnsi="Book Antiqua" w:cs="宋体"/>
          <w:sz w:val="24"/>
          <w:szCs w:val="24"/>
          <w:lang w:val="en-US" w:eastAsia="zh-CN"/>
        </w:rPr>
        <w:t xml:space="preserve"> 2001; </w:t>
      </w:r>
      <w:r w:rsidRPr="006F2809">
        <w:rPr>
          <w:rFonts w:ascii="Book Antiqua" w:hAnsi="Book Antiqua" w:cs="宋体"/>
          <w:b/>
          <w:bCs/>
          <w:sz w:val="24"/>
          <w:szCs w:val="24"/>
          <w:lang w:val="en-US" w:eastAsia="zh-CN"/>
        </w:rPr>
        <w:t>98</w:t>
      </w:r>
      <w:r w:rsidRPr="006F2809">
        <w:rPr>
          <w:rFonts w:ascii="Book Antiqua" w:hAnsi="Book Antiqua" w:cs="宋体"/>
          <w:sz w:val="24"/>
          <w:szCs w:val="24"/>
          <w:lang w:val="en-US" w:eastAsia="zh-CN"/>
        </w:rPr>
        <w:t>: 597-603 [PMID: 11468156 DOI: 10.1182/blood.V98.3.597]</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23 </w:t>
      </w:r>
      <w:r w:rsidRPr="006F2809">
        <w:rPr>
          <w:rFonts w:ascii="Book Antiqua" w:hAnsi="Book Antiqua" w:cs="宋体"/>
          <w:b/>
          <w:bCs/>
          <w:sz w:val="24"/>
          <w:szCs w:val="24"/>
          <w:lang w:val="en-US" w:eastAsia="zh-CN"/>
        </w:rPr>
        <w:t>Terrin L</w:t>
      </w:r>
      <w:r w:rsidRPr="006F2809">
        <w:rPr>
          <w:rFonts w:ascii="Book Antiqua" w:hAnsi="Book Antiqua" w:cs="宋体"/>
          <w:sz w:val="24"/>
          <w:szCs w:val="24"/>
          <w:lang w:val="en-US" w:eastAsia="zh-CN"/>
        </w:rPr>
        <w:t xml:space="preserve">, Trentin L, Degan M, Corradini I, Bertorelle R, Carli P, Maschio N, Bo MD, Noventa F, Gattei V, Semenzato G, De Rossi A. Telomerase expression in B-cell chronic lymphocytic leukemia predicts survival and delineates subgroups of patients with the same igVH mutation status and different outcome. </w:t>
      </w:r>
      <w:r w:rsidRPr="006F2809">
        <w:rPr>
          <w:rFonts w:ascii="Book Antiqua" w:hAnsi="Book Antiqua" w:cs="宋体"/>
          <w:i/>
          <w:iCs/>
          <w:sz w:val="24"/>
          <w:szCs w:val="24"/>
          <w:lang w:val="en-US" w:eastAsia="zh-CN"/>
        </w:rPr>
        <w:t>Leukemia</w:t>
      </w:r>
      <w:r w:rsidRPr="006F2809">
        <w:rPr>
          <w:rFonts w:ascii="Book Antiqua" w:hAnsi="Book Antiqua" w:cs="宋体"/>
          <w:sz w:val="24"/>
          <w:szCs w:val="24"/>
          <w:lang w:val="en-US" w:eastAsia="zh-CN"/>
        </w:rPr>
        <w:t xml:space="preserve"> 2007; </w:t>
      </w:r>
      <w:r w:rsidRPr="006F2809">
        <w:rPr>
          <w:rFonts w:ascii="Book Antiqua" w:hAnsi="Book Antiqua" w:cs="宋体"/>
          <w:b/>
          <w:bCs/>
          <w:sz w:val="24"/>
          <w:szCs w:val="24"/>
          <w:lang w:val="en-US" w:eastAsia="zh-CN"/>
        </w:rPr>
        <w:t>21</w:t>
      </w:r>
      <w:r w:rsidRPr="006F2809">
        <w:rPr>
          <w:rFonts w:ascii="Book Antiqua" w:hAnsi="Book Antiqua" w:cs="宋体"/>
          <w:sz w:val="24"/>
          <w:szCs w:val="24"/>
          <w:lang w:val="en-US" w:eastAsia="zh-CN"/>
        </w:rPr>
        <w:t>: 965-972 [PMID: 17344921]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24 </w:t>
      </w:r>
      <w:r w:rsidRPr="006F2809">
        <w:rPr>
          <w:rFonts w:ascii="Book Antiqua" w:hAnsi="Book Antiqua" w:cs="宋体"/>
          <w:b/>
          <w:bCs/>
          <w:sz w:val="24"/>
          <w:szCs w:val="24"/>
          <w:lang w:val="en-US" w:eastAsia="zh-CN"/>
        </w:rPr>
        <w:t>Del Bufalo D</w:t>
      </w:r>
      <w:r w:rsidRPr="006F2809">
        <w:rPr>
          <w:rFonts w:ascii="Book Antiqua" w:hAnsi="Book Antiqua" w:cs="宋体"/>
          <w:sz w:val="24"/>
          <w:szCs w:val="24"/>
          <w:lang w:val="en-US" w:eastAsia="zh-CN"/>
        </w:rPr>
        <w:t xml:space="preserve">, Rizzo A, Trisciuoglio D, Cardinali G, Torrisi MR, Zangemeister-Wittke U, Zupi G, Biroccio A. Involvement of hTERT in apoptosis induced by interference with Bcl-2 </w:t>
      </w:r>
      <w:r w:rsidRPr="006F2809">
        <w:rPr>
          <w:rFonts w:ascii="Book Antiqua" w:hAnsi="Book Antiqua" w:cs="宋体"/>
          <w:sz w:val="24"/>
          <w:szCs w:val="24"/>
          <w:lang w:val="en-US" w:eastAsia="zh-CN"/>
        </w:rPr>
        <w:lastRenderedPageBreak/>
        <w:t xml:space="preserve">expression and function. </w:t>
      </w:r>
      <w:r w:rsidRPr="006F2809">
        <w:rPr>
          <w:rFonts w:ascii="Book Antiqua" w:hAnsi="Book Antiqua" w:cs="宋体"/>
          <w:i/>
          <w:iCs/>
          <w:sz w:val="24"/>
          <w:szCs w:val="24"/>
          <w:lang w:val="en-US" w:eastAsia="zh-CN"/>
        </w:rPr>
        <w:t>Cell Death Differ</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12</w:t>
      </w:r>
      <w:r w:rsidRPr="006F2809">
        <w:rPr>
          <w:rFonts w:ascii="Book Antiqua" w:hAnsi="Book Antiqua" w:cs="宋体"/>
          <w:sz w:val="24"/>
          <w:szCs w:val="24"/>
          <w:lang w:val="en-US" w:eastAsia="zh-CN"/>
        </w:rPr>
        <w:t>: 1429-1438 [PMID: 15920535 DOI: 10.1038/sj.cdd.440167]</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25 </w:t>
      </w:r>
      <w:r w:rsidRPr="006F2809">
        <w:rPr>
          <w:rFonts w:ascii="Book Antiqua" w:hAnsi="Book Antiqua" w:cs="宋体"/>
          <w:b/>
          <w:bCs/>
          <w:sz w:val="24"/>
          <w:szCs w:val="24"/>
          <w:lang w:val="en-US" w:eastAsia="zh-CN"/>
        </w:rPr>
        <w:t>Rahman R</w:t>
      </w:r>
      <w:r w:rsidRPr="006F2809">
        <w:rPr>
          <w:rFonts w:ascii="Book Antiqua" w:hAnsi="Book Antiqua" w:cs="宋体"/>
          <w:sz w:val="24"/>
          <w:szCs w:val="24"/>
          <w:lang w:val="en-US" w:eastAsia="zh-CN"/>
        </w:rPr>
        <w:t xml:space="preserve">, Latonen L, Wiman KG. hTERT antagonizes p53-induced apoptosis independently of telomerase activity. </w:t>
      </w:r>
      <w:r w:rsidRPr="006F2809">
        <w:rPr>
          <w:rFonts w:ascii="Book Antiqua" w:hAnsi="Book Antiqua" w:cs="宋体"/>
          <w:i/>
          <w:iCs/>
          <w:sz w:val="24"/>
          <w:szCs w:val="24"/>
          <w:lang w:val="en-US" w:eastAsia="zh-CN"/>
        </w:rPr>
        <w:t>Oncogene</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24</w:t>
      </w:r>
      <w:r w:rsidRPr="006F2809">
        <w:rPr>
          <w:rFonts w:ascii="Book Antiqua" w:hAnsi="Book Antiqua" w:cs="宋体"/>
          <w:sz w:val="24"/>
          <w:szCs w:val="24"/>
          <w:lang w:val="en-US" w:eastAsia="zh-CN"/>
        </w:rPr>
        <w:t>: 1320-1327 [PMID: 15608686 DOI: 10.1038/sj.onc.1208232]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26 </w:t>
      </w:r>
      <w:r w:rsidRPr="006F2809">
        <w:rPr>
          <w:rFonts w:ascii="Book Antiqua" w:hAnsi="Book Antiqua" w:cs="宋体"/>
          <w:b/>
          <w:bCs/>
          <w:sz w:val="24"/>
          <w:szCs w:val="24"/>
          <w:lang w:val="en-US" w:eastAsia="zh-CN"/>
        </w:rPr>
        <w:t>Jin X</w:t>
      </w:r>
      <w:r w:rsidRPr="006F2809">
        <w:rPr>
          <w:rFonts w:ascii="Book Antiqua" w:hAnsi="Book Antiqua" w:cs="宋体"/>
          <w:sz w:val="24"/>
          <w:szCs w:val="24"/>
          <w:lang w:val="en-US" w:eastAsia="zh-CN"/>
        </w:rPr>
        <w:t xml:space="preserve">, Beck S, Sohn YW, Kim JK, Kim SH, Yin J, Pian X, Kim SC, Choi YJ, Kim H. Human telomerase catalytic subunit (hTERT) suppresses p53-mediated anti-apoptotic response via induction of basic fibroblast growth factor. </w:t>
      </w:r>
      <w:r w:rsidRPr="006F2809">
        <w:rPr>
          <w:rFonts w:ascii="Book Antiqua" w:hAnsi="Book Antiqua" w:cs="宋体"/>
          <w:i/>
          <w:iCs/>
          <w:sz w:val="24"/>
          <w:szCs w:val="24"/>
          <w:lang w:val="en-US" w:eastAsia="zh-CN"/>
        </w:rPr>
        <w:t>Exp Mol Med</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42</w:t>
      </w:r>
      <w:r w:rsidRPr="006F2809">
        <w:rPr>
          <w:rFonts w:ascii="Book Antiqua" w:hAnsi="Book Antiqua" w:cs="宋体"/>
          <w:sz w:val="24"/>
          <w:szCs w:val="24"/>
          <w:lang w:val="en-US" w:eastAsia="zh-CN"/>
        </w:rPr>
        <w:t>: 574-582 [PMID: 20628269 DOI: 10.3858/emm.2010.42.8.058]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27 </w:t>
      </w:r>
      <w:r w:rsidRPr="006F2809">
        <w:rPr>
          <w:rFonts w:ascii="Book Antiqua" w:hAnsi="Book Antiqua" w:cs="宋体"/>
          <w:b/>
          <w:bCs/>
          <w:sz w:val="24"/>
          <w:szCs w:val="24"/>
          <w:lang w:val="en-US" w:eastAsia="zh-CN"/>
        </w:rPr>
        <w:t>Tao SF</w:t>
      </w:r>
      <w:r w:rsidRPr="006F2809">
        <w:rPr>
          <w:rFonts w:ascii="Book Antiqua" w:hAnsi="Book Antiqua" w:cs="宋体"/>
          <w:sz w:val="24"/>
          <w:szCs w:val="24"/>
          <w:lang w:val="en-US" w:eastAsia="zh-CN"/>
        </w:rPr>
        <w:t xml:space="preserve">, Zhang CS, Guo XL, Xu Y, Zhang SS, Song JR, Li R, Wu MC, Wei LX. Anti-tumor effect of 5-aza-2'-deoxycytidine by inhibiting telomerase activity in hepatocellular carcinoma cells. </w:t>
      </w:r>
      <w:r w:rsidRPr="006F2809">
        <w:rPr>
          <w:rFonts w:ascii="Book Antiqua" w:hAnsi="Book Antiqua" w:cs="宋体"/>
          <w:i/>
          <w:iCs/>
          <w:sz w:val="24"/>
          <w:szCs w:val="24"/>
          <w:lang w:val="en-US" w:eastAsia="zh-CN"/>
        </w:rPr>
        <w:t>World J Gastroenterol</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18</w:t>
      </w:r>
      <w:r w:rsidRPr="006F2809">
        <w:rPr>
          <w:rFonts w:ascii="Book Antiqua" w:hAnsi="Book Antiqua" w:cs="宋体"/>
          <w:sz w:val="24"/>
          <w:szCs w:val="24"/>
          <w:lang w:val="en-US" w:eastAsia="zh-CN"/>
        </w:rPr>
        <w:t>: 2334-2343 [PMID: 22654424 DOI: 10.3748/wjg.v18.i19.2334]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28 </w:t>
      </w:r>
      <w:r w:rsidRPr="006F2809">
        <w:rPr>
          <w:rFonts w:ascii="Book Antiqua" w:hAnsi="Book Antiqua" w:cs="宋体"/>
          <w:b/>
          <w:bCs/>
          <w:sz w:val="24"/>
          <w:szCs w:val="24"/>
          <w:lang w:val="en-US" w:eastAsia="zh-CN"/>
        </w:rPr>
        <w:t>Shawi M</w:t>
      </w:r>
      <w:r w:rsidRPr="006F2809">
        <w:rPr>
          <w:rFonts w:ascii="Book Antiqua" w:hAnsi="Book Antiqua" w:cs="宋体"/>
          <w:sz w:val="24"/>
          <w:szCs w:val="24"/>
          <w:lang w:val="en-US" w:eastAsia="zh-CN"/>
        </w:rPr>
        <w:t xml:space="preserve">, Chu TW, Martinez-Marignac V, Yu Y, Gryaznov SM, Johnston JB, Lees-Miller SP, Assouline SE, Autexier C, Aloyz R. Telomerase contributes to fludarabine resistance in primary human leukemic lymphocytes. </w:t>
      </w:r>
      <w:r w:rsidRPr="006F2809">
        <w:rPr>
          <w:rFonts w:ascii="Book Antiqua" w:hAnsi="Book Antiqua" w:cs="宋体"/>
          <w:i/>
          <w:iCs/>
          <w:sz w:val="24"/>
          <w:szCs w:val="24"/>
          <w:lang w:val="en-US" w:eastAsia="zh-CN"/>
        </w:rPr>
        <w:t>PLoS One</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8</w:t>
      </w:r>
      <w:r w:rsidRPr="006F2809">
        <w:rPr>
          <w:rFonts w:ascii="Book Antiqua" w:hAnsi="Book Antiqua" w:cs="宋体"/>
          <w:sz w:val="24"/>
          <w:szCs w:val="24"/>
          <w:lang w:val="en-US" w:eastAsia="zh-CN"/>
        </w:rPr>
        <w:t>: e70428 [PMID: 23922990 DOI: 10.1371/journal.pone.0070428]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29 </w:t>
      </w:r>
      <w:r w:rsidRPr="006F2809">
        <w:rPr>
          <w:rFonts w:ascii="Book Antiqua" w:hAnsi="Book Antiqua" w:cs="宋体"/>
          <w:b/>
          <w:bCs/>
          <w:sz w:val="24"/>
          <w:szCs w:val="24"/>
          <w:lang w:val="en-US" w:eastAsia="zh-CN"/>
        </w:rPr>
        <w:t>Rajagopalan H</w:t>
      </w:r>
      <w:r w:rsidRPr="006F2809">
        <w:rPr>
          <w:rFonts w:ascii="Book Antiqua" w:hAnsi="Book Antiqua" w:cs="宋体"/>
          <w:sz w:val="24"/>
          <w:szCs w:val="24"/>
          <w:lang w:val="en-US" w:eastAsia="zh-CN"/>
        </w:rPr>
        <w:t xml:space="preserve">, Bardelli A, Lengauer C, Kinzler KW, Vogelstein B, Velculescu VE. Tumorigenesis: RAF/RAS oncogenes and mismatch-repair status.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418</w:t>
      </w:r>
      <w:r w:rsidRPr="006F2809">
        <w:rPr>
          <w:rFonts w:ascii="Book Antiqua" w:hAnsi="Book Antiqua" w:cs="宋体"/>
          <w:sz w:val="24"/>
          <w:szCs w:val="24"/>
          <w:lang w:val="en-US" w:eastAsia="zh-CN"/>
        </w:rPr>
        <w:t>: 934 [PMID: 12198537 DOI: 10.1038/418934a]</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30 </w:t>
      </w:r>
      <w:r w:rsidRPr="006F2809">
        <w:rPr>
          <w:rFonts w:ascii="Book Antiqua" w:hAnsi="Book Antiqua" w:cs="宋体"/>
          <w:b/>
          <w:bCs/>
          <w:sz w:val="24"/>
          <w:szCs w:val="24"/>
          <w:lang w:val="en-US" w:eastAsia="zh-CN"/>
        </w:rPr>
        <w:t>Boland CR</w:t>
      </w:r>
      <w:r w:rsidRPr="006F2809">
        <w:rPr>
          <w:rFonts w:ascii="Book Antiqua" w:hAnsi="Book Antiqua" w:cs="宋体"/>
          <w:sz w:val="24"/>
          <w:szCs w:val="24"/>
          <w:lang w:val="en-US" w:eastAsia="zh-CN"/>
        </w:rPr>
        <w:t xml:space="preserve">, Goel A. Microsatellite instability in colorectal cancer. </w:t>
      </w:r>
      <w:r w:rsidRPr="006F2809">
        <w:rPr>
          <w:rFonts w:ascii="Book Antiqua" w:hAnsi="Book Antiqua" w:cs="宋体"/>
          <w:i/>
          <w:iCs/>
          <w:sz w:val="24"/>
          <w:szCs w:val="24"/>
          <w:lang w:val="en-US" w:eastAsia="zh-CN"/>
        </w:rPr>
        <w:t>Gastroenterology</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138</w:t>
      </w:r>
      <w:r w:rsidRPr="006F2809">
        <w:rPr>
          <w:rFonts w:ascii="Book Antiqua" w:hAnsi="Book Antiqua" w:cs="宋体"/>
          <w:sz w:val="24"/>
          <w:szCs w:val="24"/>
          <w:lang w:val="en-US" w:eastAsia="zh-CN"/>
        </w:rPr>
        <w:t>: 2073-2087.e3 [PMID: 20420947 DOI: 10.1053/j.gastro.2009.12.064]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31 </w:t>
      </w:r>
      <w:r w:rsidRPr="006F2809">
        <w:rPr>
          <w:rFonts w:ascii="Book Antiqua" w:hAnsi="Book Antiqua" w:cs="宋体"/>
          <w:b/>
          <w:bCs/>
          <w:sz w:val="24"/>
          <w:szCs w:val="24"/>
          <w:lang w:val="en-US" w:eastAsia="zh-CN"/>
        </w:rPr>
        <w:t>Hastie ND</w:t>
      </w:r>
      <w:r w:rsidRPr="006F2809">
        <w:rPr>
          <w:rFonts w:ascii="Book Antiqua" w:hAnsi="Book Antiqua" w:cs="宋体"/>
          <w:sz w:val="24"/>
          <w:szCs w:val="24"/>
          <w:lang w:val="en-US" w:eastAsia="zh-CN"/>
        </w:rPr>
        <w:t xml:space="preserve">, Dempster M, Dunlop MG, Thompson AM, Green DK, Allshire RC. Telomere reduction in human colorectal carcinoma and with ageing.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1990; </w:t>
      </w:r>
      <w:r w:rsidRPr="006F2809">
        <w:rPr>
          <w:rFonts w:ascii="Book Antiqua" w:hAnsi="Book Antiqua" w:cs="宋体"/>
          <w:b/>
          <w:bCs/>
          <w:sz w:val="24"/>
          <w:szCs w:val="24"/>
          <w:lang w:val="en-US" w:eastAsia="zh-CN"/>
        </w:rPr>
        <w:t>346</w:t>
      </w:r>
      <w:r w:rsidRPr="006F2809">
        <w:rPr>
          <w:rFonts w:ascii="Book Antiqua" w:hAnsi="Book Antiqua" w:cs="宋体"/>
          <w:sz w:val="24"/>
          <w:szCs w:val="24"/>
          <w:lang w:val="en-US" w:eastAsia="zh-CN"/>
        </w:rPr>
        <w:t>: 866-868 [PMID: 2392154 DOI: 10.1038/346866a0]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32 </w:t>
      </w:r>
      <w:r w:rsidRPr="006F2809">
        <w:rPr>
          <w:rFonts w:ascii="Book Antiqua" w:hAnsi="Book Antiqua" w:cs="宋体"/>
          <w:b/>
          <w:bCs/>
          <w:sz w:val="24"/>
          <w:szCs w:val="24"/>
          <w:lang w:val="en-US" w:eastAsia="zh-CN"/>
        </w:rPr>
        <w:t>Engelhardt M</w:t>
      </w:r>
      <w:r w:rsidRPr="006F2809">
        <w:rPr>
          <w:rFonts w:ascii="Book Antiqua" w:hAnsi="Book Antiqua" w:cs="宋体"/>
          <w:sz w:val="24"/>
          <w:szCs w:val="24"/>
          <w:lang w:val="en-US" w:eastAsia="zh-CN"/>
        </w:rPr>
        <w:t xml:space="preserve">, Drullinsky P, Guillem J, Moore MA. Telomerase and telomere length in the development and progression of premalignant lesions to colorectal cancer. </w:t>
      </w:r>
      <w:r w:rsidRPr="006F2809">
        <w:rPr>
          <w:rFonts w:ascii="Book Antiqua" w:hAnsi="Book Antiqua" w:cs="宋体"/>
          <w:i/>
          <w:iCs/>
          <w:sz w:val="24"/>
          <w:szCs w:val="24"/>
          <w:lang w:val="en-US" w:eastAsia="zh-CN"/>
        </w:rPr>
        <w:t>Clin Cancer Res</w:t>
      </w:r>
      <w:r w:rsidRPr="006F2809">
        <w:rPr>
          <w:rFonts w:ascii="Book Antiqua" w:hAnsi="Book Antiqua" w:cs="宋体"/>
          <w:sz w:val="24"/>
          <w:szCs w:val="24"/>
          <w:lang w:val="en-US" w:eastAsia="zh-CN"/>
        </w:rPr>
        <w:t xml:space="preserve"> 1997; </w:t>
      </w:r>
      <w:r w:rsidRPr="006F2809">
        <w:rPr>
          <w:rFonts w:ascii="Book Antiqua" w:hAnsi="Book Antiqua" w:cs="宋体"/>
          <w:b/>
          <w:bCs/>
          <w:sz w:val="24"/>
          <w:szCs w:val="24"/>
          <w:lang w:val="en-US" w:eastAsia="zh-CN"/>
        </w:rPr>
        <w:t>3</w:t>
      </w:r>
      <w:r w:rsidRPr="006F2809">
        <w:rPr>
          <w:rFonts w:ascii="Book Antiqua" w:hAnsi="Book Antiqua" w:cs="宋体"/>
          <w:sz w:val="24"/>
          <w:szCs w:val="24"/>
          <w:lang w:val="en-US" w:eastAsia="zh-CN"/>
        </w:rPr>
        <w:t>: 1931-1941 [PMID: 9815582]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33 </w:t>
      </w:r>
      <w:r w:rsidRPr="006F2809">
        <w:rPr>
          <w:rFonts w:ascii="Book Antiqua" w:hAnsi="Book Antiqua" w:cs="宋体"/>
          <w:b/>
          <w:bCs/>
          <w:sz w:val="24"/>
          <w:szCs w:val="24"/>
          <w:lang w:val="en-US" w:eastAsia="zh-CN"/>
        </w:rPr>
        <w:t>Takagi S</w:t>
      </w:r>
      <w:r w:rsidRPr="006F2809">
        <w:rPr>
          <w:rFonts w:ascii="Book Antiqua" w:hAnsi="Book Antiqua" w:cs="宋体"/>
          <w:sz w:val="24"/>
          <w:szCs w:val="24"/>
          <w:lang w:val="en-US" w:eastAsia="zh-CN"/>
        </w:rPr>
        <w:t xml:space="preserve">, Kinouchi Y, Hiwatashi N, Chida M, Nagashima F, Takahashi S, Negoro K, Shimosegawa T, Toyota T. Telomere shortening and the clinicopathologic characteristics of human colorectal carcinomas. </w:t>
      </w:r>
      <w:r w:rsidRPr="006F2809">
        <w:rPr>
          <w:rFonts w:ascii="Book Antiqua" w:hAnsi="Book Antiqua" w:cs="宋体"/>
          <w:i/>
          <w:iCs/>
          <w:sz w:val="24"/>
          <w:szCs w:val="24"/>
          <w:lang w:val="en-US" w:eastAsia="zh-CN"/>
        </w:rPr>
        <w:t>Cancer</w:t>
      </w:r>
      <w:r w:rsidRPr="006F2809">
        <w:rPr>
          <w:rFonts w:ascii="Book Antiqua" w:hAnsi="Book Antiqua" w:cs="宋体"/>
          <w:sz w:val="24"/>
          <w:szCs w:val="24"/>
          <w:lang w:val="en-US" w:eastAsia="zh-CN"/>
        </w:rPr>
        <w:t xml:space="preserve"> 1999; </w:t>
      </w:r>
      <w:r w:rsidRPr="006F2809">
        <w:rPr>
          <w:rFonts w:ascii="Book Antiqua" w:hAnsi="Book Antiqua" w:cs="宋体"/>
          <w:b/>
          <w:bCs/>
          <w:sz w:val="24"/>
          <w:szCs w:val="24"/>
          <w:lang w:val="en-US" w:eastAsia="zh-CN"/>
        </w:rPr>
        <w:t>86</w:t>
      </w:r>
      <w:r w:rsidRPr="006F2809">
        <w:rPr>
          <w:rFonts w:ascii="Book Antiqua" w:hAnsi="Book Antiqua" w:cs="宋体"/>
          <w:sz w:val="24"/>
          <w:szCs w:val="24"/>
          <w:lang w:val="en-US" w:eastAsia="zh-CN"/>
        </w:rPr>
        <w:t>: 1431-1436 [PMID: 10526269 DOI: 10.1002/(SICI)1097-0142(19991015)86: 8&lt;1431: : AID-CNCR7&gt;3.0.CO; 2-R]</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 xml:space="preserve">34 </w:t>
      </w:r>
      <w:r w:rsidRPr="006F2809">
        <w:rPr>
          <w:rFonts w:ascii="Book Antiqua" w:hAnsi="Book Antiqua" w:cs="宋体"/>
          <w:b/>
          <w:bCs/>
          <w:sz w:val="24"/>
          <w:szCs w:val="24"/>
          <w:lang w:val="en-US" w:eastAsia="zh-CN"/>
        </w:rPr>
        <w:t>Katayama S</w:t>
      </w:r>
      <w:r w:rsidRPr="006F2809">
        <w:rPr>
          <w:rFonts w:ascii="Book Antiqua" w:hAnsi="Book Antiqua" w:cs="宋体"/>
          <w:sz w:val="24"/>
          <w:szCs w:val="24"/>
          <w:lang w:val="en-US" w:eastAsia="zh-CN"/>
        </w:rPr>
        <w:t xml:space="preserve">, Shiota G, Oshimura M, Kawasaki H. Clinical usefulness of telomerase activity and telomere length in the preoperative diagnosis of gastric and colorectal cancer. </w:t>
      </w:r>
      <w:r w:rsidRPr="006F2809">
        <w:rPr>
          <w:rFonts w:ascii="Book Antiqua" w:hAnsi="Book Antiqua" w:cs="宋体"/>
          <w:i/>
          <w:iCs/>
          <w:sz w:val="24"/>
          <w:szCs w:val="24"/>
          <w:lang w:val="en-US" w:eastAsia="zh-CN"/>
        </w:rPr>
        <w:t>J Cancer Res Clin Oncol</w:t>
      </w:r>
      <w:r w:rsidRPr="006F2809">
        <w:rPr>
          <w:rFonts w:ascii="Book Antiqua" w:hAnsi="Book Antiqua" w:cs="宋体"/>
          <w:sz w:val="24"/>
          <w:szCs w:val="24"/>
          <w:lang w:val="en-US" w:eastAsia="zh-CN"/>
        </w:rPr>
        <w:t xml:space="preserve"> 1999; </w:t>
      </w:r>
      <w:r w:rsidRPr="006F2809">
        <w:rPr>
          <w:rFonts w:ascii="Book Antiqua" w:hAnsi="Book Antiqua" w:cs="宋体"/>
          <w:b/>
          <w:bCs/>
          <w:sz w:val="24"/>
          <w:szCs w:val="24"/>
          <w:lang w:val="en-US" w:eastAsia="zh-CN"/>
        </w:rPr>
        <w:t>125</w:t>
      </w:r>
      <w:r w:rsidRPr="006F2809">
        <w:rPr>
          <w:rFonts w:ascii="Book Antiqua" w:hAnsi="Book Antiqua" w:cs="宋体"/>
          <w:sz w:val="24"/>
          <w:szCs w:val="24"/>
          <w:lang w:val="en-US" w:eastAsia="zh-CN"/>
        </w:rPr>
        <w:t>: 405-410 [PMID: 10394961 DOI: 10.1007/s004320050294]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35 </w:t>
      </w:r>
      <w:r w:rsidRPr="006F2809">
        <w:rPr>
          <w:rFonts w:ascii="Book Antiqua" w:hAnsi="Book Antiqua" w:cs="宋体"/>
          <w:b/>
          <w:bCs/>
          <w:sz w:val="24"/>
          <w:szCs w:val="24"/>
          <w:lang w:val="en-US" w:eastAsia="zh-CN"/>
        </w:rPr>
        <w:t>Nakamura K</w:t>
      </w:r>
      <w:r w:rsidRPr="006F2809">
        <w:rPr>
          <w:rFonts w:ascii="Book Antiqua" w:hAnsi="Book Antiqua" w:cs="宋体"/>
          <w:sz w:val="24"/>
          <w:szCs w:val="24"/>
          <w:lang w:val="en-US" w:eastAsia="zh-CN"/>
        </w:rPr>
        <w:t xml:space="preserve">, Furugori E, Esaki Y, Arai T, Sawabe M, Okayasu I, Fujiwara M, Kammori M, Mafune K, Kato M, Oshimura M, Sasajima K, Takubo K. Correlation of telomere lengths in normal and cancers tissue in the large bowel. </w:t>
      </w:r>
      <w:r w:rsidRPr="006F2809">
        <w:rPr>
          <w:rFonts w:ascii="Book Antiqua" w:hAnsi="Book Antiqua" w:cs="宋体"/>
          <w:i/>
          <w:iCs/>
          <w:sz w:val="24"/>
          <w:szCs w:val="24"/>
          <w:lang w:val="en-US" w:eastAsia="zh-CN"/>
        </w:rPr>
        <w:t>Cancer Lett</w:t>
      </w:r>
      <w:r w:rsidRPr="006F2809">
        <w:rPr>
          <w:rFonts w:ascii="Book Antiqua" w:hAnsi="Book Antiqua" w:cs="宋体"/>
          <w:sz w:val="24"/>
          <w:szCs w:val="24"/>
          <w:lang w:val="en-US" w:eastAsia="zh-CN"/>
        </w:rPr>
        <w:t xml:space="preserve"> 2000; </w:t>
      </w:r>
      <w:r w:rsidRPr="006F2809">
        <w:rPr>
          <w:rFonts w:ascii="Book Antiqua" w:hAnsi="Book Antiqua" w:cs="宋体"/>
          <w:b/>
          <w:bCs/>
          <w:sz w:val="24"/>
          <w:szCs w:val="24"/>
          <w:lang w:val="en-US" w:eastAsia="zh-CN"/>
        </w:rPr>
        <w:t>158</w:t>
      </w:r>
      <w:r w:rsidRPr="006F2809">
        <w:rPr>
          <w:rFonts w:ascii="Book Antiqua" w:hAnsi="Book Antiqua" w:cs="宋体"/>
          <w:sz w:val="24"/>
          <w:szCs w:val="24"/>
          <w:lang w:val="en-US" w:eastAsia="zh-CN"/>
        </w:rPr>
        <w:t>: 179-184 [PMID: 10960768 DOI: 10.1016/S0304-3835(00)00521-8]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36 </w:t>
      </w:r>
      <w:r w:rsidRPr="006F2809">
        <w:rPr>
          <w:rFonts w:ascii="Book Antiqua" w:hAnsi="Book Antiqua" w:cs="宋体"/>
          <w:b/>
          <w:bCs/>
          <w:sz w:val="24"/>
          <w:szCs w:val="24"/>
          <w:lang w:val="en-US" w:eastAsia="zh-CN"/>
        </w:rPr>
        <w:t>Plentz RR</w:t>
      </w:r>
      <w:r w:rsidRPr="006F2809">
        <w:rPr>
          <w:rFonts w:ascii="Book Antiqua" w:hAnsi="Book Antiqua" w:cs="宋体"/>
          <w:sz w:val="24"/>
          <w:szCs w:val="24"/>
          <w:lang w:val="en-US" w:eastAsia="zh-CN"/>
        </w:rPr>
        <w:t xml:space="preserve">, Wiemann SU, Flemming P, Meier PN, Kubicka S, Kreipe H, Manns MP, Rudolph KL. Telomere shortening of epithelial cells characterises the adenoma-carcinoma transition of human colorectal cancer. </w:t>
      </w:r>
      <w:r w:rsidRPr="006F2809">
        <w:rPr>
          <w:rFonts w:ascii="Book Antiqua" w:hAnsi="Book Antiqua" w:cs="宋体"/>
          <w:i/>
          <w:iCs/>
          <w:sz w:val="24"/>
          <w:szCs w:val="24"/>
          <w:lang w:val="en-US" w:eastAsia="zh-CN"/>
        </w:rPr>
        <w:t>Gut</w:t>
      </w:r>
      <w:r w:rsidRPr="006F2809">
        <w:rPr>
          <w:rFonts w:ascii="Book Antiqua" w:hAnsi="Book Antiqua" w:cs="宋体"/>
          <w:sz w:val="24"/>
          <w:szCs w:val="24"/>
          <w:lang w:val="en-US" w:eastAsia="zh-CN"/>
        </w:rPr>
        <w:t xml:space="preserve"> 2003; </w:t>
      </w:r>
      <w:r w:rsidRPr="006F2809">
        <w:rPr>
          <w:rFonts w:ascii="Book Antiqua" w:hAnsi="Book Antiqua" w:cs="宋体"/>
          <w:b/>
          <w:bCs/>
          <w:sz w:val="24"/>
          <w:szCs w:val="24"/>
          <w:lang w:val="en-US" w:eastAsia="zh-CN"/>
        </w:rPr>
        <w:t>52</w:t>
      </w:r>
      <w:r w:rsidRPr="006F2809">
        <w:rPr>
          <w:rFonts w:ascii="Book Antiqua" w:hAnsi="Book Antiqua" w:cs="宋体"/>
          <w:sz w:val="24"/>
          <w:szCs w:val="24"/>
          <w:lang w:val="en-US" w:eastAsia="zh-CN"/>
        </w:rPr>
        <w:t>: 1304-1307 [PMID: 12912862 DOI: 10.1136/gut.52.9.1304]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37 </w:t>
      </w:r>
      <w:r w:rsidRPr="006F2809">
        <w:rPr>
          <w:rFonts w:ascii="Book Antiqua" w:hAnsi="Book Antiqua" w:cs="宋体"/>
          <w:b/>
          <w:bCs/>
          <w:sz w:val="24"/>
          <w:szCs w:val="24"/>
          <w:lang w:val="en-US" w:eastAsia="zh-CN"/>
        </w:rPr>
        <w:t>Gertler R</w:t>
      </w:r>
      <w:r w:rsidRPr="006F2809">
        <w:rPr>
          <w:rFonts w:ascii="Book Antiqua" w:hAnsi="Book Antiqua" w:cs="宋体"/>
          <w:sz w:val="24"/>
          <w:szCs w:val="24"/>
          <w:lang w:val="en-US" w:eastAsia="zh-CN"/>
        </w:rPr>
        <w:t xml:space="preserve">, Rosenberg R, Stricker D, Friederichs J, Hoos A, Werner M, Ulm K, Holzmann B, Nekarda H, Siewert JR. Telomere length and human telomerase reverse transcriptase expression as markers for progression and prognosis of colorectal carcinoma. </w:t>
      </w:r>
      <w:r w:rsidRPr="006F2809">
        <w:rPr>
          <w:rFonts w:ascii="Book Antiqua" w:hAnsi="Book Antiqua" w:cs="宋体"/>
          <w:i/>
          <w:iCs/>
          <w:sz w:val="24"/>
          <w:szCs w:val="24"/>
          <w:lang w:val="en-US" w:eastAsia="zh-CN"/>
        </w:rPr>
        <w:t>J Clin Oncol</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22</w:t>
      </w:r>
      <w:r w:rsidRPr="006F2809">
        <w:rPr>
          <w:rFonts w:ascii="Book Antiqua" w:hAnsi="Book Antiqua" w:cs="宋体"/>
          <w:sz w:val="24"/>
          <w:szCs w:val="24"/>
          <w:lang w:val="en-US" w:eastAsia="zh-CN"/>
        </w:rPr>
        <w:t>: 1807-1814 [PMID: 15143073 DOI: 10.1200/JCO.2004.09.160]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38 </w:t>
      </w:r>
      <w:r w:rsidRPr="006F2809">
        <w:rPr>
          <w:rFonts w:ascii="Book Antiqua" w:hAnsi="Book Antiqua" w:cs="宋体"/>
          <w:b/>
          <w:bCs/>
          <w:sz w:val="24"/>
          <w:szCs w:val="24"/>
          <w:lang w:val="en-US" w:eastAsia="zh-CN"/>
        </w:rPr>
        <w:t>Garcia-Aranda C</w:t>
      </w:r>
      <w:r w:rsidRPr="006F2809">
        <w:rPr>
          <w:rFonts w:ascii="Book Antiqua" w:hAnsi="Book Antiqua" w:cs="宋体"/>
          <w:sz w:val="24"/>
          <w:szCs w:val="24"/>
          <w:lang w:val="en-US" w:eastAsia="zh-CN"/>
        </w:rPr>
        <w:t xml:space="preserve">, de Juan C, Diaz-Lopez A, Sanchez-Pernaute A, Torres AJ, Diaz-Rubio E, Balibrea JL, Benito M, Iniesta P. Correlations of telomere length, telomerase activity, and telomeric-repeat binding factor 1 expression in colorectal carcinoma. </w:t>
      </w:r>
      <w:r w:rsidRPr="006F2809">
        <w:rPr>
          <w:rFonts w:ascii="Book Antiqua" w:hAnsi="Book Antiqua" w:cs="宋体"/>
          <w:i/>
          <w:iCs/>
          <w:sz w:val="24"/>
          <w:szCs w:val="24"/>
          <w:lang w:val="en-US" w:eastAsia="zh-CN"/>
        </w:rPr>
        <w:t>Cancer</w:t>
      </w:r>
      <w:r w:rsidRPr="006F2809">
        <w:rPr>
          <w:rFonts w:ascii="Book Antiqua" w:hAnsi="Book Antiqua" w:cs="宋体"/>
          <w:sz w:val="24"/>
          <w:szCs w:val="24"/>
          <w:lang w:val="en-US" w:eastAsia="zh-CN"/>
        </w:rPr>
        <w:t xml:space="preserve"> 2006; </w:t>
      </w:r>
      <w:r w:rsidRPr="006F2809">
        <w:rPr>
          <w:rFonts w:ascii="Book Antiqua" w:hAnsi="Book Antiqua" w:cs="宋体"/>
          <w:b/>
          <w:bCs/>
          <w:sz w:val="24"/>
          <w:szCs w:val="24"/>
          <w:lang w:val="en-US" w:eastAsia="zh-CN"/>
        </w:rPr>
        <w:t>106</w:t>
      </w:r>
      <w:r w:rsidRPr="006F2809">
        <w:rPr>
          <w:rFonts w:ascii="Book Antiqua" w:hAnsi="Book Antiqua" w:cs="宋体"/>
          <w:sz w:val="24"/>
          <w:szCs w:val="24"/>
          <w:lang w:val="en-US" w:eastAsia="zh-CN"/>
        </w:rPr>
        <w:t>: 541-551 [PMID: 16388518 DOI: 10.1002/cncr.21625]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39 </w:t>
      </w:r>
      <w:r w:rsidRPr="006F2809">
        <w:rPr>
          <w:rFonts w:ascii="Book Antiqua" w:hAnsi="Book Antiqua" w:cs="宋体"/>
          <w:b/>
          <w:bCs/>
          <w:sz w:val="24"/>
          <w:szCs w:val="24"/>
          <w:lang w:val="en-US" w:eastAsia="zh-CN"/>
        </w:rPr>
        <w:t>O'Sullivan J</w:t>
      </w:r>
      <w:r w:rsidRPr="006F2809">
        <w:rPr>
          <w:rFonts w:ascii="Book Antiqua" w:hAnsi="Book Antiqua" w:cs="宋体"/>
          <w:sz w:val="24"/>
          <w:szCs w:val="24"/>
          <w:lang w:val="en-US" w:eastAsia="zh-CN"/>
        </w:rPr>
        <w:t xml:space="preserve">, Risques RA, Mandelson MT, Chen L, Brentnall TA, Bronner MP, Macmillan MP, Feng Z, Siebert JR, Potter JD, Rabinovitch PS. Telomere length in the colon declines with age: a relation to colorectal cancer? </w:t>
      </w:r>
      <w:r w:rsidRPr="006F2809">
        <w:rPr>
          <w:rFonts w:ascii="Book Antiqua" w:hAnsi="Book Antiqua" w:cs="宋体"/>
          <w:i/>
          <w:iCs/>
          <w:sz w:val="24"/>
          <w:szCs w:val="24"/>
          <w:lang w:val="en-US" w:eastAsia="zh-CN"/>
        </w:rPr>
        <w:t>Cancer Epidemiol Biomarkers Prev</w:t>
      </w:r>
      <w:r w:rsidRPr="006F2809">
        <w:rPr>
          <w:rFonts w:ascii="Book Antiqua" w:hAnsi="Book Antiqua" w:cs="宋体"/>
          <w:sz w:val="24"/>
          <w:szCs w:val="24"/>
          <w:lang w:val="en-US" w:eastAsia="zh-CN"/>
        </w:rPr>
        <w:t xml:space="preserve"> 2006; </w:t>
      </w:r>
      <w:r w:rsidRPr="006F2809">
        <w:rPr>
          <w:rFonts w:ascii="Book Antiqua" w:hAnsi="Book Antiqua" w:cs="宋体"/>
          <w:b/>
          <w:bCs/>
          <w:sz w:val="24"/>
          <w:szCs w:val="24"/>
          <w:lang w:val="en-US" w:eastAsia="zh-CN"/>
        </w:rPr>
        <w:t>15</w:t>
      </w:r>
      <w:r w:rsidRPr="006F2809">
        <w:rPr>
          <w:rFonts w:ascii="Book Antiqua" w:hAnsi="Book Antiqua" w:cs="宋体"/>
          <w:sz w:val="24"/>
          <w:szCs w:val="24"/>
          <w:lang w:val="en-US" w:eastAsia="zh-CN"/>
        </w:rPr>
        <w:t>: 573-577 [PMID: 16537718 DOI: 10.1158/1055-9965.EPI-05-0542]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40 </w:t>
      </w:r>
      <w:r w:rsidRPr="006F2809">
        <w:rPr>
          <w:rFonts w:ascii="Book Antiqua" w:hAnsi="Book Antiqua" w:cs="宋体"/>
          <w:b/>
          <w:bCs/>
          <w:sz w:val="24"/>
          <w:szCs w:val="24"/>
          <w:lang w:val="en-US" w:eastAsia="zh-CN"/>
        </w:rPr>
        <w:t>Raynaud CM</w:t>
      </w:r>
      <w:r w:rsidRPr="006F2809">
        <w:rPr>
          <w:rFonts w:ascii="Book Antiqua" w:hAnsi="Book Antiqua" w:cs="宋体"/>
          <w:sz w:val="24"/>
          <w:szCs w:val="24"/>
          <w:lang w:val="en-US" w:eastAsia="zh-CN"/>
        </w:rPr>
        <w:t xml:space="preserve">, Jang SJ, Nuciforo P, Lantuejoul S, Brambilla E, Mounier N, Olaussen KA, André F, Morat L, Sabatier L, Soria JC. Telomere shortening is correlated with the DNA damage response and telomeric protein down-regulation in colorectal preneoplastic lesions. </w:t>
      </w:r>
      <w:r w:rsidRPr="006F2809">
        <w:rPr>
          <w:rFonts w:ascii="Book Antiqua" w:hAnsi="Book Antiqua" w:cs="宋体"/>
          <w:i/>
          <w:iCs/>
          <w:sz w:val="24"/>
          <w:szCs w:val="24"/>
          <w:lang w:val="en-US" w:eastAsia="zh-CN"/>
        </w:rPr>
        <w:t>Ann Oncol</w:t>
      </w:r>
      <w:r w:rsidRPr="006F2809">
        <w:rPr>
          <w:rFonts w:ascii="Book Antiqua" w:hAnsi="Book Antiqua" w:cs="宋体"/>
          <w:sz w:val="24"/>
          <w:szCs w:val="24"/>
          <w:lang w:val="en-US" w:eastAsia="zh-CN"/>
        </w:rPr>
        <w:t xml:space="preserve"> 2008; </w:t>
      </w:r>
      <w:r w:rsidRPr="006F2809">
        <w:rPr>
          <w:rFonts w:ascii="Book Antiqua" w:hAnsi="Book Antiqua" w:cs="宋体"/>
          <w:b/>
          <w:bCs/>
          <w:sz w:val="24"/>
          <w:szCs w:val="24"/>
          <w:lang w:val="en-US" w:eastAsia="zh-CN"/>
        </w:rPr>
        <w:t>19</w:t>
      </w:r>
      <w:r w:rsidRPr="006F2809">
        <w:rPr>
          <w:rFonts w:ascii="Book Antiqua" w:hAnsi="Book Antiqua" w:cs="宋体"/>
          <w:sz w:val="24"/>
          <w:szCs w:val="24"/>
          <w:lang w:val="en-US" w:eastAsia="zh-CN"/>
        </w:rPr>
        <w:t>: 1875-1881 [PMID: 18641004 DOI: 10.1093/annonc/mdn405]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41 </w:t>
      </w:r>
      <w:r w:rsidRPr="006F2809">
        <w:rPr>
          <w:rFonts w:ascii="Book Antiqua" w:hAnsi="Book Antiqua" w:cs="宋体"/>
          <w:b/>
          <w:bCs/>
          <w:sz w:val="24"/>
          <w:szCs w:val="24"/>
          <w:lang w:val="en-US" w:eastAsia="zh-CN"/>
        </w:rPr>
        <w:t>Rampazzo E</w:t>
      </w:r>
      <w:r w:rsidRPr="006F2809">
        <w:rPr>
          <w:rFonts w:ascii="Book Antiqua" w:hAnsi="Book Antiqua" w:cs="宋体"/>
          <w:sz w:val="24"/>
          <w:szCs w:val="24"/>
          <w:lang w:val="en-US" w:eastAsia="zh-CN"/>
        </w:rPr>
        <w:t xml:space="preserve">, Bertorelle R, Serra L, Terrin L, Candiotto C, Pucciarelli S, Del Bianco P, Nitti D, De Rossi A. Relationship between telomere shortening, genetic instability, and site of tumour origin in colorectal cancers. </w:t>
      </w:r>
      <w:r w:rsidRPr="006F2809">
        <w:rPr>
          <w:rFonts w:ascii="Book Antiqua" w:hAnsi="Book Antiqua" w:cs="宋体"/>
          <w:i/>
          <w:iCs/>
          <w:sz w:val="24"/>
          <w:szCs w:val="24"/>
          <w:lang w:val="en-US" w:eastAsia="zh-CN"/>
        </w:rPr>
        <w:t>Br J Cancer</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102</w:t>
      </w:r>
      <w:r w:rsidRPr="006F2809">
        <w:rPr>
          <w:rFonts w:ascii="Book Antiqua" w:hAnsi="Book Antiqua" w:cs="宋体"/>
          <w:sz w:val="24"/>
          <w:szCs w:val="24"/>
          <w:lang w:val="en-US" w:eastAsia="zh-CN"/>
        </w:rPr>
        <w:t>: 1300-1305 [PMID: 20386541 DOI: 10.1038/sj.bjc.6605644]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 xml:space="preserve">42 </w:t>
      </w:r>
      <w:r w:rsidRPr="006F2809">
        <w:rPr>
          <w:rFonts w:ascii="Book Antiqua" w:hAnsi="Book Antiqua" w:cs="宋体"/>
          <w:b/>
          <w:bCs/>
          <w:sz w:val="24"/>
          <w:szCs w:val="24"/>
          <w:lang w:val="en-US" w:eastAsia="zh-CN"/>
        </w:rPr>
        <w:t>Valls C</w:t>
      </w:r>
      <w:r w:rsidRPr="006F2809">
        <w:rPr>
          <w:rFonts w:ascii="Book Antiqua" w:hAnsi="Book Antiqua" w:cs="宋体"/>
          <w:sz w:val="24"/>
          <w:szCs w:val="24"/>
          <w:lang w:val="en-US" w:eastAsia="zh-CN"/>
        </w:rPr>
        <w:t xml:space="preserve">, Piñol C, Reñé JM, Buenestado J, Viñas J. Telomere length is a prognostic factor for overall survival in colorectal cancer. </w:t>
      </w:r>
      <w:r w:rsidRPr="006F2809">
        <w:rPr>
          <w:rFonts w:ascii="Book Antiqua" w:hAnsi="Book Antiqua" w:cs="宋体"/>
          <w:i/>
          <w:iCs/>
          <w:sz w:val="24"/>
          <w:szCs w:val="24"/>
          <w:lang w:val="en-US" w:eastAsia="zh-CN"/>
        </w:rPr>
        <w:t>Colorectal Dis</w:t>
      </w:r>
      <w:r w:rsidRPr="006F2809">
        <w:rPr>
          <w:rFonts w:ascii="Book Antiqua" w:hAnsi="Book Antiqua" w:cs="宋体"/>
          <w:sz w:val="24"/>
          <w:szCs w:val="24"/>
          <w:lang w:val="en-US" w:eastAsia="zh-CN"/>
        </w:rPr>
        <w:t xml:space="preserve"> 2011; </w:t>
      </w:r>
      <w:r w:rsidRPr="006F2809">
        <w:rPr>
          <w:rFonts w:ascii="Book Antiqua" w:hAnsi="Book Antiqua" w:cs="宋体"/>
          <w:b/>
          <w:bCs/>
          <w:sz w:val="24"/>
          <w:szCs w:val="24"/>
          <w:lang w:val="en-US" w:eastAsia="zh-CN"/>
        </w:rPr>
        <w:t>13</w:t>
      </w:r>
      <w:r w:rsidRPr="006F2809">
        <w:rPr>
          <w:rFonts w:ascii="Book Antiqua" w:hAnsi="Book Antiqua" w:cs="宋体"/>
          <w:sz w:val="24"/>
          <w:szCs w:val="24"/>
          <w:lang w:val="en-US" w:eastAsia="zh-CN"/>
        </w:rPr>
        <w:t>: 1265-1272 [PMID: 20874798 DOI: 10.1111/j.1463-1318.2010.02433.x]</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43 </w:t>
      </w:r>
      <w:r w:rsidRPr="006F2809">
        <w:rPr>
          <w:rFonts w:ascii="Book Antiqua" w:hAnsi="Book Antiqua" w:cs="宋体"/>
          <w:b/>
          <w:bCs/>
          <w:sz w:val="24"/>
          <w:szCs w:val="24"/>
          <w:lang w:val="en-US" w:eastAsia="zh-CN"/>
        </w:rPr>
        <w:t>Roger L</w:t>
      </w:r>
      <w:r w:rsidRPr="006F2809">
        <w:rPr>
          <w:rFonts w:ascii="Book Antiqua" w:hAnsi="Book Antiqua" w:cs="宋体"/>
          <w:sz w:val="24"/>
          <w:szCs w:val="24"/>
          <w:lang w:val="en-US" w:eastAsia="zh-CN"/>
        </w:rPr>
        <w:t xml:space="preserve">, Jones RE, Heppel NH, Williams GT, Sampson JR, Baird DM. Extensive telomere erosion in the initiation of colorectal adenomas and its association with chromosomal instability. </w:t>
      </w:r>
      <w:r w:rsidRPr="006F2809">
        <w:rPr>
          <w:rFonts w:ascii="Book Antiqua" w:hAnsi="Book Antiqua" w:cs="宋体"/>
          <w:i/>
          <w:iCs/>
          <w:sz w:val="24"/>
          <w:szCs w:val="24"/>
          <w:lang w:val="en-US" w:eastAsia="zh-CN"/>
        </w:rPr>
        <w:t>J Natl Cancer Inst</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105</w:t>
      </w:r>
      <w:r w:rsidRPr="006F2809">
        <w:rPr>
          <w:rFonts w:ascii="Book Antiqua" w:hAnsi="Book Antiqua" w:cs="宋体"/>
          <w:sz w:val="24"/>
          <w:szCs w:val="24"/>
          <w:lang w:val="en-US" w:eastAsia="zh-CN"/>
        </w:rPr>
        <w:t>: 1202-1211 [PMID: 23918447 DOI: 10.1093/jnci/djt191]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44 </w:t>
      </w:r>
      <w:r w:rsidRPr="006F2809">
        <w:rPr>
          <w:rFonts w:ascii="Book Antiqua" w:hAnsi="Book Antiqua" w:cs="宋体"/>
          <w:b/>
          <w:bCs/>
          <w:sz w:val="24"/>
          <w:szCs w:val="24"/>
          <w:lang w:val="en-US" w:eastAsia="zh-CN"/>
        </w:rPr>
        <w:t>Ogino S</w:t>
      </w:r>
      <w:r w:rsidRPr="006F2809">
        <w:rPr>
          <w:rFonts w:ascii="Book Antiqua" w:hAnsi="Book Antiqua" w:cs="宋体"/>
          <w:sz w:val="24"/>
          <w:szCs w:val="24"/>
          <w:lang w:val="en-US" w:eastAsia="zh-CN"/>
        </w:rPr>
        <w:t xml:space="preserve">, Nosho K, Kirkner GJ, Kawasaki T, Meyerhardt JA, Loda M, Giovannucci EL, Fuchs CS. CpG island methylator phenotype, microsatellite instability, BRAF mutation and clinical outcome in colon cancer. </w:t>
      </w:r>
      <w:r w:rsidRPr="006F2809">
        <w:rPr>
          <w:rFonts w:ascii="Book Antiqua" w:hAnsi="Book Antiqua" w:cs="宋体"/>
          <w:i/>
          <w:iCs/>
          <w:sz w:val="24"/>
          <w:szCs w:val="24"/>
          <w:lang w:val="en-US" w:eastAsia="zh-CN"/>
        </w:rPr>
        <w:t>Gut</w:t>
      </w:r>
      <w:r w:rsidRPr="006F2809">
        <w:rPr>
          <w:rFonts w:ascii="Book Antiqua" w:hAnsi="Book Antiqua" w:cs="宋体"/>
          <w:sz w:val="24"/>
          <w:szCs w:val="24"/>
          <w:lang w:val="en-US" w:eastAsia="zh-CN"/>
        </w:rPr>
        <w:t xml:space="preserve"> 2009; </w:t>
      </w:r>
      <w:r w:rsidRPr="006F2809">
        <w:rPr>
          <w:rFonts w:ascii="Book Antiqua" w:hAnsi="Book Antiqua" w:cs="宋体"/>
          <w:b/>
          <w:bCs/>
          <w:sz w:val="24"/>
          <w:szCs w:val="24"/>
          <w:lang w:val="en-US" w:eastAsia="zh-CN"/>
        </w:rPr>
        <w:t>58</w:t>
      </w:r>
      <w:r w:rsidRPr="006F2809">
        <w:rPr>
          <w:rFonts w:ascii="Book Antiqua" w:hAnsi="Book Antiqua" w:cs="宋体"/>
          <w:sz w:val="24"/>
          <w:szCs w:val="24"/>
          <w:lang w:val="en-US" w:eastAsia="zh-CN"/>
        </w:rPr>
        <w:t>: 90-96 [PMID: 18832519 DOI: 10.1136/gut.2008.155473]</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45 </w:t>
      </w:r>
      <w:r w:rsidRPr="006F2809">
        <w:rPr>
          <w:rFonts w:ascii="Book Antiqua" w:hAnsi="Book Antiqua" w:cs="宋体"/>
          <w:b/>
          <w:bCs/>
          <w:sz w:val="24"/>
          <w:szCs w:val="24"/>
          <w:lang w:val="en-US" w:eastAsia="zh-CN"/>
        </w:rPr>
        <w:t>Takagi S</w:t>
      </w:r>
      <w:r w:rsidRPr="006F2809">
        <w:rPr>
          <w:rFonts w:ascii="Book Antiqua" w:hAnsi="Book Antiqua" w:cs="宋体"/>
          <w:sz w:val="24"/>
          <w:szCs w:val="24"/>
          <w:lang w:val="en-US" w:eastAsia="zh-CN"/>
        </w:rPr>
        <w:t xml:space="preserve">, Kinouchi Y, Hiwatashi N, Nagashima F, Chida M, Takahashi S, Negoro K, Shimosegawa T, Toyota T. Relationship between microsatellite instability and telomere shortening in colorectal cancer. </w:t>
      </w:r>
      <w:r w:rsidRPr="006F2809">
        <w:rPr>
          <w:rFonts w:ascii="Book Antiqua" w:hAnsi="Book Antiqua" w:cs="宋体"/>
          <w:i/>
          <w:iCs/>
          <w:sz w:val="24"/>
          <w:szCs w:val="24"/>
          <w:lang w:val="en-US" w:eastAsia="zh-CN"/>
        </w:rPr>
        <w:t>Dis Colon Rectum</w:t>
      </w:r>
      <w:r w:rsidRPr="006F2809">
        <w:rPr>
          <w:rFonts w:ascii="Book Antiqua" w:hAnsi="Book Antiqua" w:cs="宋体"/>
          <w:sz w:val="24"/>
          <w:szCs w:val="24"/>
          <w:lang w:val="en-US" w:eastAsia="zh-CN"/>
        </w:rPr>
        <w:t xml:space="preserve"> 2000; </w:t>
      </w:r>
      <w:r w:rsidRPr="006F2809">
        <w:rPr>
          <w:rFonts w:ascii="Book Antiqua" w:hAnsi="Book Antiqua" w:cs="宋体"/>
          <w:b/>
          <w:bCs/>
          <w:sz w:val="24"/>
          <w:szCs w:val="24"/>
          <w:lang w:val="en-US" w:eastAsia="zh-CN"/>
        </w:rPr>
        <w:t>43</w:t>
      </w:r>
      <w:r w:rsidRPr="006F2809">
        <w:rPr>
          <w:rFonts w:ascii="Book Antiqua" w:hAnsi="Book Antiqua" w:cs="宋体"/>
          <w:sz w:val="24"/>
          <w:szCs w:val="24"/>
          <w:lang w:val="en-US" w:eastAsia="zh-CN"/>
        </w:rPr>
        <w:t>: S12-S17 [PMID: 11052472 DOI: 10.1007/BF02237220]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46 </w:t>
      </w:r>
      <w:r w:rsidRPr="006F2809">
        <w:rPr>
          <w:rFonts w:ascii="Book Antiqua" w:hAnsi="Book Antiqua" w:cs="宋体"/>
          <w:b/>
          <w:bCs/>
          <w:sz w:val="24"/>
          <w:szCs w:val="24"/>
          <w:lang w:val="en-US" w:eastAsia="zh-CN"/>
        </w:rPr>
        <w:t>Aaltonen LA</w:t>
      </w:r>
      <w:r w:rsidRPr="006F2809">
        <w:rPr>
          <w:rFonts w:ascii="Book Antiqua" w:hAnsi="Book Antiqua" w:cs="宋体"/>
          <w:sz w:val="24"/>
          <w:szCs w:val="24"/>
          <w:lang w:val="en-US" w:eastAsia="zh-CN"/>
        </w:rPr>
        <w:t xml:space="preserve">, Peltomäki P, Leach FS, Sistonen P, Pylkkänen L, Mecklin JP, Järvinen H, Powell SM, Jen J, Hamilton SR. Clues to the pathogenesis of familial colorectal cancer. </w:t>
      </w:r>
      <w:r w:rsidRPr="006F2809">
        <w:rPr>
          <w:rFonts w:ascii="Book Antiqua" w:hAnsi="Book Antiqua" w:cs="宋体"/>
          <w:i/>
          <w:iCs/>
          <w:sz w:val="24"/>
          <w:szCs w:val="24"/>
          <w:lang w:val="en-US" w:eastAsia="zh-CN"/>
        </w:rPr>
        <w:t>Science</w:t>
      </w:r>
      <w:r w:rsidRPr="006F2809">
        <w:rPr>
          <w:rFonts w:ascii="Book Antiqua" w:hAnsi="Book Antiqua" w:cs="宋体"/>
          <w:sz w:val="24"/>
          <w:szCs w:val="24"/>
          <w:lang w:val="en-US" w:eastAsia="zh-CN"/>
        </w:rPr>
        <w:t xml:space="preserve"> 1993; </w:t>
      </w:r>
      <w:r w:rsidRPr="006F2809">
        <w:rPr>
          <w:rFonts w:ascii="Book Antiqua" w:hAnsi="Book Antiqua" w:cs="宋体"/>
          <w:b/>
          <w:bCs/>
          <w:sz w:val="24"/>
          <w:szCs w:val="24"/>
          <w:lang w:val="en-US" w:eastAsia="zh-CN"/>
        </w:rPr>
        <w:t>260</w:t>
      </w:r>
      <w:r w:rsidRPr="006F2809">
        <w:rPr>
          <w:rFonts w:ascii="Book Antiqua" w:hAnsi="Book Antiqua" w:cs="宋体"/>
          <w:sz w:val="24"/>
          <w:szCs w:val="24"/>
          <w:lang w:val="en-US" w:eastAsia="zh-CN"/>
        </w:rPr>
        <w:t>: 812-816 [PMID: 8484121 DOI: 10.1126/science.8484121]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47 </w:t>
      </w:r>
      <w:r w:rsidRPr="006F2809">
        <w:rPr>
          <w:rFonts w:ascii="Book Antiqua" w:hAnsi="Book Antiqua" w:cs="宋体"/>
          <w:b/>
          <w:bCs/>
          <w:sz w:val="24"/>
          <w:szCs w:val="24"/>
          <w:lang w:val="en-US" w:eastAsia="zh-CN"/>
        </w:rPr>
        <w:t>Bechter OE</w:t>
      </w:r>
      <w:r w:rsidRPr="006F2809">
        <w:rPr>
          <w:rFonts w:ascii="Book Antiqua" w:hAnsi="Book Antiqua" w:cs="宋体"/>
          <w:sz w:val="24"/>
          <w:szCs w:val="24"/>
          <w:lang w:val="en-US" w:eastAsia="zh-CN"/>
        </w:rPr>
        <w:t xml:space="preserve">, Zou Y, Walker W, Wright WE, Shay JW. Telomeric recombination in mismatch repair deficient human colon cancer cells after telomerase inhibition. </w:t>
      </w:r>
      <w:r w:rsidRPr="006F2809">
        <w:rPr>
          <w:rFonts w:ascii="Book Antiqua" w:hAnsi="Book Antiqua" w:cs="宋体"/>
          <w:i/>
          <w:iCs/>
          <w:sz w:val="24"/>
          <w:szCs w:val="24"/>
          <w:lang w:val="en-US" w:eastAsia="zh-CN"/>
        </w:rPr>
        <w:t>Cancer Res</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64</w:t>
      </w:r>
      <w:r w:rsidRPr="006F2809">
        <w:rPr>
          <w:rFonts w:ascii="Book Antiqua" w:hAnsi="Book Antiqua" w:cs="宋体"/>
          <w:sz w:val="24"/>
          <w:szCs w:val="24"/>
          <w:lang w:val="en-US" w:eastAsia="zh-CN"/>
        </w:rPr>
        <w:t>: 3444-3451 [PMID: 15150096 DOI: 10.1158/0008-5472.CAN-04-032]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48 </w:t>
      </w:r>
      <w:r w:rsidRPr="006F2809">
        <w:rPr>
          <w:rFonts w:ascii="Book Antiqua" w:hAnsi="Book Antiqua" w:cs="宋体"/>
          <w:b/>
          <w:bCs/>
          <w:sz w:val="24"/>
          <w:szCs w:val="24"/>
          <w:lang w:val="en-US" w:eastAsia="zh-CN"/>
        </w:rPr>
        <w:t>Mendez-Bermudez A</w:t>
      </w:r>
      <w:r w:rsidRPr="006F2809">
        <w:rPr>
          <w:rFonts w:ascii="Book Antiqua" w:hAnsi="Book Antiqua" w:cs="宋体"/>
          <w:sz w:val="24"/>
          <w:szCs w:val="24"/>
          <w:lang w:val="en-US" w:eastAsia="zh-CN"/>
        </w:rPr>
        <w:t xml:space="preserve">, Royle NJ. Deficiency in DNA mismatch repair increases the rate of telomere shortening in normal human cells. </w:t>
      </w:r>
      <w:r w:rsidRPr="006F2809">
        <w:rPr>
          <w:rFonts w:ascii="Book Antiqua" w:hAnsi="Book Antiqua" w:cs="宋体"/>
          <w:i/>
          <w:iCs/>
          <w:sz w:val="24"/>
          <w:szCs w:val="24"/>
          <w:lang w:val="en-US" w:eastAsia="zh-CN"/>
        </w:rPr>
        <w:t>Hum Mutat</w:t>
      </w:r>
      <w:r w:rsidRPr="006F2809">
        <w:rPr>
          <w:rFonts w:ascii="Book Antiqua" w:hAnsi="Book Antiqua" w:cs="宋体"/>
          <w:sz w:val="24"/>
          <w:szCs w:val="24"/>
          <w:lang w:val="en-US" w:eastAsia="zh-CN"/>
        </w:rPr>
        <w:t xml:space="preserve"> 2011; </w:t>
      </w:r>
      <w:r w:rsidRPr="006F2809">
        <w:rPr>
          <w:rFonts w:ascii="Book Antiqua" w:hAnsi="Book Antiqua" w:cs="宋体"/>
          <w:b/>
          <w:bCs/>
          <w:sz w:val="24"/>
          <w:szCs w:val="24"/>
          <w:lang w:val="en-US" w:eastAsia="zh-CN"/>
        </w:rPr>
        <w:t>32</w:t>
      </w:r>
      <w:r w:rsidRPr="006F2809">
        <w:rPr>
          <w:rFonts w:ascii="Book Antiqua" w:hAnsi="Book Antiqua" w:cs="宋体"/>
          <w:sz w:val="24"/>
          <w:szCs w:val="24"/>
          <w:lang w:val="en-US" w:eastAsia="zh-CN"/>
        </w:rPr>
        <w:t>: 939-946 [PMID: 21538690 DOI: 10.1002/humu.21522]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49 </w:t>
      </w:r>
      <w:r w:rsidRPr="006F2809">
        <w:rPr>
          <w:rFonts w:ascii="Book Antiqua" w:hAnsi="Book Antiqua" w:cs="宋体"/>
          <w:b/>
          <w:bCs/>
          <w:sz w:val="24"/>
          <w:szCs w:val="24"/>
          <w:lang w:val="en-US" w:eastAsia="zh-CN"/>
        </w:rPr>
        <w:t>Seguí N</w:t>
      </w:r>
      <w:r w:rsidRPr="006F2809">
        <w:rPr>
          <w:rFonts w:ascii="Book Antiqua" w:hAnsi="Book Antiqua" w:cs="宋体"/>
          <w:sz w:val="24"/>
          <w:szCs w:val="24"/>
          <w:lang w:val="en-US" w:eastAsia="zh-CN"/>
        </w:rPr>
        <w:t xml:space="preserve">, Pineda M, Guinó E, Borràs E, Navarro M, Bellido F, Moreno V, Lázaro C, Blanco I, Capellá G, Valle L. Telomere length and genetic anticipation in Lynch syndrome. </w:t>
      </w:r>
      <w:r w:rsidRPr="006F2809">
        <w:rPr>
          <w:rFonts w:ascii="Book Antiqua" w:hAnsi="Book Antiqua" w:cs="宋体"/>
          <w:i/>
          <w:iCs/>
          <w:sz w:val="24"/>
          <w:szCs w:val="24"/>
          <w:lang w:val="en-US" w:eastAsia="zh-CN"/>
        </w:rPr>
        <w:t>PLoS One</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8</w:t>
      </w:r>
      <w:r w:rsidRPr="006F2809">
        <w:rPr>
          <w:rFonts w:ascii="Book Antiqua" w:hAnsi="Book Antiqua" w:cs="宋体"/>
          <w:sz w:val="24"/>
          <w:szCs w:val="24"/>
          <w:lang w:val="en-US" w:eastAsia="zh-CN"/>
        </w:rPr>
        <w:t>: e61286 [PMID: 23637804]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50 </w:t>
      </w:r>
      <w:r w:rsidRPr="006F2809">
        <w:rPr>
          <w:rFonts w:ascii="Book Antiqua" w:hAnsi="Book Antiqua" w:cs="宋体"/>
          <w:b/>
          <w:bCs/>
          <w:sz w:val="24"/>
          <w:szCs w:val="24"/>
          <w:lang w:val="en-US" w:eastAsia="zh-CN"/>
        </w:rPr>
        <w:t>Prescott J</w:t>
      </w:r>
      <w:r w:rsidRPr="006F2809">
        <w:rPr>
          <w:rFonts w:ascii="Book Antiqua" w:hAnsi="Book Antiqua" w:cs="宋体"/>
          <w:sz w:val="24"/>
          <w:szCs w:val="24"/>
          <w:lang w:val="en-US" w:eastAsia="zh-CN"/>
        </w:rPr>
        <w:t xml:space="preserve">, Wentzensen IM, Savage SA, De Vivo I. Epidemiologic evidence for a role of telomere dysfunction in cancer etiology. </w:t>
      </w:r>
      <w:r w:rsidRPr="006F2809">
        <w:rPr>
          <w:rFonts w:ascii="Book Antiqua" w:hAnsi="Book Antiqua" w:cs="宋体"/>
          <w:i/>
          <w:iCs/>
          <w:sz w:val="24"/>
          <w:szCs w:val="24"/>
          <w:lang w:val="en-US" w:eastAsia="zh-CN"/>
        </w:rPr>
        <w:t>Mutat Res</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730</w:t>
      </w:r>
      <w:r w:rsidRPr="006F2809">
        <w:rPr>
          <w:rFonts w:ascii="Book Antiqua" w:hAnsi="Book Antiqua" w:cs="宋体"/>
          <w:sz w:val="24"/>
          <w:szCs w:val="24"/>
          <w:lang w:val="en-US" w:eastAsia="zh-CN"/>
        </w:rPr>
        <w:t>: 75-84 [PMID: 21756922 DOI: 10.1016/j.mrfmmm.2011.06.009]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51 </w:t>
      </w:r>
      <w:r w:rsidRPr="006F2809">
        <w:rPr>
          <w:rFonts w:ascii="Book Antiqua" w:hAnsi="Book Antiqua" w:cs="宋体"/>
          <w:b/>
          <w:bCs/>
          <w:sz w:val="24"/>
          <w:szCs w:val="24"/>
          <w:lang w:val="en-US" w:eastAsia="zh-CN"/>
        </w:rPr>
        <w:t>Jones AM</w:t>
      </w:r>
      <w:r w:rsidRPr="006F2809">
        <w:rPr>
          <w:rFonts w:ascii="Book Antiqua" w:hAnsi="Book Antiqua" w:cs="宋体"/>
          <w:sz w:val="24"/>
          <w:szCs w:val="24"/>
          <w:lang w:val="en-US" w:eastAsia="zh-CN"/>
        </w:rPr>
        <w:t xml:space="preserve">, Beggs AD, Carvajal-Carmona L, Farrington S, Tenesa A, Walker M, Howarth K, Ballereau S, Hodgson SV, Zauber A, Bertagnolli M, Midgley R, Campbell H, </w:t>
      </w:r>
      <w:r w:rsidRPr="006F2809">
        <w:rPr>
          <w:rFonts w:ascii="Book Antiqua" w:hAnsi="Book Antiqua" w:cs="宋体"/>
          <w:sz w:val="24"/>
          <w:szCs w:val="24"/>
          <w:lang w:val="en-US" w:eastAsia="zh-CN"/>
        </w:rPr>
        <w:lastRenderedPageBreak/>
        <w:t xml:space="preserve">Kerr D, Dunlop MG, Tomlinson IP. TERC polymorphisms are associated both with susceptibility to colorectal cancer and with longer telomeres. </w:t>
      </w:r>
      <w:r w:rsidRPr="006F2809">
        <w:rPr>
          <w:rFonts w:ascii="Book Antiqua" w:hAnsi="Book Antiqua" w:cs="宋体"/>
          <w:i/>
          <w:iCs/>
          <w:sz w:val="24"/>
          <w:szCs w:val="24"/>
          <w:lang w:val="en-US" w:eastAsia="zh-CN"/>
        </w:rPr>
        <w:t>Gut</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61</w:t>
      </w:r>
      <w:r w:rsidRPr="006F2809">
        <w:rPr>
          <w:rFonts w:ascii="Book Antiqua" w:hAnsi="Book Antiqua" w:cs="宋体"/>
          <w:sz w:val="24"/>
          <w:szCs w:val="24"/>
          <w:lang w:val="en-US" w:eastAsia="zh-CN"/>
        </w:rPr>
        <w:t>: 248-254 [PMID: 21708826 DOI: 10.1136/gut.2011.239772]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52 </w:t>
      </w:r>
      <w:r w:rsidRPr="006F2809">
        <w:rPr>
          <w:rFonts w:ascii="Book Antiqua" w:hAnsi="Book Antiqua" w:cs="宋体"/>
          <w:b/>
          <w:bCs/>
          <w:sz w:val="24"/>
          <w:szCs w:val="24"/>
          <w:lang w:val="en-US" w:eastAsia="zh-CN"/>
        </w:rPr>
        <w:t>Cui Y</w:t>
      </w:r>
      <w:r w:rsidRPr="006F2809">
        <w:rPr>
          <w:rFonts w:ascii="Book Antiqua" w:hAnsi="Book Antiqua" w:cs="宋体"/>
          <w:sz w:val="24"/>
          <w:szCs w:val="24"/>
          <w:lang w:val="en-US" w:eastAsia="zh-CN"/>
        </w:rPr>
        <w:t xml:space="preserve">, Cai Q, Qu S, Chow WH, Wen W, Xiang YB, Wu J, Rothman N, Yang G, Shu XO, Gao YT, Zheng W. Association of leukocyte telomere length with colorectal cancer risk: nested case-control findings from the Shanghai Women's Health Study. </w:t>
      </w:r>
      <w:r w:rsidRPr="006F2809">
        <w:rPr>
          <w:rFonts w:ascii="Book Antiqua" w:hAnsi="Book Antiqua" w:cs="宋体"/>
          <w:i/>
          <w:iCs/>
          <w:sz w:val="24"/>
          <w:szCs w:val="24"/>
          <w:lang w:val="en-US" w:eastAsia="zh-CN"/>
        </w:rPr>
        <w:t>Cancer Epidemiol Biomarkers Prev</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21</w:t>
      </w:r>
      <w:r w:rsidRPr="006F2809">
        <w:rPr>
          <w:rFonts w:ascii="Book Antiqua" w:hAnsi="Book Antiqua" w:cs="宋体"/>
          <w:sz w:val="24"/>
          <w:szCs w:val="24"/>
          <w:lang w:val="en-US" w:eastAsia="zh-CN"/>
        </w:rPr>
        <w:t>: 1807-1813 [PMID: 22911335 DOI: 10.1158/1055-9965.EPI-12-0657]</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53 </w:t>
      </w:r>
      <w:r w:rsidRPr="006F2809">
        <w:rPr>
          <w:rFonts w:ascii="Book Antiqua" w:hAnsi="Book Antiqua" w:cs="宋体"/>
          <w:b/>
          <w:bCs/>
          <w:sz w:val="24"/>
          <w:szCs w:val="24"/>
          <w:lang w:val="en-US" w:eastAsia="zh-CN"/>
        </w:rPr>
        <w:t>Bartkova J</w:t>
      </w:r>
      <w:r w:rsidRPr="006F2809">
        <w:rPr>
          <w:rFonts w:ascii="Book Antiqua" w:hAnsi="Book Antiqua" w:cs="宋体"/>
          <w:sz w:val="24"/>
          <w:szCs w:val="24"/>
          <w:lang w:val="en-US" w:eastAsia="zh-CN"/>
        </w:rPr>
        <w:t xml:space="preserve">, Horejsí Z, Koed K, Krämer A, Tort F, Zieger K, Guldberg P, Sehested M, Nesland JM, Lukas C, Ørntoft T, Lukas J, Bartek J. DNA damage response as a candidate anti-cancer barrier in early human tumorigenesis.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434</w:t>
      </w:r>
      <w:r w:rsidRPr="006F2809">
        <w:rPr>
          <w:rFonts w:ascii="Book Antiqua" w:hAnsi="Book Antiqua" w:cs="宋体"/>
          <w:sz w:val="24"/>
          <w:szCs w:val="24"/>
          <w:lang w:val="en-US" w:eastAsia="zh-CN"/>
        </w:rPr>
        <w:t>: 864-870 [PMID: 15829956 DOI: 10.1038/nature03482]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54 </w:t>
      </w:r>
      <w:r w:rsidRPr="006F2809">
        <w:rPr>
          <w:rFonts w:ascii="Book Antiqua" w:hAnsi="Book Antiqua" w:cs="宋体"/>
          <w:b/>
          <w:bCs/>
          <w:sz w:val="24"/>
          <w:szCs w:val="24"/>
          <w:lang w:val="en-US" w:eastAsia="zh-CN"/>
        </w:rPr>
        <w:t>Gorgoulis VG</w:t>
      </w:r>
      <w:r w:rsidRPr="006F2809">
        <w:rPr>
          <w:rFonts w:ascii="Book Antiqua" w:hAnsi="Book Antiqua" w:cs="宋体"/>
          <w:sz w:val="24"/>
          <w:szCs w:val="24"/>
          <w:lang w:val="en-US" w:eastAsia="zh-CN"/>
        </w:rPr>
        <w:t xml:space="preserve">, Vassiliou LV, Karakaidos P, Zacharatos P, Kotsinas A, Liloglou T, Venere M, Ditullio RA, Kastrinakis NG, Levy B, Kletsas D, Yoneta A, Herlyn M, Kittas C, Halazonetis TD. Activation of the DNA damage checkpoint and genomic instability in human precancerous lesions. </w:t>
      </w:r>
      <w:r w:rsidRPr="006F2809">
        <w:rPr>
          <w:rFonts w:ascii="Book Antiqua" w:hAnsi="Book Antiqua" w:cs="宋体"/>
          <w:i/>
          <w:iCs/>
          <w:sz w:val="24"/>
          <w:szCs w:val="24"/>
          <w:lang w:val="en-US" w:eastAsia="zh-CN"/>
        </w:rPr>
        <w:t>Nature</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434</w:t>
      </w:r>
      <w:r w:rsidRPr="006F2809">
        <w:rPr>
          <w:rFonts w:ascii="Book Antiqua" w:hAnsi="Book Antiqua" w:cs="宋体"/>
          <w:sz w:val="24"/>
          <w:szCs w:val="24"/>
          <w:lang w:val="en-US" w:eastAsia="zh-CN"/>
        </w:rPr>
        <w:t>: 907-913 [PMID: 15829965 DOI: 10.1038/nature03485]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55 </w:t>
      </w:r>
      <w:r w:rsidRPr="006F2809">
        <w:rPr>
          <w:rFonts w:ascii="Book Antiqua" w:hAnsi="Book Antiqua" w:cs="宋体"/>
          <w:b/>
          <w:bCs/>
          <w:sz w:val="24"/>
          <w:szCs w:val="24"/>
          <w:lang w:val="en-US" w:eastAsia="zh-CN"/>
        </w:rPr>
        <w:t>Terrin L</w:t>
      </w:r>
      <w:r w:rsidRPr="006F2809">
        <w:rPr>
          <w:rFonts w:ascii="Book Antiqua" w:hAnsi="Book Antiqua" w:cs="宋体"/>
          <w:sz w:val="24"/>
          <w:szCs w:val="24"/>
          <w:lang w:val="en-US" w:eastAsia="zh-CN"/>
        </w:rPr>
        <w:t xml:space="preserve">, Rampazzo E, Pucciarelli S, Agostini M, Bertorelle R, Esposito G, DelBianco P, Nitti D, De Rossi A. Relationship between tumor and plasma levels of hTERT mRNA in patients with colorectal cancer: implications for monitoring of neoplastic disease. </w:t>
      </w:r>
      <w:r w:rsidRPr="006F2809">
        <w:rPr>
          <w:rFonts w:ascii="Book Antiqua" w:hAnsi="Book Antiqua" w:cs="宋体"/>
          <w:i/>
          <w:iCs/>
          <w:sz w:val="24"/>
          <w:szCs w:val="24"/>
          <w:lang w:val="en-US" w:eastAsia="zh-CN"/>
        </w:rPr>
        <w:t>Clin Cancer Res</w:t>
      </w:r>
      <w:r w:rsidRPr="006F2809">
        <w:rPr>
          <w:rFonts w:ascii="Book Antiqua" w:hAnsi="Book Antiqua" w:cs="宋体"/>
          <w:sz w:val="24"/>
          <w:szCs w:val="24"/>
          <w:lang w:val="en-US" w:eastAsia="zh-CN"/>
        </w:rPr>
        <w:t xml:space="preserve"> 2008; </w:t>
      </w:r>
      <w:r w:rsidRPr="006F2809">
        <w:rPr>
          <w:rFonts w:ascii="Book Antiqua" w:hAnsi="Book Antiqua" w:cs="宋体"/>
          <w:b/>
          <w:bCs/>
          <w:sz w:val="24"/>
          <w:szCs w:val="24"/>
          <w:lang w:val="en-US" w:eastAsia="zh-CN"/>
        </w:rPr>
        <w:t>14</w:t>
      </w:r>
      <w:r w:rsidRPr="006F2809">
        <w:rPr>
          <w:rFonts w:ascii="Book Antiqua" w:hAnsi="Book Antiqua" w:cs="宋体"/>
          <w:sz w:val="24"/>
          <w:szCs w:val="24"/>
          <w:lang w:val="en-US" w:eastAsia="zh-CN"/>
        </w:rPr>
        <w:t>: 7444-7451 [PMID: 19010861 DOI: 10.1158/1078-0432.CCR-08-0478]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56 </w:t>
      </w:r>
      <w:r w:rsidRPr="006F2809">
        <w:rPr>
          <w:rFonts w:ascii="Book Antiqua" w:hAnsi="Book Antiqua" w:cs="宋体"/>
          <w:b/>
          <w:bCs/>
          <w:sz w:val="24"/>
          <w:szCs w:val="24"/>
          <w:lang w:val="en-US" w:eastAsia="zh-CN"/>
        </w:rPr>
        <w:t>de Kok JB</w:t>
      </w:r>
      <w:r w:rsidRPr="006F2809">
        <w:rPr>
          <w:rFonts w:ascii="Book Antiqua" w:hAnsi="Book Antiqua" w:cs="宋体"/>
          <w:sz w:val="24"/>
          <w:szCs w:val="24"/>
          <w:lang w:val="en-US" w:eastAsia="zh-CN"/>
        </w:rPr>
        <w:t xml:space="preserve">, Roelofs RW, Giesendorf BA, Pennings JL, Waas ET, Feuth T, Swinkels DW, Span PN. Normalization of gene expression measurements in tumor tissues: comparison of 13 endogenous control genes. </w:t>
      </w:r>
      <w:r w:rsidRPr="006F2809">
        <w:rPr>
          <w:rFonts w:ascii="Book Antiqua" w:hAnsi="Book Antiqua" w:cs="宋体"/>
          <w:i/>
          <w:iCs/>
          <w:sz w:val="24"/>
          <w:szCs w:val="24"/>
          <w:lang w:val="en-US" w:eastAsia="zh-CN"/>
        </w:rPr>
        <w:t>Lab Invest</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85</w:t>
      </w:r>
      <w:r w:rsidRPr="006F2809">
        <w:rPr>
          <w:rFonts w:ascii="Book Antiqua" w:hAnsi="Book Antiqua" w:cs="宋体"/>
          <w:sz w:val="24"/>
          <w:szCs w:val="24"/>
          <w:lang w:val="en-US" w:eastAsia="zh-CN"/>
        </w:rPr>
        <w:t>: 154-159 [PMID: 15543203 DOI: 10.1038/labinvest.3700208]</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57 </w:t>
      </w:r>
      <w:r w:rsidRPr="006F2809">
        <w:rPr>
          <w:rFonts w:ascii="Book Antiqua" w:hAnsi="Book Antiqua" w:cs="宋体"/>
          <w:b/>
          <w:bCs/>
          <w:sz w:val="24"/>
          <w:szCs w:val="24"/>
          <w:lang w:val="en-US" w:eastAsia="zh-CN"/>
        </w:rPr>
        <w:t>Zhou X</w:t>
      </w:r>
      <w:r w:rsidRPr="006F2809">
        <w:rPr>
          <w:rFonts w:ascii="Book Antiqua" w:hAnsi="Book Antiqua" w:cs="宋体"/>
          <w:sz w:val="24"/>
          <w:szCs w:val="24"/>
          <w:lang w:val="en-US" w:eastAsia="zh-CN"/>
        </w:rPr>
        <w:t xml:space="preserve">, Xing D. Assays for human telomerase activity: progress and prospects. </w:t>
      </w:r>
      <w:r w:rsidRPr="006F2809">
        <w:rPr>
          <w:rFonts w:ascii="Book Antiqua" w:hAnsi="Book Antiqua" w:cs="宋体"/>
          <w:i/>
          <w:iCs/>
          <w:sz w:val="24"/>
          <w:szCs w:val="24"/>
          <w:lang w:val="en-US" w:eastAsia="zh-CN"/>
        </w:rPr>
        <w:t>Chem Soc Rev</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41</w:t>
      </w:r>
      <w:r w:rsidRPr="006F2809">
        <w:rPr>
          <w:rFonts w:ascii="Book Antiqua" w:hAnsi="Book Antiqua" w:cs="宋体"/>
          <w:sz w:val="24"/>
          <w:szCs w:val="24"/>
          <w:lang w:val="en-US" w:eastAsia="zh-CN"/>
        </w:rPr>
        <w:t>: 4643-4656 [PMID: 22546968 DOI: 10.1039/c2cs35045a]</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58 </w:t>
      </w:r>
      <w:r w:rsidRPr="006F2809">
        <w:rPr>
          <w:rFonts w:ascii="Book Antiqua" w:hAnsi="Book Antiqua" w:cs="宋体"/>
          <w:b/>
          <w:bCs/>
          <w:sz w:val="24"/>
          <w:szCs w:val="24"/>
          <w:lang w:val="en-US" w:eastAsia="zh-CN"/>
        </w:rPr>
        <w:t>Tatsumoto N</w:t>
      </w:r>
      <w:r w:rsidRPr="006F2809">
        <w:rPr>
          <w:rFonts w:ascii="Book Antiqua" w:hAnsi="Book Antiqua" w:cs="宋体"/>
          <w:sz w:val="24"/>
          <w:szCs w:val="24"/>
          <w:lang w:val="en-US" w:eastAsia="zh-CN"/>
        </w:rPr>
        <w:t xml:space="preserve">, Hiyama E, Murakami Y, Imamura Y, Shay JW, Matsuura Y, Yokoyama T. High telomerase activity is an independent prognostic indicator of poor outcome in colorectal cancer. </w:t>
      </w:r>
      <w:r w:rsidRPr="006F2809">
        <w:rPr>
          <w:rFonts w:ascii="Book Antiqua" w:hAnsi="Book Antiqua" w:cs="宋体"/>
          <w:i/>
          <w:iCs/>
          <w:sz w:val="24"/>
          <w:szCs w:val="24"/>
          <w:lang w:val="en-US" w:eastAsia="zh-CN"/>
        </w:rPr>
        <w:t>Clin Cancer Res</w:t>
      </w:r>
      <w:r w:rsidRPr="006F2809">
        <w:rPr>
          <w:rFonts w:ascii="Book Antiqua" w:hAnsi="Book Antiqua" w:cs="宋体"/>
          <w:sz w:val="24"/>
          <w:szCs w:val="24"/>
          <w:lang w:val="en-US" w:eastAsia="zh-CN"/>
        </w:rPr>
        <w:t xml:space="preserve"> 2000; </w:t>
      </w:r>
      <w:r w:rsidRPr="006F2809">
        <w:rPr>
          <w:rFonts w:ascii="Book Antiqua" w:hAnsi="Book Antiqua" w:cs="宋体"/>
          <w:b/>
          <w:bCs/>
          <w:sz w:val="24"/>
          <w:szCs w:val="24"/>
          <w:lang w:val="en-US" w:eastAsia="zh-CN"/>
        </w:rPr>
        <w:t>6</w:t>
      </w:r>
      <w:r w:rsidRPr="006F2809">
        <w:rPr>
          <w:rFonts w:ascii="Book Antiqua" w:hAnsi="Book Antiqua" w:cs="宋体"/>
          <w:sz w:val="24"/>
          <w:szCs w:val="24"/>
          <w:lang w:val="en-US" w:eastAsia="zh-CN"/>
        </w:rPr>
        <w:t>: 2696-2701 [PMID: 10914712]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59 </w:t>
      </w:r>
      <w:r w:rsidRPr="006F2809">
        <w:rPr>
          <w:rFonts w:ascii="Book Antiqua" w:hAnsi="Book Antiqua" w:cs="宋体"/>
          <w:b/>
          <w:bCs/>
          <w:sz w:val="24"/>
          <w:szCs w:val="24"/>
          <w:lang w:val="en-US" w:eastAsia="zh-CN"/>
        </w:rPr>
        <w:t>Niiyama H</w:t>
      </w:r>
      <w:r w:rsidRPr="006F2809">
        <w:rPr>
          <w:rFonts w:ascii="Book Antiqua" w:hAnsi="Book Antiqua" w:cs="宋体"/>
          <w:sz w:val="24"/>
          <w:szCs w:val="24"/>
          <w:lang w:val="en-US" w:eastAsia="zh-CN"/>
        </w:rPr>
        <w:t xml:space="preserve">, Mizumoto K, Sato N, Nagai E, Mibu R, Fukui T, Kinoshita M, Tanaka M. Quantitative analysis of hTERT mRNA expression in colorectal cancer. </w:t>
      </w:r>
      <w:r w:rsidRPr="006F2809">
        <w:rPr>
          <w:rFonts w:ascii="Book Antiqua" w:hAnsi="Book Antiqua" w:cs="宋体"/>
          <w:i/>
          <w:iCs/>
          <w:sz w:val="24"/>
          <w:szCs w:val="24"/>
          <w:lang w:val="en-US" w:eastAsia="zh-CN"/>
        </w:rPr>
        <w:t>Am J Gastroenterol</w:t>
      </w:r>
      <w:r w:rsidRPr="006F2809">
        <w:rPr>
          <w:rFonts w:ascii="Book Antiqua" w:hAnsi="Book Antiqua" w:cs="宋体"/>
          <w:sz w:val="24"/>
          <w:szCs w:val="24"/>
          <w:lang w:val="en-US" w:eastAsia="zh-CN"/>
        </w:rPr>
        <w:t xml:space="preserve"> 2001; </w:t>
      </w:r>
      <w:r w:rsidRPr="006F2809">
        <w:rPr>
          <w:rFonts w:ascii="Book Antiqua" w:hAnsi="Book Antiqua" w:cs="宋体"/>
          <w:b/>
          <w:bCs/>
          <w:sz w:val="24"/>
          <w:szCs w:val="24"/>
          <w:lang w:val="en-US" w:eastAsia="zh-CN"/>
        </w:rPr>
        <w:t>96</w:t>
      </w:r>
      <w:r w:rsidRPr="006F2809">
        <w:rPr>
          <w:rFonts w:ascii="Book Antiqua" w:hAnsi="Book Antiqua" w:cs="宋体"/>
          <w:sz w:val="24"/>
          <w:szCs w:val="24"/>
          <w:lang w:val="en-US" w:eastAsia="zh-CN"/>
        </w:rPr>
        <w:t>: 1895-1900 [PMID: 11419845 DOI: 10.1111/j.1572-0241.2001.03890.x]</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 xml:space="preserve">60 </w:t>
      </w:r>
      <w:r w:rsidRPr="006F2809">
        <w:rPr>
          <w:rFonts w:ascii="Book Antiqua" w:hAnsi="Book Antiqua" w:cs="宋体"/>
          <w:b/>
          <w:bCs/>
          <w:sz w:val="24"/>
          <w:szCs w:val="24"/>
          <w:lang w:val="en-US" w:eastAsia="zh-CN"/>
        </w:rPr>
        <w:t>Naito Y</w:t>
      </w:r>
      <w:r w:rsidRPr="006F2809">
        <w:rPr>
          <w:rFonts w:ascii="Book Antiqua" w:hAnsi="Book Antiqua" w:cs="宋体"/>
          <w:sz w:val="24"/>
          <w:szCs w:val="24"/>
          <w:lang w:val="en-US" w:eastAsia="zh-CN"/>
        </w:rPr>
        <w:t xml:space="preserve">, Takagi T, Handa O, Ishikawa T, Matsumoto N, Yoshida N, Kato H, Ando T, Takemura T, Itani K, Hisatomi H, Tsuchihashi Y, Yoshikawa T. Telomerase activity and expression of telomerase RNA component and catalytic subunits in precancerous and cancerous colorectal lesions. </w:t>
      </w:r>
      <w:r w:rsidRPr="006F2809">
        <w:rPr>
          <w:rFonts w:ascii="Book Antiqua" w:hAnsi="Book Antiqua" w:cs="宋体"/>
          <w:i/>
          <w:iCs/>
          <w:sz w:val="24"/>
          <w:szCs w:val="24"/>
          <w:lang w:val="en-US" w:eastAsia="zh-CN"/>
        </w:rPr>
        <w:t>Tumour Biol</w:t>
      </w:r>
      <w:r w:rsidRPr="006F2809">
        <w:rPr>
          <w:rFonts w:ascii="Book Antiqua" w:hAnsi="Book Antiqua" w:cs="宋体"/>
          <w:sz w:val="24"/>
          <w:szCs w:val="24"/>
          <w:lang w:val="en-US" w:eastAsia="zh-CN"/>
        </w:rPr>
        <w:t xml:space="preserve"> </w:t>
      </w:r>
      <w:r>
        <w:rPr>
          <w:rFonts w:ascii="Book Antiqua" w:hAnsi="Book Antiqua" w:cs="宋体"/>
          <w:sz w:val="24"/>
          <w:szCs w:val="24"/>
          <w:lang w:val="en-US" w:eastAsia="zh-CN"/>
        </w:rPr>
        <w:t>2001</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22</w:t>
      </w:r>
      <w:r w:rsidRPr="006F2809">
        <w:rPr>
          <w:rFonts w:ascii="Book Antiqua" w:hAnsi="Book Antiqua" w:cs="宋体"/>
          <w:sz w:val="24"/>
          <w:szCs w:val="24"/>
          <w:lang w:val="en-US" w:eastAsia="zh-CN"/>
        </w:rPr>
        <w:t>: 374-382 [PMID: 11786731 DOI: 10.1159/000050640]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61 </w:t>
      </w:r>
      <w:r w:rsidRPr="006F2809">
        <w:rPr>
          <w:rFonts w:ascii="Book Antiqua" w:hAnsi="Book Antiqua" w:cs="宋体"/>
          <w:b/>
          <w:bCs/>
          <w:sz w:val="24"/>
          <w:szCs w:val="24"/>
          <w:lang w:val="en-US" w:eastAsia="zh-CN"/>
        </w:rPr>
        <w:t>Gertler R</w:t>
      </w:r>
      <w:r w:rsidRPr="006F2809">
        <w:rPr>
          <w:rFonts w:ascii="Book Antiqua" w:hAnsi="Book Antiqua" w:cs="宋体"/>
          <w:sz w:val="24"/>
          <w:szCs w:val="24"/>
          <w:lang w:val="en-US" w:eastAsia="zh-CN"/>
        </w:rPr>
        <w:t xml:space="preserve">, Rosenberg R, Stricker D, Werner M, Lassmann S, Ulm K, Nekarda H, Siewert JR. Prognostic potential of the telomerase subunit human telomerase reverse transcriptase in tumor tissue and nontumorous mucosa from patients with colorectal carcinoma. </w:t>
      </w:r>
      <w:r w:rsidRPr="006F2809">
        <w:rPr>
          <w:rFonts w:ascii="Book Antiqua" w:hAnsi="Book Antiqua" w:cs="宋体"/>
          <w:i/>
          <w:iCs/>
          <w:sz w:val="24"/>
          <w:szCs w:val="24"/>
          <w:lang w:val="en-US" w:eastAsia="zh-CN"/>
        </w:rPr>
        <w:t>Cancer</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95</w:t>
      </w:r>
      <w:r w:rsidRPr="006F2809">
        <w:rPr>
          <w:rFonts w:ascii="Book Antiqua" w:hAnsi="Book Antiqua" w:cs="宋体"/>
          <w:sz w:val="24"/>
          <w:szCs w:val="24"/>
          <w:lang w:val="en-US" w:eastAsia="zh-CN"/>
        </w:rPr>
        <w:t>: 2103-2111 [PMID: 12412163 DOI: 10.1002/cncr.10939]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62 </w:t>
      </w:r>
      <w:r w:rsidRPr="006F2809">
        <w:rPr>
          <w:rFonts w:ascii="Book Antiqua" w:hAnsi="Book Antiqua" w:cs="宋体"/>
          <w:b/>
          <w:bCs/>
          <w:sz w:val="24"/>
          <w:szCs w:val="24"/>
          <w:lang w:val="en-US" w:eastAsia="zh-CN"/>
        </w:rPr>
        <w:t>Kawanishi-Tabata R</w:t>
      </w:r>
      <w:r w:rsidRPr="006F2809">
        <w:rPr>
          <w:rFonts w:ascii="Book Antiqua" w:hAnsi="Book Antiqua" w:cs="宋体"/>
          <w:sz w:val="24"/>
          <w:szCs w:val="24"/>
          <w:lang w:val="en-US" w:eastAsia="zh-CN"/>
        </w:rPr>
        <w:t xml:space="preserve">, Lopez F, Fratantonio S, Kim N, Goldblum J, Tubbs R, Elson P, Lavery I, Bukowski RM, Ganapathi R, Ganapathi MK. Telomerase activity in stage II colorectal carcinoma. </w:t>
      </w:r>
      <w:r w:rsidRPr="006F2809">
        <w:rPr>
          <w:rFonts w:ascii="Book Antiqua" w:hAnsi="Book Antiqua" w:cs="宋体"/>
          <w:i/>
          <w:iCs/>
          <w:sz w:val="24"/>
          <w:szCs w:val="24"/>
          <w:lang w:val="en-US" w:eastAsia="zh-CN"/>
        </w:rPr>
        <w:t>Cancer</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95</w:t>
      </w:r>
      <w:r w:rsidRPr="006F2809">
        <w:rPr>
          <w:rFonts w:ascii="Book Antiqua" w:hAnsi="Book Antiqua" w:cs="宋体"/>
          <w:sz w:val="24"/>
          <w:szCs w:val="24"/>
          <w:lang w:val="en-US" w:eastAsia="zh-CN"/>
        </w:rPr>
        <w:t>: 1834-1839 [PMID: 12404275 DOI: 10.1002/cncr.10911]</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63 </w:t>
      </w:r>
      <w:r w:rsidRPr="006F2809">
        <w:rPr>
          <w:rFonts w:ascii="Book Antiqua" w:hAnsi="Book Antiqua" w:cs="宋体"/>
          <w:b/>
          <w:bCs/>
          <w:sz w:val="24"/>
          <w:szCs w:val="24"/>
          <w:lang w:val="en-US" w:eastAsia="zh-CN"/>
        </w:rPr>
        <w:t>Ghori A</w:t>
      </w:r>
      <w:r w:rsidRPr="006F2809">
        <w:rPr>
          <w:rFonts w:ascii="Book Antiqua" w:hAnsi="Book Antiqua" w:cs="宋体"/>
          <w:sz w:val="24"/>
          <w:szCs w:val="24"/>
          <w:lang w:val="en-US" w:eastAsia="zh-CN"/>
        </w:rPr>
        <w:t xml:space="preserve">, Usselmann B, Ferryman S, Morris A, Fraser I. Telomerase expression of malignant epithelial cells correlates with Dukes' stage in colorectal cancer. </w:t>
      </w:r>
      <w:r w:rsidRPr="006F2809">
        <w:rPr>
          <w:rFonts w:ascii="Book Antiqua" w:hAnsi="Book Antiqua" w:cs="宋体"/>
          <w:i/>
          <w:iCs/>
          <w:sz w:val="24"/>
          <w:szCs w:val="24"/>
          <w:lang w:val="en-US" w:eastAsia="zh-CN"/>
        </w:rPr>
        <w:t>Colorectal Dis</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4</w:t>
      </w:r>
      <w:r w:rsidRPr="006F2809">
        <w:rPr>
          <w:rFonts w:ascii="Book Antiqua" w:hAnsi="Book Antiqua" w:cs="宋体"/>
          <w:sz w:val="24"/>
          <w:szCs w:val="24"/>
          <w:lang w:val="en-US" w:eastAsia="zh-CN"/>
        </w:rPr>
        <w:t>: 441-446 [PMID: 12790916 DOI: 10.1046/j.1463-1318.2002.00378.x]</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64 </w:t>
      </w:r>
      <w:r w:rsidRPr="006F2809">
        <w:rPr>
          <w:rFonts w:ascii="Book Antiqua" w:hAnsi="Book Antiqua" w:cs="宋体"/>
          <w:b/>
          <w:bCs/>
          <w:sz w:val="24"/>
          <w:szCs w:val="24"/>
          <w:lang w:val="en-US" w:eastAsia="zh-CN"/>
        </w:rPr>
        <w:t>Boldrini L</w:t>
      </w:r>
      <w:r w:rsidRPr="006F2809">
        <w:rPr>
          <w:rFonts w:ascii="Book Antiqua" w:hAnsi="Book Antiqua" w:cs="宋体"/>
          <w:sz w:val="24"/>
          <w:szCs w:val="24"/>
          <w:lang w:val="en-US" w:eastAsia="zh-CN"/>
        </w:rPr>
        <w:t xml:space="preserve">, Faviana P, Gisfredi S, Zucconi Y, Di Quirico D, Donati V, Berti P, Spisni R, Galleri D, Materazzi G, Basolo F, Miccoli P, Pingitore R, Fontanini G. Evaluation of telomerase in the development and progression of colon cancer. </w:t>
      </w:r>
      <w:r w:rsidRPr="006F2809">
        <w:rPr>
          <w:rFonts w:ascii="Book Antiqua" w:hAnsi="Book Antiqua" w:cs="宋体"/>
          <w:i/>
          <w:iCs/>
          <w:sz w:val="24"/>
          <w:szCs w:val="24"/>
          <w:lang w:val="en-US" w:eastAsia="zh-CN"/>
        </w:rPr>
        <w:t>Int J Mol Med</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10</w:t>
      </w:r>
      <w:r w:rsidRPr="006F2809">
        <w:rPr>
          <w:rFonts w:ascii="Book Antiqua" w:hAnsi="Book Antiqua" w:cs="宋体"/>
          <w:sz w:val="24"/>
          <w:szCs w:val="24"/>
          <w:lang w:val="en-US" w:eastAsia="zh-CN"/>
        </w:rPr>
        <w:t>: 589-592 [PMID: 12373297]</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65 </w:t>
      </w:r>
      <w:r w:rsidRPr="006F2809">
        <w:rPr>
          <w:rFonts w:ascii="Book Antiqua" w:hAnsi="Book Antiqua" w:cs="宋体"/>
          <w:b/>
          <w:bCs/>
          <w:sz w:val="24"/>
          <w:szCs w:val="24"/>
          <w:lang w:val="en-US" w:eastAsia="zh-CN"/>
        </w:rPr>
        <w:t>Maláska J</w:t>
      </w:r>
      <w:r w:rsidRPr="006F2809">
        <w:rPr>
          <w:rFonts w:ascii="Book Antiqua" w:hAnsi="Book Antiqua" w:cs="宋体"/>
          <w:sz w:val="24"/>
          <w:szCs w:val="24"/>
          <w:lang w:val="en-US" w:eastAsia="zh-CN"/>
        </w:rPr>
        <w:t xml:space="preserve">, Kunická Z, Borský M, Sklenicková M, Novotná M, Fajkusová L, Zaloudík J, Fajkus J. Telomerase as a diagnostic and predictive marker in colorectal carcinoma. </w:t>
      </w:r>
      <w:r w:rsidRPr="006F2809">
        <w:rPr>
          <w:rFonts w:ascii="Book Antiqua" w:hAnsi="Book Antiqua" w:cs="宋体"/>
          <w:i/>
          <w:iCs/>
          <w:sz w:val="24"/>
          <w:szCs w:val="24"/>
          <w:lang w:val="en-US" w:eastAsia="zh-CN"/>
        </w:rPr>
        <w:t>Neoplasma</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51</w:t>
      </w:r>
      <w:r w:rsidRPr="006F2809">
        <w:rPr>
          <w:rFonts w:ascii="Book Antiqua" w:hAnsi="Book Antiqua" w:cs="宋体"/>
          <w:sz w:val="24"/>
          <w:szCs w:val="24"/>
          <w:lang w:val="en-US" w:eastAsia="zh-CN"/>
        </w:rPr>
        <w:t>: 90-96 [PMID: 15190417]</w:t>
      </w:r>
    </w:p>
    <w:p w:rsidR="00D55DFD" w:rsidRPr="003F7825" w:rsidRDefault="00D55DFD" w:rsidP="004D1EA2">
      <w:pPr>
        <w:snapToGrid w:val="0"/>
        <w:spacing w:after="0" w:line="360" w:lineRule="auto"/>
        <w:rPr>
          <w:rFonts w:ascii="Book Antiqua" w:hAnsi="Book Antiqua" w:cs="宋体"/>
          <w:sz w:val="24"/>
          <w:szCs w:val="24"/>
          <w:lang w:val="en-US" w:eastAsia="zh-CN"/>
        </w:rPr>
      </w:pPr>
      <w:r w:rsidRPr="003F7825">
        <w:rPr>
          <w:rFonts w:ascii="Book Antiqua" w:hAnsi="Book Antiqua" w:cs="宋体"/>
          <w:sz w:val="24"/>
          <w:szCs w:val="24"/>
          <w:lang w:val="en-US" w:eastAsia="zh-CN"/>
        </w:rPr>
        <w:t xml:space="preserve">66 </w:t>
      </w:r>
      <w:r w:rsidRPr="003F7825">
        <w:rPr>
          <w:rFonts w:ascii="Book Antiqua" w:hAnsi="Book Antiqua"/>
          <w:b/>
          <w:bCs/>
          <w:sz w:val="24"/>
          <w:szCs w:val="24"/>
        </w:rPr>
        <w:t>Boldrini L</w:t>
      </w:r>
      <w:r w:rsidRPr="003F7825">
        <w:rPr>
          <w:rFonts w:ascii="Book Antiqua" w:hAnsi="Book Antiqua"/>
          <w:sz w:val="24"/>
          <w:szCs w:val="24"/>
        </w:rPr>
        <w:t xml:space="preserve">, Faviana P, Gisfredi S, Donati V, Zucconi Y, Ursino S, Simi P, Baldinotti F, Berti P, Galleri D, Materazzi G, Basolo F, Miccoli P, Pingitore R, Fontanini G. Regulation of telomerase and its hTERT messenger in colorectal cancer. </w:t>
      </w:r>
      <w:r w:rsidRPr="003F7825">
        <w:rPr>
          <w:rFonts w:ascii="Book Antiqua" w:hAnsi="Book Antiqua"/>
          <w:i/>
          <w:iCs/>
          <w:sz w:val="24"/>
          <w:szCs w:val="24"/>
        </w:rPr>
        <w:t>Oncol Rep</w:t>
      </w:r>
      <w:r w:rsidRPr="003F7825">
        <w:rPr>
          <w:rFonts w:ascii="Book Antiqua" w:hAnsi="Book Antiqua"/>
          <w:sz w:val="24"/>
          <w:szCs w:val="24"/>
        </w:rPr>
        <w:t xml:space="preserve"> 2004; </w:t>
      </w:r>
      <w:r w:rsidRPr="003F7825">
        <w:rPr>
          <w:rFonts w:ascii="Book Antiqua" w:hAnsi="Book Antiqua"/>
          <w:b/>
          <w:bCs/>
          <w:sz w:val="24"/>
          <w:szCs w:val="24"/>
        </w:rPr>
        <w:t>11</w:t>
      </w:r>
      <w:r w:rsidRPr="003F7825">
        <w:rPr>
          <w:rFonts w:ascii="Book Antiqua" w:hAnsi="Book Antiqua"/>
          <w:sz w:val="24"/>
          <w:szCs w:val="24"/>
        </w:rPr>
        <w:t>: 395-400 [PMID: 14719074]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67 </w:t>
      </w:r>
      <w:r w:rsidRPr="006F2809">
        <w:rPr>
          <w:rFonts w:ascii="Book Antiqua" w:hAnsi="Book Antiqua" w:cs="宋体"/>
          <w:b/>
          <w:bCs/>
          <w:sz w:val="24"/>
          <w:szCs w:val="24"/>
          <w:lang w:val="en-US" w:eastAsia="zh-CN"/>
        </w:rPr>
        <w:t>Sanz-Casla MT</w:t>
      </w:r>
      <w:r w:rsidRPr="006F2809">
        <w:rPr>
          <w:rFonts w:ascii="Book Antiqua" w:hAnsi="Book Antiqua" w:cs="宋体"/>
          <w:sz w:val="24"/>
          <w:szCs w:val="24"/>
          <w:lang w:val="en-US" w:eastAsia="zh-CN"/>
        </w:rPr>
        <w:t xml:space="preserve">, Vidaurreta M, Sanchez-Rueda D, Maestro ML, Arroyo M, Cerdán FJ. Telomerase activity as a prognostic factor in colorectal cancer. </w:t>
      </w:r>
      <w:r w:rsidRPr="006F2809">
        <w:rPr>
          <w:rFonts w:ascii="Book Antiqua" w:hAnsi="Book Antiqua" w:cs="宋体"/>
          <w:i/>
          <w:iCs/>
          <w:sz w:val="24"/>
          <w:szCs w:val="24"/>
          <w:lang w:val="en-US" w:eastAsia="zh-CN"/>
        </w:rPr>
        <w:t>Onkologie</w:t>
      </w:r>
      <w:r w:rsidRPr="006F2809">
        <w:rPr>
          <w:rFonts w:ascii="Book Antiqua" w:hAnsi="Book Antiqua" w:cs="宋体"/>
          <w:sz w:val="24"/>
          <w:szCs w:val="24"/>
          <w:lang w:val="en-US" w:eastAsia="zh-CN"/>
        </w:rPr>
        <w:t xml:space="preserve"> 2005; </w:t>
      </w:r>
      <w:r w:rsidRPr="006F2809">
        <w:rPr>
          <w:rFonts w:ascii="Book Antiqua" w:hAnsi="Book Antiqua" w:cs="宋体"/>
          <w:b/>
          <w:bCs/>
          <w:sz w:val="24"/>
          <w:szCs w:val="24"/>
          <w:lang w:val="en-US" w:eastAsia="zh-CN"/>
        </w:rPr>
        <w:t>28</w:t>
      </w:r>
      <w:r w:rsidRPr="006F2809">
        <w:rPr>
          <w:rFonts w:ascii="Book Antiqua" w:hAnsi="Book Antiqua" w:cs="宋体"/>
          <w:sz w:val="24"/>
          <w:szCs w:val="24"/>
          <w:lang w:val="en-US" w:eastAsia="zh-CN"/>
        </w:rPr>
        <w:t>: 553-557 [PMID: 16249640 DOI: 10.1159/000088525]</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68 </w:t>
      </w:r>
      <w:r w:rsidRPr="006F2809">
        <w:rPr>
          <w:rFonts w:ascii="Book Antiqua" w:hAnsi="Book Antiqua" w:cs="宋体"/>
          <w:b/>
          <w:bCs/>
          <w:sz w:val="24"/>
          <w:szCs w:val="24"/>
          <w:lang w:val="en-US" w:eastAsia="zh-CN"/>
        </w:rPr>
        <w:t>Vidaurreta M</w:t>
      </w:r>
      <w:r w:rsidRPr="006F2809">
        <w:rPr>
          <w:rFonts w:ascii="Book Antiqua" w:hAnsi="Book Antiqua" w:cs="宋体"/>
          <w:sz w:val="24"/>
          <w:szCs w:val="24"/>
          <w:lang w:val="en-US" w:eastAsia="zh-CN"/>
        </w:rPr>
        <w:t xml:space="preserve">, Maestro ML, Rafael S, Veganzones S, Sanz-Casla MT, Cerdán J, Arroyo M. Telomerase activity in colorectal cancer, prognostic factor and implications in the </w:t>
      </w:r>
      <w:r w:rsidRPr="006F2809">
        <w:rPr>
          <w:rFonts w:ascii="Book Antiqua" w:hAnsi="Book Antiqua" w:cs="宋体"/>
          <w:sz w:val="24"/>
          <w:szCs w:val="24"/>
          <w:lang w:val="en-US" w:eastAsia="zh-CN"/>
        </w:rPr>
        <w:lastRenderedPageBreak/>
        <w:t xml:space="preserve">microsatellite instability pathway. </w:t>
      </w:r>
      <w:r w:rsidRPr="006F2809">
        <w:rPr>
          <w:rFonts w:ascii="Book Antiqua" w:hAnsi="Book Antiqua" w:cs="宋体"/>
          <w:i/>
          <w:iCs/>
          <w:sz w:val="24"/>
          <w:szCs w:val="24"/>
          <w:lang w:val="en-US" w:eastAsia="zh-CN"/>
        </w:rPr>
        <w:t>World J Gastroenterol</w:t>
      </w:r>
      <w:r w:rsidRPr="006F2809">
        <w:rPr>
          <w:rFonts w:ascii="Book Antiqua" w:hAnsi="Book Antiqua" w:cs="宋体"/>
          <w:sz w:val="24"/>
          <w:szCs w:val="24"/>
          <w:lang w:val="en-US" w:eastAsia="zh-CN"/>
        </w:rPr>
        <w:t xml:space="preserve"> 2007; </w:t>
      </w:r>
      <w:r w:rsidRPr="006F2809">
        <w:rPr>
          <w:rFonts w:ascii="Book Antiqua" w:hAnsi="Book Antiqua" w:cs="宋体"/>
          <w:b/>
          <w:bCs/>
          <w:sz w:val="24"/>
          <w:szCs w:val="24"/>
          <w:lang w:val="en-US" w:eastAsia="zh-CN"/>
        </w:rPr>
        <w:t>13</w:t>
      </w:r>
      <w:r w:rsidRPr="006F2809">
        <w:rPr>
          <w:rFonts w:ascii="Book Antiqua" w:hAnsi="Book Antiqua" w:cs="宋体"/>
          <w:sz w:val="24"/>
          <w:szCs w:val="24"/>
          <w:lang w:val="en-US" w:eastAsia="zh-CN"/>
        </w:rPr>
        <w:t>: 3868-3872 [PMID: 17657844]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69 </w:t>
      </w:r>
      <w:r w:rsidRPr="006F2809">
        <w:rPr>
          <w:rFonts w:ascii="Book Antiqua" w:hAnsi="Book Antiqua" w:cs="宋体"/>
          <w:b/>
          <w:bCs/>
          <w:sz w:val="24"/>
          <w:szCs w:val="24"/>
          <w:lang w:val="en-US" w:eastAsia="zh-CN"/>
        </w:rPr>
        <w:t>Bautista CV</w:t>
      </w:r>
      <w:r w:rsidRPr="006F2809">
        <w:rPr>
          <w:rFonts w:ascii="Book Antiqua" w:hAnsi="Book Antiqua" w:cs="宋体"/>
          <w:sz w:val="24"/>
          <w:szCs w:val="24"/>
          <w:lang w:val="en-US" w:eastAsia="zh-CN"/>
        </w:rPr>
        <w:t xml:space="preserve">, Felis CP, Espinet JM, García JB, Salas JV. Telomerase activity is a prognostic factor for recurrence and survival in rectal cancer. </w:t>
      </w:r>
      <w:r w:rsidRPr="006F2809">
        <w:rPr>
          <w:rFonts w:ascii="Book Antiqua" w:hAnsi="Book Antiqua" w:cs="宋体"/>
          <w:i/>
          <w:iCs/>
          <w:sz w:val="24"/>
          <w:szCs w:val="24"/>
          <w:lang w:val="en-US" w:eastAsia="zh-CN"/>
        </w:rPr>
        <w:t>Dis Colon Rectum</w:t>
      </w:r>
      <w:r w:rsidRPr="006F2809">
        <w:rPr>
          <w:rFonts w:ascii="Book Antiqua" w:hAnsi="Book Antiqua" w:cs="宋体"/>
          <w:sz w:val="24"/>
          <w:szCs w:val="24"/>
          <w:lang w:val="en-US" w:eastAsia="zh-CN"/>
        </w:rPr>
        <w:t xml:space="preserve"> 2007; </w:t>
      </w:r>
      <w:r w:rsidRPr="006F2809">
        <w:rPr>
          <w:rFonts w:ascii="Book Antiqua" w:hAnsi="Book Antiqua" w:cs="宋体"/>
          <w:b/>
          <w:bCs/>
          <w:sz w:val="24"/>
          <w:szCs w:val="24"/>
          <w:lang w:val="en-US" w:eastAsia="zh-CN"/>
        </w:rPr>
        <w:t>50</w:t>
      </w:r>
      <w:r w:rsidRPr="006F2809">
        <w:rPr>
          <w:rFonts w:ascii="Book Antiqua" w:hAnsi="Book Antiqua" w:cs="宋体"/>
          <w:sz w:val="24"/>
          <w:szCs w:val="24"/>
          <w:lang w:val="en-US" w:eastAsia="zh-CN"/>
        </w:rPr>
        <w:t>: 611-620 [PMID: 17297554 DOI: 10.1007/s10350-006-0820-y]</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70 </w:t>
      </w:r>
      <w:r w:rsidRPr="006F2809">
        <w:rPr>
          <w:rFonts w:ascii="Book Antiqua" w:hAnsi="Book Antiqua" w:cs="宋体"/>
          <w:b/>
          <w:bCs/>
          <w:sz w:val="24"/>
          <w:szCs w:val="24"/>
          <w:lang w:val="en-US" w:eastAsia="zh-CN"/>
        </w:rPr>
        <w:t>Valls Bautista C</w:t>
      </w:r>
      <w:r w:rsidRPr="006F2809">
        <w:rPr>
          <w:rFonts w:ascii="Book Antiqua" w:hAnsi="Book Antiqua" w:cs="宋体"/>
          <w:sz w:val="24"/>
          <w:szCs w:val="24"/>
          <w:lang w:val="en-US" w:eastAsia="zh-CN"/>
        </w:rPr>
        <w:t xml:space="preserve">, Piñol Felis C, Reñé Espinet JM, Buenestado García J, Viñas Salas J. Telomerase activity and telomere length in the colorectal polyp-carcinoma sequence. </w:t>
      </w:r>
      <w:r w:rsidRPr="006F2809">
        <w:rPr>
          <w:rFonts w:ascii="Book Antiqua" w:hAnsi="Book Antiqua" w:cs="宋体"/>
          <w:i/>
          <w:iCs/>
          <w:sz w:val="24"/>
          <w:szCs w:val="24"/>
          <w:lang w:val="en-US" w:eastAsia="zh-CN"/>
        </w:rPr>
        <w:t>Rev Esp Enferm Dig</w:t>
      </w:r>
      <w:r w:rsidRPr="006F2809">
        <w:rPr>
          <w:rFonts w:ascii="Book Antiqua" w:hAnsi="Book Antiqua" w:cs="宋体"/>
          <w:sz w:val="24"/>
          <w:szCs w:val="24"/>
          <w:lang w:val="en-US" w:eastAsia="zh-CN"/>
        </w:rPr>
        <w:t xml:space="preserve"> 2009; </w:t>
      </w:r>
      <w:r w:rsidRPr="006F2809">
        <w:rPr>
          <w:rFonts w:ascii="Book Antiqua" w:hAnsi="Book Antiqua" w:cs="宋体"/>
          <w:b/>
          <w:bCs/>
          <w:sz w:val="24"/>
          <w:szCs w:val="24"/>
          <w:lang w:val="en-US" w:eastAsia="zh-CN"/>
        </w:rPr>
        <w:t>101</w:t>
      </w:r>
      <w:r w:rsidRPr="006F2809">
        <w:rPr>
          <w:rFonts w:ascii="Book Antiqua" w:hAnsi="Book Antiqua" w:cs="宋体"/>
          <w:sz w:val="24"/>
          <w:szCs w:val="24"/>
          <w:lang w:val="en-US" w:eastAsia="zh-CN"/>
        </w:rPr>
        <w:t>: 179-186 [PMID: 19388798 DOI: 10.4321/S1130-01082009000300004]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71 </w:t>
      </w:r>
      <w:r w:rsidRPr="006F2809">
        <w:rPr>
          <w:rFonts w:ascii="Book Antiqua" w:hAnsi="Book Antiqua" w:cs="宋体"/>
          <w:b/>
          <w:bCs/>
          <w:sz w:val="24"/>
          <w:szCs w:val="24"/>
          <w:lang w:val="en-US" w:eastAsia="zh-CN"/>
        </w:rPr>
        <w:t>Kojima K</w:t>
      </w:r>
      <w:r w:rsidRPr="006F2809">
        <w:rPr>
          <w:rFonts w:ascii="Book Antiqua" w:hAnsi="Book Antiqua" w:cs="宋体"/>
          <w:sz w:val="24"/>
          <w:szCs w:val="24"/>
          <w:lang w:val="en-US" w:eastAsia="zh-CN"/>
        </w:rPr>
        <w:t xml:space="preserve">, Hiyama E, Otani K, Ohtaki M, Fukuba I, Fukuda E, Sueda T, Hiyama K. Telomerase activation without shortening of telomeric 3'-overhang is a poor prognostic factor in human colorectal cancer. </w:t>
      </w:r>
      <w:r w:rsidRPr="006F2809">
        <w:rPr>
          <w:rFonts w:ascii="Book Antiqua" w:hAnsi="Book Antiqua" w:cs="宋体"/>
          <w:i/>
          <w:iCs/>
          <w:sz w:val="24"/>
          <w:szCs w:val="24"/>
          <w:lang w:val="en-US" w:eastAsia="zh-CN"/>
        </w:rPr>
        <w:t>Cancer Sci</w:t>
      </w:r>
      <w:r w:rsidRPr="006F2809">
        <w:rPr>
          <w:rFonts w:ascii="Book Antiqua" w:hAnsi="Book Antiqua" w:cs="宋体"/>
          <w:sz w:val="24"/>
          <w:szCs w:val="24"/>
          <w:lang w:val="en-US" w:eastAsia="zh-CN"/>
        </w:rPr>
        <w:t xml:space="preserve"> 2011; </w:t>
      </w:r>
      <w:r w:rsidRPr="006F2809">
        <w:rPr>
          <w:rFonts w:ascii="Book Antiqua" w:hAnsi="Book Antiqua" w:cs="宋体"/>
          <w:b/>
          <w:bCs/>
          <w:sz w:val="24"/>
          <w:szCs w:val="24"/>
          <w:lang w:val="en-US" w:eastAsia="zh-CN"/>
        </w:rPr>
        <w:t>102</w:t>
      </w:r>
      <w:r w:rsidRPr="006F2809">
        <w:rPr>
          <w:rFonts w:ascii="Book Antiqua" w:hAnsi="Book Antiqua" w:cs="宋体"/>
          <w:sz w:val="24"/>
          <w:szCs w:val="24"/>
          <w:lang w:val="en-US" w:eastAsia="zh-CN"/>
        </w:rPr>
        <w:t>: 330-335 [PMID: 21108695 DOI: 10.1111/j.1349-7006.2010.01786.x]</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72 </w:t>
      </w:r>
      <w:r w:rsidRPr="006F2809">
        <w:rPr>
          <w:rFonts w:ascii="Book Antiqua" w:hAnsi="Book Antiqua" w:cs="宋体"/>
          <w:b/>
          <w:bCs/>
          <w:sz w:val="24"/>
          <w:szCs w:val="24"/>
          <w:lang w:val="en-US" w:eastAsia="zh-CN"/>
        </w:rPr>
        <w:t>Safont MJ</w:t>
      </w:r>
      <w:r w:rsidRPr="006F2809">
        <w:rPr>
          <w:rFonts w:ascii="Book Antiqua" w:hAnsi="Book Antiqua" w:cs="宋体"/>
          <w:sz w:val="24"/>
          <w:szCs w:val="24"/>
          <w:lang w:val="en-US" w:eastAsia="zh-CN"/>
        </w:rPr>
        <w:t xml:space="preserve">, Gil M, Sirera R, Jantus-Lewintre E, Sanmartín E, Gallach S, Caballero C, Del Pozo N, Palomares E, Camps C. The prognostic value of hTERT expression levels in advanced-stage colorectal cancer patients: a comparison between tissue and serum expression. </w:t>
      </w:r>
      <w:r w:rsidRPr="006F2809">
        <w:rPr>
          <w:rFonts w:ascii="Book Antiqua" w:hAnsi="Book Antiqua" w:cs="宋体"/>
          <w:i/>
          <w:iCs/>
          <w:sz w:val="24"/>
          <w:szCs w:val="24"/>
          <w:lang w:val="en-US" w:eastAsia="zh-CN"/>
        </w:rPr>
        <w:t>Clin Transl Oncol</w:t>
      </w:r>
      <w:r w:rsidRPr="006F2809">
        <w:rPr>
          <w:rFonts w:ascii="Book Antiqua" w:hAnsi="Book Antiqua" w:cs="宋体"/>
          <w:sz w:val="24"/>
          <w:szCs w:val="24"/>
          <w:lang w:val="en-US" w:eastAsia="zh-CN"/>
        </w:rPr>
        <w:t xml:space="preserve"> 2011; </w:t>
      </w:r>
      <w:r w:rsidRPr="006F2809">
        <w:rPr>
          <w:rFonts w:ascii="Book Antiqua" w:hAnsi="Book Antiqua" w:cs="宋体"/>
          <w:b/>
          <w:bCs/>
          <w:sz w:val="24"/>
          <w:szCs w:val="24"/>
          <w:lang w:val="en-US" w:eastAsia="zh-CN"/>
        </w:rPr>
        <w:t>13</w:t>
      </w:r>
      <w:r w:rsidRPr="006F2809">
        <w:rPr>
          <w:rFonts w:ascii="Book Antiqua" w:hAnsi="Book Antiqua" w:cs="宋体"/>
          <w:sz w:val="24"/>
          <w:szCs w:val="24"/>
          <w:lang w:val="en-US" w:eastAsia="zh-CN"/>
        </w:rPr>
        <w:t>: 396-400 [PMID: 21680300 DOI: 10.1007/s12094-011-0673-2]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 xml:space="preserve">73 </w:t>
      </w:r>
      <w:r w:rsidRPr="006F2809">
        <w:rPr>
          <w:rFonts w:ascii="Book Antiqua" w:hAnsi="Book Antiqua" w:cs="宋体"/>
          <w:b/>
          <w:bCs/>
          <w:sz w:val="24"/>
          <w:szCs w:val="24"/>
          <w:lang w:val="en-US" w:eastAsia="zh-CN"/>
        </w:rPr>
        <w:t>Bertorelle R</w:t>
      </w:r>
      <w:r w:rsidRPr="006F2809">
        <w:rPr>
          <w:rFonts w:ascii="Book Antiqua" w:hAnsi="Book Antiqua" w:cs="宋体"/>
          <w:sz w:val="24"/>
          <w:szCs w:val="24"/>
          <w:lang w:val="en-US" w:eastAsia="zh-CN"/>
        </w:rPr>
        <w:t xml:space="preserve">, Briarava M, Rampazzo E, Biasini L, Agostini M, Maretto I, Lonardi S, Friso ML, Mescoli C, Zagonel V, Nitti D, De Rossi A, Pucciarelli S. Telomerase is an independent prognostic marker of overall survival in patients with colorectal cancer. </w:t>
      </w:r>
      <w:r w:rsidRPr="006F2809">
        <w:rPr>
          <w:rFonts w:ascii="Book Antiqua" w:hAnsi="Book Antiqua" w:cs="宋体"/>
          <w:i/>
          <w:iCs/>
          <w:sz w:val="24"/>
          <w:szCs w:val="24"/>
          <w:lang w:val="en-US" w:eastAsia="zh-CN"/>
        </w:rPr>
        <w:t>Br J Cancer</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108</w:t>
      </w:r>
      <w:r w:rsidRPr="006F2809">
        <w:rPr>
          <w:rFonts w:ascii="Book Antiqua" w:hAnsi="Book Antiqua" w:cs="宋体"/>
          <w:sz w:val="24"/>
          <w:szCs w:val="24"/>
          <w:lang w:val="en-US" w:eastAsia="zh-CN"/>
        </w:rPr>
        <w:t>: 278-284 [PMID: 23322193 DOI: 10.1038/bjc.2012.602]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7</w:t>
      </w:r>
      <w:r>
        <w:rPr>
          <w:rFonts w:ascii="Book Antiqua" w:hAnsi="Book Antiqua" w:cs="宋体"/>
          <w:sz w:val="24"/>
          <w:szCs w:val="24"/>
          <w:lang w:val="en-US" w:eastAsia="zh-CN"/>
        </w:rPr>
        <w:t>4</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Ribic CM</w:t>
      </w:r>
      <w:r w:rsidRPr="006F2809">
        <w:rPr>
          <w:rFonts w:ascii="Book Antiqua" w:hAnsi="Book Antiqua" w:cs="宋体"/>
          <w:sz w:val="24"/>
          <w:szCs w:val="24"/>
          <w:lang w:val="en-US" w:eastAsia="zh-CN"/>
        </w:rPr>
        <w:t xml:space="preserve">, Sargent DJ, Moore MJ, Thibodeau SN, French AJ, Goldberg RM, Hamilton SR, Laurent-Puig P, Gryfe R, Shepherd LE, Tu D, Redston M, Gallinger S. Tumor microsatellite-instability status as a predictor of benefit from fluorouracil-based adjuvant chemotherapy for colon cancer. </w:t>
      </w:r>
      <w:r w:rsidRPr="006F2809">
        <w:rPr>
          <w:rFonts w:ascii="Book Antiqua" w:hAnsi="Book Antiqua" w:cs="宋体"/>
          <w:i/>
          <w:iCs/>
          <w:sz w:val="24"/>
          <w:szCs w:val="24"/>
          <w:lang w:val="en-US" w:eastAsia="zh-CN"/>
        </w:rPr>
        <w:t>N Engl J Med</w:t>
      </w:r>
      <w:r w:rsidRPr="006F2809">
        <w:rPr>
          <w:rFonts w:ascii="Book Antiqua" w:hAnsi="Book Antiqua" w:cs="宋体"/>
          <w:sz w:val="24"/>
          <w:szCs w:val="24"/>
          <w:lang w:val="en-US" w:eastAsia="zh-CN"/>
        </w:rPr>
        <w:t xml:space="preserve"> 2003; </w:t>
      </w:r>
      <w:r w:rsidRPr="006F2809">
        <w:rPr>
          <w:rFonts w:ascii="Book Antiqua" w:hAnsi="Book Antiqua" w:cs="宋体"/>
          <w:b/>
          <w:bCs/>
          <w:sz w:val="24"/>
          <w:szCs w:val="24"/>
          <w:lang w:val="en-US" w:eastAsia="zh-CN"/>
        </w:rPr>
        <w:t>349</w:t>
      </w:r>
      <w:r w:rsidRPr="006F2809">
        <w:rPr>
          <w:rFonts w:ascii="Book Antiqua" w:hAnsi="Book Antiqua" w:cs="宋体"/>
          <w:sz w:val="24"/>
          <w:szCs w:val="24"/>
          <w:lang w:val="en-US" w:eastAsia="zh-CN"/>
        </w:rPr>
        <w:t>: 247-257 [PMID: 12867608 DOI: 10.1056/NEJMoa022289]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7</w:t>
      </w:r>
      <w:r>
        <w:rPr>
          <w:rFonts w:ascii="Book Antiqua" w:hAnsi="Book Antiqua" w:cs="宋体"/>
          <w:sz w:val="24"/>
          <w:szCs w:val="24"/>
          <w:lang w:val="en-US" w:eastAsia="zh-CN"/>
        </w:rPr>
        <w:t>5</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Benson AB</w:t>
      </w:r>
      <w:r w:rsidRPr="006F2809">
        <w:rPr>
          <w:rFonts w:ascii="Book Antiqua" w:hAnsi="Book Antiqua" w:cs="宋体"/>
          <w:sz w:val="24"/>
          <w:szCs w:val="24"/>
          <w:lang w:val="en-US" w:eastAsia="zh-CN"/>
        </w:rPr>
        <w:t xml:space="preserve">, Schrag D, Somerfield MR, Cohen AM, Figueredo AT, Flynn PJ, Krzyzanowska MK, Maroun J, McAllister P, Van Cutsem E, Brouwers M, Charette M, Haller DG. American Society of Clinical Oncology recommendations on adjuvant chemotherapy for stage II colon cancer. </w:t>
      </w:r>
      <w:r w:rsidRPr="006F2809">
        <w:rPr>
          <w:rFonts w:ascii="Book Antiqua" w:hAnsi="Book Antiqua" w:cs="宋体"/>
          <w:i/>
          <w:iCs/>
          <w:sz w:val="24"/>
          <w:szCs w:val="24"/>
          <w:lang w:val="en-US" w:eastAsia="zh-CN"/>
        </w:rPr>
        <w:t>J Clin Oncol</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22</w:t>
      </w:r>
      <w:r w:rsidRPr="006F2809">
        <w:rPr>
          <w:rFonts w:ascii="Book Antiqua" w:hAnsi="Book Antiqua" w:cs="宋体"/>
          <w:sz w:val="24"/>
          <w:szCs w:val="24"/>
          <w:lang w:val="en-US" w:eastAsia="zh-CN"/>
        </w:rPr>
        <w:t>: 3408-3419 [PMID: 15199089 DOI: 10.1200/JCO.2004.05.063]</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lastRenderedPageBreak/>
        <w:t>7</w:t>
      </w:r>
      <w:r>
        <w:rPr>
          <w:rFonts w:ascii="Book Antiqua" w:hAnsi="Book Antiqua" w:cs="宋体"/>
          <w:sz w:val="24"/>
          <w:szCs w:val="24"/>
          <w:lang w:val="en-US" w:eastAsia="zh-CN"/>
        </w:rPr>
        <w:t>6</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Gill S</w:t>
      </w:r>
      <w:r w:rsidRPr="006F2809">
        <w:rPr>
          <w:rFonts w:ascii="Book Antiqua" w:hAnsi="Book Antiqua" w:cs="宋体"/>
          <w:sz w:val="24"/>
          <w:szCs w:val="24"/>
          <w:lang w:val="en-US" w:eastAsia="zh-CN"/>
        </w:rPr>
        <w:t xml:space="preserve">, Loprinzi CL, Sargent DJ, Thomé SD, Alberts SR, Haller DG, Benedetti J, Francini G, Shepherd LE, Francois Seitz J, Labianca R, Chen W, Cha SS, Heldebrant MP, Goldberg RM. Pooled analysis of fluorouracil-based adjuvant therapy for stage II and III colon cancer: who benefits and by how much? </w:t>
      </w:r>
      <w:r w:rsidRPr="006F2809">
        <w:rPr>
          <w:rFonts w:ascii="Book Antiqua" w:hAnsi="Book Antiqua" w:cs="宋体"/>
          <w:i/>
          <w:iCs/>
          <w:sz w:val="24"/>
          <w:szCs w:val="24"/>
          <w:lang w:val="en-US" w:eastAsia="zh-CN"/>
        </w:rPr>
        <w:t>J Clin Oncol</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22</w:t>
      </w:r>
      <w:r w:rsidRPr="006F2809">
        <w:rPr>
          <w:rFonts w:ascii="Book Antiqua" w:hAnsi="Book Antiqua" w:cs="宋体"/>
          <w:sz w:val="24"/>
          <w:szCs w:val="24"/>
          <w:lang w:val="en-US" w:eastAsia="zh-CN"/>
        </w:rPr>
        <w:t>: 1797-1806 [PMID: 15067028 DOI: 10.1200/JCO.2004.09.059]</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7</w:t>
      </w:r>
      <w:r>
        <w:rPr>
          <w:rFonts w:ascii="Book Antiqua" w:hAnsi="Book Antiqua" w:cs="宋体"/>
          <w:sz w:val="24"/>
          <w:szCs w:val="24"/>
          <w:lang w:val="en-US" w:eastAsia="zh-CN"/>
        </w:rPr>
        <w:t>7</w:t>
      </w:r>
      <w:r w:rsidRPr="006F2809">
        <w:rPr>
          <w:rFonts w:ascii="Book Antiqua" w:hAnsi="Book Antiqua" w:cs="宋体"/>
          <w:sz w:val="24"/>
          <w:szCs w:val="24"/>
          <w:lang w:val="en-US" w:eastAsia="zh-CN"/>
        </w:rPr>
        <w:t xml:space="preserve"> </w:t>
      </w:r>
      <w:r w:rsidRPr="00B917DE">
        <w:rPr>
          <w:rFonts w:ascii="Book Antiqua" w:hAnsi="Book Antiqua" w:cs="宋体"/>
          <w:b/>
          <w:bCs/>
          <w:sz w:val="24"/>
          <w:szCs w:val="24"/>
          <w:lang w:val="en-US" w:eastAsia="zh-CN"/>
        </w:rPr>
        <w:t>Quasar Collaborative Group</w:t>
      </w:r>
      <w:r w:rsidRPr="00B917DE">
        <w:rPr>
          <w:rFonts w:ascii="Book Antiqua" w:hAnsi="Book Antiqua" w:cs="宋体"/>
          <w:bCs/>
          <w:sz w:val="24"/>
          <w:szCs w:val="24"/>
          <w:lang w:val="en-US" w:eastAsia="zh-CN"/>
        </w:rPr>
        <w:t>,</w:t>
      </w:r>
      <w:r w:rsidRPr="00B917DE">
        <w:rPr>
          <w:rFonts w:ascii="Book Antiqua" w:hAnsi="Book Antiqua" w:cs="宋体"/>
          <w:b/>
          <w:bCs/>
          <w:sz w:val="24"/>
          <w:szCs w:val="24"/>
          <w:lang w:val="en-US" w:eastAsia="zh-CN"/>
        </w:rPr>
        <w:t xml:space="preserve"> </w:t>
      </w:r>
      <w:r w:rsidRPr="00B917DE">
        <w:rPr>
          <w:rFonts w:ascii="Book Antiqua" w:hAnsi="Book Antiqua" w:cs="宋体"/>
          <w:bCs/>
          <w:sz w:val="24"/>
          <w:szCs w:val="24"/>
          <w:lang w:val="en-US" w:eastAsia="zh-CN"/>
        </w:rPr>
        <w:t>Gray R</w:t>
      </w:r>
      <w:r w:rsidRPr="006F2809">
        <w:rPr>
          <w:rFonts w:ascii="Book Antiqua" w:hAnsi="Book Antiqua" w:cs="宋体"/>
          <w:sz w:val="24"/>
          <w:szCs w:val="24"/>
          <w:lang w:val="en-US" w:eastAsia="zh-CN"/>
        </w:rPr>
        <w:t xml:space="preserve">, Barnwell J, McConkey C, Hills RK, Williams NS, Kerr DJ. Adjuvant chemotherapy versus observation in patients with colorectal cancer: a randomised study. </w:t>
      </w:r>
      <w:r w:rsidRPr="006F2809">
        <w:rPr>
          <w:rFonts w:ascii="Book Antiqua" w:hAnsi="Book Antiqua" w:cs="宋体"/>
          <w:i/>
          <w:iCs/>
          <w:sz w:val="24"/>
          <w:szCs w:val="24"/>
          <w:lang w:val="en-US" w:eastAsia="zh-CN"/>
        </w:rPr>
        <w:t>Lancet</w:t>
      </w:r>
      <w:r w:rsidRPr="006F2809">
        <w:rPr>
          <w:rFonts w:ascii="Book Antiqua" w:hAnsi="Book Antiqua" w:cs="宋体"/>
          <w:sz w:val="24"/>
          <w:szCs w:val="24"/>
          <w:lang w:val="en-US" w:eastAsia="zh-CN"/>
        </w:rPr>
        <w:t xml:space="preserve"> 2007; </w:t>
      </w:r>
      <w:r w:rsidRPr="006F2809">
        <w:rPr>
          <w:rFonts w:ascii="Book Antiqua" w:hAnsi="Book Antiqua" w:cs="宋体"/>
          <w:b/>
          <w:bCs/>
          <w:sz w:val="24"/>
          <w:szCs w:val="24"/>
          <w:lang w:val="en-US" w:eastAsia="zh-CN"/>
        </w:rPr>
        <w:t>370</w:t>
      </w:r>
      <w:r w:rsidRPr="006F2809">
        <w:rPr>
          <w:rFonts w:ascii="Book Antiqua" w:hAnsi="Book Antiqua" w:cs="宋体"/>
          <w:sz w:val="24"/>
          <w:szCs w:val="24"/>
          <w:lang w:val="en-US" w:eastAsia="zh-CN"/>
        </w:rPr>
        <w:t>: 2020-2029 [PMID: 18083404 DOI: 10.1016/S0140-6736(07)61866-2]</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7</w:t>
      </w:r>
      <w:r>
        <w:rPr>
          <w:rFonts w:ascii="Book Antiqua" w:hAnsi="Book Antiqua" w:cs="宋体"/>
          <w:sz w:val="24"/>
          <w:szCs w:val="24"/>
          <w:lang w:val="en-US" w:eastAsia="zh-CN"/>
        </w:rPr>
        <w:t>8</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Sargent DJ</w:t>
      </w:r>
      <w:r w:rsidRPr="006F2809">
        <w:rPr>
          <w:rFonts w:ascii="Book Antiqua" w:hAnsi="Book Antiqua" w:cs="宋体"/>
          <w:sz w:val="24"/>
          <w:szCs w:val="24"/>
          <w:lang w:val="en-US" w:eastAsia="zh-CN"/>
        </w:rPr>
        <w:t xml:space="preserve">, Marsoni S, Monges G, Thibodeau SN, Labianca R, Hamilton SR, French AJ, Kabat B, Foster NR, Torri V, Ribic C, Grothey A, Moore M, Zaniboni A, Seitz JF, Sinicrope F, Gallinger S. Defective mismatch repair as a predictive marker for lack of efficacy of fluorouracil-based adjuvant therapy in colon cancer. </w:t>
      </w:r>
      <w:r w:rsidRPr="006F2809">
        <w:rPr>
          <w:rFonts w:ascii="Book Antiqua" w:hAnsi="Book Antiqua" w:cs="宋体"/>
          <w:i/>
          <w:iCs/>
          <w:sz w:val="24"/>
          <w:szCs w:val="24"/>
          <w:lang w:val="en-US" w:eastAsia="zh-CN"/>
        </w:rPr>
        <w:t>J Clin Oncol</w:t>
      </w:r>
      <w:r w:rsidRPr="006F2809">
        <w:rPr>
          <w:rFonts w:ascii="Book Antiqua" w:hAnsi="Book Antiqua" w:cs="宋体"/>
          <w:sz w:val="24"/>
          <w:szCs w:val="24"/>
          <w:lang w:val="en-US" w:eastAsia="zh-CN"/>
        </w:rPr>
        <w:t xml:space="preserve"> 2010; </w:t>
      </w:r>
      <w:r w:rsidRPr="006F2809">
        <w:rPr>
          <w:rFonts w:ascii="Book Antiqua" w:hAnsi="Book Antiqua" w:cs="宋体"/>
          <w:b/>
          <w:bCs/>
          <w:sz w:val="24"/>
          <w:szCs w:val="24"/>
          <w:lang w:val="en-US" w:eastAsia="zh-CN"/>
        </w:rPr>
        <w:t>28</w:t>
      </w:r>
      <w:r w:rsidRPr="006F2809">
        <w:rPr>
          <w:rFonts w:ascii="Book Antiqua" w:hAnsi="Book Antiqua" w:cs="宋体"/>
          <w:sz w:val="24"/>
          <w:szCs w:val="24"/>
          <w:lang w:val="en-US" w:eastAsia="zh-CN"/>
        </w:rPr>
        <w:t>: 3219-3226 [PMID: 20498393 DOI: 10.1200/JCO.2009.27.1825]</w:t>
      </w:r>
    </w:p>
    <w:p w:rsidR="00D55DFD" w:rsidRPr="006F2809" w:rsidRDefault="00D55DFD" w:rsidP="004D1EA2">
      <w:pPr>
        <w:snapToGrid w:val="0"/>
        <w:spacing w:after="0" w:line="360" w:lineRule="auto"/>
        <w:rPr>
          <w:rFonts w:ascii="Book Antiqua" w:hAnsi="Book Antiqua" w:cs="宋体"/>
          <w:sz w:val="24"/>
          <w:szCs w:val="24"/>
          <w:lang w:val="en-US" w:eastAsia="zh-CN"/>
        </w:rPr>
      </w:pPr>
      <w:r>
        <w:rPr>
          <w:rFonts w:ascii="Book Antiqua" w:hAnsi="Book Antiqua" w:cs="宋体"/>
          <w:sz w:val="24"/>
          <w:szCs w:val="24"/>
          <w:lang w:val="en-US" w:eastAsia="zh-CN"/>
        </w:rPr>
        <w:t>79</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Kin C</w:t>
      </w:r>
      <w:r w:rsidRPr="006F2809">
        <w:rPr>
          <w:rFonts w:ascii="Book Antiqua" w:hAnsi="Book Antiqua" w:cs="宋体"/>
          <w:sz w:val="24"/>
          <w:szCs w:val="24"/>
          <w:lang w:val="en-US" w:eastAsia="zh-CN"/>
        </w:rPr>
        <w:t xml:space="preserve">, Kidess E, Poultsides GA, Visser BC, Jeffrey SS. Colorectal cancer diagnostics: biomarkers, cell-free DNA, circulating tumor cells and defining heterogeneous populations by single-cell analysis. </w:t>
      </w:r>
      <w:r w:rsidRPr="006F2809">
        <w:rPr>
          <w:rFonts w:ascii="Book Antiqua" w:hAnsi="Book Antiqua" w:cs="宋体"/>
          <w:i/>
          <w:iCs/>
          <w:sz w:val="24"/>
          <w:szCs w:val="24"/>
          <w:lang w:val="en-US" w:eastAsia="zh-CN"/>
        </w:rPr>
        <w:t>Expert Rev Mol Diagn</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13</w:t>
      </w:r>
      <w:r w:rsidRPr="006F2809">
        <w:rPr>
          <w:rFonts w:ascii="Book Antiqua" w:hAnsi="Book Antiqua" w:cs="宋体"/>
          <w:sz w:val="24"/>
          <w:szCs w:val="24"/>
          <w:lang w:val="en-US" w:eastAsia="zh-CN"/>
        </w:rPr>
        <w:t>: 581-599 [PMID: 23895128 DOI: 10.1586/14737159.2013.811896]</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8</w:t>
      </w:r>
      <w:r>
        <w:rPr>
          <w:rFonts w:ascii="Book Antiqua" w:hAnsi="Book Antiqua" w:cs="宋体"/>
          <w:sz w:val="24"/>
          <w:szCs w:val="24"/>
          <w:lang w:val="en-US" w:eastAsia="zh-CN"/>
        </w:rPr>
        <w:t>0</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Schetter AJ</w:t>
      </w:r>
      <w:r w:rsidRPr="006F2809">
        <w:rPr>
          <w:rFonts w:ascii="Book Antiqua" w:hAnsi="Book Antiqua" w:cs="宋体"/>
          <w:sz w:val="24"/>
          <w:szCs w:val="24"/>
          <w:lang w:val="en-US" w:eastAsia="zh-CN"/>
        </w:rPr>
        <w:t xml:space="preserve">, Okayama H, Harris CC. The role of microRNAs in colorectal cancer. </w:t>
      </w:r>
      <w:r w:rsidRPr="006F2809">
        <w:rPr>
          <w:rFonts w:ascii="Book Antiqua" w:hAnsi="Book Antiqua" w:cs="宋体"/>
          <w:i/>
          <w:iCs/>
          <w:sz w:val="24"/>
          <w:szCs w:val="24"/>
          <w:lang w:val="en-US" w:eastAsia="zh-CN"/>
        </w:rPr>
        <w:t>Cancer J</w:t>
      </w:r>
      <w:r w:rsidRPr="006F2809">
        <w:rPr>
          <w:rFonts w:ascii="Book Antiqua" w:hAnsi="Book Antiqua" w:cs="宋体"/>
          <w:sz w:val="24"/>
          <w:szCs w:val="24"/>
          <w:lang w:val="en-US" w:eastAsia="zh-CN"/>
        </w:rPr>
        <w:t xml:space="preserve"> </w:t>
      </w:r>
      <w:r>
        <w:rPr>
          <w:rFonts w:ascii="Book Antiqua" w:hAnsi="Book Antiqua" w:cs="宋体"/>
          <w:sz w:val="24"/>
          <w:szCs w:val="24"/>
          <w:lang w:val="en-US" w:eastAsia="zh-CN"/>
        </w:rPr>
        <w:t>2012</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18</w:t>
      </w:r>
      <w:r w:rsidRPr="006F2809">
        <w:rPr>
          <w:rFonts w:ascii="Book Antiqua" w:hAnsi="Book Antiqua" w:cs="宋体"/>
          <w:sz w:val="24"/>
          <w:szCs w:val="24"/>
          <w:lang w:val="en-US" w:eastAsia="zh-CN"/>
        </w:rPr>
        <w:t>: 244-252 [PMID: 22647361 DOI: 10.1097/PPO.0b013e318258b78f]</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8</w:t>
      </w:r>
      <w:r>
        <w:rPr>
          <w:rFonts w:ascii="Book Antiqua" w:hAnsi="Book Antiqua" w:cs="宋体"/>
          <w:sz w:val="24"/>
          <w:szCs w:val="24"/>
          <w:lang w:val="en-US" w:eastAsia="zh-CN"/>
        </w:rPr>
        <w:t>1</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Yong FL</w:t>
      </w:r>
      <w:r w:rsidRPr="006F2809">
        <w:rPr>
          <w:rFonts w:ascii="Book Antiqua" w:hAnsi="Book Antiqua" w:cs="宋体"/>
          <w:sz w:val="24"/>
          <w:szCs w:val="24"/>
          <w:lang w:val="en-US" w:eastAsia="zh-CN"/>
        </w:rPr>
        <w:t xml:space="preserve">, Law CW, Wang CW. Potentiality of a triple microRNA classifier: miR-193a-3p, miR-23a and miR-338-5p for early detection of colorectal cancer. </w:t>
      </w:r>
      <w:r w:rsidRPr="006F2809">
        <w:rPr>
          <w:rFonts w:ascii="Book Antiqua" w:hAnsi="Book Antiqua" w:cs="宋体"/>
          <w:i/>
          <w:iCs/>
          <w:sz w:val="24"/>
          <w:szCs w:val="24"/>
          <w:lang w:val="en-US" w:eastAsia="zh-CN"/>
        </w:rPr>
        <w:t>BMC Cancer</w:t>
      </w:r>
      <w:r w:rsidRPr="006F2809">
        <w:rPr>
          <w:rFonts w:ascii="Book Antiqua" w:hAnsi="Book Antiqua" w:cs="宋体"/>
          <w:sz w:val="24"/>
          <w:szCs w:val="24"/>
          <w:lang w:val="en-US" w:eastAsia="zh-CN"/>
        </w:rPr>
        <w:t xml:space="preserve"> 2013; </w:t>
      </w:r>
      <w:r w:rsidRPr="006F2809">
        <w:rPr>
          <w:rFonts w:ascii="Book Antiqua" w:hAnsi="Book Antiqua" w:cs="宋体"/>
          <w:b/>
          <w:bCs/>
          <w:sz w:val="24"/>
          <w:szCs w:val="24"/>
          <w:lang w:val="en-US" w:eastAsia="zh-CN"/>
        </w:rPr>
        <w:t>13</w:t>
      </w:r>
      <w:r w:rsidRPr="006F2809">
        <w:rPr>
          <w:rFonts w:ascii="Book Antiqua" w:hAnsi="Book Antiqua" w:cs="宋体"/>
          <w:sz w:val="24"/>
          <w:szCs w:val="24"/>
          <w:lang w:val="en-US" w:eastAsia="zh-CN"/>
        </w:rPr>
        <w:t>: 280 [PMID: 23758639 DOI: 10.1186/1471-2407-13-280]</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8</w:t>
      </w:r>
      <w:r>
        <w:rPr>
          <w:rFonts w:ascii="Book Antiqua" w:hAnsi="Book Antiqua" w:cs="宋体"/>
          <w:sz w:val="24"/>
          <w:szCs w:val="24"/>
          <w:lang w:val="en-US" w:eastAsia="zh-CN"/>
        </w:rPr>
        <w:t>2</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Hess JL</w:t>
      </w:r>
      <w:r w:rsidRPr="006F2809">
        <w:rPr>
          <w:rFonts w:ascii="Book Antiqua" w:hAnsi="Book Antiqua" w:cs="宋体"/>
          <w:sz w:val="24"/>
          <w:szCs w:val="24"/>
          <w:lang w:val="en-US" w:eastAsia="zh-CN"/>
        </w:rPr>
        <w:t xml:space="preserve">, Highsmith WE. Telomerase detection in body fluids. </w:t>
      </w:r>
      <w:r w:rsidRPr="006F2809">
        <w:rPr>
          <w:rFonts w:ascii="Book Antiqua" w:hAnsi="Book Antiqua" w:cs="宋体"/>
          <w:i/>
          <w:iCs/>
          <w:sz w:val="24"/>
          <w:szCs w:val="24"/>
          <w:lang w:val="en-US" w:eastAsia="zh-CN"/>
        </w:rPr>
        <w:t>Clin Chem</w:t>
      </w:r>
      <w:r w:rsidRPr="006F2809">
        <w:rPr>
          <w:rFonts w:ascii="Book Antiqua" w:hAnsi="Book Antiqua" w:cs="宋体"/>
          <w:sz w:val="24"/>
          <w:szCs w:val="24"/>
          <w:lang w:val="en-US" w:eastAsia="zh-CN"/>
        </w:rPr>
        <w:t xml:space="preserve"> 2002; </w:t>
      </w:r>
      <w:r w:rsidRPr="006F2809">
        <w:rPr>
          <w:rFonts w:ascii="Book Antiqua" w:hAnsi="Book Antiqua" w:cs="宋体"/>
          <w:b/>
          <w:bCs/>
          <w:sz w:val="24"/>
          <w:szCs w:val="24"/>
          <w:lang w:val="en-US" w:eastAsia="zh-CN"/>
        </w:rPr>
        <w:t>48</w:t>
      </w:r>
      <w:r w:rsidRPr="006F2809">
        <w:rPr>
          <w:rFonts w:ascii="Book Antiqua" w:hAnsi="Book Antiqua" w:cs="宋体"/>
          <w:sz w:val="24"/>
          <w:szCs w:val="24"/>
          <w:lang w:val="en-US" w:eastAsia="zh-CN"/>
        </w:rPr>
        <w:t>: 18-24 [PMID: 11751534]</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8</w:t>
      </w:r>
      <w:r>
        <w:rPr>
          <w:rFonts w:ascii="Book Antiqua" w:hAnsi="Book Antiqua" w:cs="宋体"/>
          <w:sz w:val="24"/>
          <w:szCs w:val="24"/>
          <w:lang w:val="en-US" w:eastAsia="zh-CN"/>
        </w:rPr>
        <w:t>3</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Lledó SM</w:t>
      </w:r>
      <w:r w:rsidRPr="006F2809">
        <w:rPr>
          <w:rFonts w:ascii="Book Antiqua" w:hAnsi="Book Antiqua" w:cs="宋体"/>
          <w:sz w:val="24"/>
          <w:szCs w:val="24"/>
          <w:lang w:val="en-US" w:eastAsia="zh-CN"/>
        </w:rPr>
        <w:t xml:space="preserve">, Garcia-Granero E, Dasí F, Ripoli R, García SA, Cervantes A, Aliño SF. Real time quantification in plasma of human telomerase reverse transcriptase (hTERT) mRNA in patients with colorectal cancer. </w:t>
      </w:r>
      <w:r w:rsidRPr="006F2809">
        <w:rPr>
          <w:rFonts w:ascii="Book Antiqua" w:hAnsi="Book Antiqua" w:cs="宋体"/>
          <w:i/>
          <w:iCs/>
          <w:sz w:val="24"/>
          <w:szCs w:val="24"/>
          <w:lang w:val="en-US" w:eastAsia="zh-CN"/>
        </w:rPr>
        <w:t>Colorectal Dis</w:t>
      </w:r>
      <w:r w:rsidRPr="006F2809">
        <w:rPr>
          <w:rFonts w:ascii="Book Antiqua" w:hAnsi="Book Antiqua" w:cs="宋体"/>
          <w:sz w:val="24"/>
          <w:szCs w:val="24"/>
          <w:lang w:val="en-US" w:eastAsia="zh-CN"/>
        </w:rPr>
        <w:t xml:space="preserve"> 2004; </w:t>
      </w:r>
      <w:r w:rsidRPr="006F2809">
        <w:rPr>
          <w:rFonts w:ascii="Book Antiqua" w:hAnsi="Book Antiqua" w:cs="宋体"/>
          <w:b/>
          <w:bCs/>
          <w:sz w:val="24"/>
          <w:szCs w:val="24"/>
          <w:lang w:val="en-US" w:eastAsia="zh-CN"/>
        </w:rPr>
        <w:t>6</w:t>
      </w:r>
      <w:r w:rsidRPr="006F2809">
        <w:rPr>
          <w:rFonts w:ascii="Book Antiqua" w:hAnsi="Book Antiqua" w:cs="宋体"/>
          <w:sz w:val="24"/>
          <w:szCs w:val="24"/>
          <w:lang w:val="en-US" w:eastAsia="zh-CN"/>
        </w:rPr>
        <w:t>: 236-242 [PMID: 15206965 DOI: 10.1111/j.1463-1318.2004.00627.x]</w:t>
      </w:r>
    </w:p>
    <w:p w:rsidR="00D55DFD" w:rsidRPr="006F2809" w:rsidRDefault="00D55DFD" w:rsidP="004D1EA2">
      <w:pPr>
        <w:snapToGrid w:val="0"/>
        <w:spacing w:after="0" w:line="360" w:lineRule="auto"/>
        <w:rPr>
          <w:rFonts w:ascii="Book Antiqua" w:hAnsi="Book Antiqua" w:cs="宋体"/>
          <w:sz w:val="24"/>
          <w:szCs w:val="24"/>
          <w:lang w:val="en-US" w:eastAsia="zh-CN"/>
        </w:rPr>
      </w:pPr>
      <w:r w:rsidRPr="006F2809">
        <w:rPr>
          <w:rFonts w:ascii="Book Antiqua" w:hAnsi="Book Antiqua" w:cs="宋体"/>
          <w:sz w:val="24"/>
          <w:szCs w:val="24"/>
          <w:lang w:val="en-US" w:eastAsia="zh-CN"/>
        </w:rPr>
        <w:t>8</w:t>
      </w:r>
      <w:r>
        <w:rPr>
          <w:rFonts w:ascii="Book Antiqua" w:hAnsi="Book Antiqua" w:cs="宋体"/>
          <w:sz w:val="24"/>
          <w:szCs w:val="24"/>
          <w:lang w:val="en-US" w:eastAsia="zh-CN"/>
        </w:rPr>
        <w:t>4</w:t>
      </w:r>
      <w:r w:rsidRPr="006F2809">
        <w:rPr>
          <w:rFonts w:ascii="Book Antiqua" w:hAnsi="Book Antiqua" w:cs="宋体"/>
          <w:sz w:val="24"/>
          <w:szCs w:val="24"/>
          <w:lang w:val="en-US" w:eastAsia="zh-CN"/>
        </w:rPr>
        <w:t xml:space="preserve"> </w:t>
      </w:r>
      <w:r w:rsidRPr="006F2809">
        <w:rPr>
          <w:rFonts w:ascii="Book Antiqua" w:hAnsi="Book Antiqua" w:cs="宋体"/>
          <w:b/>
          <w:bCs/>
          <w:sz w:val="24"/>
          <w:szCs w:val="24"/>
          <w:lang w:val="en-US" w:eastAsia="zh-CN"/>
        </w:rPr>
        <w:t>Pucciarelli S</w:t>
      </w:r>
      <w:r w:rsidRPr="006F2809">
        <w:rPr>
          <w:rFonts w:ascii="Book Antiqua" w:hAnsi="Book Antiqua" w:cs="宋体"/>
          <w:sz w:val="24"/>
          <w:szCs w:val="24"/>
          <w:lang w:val="en-US" w:eastAsia="zh-CN"/>
        </w:rPr>
        <w:t xml:space="preserve">, Rampazzo E, Briarava M, Maretto I, Agostini M, Digito M, Keppel S, Friso ML, Lonardi S, De Paoli A, Mescoli C, Nitti D, De Rossi A. Telomere-specific reverse transcriptase (hTERT) and cell-free RNA in plasma as predictors of pathologic tumor </w:t>
      </w:r>
      <w:r w:rsidRPr="006F2809">
        <w:rPr>
          <w:rFonts w:ascii="Book Antiqua" w:hAnsi="Book Antiqua" w:cs="宋体"/>
          <w:sz w:val="24"/>
          <w:szCs w:val="24"/>
          <w:lang w:val="en-US" w:eastAsia="zh-CN"/>
        </w:rPr>
        <w:lastRenderedPageBreak/>
        <w:t xml:space="preserve">response in rectal cancer patients receiving neoadjuvant chemoradiotherapy. </w:t>
      </w:r>
      <w:r w:rsidRPr="006F2809">
        <w:rPr>
          <w:rFonts w:ascii="Book Antiqua" w:hAnsi="Book Antiqua" w:cs="宋体"/>
          <w:i/>
          <w:iCs/>
          <w:sz w:val="24"/>
          <w:szCs w:val="24"/>
          <w:lang w:val="en-US" w:eastAsia="zh-CN"/>
        </w:rPr>
        <w:t>Ann Surg Oncol</w:t>
      </w:r>
      <w:r w:rsidRPr="006F2809">
        <w:rPr>
          <w:rFonts w:ascii="Book Antiqua" w:hAnsi="Book Antiqua" w:cs="宋体"/>
          <w:sz w:val="24"/>
          <w:szCs w:val="24"/>
          <w:lang w:val="en-US" w:eastAsia="zh-CN"/>
        </w:rPr>
        <w:t xml:space="preserve"> 2012; </w:t>
      </w:r>
      <w:r w:rsidRPr="006F2809">
        <w:rPr>
          <w:rFonts w:ascii="Book Antiqua" w:hAnsi="Book Antiqua" w:cs="宋体"/>
          <w:b/>
          <w:bCs/>
          <w:sz w:val="24"/>
          <w:szCs w:val="24"/>
          <w:lang w:val="en-US" w:eastAsia="zh-CN"/>
        </w:rPr>
        <w:t>19</w:t>
      </w:r>
      <w:r w:rsidRPr="006F2809">
        <w:rPr>
          <w:rFonts w:ascii="Book Antiqua" w:hAnsi="Book Antiqua" w:cs="宋体"/>
          <w:sz w:val="24"/>
          <w:szCs w:val="24"/>
          <w:lang w:val="en-US" w:eastAsia="zh-CN"/>
        </w:rPr>
        <w:t>: 3089-3096 [PMID: 22395986 DOI: 10.1245/s10434-012-2272-z]</w:t>
      </w:r>
    </w:p>
    <w:p w:rsidR="00D55DFD" w:rsidRDefault="00D55DFD" w:rsidP="004D1EA2">
      <w:pPr>
        <w:snapToGrid w:val="0"/>
        <w:spacing w:after="0" w:line="360" w:lineRule="auto"/>
        <w:jc w:val="both"/>
        <w:rPr>
          <w:rFonts w:ascii="Book Antiqua" w:hAnsi="Book Antiqua"/>
          <w:sz w:val="24"/>
          <w:szCs w:val="24"/>
          <w:lang w:val="en-US" w:eastAsia="zh-CN"/>
        </w:rPr>
      </w:pPr>
    </w:p>
    <w:p w:rsidR="00D55DFD" w:rsidRPr="00C56046" w:rsidRDefault="00D55DFD" w:rsidP="004D1EA2">
      <w:pPr>
        <w:tabs>
          <w:tab w:val="left" w:pos="180"/>
          <w:tab w:val="left" w:pos="360"/>
        </w:tabs>
        <w:adjustRightInd w:val="0"/>
        <w:snapToGrid w:val="0"/>
        <w:spacing w:after="0" w:line="360" w:lineRule="auto"/>
        <w:jc w:val="right"/>
        <w:rPr>
          <w:rFonts w:ascii="Book Antiqua" w:hAnsi="Book Antiqua" w:cs="Tahoma"/>
          <w:b/>
          <w:color w:val="000000"/>
          <w:sz w:val="24"/>
        </w:rPr>
      </w:pPr>
      <w:bookmarkStart w:id="436" w:name="OLE_LINK874"/>
      <w:bookmarkStart w:id="437" w:name="OLE_LINK875"/>
      <w:bookmarkStart w:id="438" w:name="OLE_LINK347"/>
      <w:bookmarkStart w:id="439" w:name="OLE_LINK384"/>
      <w:bookmarkStart w:id="440" w:name="OLE_LINK557"/>
      <w:bookmarkStart w:id="441" w:name="OLE_LINK558"/>
      <w:bookmarkStart w:id="442" w:name="OLE_LINK631"/>
      <w:bookmarkStart w:id="443" w:name="OLE_LINK632"/>
      <w:bookmarkStart w:id="444" w:name="OLE_LINK386"/>
      <w:bookmarkStart w:id="445" w:name="OLE_LINK431"/>
      <w:bookmarkStart w:id="446" w:name="OLE_LINK564"/>
      <w:bookmarkStart w:id="447" w:name="OLE_LINK493"/>
      <w:bookmarkStart w:id="448" w:name="OLE_LINK442"/>
      <w:bookmarkStart w:id="449" w:name="OLE_LINK551"/>
      <w:bookmarkStart w:id="450" w:name="OLE_LINK668"/>
      <w:bookmarkStart w:id="451" w:name="OLE_LINK669"/>
      <w:bookmarkStart w:id="452" w:name="OLE_LINK725"/>
      <w:bookmarkStart w:id="453" w:name="OLE_LINK489"/>
      <w:bookmarkStart w:id="454" w:name="OLE_LINK602"/>
      <w:bookmarkStart w:id="455" w:name="OLE_LINK658"/>
      <w:bookmarkStart w:id="456" w:name="OLE_LINK747"/>
      <w:bookmarkStart w:id="457" w:name="OLE_LINK897"/>
      <w:bookmarkStart w:id="458" w:name="OLE_LINK1138"/>
      <w:bookmarkStart w:id="459" w:name="OLE_LINK1139"/>
      <w:bookmarkStart w:id="460" w:name="OLE_LINK882"/>
      <w:bookmarkStart w:id="461" w:name="OLE_LINK1095"/>
      <w:bookmarkStart w:id="462" w:name="OLE_LINK1305"/>
      <w:bookmarkStart w:id="463" w:name="OLE_LINK1390"/>
      <w:bookmarkStart w:id="464" w:name="OLE_LINK964"/>
      <w:bookmarkStart w:id="465" w:name="OLE_LINK1190"/>
      <w:bookmarkStart w:id="466" w:name="OLE_LINK1314"/>
      <w:bookmarkStart w:id="467" w:name="OLE_LINK1031"/>
      <w:bookmarkStart w:id="468" w:name="OLE_LINK1092"/>
      <w:bookmarkStart w:id="469" w:name="OLE_LINK1258"/>
      <w:bookmarkStart w:id="470" w:name="OLE_LINK1259"/>
      <w:bookmarkStart w:id="471" w:name="OLE_LINK1337"/>
      <w:bookmarkStart w:id="472" w:name="OLE_LINK1338"/>
      <w:bookmarkStart w:id="473" w:name="OLE_LINK1363"/>
      <w:bookmarkStart w:id="474" w:name="OLE_LINK1364"/>
      <w:bookmarkStart w:id="475" w:name="OLE_LINK86"/>
      <w:bookmarkStart w:id="476" w:name="OLE_LINK1595"/>
      <w:bookmarkStart w:id="477" w:name="OLE_LINK1613"/>
      <w:bookmarkStart w:id="478" w:name="OLE_LINK1708"/>
      <w:bookmarkStart w:id="479" w:name="OLE_LINK1774"/>
      <w:bookmarkStart w:id="480" w:name="OLE_LINK1872"/>
      <w:bookmarkStart w:id="481" w:name="OLE_LINK1899"/>
      <w:bookmarkStart w:id="482" w:name="OLE_LINK1492"/>
      <w:bookmarkStart w:id="483" w:name="OLE_LINK1497"/>
      <w:bookmarkStart w:id="484" w:name="OLE_LINK1498"/>
      <w:bookmarkStart w:id="485" w:name="OLE_LINK1589"/>
      <w:bookmarkStart w:id="486" w:name="OLE_LINK1666"/>
      <w:bookmarkStart w:id="487" w:name="OLE_LINK1752"/>
      <w:bookmarkStart w:id="488" w:name="OLE_LINK1616"/>
      <w:bookmarkStart w:id="489" w:name="OLE_LINK1696"/>
      <w:bookmarkStart w:id="490" w:name="OLE_LINK1855"/>
      <w:bookmarkStart w:id="491" w:name="OLE_LINK1942"/>
      <w:bookmarkStart w:id="492" w:name="OLE_LINK1943"/>
      <w:bookmarkStart w:id="493" w:name="OLE_LINK1573"/>
      <w:bookmarkStart w:id="494" w:name="OLE_LINK1574"/>
      <w:bookmarkStart w:id="495" w:name="OLE_LINK1575"/>
      <w:bookmarkStart w:id="496" w:name="OLE_LINK1739"/>
      <w:bookmarkStart w:id="497" w:name="OLE_LINK1761"/>
      <w:bookmarkStart w:id="498" w:name="OLE_LINK1743"/>
      <w:bookmarkStart w:id="499" w:name="OLE_LINK1841"/>
      <w:bookmarkStart w:id="500" w:name="OLE_LINK1858"/>
      <w:bookmarkStart w:id="501" w:name="OLE_LINK1890"/>
      <w:bookmarkStart w:id="502" w:name="OLE_LINK1915"/>
      <w:bookmarkStart w:id="503" w:name="OLE_LINK1980"/>
      <w:bookmarkStart w:id="504" w:name="OLE_LINK1883"/>
      <w:bookmarkStart w:id="505" w:name="OLE_LINK1935"/>
      <w:bookmarkStart w:id="506" w:name="OLE_LINK1936"/>
      <w:bookmarkStart w:id="507" w:name="OLE_LINK1952"/>
      <w:bookmarkStart w:id="508" w:name="OLE_LINK1953"/>
      <w:bookmarkStart w:id="509" w:name="OLE_LINK1999"/>
      <w:bookmarkStart w:id="510" w:name="OLE_LINK2050"/>
      <w:bookmarkStart w:id="511" w:name="OLE_LINK1862"/>
      <w:bookmarkStart w:id="512" w:name="OLE_LINK1963"/>
      <w:bookmarkStart w:id="513" w:name="OLE_LINK2052"/>
      <w:bookmarkStart w:id="514" w:name="OLE_LINK1906"/>
      <w:bookmarkStart w:id="515" w:name="OLE_LINK2031"/>
      <w:bookmarkStart w:id="516" w:name="OLE_LINK2032"/>
      <w:bookmarkStart w:id="517" w:name="OLE_LINK1907"/>
      <w:bookmarkStart w:id="518" w:name="OLE_LINK2004"/>
      <w:bookmarkStart w:id="519" w:name="OLE_LINK2238"/>
      <w:bookmarkStart w:id="520" w:name="OLE_LINK2239"/>
      <w:bookmarkStart w:id="521" w:name="OLE_LINK2163"/>
      <w:bookmarkStart w:id="522" w:name="OLE_LINK2207"/>
      <w:bookmarkStart w:id="523" w:name="OLE_LINK2341"/>
      <w:bookmarkStart w:id="524" w:name="OLE_LINK2417"/>
      <w:bookmarkStart w:id="525" w:name="OLE_LINK2509"/>
      <w:bookmarkStart w:id="526" w:name="OLE_LINK2510"/>
      <w:bookmarkStart w:id="527" w:name="OLE_LINK2511"/>
      <w:bookmarkStart w:id="528" w:name="OLE_LINK2512"/>
      <w:bookmarkStart w:id="529" w:name="OLE_LINK2513"/>
      <w:bookmarkStart w:id="530" w:name="OLE_LINK2514"/>
      <w:bookmarkStart w:id="531" w:name="OLE_LINK2515"/>
      <w:bookmarkStart w:id="532" w:name="OLE_LINK2516"/>
      <w:bookmarkStart w:id="533" w:name="OLE_LINK2517"/>
      <w:bookmarkStart w:id="534" w:name="OLE_LINK2518"/>
      <w:bookmarkStart w:id="535" w:name="OLE_LINK2519"/>
      <w:bookmarkStart w:id="536" w:name="OLE_LINK2520"/>
      <w:bookmarkStart w:id="537" w:name="OLE_LINK2521"/>
      <w:bookmarkStart w:id="538" w:name="OLE_LINK2522"/>
      <w:bookmarkStart w:id="539" w:name="OLE_LINK2523"/>
      <w:bookmarkStart w:id="540" w:name="OLE_LINK2524"/>
      <w:bookmarkStart w:id="541" w:name="OLE_LINK2051"/>
      <w:bookmarkStart w:id="542" w:name="OLE_LINK2109"/>
      <w:bookmarkStart w:id="543" w:name="OLE_LINK2165"/>
      <w:bookmarkStart w:id="544" w:name="OLE_LINK2385"/>
      <w:bookmarkStart w:id="545" w:name="OLE_LINK2593"/>
      <w:bookmarkStart w:id="546" w:name="OLE_LINK2332"/>
      <w:bookmarkStart w:id="547" w:name="OLE_LINK2448"/>
      <w:bookmarkStart w:id="548" w:name="OLE_LINK2525"/>
      <w:bookmarkStart w:id="549" w:name="OLE_LINK2506"/>
      <w:bookmarkStart w:id="550" w:name="OLE_LINK2507"/>
      <w:bookmarkStart w:id="551" w:name="OLE_LINK2291"/>
      <w:bookmarkStart w:id="552" w:name="OLE_LINK2294"/>
      <w:bookmarkStart w:id="553" w:name="OLE_LINK2298"/>
      <w:bookmarkStart w:id="554" w:name="OLE_LINK2300"/>
      <w:bookmarkStart w:id="555" w:name="OLE_LINK2301"/>
      <w:bookmarkStart w:id="556" w:name="OLE_LINK2546"/>
      <w:bookmarkStart w:id="557" w:name="OLE_LINK2756"/>
      <w:bookmarkStart w:id="558" w:name="OLE_LINK2757"/>
      <w:bookmarkStart w:id="559" w:name="OLE_LINK2736"/>
      <w:bookmarkStart w:id="560" w:name="OLE_LINK2923"/>
      <w:bookmarkStart w:id="561" w:name="OLE_LINK2974"/>
      <w:bookmarkStart w:id="562" w:name="OLE_LINK3125"/>
      <w:bookmarkStart w:id="563" w:name="OLE_LINK3218"/>
      <w:bookmarkStart w:id="564" w:name="OLE_LINK2575"/>
      <w:bookmarkStart w:id="565" w:name="OLE_LINK2687"/>
      <w:bookmarkStart w:id="566" w:name="OLE_LINK2688"/>
      <w:bookmarkStart w:id="567" w:name="OLE_LINK2700"/>
      <w:bookmarkStart w:id="568" w:name="OLE_LINK2576"/>
      <w:bookmarkStart w:id="569" w:name="OLE_LINK2674"/>
      <w:bookmarkStart w:id="570" w:name="OLE_LINK2738"/>
      <w:bookmarkStart w:id="571" w:name="OLE_LINK2983"/>
      <w:bookmarkStart w:id="572" w:name="OLE_LINK76"/>
      <w:bookmarkStart w:id="573" w:name="OLE_LINK115"/>
      <w:bookmarkStart w:id="574" w:name="OLE_LINK155"/>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r w:rsidRPr="008D0F75">
        <w:rPr>
          <w:rFonts w:ascii="Book Antiqua" w:hAnsi="Book Antiqua" w:cs="Tahoma"/>
          <w:color w:val="000000"/>
          <w:sz w:val="24"/>
        </w:rPr>
        <w:t>Cui W, Rubello D, Shi C</w:t>
      </w:r>
      <w:r w:rsidRPr="008D0F75">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436"/>
      <w:bookmarkEnd w:id="437"/>
      <w:r w:rsidRPr="00C56046">
        <w:rPr>
          <w:rFonts w:ascii="Book Antiqua" w:hAnsi="Book Antiqua" w:cs="Tahoma"/>
          <w:b/>
          <w:color w:val="000000"/>
          <w:sz w:val="24"/>
        </w:rPr>
        <w:t>r</w:t>
      </w:r>
      <w:r>
        <w:rPr>
          <w:rFonts w:ascii="Book Antiqua" w:hAnsi="Book Antiqua" w:cs="Tahoma"/>
          <w:b/>
          <w:color w:val="000000"/>
          <w:sz w:val="24"/>
        </w:rPr>
        <w:t>:</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rsidR="00D55DFD" w:rsidRPr="00162957" w:rsidRDefault="00D55DFD" w:rsidP="004D1EA2">
      <w:pPr>
        <w:snapToGrid w:val="0"/>
        <w:spacing w:after="0" w:line="360" w:lineRule="auto"/>
        <w:jc w:val="both"/>
        <w:rPr>
          <w:rFonts w:ascii="Book Antiqua" w:hAnsi="Book Antiqua"/>
          <w:sz w:val="24"/>
          <w:szCs w:val="24"/>
          <w:lang w:eastAsia="zh-CN"/>
        </w:rPr>
      </w:pPr>
    </w:p>
    <w:p w:rsidR="00D55DFD" w:rsidRPr="006F2809" w:rsidRDefault="00D55DFD" w:rsidP="004D1EA2">
      <w:pPr>
        <w:snapToGrid w:val="0"/>
        <w:spacing w:after="0" w:line="360" w:lineRule="auto"/>
        <w:jc w:val="both"/>
        <w:rPr>
          <w:rFonts w:ascii="Book Antiqua" w:hAnsi="Book Antiqua"/>
          <w:sz w:val="24"/>
          <w:szCs w:val="24"/>
          <w:lang w:val="en-US" w:eastAsia="zh-CN"/>
        </w:rPr>
      </w:pPr>
    </w:p>
    <w:p w:rsidR="00D55DFD" w:rsidRPr="006F2809" w:rsidRDefault="00D55DFD" w:rsidP="004D1EA2">
      <w:pPr>
        <w:snapToGrid w:val="0"/>
        <w:spacing w:after="0" w:line="360" w:lineRule="auto"/>
        <w:jc w:val="both"/>
        <w:rPr>
          <w:rFonts w:ascii="Book Antiqua" w:hAnsi="Book Antiqua"/>
          <w:b/>
          <w:sz w:val="24"/>
          <w:szCs w:val="24"/>
          <w:lang w:val="en-GB" w:eastAsia="zh-CN"/>
        </w:rPr>
      </w:pPr>
      <w:r w:rsidRPr="006F2809">
        <w:rPr>
          <w:rFonts w:ascii="Book Antiqua" w:hAnsi="Book Antiqua"/>
          <w:b/>
          <w:sz w:val="24"/>
          <w:szCs w:val="24"/>
          <w:lang w:val="en-GB" w:eastAsia="it-IT"/>
        </w:rPr>
        <w:t>Legends to Figures</w:t>
      </w:r>
    </w:p>
    <w:p w:rsidR="00D55DFD" w:rsidRPr="006F2809" w:rsidRDefault="0075467A" w:rsidP="004D1EA2">
      <w:pPr>
        <w:snapToGrid w:val="0"/>
        <w:spacing w:after="0" w:line="360" w:lineRule="auto"/>
        <w:jc w:val="both"/>
        <w:rPr>
          <w:rFonts w:ascii="Book Antiqua" w:hAnsi="Book Antiqua"/>
          <w:b/>
          <w:sz w:val="24"/>
          <w:szCs w:val="24"/>
          <w:lang w:val="en-GB" w:eastAsia="zh-CN"/>
        </w:rPr>
      </w:pPr>
      <w:r>
        <w:rPr>
          <w:rFonts w:ascii="Book Antiqua" w:hAnsi="Book Antiqua"/>
          <w:noProof/>
          <w:sz w:val="24"/>
          <w:szCs w:val="24"/>
          <w:lang w:val="en-US" w:eastAsia="zh-CN"/>
        </w:rPr>
        <w:drawing>
          <wp:inline distT="0" distB="0" distL="0" distR="0">
            <wp:extent cx="5934710" cy="409765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4097655"/>
                    </a:xfrm>
                    <a:prstGeom prst="rect">
                      <a:avLst/>
                    </a:prstGeom>
                    <a:noFill/>
                    <a:ln>
                      <a:noFill/>
                    </a:ln>
                  </pic:spPr>
                </pic:pic>
              </a:graphicData>
            </a:graphic>
          </wp:inline>
        </w:drawing>
      </w:r>
    </w:p>
    <w:p w:rsidR="00D55DFD" w:rsidRPr="006F2809" w:rsidRDefault="00D55DFD" w:rsidP="004D1EA2">
      <w:pPr>
        <w:snapToGrid w:val="0"/>
        <w:spacing w:after="0" w:line="360" w:lineRule="auto"/>
        <w:jc w:val="both"/>
        <w:rPr>
          <w:rFonts w:ascii="Book Antiqua" w:hAnsi="Book Antiqua"/>
          <w:b/>
          <w:sz w:val="24"/>
          <w:szCs w:val="24"/>
          <w:lang w:val="en-GB" w:eastAsia="zh-CN"/>
        </w:rPr>
      </w:pPr>
      <w:r w:rsidRPr="006F2809">
        <w:rPr>
          <w:rFonts w:ascii="Book Antiqua" w:hAnsi="Book Antiqua"/>
          <w:b/>
          <w:sz w:val="24"/>
          <w:szCs w:val="24"/>
          <w:lang w:val="en-GB" w:eastAsia="it-IT"/>
        </w:rPr>
        <w:t>Figure 1</w:t>
      </w:r>
      <w:r w:rsidRPr="006F2809">
        <w:rPr>
          <w:rFonts w:ascii="Book Antiqua" w:hAnsi="Book Antiqua"/>
          <w:b/>
          <w:sz w:val="24"/>
          <w:szCs w:val="24"/>
          <w:lang w:val="en-GB" w:eastAsia="zh-CN"/>
        </w:rPr>
        <w:t xml:space="preserve"> </w:t>
      </w:r>
      <w:r w:rsidRPr="006F2809">
        <w:rPr>
          <w:rFonts w:ascii="Book Antiqua" w:hAnsi="Book Antiqua"/>
          <w:b/>
          <w:sz w:val="24"/>
          <w:szCs w:val="24"/>
          <w:lang w:val="en-GB" w:eastAsia="it-IT"/>
        </w:rPr>
        <w:t>Model of telomere/telomerase interplay in the carcinogenesis of</w:t>
      </w:r>
      <w:r w:rsidRPr="006F2809">
        <w:rPr>
          <w:rFonts w:ascii="Book Antiqua" w:hAnsi="Book Antiqua"/>
          <w:b/>
          <w:color w:val="241F20"/>
          <w:sz w:val="24"/>
          <w:szCs w:val="24"/>
        </w:rPr>
        <w:t xml:space="preserve"> colorectal cancer</w:t>
      </w:r>
      <w:r w:rsidRPr="006F2809">
        <w:rPr>
          <w:rFonts w:ascii="Book Antiqua" w:hAnsi="Book Antiqua"/>
          <w:b/>
          <w:sz w:val="24"/>
          <w:szCs w:val="24"/>
          <w:lang w:val="en-GB" w:eastAsia="zh-CN"/>
        </w:rPr>
        <w:t xml:space="preserve">. </w:t>
      </w:r>
      <w:r w:rsidRPr="006F2809">
        <w:rPr>
          <w:rFonts w:ascii="Book Antiqua" w:hAnsi="Book Antiqua"/>
          <w:sz w:val="24"/>
          <w:szCs w:val="24"/>
          <w:lang w:val="en-GB" w:eastAsia="it-IT"/>
        </w:rPr>
        <w:t>Telomere shortening is mainly caused by cell proliferation in preneoplastic lesions. Erosion of telomeres may be accelerated by mutations in specific genes, such as the adenomatous polyposis coli (</w:t>
      </w:r>
      <w:r w:rsidRPr="006F2809">
        <w:rPr>
          <w:rFonts w:ascii="Book Antiqua" w:hAnsi="Book Antiqua"/>
          <w:i/>
          <w:sz w:val="24"/>
          <w:szCs w:val="24"/>
          <w:lang w:val="en-GB" w:eastAsia="it-IT"/>
        </w:rPr>
        <w:t>APC</w:t>
      </w:r>
      <w:r w:rsidRPr="006F2809">
        <w:rPr>
          <w:rFonts w:ascii="Book Antiqua" w:hAnsi="Book Antiqua"/>
          <w:sz w:val="24"/>
          <w:szCs w:val="24"/>
          <w:lang w:val="en-GB" w:eastAsia="it-IT"/>
        </w:rPr>
        <w:t>) gene or DNA mismatch repair (</w:t>
      </w:r>
      <w:r w:rsidRPr="006F2809">
        <w:rPr>
          <w:rFonts w:ascii="Book Antiqua" w:hAnsi="Book Antiqua"/>
          <w:i/>
          <w:sz w:val="24"/>
          <w:szCs w:val="24"/>
          <w:lang w:val="en-GB" w:eastAsia="it-IT"/>
        </w:rPr>
        <w:t>MMR</w:t>
      </w:r>
      <w:r w:rsidRPr="006F2809">
        <w:rPr>
          <w:rFonts w:ascii="Book Antiqua" w:hAnsi="Book Antiqua"/>
          <w:sz w:val="24"/>
          <w:szCs w:val="24"/>
          <w:lang w:val="en-GB" w:eastAsia="it-IT"/>
        </w:rPr>
        <w:t xml:space="preserve">) system genes. The activation of </w:t>
      </w:r>
      <w:r w:rsidRPr="006F2809">
        <w:rPr>
          <w:rFonts w:ascii="Book Antiqua" w:hAnsi="Book Antiqua"/>
          <w:sz w:val="24"/>
          <w:szCs w:val="24"/>
          <w:lang w:val="en-US"/>
        </w:rPr>
        <w:t>telomerase reverse transcriptase (TERT)</w:t>
      </w:r>
      <w:r w:rsidRPr="006F2809">
        <w:rPr>
          <w:rFonts w:ascii="Book Antiqua" w:hAnsi="Book Antiqua"/>
          <w:sz w:val="24"/>
          <w:szCs w:val="24"/>
          <w:lang w:val="en-GB" w:eastAsia="it-IT"/>
        </w:rPr>
        <w:t>, the catalytic unit of the telomerase, occurs during the adenoma-carcinoma sequence; TERT and telomerase activity levels increase with tumour progression. Inserts: Immunohistochemical analysis of TERT expression in stage I (left) and stage IV (right) tumours. Mayer's haematoxylin counterstaining; original magnification ×</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 xml:space="preserve">20. </w:t>
      </w:r>
    </w:p>
    <w:p w:rsidR="00D55DFD" w:rsidRPr="006F2809" w:rsidRDefault="00D55DFD" w:rsidP="004D1EA2">
      <w:pPr>
        <w:snapToGrid w:val="0"/>
        <w:spacing w:after="0" w:line="360" w:lineRule="auto"/>
        <w:rPr>
          <w:rFonts w:ascii="Book Antiqua" w:hAnsi="Book Antiqua"/>
          <w:sz w:val="24"/>
          <w:szCs w:val="24"/>
        </w:rPr>
      </w:pPr>
    </w:p>
    <w:p w:rsidR="00D55DFD" w:rsidRPr="006F2809" w:rsidRDefault="0075467A" w:rsidP="004D1EA2">
      <w:pPr>
        <w:snapToGrid w:val="0"/>
        <w:spacing w:after="0" w:line="360" w:lineRule="auto"/>
        <w:rPr>
          <w:rFonts w:ascii="Book Antiqua" w:hAnsi="Book Antiqua"/>
          <w:sz w:val="24"/>
          <w:szCs w:val="24"/>
        </w:rPr>
      </w:pPr>
      <w:r>
        <w:rPr>
          <w:noProof/>
          <w:lang w:val="en-US" w:eastAsia="zh-CN"/>
        </w:rPr>
        <w:lastRenderedPageBreak/>
        <mc:AlternateContent>
          <mc:Choice Requires="wps">
            <w:drawing>
              <wp:anchor distT="0" distB="0" distL="114300" distR="114300" simplePos="0" relativeHeight="251655680" behindDoc="0" locked="0" layoutInCell="1" allowOverlap="1">
                <wp:simplePos x="0" y="0"/>
                <wp:positionH relativeFrom="column">
                  <wp:posOffset>2390775</wp:posOffset>
                </wp:positionH>
                <wp:positionV relativeFrom="paragraph">
                  <wp:posOffset>328295</wp:posOffset>
                </wp:positionV>
                <wp:extent cx="214630" cy="257175"/>
                <wp:effectExtent l="0" t="4445" r="444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6D2624">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25pt;margin-top:25.85pt;width:16.9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y8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" stroked="f">
                <v:textbox>
                  <w:txbxContent>
                    <w:p w:rsidR="00D55DFD" w:rsidRDefault="00D55DFD" w:rsidP="006D2624">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4656" behindDoc="0" locked="0" layoutInCell="1" allowOverlap="1">
                <wp:simplePos x="0" y="0"/>
                <wp:positionH relativeFrom="column">
                  <wp:posOffset>1903730</wp:posOffset>
                </wp:positionH>
                <wp:positionV relativeFrom="paragraph">
                  <wp:posOffset>328295</wp:posOffset>
                </wp:positionV>
                <wp:extent cx="214630" cy="257175"/>
                <wp:effectExtent l="0" t="4445"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6D2624">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49.9pt;margin-top:25.85pt;width:16.9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nXhA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" stroked="f">
                <v:textbox>
                  <w:txbxContent>
                    <w:p w:rsidR="00D55DFD" w:rsidRDefault="00D55DFD" w:rsidP="006D2624">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3632" behindDoc="0" locked="0" layoutInCell="1" allowOverlap="1">
                <wp:simplePos x="0" y="0"/>
                <wp:positionH relativeFrom="column">
                  <wp:posOffset>1327785</wp:posOffset>
                </wp:positionH>
                <wp:positionV relativeFrom="paragraph">
                  <wp:posOffset>328295</wp:posOffset>
                </wp:positionV>
                <wp:extent cx="214630" cy="257175"/>
                <wp:effectExtent l="3810" t="4445" r="63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6D2624">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04.55pt;margin-top:25.85pt;width:16.9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QZhAIAABY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" stroked="f">
                <v:textbox>
                  <w:txbxContent>
                    <w:p w:rsidR="00D55DFD" w:rsidRDefault="00D55DFD" w:rsidP="006D2624">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2608" behindDoc="0" locked="0" layoutInCell="1" allowOverlap="1">
                <wp:simplePos x="0" y="0"/>
                <wp:positionH relativeFrom="column">
                  <wp:posOffset>765810</wp:posOffset>
                </wp:positionH>
                <wp:positionV relativeFrom="paragraph">
                  <wp:posOffset>328295</wp:posOffset>
                </wp:positionV>
                <wp:extent cx="214630" cy="257175"/>
                <wp:effectExtent l="3810" t="4445" r="63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60.3pt;margin-top:25.85pt;width:16.9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VdhAIAABY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" stroked="f">
                <v:textbox>
                  <w:txbxContent>
                    <w:p w:rsidR="00D55DFD" w:rsidRDefault="00D55DFD">
                      <w:pPr>
                        <w:rPr>
                          <w:lang w:eastAsia="zh-CN"/>
                        </w:rPr>
                      </w:pPr>
                      <w:r>
                        <w:rPr>
                          <w:lang w:eastAsia="zh-CN"/>
                        </w:rPr>
                        <w:t>b</w:t>
                      </w:r>
                    </w:p>
                  </w:txbxContent>
                </v:textbox>
              </v:shape>
            </w:pict>
          </mc:Fallback>
        </mc:AlternateContent>
      </w:r>
      <w:r>
        <w:rPr>
          <w:rFonts w:ascii="Book Antiqua" w:hAnsi="Book Antiqua"/>
          <w:noProof/>
          <w:sz w:val="24"/>
          <w:szCs w:val="24"/>
          <w:lang w:val="en-US" w:eastAsia="zh-CN"/>
        </w:rPr>
        <w:drawing>
          <wp:inline distT="0" distB="0" distL="0" distR="0">
            <wp:extent cx="2941320" cy="23806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2380615"/>
                    </a:xfrm>
                    <a:prstGeom prst="rect">
                      <a:avLst/>
                    </a:prstGeom>
                    <a:noFill/>
                    <a:ln>
                      <a:noFill/>
                    </a:ln>
                  </pic:spPr>
                </pic:pic>
              </a:graphicData>
            </a:graphic>
          </wp:inline>
        </w:drawing>
      </w:r>
    </w:p>
    <w:p w:rsidR="00D55DFD" w:rsidRPr="006F2809" w:rsidRDefault="00D55DFD" w:rsidP="004D1EA2">
      <w:pPr>
        <w:snapToGrid w:val="0"/>
        <w:spacing w:after="0" w:line="360" w:lineRule="auto"/>
        <w:rPr>
          <w:rFonts w:ascii="Book Antiqua" w:hAnsi="Book Antiqua"/>
          <w:sz w:val="24"/>
          <w:szCs w:val="24"/>
        </w:rPr>
      </w:pPr>
    </w:p>
    <w:p w:rsidR="00D55DFD" w:rsidRPr="006F2809" w:rsidRDefault="0075467A" w:rsidP="004D1EA2">
      <w:pPr>
        <w:snapToGrid w:val="0"/>
        <w:spacing w:after="0" w:line="360" w:lineRule="auto"/>
        <w:rPr>
          <w:rFonts w:ascii="Book Antiqua" w:hAnsi="Book Antiqua"/>
          <w:sz w:val="24"/>
          <w:szCs w:val="24"/>
        </w:rPr>
      </w:pP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2500630</wp:posOffset>
                </wp:positionH>
                <wp:positionV relativeFrom="paragraph">
                  <wp:posOffset>1699895</wp:posOffset>
                </wp:positionV>
                <wp:extent cx="214630" cy="257175"/>
                <wp:effectExtent l="0" t="4445"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96.9pt;margin-top:133.85pt;width:16.9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xbhA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61824" behindDoc="0" locked="0" layoutInCell="1" allowOverlap="1">
                <wp:simplePos x="0" y="0"/>
                <wp:positionH relativeFrom="column">
                  <wp:posOffset>1903730</wp:posOffset>
                </wp:positionH>
                <wp:positionV relativeFrom="paragraph">
                  <wp:posOffset>1699895</wp:posOffset>
                </wp:positionV>
                <wp:extent cx="214630" cy="257175"/>
                <wp:effectExtent l="0" t="4445"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49.9pt;margin-top:133.85pt;width:16.9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0fgwIAABY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60800" behindDoc="0" locked="0" layoutInCell="1" allowOverlap="1">
                <wp:simplePos x="0" y="0"/>
                <wp:positionH relativeFrom="column">
                  <wp:posOffset>1327785</wp:posOffset>
                </wp:positionH>
                <wp:positionV relativeFrom="paragraph">
                  <wp:posOffset>1699895</wp:posOffset>
                </wp:positionV>
                <wp:extent cx="214630" cy="257175"/>
                <wp:effectExtent l="3810" t="4445" r="63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4.55pt;margin-top:133.85pt;width:16.9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3W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9776" behindDoc="0" locked="0" layoutInCell="1" allowOverlap="1">
                <wp:simplePos x="0" y="0"/>
                <wp:positionH relativeFrom="column">
                  <wp:posOffset>765810</wp:posOffset>
                </wp:positionH>
                <wp:positionV relativeFrom="paragraph">
                  <wp:posOffset>1699895</wp:posOffset>
                </wp:positionV>
                <wp:extent cx="214630" cy="257175"/>
                <wp:effectExtent l="3810" t="444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0.3pt;margin-top:133.85pt;width:16.9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yShAIAABY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8752" behindDoc="0" locked="0" layoutInCell="1" allowOverlap="1">
                <wp:simplePos x="0" y="0"/>
                <wp:positionH relativeFrom="column">
                  <wp:posOffset>2286000</wp:posOffset>
                </wp:positionH>
                <wp:positionV relativeFrom="paragraph">
                  <wp:posOffset>330835</wp:posOffset>
                </wp:positionV>
                <wp:extent cx="214630" cy="257175"/>
                <wp:effectExtent l="0" t="0" r="4445" b="254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80pt;margin-top:26.05pt;width:16.9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1971675</wp:posOffset>
                </wp:positionH>
                <wp:positionV relativeFrom="paragraph">
                  <wp:posOffset>187960</wp:posOffset>
                </wp:positionV>
                <wp:extent cx="214630" cy="257175"/>
                <wp:effectExtent l="0" t="0" r="4445" b="254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155.25pt;margin-top:14.8pt;width:16.9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" stroked="f">
                <v:textbox>
                  <w:txbxContent>
                    <w:p w:rsidR="00D55DFD" w:rsidRDefault="00D55DFD" w:rsidP="00366AD7">
                      <w:pPr>
                        <w:rPr>
                          <w:lang w:eastAsia="zh-CN"/>
                        </w:rPr>
                      </w:pPr>
                      <w:r>
                        <w:rPr>
                          <w:lang w:eastAsia="zh-CN"/>
                        </w:rPr>
                        <w:t>b</w:t>
                      </w:r>
                    </w:p>
                  </w:txbxContent>
                </v:textbox>
              </v:shape>
            </w:pict>
          </mc:Fallback>
        </mc:AlternateContent>
      </w:r>
      <w:r>
        <w:rPr>
          <w:noProof/>
          <w:lang w:val="en-US" w:eastAsia="zh-CN"/>
        </w:rPr>
        <mc:AlternateContent>
          <mc:Choice Requires="wps">
            <w:drawing>
              <wp:anchor distT="0" distB="0" distL="114300" distR="114300" simplePos="0" relativeHeight="251656704" behindDoc="0" locked="0" layoutInCell="1" allowOverlap="1">
                <wp:simplePos x="0" y="0"/>
                <wp:positionH relativeFrom="column">
                  <wp:posOffset>1689100</wp:posOffset>
                </wp:positionH>
                <wp:positionV relativeFrom="paragraph">
                  <wp:posOffset>73660</wp:posOffset>
                </wp:positionV>
                <wp:extent cx="214630" cy="257175"/>
                <wp:effectExtent l="3175" t="0" r="1270" b="254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366AD7">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133pt;margin-top:5.8pt;width:16.9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AMhQ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" stroked="f">
                <v:textbox>
                  <w:txbxContent>
                    <w:p w:rsidR="00D55DFD" w:rsidRDefault="00D55DFD" w:rsidP="00366AD7">
                      <w:pPr>
                        <w:rPr>
                          <w:lang w:eastAsia="zh-CN"/>
                        </w:rPr>
                      </w:pPr>
                      <w:r>
                        <w:rPr>
                          <w:lang w:eastAsia="zh-CN"/>
                        </w:rPr>
                        <w:t>b</w:t>
                      </w:r>
                    </w:p>
                  </w:txbxContent>
                </v:textbox>
              </v:shape>
            </w:pict>
          </mc:Fallback>
        </mc:AlternateContent>
      </w:r>
      <w:r>
        <w:rPr>
          <w:rFonts w:ascii="Book Antiqua" w:hAnsi="Book Antiqua"/>
          <w:noProof/>
          <w:sz w:val="24"/>
          <w:szCs w:val="24"/>
          <w:lang w:val="en-US" w:eastAsia="zh-CN"/>
        </w:rPr>
        <w:drawing>
          <wp:inline distT="0" distB="0" distL="0" distR="0">
            <wp:extent cx="2941320" cy="2536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320" cy="2536190"/>
                    </a:xfrm>
                    <a:prstGeom prst="rect">
                      <a:avLst/>
                    </a:prstGeom>
                    <a:noFill/>
                    <a:ln>
                      <a:noFill/>
                    </a:ln>
                  </pic:spPr>
                </pic:pic>
              </a:graphicData>
            </a:graphic>
          </wp:inline>
        </w:drawing>
      </w:r>
    </w:p>
    <w:p w:rsidR="00D55DFD" w:rsidRPr="006F2809" w:rsidRDefault="00D55DFD" w:rsidP="004D1EA2">
      <w:pPr>
        <w:snapToGrid w:val="0"/>
        <w:spacing w:after="0" w:line="360" w:lineRule="auto"/>
        <w:rPr>
          <w:rFonts w:ascii="Book Antiqua" w:hAnsi="Book Antiqua"/>
          <w:sz w:val="24"/>
          <w:szCs w:val="24"/>
        </w:rPr>
      </w:pPr>
    </w:p>
    <w:p w:rsidR="00D55DFD" w:rsidRPr="006F2809" w:rsidRDefault="00D55DFD" w:rsidP="004D1EA2">
      <w:pPr>
        <w:snapToGrid w:val="0"/>
        <w:spacing w:after="0" w:line="360" w:lineRule="auto"/>
        <w:rPr>
          <w:rFonts w:ascii="Book Antiqua" w:hAnsi="Book Antiqua"/>
          <w:sz w:val="24"/>
          <w:szCs w:val="24"/>
        </w:rPr>
      </w:pPr>
    </w:p>
    <w:p w:rsidR="00D55DFD" w:rsidRPr="006F2809" w:rsidRDefault="0075467A" w:rsidP="004D1EA2">
      <w:pPr>
        <w:snapToGrid w:val="0"/>
        <w:spacing w:after="0" w:line="360" w:lineRule="auto"/>
        <w:rPr>
          <w:rFonts w:ascii="Book Antiqua" w:hAnsi="Book Antiqua"/>
          <w:sz w:val="24"/>
          <w:szCs w:val="24"/>
        </w:rPr>
      </w:pPr>
      <w:r>
        <w:rPr>
          <w:noProof/>
          <w:lang w:val="en-US" w:eastAsia="zh-CN"/>
        </w:rPr>
        <mc:AlternateContent>
          <mc:Choice Requires="wps">
            <w:drawing>
              <wp:anchor distT="0" distB="0" distL="114300" distR="114300" simplePos="0" relativeHeight="251663872" behindDoc="0" locked="0" layoutInCell="1" allowOverlap="1">
                <wp:simplePos x="0" y="0"/>
                <wp:positionH relativeFrom="column">
                  <wp:posOffset>1047750</wp:posOffset>
                </wp:positionH>
                <wp:positionV relativeFrom="paragraph">
                  <wp:posOffset>464185</wp:posOffset>
                </wp:positionV>
                <wp:extent cx="214630" cy="257175"/>
                <wp:effectExtent l="0" t="0" r="4445" b="254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DFD" w:rsidRDefault="00D55DFD" w:rsidP="00A20D1E">
                            <w:pPr>
                              <w:rPr>
                                <w:lang w:eastAsia="zh-CN"/>
                              </w:rPr>
                            </w:pPr>
                            <w:r>
                              <w:rPr>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82.5pt;margin-top:36.55pt;width:16.9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q+hQ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" stroked="f">
                <v:textbox>
                  <w:txbxContent>
                    <w:p w:rsidR="00D55DFD" w:rsidRDefault="00D55DFD" w:rsidP="00A20D1E">
                      <w:pPr>
                        <w:rPr>
                          <w:lang w:eastAsia="zh-CN"/>
                        </w:rPr>
                      </w:pPr>
                      <w:r>
                        <w:rPr>
                          <w:lang w:eastAsia="zh-CN"/>
                        </w:rPr>
                        <w:t>b</w:t>
                      </w:r>
                    </w:p>
                  </w:txbxContent>
                </v:textbox>
              </v:shape>
            </w:pict>
          </mc:Fallback>
        </mc:AlternateContent>
      </w:r>
      <w:r>
        <w:rPr>
          <w:rFonts w:ascii="Book Antiqua" w:hAnsi="Book Antiqua"/>
          <w:noProof/>
          <w:sz w:val="24"/>
          <w:szCs w:val="24"/>
          <w:lang w:val="en-US" w:eastAsia="zh-CN"/>
        </w:rPr>
        <w:drawing>
          <wp:inline distT="0" distB="0" distL="0" distR="0">
            <wp:extent cx="3053715" cy="22771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15" cy="2277110"/>
                    </a:xfrm>
                    <a:prstGeom prst="rect">
                      <a:avLst/>
                    </a:prstGeom>
                    <a:noFill/>
                    <a:ln>
                      <a:noFill/>
                    </a:ln>
                  </pic:spPr>
                </pic:pic>
              </a:graphicData>
            </a:graphic>
          </wp:inline>
        </w:drawing>
      </w:r>
    </w:p>
    <w:p w:rsidR="00D55DFD" w:rsidRPr="006F2809" w:rsidRDefault="00D55DFD" w:rsidP="004D1EA2">
      <w:pPr>
        <w:snapToGrid w:val="0"/>
        <w:spacing w:after="0" w:line="360" w:lineRule="auto"/>
        <w:jc w:val="both"/>
        <w:rPr>
          <w:rFonts w:ascii="Book Antiqua" w:hAnsi="Book Antiqua"/>
          <w:sz w:val="24"/>
          <w:szCs w:val="24"/>
          <w:lang w:val="en-GB" w:eastAsia="it-IT"/>
        </w:rPr>
      </w:pPr>
    </w:p>
    <w:p w:rsidR="00D55DFD" w:rsidRPr="006F2809" w:rsidRDefault="00D55DFD" w:rsidP="004D1EA2">
      <w:pPr>
        <w:snapToGrid w:val="0"/>
        <w:spacing w:after="0" w:line="360" w:lineRule="auto"/>
        <w:jc w:val="both"/>
        <w:rPr>
          <w:rFonts w:ascii="Book Antiqua" w:hAnsi="Book Antiqua"/>
          <w:b/>
          <w:sz w:val="24"/>
          <w:szCs w:val="24"/>
          <w:lang w:val="en-GB" w:eastAsia="zh-CN"/>
        </w:rPr>
      </w:pPr>
      <w:r w:rsidRPr="006F2809">
        <w:rPr>
          <w:rFonts w:ascii="Book Antiqua" w:hAnsi="Book Antiqua"/>
          <w:b/>
          <w:sz w:val="24"/>
          <w:szCs w:val="24"/>
          <w:lang w:val="en-GB" w:eastAsia="it-IT"/>
        </w:rPr>
        <w:lastRenderedPageBreak/>
        <w:t>Figure 2 Representative panels of telomere length and</w:t>
      </w:r>
      <w:r w:rsidRPr="006F2809">
        <w:rPr>
          <w:rFonts w:ascii="Book Antiqua" w:hAnsi="Book Antiqua"/>
          <w:sz w:val="24"/>
          <w:szCs w:val="24"/>
          <w:lang w:val="en-US"/>
        </w:rPr>
        <w:t xml:space="preserve"> </w:t>
      </w:r>
      <w:r w:rsidRPr="006F2809">
        <w:rPr>
          <w:rFonts w:ascii="Book Antiqua" w:hAnsi="Book Antiqua"/>
          <w:b/>
          <w:sz w:val="24"/>
          <w:szCs w:val="24"/>
          <w:lang w:val="en-US"/>
        </w:rPr>
        <w:t>telomerase reverse transcriptase</w:t>
      </w:r>
      <w:r w:rsidRPr="006F2809">
        <w:rPr>
          <w:rFonts w:ascii="Book Antiqua" w:hAnsi="Book Antiqua"/>
          <w:b/>
          <w:sz w:val="24"/>
          <w:szCs w:val="24"/>
          <w:lang w:val="en-GB" w:eastAsia="it-IT"/>
        </w:rPr>
        <w:t xml:space="preserve"> levels</w:t>
      </w:r>
      <w:r w:rsidRPr="006F2809">
        <w:rPr>
          <w:rFonts w:ascii="Book Antiqua" w:hAnsi="Book Antiqua"/>
          <w:b/>
          <w:sz w:val="24"/>
          <w:szCs w:val="24"/>
          <w:lang w:val="en-GB" w:eastAsia="zh-CN"/>
        </w:rPr>
        <w:t xml:space="preserve">. </w:t>
      </w:r>
      <w:r w:rsidRPr="006F2809">
        <w:rPr>
          <w:rFonts w:ascii="Book Antiqua" w:hAnsi="Book Antiqua"/>
          <w:sz w:val="24"/>
          <w:szCs w:val="24"/>
          <w:lang w:val="en-GB" w:eastAsia="it-IT"/>
        </w:rPr>
        <w:t>A</w:t>
      </w:r>
      <w:r w:rsidRPr="006F2809">
        <w:rPr>
          <w:rFonts w:ascii="Book Antiqua" w:hAnsi="Book Antiqua"/>
          <w:sz w:val="24"/>
          <w:szCs w:val="24"/>
          <w:lang w:val="en-GB" w:eastAsia="zh-CN"/>
        </w:rPr>
        <w:t>:</w:t>
      </w:r>
      <w:r w:rsidRPr="006F2809">
        <w:rPr>
          <w:rFonts w:ascii="Book Antiqua" w:hAnsi="Book Antiqua"/>
          <w:sz w:val="24"/>
          <w:szCs w:val="24"/>
          <w:lang w:val="en-GB" w:eastAsia="it-IT"/>
        </w:rPr>
        <w:t xml:space="preserve"> Relative telomere length in tumours (K) and adjacent mucosa (N) according to tumour stages I (30 samples), II (45 samples), III (29 samples), and IV</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 xml:space="preserve">(29 samples). The cases included those reported in Rampazzo </w:t>
      </w:r>
      <w:r w:rsidRPr="006F2809">
        <w:rPr>
          <w:rFonts w:ascii="Book Antiqua" w:hAnsi="Book Antiqua"/>
          <w:i/>
          <w:sz w:val="24"/>
          <w:szCs w:val="24"/>
          <w:lang w:val="en-GB" w:eastAsia="it-IT"/>
        </w:rPr>
        <w:t>et al</w:t>
      </w:r>
      <w:r w:rsidRPr="006F2809">
        <w:rPr>
          <w:rFonts w:ascii="Book Antiqua" w:hAnsi="Book Antiqua"/>
          <w:sz w:val="24"/>
          <w:szCs w:val="24"/>
          <w:vertAlign w:val="superscript"/>
          <w:lang w:val="en-GB" w:eastAsia="it-IT"/>
        </w:rPr>
        <w:t>[41]</w:t>
      </w:r>
      <w:r w:rsidRPr="006F2809">
        <w:rPr>
          <w:rFonts w:ascii="Book Antiqua" w:hAnsi="Book Antiqua"/>
          <w:sz w:val="24"/>
          <w:szCs w:val="24"/>
          <w:lang w:val="en-GB" w:eastAsia="it-IT"/>
        </w:rPr>
        <w:t>.</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Telomere length was significant shorter in tumours than in adjacent mucosa (</w:t>
      </w:r>
      <w:r w:rsidRPr="006F2809">
        <w:rPr>
          <w:rFonts w:ascii="Book Antiqua" w:hAnsi="Book Antiqua"/>
          <w:sz w:val="24"/>
          <w:szCs w:val="24"/>
          <w:vertAlign w:val="superscript"/>
          <w:lang w:val="en-GB" w:eastAsia="zh-CN"/>
        </w:rPr>
        <w:t>b</w:t>
      </w:r>
      <w:r w:rsidRPr="006F2809">
        <w:rPr>
          <w:rFonts w:ascii="Book Antiqua" w:hAnsi="Book Antiqua"/>
          <w:i/>
          <w:sz w:val="24"/>
          <w:szCs w:val="24"/>
          <w:lang w:val="en-GB" w:eastAsia="it-IT"/>
        </w:rPr>
        <w:t>P</w:t>
      </w:r>
      <w:r w:rsidRPr="006F2809">
        <w:rPr>
          <w:rFonts w:ascii="Book Antiqua" w:hAnsi="Book Antiqua"/>
          <w:i/>
          <w:sz w:val="24"/>
          <w:szCs w:val="24"/>
          <w:lang w:val="en-GB" w:eastAsia="zh-CN"/>
        </w:rPr>
        <w:t xml:space="preserve"> </w:t>
      </w:r>
      <w:r w:rsidRPr="006F2809">
        <w:rPr>
          <w:rFonts w:ascii="Book Antiqua" w:hAnsi="Book Antiqua"/>
          <w:sz w:val="24"/>
          <w:szCs w:val="24"/>
          <w:lang w:val="en-GB" w:eastAsia="it-IT"/>
        </w:rPr>
        <w:t>&lt;</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0.01</w:t>
      </w:r>
      <w:r w:rsidRPr="006F2809">
        <w:rPr>
          <w:rFonts w:ascii="Book Antiqua" w:hAnsi="Book Antiqua"/>
          <w:sz w:val="24"/>
          <w:szCs w:val="24"/>
          <w:lang w:val="en-GB" w:eastAsia="zh-CN"/>
        </w:rPr>
        <w:t xml:space="preserve"> </w:t>
      </w:r>
      <w:r w:rsidRPr="006F2809">
        <w:rPr>
          <w:rFonts w:ascii="Book Antiqua" w:hAnsi="Book Antiqua"/>
          <w:i/>
          <w:sz w:val="24"/>
          <w:szCs w:val="24"/>
          <w:lang w:val="en-GB" w:eastAsia="zh-CN"/>
        </w:rPr>
        <w:t>vs</w:t>
      </w:r>
      <w:r w:rsidRPr="006F2809">
        <w:rPr>
          <w:rFonts w:ascii="Book Antiqua" w:hAnsi="Book Antiqua"/>
          <w:sz w:val="24"/>
          <w:szCs w:val="24"/>
          <w:lang w:val="en-GB" w:eastAsia="it-IT"/>
        </w:rPr>
        <w:t xml:space="preserve"> tumours in adjacent mucosa) at all tumour stages, but telomere lengths did not significantly differ with tumour stage. Relative telomere length was estimated using real-time polymerase chain reaction</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PCR</w:t>
      </w:r>
      <w:r w:rsidRPr="006F2809">
        <w:rPr>
          <w:rFonts w:ascii="Book Antiqua" w:hAnsi="Book Antiqua"/>
          <w:sz w:val="24"/>
          <w:szCs w:val="24"/>
          <w:lang w:val="en-GB" w:eastAsia="zh-CN"/>
        </w:rPr>
        <w:t>)</w:t>
      </w:r>
      <w:r w:rsidRPr="006F2809">
        <w:rPr>
          <w:rFonts w:ascii="Book Antiqua" w:hAnsi="Book Antiqua"/>
          <w:sz w:val="24"/>
          <w:szCs w:val="24"/>
          <w:vertAlign w:val="superscript"/>
          <w:lang w:val="en-GB" w:eastAsia="it-IT"/>
        </w:rPr>
        <w:t>[41]</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B</w:t>
      </w:r>
      <w:r w:rsidRPr="006F2809">
        <w:rPr>
          <w:rFonts w:ascii="Book Antiqua" w:hAnsi="Book Antiqua"/>
          <w:sz w:val="24"/>
          <w:szCs w:val="24"/>
          <w:lang w:val="en-GB" w:eastAsia="zh-CN"/>
        </w:rPr>
        <w:t xml:space="preserve">: </w:t>
      </w:r>
      <w:r w:rsidRPr="006F2809">
        <w:rPr>
          <w:rFonts w:ascii="Book Antiqua" w:hAnsi="Book Antiqua"/>
          <w:sz w:val="24"/>
          <w:szCs w:val="24"/>
          <w:lang w:val="en-US"/>
        </w:rPr>
        <w:t>Telomerase reverse transcriptase (TERT)</w:t>
      </w:r>
      <w:r w:rsidRPr="006F2809">
        <w:rPr>
          <w:rFonts w:ascii="Book Antiqua" w:hAnsi="Book Antiqua"/>
          <w:sz w:val="24"/>
          <w:szCs w:val="24"/>
          <w:lang w:val="en-GB" w:eastAsia="it-IT"/>
        </w:rPr>
        <w:t xml:space="preserve"> levels in tumours (K) and adjacent mucosa (N) according to tumour stages I (K: 25 samples, N: 17 samples), II (K: 35 samples; N: 10 samples), III (K: 15 samples; N: 5 samples), and IV (K: 30 samples; N: 22 samples). The cases included those reported in Terrin </w:t>
      </w:r>
      <w:r w:rsidRPr="006F2809">
        <w:rPr>
          <w:rFonts w:ascii="Book Antiqua" w:hAnsi="Book Antiqua"/>
          <w:i/>
          <w:sz w:val="24"/>
          <w:szCs w:val="24"/>
          <w:lang w:val="en-GB" w:eastAsia="it-IT"/>
        </w:rPr>
        <w:t>et al</w:t>
      </w:r>
      <w:r w:rsidRPr="006F2809">
        <w:rPr>
          <w:rFonts w:ascii="Book Antiqua" w:hAnsi="Book Antiqua"/>
          <w:sz w:val="24"/>
          <w:szCs w:val="24"/>
          <w:vertAlign w:val="superscript"/>
          <w:lang w:val="en-GB" w:eastAsia="it-IT"/>
        </w:rPr>
        <w:t>[55]</w:t>
      </w:r>
      <w:r w:rsidRPr="006F2809">
        <w:rPr>
          <w:rFonts w:ascii="Book Antiqua" w:hAnsi="Book Antiqua"/>
          <w:sz w:val="24"/>
          <w:szCs w:val="24"/>
          <w:lang w:val="en-GB" w:eastAsia="it-IT"/>
        </w:rPr>
        <w:t>. TERT levels were significantly higher in tumours than in adjacent mucosa and significantly increased (</w:t>
      </w:r>
      <w:r w:rsidRPr="006F2809">
        <w:rPr>
          <w:rFonts w:ascii="Book Antiqua" w:hAnsi="Book Antiqua"/>
          <w:sz w:val="24"/>
          <w:szCs w:val="24"/>
          <w:vertAlign w:val="superscript"/>
          <w:lang w:val="en-GB" w:eastAsia="zh-CN"/>
        </w:rPr>
        <w:t>b</w:t>
      </w:r>
      <w:r w:rsidRPr="006F2809">
        <w:rPr>
          <w:rFonts w:ascii="Book Antiqua" w:hAnsi="Book Antiqua"/>
          <w:i/>
          <w:sz w:val="24"/>
          <w:szCs w:val="24"/>
          <w:lang w:val="en-GB" w:eastAsia="it-IT"/>
        </w:rPr>
        <w:t>P</w:t>
      </w:r>
      <w:r w:rsidRPr="006F2809">
        <w:rPr>
          <w:rFonts w:ascii="Book Antiqua" w:hAnsi="Book Antiqua"/>
          <w:i/>
          <w:sz w:val="24"/>
          <w:szCs w:val="24"/>
          <w:lang w:val="en-GB" w:eastAsia="zh-CN"/>
        </w:rPr>
        <w:t xml:space="preserve"> </w:t>
      </w:r>
      <w:r w:rsidRPr="006F2809">
        <w:rPr>
          <w:rFonts w:ascii="Book Antiqua" w:hAnsi="Book Antiqua"/>
          <w:sz w:val="24"/>
          <w:szCs w:val="24"/>
          <w:lang w:val="en-GB" w:eastAsia="it-IT"/>
        </w:rPr>
        <w:t>&lt;</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0.01</w:t>
      </w:r>
      <w:r w:rsidRPr="006F2809">
        <w:rPr>
          <w:rFonts w:ascii="Book Antiqua" w:hAnsi="Book Antiqua"/>
          <w:sz w:val="24"/>
          <w:szCs w:val="24"/>
          <w:lang w:val="en-GB" w:eastAsia="zh-CN"/>
        </w:rPr>
        <w:t xml:space="preserve"> </w:t>
      </w:r>
      <w:r w:rsidRPr="006F2809">
        <w:rPr>
          <w:rFonts w:ascii="Book Antiqua" w:hAnsi="Book Antiqua"/>
          <w:i/>
          <w:sz w:val="24"/>
          <w:szCs w:val="24"/>
          <w:lang w:val="en-GB" w:eastAsia="zh-CN"/>
        </w:rPr>
        <w:t>vs</w:t>
      </w:r>
      <w:r w:rsidRPr="006F2809">
        <w:rPr>
          <w:rFonts w:ascii="Book Antiqua" w:hAnsi="Book Antiqua"/>
          <w:sz w:val="24"/>
          <w:szCs w:val="24"/>
          <w:lang w:val="en-GB" w:eastAsia="it-IT"/>
        </w:rPr>
        <w:t xml:space="preserve"> tumours in adjacent mucosa) with tumour stage. TERT levels were estimated using real-time PCR </w:t>
      </w:r>
      <w:r w:rsidRPr="006F2809">
        <w:rPr>
          <w:rFonts w:ascii="Book Antiqua" w:hAnsi="Book Antiqua"/>
          <w:sz w:val="24"/>
          <w:szCs w:val="24"/>
          <w:vertAlign w:val="superscript"/>
          <w:lang w:val="en-GB" w:eastAsia="it-IT"/>
        </w:rPr>
        <w:t>[41,55]</w:t>
      </w:r>
      <w:r w:rsidRPr="006F2809">
        <w:rPr>
          <w:rFonts w:ascii="Book Antiqua" w:hAnsi="Book Antiqua"/>
          <w:sz w:val="24"/>
          <w:szCs w:val="24"/>
          <w:lang w:val="en-GB" w:eastAsia="zh-CN"/>
        </w:rPr>
        <w:t xml:space="preserve">; </w:t>
      </w:r>
      <w:r w:rsidRPr="006F2809">
        <w:rPr>
          <w:rFonts w:ascii="Book Antiqua" w:hAnsi="Book Antiqua"/>
          <w:sz w:val="24"/>
          <w:szCs w:val="24"/>
          <w:lang w:val="en-GB" w:eastAsia="it-IT"/>
        </w:rPr>
        <w:t>C</w:t>
      </w:r>
      <w:r w:rsidRPr="006F2809">
        <w:rPr>
          <w:rFonts w:ascii="Book Antiqua" w:hAnsi="Book Antiqua"/>
          <w:sz w:val="24"/>
          <w:szCs w:val="24"/>
          <w:lang w:val="en-GB" w:eastAsia="zh-CN"/>
        </w:rPr>
        <w:t>:</w:t>
      </w:r>
      <w:r w:rsidRPr="006F2809">
        <w:rPr>
          <w:rFonts w:ascii="Book Antiqua" w:hAnsi="Book Antiqua"/>
          <w:sz w:val="24"/>
          <w:szCs w:val="24"/>
          <w:lang w:val="en-GB" w:eastAsia="it-IT"/>
        </w:rPr>
        <w:t xml:space="preserve"> Plasma TERT levels before and after the chemoradiotherapy prior to surgery in responders (35 samples) and non-responders (42 samples) with rectal cancer. The cases included those reported in Pucciarelli </w:t>
      </w:r>
      <w:r w:rsidRPr="006F2809">
        <w:rPr>
          <w:rFonts w:ascii="Book Antiqua" w:hAnsi="Book Antiqua"/>
          <w:i/>
          <w:sz w:val="24"/>
          <w:szCs w:val="24"/>
          <w:lang w:val="en-GB" w:eastAsia="it-IT"/>
        </w:rPr>
        <w:t>et al</w:t>
      </w:r>
      <w:r w:rsidRPr="006F2809">
        <w:rPr>
          <w:rFonts w:ascii="Book Antiqua" w:hAnsi="Book Antiqua"/>
          <w:sz w:val="24"/>
          <w:szCs w:val="24"/>
          <w:vertAlign w:val="superscript"/>
          <w:lang w:val="en-GB" w:eastAsia="it-IT"/>
        </w:rPr>
        <w:t>[85]</w:t>
      </w:r>
      <w:r w:rsidRPr="006F2809">
        <w:rPr>
          <w:rFonts w:ascii="Book Antiqua" w:hAnsi="Book Antiqua"/>
          <w:sz w:val="24"/>
          <w:szCs w:val="24"/>
          <w:lang w:val="en-GB" w:eastAsia="it-IT"/>
        </w:rPr>
        <w:t>. TERT levels in plasma were estimated using real-time PCR</w:t>
      </w:r>
      <w:r w:rsidRPr="006F2809">
        <w:rPr>
          <w:rFonts w:ascii="Book Antiqua" w:hAnsi="Book Antiqua"/>
          <w:sz w:val="24"/>
          <w:szCs w:val="24"/>
          <w:vertAlign w:val="superscript"/>
          <w:lang w:val="en-GB" w:eastAsia="it-IT"/>
        </w:rPr>
        <w:t>[85]</w:t>
      </w:r>
      <w:r w:rsidRPr="006F2809">
        <w:rPr>
          <w:rFonts w:ascii="Book Antiqua" w:hAnsi="Book Antiqua"/>
          <w:sz w:val="24"/>
          <w:szCs w:val="24"/>
          <w:lang w:val="en-GB" w:eastAsia="it-IT"/>
        </w:rPr>
        <w:t xml:space="preserve">. </w:t>
      </w:r>
      <w:r w:rsidR="0075467A">
        <w:rPr>
          <w:noProof/>
          <w:lang w:val="en-US" w:eastAsia="zh-CN"/>
        </w:rPr>
        <mc:AlternateContent>
          <mc:Choice Requires="wps">
            <w:drawing>
              <wp:anchor distT="0" distB="0" distL="114300" distR="114300" simplePos="0" relativeHeight="251651584" behindDoc="0" locked="0" layoutInCell="1" allowOverlap="1">
                <wp:simplePos x="0" y="0"/>
                <wp:positionH relativeFrom="column">
                  <wp:posOffset>228600</wp:posOffset>
                </wp:positionH>
                <wp:positionV relativeFrom="paragraph">
                  <wp:posOffset>133350</wp:posOffset>
                </wp:positionV>
                <wp:extent cx="342900" cy="34290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DFD" w:rsidRPr="00A21E0E" w:rsidRDefault="00D55DFD" w:rsidP="00A21E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8pt;margin-top:10.5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hztQIAAME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" filled="f" stroked="f">
                <v:textbox>
                  <w:txbxContent>
                    <w:p w:rsidR="00D55DFD" w:rsidRPr="00A21E0E" w:rsidRDefault="00D55DFD" w:rsidP="00A21E0E"/>
                  </w:txbxContent>
                </v:textbox>
              </v:shape>
            </w:pict>
          </mc:Fallback>
        </mc:AlternateContent>
      </w:r>
      <w:r w:rsidRPr="006F2809">
        <w:rPr>
          <w:rFonts w:ascii="Book Antiqua" w:hAnsi="Book Antiqua"/>
          <w:color w:val="000000"/>
          <w:sz w:val="24"/>
          <w:szCs w:val="24"/>
          <w:lang w:val="en-GB" w:eastAsia="it-IT"/>
        </w:rPr>
        <w:t>Boxes and whiskers: 25</w:t>
      </w:r>
      <w:r w:rsidRPr="006F2809">
        <w:rPr>
          <w:rFonts w:ascii="Book Antiqua" w:hAnsi="Book Antiqua"/>
          <w:color w:val="000000"/>
          <w:sz w:val="24"/>
          <w:szCs w:val="24"/>
          <w:vertAlign w:val="superscript"/>
          <w:lang w:val="en-GB" w:eastAsia="it-IT"/>
        </w:rPr>
        <w:t>th</w:t>
      </w:r>
      <w:r w:rsidRPr="006F2809">
        <w:rPr>
          <w:rFonts w:ascii="Book Antiqua" w:hAnsi="Book Antiqua"/>
          <w:color w:val="000000"/>
          <w:sz w:val="24"/>
          <w:szCs w:val="24"/>
          <w:lang w:val="en-GB" w:eastAsia="it-IT"/>
        </w:rPr>
        <w:t xml:space="preserve"> to 75</w:t>
      </w:r>
      <w:r w:rsidRPr="006F2809">
        <w:rPr>
          <w:rFonts w:ascii="Book Antiqua" w:hAnsi="Book Antiqua"/>
          <w:color w:val="000000"/>
          <w:sz w:val="24"/>
          <w:szCs w:val="24"/>
          <w:vertAlign w:val="superscript"/>
          <w:lang w:val="en-GB" w:eastAsia="it-IT"/>
        </w:rPr>
        <w:t>th</w:t>
      </w:r>
      <w:r w:rsidRPr="006F2809">
        <w:rPr>
          <w:rFonts w:ascii="Book Antiqua" w:hAnsi="Book Antiqua"/>
          <w:color w:val="000000"/>
          <w:sz w:val="24"/>
          <w:szCs w:val="24"/>
          <w:lang w:val="en-GB" w:eastAsia="it-IT"/>
        </w:rPr>
        <w:t xml:space="preserve"> and 10</w:t>
      </w:r>
      <w:r w:rsidRPr="006F2809">
        <w:rPr>
          <w:rFonts w:ascii="Book Antiqua" w:hAnsi="Book Antiqua"/>
          <w:color w:val="000000"/>
          <w:sz w:val="24"/>
          <w:szCs w:val="24"/>
          <w:vertAlign w:val="superscript"/>
          <w:lang w:val="en-GB" w:eastAsia="it-IT"/>
        </w:rPr>
        <w:t>th</w:t>
      </w:r>
      <w:r w:rsidRPr="006F2809">
        <w:rPr>
          <w:rFonts w:ascii="Book Antiqua" w:hAnsi="Book Antiqua"/>
          <w:color w:val="000000"/>
          <w:sz w:val="24"/>
          <w:szCs w:val="24"/>
          <w:lang w:val="en-GB" w:eastAsia="it-IT"/>
        </w:rPr>
        <w:t xml:space="preserve"> to 90</w:t>
      </w:r>
      <w:r w:rsidRPr="006F2809">
        <w:rPr>
          <w:rFonts w:ascii="Book Antiqua" w:hAnsi="Book Antiqua"/>
          <w:color w:val="000000"/>
          <w:sz w:val="24"/>
          <w:szCs w:val="24"/>
          <w:vertAlign w:val="superscript"/>
          <w:lang w:val="en-GB" w:eastAsia="it-IT"/>
        </w:rPr>
        <w:t>th</w:t>
      </w:r>
      <w:r w:rsidRPr="006F2809">
        <w:rPr>
          <w:rFonts w:ascii="Book Antiqua" w:hAnsi="Book Antiqua"/>
          <w:color w:val="000000"/>
          <w:sz w:val="24"/>
          <w:szCs w:val="24"/>
          <w:lang w:val="en-GB" w:eastAsia="it-IT"/>
        </w:rPr>
        <w:t xml:space="preserve"> percentiles, respectively; the median is the central line in each box.</w:t>
      </w:r>
    </w:p>
    <w:p w:rsidR="00D55DFD" w:rsidRPr="006F2809" w:rsidRDefault="00D55DFD" w:rsidP="004D1EA2">
      <w:pPr>
        <w:snapToGrid w:val="0"/>
        <w:spacing w:after="0" w:line="360" w:lineRule="auto"/>
        <w:jc w:val="both"/>
        <w:rPr>
          <w:rFonts w:ascii="Book Antiqua" w:hAnsi="Book Antiqua"/>
          <w:sz w:val="24"/>
          <w:szCs w:val="24"/>
          <w:lang w:val="en-GB" w:eastAsia="zh-CN"/>
        </w:rPr>
      </w:pPr>
    </w:p>
    <w:p w:rsidR="00D55DFD" w:rsidRPr="006F2809" w:rsidRDefault="00D55DFD" w:rsidP="004D1EA2">
      <w:pPr>
        <w:snapToGrid w:val="0"/>
        <w:spacing w:after="0" w:line="360" w:lineRule="auto"/>
        <w:ind w:firstLine="360"/>
        <w:rPr>
          <w:rFonts w:ascii="Book Antiqua" w:hAnsi="Book Antiqua"/>
          <w:sz w:val="24"/>
          <w:szCs w:val="24"/>
          <w:lang w:val="en-US"/>
        </w:rPr>
        <w:sectPr w:rsidR="00D55DFD" w:rsidRPr="006F2809" w:rsidSect="00560680">
          <w:footerReference w:type="even" r:id="rId12"/>
          <w:footerReference w:type="default" r:id="rId13"/>
          <w:pgSz w:w="11906" w:h="16838"/>
          <w:pgMar w:top="1418" w:right="1134" w:bottom="1134" w:left="1134" w:header="709" w:footer="709" w:gutter="0"/>
          <w:cols w:space="708"/>
          <w:docGrid w:linePitch="360"/>
        </w:sectPr>
      </w:pPr>
      <w:r w:rsidRPr="006F2809">
        <w:rPr>
          <w:rFonts w:ascii="Book Antiqua" w:hAnsi="Book Antiqua"/>
          <w:sz w:val="24"/>
          <w:szCs w:val="24"/>
          <w:lang w:val="en-US"/>
        </w:rPr>
        <w:br w:type="page"/>
      </w:r>
    </w:p>
    <w:p w:rsidR="00D55DFD" w:rsidRPr="006F2809" w:rsidRDefault="00D55DFD" w:rsidP="004D1EA2">
      <w:pPr>
        <w:pBdr>
          <w:bottom w:val="single" w:sz="4" w:space="1" w:color="000000"/>
        </w:pBdr>
        <w:snapToGrid w:val="0"/>
        <w:spacing w:after="0" w:line="360" w:lineRule="auto"/>
        <w:jc w:val="both"/>
        <w:rPr>
          <w:rFonts w:ascii="Book Antiqua" w:hAnsi="Book Antiqua"/>
          <w:sz w:val="24"/>
          <w:szCs w:val="24"/>
          <w:lang w:val="en-GB"/>
        </w:rPr>
      </w:pPr>
      <w:r w:rsidRPr="006F2809">
        <w:rPr>
          <w:rFonts w:ascii="Book Antiqua" w:hAnsi="Book Antiqua"/>
          <w:b/>
          <w:iCs/>
          <w:sz w:val="24"/>
          <w:szCs w:val="24"/>
          <w:lang w:val="en-US" w:eastAsia="zh-CN"/>
        </w:rPr>
        <w:lastRenderedPageBreak/>
        <w:t>Table</w:t>
      </w:r>
      <w:r w:rsidRPr="006F2809">
        <w:rPr>
          <w:rFonts w:ascii="Book Antiqua" w:hAnsi="Book Antiqua"/>
          <w:b/>
          <w:iCs/>
          <w:sz w:val="24"/>
          <w:szCs w:val="24"/>
          <w:lang w:val="en-US" w:eastAsia="it-IT"/>
        </w:rPr>
        <w:t xml:space="preserve"> 1 Telomeres and telomerase: outstanding questions regarding their role in the genesis and progression of colorectal cancer</w:t>
      </w:r>
    </w:p>
    <w:p w:rsidR="00D55DFD" w:rsidRPr="006F2809" w:rsidRDefault="00D55DFD" w:rsidP="004D1EA2">
      <w:pPr>
        <w:pBdr>
          <w:top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 xml:space="preserve">Is the shortening of telomeres an early or late event in colorectal carcinogenesis? </w:t>
      </w:r>
    </w:p>
    <w:p w:rsidR="00D55DFD" w:rsidRPr="006F2809" w:rsidRDefault="00D55DFD" w:rsidP="004D1EA2">
      <w:pPr>
        <w:pBdr>
          <w:bottom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 xml:space="preserve">Does telomere shortening play a role in genomic instability? </w:t>
      </w:r>
    </w:p>
    <w:p w:rsidR="00D55DFD" w:rsidRPr="006F2809" w:rsidRDefault="00D55DFD" w:rsidP="004D1EA2">
      <w:pPr>
        <w:pBdr>
          <w:bottom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Do telomere lengths correlate with telomerase expression/activity?</w:t>
      </w:r>
    </w:p>
    <w:p w:rsidR="00D55DFD" w:rsidRPr="006F2809" w:rsidRDefault="00D55DFD" w:rsidP="004D1EA2">
      <w:pPr>
        <w:pBdr>
          <w:bottom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 xml:space="preserve">Do telomere lengths correlate with disease progression? </w:t>
      </w:r>
    </w:p>
    <w:p w:rsidR="00D55DFD" w:rsidRPr="006F2809" w:rsidRDefault="00D55DFD" w:rsidP="004D1EA2">
      <w:pPr>
        <w:pBdr>
          <w:bottom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 xml:space="preserve">Do levels of telomerase expression/activity increase with disease progression? </w:t>
      </w:r>
    </w:p>
    <w:p w:rsidR="00D55DFD" w:rsidRPr="006F2809" w:rsidRDefault="00D55DFD" w:rsidP="004D1EA2">
      <w:pPr>
        <w:pBdr>
          <w:bottom w:val="single" w:sz="4" w:space="1" w:color="000000"/>
        </w:pBdr>
        <w:snapToGrid w:val="0"/>
        <w:spacing w:after="0" w:line="360" w:lineRule="auto"/>
        <w:jc w:val="both"/>
        <w:rPr>
          <w:rFonts w:ascii="Book Antiqua" w:hAnsi="Book Antiqua"/>
          <w:iCs/>
          <w:sz w:val="24"/>
          <w:szCs w:val="24"/>
          <w:lang w:val="en-US" w:eastAsia="it-IT"/>
        </w:rPr>
      </w:pPr>
      <w:r w:rsidRPr="006F2809">
        <w:rPr>
          <w:rFonts w:ascii="Book Antiqua" w:hAnsi="Book Antiqua"/>
          <w:iCs/>
          <w:sz w:val="24"/>
          <w:szCs w:val="24"/>
          <w:lang w:val="en-US" w:eastAsia="it-IT"/>
        </w:rPr>
        <w:t>Do telomere and/or telomerase act as prognostic markers for disease outcome?</w:t>
      </w:r>
    </w:p>
    <w:p w:rsidR="00D55DFD" w:rsidRPr="006F2809" w:rsidRDefault="00D55DFD" w:rsidP="004D1EA2">
      <w:pPr>
        <w:autoSpaceDE w:val="0"/>
        <w:autoSpaceDN w:val="0"/>
        <w:adjustRightInd w:val="0"/>
        <w:snapToGrid w:val="0"/>
        <w:spacing w:after="0" w:line="360" w:lineRule="auto"/>
        <w:jc w:val="both"/>
        <w:rPr>
          <w:rFonts w:ascii="Book Antiqua" w:hAnsi="Book Antiqua"/>
          <w:b/>
          <w:color w:val="241F20"/>
          <w:sz w:val="24"/>
          <w:szCs w:val="24"/>
          <w:lang w:val="en-US"/>
        </w:rPr>
      </w:pPr>
    </w:p>
    <w:p w:rsidR="00D55DFD" w:rsidRPr="006F2809" w:rsidRDefault="00D55DFD" w:rsidP="004D1EA2">
      <w:pPr>
        <w:snapToGrid w:val="0"/>
        <w:spacing w:after="0" w:line="360" w:lineRule="auto"/>
        <w:jc w:val="both"/>
        <w:rPr>
          <w:rFonts w:ascii="Book Antiqua" w:hAnsi="Book Antiqua"/>
          <w:sz w:val="24"/>
          <w:szCs w:val="24"/>
          <w:lang w:val="en-US" w:eastAsia="zh-CN"/>
        </w:rPr>
      </w:pPr>
    </w:p>
    <w:p w:rsidR="00D55DFD" w:rsidRPr="006F2809" w:rsidRDefault="00D55DFD" w:rsidP="004D1EA2">
      <w:pPr>
        <w:snapToGrid w:val="0"/>
        <w:spacing w:after="0" w:line="360" w:lineRule="auto"/>
        <w:ind w:firstLine="360"/>
        <w:rPr>
          <w:rFonts w:ascii="Book Antiqua" w:hAnsi="Book Antiqua"/>
          <w:b/>
          <w:sz w:val="24"/>
          <w:szCs w:val="24"/>
          <w:lang w:val="en-US"/>
        </w:rPr>
      </w:pPr>
      <w:r w:rsidRPr="006F2809">
        <w:rPr>
          <w:rFonts w:ascii="Book Antiqua" w:hAnsi="Book Antiqua"/>
          <w:b/>
          <w:sz w:val="24"/>
          <w:szCs w:val="24"/>
          <w:lang w:val="en-US"/>
        </w:rPr>
        <w:t xml:space="preserve">Table </w:t>
      </w:r>
      <w:r w:rsidRPr="006F2809">
        <w:rPr>
          <w:rFonts w:ascii="Book Antiqua" w:hAnsi="Book Antiqua"/>
          <w:b/>
          <w:sz w:val="24"/>
          <w:szCs w:val="24"/>
          <w:lang w:val="en-US" w:eastAsia="zh-CN"/>
        </w:rPr>
        <w:t>2</w:t>
      </w:r>
      <w:r w:rsidRPr="006F2809">
        <w:rPr>
          <w:rFonts w:ascii="Book Antiqua" w:hAnsi="Book Antiqua"/>
          <w:b/>
          <w:sz w:val="24"/>
          <w:szCs w:val="24"/>
          <w:lang w:val="en-US"/>
        </w:rPr>
        <w:t xml:space="preserve"> Telomere lengths and colorectal cancer </w:t>
      </w:r>
    </w:p>
    <w:tbl>
      <w:tblPr>
        <w:tblW w:w="13756" w:type="dxa"/>
        <w:tblInd w:w="392" w:type="dxa"/>
        <w:tblBorders>
          <w:top w:val="single" w:sz="4" w:space="0" w:color="auto"/>
          <w:bottom w:val="single" w:sz="4" w:space="0" w:color="auto"/>
        </w:tblBorders>
        <w:tblLook w:val="00A0" w:firstRow="1" w:lastRow="0" w:firstColumn="1" w:lastColumn="0" w:noHBand="0" w:noVBand="0"/>
      </w:tblPr>
      <w:tblGrid>
        <w:gridCol w:w="2596"/>
        <w:gridCol w:w="3780"/>
        <w:gridCol w:w="7380"/>
      </w:tblGrid>
      <w:tr w:rsidR="00D55DFD" w:rsidRPr="008D3C17" w:rsidTr="002444B5">
        <w:tc>
          <w:tcPr>
            <w:tcW w:w="2596" w:type="dxa"/>
            <w:tcBorders>
              <w:top w:val="single" w:sz="4" w:space="0" w:color="auto"/>
              <w:bottom w:val="single" w:sz="4" w:space="0" w:color="auto"/>
            </w:tcBorders>
          </w:tcPr>
          <w:p w:rsidR="00D55DFD" w:rsidRPr="008D3C17" w:rsidRDefault="00D55DFD" w:rsidP="004D1EA2">
            <w:pPr>
              <w:snapToGrid w:val="0"/>
              <w:spacing w:after="0" w:line="360" w:lineRule="auto"/>
              <w:rPr>
                <w:rFonts w:ascii="Book Antiqua" w:hAnsi="Book Antiqua"/>
                <w:b/>
                <w:sz w:val="24"/>
                <w:szCs w:val="24"/>
                <w:lang w:val="en-US"/>
              </w:rPr>
            </w:pPr>
            <w:r w:rsidRPr="008D3C17">
              <w:rPr>
                <w:rFonts w:ascii="Book Antiqua" w:hAnsi="Book Antiqua"/>
                <w:b/>
                <w:sz w:val="24"/>
                <w:szCs w:val="24"/>
                <w:lang w:val="en-US"/>
              </w:rPr>
              <w:t>Reference</w:t>
            </w:r>
          </w:p>
        </w:tc>
        <w:tc>
          <w:tcPr>
            <w:tcW w:w="3780" w:type="dxa"/>
            <w:tcBorders>
              <w:top w:val="single" w:sz="4" w:space="0" w:color="auto"/>
              <w:bottom w:val="single" w:sz="4" w:space="0" w:color="auto"/>
            </w:tcBorders>
          </w:tcPr>
          <w:p w:rsidR="00D55DFD" w:rsidRPr="008D3C17" w:rsidRDefault="00D55DFD" w:rsidP="004D1EA2">
            <w:pPr>
              <w:snapToGrid w:val="0"/>
              <w:spacing w:after="0" w:line="360" w:lineRule="auto"/>
              <w:jc w:val="center"/>
              <w:rPr>
                <w:rFonts w:ascii="Book Antiqua" w:hAnsi="Book Antiqua"/>
                <w:b/>
                <w:sz w:val="24"/>
                <w:szCs w:val="24"/>
                <w:lang w:val="en-US"/>
              </w:rPr>
            </w:pPr>
            <w:r w:rsidRPr="008D3C17">
              <w:rPr>
                <w:rFonts w:ascii="Book Antiqua" w:hAnsi="Book Antiqua"/>
                <w:b/>
                <w:sz w:val="24"/>
                <w:szCs w:val="24"/>
                <w:lang w:val="en-US"/>
              </w:rPr>
              <w:t>Cases</w:t>
            </w:r>
          </w:p>
        </w:tc>
        <w:tc>
          <w:tcPr>
            <w:tcW w:w="7380" w:type="dxa"/>
            <w:tcBorders>
              <w:top w:val="single" w:sz="4" w:space="0" w:color="auto"/>
              <w:bottom w:val="single" w:sz="4" w:space="0" w:color="auto"/>
            </w:tcBorders>
          </w:tcPr>
          <w:p w:rsidR="00D55DFD" w:rsidRPr="008D3C17" w:rsidRDefault="00D55DFD" w:rsidP="004D1EA2">
            <w:pPr>
              <w:snapToGrid w:val="0"/>
              <w:spacing w:after="0" w:line="360" w:lineRule="auto"/>
              <w:rPr>
                <w:rFonts w:ascii="Book Antiqua" w:hAnsi="Book Antiqua"/>
                <w:b/>
                <w:sz w:val="24"/>
                <w:szCs w:val="24"/>
                <w:lang w:val="en-US"/>
              </w:rPr>
            </w:pPr>
            <w:r w:rsidRPr="008D3C17">
              <w:rPr>
                <w:rFonts w:ascii="Book Antiqua" w:hAnsi="Book Antiqua"/>
                <w:b/>
                <w:sz w:val="24"/>
                <w:szCs w:val="24"/>
                <w:lang w:val="en-US"/>
              </w:rPr>
              <w:t>Main findings</w:t>
            </w:r>
          </w:p>
        </w:tc>
      </w:tr>
      <w:tr w:rsidR="00D55DFD" w:rsidRPr="008D3C17" w:rsidTr="002444B5">
        <w:tc>
          <w:tcPr>
            <w:tcW w:w="2596" w:type="dxa"/>
            <w:tcBorders>
              <w:top w:val="single" w:sz="4" w:space="0" w:color="auto"/>
            </w:tcBorders>
          </w:tcPr>
          <w:p w:rsidR="00D55DFD" w:rsidRPr="008D3C17" w:rsidRDefault="00D55DFD" w:rsidP="004D1EA2">
            <w:pPr>
              <w:snapToGrid w:val="0"/>
              <w:spacing w:after="0" w:line="360" w:lineRule="auto"/>
              <w:rPr>
                <w:rFonts w:ascii="Book Antiqua" w:hAnsi="Book Antiqua"/>
                <w:sz w:val="24"/>
                <w:szCs w:val="24"/>
              </w:rPr>
            </w:pPr>
            <w:r w:rsidRPr="008D3C17">
              <w:rPr>
                <w:rFonts w:ascii="Book Antiqua" w:hAnsi="Book Antiqua"/>
                <w:sz w:val="24"/>
                <w:szCs w:val="24"/>
              </w:rPr>
              <w:t xml:space="preserve">Hastie </w:t>
            </w:r>
            <w:r w:rsidRPr="008D3C17">
              <w:rPr>
                <w:rFonts w:ascii="Book Antiqua" w:hAnsi="Book Antiqua"/>
                <w:i/>
                <w:sz w:val="24"/>
                <w:szCs w:val="24"/>
              </w:rPr>
              <w:t>et al</w:t>
            </w:r>
            <w:r w:rsidRPr="008D3C17">
              <w:rPr>
                <w:rFonts w:ascii="Book Antiqua" w:hAnsi="Book Antiqua"/>
                <w:sz w:val="24"/>
                <w:szCs w:val="24"/>
                <w:vertAlign w:val="superscript"/>
              </w:rPr>
              <w:t>[31]</w:t>
            </w:r>
            <w:r w:rsidRPr="008D3C17">
              <w:rPr>
                <w:rFonts w:ascii="Book Antiqua" w:hAnsi="Book Antiqua"/>
                <w:i/>
                <w:sz w:val="24"/>
                <w:szCs w:val="24"/>
              </w:rPr>
              <w:t>,</w:t>
            </w:r>
            <w:r w:rsidRPr="008D3C17">
              <w:rPr>
                <w:rFonts w:ascii="Book Antiqua" w:hAnsi="Book Antiqua"/>
                <w:sz w:val="24"/>
                <w:szCs w:val="24"/>
              </w:rPr>
              <w:t xml:space="preserve"> 1990</w:t>
            </w:r>
          </w:p>
        </w:tc>
        <w:tc>
          <w:tcPr>
            <w:tcW w:w="3780" w:type="dxa"/>
            <w:tcBorders>
              <w:top w:val="single" w:sz="4" w:space="0" w:color="auto"/>
            </w:tcBorders>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23 (20 CRCs, 3 adenomas)</w:t>
            </w:r>
          </w:p>
          <w:p w:rsidR="00D55DFD" w:rsidRPr="008D3C17" w:rsidRDefault="00D55DFD" w:rsidP="004D1EA2">
            <w:pPr>
              <w:snapToGrid w:val="0"/>
              <w:spacing w:after="0" w:line="360" w:lineRule="auto"/>
              <w:jc w:val="center"/>
              <w:rPr>
                <w:rFonts w:ascii="Book Antiqua" w:hAnsi="Book Antiqua"/>
                <w:sz w:val="24"/>
                <w:szCs w:val="24"/>
                <w:lang w:val="en-GB"/>
              </w:rPr>
            </w:pPr>
            <w:r w:rsidRPr="008D3C17">
              <w:rPr>
                <w:rFonts w:ascii="Book Antiqua" w:hAnsi="Book Antiqua"/>
                <w:sz w:val="24"/>
                <w:szCs w:val="24"/>
                <w:lang w:val="en-GB"/>
              </w:rPr>
              <w:t>and 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GB"/>
              </w:rPr>
            </w:pPr>
            <w:r w:rsidRPr="008D3C17">
              <w:rPr>
                <w:rFonts w:ascii="Book Antiqua" w:hAnsi="Book Antiqua"/>
                <w:sz w:val="24"/>
                <w:szCs w:val="24"/>
                <w:lang w:val="en-GB"/>
              </w:rPr>
              <w:t>(frozen samples)</w:t>
            </w:r>
          </w:p>
          <w:p w:rsidR="00D55DFD" w:rsidRPr="008D3C17" w:rsidRDefault="00D55DFD" w:rsidP="004D1EA2">
            <w:pPr>
              <w:snapToGrid w:val="0"/>
              <w:spacing w:after="0" w:line="360" w:lineRule="auto"/>
              <w:jc w:val="center"/>
              <w:rPr>
                <w:rFonts w:ascii="Book Antiqua" w:hAnsi="Book Antiqua"/>
                <w:sz w:val="24"/>
                <w:szCs w:val="24"/>
                <w:lang w:val="en-GB"/>
              </w:rPr>
            </w:pPr>
          </w:p>
        </w:tc>
        <w:tc>
          <w:tcPr>
            <w:tcW w:w="7380" w:type="dxa"/>
            <w:tcBorders>
              <w:top w:val="single" w:sz="4" w:space="0" w:color="auto"/>
            </w:tcBorders>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Decrease with age in noncancerous  cells (33bp per year)</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and adenomas than in normal mucosa</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Engelhardt </w:t>
            </w:r>
            <w:r w:rsidRPr="008D3C17">
              <w:rPr>
                <w:rFonts w:ascii="Book Antiqua" w:hAnsi="Book Antiqua"/>
                <w:i/>
                <w:sz w:val="24"/>
                <w:szCs w:val="24"/>
                <w:lang w:val="en-US"/>
              </w:rPr>
              <w:t>et al</w:t>
            </w:r>
            <w:r w:rsidRPr="008D3C17">
              <w:rPr>
                <w:rFonts w:ascii="Book Antiqua" w:hAnsi="Book Antiqua"/>
                <w:sz w:val="24"/>
                <w:szCs w:val="24"/>
                <w:lang w:val="en-US"/>
              </w:rPr>
              <w:t xml:space="preserve"> </w:t>
            </w:r>
            <w:r w:rsidRPr="008D3C17">
              <w:rPr>
                <w:rFonts w:ascii="Book Antiqua" w:hAnsi="Book Antiqua"/>
                <w:sz w:val="24"/>
                <w:szCs w:val="24"/>
                <w:vertAlign w:val="superscript"/>
                <w:lang w:val="en-US"/>
              </w:rPr>
              <w:t xml:space="preserve">[32] </w:t>
            </w:r>
            <w:r w:rsidRPr="008D3C17">
              <w:rPr>
                <w:rFonts w:ascii="Book Antiqua" w:hAnsi="Book Antiqua"/>
                <w:sz w:val="24"/>
                <w:szCs w:val="24"/>
                <w:lang w:val="en-US"/>
              </w:rPr>
              <w:t>, 1997</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80 (50 CRCs, 20 polyps, 10 colitis)  and CRC 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normal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polyps and colitis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Longer in latestage  cancer with higher telomerase activity</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Do not  differ  between colon and rectum cancer</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Takagi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[33]</w:t>
            </w:r>
            <w:r w:rsidRPr="008D3C17">
              <w:rPr>
                <w:rFonts w:ascii="Book Antiqua" w:hAnsi="Book Antiqua"/>
                <w:i/>
                <w:sz w:val="24"/>
                <w:szCs w:val="24"/>
                <w:lang w:val="en-US"/>
              </w:rPr>
              <w:t>,</w:t>
            </w:r>
            <w:r w:rsidRPr="008D3C17">
              <w:rPr>
                <w:rFonts w:ascii="Book Antiqua" w:hAnsi="Book Antiqua"/>
                <w:sz w:val="24"/>
                <w:szCs w:val="24"/>
                <w:lang w:val="en-US"/>
              </w:rPr>
              <w:t xml:space="preserve"> 1999</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GB"/>
              </w:rPr>
            </w:pPr>
            <w:r w:rsidRPr="008D3C17">
              <w:rPr>
                <w:rFonts w:ascii="Book Antiqua" w:hAnsi="Book Antiqua"/>
                <w:sz w:val="24"/>
                <w:szCs w:val="24"/>
                <w:lang w:val="en-US"/>
              </w:rPr>
              <w:t xml:space="preserve">61 CRC (including 12 nonulcerating  and  39 ulcerating tumours, according to Borrmann's classification)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p w:rsidR="00D55DFD" w:rsidRPr="008D3C17" w:rsidRDefault="00D55DFD" w:rsidP="004D1EA2">
            <w:pPr>
              <w:snapToGrid w:val="0"/>
              <w:spacing w:after="0" w:line="360" w:lineRule="auto"/>
              <w:jc w:val="center"/>
              <w:rPr>
                <w:rFonts w:ascii="Book Antiqua" w:hAnsi="Book Antiqua"/>
                <w:sz w:val="24"/>
                <w:szCs w:val="24"/>
                <w:lang w:val="en-US"/>
              </w:rPr>
            </w:pP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nonulcerating CRCS than in normal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nonulcerating than in ulcerating tumours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Not correlated with tumour stage or grade</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Not correlated with telomerase activity</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vertAlign w:val="superscript"/>
                <w:lang w:val="en-US"/>
              </w:rPr>
            </w:pPr>
            <w:r w:rsidRPr="008D3C17">
              <w:rPr>
                <w:rFonts w:ascii="Book Antiqua" w:hAnsi="Book Antiqua"/>
                <w:sz w:val="24"/>
                <w:szCs w:val="24"/>
                <w:lang w:val="en-US"/>
              </w:rPr>
              <w:t xml:space="preserve">Katayama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[34]</w:t>
            </w:r>
            <w:r w:rsidRPr="008D3C17">
              <w:rPr>
                <w:rFonts w:ascii="Book Antiqua" w:hAnsi="Book Antiqua"/>
                <w:i/>
                <w:sz w:val="24"/>
                <w:szCs w:val="24"/>
                <w:lang w:val="en-US"/>
              </w:rPr>
              <w:t>,</w:t>
            </w:r>
            <w:r w:rsidRPr="008D3C17">
              <w:rPr>
                <w:rFonts w:ascii="Book Antiqua" w:hAnsi="Book Antiqua"/>
                <w:sz w:val="24"/>
                <w:szCs w:val="24"/>
                <w:lang w:val="en-US"/>
              </w:rPr>
              <w:t xml:space="preserve">  1999</w:t>
            </w:r>
          </w:p>
          <w:p w:rsidR="00D55DFD" w:rsidRPr="008D3C17" w:rsidRDefault="00D55DFD" w:rsidP="004D1EA2">
            <w:pPr>
              <w:snapToGrid w:val="0"/>
              <w:spacing w:after="0" w:line="360" w:lineRule="auto"/>
              <w:rPr>
                <w:rFonts w:ascii="Book Antiqua" w:hAnsi="Book Antiqua"/>
                <w:sz w:val="24"/>
                <w:szCs w:val="24"/>
                <w:lang w:val="en-US"/>
              </w:rPr>
            </w:pP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lastRenderedPageBreak/>
              <w:t>35 (26 CRCs, 9 polyps)</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p w:rsidR="00D55DFD" w:rsidRPr="008D3C17" w:rsidRDefault="00D55DFD" w:rsidP="004D1EA2">
            <w:pPr>
              <w:snapToGrid w:val="0"/>
              <w:spacing w:after="0" w:line="360" w:lineRule="auto"/>
              <w:jc w:val="center"/>
              <w:rPr>
                <w:rFonts w:ascii="Book Antiqua" w:hAnsi="Book Antiqua"/>
                <w:sz w:val="24"/>
                <w:szCs w:val="24"/>
                <w:lang w:val="en-US"/>
              </w:rPr>
            </w:pP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lastRenderedPageBreak/>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Do not differ  between CRCS and polyps</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lastRenderedPageBreak/>
              <w:t xml:space="preserve">Nakamura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[35]</w:t>
            </w:r>
            <w:r w:rsidRPr="008D3C17">
              <w:rPr>
                <w:rFonts w:ascii="Book Antiqua" w:hAnsi="Book Antiqua"/>
                <w:i/>
                <w:sz w:val="24"/>
                <w:szCs w:val="24"/>
                <w:lang w:val="en-US"/>
              </w:rPr>
              <w:t>,</w:t>
            </w:r>
            <w:r w:rsidRPr="008D3C17">
              <w:rPr>
                <w:rFonts w:ascii="Book Antiqua" w:hAnsi="Book Antiqua"/>
                <w:sz w:val="24"/>
                <w:szCs w:val="24"/>
                <w:lang w:val="en-US"/>
              </w:rPr>
              <w:t xml:space="preserve"> 2000</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 xml:space="preserve">124 CRC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normal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Decrease with age in both cancer and noncancerous cells (44 and 50 bp/year)</w:t>
            </w:r>
          </w:p>
          <w:p w:rsidR="00D55DFD" w:rsidRPr="008D3C17" w:rsidRDefault="00D55DFD" w:rsidP="004D1EA2">
            <w:pPr>
              <w:snapToGrid w:val="0"/>
              <w:spacing w:after="0" w:line="360" w:lineRule="auto"/>
              <w:rPr>
                <w:rFonts w:ascii="Book Antiqua" w:hAnsi="Book Antiqua"/>
                <w:sz w:val="24"/>
                <w:szCs w:val="24"/>
                <w:lang w:val="en-US"/>
              </w:rPr>
            </w:pP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Plentz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[36]</w:t>
            </w:r>
            <w:r w:rsidRPr="008D3C17">
              <w:rPr>
                <w:rFonts w:ascii="Book Antiqua" w:hAnsi="Book Antiqua"/>
                <w:i/>
                <w:sz w:val="24"/>
                <w:szCs w:val="24"/>
                <w:lang w:val="en-US"/>
              </w:rPr>
              <w:t xml:space="preserve">, </w:t>
            </w:r>
            <w:r w:rsidRPr="008D3C17">
              <w:rPr>
                <w:rFonts w:ascii="Book Antiqua" w:hAnsi="Book Antiqua"/>
                <w:sz w:val="24"/>
                <w:szCs w:val="24"/>
                <w:lang w:val="en-US"/>
              </w:rPr>
              <w:t>2003</w:t>
            </w:r>
          </w:p>
        </w:tc>
        <w:tc>
          <w:tcPr>
            <w:tcW w:w="3780" w:type="dxa"/>
          </w:tcPr>
          <w:p w:rsidR="00D55DFD" w:rsidRPr="008D3C17" w:rsidRDefault="00D55DFD" w:rsidP="004D1EA2">
            <w:pPr>
              <w:snapToGrid w:val="0"/>
              <w:spacing w:after="0" w:line="360" w:lineRule="auto"/>
              <w:jc w:val="center"/>
              <w:rPr>
                <w:rFonts w:ascii="Book Antiqua" w:hAnsi="Book Antiqua"/>
                <w:sz w:val="24"/>
                <w:szCs w:val="24"/>
              </w:rPr>
            </w:pPr>
            <w:r w:rsidRPr="008D3C17">
              <w:rPr>
                <w:rFonts w:ascii="Book Antiqua" w:hAnsi="Book Antiqua"/>
                <w:sz w:val="24"/>
                <w:szCs w:val="24"/>
              </w:rPr>
              <w:t>10 (adenomacarcinoma transition)</w:t>
            </w:r>
          </w:p>
          <w:p w:rsidR="00D55DFD" w:rsidRPr="008D3C17" w:rsidRDefault="00D55DFD" w:rsidP="004D1EA2">
            <w:pPr>
              <w:snapToGrid w:val="0"/>
              <w:spacing w:after="0" w:line="360" w:lineRule="auto"/>
              <w:jc w:val="center"/>
              <w:rPr>
                <w:rFonts w:ascii="Book Antiqua" w:hAnsi="Book Antiqua"/>
                <w:sz w:val="24"/>
                <w:szCs w:val="24"/>
              </w:rPr>
            </w:pPr>
            <w:r w:rsidRPr="008D3C17">
              <w:rPr>
                <w:rFonts w:ascii="Book Antiqua" w:hAnsi="Book Antiqua"/>
                <w:sz w:val="24"/>
                <w:szCs w:val="24"/>
              </w:rPr>
              <w:t>(paraffinembedded samples)</w:t>
            </w:r>
          </w:p>
          <w:p w:rsidR="00D55DFD" w:rsidRPr="008D3C17" w:rsidRDefault="00D55DFD" w:rsidP="004D1EA2">
            <w:pPr>
              <w:snapToGrid w:val="0"/>
              <w:spacing w:after="0" w:line="360" w:lineRule="auto"/>
              <w:jc w:val="center"/>
              <w:rPr>
                <w:rFonts w:ascii="Book Antiqua" w:hAnsi="Book Antiqua"/>
                <w:sz w:val="24"/>
                <w:szCs w:val="24"/>
              </w:rPr>
            </w:pP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highgrade dysplastic areas than in the surrounding adenoma</w:t>
            </w:r>
          </w:p>
          <w:p w:rsidR="00D55DFD" w:rsidRPr="008D3C17" w:rsidRDefault="00D55DFD" w:rsidP="004D1EA2">
            <w:pPr>
              <w:snapToGrid w:val="0"/>
              <w:spacing w:after="0" w:line="360" w:lineRule="auto"/>
              <w:rPr>
                <w:rFonts w:ascii="Book Antiqua" w:hAnsi="Book Antiqua"/>
                <w:sz w:val="24"/>
                <w:szCs w:val="24"/>
                <w:lang w:val="en-US"/>
              </w:rPr>
            </w:pP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Gertler </w:t>
            </w:r>
            <w:r w:rsidRPr="008D3C17">
              <w:rPr>
                <w:rFonts w:ascii="Book Antiqua" w:hAnsi="Book Antiqua"/>
                <w:i/>
                <w:sz w:val="24"/>
                <w:szCs w:val="24"/>
                <w:lang w:val="en-US"/>
              </w:rPr>
              <w:t>et a</w:t>
            </w:r>
            <w:r w:rsidRPr="008D3C17">
              <w:rPr>
                <w:rFonts w:ascii="Book Antiqua" w:hAnsi="Book Antiqua"/>
                <w:sz w:val="24"/>
                <w:szCs w:val="24"/>
                <w:lang w:val="en-US"/>
              </w:rPr>
              <w:t>l</w:t>
            </w:r>
            <w:r w:rsidRPr="008D3C17">
              <w:rPr>
                <w:rFonts w:ascii="Book Antiqua" w:hAnsi="Book Antiqua"/>
                <w:sz w:val="24"/>
                <w:szCs w:val="24"/>
                <w:vertAlign w:val="superscript"/>
                <w:lang w:val="en-US"/>
              </w:rPr>
              <w:t>[37]</w:t>
            </w:r>
            <w:r w:rsidRPr="008D3C17">
              <w:rPr>
                <w:rFonts w:ascii="Book Antiqua" w:hAnsi="Book Antiqua"/>
                <w:sz w:val="24"/>
                <w:szCs w:val="24"/>
                <w:lang w:val="en-US"/>
              </w:rPr>
              <w:t>, 2004</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 xml:space="preserve">57 CRC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adjacent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Decrease with age only in noncancer cells (19 bp per year)</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Correlate with tumour stage, being longer in advanced tumours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Correlate with tert mrna levels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Lead to a poor prognosis if TL cancer/ TL noncancer &gt;</w:t>
            </w:r>
            <w:r w:rsidRPr="008D3C17">
              <w:rPr>
                <w:rFonts w:ascii="Book Antiqua" w:hAnsi="Book Antiqua"/>
                <w:sz w:val="24"/>
                <w:szCs w:val="24"/>
                <w:lang w:val="en-US" w:eastAsia="zh-CN"/>
              </w:rPr>
              <w:t xml:space="preserve"> </w:t>
            </w:r>
            <w:r w:rsidRPr="008D3C17">
              <w:rPr>
                <w:rFonts w:ascii="Book Antiqua" w:hAnsi="Book Antiqua"/>
                <w:sz w:val="24"/>
                <w:szCs w:val="24"/>
                <w:lang w:val="en-US"/>
              </w:rPr>
              <w:t>0.9</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Do not differ between colon and rectum cancer</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rPr>
            </w:pPr>
            <w:r w:rsidRPr="008D3C17">
              <w:rPr>
                <w:rFonts w:ascii="Book Antiqua" w:hAnsi="Book Antiqua"/>
                <w:sz w:val="24"/>
                <w:szCs w:val="24"/>
              </w:rPr>
              <w:t xml:space="preserve">GarciaAranda </w:t>
            </w:r>
            <w:r w:rsidRPr="008D3C17">
              <w:rPr>
                <w:rFonts w:ascii="Book Antiqua" w:hAnsi="Book Antiqua"/>
                <w:i/>
                <w:sz w:val="24"/>
                <w:szCs w:val="24"/>
              </w:rPr>
              <w:t>et al</w:t>
            </w:r>
            <w:r w:rsidRPr="008D3C17">
              <w:rPr>
                <w:rFonts w:ascii="Book Antiqua" w:hAnsi="Book Antiqua"/>
                <w:sz w:val="24"/>
                <w:szCs w:val="24"/>
                <w:vertAlign w:val="superscript"/>
              </w:rPr>
              <w:t>[38]</w:t>
            </w:r>
            <w:r w:rsidRPr="008D3C17">
              <w:rPr>
                <w:rFonts w:ascii="Book Antiqua" w:hAnsi="Book Antiqua"/>
                <w:i/>
                <w:sz w:val="24"/>
                <w:szCs w:val="24"/>
              </w:rPr>
              <w:t xml:space="preserve">, </w:t>
            </w:r>
            <w:r w:rsidRPr="008D3C17">
              <w:rPr>
                <w:rFonts w:ascii="Book Antiqua" w:hAnsi="Book Antiqua"/>
                <w:sz w:val="24"/>
                <w:szCs w:val="24"/>
              </w:rPr>
              <w:t>2006</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 xml:space="preserve">91 CRC (23 rightcolon, 13 leftcolon, 55 rectum)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 than in adjacent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rightcolon cancers than in  tumours located in other sites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poorly differentiated tumours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Tend to be longer in telomerasepositive CRCS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Have  prognostic value (longer telomeres: poor clinical outcome)</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Correlated with the expression of TRF1 protein</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O’Sullivan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[39]</w:t>
            </w:r>
            <w:r w:rsidRPr="008D3C17">
              <w:rPr>
                <w:rFonts w:ascii="Book Antiqua" w:hAnsi="Book Antiqua"/>
                <w:i/>
                <w:sz w:val="24"/>
                <w:szCs w:val="24"/>
                <w:lang w:val="en-US"/>
              </w:rPr>
              <w:t>,</w:t>
            </w:r>
            <w:r w:rsidRPr="008D3C17">
              <w:rPr>
                <w:rFonts w:ascii="Book Antiqua" w:hAnsi="Book Antiqua"/>
                <w:sz w:val="24"/>
                <w:szCs w:val="24"/>
                <w:lang w:val="en-US"/>
              </w:rPr>
              <w:t xml:space="preserve"> 2006</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38 (26 adenomas, 12 CRCs)</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(paraffinembedded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adenomas than in adjacent  and distant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Similar in CRCS and  adjacent and distant mucosa</w:t>
            </w:r>
          </w:p>
        </w:tc>
      </w:tr>
      <w:tr w:rsidR="00D55DFD" w:rsidRPr="008D3C17" w:rsidTr="002444B5">
        <w:trPr>
          <w:trHeight w:val="999"/>
        </w:trPr>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Raynaud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[40]</w:t>
            </w:r>
            <w:r w:rsidRPr="008D3C17">
              <w:rPr>
                <w:rFonts w:ascii="Book Antiqua" w:hAnsi="Book Antiqua"/>
                <w:i/>
                <w:sz w:val="24"/>
                <w:szCs w:val="24"/>
                <w:lang w:val="en-US"/>
              </w:rPr>
              <w:t>,</w:t>
            </w:r>
            <w:r w:rsidRPr="008D3C17">
              <w:rPr>
                <w:rFonts w:ascii="Book Antiqua" w:hAnsi="Book Antiqua"/>
                <w:sz w:val="24"/>
                <w:szCs w:val="24"/>
                <w:lang w:val="en-US"/>
              </w:rPr>
              <w:t xml:space="preserve"> 2008</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15, each case with normal mucosa, lowgrade dysplasia, highgrade dysplasia and carcinoma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lastRenderedPageBreak/>
              <w:t>(paraffinembedded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lastRenderedPageBreak/>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lowgrade and highgrade dysplasia than in carcinoma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bCs/>
                <w:sz w:val="24"/>
                <w:szCs w:val="24"/>
                <w:lang w:val="en-GB"/>
              </w:rPr>
              <w:t>Inversely correlated with activation of the DDR pathway</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lastRenderedPageBreak/>
              <w:t xml:space="preserve">Rampazzo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[41]</w:t>
            </w:r>
            <w:r w:rsidRPr="008D3C17">
              <w:rPr>
                <w:rFonts w:ascii="Book Antiqua" w:hAnsi="Book Antiqua"/>
                <w:i/>
                <w:sz w:val="24"/>
                <w:szCs w:val="24"/>
                <w:lang w:val="en-US"/>
              </w:rPr>
              <w:t>,</w:t>
            </w:r>
            <w:r w:rsidRPr="008D3C17">
              <w:rPr>
                <w:rFonts w:ascii="Book Antiqua" w:hAnsi="Book Antiqua"/>
                <w:sz w:val="24"/>
                <w:szCs w:val="24"/>
                <w:lang w:val="en-US"/>
              </w:rPr>
              <w:t xml:space="preserve"> 2010</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 xml:space="preserve">118 CRC (53 rightcolon, 30 leftcolon, 35 rectum)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adjacent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rightcolon cancers than in tumours located in other sites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MSI than in mss tumours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Decrease with age only in noncancer cells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Not correlated with tumour stage or grade</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Not correlated with tert mRNA levels</w:t>
            </w:r>
          </w:p>
        </w:tc>
      </w:tr>
      <w:tr w:rsidR="00D55DFD" w:rsidRPr="008D3C17" w:rsidTr="002444B5">
        <w:tc>
          <w:tcPr>
            <w:tcW w:w="2596"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Valls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[42]</w:t>
            </w:r>
            <w:r w:rsidRPr="008D3C17">
              <w:rPr>
                <w:rFonts w:ascii="Book Antiqua" w:hAnsi="Book Antiqua"/>
                <w:i/>
                <w:sz w:val="24"/>
                <w:szCs w:val="24"/>
                <w:lang w:val="en-US"/>
              </w:rPr>
              <w:t>,</w:t>
            </w:r>
            <w:r w:rsidRPr="008D3C17">
              <w:rPr>
                <w:rFonts w:ascii="Book Antiqua" w:hAnsi="Book Antiqua"/>
                <w:sz w:val="24"/>
                <w:szCs w:val="24"/>
                <w:lang w:val="en-US"/>
              </w:rPr>
              <w:t xml:space="preserve"> 2011</w:t>
            </w:r>
          </w:p>
        </w:tc>
        <w:tc>
          <w:tcPr>
            <w:tcW w:w="3780" w:type="dxa"/>
          </w:tcPr>
          <w:p w:rsidR="00D55DFD" w:rsidRPr="008D3C17" w:rsidRDefault="00D55DFD" w:rsidP="004D1EA2">
            <w:pPr>
              <w:snapToGrid w:val="0"/>
              <w:spacing w:after="0" w:line="360" w:lineRule="auto"/>
              <w:jc w:val="center"/>
              <w:rPr>
                <w:rFonts w:ascii="Book Antiqua" w:hAnsi="Book Antiqua"/>
                <w:sz w:val="24"/>
                <w:szCs w:val="24"/>
                <w:lang w:val="en-GB"/>
              </w:rPr>
            </w:pPr>
            <w:r w:rsidRPr="008D3C17">
              <w:rPr>
                <w:rFonts w:ascii="Book Antiqua" w:hAnsi="Book Antiqua"/>
                <w:sz w:val="24"/>
                <w:szCs w:val="24"/>
                <w:lang w:val="en-US"/>
              </w:rPr>
              <w:t xml:space="preserve">147 CRC  and </w:t>
            </w:r>
            <w:r w:rsidRPr="008D3C17">
              <w:rPr>
                <w:rFonts w:ascii="Book Antiqua" w:hAnsi="Book Antiqua"/>
                <w:sz w:val="24"/>
                <w:szCs w:val="24"/>
                <w:lang w:val="en-GB"/>
              </w:rPr>
              <w:t>patientmatched   noncancerous mucosa</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GB"/>
              </w:rPr>
              <w:t>(frozen samples)</w:t>
            </w:r>
          </w:p>
          <w:p w:rsidR="00D55DFD" w:rsidRPr="008D3C17" w:rsidRDefault="00D55DFD" w:rsidP="004D1EA2">
            <w:pPr>
              <w:snapToGrid w:val="0"/>
              <w:spacing w:after="0" w:line="360" w:lineRule="auto"/>
              <w:jc w:val="center"/>
              <w:rPr>
                <w:rFonts w:ascii="Book Antiqua" w:hAnsi="Book Antiqua"/>
                <w:sz w:val="24"/>
                <w:szCs w:val="24"/>
                <w:lang w:val="en-US"/>
              </w:rPr>
            </w:pPr>
          </w:p>
        </w:tc>
        <w:tc>
          <w:tcPr>
            <w:tcW w:w="7380" w:type="dxa"/>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CRCS than in adjacent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In cancer correlate with TL in normal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Do  not differ between colon and rectum cancer</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Not correlated with tumor stage</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Have prognostic value (TL cancer/ TL noncancer ≤ 1: higher OS)</w:t>
            </w:r>
          </w:p>
        </w:tc>
      </w:tr>
      <w:tr w:rsidR="00D55DFD" w:rsidRPr="008D3C17" w:rsidTr="002444B5">
        <w:tc>
          <w:tcPr>
            <w:tcW w:w="2596" w:type="dxa"/>
            <w:tcBorders>
              <w:bottom w:val="single" w:sz="4" w:space="0" w:color="auto"/>
            </w:tcBorders>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 xml:space="preserve">Roger </w:t>
            </w:r>
            <w:r w:rsidRPr="008D3C17">
              <w:rPr>
                <w:rFonts w:ascii="Book Antiqua" w:hAnsi="Book Antiqua"/>
                <w:i/>
                <w:sz w:val="24"/>
                <w:szCs w:val="24"/>
                <w:lang w:val="en-US"/>
              </w:rPr>
              <w:t>et al</w:t>
            </w:r>
            <w:r w:rsidRPr="008D3C17">
              <w:rPr>
                <w:rFonts w:ascii="Book Antiqua" w:hAnsi="Book Antiqua"/>
                <w:sz w:val="24"/>
                <w:szCs w:val="24"/>
                <w:vertAlign w:val="superscript"/>
                <w:lang w:val="en-US"/>
              </w:rPr>
              <w:t>[43]</w:t>
            </w:r>
            <w:r w:rsidRPr="008D3C17">
              <w:rPr>
                <w:rFonts w:ascii="Book Antiqua" w:hAnsi="Book Antiqua"/>
                <w:i/>
                <w:sz w:val="24"/>
                <w:szCs w:val="24"/>
                <w:lang w:val="en-US"/>
              </w:rPr>
              <w:t>,</w:t>
            </w:r>
            <w:r w:rsidRPr="008D3C17">
              <w:rPr>
                <w:rFonts w:ascii="Book Antiqua" w:hAnsi="Book Antiqua"/>
                <w:sz w:val="24"/>
                <w:szCs w:val="24"/>
                <w:lang w:val="en-US"/>
              </w:rPr>
              <w:t xml:space="preserve"> 2013</w:t>
            </w:r>
          </w:p>
        </w:tc>
        <w:tc>
          <w:tcPr>
            <w:tcW w:w="3780" w:type="dxa"/>
            <w:tcBorders>
              <w:bottom w:val="single" w:sz="4" w:space="0" w:color="auto"/>
            </w:tcBorders>
          </w:tcPr>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135 (85 polyps from 10 patients with FAP, 50 CRCs)</w:t>
            </w:r>
          </w:p>
          <w:p w:rsidR="00D55DFD" w:rsidRPr="008D3C17" w:rsidRDefault="00D55DFD" w:rsidP="004D1EA2">
            <w:pPr>
              <w:snapToGrid w:val="0"/>
              <w:spacing w:after="0" w:line="360" w:lineRule="auto"/>
              <w:jc w:val="center"/>
              <w:rPr>
                <w:rFonts w:ascii="Book Antiqua" w:hAnsi="Book Antiqua"/>
                <w:sz w:val="24"/>
                <w:szCs w:val="24"/>
                <w:lang w:val="en-US"/>
              </w:rPr>
            </w:pPr>
            <w:r w:rsidRPr="008D3C17">
              <w:rPr>
                <w:rFonts w:ascii="Book Antiqua" w:hAnsi="Book Antiqua"/>
                <w:sz w:val="24"/>
                <w:szCs w:val="24"/>
                <w:lang w:val="en-US"/>
              </w:rPr>
              <w:t>(frozen samples)</w:t>
            </w:r>
          </w:p>
        </w:tc>
        <w:tc>
          <w:tcPr>
            <w:tcW w:w="7380" w:type="dxa"/>
            <w:tcBorders>
              <w:bottom w:val="single" w:sz="4" w:space="0" w:color="auto"/>
            </w:tcBorders>
          </w:tcPr>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TL</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Shorter in polyps than in normal mucosa</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Correlated with genomic rearrangement in polyps</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Independent of adenoma size</w:t>
            </w:r>
          </w:p>
          <w:p w:rsidR="00D55DFD" w:rsidRPr="008D3C17" w:rsidRDefault="00D55DFD" w:rsidP="004D1EA2">
            <w:pPr>
              <w:snapToGrid w:val="0"/>
              <w:spacing w:after="0" w:line="360" w:lineRule="auto"/>
              <w:rPr>
                <w:rFonts w:ascii="Book Antiqua" w:hAnsi="Book Antiqua"/>
                <w:sz w:val="24"/>
                <w:szCs w:val="24"/>
                <w:lang w:val="en-US"/>
              </w:rPr>
            </w:pPr>
            <w:r w:rsidRPr="008D3C17">
              <w:rPr>
                <w:rFonts w:ascii="Book Antiqua" w:hAnsi="Book Antiqua"/>
                <w:sz w:val="24"/>
                <w:szCs w:val="24"/>
                <w:lang w:val="en-US"/>
              </w:rPr>
              <w:t>In polyps may reflect  the TL of the originating cells</w:t>
            </w:r>
          </w:p>
        </w:tc>
      </w:tr>
    </w:tbl>
    <w:p w:rsidR="00D55DFD" w:rsidRPr="006F2809" w:rsidRDefault="00D55DFD" w:rsidP="004D1EA2">
      <w:pPr>
        <w:snapToGrid w:val="0"/>
        <w:spacing w:after="0" w:line="360" w:lineRule="auto"/>
        <w:ind w:left="360" w:hangingChars="150" w:hanging="360"/>
        <w:rPr>
          <w:rFonts w:ascii="Book Antiqua" w:hAnsi="Book Antiqua"/>
          <w:sz w:val="24"/>
          <w:szCs w:val="24"/>
          <w:lang w:val="en-US" w:eastAsia="zh-CN"/>
        </w:rPr>
      </w:pPr>
      <w:r w:rsidRPr="006F2809">
        <w:rPr>
          <w:rFonts w:ascii="Book Antiqua" w:hAnsi="Book Antiqua"/>
          <w:sz w:val="24"/>
          <w:szCs w:val="24"/>
          <w:lang w:val="en-US"/>
        </w:rPr>
        <w:t xml:space="preserve">      TL: Telomere lengths; CRC: Colorectal cancer; DDR: DNA damage response; OS: Overall survival; FAP: Familial adenomatous polyposis</w:t>
      </w:r>
      <w:r w:rsidRPr="006F2809">
        <w:rPr>
          <w:rFonts w:ascii="Book Antiqua" w:hAnsi="Book Antiqua"/>
          <w:sz w:val="24"/>
          <w:szCs w:val="24"/>
          <w:lang w:val="en-US" w:eastAsia="zh-CN"/>
        </w:rPr>
        <w:t>.</w:t>
      </w:r>
    </w:p>
    <w:p w:rsidR="00D55DFD" w:rsidRPr="006F2809" w:rsidRDefault="00D55DFD" w:rsidP="004D1EA2">
      <w:pPr>
        <w:snapToGrid w:val="0"/>
        <w:spacing w:after="0" w:line="360" w:lineRule="auto"/>
        <w:rPr>
          <w:rFonts w:ascii="Book Antiqua" w:eastAsia="MS Mincho" w:hAnsi="Book Antiqua"/>
          <w:b/>
          <w:sz w:val="24"/>
          <w:szCs w:val="24"/>
          <w:lang w:val="en-US" w:eastAsia="ja-JP"/>
        </w:rPr>
      </w:pPr>
    </w:p>
    <w:p w:rsidR="00D55DFD" w:rsidRPr="006F2809" w:rsidRDefault="00D55DFD" w:rsidP="004D1EA2">
      <w:pPr>
        <w:snapToGrid w:val="0"/>
        <w:spacing w:after="0" w:line="360" w:lineRule="auto"/>
        <w:rPr>
          <w:rFonts w:ascii="Book Antiqua" w:hAnsi="Book Antiqua"/>
          <w:sz w:val="24"/>
          <w:szCs w:val="24"/>
          <w:lang w:val="en-US" w:eastAsia="zh-CN"/>
        </w:rPr>
      </w:pPr>
      <w:r w:rsidRPr="006F2809">
        <w:rPr>
          <w:rFonts w:ascii="Book Antiqua" w:eastAsia="Times New Roman" w:hAnsi="Book Antiqua"/>
          <w:sz w:val="24"/>
          <w:szCs w:val="24"/>
          <w:lang w:val="en-US"/>
        </w:rPr>
        <w:t xml:space="preserve">    </w:t>
      </w:r>
    </w:p>
    <w:p w:rsidR="00D55DFD" w:rsidRPr="006F2809" w:rsidRDefault="00D55DFD" w:rsidP="004D1EA2">
      <w:pPr>
        <w:snapToGrid w:val="0"/>
        <w:spacing w:after="0" w:line="360" w:lineRule="auto"/>
        <w:rPr>
          <w:rFonts w:ascii="Book Antiqua" w:eastAsia="Times New Roman" w:hAnsi="Book Antiqua"/>
          <w:b/>
          <w:sz w:val="24"/>
          <w:szCs w:val="24"/>
          <w:lang w:val="en-US"/>
        </w:rPr>
      </w:pPr>
      <w:r w:rsidRPr="006F2809">
        <w:rPr>
          <w:rFonts w:ascii="Book Antiqua" w:eastAsia="Times New Roman" w:hAnsi="Book Antiqua"/>
          <w:b/>
          <w:sz w:val="24"/>
          <w:szCs w:val="24"/>
          <w:lang w:val="en-US"/>
        </w:rPr>
        <w:t xml:space="preserve">        Table </w:t>
      </w:r>
      <w:r w:rsidRPr="006F2809">
        <w:rPr>
          <w:rFonts w:ascii="Book Antiqua" w:hAnsi="Book Antiqua"/>
          <w:b/>
          <w:sz w:val="24"/>
          <w:szCs w:val="24"/>
          <w:lang w:val="en-US" w:eastAsia="zh-CN"/>
        </w:rPr>
        <w:t xml:space="preserve">3 </w:t>
      </w:r>
      <w:r w:rsidRPr="006F2809">
        <w:rPr>
          <w:rFonts w:ascii="Book Antiqua" w:eastAsia="Times New Roman" w:hAnsi="Book Antiqua"/>
          <w:b/>
          <w:sz w:val="24"/>
          <w:szCs w:val="24"/>
          <w:lang w:val="en-US"/>
        </w:rPr>
        <w:t>Telomerase as a marker of disease in colorectal cancer</w:t>
      </w:r>
    </w:p>
    <w:tbl>
      <w:tblPr>
        <w:tblW w:w="13329" w:type="dxa"/>
        <w:tblInd w:w="529" w:type="dxa"/>
        <w:tblBorders>
          <w:top w:val="single" w:sz="4" w:space="0" w:color="000000"/>
          <w:bottom w:val="single" w:sz="4" w:space="0" w:color="000000"/>
        </w:tblBorders>
        <w:tblLayout w:type="fixed"/>
        <w:tblLook w:val="0000" w:firstRow="0" w:lastRow="0" w:firstColumn="0" w:lastColumn="0" w:noHBand="0" w:noVBand="0"/>
      </w:tblPr>
      <w:tblGrid>
        <w:gridCol w:w="2131"/>
        <w:gridCol w:w="3685"/>
        <w:gridCol w:w="7513"/>
      </w:tblGrid>
      <w:tr w:rsidR="00D55DFD" w:rsidRPr="008D3C17" w:rsidTr="000D1873">
        <w:tc>
          <w:tcPr>
            <w:tcW w:w="2131" w:type="dxa"/>
            <w:tcBorders>
              <w:top w:val="single" w:sz="4" w:space="0" w:color="000000"/>
              <w:bottom w:val="single" w:sz="4" w:space="0" w:color="000000"/>
            </w:tcBorders>
          </w:tcPr>
          <w:p w:rsidR="00D55DFD" w:rsidRPr="008D3C17" w:rsidRDefault="00D55DFD" w:rsidP="004D1EA2">
            <w:pPr>
              <w:snapToGrid w:val="0"/>
              <w:spacing w:after="0" w:line="360" w:lineRule="auto"/>
              <w:rPr>
                <w:rFonts w:ascii="Book Antiqua" w:hAnsi="Book Antiqua"/>
                <w:b/>
                <w:sz w:val="24"/>
                <w:szCs w:val="24"/>
                <w:lang w:val="en-US" w:eastAsia="zh-CN"/>
              </w:rPr>
            </w:pPr>
            <w:r w:rsidRPr="006F2809">
              <w:rPr>
                <w:rFonts w:ascii="Book Antiqua" w:eastAsia="Times New Roman" w:hAnsi="Book Antiqua"/>
                <w:b/>
                <w:sz w:val="24"/>
                <w:szCs w:val="24"/>
                <w:lang w:val="en-US"/>
              </w:rPr>
              <w:t>Reference</w:t>
            </w:r>
          </w:p>
        </w:tc>
        <w:tc>
          <w:tcPr>
            <w:tcW w:w="3685" w:type="dxa"/>
            <w:tcBorders>
              <w:top w:val="single" w:sz="4" w:space="0" w:color="000000"/>
              <w:bottom w:val="single" w:sz="4" w:space="0" w:color="000000"/>
            </w:tcBorders>
          </w:tcPr>
          <w:p w:rsidR="00D55DFD" w:rsidRPr="006F2809" w:rsidRDefault="00D55DFD" w:rsidP="004D1EA2">
            <w:pPr>
              <w:snapToGrid w:val="0"/>
              <w:spacing w:after="0" w:line="360" w:lineRule="auto"/>
              <w:jc w:val="center"/>
              <w:rPr>
                <w:rFonts w:ascii="Book Antiqua" w:eastAsia="Times New Roman" w:hAnsi="Book Antiqua"/>
                <w:b/>
                <w:sz w:val="24"/>
                <w:szCs w:val="24"/>
                <w:lang w:val="en-US"/>
              </w:rPr>
            </w:pPr>
            <w:r w:rsidRPr="006F2809">
              <w:rPr>
                <w:rFonts w:ascii="Book Antiqua" w:eastAsia="Times New Roman" w:hAnsi="Book Antiqua"/>
                <w:b/>
                <w:sz w:val="24"/>
                <w:szCs w:val="24"/>
                <w:lang w:val="en-US"/>
              </w:rPr>
              <w:t>Cases</w:t>
            </w:r>
          </w:p>
        </w:tc>
        <w:tc>
          <w:tcPr>
            <w:tcW w:w="7513" w:type="dxa"/>
            <w:tcBorders>
              <w:top w:val="single" w:sz="4" w:space="0" w:color="000000"/>
              <w:bottom w:val="single" w:sz="4" w:space="0" w:color="000000"/>
            </w:tcBorders>
          </w:tcPr>
          <w:p w:rsidR="00D55DFD" w:rsidRPr="006F2809" w:rsidRDefault="00D55DFD" w:rsidP="004D1EA2">
            <w:pPr>
              <w:snapToGrid w:val="0"/>
              <w:spacing w:after="0" w:line="360" w:lineRule="auto"/>
              <w:rPr>
                <w:rFonts w:ascii="Book Antiqua" w:eastAsia="Times New Roman" w:hAnsi="Book Antiqua"/>
                <w:b/>
                <w:sz w:val="24"/>
                <w:szCs w:val="24"/>
                <w:lang w:val="en-US"/>
              </w:rPr>
            </w:pPr>
            <w:r w:rsidRPr="006F2809">
              <w:rPr>
                <w:rFonts w:ascii="Book Antiqua" w:eastAsia="Times New Roman" w:hAnsi="Book Antiqua"/>
                <w:b/>
                <w:sz w:val="24"/>
                <w:szCs w:val="24"/>
                <w:lang w:val="en-US"/>
              </w:rPr>
              <w:t>Main findings</w:t>
            </w:r>
          </w:p>
        </w:tc>
      </w:tr>
      <w:tr w:rsidR="00D55DFD" w:rsidRPr="008D3C17" w:rsidTr="000D1873">
        <w:tc>
          <w:tcPr>
            <w:tcW w:w="2131" w:type="dxa"/>
            <w:tcBorders>
              <w:top w:val="single" w:sz="4" w:space="0" w:color="000000"/>
            </w:tcBorders>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Engelhardt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[32]</w:t>
            </w:r>
            <w:r w:rsidRPr="006F2809">
              <w:rPr>
                <w:rFonts w:ascii="Book Antiqua" w:eastAsia="Times New Roman" w:hAnsi="Book Antiqua"/>
                <w:i/>
                <w:sz w:val="24"/>
                <w:szCs w:val="24"/>
                <w:lang w:val="en-US"/>
              </w:rPr>
              <w:t xml:space="preserve">, </w:t>
            </w:r>
            <w:r w:rsidRPr="006F2809">
              <w:rPr>
                <w:rFonts w:ascii="Book Antiqua" w:eastAsia="Times New Roman" w:hAnsi="Book Antiqua"/>
                <w:sz w:val="24"/>
                <w:szCs w:val="24"/>
                <w:lang w:val="en-US"/>
              </w:rPr>
              <w:t>1997</w:t>
            </w:r>
          </w:p>
        </w:tc>
        <w:tc>
          <w:tcPr>
            <w:tcW w:w="3685" w:type="dxa"/>
            <w:tcBorders>
              <w:top w:val="single" w:sz="4" w:space="0" w:color="000000"/>
            </w:tcBorders>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80 (50 CRCs, 20 polyps, 10 colitis) cancerous  and 50 CRC patientmatched  noncancerous mucosa specimens</w:t>
            </w:r>
          </w:p>
        </w:tc>
        <w:tc>
          <w:tcPr>
            <w:tcW w:w="7513" w:type="dxa"/>
            <w:tcBorders>
              <w:top w:val="single" w:sz="4" w:space="0" w:color="000000"/>
            </w:tcBorders>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Absent in normal tissues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CRCS than in nonneoplastic lesions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latestage than in earlystage tumours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lastRenderedPageBreak/>
              <w:t xml:space="preserve">Tatsumoto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[58]</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2000</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100 CRC and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 than in adjacent noncancerous mucosa</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detectable in adjacent noncancerous mucosa derived from intestinal crypt  basal cells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CRC stage or grade</w:t>
            </w:r>
            <w:r w:rsidRPr="008D3C17">
              <w:rPr>
                <w:rFonts w:ascii="Book Antiqua" w:hAnsi="Book Antiqua"/>
                <w:sz w:val="24"/>
                <w:szCs w:val="24"/>
                <w:lang w:val="en-US" w:eastAsia="zh-CN"/>
              </w:rPr>
              <w:t xml:space="preserve"> </w:t>
            </w:r>
            <w:r w:rsidRPr="006F2809">
              <w:rPr>
                <w:rFonts w:ascii="Book Antiqua" w:eastAsia="Times New Roman" w:hAnsi="Book Antiqua"/>
                <w:sz w:val="24"/>
                <w:szCs w:val="24"/>
                <w:lang w:val="en-US"/>
              </w:rPr>
              <w:t>has prognostic value for OS and DFS (high telomerase activity: poor prognosis)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Niiyama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[59]</w:t>
            </w:r>
            <w:r w:rsidRPr="006F2809">
              <w:rPr>
                <w:rFonts w:ascii="Book Antiqua" w:eastAsia="Times New Roman" w:hAnsi="Book Antiqua"/>
                <w:sz w:val="24"/>
                <w:szCs w:val="24"/>
                <w:lang w:val="en-US"/>
              </w:rPr>
              <w:t>, 2001</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140 CRC and patientmatched noncancerous mucosa  specimens;</w:t>
            </w:r>
          </w:p>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20 adenomas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mRNA and 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CRCs than in adenomas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adenomas than in normal mucosa</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Naito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[60]</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2001</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pt-BR"/>
              </w:rPr>
            </w:pPr>
            <w:r w:rsidRPr="006F2809">
              <w:rPr>
                <w:rFonts w:ascii="Book Antiqua" w:eastAsia="Times New Roman" w:hAnsi="Book Antiqua"/>
                <w:sz w:val="24"/>
                <w:szCs w:val="24"/>
                <w:lang w:val="pt-BR"/>
              </w:rPr>
              <w:t>66 (50 adenomas, 6 mucosal carcinomas, 10 invasive carcinomas) specimens</w:t>
            </w:r>
          </w:p>
          <w:p w:rsidR="00D55DFD" w:rsidRPr="006F2809" w:rsidRDefault="00D55DFD" w:rsidP="004D1EA2">
            <w:pPr>
              <w:snapToGrid w:val="0"/>
              <w:spacing w:after="0" w:line="360" w:lineRule="auto"/>
              <w:jc w:val="center"/>
              <w:rPr>
                <w:rFonts w:ascii="Book Antiqua" w:eastAsia="Times New Roman" w:hAnsi="Book Antiqua"/>
                <w:sz w:val="24"/>
                <w:szCs w:val="24"/>
                <w:lang w:val="pt-BR"/>
              </w:rPr>
            </w:pP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Positive correlation between TERT  mRNA and telomerase activity</w:t>
            </w:r>
          </w:p>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levels  increase with adenomacarcinoma sequence</w:t>
            </w:r>
          </w:p>
        </w:tc>
      </w:tr>
      <w:tr w:rsidR="00D55DFD" w:rsidRPr="008D3C17" w:rsidTr="000D1873">
        <w:trPr>
          <w:trHeight w:val="1623"/>
        </w:trPr>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Gertler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[61]</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2002</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57 CRC and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Both CRC and adjacent noncancerous mucosa are positive for TERT</w:t>
            </w:r>
          </w:p>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levels lower in tumours than in  noncancerous mucosa in most cases</w:t>
            </w:r>
          </w:p>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levels  not correlated with tumour stage</w:t>
            </w:r>
          </w:p>
          <w:p w:rsidR="00D55DFD" w:rsidRPr="006F2809" w:rsidRDefault="00D55DFD" w:rsidP="004D1EA2">
            <w:pPr>
              <w:snapToGrid w:val="0"/>
              <w:spacing w:after="0" w:line="360" w:lineRule="auto"/>
              <w:rPr>
                <w:rFonts w:ascii="Book Antiqua" w:eastAsia="Times New Roman" w:hAnsi="Book Antiqua"/>
                <w:sz w:val="24"/>
                <w:szCs w:val="24"/>
                <w:lang w:val="en-GB"/>
              </w:rPr>
            </w:pPr>
            <w:r w:rsidRPr="006F2809">
              <w:rPr>
                <w:rFonts w:ascii="Book Antiqua" w:eastAsia="Times New Roman" w:hAnsi="Book Antiqua"/>
                <w:sz w:val="24"/>
                <w:szCs w:val="24"/>
                <w:lang w:val="en-US"/>
              </w:rPr>
              <w:t>TERT has prognostic value for OD and DFS (high telomerase activity: poor prognosis)</w:t>
            </w: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rPr>
            </w:pPr>
            <w:r w:rsidRPr="006F2809">
              <w:rPr>
                <w:rFonts w:ascii="Book Antiqua" w:eastAsia="Times New Roman" w:hAnsi="Book Antiqua"/>
                <w:sz w:val="24"/>
                <w:szCs w:val="24"/>
              </w:rPr>
              <w:t>Kawanishi</w:t>
            </w:r>
            <w:r w:rsidRPr="008D3C17">
              <w:rPr>
                <w:rFonts w:ascii="Book Antiqua" w:hAnsi="Book Antiqua"/>
                <w:sz w:val="24"/>
                <w:szCs w:val="24"/>
                <w:lang w:eastAsia="zh-CN"/>
              </w:rPr>
              <w:t>-</w:t>
            </w:r>
            <w:r w:rsidRPr="006F2809">
              <w:rPr>
                <w:rFonts w:ascii="Book Antiqua" w:eastAsia="Times New Roman" w:hAnsi="Book Antiqua"/>
                <w:sz w:val="24"/>
                <w:szCs w:val="24"/>
              </w:rPr>
              <w:t xml:space="preserve">Tabata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[62]</w:t>
            </w:r>
            <w:r w:rsidRPr="006F2809">
              <w:rPr>
                <w:rFonts w:ascii="Book Antiqua" w:eastAsia="Times New Roman" w:hAnsi="Book Antiqua"/>
                <w:i/>
                <w:sz w:val="24"/>
                <w:szCs w:val="24"/>
              </w:rPr>
              <w:t>,</w:t>
            </w:r>
            <w:r w:rsidRPr="006F2809">
              <w:rPr>
                <w:rFonts w:ascii="Book Antiqua" w:eastAsia="Times New Roman" w:hAnsi="Book Antiqua"/>
                <w:sz w:val="24"/>
                <w:szCs w:val="24"/>
              </w:rPr>
              <w:t xml:space="preserve"> 2002</w:t>
            </w:r>
          </w:p>
          <w:p w:rsidR="00D55DFD" w:rsidRPr="006F2809" w:rsidRDefault="00D55DFD" w:rsidP="004D1EA2">
            <w:pPr>
              <w:snapToGrid w:val="0"/>
              <w:spacing w:after="0" w:line="360" w:lineRule="auto"/>
              <w:rPr>
                <w:rFonts w:ascii="Book Antiqua" w:eastAsia="Times New Roman" w:hAnsi="Book Antiqua"/>
                <w:sz w:val="24"/>
                <w:szCs w:val="24"/>
              </w:rPr>
            </w:pP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122 CRCs, stage II</w:t>
            </w:r>
          </w:p>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(52 colon, 70 rectum)</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80% of CRC are telomerasepositive</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percentage of telomerasepositive tumours in the colon than in the rectum</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 telomerase activity: Good prognosis</w:t>
            </w:r>
          </w:p>
          <w:p w:rsidR="00D55DFD" w:rsidRPr="006F2809" w:rsidRDefault="00D55DFD" w:rsidP="004D1EA2">
            <w:pPr>
              <w:snapToGrid w:val="0"/>
              <w:spacing w:after="0" w:line="360" w:lineRule="auto"/>
              <w:rPr>
                <w:rFonts w:ascii="Book Antiqua" w:eastAsia="Times New Roman" w:hAnsi="Book Antiqua"/>
                <w:sz w:val="24"/>
                <w:szCs w:val="24"/>
                <w:lang w:val="en-US"/>
              </w:rPr>
            </w:pP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Ghori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[63]</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2002</w:t>
            </w:r>
          </w:p>
          <w:p w:rsidR="00D55DFD" w:rsidRPr="006F2809" w:rsidRDefault="00D55DFD" w:rsidP="004D1EA2">
            <w:pPr>
              <w:snapToGrid w:val="0"/>
              <w:spacing w:after="0" w:line="360" w:lineRule="auto"/>
              <w:rPr>
                <w:rFonts w:ascii="Book Antiqua" w:eastAsia="Times New Roman" w:hAnsi="Book Antiqua"/>
                <w:sz w:val="24"/>
                <w:szCs w:val="24"/>
                <w:lang w:val="en-US"/>
              </w:rPr>
            </w:pPr>
          </w:p>
          <w:p w:rsidR="00D55DFD" w:rsidRPr="006F2809" w:rsidRDefault="00D55DFD" w:rsidP="004D1EA2">
            <w:pPr>
              <w:snapToGrid w:val="0"/>
              <w:spacing w:after="0" w:line="360" w:lineRule="auto"/>
              <w:rPr>
                <w:rFonts w:ascii="Book Antiqua" w:eastAsia="Times New Roman" w:hAnsi="Book Antiqua"/>
                <w:sz w:val="24"/>
                <w:szCs w:val="24"/>
                <w:lang w:val="en-US"/>
              </w:rPr>
            </w:pP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30 CRCs and 20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CRCs than in adjacent noncancerous mucosa</w:t>
            </w:r>
          </w:p>
          <w:p w:rsidR="00D55DFD" w:rsidRPr="006F2809" w:rsidRDefault="00D55DFD" w:rsidP="004D1EA2">
            <w:pPr>
              <w:snapToGrid w:val="0"/>
              <w:spacing w:after="0" w:line="360" w:lineRule="auto"/>
              <w:ind w:leftChars="144" w:left="317"/>
              <w:rPr>
                <w:rFonts w:ascii="Book Antiqua" w:eastAsia="Times New Roman" w:hAnsi="Book Antiqua"/>
                <w:sz w:val="24"/>
                <w:szCs w:val="24"/>
              </w:rPr>
            </w:pPr>
            <w:r w:rsidRPr="006F2809">
              <w:rPr>
                <w:rFonts w:ascii="Book Antiqua" w:eastAsia="Times New Roman" w:hAnsi="Book Antiqua"/>
                <w:sz w:val="24"/>
                <w:szCs w:val="24"/>
                <w:lang w:val="en-US"/>
              </w:rPr>
              <w:t>Correlated with Duke's stage</w:t>
            </w:r>
          </w:p>
        </w:tc>
      </w:tr>
      <w:tr w:rsidR="00D55DFD" w:rsidRPr="008D3C17" w:rsidTr="000D1873">
        <w:trPr>
          <w:trHeight w:val="968"/>
        </w:trPr>
        <w:tc>
          <w:tcPr>
            <w:tcW w:w="2131" w:type="dxa"/>
          </w:tcPr>
          <w:p w:rsidR="00D55DFD" w:rsidRPr="006F2809" w:rsidRDefault="00D55DFD" w:rsidP="004D1EA2">
            <w:pPr>
              <w:snapToGrid w:val="0"/>
              <w:spacing w:after="0" w:line="360" w:lineRule="auto"/>
              <w:rPr>
                <w:rFonts w:ascii="Book Antiqua" w:eastAsia="Times New Roman" w:hAnsi="Book Antiqua"/>
                <w:sz w:val="24"/>
                <w:szCs w:val="24"/>
              </w:rPr>
            </w:pPr>
            <w:r w:rsidRPr="006F2809">
              <w:rPr>
                <w:rFonts w:ascii="Book Antiqua" w:eastAsia="Times New Roman" w:hAnsi="Book Antiqua"/>
                <w:sz w:val="24"/>
                <w:szCs w:val="24"/>
              </w:rPr>
              <w:lastRenderedPageBreak/>
              <w:t xml:space="preserve">Boldrini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[64]</w:t>
            </w:r>
            <w:r w:rsidRPr="006F2809">
              <w:rPr>
                <w:rFonts w:ascii="Book Antiqua" w:eastAsia="Times New Roman" w:hAnsi="Book Antiqua"/>
                <w:i/>
                <w:sz w:val="24"/>
                <w:szCs w:val="24"/>
              </w:rPr>
              <w:t xml:space="preserve">, </w:t>
            </w:r>
            <w:r w:rsidRPr="006F2809">
              <w:rPr>
                <w:rFonts w:ascii="Book Antiqua" w:eastAsia="Times New Roman" w:hAnsi="Book Antiqua"/>
                <w:sz w:val="24"/>
                <w:szCs w:val="24"/>
              </w:rPr>
              <w:t>2002</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GB"/>
              </w:rPr>
            </w:pPr>
            <w:r w:rsidRPr="006F2809">
              <w:rPr>
                <w:rFonts w:ascii="Book Antiqua" w:eastAsia="Times New Roman" w:hAnsi="Book Antiqua"/>
                <w:sz w:val="24"/>
                <w:szCs w:val="24"/>
                <w:lang w:val="en-GB"/>
              </w:rPr>
              <w:t>36 CRC and patientmatched  noncancerous mucosa specimens,</w:t>
            </w:r>
          </w:p>
          <w:p w:rsidR="00D55DFD" w:rsidRPr="006F2809" w:rsidRDefault="00D55DFD" w:rsidP="004D1EA2">
            <w:pPr>
              <w:snapToGrid w:val="0"/>
              <w:spacing w:after="0" w:line="360" w:lineRule="auto"/>
              <w:jc w:val="center"/>
              <w:rPr>
                <w:rFonts w:ascii="Book Antiqua" w:eastAsia="Times New Roman" w:hAnsi="Book Antiqua"/>
                <w:sz w:val="24"/>
                <w:szCs w:val="24"/>
              </w:rPr>
            </w:pPr>
            <w:r w:rsidRPr="006F2809">
              <w:rPr>
                <w:rFonts w:ascii="Book Antiqua" w:eastAsia="Times New Roman" w:hAnsi="Book Antiqua"/>
                <w:sz w:val="24"/>
                <w:szCs w:val="24"/>
              </w:rPr>
              <w:t>8 adenomatous polyps,</w:t>
            </w:r>
          </w:p>
          <w:p w:rsidR="00D55DFD" w:rsidRPr="006F2809" w:rsidRDefault="00D55DFD" w:rsidP="004D1EA2">
            <w:pPr>
              <w:snapToGrid w:val="0"/>
              <w:spacing w:after="0" w:line="360" w:lineRule="auto"/>
              <w:jc w:val="center"/>
              <w:rPr>
                <w:rFonts w:ascii="Book Antiqua" w:eastAsia="Times New Roman" w:hAnsi="Book Antiqua"/>
                <w:sz w:val="24"/>
                <w:szCs w:val="24"/>
              </w:rPr>
            </w:pPr>
            <w:r w:rsidRPr="006F2809">
              <w:rPr>
                <w:rFonts w:ascii="Book Antiqua" w:eastAsia="Times New Roman" w:hAnsi="Book Antiqua"/>
                <w:sz w:val="24"/>
                <w:szCs w:val="24"/>
              </w:rPr>
              <w:t>9 dysplastic polyps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GB"/>
              </w:rPr>
              <w:t>Telomerase a</w:t>
            </w:r>
            <w:r w:rsidRPr="006F2809">
              <w:rPr>
                <w:rFonts w:ascii="Book Antiqua" w:eastAsia="Times New Roman" w:hAnsi="Book Antiqua"/>
                <w:sz w:val="24"/>
                <w:szCs w:val="24"/>
                <w:lang w:val="en-US"/>
              </w:rPr>
              <w:t>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Absent in normal mucosa and adenomas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CRCs than in dysplastic polyps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latestage than in earlystage tumours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rPr>
              <w:t xml:space="preserve">Malasaka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[65]</w:t>
            </w:r>
            <w:r w:rsidRPr="006F2809">
              <w:rPr>
                <w:rFonts w:ascii="Book Antiqua" w:eastAsia="Times New Roman" w:hAnsi="Book Antiqua"/>
                <w:i/>
                <w:sz w:val="24"/>
                <w:szCs w:val="24"/>
              </w:rPr>
              <w:t>,</w:t>
            </w:r>
            <w:r w:rsidRPr="006F2809">
              <w:rPr>
                <w:rFonts w:ascii="Book Antiqua" w:eastAsia="Times New Roman" w:hAnsi="Book Antiqua"/>
                <w:sz w:val="24"/>
                <w:szCs w:val="24"/>
              </w:rPr>
              <w:t xml:space="preserve"> 2004</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41 CRC and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Present in 83% of CRCs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Absent or at very low level in normal mucosa</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metastatic tumours</w:t>
            </w:r>
          </w:p>
          <w:p w:rsidR="00D55DFD" w:rsidRPr="006F2809" w:rsidRDefault="00D55DFD" w:rsidP="004D1EA2">
            <w:pPr>
              <w:snapToGrid w:val="0"/>
              <w:spacing w:after="0" w:line="360" w:lineRule="auto"/>
              <w:rPr>
                <w:rFonts w:ascii="Book Antiqua" w:eastAsia="Times New Roman" w:hAnsi="Book Antiqua"/>
                <w:sz w:val="24"/>
                <w:szCs w:val="24"/>
                <w:lang w:val="en-GB"/>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GB"/>
              </w:rPr>
            </w:pPr>
            <w:r w:rsidRPr="006F2809">
              <w:rPr>
                <w:rFonts w:ascii="Book Antiqua" w:eastAsia="Times New Roman" w:hAnsi="Book Antiqua"/>
                <w:sz w:val="24"/>
                <w:szCs w:val="24"/>
                <w:lang w:val="en-GB"/>
              </w:rPr>
              <w:t xml:space="preserve">Boldrini </w:t>
            </w:r>
            <w:r w:rsidRPr="006F2809">
              <w:rPr>
                <w:rFonts w:ascii="Book Antiqua" w:eastAsia="Times New Roman" w:hAnsi="Book Antiqua"/>
                <w:i/>
                <w:sz w:val="24"/>
                <w:szCs w:val="24"/>
                <w:lang w:val="en-GB"/>
              </w:rPr>
              <w:t>et al</w:t>
            </w:r>
            <w:r w:rsidRPr="006F2809">
              <w:rPr>
                <w:rFonts w:ascii="Book Antiqua" w:eastAsia="Times New Roman" w:hAnsi="Book Antiqua"/>
                <w:sz w:val="24"/>
                <w:szCs w:val="24"/>
                <w:vertAlign w:val="superscript"/>
                <w:lang w:val="en-GB"/>
              </w:rPr>
              <w:t>[66]</w:t>
            </w:r>
            <w:r w:rsidRPr="006F2809">
              <w:rPr>
                <w:rFonts w:ascii="Book Antiqua" w:eastAsia="Times New Roman" w:hAnsi="Book Antiqua"/>
                <w:i/>
                <w:sz w:val="24"/>
                <w:szCs w:val="24"/>
                <w:lang w:val="en-GB"/>
              </w:rPr>
              <w:t xml:space="preserve">, </w:t>
            </w:r>
            <w:r w:rsidRPr="006F2809">
              <w:rPr>
                <w:rFonts w:ascii="Book Antiqua" w:eastAsia="Times New Roman" w:hAnsi="Book Antiqua"/>
                <w:sz w:val="24"/>
                <w:szCs w:val="24"/>
                <w:lang w:val="en-GB"/>
              </w:rPr>
              <w:t>2004</w:t>
            </w:r>
          </w:p>
          <w:p w:rsidR="00D55DFD" w:rsidRPr="006F2809" w:rsidRDefault="00D55DFD" w:rsidP="004D1EA2">
            <w:pPr>
              <w:snapToGrid w:val="0"/>
              <w:spacing w:after="0" w:line="360" w:lineRule="auto"/>
              <w:rPr>
                <w:rFonts w:ascii="Book Antiqua" w:eastAsia="Times New Roman" w:hAnsi="Book Antiqua"/>
                <w:sz w:val="24"/>
                <w:szCs w:val="24"/>
                <w:lang w:val="en-GB"/>
              </w:rPr>
            </w:pP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GB"/>
              </w:rPr>
              <w:t>43 CRCs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GB"/>
              </w:rPr>
            </w:pPr>
            <w:r w:rsidRPr="006F2809">
              <w:rPr>
                <w:rFonts w:ascii="Book Antiqua" w:eastAsia="Times New Roman" w:hAnsi="Book Antiqua"/>
                <w:sz w:val="24"/>
                <w:szCs w:val="24"/>
                <w:lang w:val="en-US"/>
              </w:rPr>
              <w:t xml:space="preserve">TERT levels and telomerase activity higher in tumours with  mutated </w:t>
            </w:r>
            <w:r w:rsidRPr="006F2809">
              <w:rPr>
                <w:rFonts w:ascii="Book Antiqua" w:eastAsia="Times New Roman" w:hAnsi="Book Antiqua"/>
                <w:i/>
                <w:sz w:val="24"/>
                <w:szCs w:val="24"/>
                <w:lang w:val="en-US"/>
              </w:rPr>
              <w:t>TP53</w:t>
            </w: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rPr>
            </w:pPr>
            <w:r w:rsidRPr="006F2809">
              <w:rPr>
                <w:rFonts w:ascii="Book Antiqua" w:eastAsia="Times New Roman" w:hAnsi="Book Antiqua"/>
                <w:sz w:val="24"/>
                <w:szCs w:val="24"/>
              </w:rPr>
              <w:t>Sanz</w:t>
            </w:r>
            <w:r w:rsidRPr="008D3C17">
              <w:rPr>
                <w:rFonts w:ascii="Book Antiqua" w:hAnsi="Book Antiqua"/>
                <w:sz w:val="24"/>
                <w:szCs w:val="24"/>
                <w:lang w:eastAsia="zh-CN"/>
              </w:rPr>
              <w:t>-</w:t>
            </w:r>
            <w:r w:rsidRPr="006F2809">
              <w:rPr>
                <w:rFonts w:ascii="Book Antiqua" w:eastAsia="Times New Roman" w:hAnsi="Book Antiqua"/>
                <w:sz w:val="24"/>
                <w:szCs w:val="24"/>
              </w:rPr>
              <w:t xml:space="preserve">Casla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[67]</w:t>
            </w:r>
            <w:r w:rsidRPr="006F2809">
              <w:rPr>
                <w:rFonts w:ascii="Book Antiqua" w:eastAsia="Times New Roman" w:hAnsi="Book Antiqua"/>
                <w:i/>
                <w:sz w:val="24"/>
                <w:szCs w:val="24"/>
              </w:rPr>
              <w:t>,</w:t>
            </w:r>
            <w:r w:rsidRPr="006F2809">
              <w:rPr>
                <w:rFonts w:ascii="Book Antiqua" w:eastAsia="Times New Roman" w:hAnsi="Book Antiqua"/>
                <w:sz w:val="24"/>
                <w:szCs w:val="24"/>
              </w:rPr>
              <w:t xml:space="preserve"> 2005</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rPr>
              <w:t>103 CRCs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 increases with tumour progression (Duke's stage)</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percentage of telomerasepositive tumours in the colon than in the rectum</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 has prognostic value for DFS (high telomerase activity: poor prognosis)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rPr>
            </w:pPr>
            <w:r w:rsidRPr="006F2809">
              <w:rPr>
                <w:rFonts w:ascii="Book Antiqua" w:eastAsia="Times New Roman" w:hAnsi="Book Antiqua"/>
                <w:sz w:val="24"/>
                <w:szCs w:val="24"/>
              </w:rPr>
              <w:t>Garcia</w:t>
            </w:r>
            <w:r w:rsidRPr="008D3C17">
              <w:rPr>
                <w:rFonts w:ascii="Book Antiqua" w:hAnsi="Book Antiqua"/>
                <w:sz w:val="24"/>
                <w:szCs w:val="24"/>
                <w:lang w:eastAsia="zh-CN"/>
              </w:rPr>
              <w:t>-</w:t>
            </w:r>
            <w:r w:rsidRPr="006F2809">
              <w:rPr>
                <w:rFonts w:ascii="Book Antiqua" w:eastAsia="Times New Roman" w:hAnsi="Book Antiqua"/>
                <w:sz w:val="24"/>
                <w:szCs w:val="24"/>
              </w:rPr>
              <w:t xml:space="preserve">Aranda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[38]</w:t>
            </w:r>
            <w:r w:rsidRPr="006F2809">
              <w:rPr>
                <w:rFonts w:ascii="Book Antiqua" w:eastAsia="Times New Roman" w:hAnsi="Book Antiqua"/>
                <w:i/>
                <w:sz w:val="24"/>
                <w:szCs w:val="24"/>
              </w:rPr>
              <w:t>,</w:t>
            </w:r>
            <w:r w:rsidRPr="006F2809">
              <w:rPr>
                <w:rFonts w:ascii="Book Antiqua" w:eastAsia="Times New Roman" w:hAnsi="Book Antiqua"/>
                <w:sz w:val="24"/>
                <w:szCs w:val="24"/>
              </w:rPr>
              <w:t xml:space="preserve"> 2006</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91 CRC and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Present in 81% of CRCs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Present at very low levels in 15% of normal samples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tumour progression</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 prognostic value</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Vidaurreta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[68]</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2007</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97 CRCs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present  both in  MSI and MSS tumours</w:t>
            </w:r>
          </w:p>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has prognostic value for  OS ( high telomere activity: poor prognosis )</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rPr>
          <w:trHeight w:val="58"/>
        </w:trPr>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lastRenderedPageBreak/>
              <w:t xml:space="preserve">Bautista </w:t>
            </w:r>
            <w:r w:rsidRPr="006F2809">
              <w:rPr>
                <w:rFonts w:ascii="Book Antiqua" w:eastAsia="Times New Roman" w:hAnsi="Book Antiqua"/>
                <w:i/>
                <w:sz w:val="24"/>
                <w:szCs w:val="24"/>
                <w:lang w:val="en-US"/>
              </w:rPr>
              <w:t>et</w:t>
            </w:r>
            <w:r w:rsidRPr="006F2809">
              <w:rPr>
                <w:rFonts w:ascii="Book Antiqua" w:eastAsia="Times New Roman" w:hAnsi="Book Antiqua"/>
                <w:sz w:val="24"/>
                <w:szCs w:val="24"/>
                <w:lang w:val="en-US"/>
              </w:rPr>
              <w:t xml:space="preserve"> </w:t>
            </w:r>
            <w:r w:rsidRPr="006F2809">
              <w:rPr>
                <w:rFonts w:ascii="Book Antiqua" w:eastAsia="Times New Roman" w:hAnsi="Book Antiqua"/>
                <w:i/>
                <w:sz w:val="24"/>
                <w:szCs w:val="24"/>
                <w:lang w:val="en-US"/>
              </w:rPr>
              <w:t>al</w:t>
            </w:r>
            <w:r w:rsidRPr="006F2809">
              <w:rPr>
                <w:rFonts w:ascii="Book Antiqua" w:eastAsia="Times New Roman" w:hAnsi="Book Antiqua"/>
                <w:sz w:val="24"/>
                <w:szCs w:val="24"/>
                <w:vertAlign w:val="superscript"/>
                <w:lang w:val="en-US"/>
              </w:rPr>
              <w:t>[69]</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2007</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108 rectal cancer and patientmatched  noncancerous mucosa specimens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rectal cancer than in normal mucosa</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tumour stage and grade</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Has prognostic value for DFS and OS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Terrin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[55]</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2008</w:t>
            </w:r>
          </w:p>
          <w:p w:rsidR="00D55DFD" w:rsidRPr="006F2809" w:rsidRDefault="00D55DFD" w:rsidP="004D1EA2">
            <w:pPr>
              <w:snapToGrid w:val="0"/>
              <w:spacing w:after="0" w:line="360" w:lineRule="auto"/>
              <w:rPr>
                <w:rFonts w:ascii="Book Antiqua" w:eastAsia="Times New Roman" w:hAnsi="Book Antiqua"/>
                <w:sz w:val="24"/>
                <w:szCs w:val="24"/>
                <w:lang w:val="en-US"/>
              </w:rPr>
            </w:pPr>
          </w:p>
          <w:p w:rsidR="00D55DFD" w:rsidRPr="006F2809" w:rsidRDefault="00D55DFD" w:rsidP="004D1EA2">
            <w:pPr>
              <w:snapToGrid w:val="0"/>
              <w:spacing w:after="0" w:line="360" w:lineRule="auto"/>
              <w:rPr>
                <w:rFonts w:ascii="Book Antiqua" w:eastAsia="Times New Roman" w:hAnsi="Book Antiqua"/>
                <w:sz w:val="24"/>
                <w:szCs w:val="24"/>
                <w:lang w:val="en-US"/>
              </w:rPr>
            </w:pPr>
          </w:p>
          <w:p w:rsidR="00D55DFD" w:rsidRPr="006F2809" w:rsidRDefault="00D55DFD" w:rsidP="004D1EA2">
            <w:pPr>
              <w:snapToGrid w:val="0"/>
              <w:spacing w:after="0" w:line="360" w:lineRule="auto"/>
              <w:rPr>
                <w:rFonts w:ascii="Book Antiqua" w:eastAsia="Times New Roman" w:hAnsi="Book Antiqua"/>
                <w:sz w:val="24"/>
                <w:szCs w:val="24"/>
                <w:lang w:val="en-US"/>
              </w:rPr>
            </w:pP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85 CRC and 42 patientmatched  noncancerous mucosa specimens,</w:t>
            </w:r>
          </w:p>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49 plasma samples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levels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in CRCs than in adjacent noncancerous mucosa</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Increase with tumour  stage  and grade</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MSI status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tumour location</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Plasma TERT levels correlated with tumour TERT levels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rPr>
            </w:pPr>
            <w:r w:rsidRPr="006F2809">
              <w:rPr>
                <w:rFonts w:ascii="Book Antiqua" w:eastAsia="Times New Roman" w:hAnsi="Book Antiqua"/>
                <w:sz w:val="24"/>
                <w:szCs w:val="24"/>
              </w:rPr>
              <w:t xml:space="preserve">Valls Bautista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[70]</w:t>
            </w:r>
            <w:r w:rsidRPr="006F2809">
              <w:rPr>
                <w:rFonts w:ascii="Book Antiqua" w:eastAsia="Times New Roman" w:hAnsi="Book Antiqua"/>
                <w:sz w:val="24"/>
                <w:szCs w:val="24"/>
              </w:rPr>
              <w:t>, 2009</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6 cases, each  with cancer, polyps and normal mucosa; 8 polyps and normal mucosa</w:t>
            </w:r>
          </w:p>
          <w:p w:rsidR="00D55DFD" w:rsidRPr="006F2809" w:rsidRDefault="00D55DFD" w:rsidP="004D1EA2">
            <w:pPr>
              <w:snapToGrid w:val="0"/>
              <w:spacing w:after="0" w:line="360" w:lineRule="auto"/>
              <w:jc w:val="center"/>
              <w:rPr>
                <w:rFonts w:ascii="Book Antiqua" w:eastAsia="Times New Roman" w:hAnsi="Book Antiqua"/>
                <w:sz w:val="24"/>
                <w:szCs w:val="24"/>
                <w:lang w:val="en-US"/>
              </w:rPr>
            </w:pP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Increases  with adenomacarcinoma sequence</w:t>
            </w: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rPr>
              <w:t xml:space="preserve">Kojima </w:t>
            </w:r>
            <w:r w:rsidRPr="006F2809">
              <w:rPr>
                <w:rFonts w:ascii="Book Antiqua" w:eastAsia="Times New Roman" w:hAnsi="Book Antiqua"/>
                <w:i/>
                <w:sz w:val="24"/>
                <w:szCs w:val="24"/>
              </w:rPr>
              <w:t>et al</w:t>
            </w:r>
            <w:r w:rsidRPr="006F2809">
              <w:rPr>
                <w:rFonts w:ascii="Book Antiqua" w:eastAsia="Times New Roman" w:hAnsi="Book Antiqua"/>
                <w:sz w:val="24"/>
                <w:szCs w:val="24"/>
                <w:vertAlign w:val="superscript"/>
              </w:rPr>
              <w:t>[71]</w:t>
            </w:r>
            <w:r w:rsidRPr="006F2809">
              <w:rPr>
                <w:rFonts w:ascii="Book Antiqua" w:eastAsia="Times New Roman" w:hAnsi="Book Antiqua"/>
                <w:i/>
                <w:sz w:val="24"/>
                <w:szCs w:val="24"/>
              </w:rPr>
              <w:t>,</w:t>
            </w:r>
            <w:r w:rsidRPr="006F2809">
              <w:rPr>
                <w:rFonts w:ascii="Book Antiqua" w:eastAsia="Times New Roman" w:hAnsi="Book Antiqua"/>
                <w:sz w:val="24"/>
                <w:szCs w:val="24"/>
              </w:rPr>
              <w:t xml:space="preserve"> 2011</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106 CRC and paired adjacent noncancerous mucosa specimens</w:t>
            </w:r>
          </w:p>
        </w:tc>
        <w:tc>
          <w:tcPr>
            <w:tcW w:w="7513" w:type="dxa"/>
          </w:tcPr>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Elongation of the 3’OH of telomere by telomerase may increase Malignant potential of cancer cells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Telomerase activity has prognostic values for OS (telomeraseactivated without 3'OH shortened telomeres: poor prognosis)</w:t>
            </w: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Safont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[72]</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2011</w:t>
            </w:r>
          </w:p>
        </w:tc>
        <w:tc>
          <w:tcPr>
            <w:tcW w:w="3685" w:type="dxa"/>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48 CRC and adjacent noncancerous mucosa specimens and 48 plasma samples</w:t>
            </w:r>
          </w:p>
        </w:tc>
        <w:tc>
          <w:tcPr>
            <w:tcW w:w="7513" w:type="dxa"/>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Plasma TERT levels correlated with tumour TERT levels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Higher circulating TERT levels in stage IV tumours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 correlation between telomerase expression and  prognosis</w:t>
            </w:r>
          </w:p>
          <w:p w:rsidR="00D55DFD" w:rsidRPr="006F2809" w:rsidRDefault="00D55DFD" w:rsidP="004D1EA2">
            <w:pPr>
              <w:snapToGrid w:val="0"/>
              <w:spacing w:after="0" w:line="360" w:lineRule="auto"/>
              <w:rPr>
                <w:rFonts w:ascii="Book Antiqua" w:eastAsia="Times New Roman" w:hAnsi="Book Antiqua"/>
                <w:sz w:val="24"/>
                <w:szCs w:val="24"/>
                <w:lang w:val="en-US"/>
              </w:rPr>
            </w:pPr>
          </w:p>
          <w:p w:rsidR="00D55DFD" w:rsidRPr="006F2809" w:rsidRDefault="00D55DFD" w:rsidP="004D1EA2">
            <w:pPr>
              <w:snapToGrid w:val="0"/>
              <w:spacing w:after="0" w:line="360" w:lineRule="auto"/>
              <w:rPr>
                <w:rFonts w:ascii="Book Antiqua" w:eastAsia="Times New Roman" w:hAnsi="Book Antiqua"/>
                <w:sz w:val="24"/>
                <w:szCs w:val="24"/>
                <w:lang w:val="en-US"/>
              </w:rPr>
            </w:pPr>
          </w:p>
        </w:tc>
      </w:tr>
      <w:tr w:rsidR="00D55DFD" w:rsidRPr="008D3C17" w:rsidTr="000D1873">
        <w:tc>
          <w:tcPr>
            <w:tcW w:w="2131" w:type="dxa"/>
            <w:tcBorders>
              <w:bottom w:val="single" w:sz="4" w:space="0" w:color="000000"/>
            </w:tcBorders>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 xml:space="preserve">Bertorelle </w:t>
            </w:r>
            <w:r w:rsidRPr="006F2809">
              <w:rPr>
                <w:rFonts w:ascii="Book Antiqua" w:eastAsia="Times New Roman" w:hAnsi="Book Antiqua"/>
                <w:i/>
                <w:sz w:val="24"/>
                <w:szCs w:val="24"/>
                <w:lang w:val="en-US"/>
              </w:rPr>
              <w:t>et al</w:t>
            </w:r>
            <w:r w:rsidRPr="006F2809">
              <w:rPr>
                <w:rFonts w:ascii="Book Antiqua" w:eastAsia="Times New Roman" w:hAnsi="Book Antiqua"/>
                <w:sz w:val="24"/>
                <w:szCs w:val="24"/>
                <w:vertAlign w:val="superscript"/>
                <w:lang w:val="en-US"/>
              </w:rPr>
              <w:t>[73]</w:t>
            </w:r>
            <w:r w:rsidRPr="006F2809">
              <w:rPr>
                <w:rFonts w:ascii="Book Antiqua" w:eastAsia="Times New Roman" w:hAnsi="Book Antiqua"/>
                <w:i/>
                <w:sz w:val="24"/>
                <w:szCs w:val="24"/>
                <w:lang w:val="en-US"/>
              </w:rPr>
              <w:t>,</w:t>
            </w:r>
            <w:r w:rsidRPr="006F2809">
              <w:rPr>
                <w:rFonts w:ascii="Book Antiqua" w:eastAsia="Times New Roman" w:hAnsi="Book Antiqua"/>
                <w:sz w:val="24"/>
                <w:szCs w:val="24"/>
                <w:lang w:val="en-US"/>
              </w:rPr>
              <w:t xml:space="preserve"> 2013</w:t>
            </w:r>
          </w:p>
        </w:tc>
        <w:tc>
          <w:tcPr>
            <w:tcW w:w="3685" w:type="dxa"/>
            <w:tcBorders>
              <w:bottom w:val="single" w:sz="4" w:space="0" w:color="000000"/>
            </w:tcBorders>
          </w:tcPr>
          <w:p w:rsidR="00D55DFD" w:rsidRPr="006F2809" w:rsidRDefault="00D55DFD" w:rsidP="004D1EA2">
            <w:pPr>
              <w:snapToGrid w:val="0"/>
              <w:spacing w:after="0" w:line="360" w:lineRule="auto"/>
              <w:jc w:val="center"/>
              <w:rPr>
                <w:rFonts w:ascii="Book Antiqua" w:eastAsia="Times New Roman" w:hAnsi="Book Antiqua"/>
                <w:sz w:val="24"/>
                <w:szCs w:val="24"/>
                <w:lang w:val="en-US"/>
              </w:rPr>
            </w:pPr>
            <w:r w:rsidRPr="006F2809">
              <w:rPr>
                <w:rFonts w:ascii="Book Antiqua" w:eastAsia="Times New Roman" w:hAnsi="Book Antiqua"/>
                <w:sz w:val="24"/>
                <w:szCs w:val="24"/>
                <w:lang w:val="en-US"/>
              </w:rPr>
              <w:t>137 CRCs</w:t>
            </w:r>
          </w:p>
          <w:p w:rsidR="00D55DFD" w:rsidRPr="006F2809" w:rsidRDefault="00D55DFD" w:rsidP="004D1EA2">
            <w:pPr>
              <w:snapToGrid w:val="0"/>
              <w:spacing w:after="0" w:line="360" w:lineRule="auto"/>
              <w:jc w:val="center"/>
              <w:rPr>
                <w:rFonts w:ascii="Book Antiqua" w:eastAsia="Times New Roman" w:hAnsi="Book Antiqua"/>
                <w:sz w:val="24"/>
                <w:szCs w:val="24"/>
                <w:lang w:val="en-US"/>
              </w:rPr>
            </w:pPr>
          </w:p>
        </w:tc>
        <w:tc>
          <w:tcPr>
            <w:tcW w:w="7513" w:type="dxa"/>
            <w:tcBorders>
              <w:bottom w:val="single" w:sz="4" w:space="0" w:color="000000"/>
            </w:tcBorders>
          </w:tcPr>
          <w:p w:rsidR="00D55DFD" w:rsidRPr="006F2809" w:rsidRDefault="00D55DFD" w:rsidP="004D1EA2">
            <w:pPr>
              <w:snapToGrid w:val="0"/>
              <w:spacing w:after="0" w:line="360" w:lineRule="auto"/>
              <w:rPr>
                <w:rFonts w:ascii="Book Antiqua" w:eastAsia="Times New Roman" w:hAnsi="Book Antiqua"/>
                <w:sz w:val="24"/>
                <w:szCs w:val="24"/>
                <w:lang w:val="en-US"/>
              </w:rPr>
            </w:pPr>
            <w:r w:rsidRPr="006F2809">
              <w:rPr>
                <w:rFonts w:ascii="Book Antiqua" w:eastAsia="Times New Roman" w:hAnsi="Book Antiqua"/>
                <w:sz w:val="24"/>
                <w:szCs w:val="24"/>
                <w:lang w:val="en-US"/>
              </w:rPr>
              <w:t>TERT levels: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Increase with tumour stage and grade</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MSI status</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t>Not  correlated with tumour location</w:t>
            </w:r>
          </w:p>
          <w:p w:rsidR="00D55DFD" w:rsidRPr="006F2809" w:rsidRDefault="00D55DFD" w:rsidP="004D1EA2">
            <w:pPr>
              <w:snapToGrid w:val="0"/>
              <w:spacing w:after="0" w:line="360" w:lineRule="auto"/>
              <w:ind w:leftChars="144" w:left="317"/>
              <w:rPr>
                <w:rFonts w:ascii="Book Antiqua" w:eastAsia="Times New Roman" w:hAnsi="Book Antiqua"/>
                <w:sz w:val="24"/>
                <w:szCs w:val="24"/>
                <w:lang w:val="en-US"/>
              </w:rPr>
            </w:pPr>
            <w:r w:rsidRPr="006F2809">
              <w:rPr>
                <w:rFonts w:ascii="Book Antiqua" w:eastAsia="Times New Roman" w:hAnsi="Book Antiqua"/>
                <w:sz w:val="24"/>
                <w:szCs w:val="24"/>
                <w:lang w:val="en-US"/>
              </w:rPr>
              <w:lastRenderedPageBreak/>
              <w:t>Have prognostic value for OS and for both OS and DFS for stage II patients</w:t>
            </w:r>
            <w:r w:rsidRPr="008D3C17">
              <w:rPr>
                <w:rFonts w:ascii="Book Antiqua" w:hAnsi="Book Antiqua"/>
                <w:sz w:val="24"/>
                <w:szCs w:val="24"/>
                <w:lang w:val="en-US" w:eastAsia="zh-CN"/>
              </w:rPr>
              <w:t xml:space="preserve"> </w:t>
            </w:r>
            <w:r w:rsidRPr="006F2809">
              <w:rPr>
                <w:rFonts w:ascii="Book Antiqua" w:eastAsia="Times New Roman" w:hAnsi="Book Antiqua"/>
                <w:sz w:val="24"/>
                <w:szCs w:val="24"/>
                <w:lang w:val="en-US"/>
              </w:rPr>
              <w:t>(high TERT levels: poor prognosis)</w:t>
            </w:r>
          </w:p>
        </w:tc>
      </w:tr>
    </w:tbl>
    <w:p w:rsidR="00D55DFD" w:rsidRPr="006F2809" w:rsidRDefault="00D55DFD" w:rsidP="004D1EA2">
      <w:pPr>
        <w:snapToGrid w:val="0"/>
        <w:spacing w:after="0" w:line="360" w:lineRule="auto"/>
        <w:rPr>
          <w:rFonts w:ascii="Book Antiqua" w:hAnsi="Book Antiqua"/>
          <w:sz w:val="24"/>
          <w:szCs w:val="24"/>
          <w:lang w:val="en-US" w:eastAsia="zh-CN"/>
        </w:rPr>
      </w:pPr>
      <w:r w:rsidRPr="006F2809">
        <w:rPr>
          <w:rFonts w:ascii="Book Antiqua" w:eastAsia="Times New Roman" w:hAnsi="Book Antiqua"/>
          <w:sz w:val="24"/>
          <w:szCs w:val="24"/>
          <w:lang w:val="en-US"/>
        </w:rPr>
        <w:lastRenderedPageBreak/>
        <w:t xml:space="preserve">       CRC:</w:t>
      </w:r>
      <w:r w:rsidRPr="006F2809">
        <w:rPr>
          <w:rFonts w:ascii="Book Antiqua" w:hAnsi="Book Antiqua"/>
          <w:sz w:val="24"/>
          <w:szCs w:val="24"/>
          <w:lang w:val="en-US" w:eastAsia="zh-CN"/>
        </w:rPr>
        <w:t xml:space="preserve"> </w:t>
      </w:r>
      <w:r w:rsidRPr="006F2809">
        <w:rPr>
          <w:rFonts w:ascii="Book Antiqua" w:eastAsia="Times New Roman" w:hAnsi="Book Antiqua"/>
          <w:sz w:val="24"/>
          <w:szCs w:val="24"/>
          <w:lang w:val="en-US"/>
        </w:rPr>
        <w:t>Colorectal cancer; DFS: Disease</w:t>
      </w:r>
      <w:r w:rsidRPr="006F2809">
        <w:rPr>
          <w:rFonts w:ascii="Book Antiqua" w:hAnsi="Book Antiqua"/>
          <w:sz w:val="24"/>
          <w:szCs w:val="24"/>
          <w:lang w:val="en-US" w:eastAsia="zh-CN"/>
        </w:rPr>
        <w:t xml:space="preserve"> </w:t>
      </w:r>
      <w:r w:rsidRPr="006F2809">
        <w:rPr>
          <w:rFonts w:ascii="Book Antiqua" w:eastAsia="Times New Roman" w:hAnsi="Book Antiqua"/>
          <w:sz w:val="24"/>
          <w:szCs w:val="24"/>
          <w:lang w:val="en-US"/>
        </w:rPr>
        <w:t>free survival; OS: Overall survival</w:t>
      </w:r>
      <w:r w:rsidRPr="006F2809">
        <w:rPr>
          <w:rFonts w:ascii="Book Antiqua" w:hAnsi="Book Antiqua"/>
          <w:sz w:val="24"/>
          <w:szCs w:val="24"/>
          <w:lang w:val="en-US" w:eastAsia="zh-CN"/>
        </w:rPr>
        <w:t>.</w:t>
      </w:r>
    </w:p>
    <w:p w:rsidR="00D55DFD" w:rsidRPr="006F2809" w:rsidRDefault="00D55DFD" w:rsidP="004D1EA2">
      <w:pPr>
        <w:snapToGrid w:val="0"/>
        <w:spacing w:after="0" w:line="360" w:lineRule="auto"/>
        <w:rPr>
          <w:rFonts w:ascii="Book Antiqua" w:eastAsia="MS Mincho" w:hAnsi="Book Antiqua"/>
          <w:b/>
          <w:sz w:val="24"/>
          <w:szCs w:val="24"/>
          <w:lang w:val="en-US" w:eastAsia="ja-JP"/>
        </w:rPr>
      </w:pPr>
    </w:p>
    <w:p w:rsidR="00D55DFD" w:rsidRPr="006F2809" w:rsidRDefault="00D55DFD" w:rsidP="004D1EA2">
      <w:pPr>
        <w:snapToGrid w:val="0"/>
        <w:spacing w:after="0" w:line="360" w:lineRule="auto"/>
        <w:rPr>
          <w:rFonts w:ascii="Book Antiqua" w:hAnsi="Book Antiqua"/>
          <w:sz w:val="24"/>
          <w:szCs w:val="24"/>
          <w:lang w:val="en-US"/>
        </w:rPr>
      </w:pPr>
    </w:p>
    <w:sectPr w:rsidR="00D55DFD" w:rsidRPr="006F2809" w:rsidSect="002444B5">
      <w:pgSz w:w="17010" w:h="16840"/>
      <w:pgMar w:top="1418" w:right="1134" w:bottom="1134"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7F1" w:rsidRDefault="00B837F1">
      <w:r>
        <w:separator/>
      </w:r>
    </w:p>
  </w:endnote>
  <w:endnote w:type="continuationSeparator" w:id="0">
    <w:p w:rsidR="00B837F1" w:rsidRDefault="00B8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FD" w:rsidRDefault="00D55DFD" w:rsidP="009B2BB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22</w:t>
    </w:r>
    <w:r>
      <w:rPr>
        <w:rStyle w:val="a5"/>
      </w:rPr>
      <w:fldChar w:fldCharType="end"/>
    </w:r>
  </w:p>
  <w:p w:rsidR="00D55DFD" w:rsidRDefault="00D55DFD" w:rsidP="002F07D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FD" w:rsidRDefault="00D55DFD" w:rsidP="009B2BB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D2856">
      <w:rPr>
        <w:rStyle w:val="a5"/>
        <w:noProof/>
      </w:rPr>
      <w:t>32</w:t>
    </w:r>
    <w:r>
      <w:rPr>
        <w:rStyle w:val="a5"/>
      </w:rPr>
      <w:fldChar w:fldCharType="end"/>
    </w:r>
  </w:p>
  <w:p w:rsidR="00D55DFD" w:rsidRDefault="00D55DFD" w:rsidP="002F07D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7F1" w:rsidRDefault="00B837F1">
      <w:r>
        <w:separator/>
      </w:r>
    </w:p>
  </w:footnote>
  <w:footnote w:type="continuationSeparator" w:id="0">
    <w:p w:rsidR="00B837F1" w:rsidRDefault="00B837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C50"/>
    <w:multiLevelType w:val="hybridMultilevel"/>
    <w:tmpl w:val="9E4A0F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166803"/>
    <w:multiLevelType w:val="hybridMultilevel"/>
    <w:tmpl w:val="F65A7D24"/>
    <w:lvl w:ilvl="0" w:tplc="0410000F">
      <w:start w:val="1"/>
      <w:numFmt w:val="decimal"/>
      <w:lvlText w:val="%1."/>
      <w:lvlJc w:val="left"/>
      <w:pPr>
        <w:tabs>
          <w:tab w:val="num" w:pos="360"/>
        </w:tabs>
        <w:ind w:left="360" w:hanging="360"/>
      </w:pPr>
      <w:rPr>
        <w:rFonts w:cs="Times New Roman"/>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2">
    <w:nsid w:val="3F531287"/>
    <w:multiLevelType w:val="hybridMultilevel"/>
    <w:tmpl w:val="CBC4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EB158C"/>
    <w:multiLevelType w:val="hybridMultilevel"/>
    <w:tmpl w:val="B1188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40B660A"/>
    <w:multiLevelType w:val="hybridMultilevel"/>
    <w:tmpl w:val="3D5C4EE0"/>
    <w:lvl w:ilvl="0" w:tplc="120CA6C4">
      <w:start w:val="1"/>
      <w:numFmt w:val="decimal"/>
      <w:lvlText w:val="%1)"/>
      <w:lvlJc w:val="left"/>
      <w:pPr>
        <w:ind w:left="360" w:hanging="360"/>
      </w:pPr>
      <w:rPr>
        <w:rFonts w:cs="Times New Roman" w:hint="default"/>
      </w:rPr>
    </w:lvl>
    <w:lvl w:ilvl="1" w:tplc="04100019" w:tentative="1">
      <w:start w:val="1"/>
      <w:numFmt w:val="lowerLetter"/>
      <w:lvlText w:val="%2."/>
      <w:lvlJc w:val="left"/>
      <w:pPr>
        <w:ind w:left="655" w:hanging="360"/>
      </w:pPr>
      <w:rPr>
        <w:rFonts w:cs="Times New Roman"/>
      </w:rPr>
    </w:lvl>
    <w:lvl w:ilvl="2" w:tplc="0410001B" w:tentative="1">
      <w:start w:val="1"/>
      <w:numFmt w:val="lowerRoman"/>
      <w:lvlText w:val="%3."/>
      <w:lvlJc w:val="right"/>
      <w:pPr>
        <w:ind w:left="1375" w:hanging="180"/>
      </w:pPr>
      <w:rPr>
        <w:rFonts w:cs="Times New Roman"/>
      </w:rPr>
    </w:lvl>
    <w:lvl w:ilvl="3" w:tplc="0410000F" w:tentative="1">
      <w:start w:val="1"/>
      <w:numFmt w:val="decimal"/>
      <w:lvlText w:val="%4."/>
      <w:lvlJc w:val="left"/>
      <w:pPr>
        <w:ind w:left="2095" w:hanging="360"/>
      </w:pPr>
      <w:rPr>
        <w:rFonts w:cs="Times New Roman"/>
      </w:rPr>
    </w:lvl>
    <w:lvl w:ilvl="4" w:tplc="04100019" w:tentative="1">
      <w:start w:val="1"/>
      <w:numFmt w:val="lowerLetter"/>
      <w:lvlText w:val="%5."/>
      <w:lvlJc w:val="left"/>
      <w:pPr>
        <w:ind w:left="2815" w:hanging="360"/>
      </w:pPr>
      <w:rPr>
        <w:rFonts w:cs="Times New Roman"/>
      </w:rPr>
    </w:lvl>
    <w:lvl w:ilvl="5" w:tplc="0410001B" w:tentative="1">
      <w:start w:val="1"/>
      <w:numFmt w:val="lowerRoman"/>
      <w:lvlText w:val="%6."/>
      <w:lvlJc w:val="right"/>
      <w:pPr>
        <w:ind w:left="3535" w:hanging="180"/>
      </w:pPr>
      <w:rPr>
        <w:rFonts w:cs="Times New Roman"/>
      </w:rPr>
    </w:lvl>
    <w:lvl w:ilvl="6" w:tplc="0410000F" w:tentative="1">
      <w:start w:val="1"/>
      <w:numFmt w:val="decimal"/>
      <w:lvlText w:val="%7."/>
      <w:lvlJc w:val="left"/>
      <w:pPr>
        <w:ind w:left="4255" w:hanging="360"/>
      </w:pPr>
      <w:rPr>
        <w:rFonts w:cs="Times New Roman"/>
      </w:rPr>
    </w:lvl>
    <w:lvl w:ilvl="7" w:tplc="04100019" w:tentative="1">
      <w:start w:val="1"/>
      <w:numFmt w:val="lowerLetter"/>
      <w:lvlText w:val="%8."/>
      <w:lvlJc w:val="left"/>
      <w:pPr>
        <w:ind w:left="4975" w:hanging="360"/>
      </w:pPr>
      <w:rPr>
        <w:rFonts w:cs="Times New Roman"/>
      </w:rPr>
    </w:lvl>
    <w:lvl w:ilvl="8" w:tplc="0410001B" w:tentative="1">
      <w:start w:val="1"/>
      <w:numFmt w:val="lowerRoman"/>
      <w:lvlText w:val="%9."/>
      <w:lvlJc w:val="right"/>
      <w:pPr>
        <w:ind w:left="5695" w:hanging="180"/>
      </w:pPr>
      <w:rPr>
        <w:rFonts w:cs="Times New Roman"/>
      </w:rPr>
    </w:lvl>
  </w:abstractNum>
  <w:abstractNum w:abstractNumId="5">
    <w:nsid w:val="61D56F6A"/>
    <w:multiLevelType w:val="hybridMultilevel"/>
    <w:tmpl w:val="554EF7E8"/>
    <w:lvl w:ilvl="0" w:tplc="0410000F">
      <w:start w:val="1"/>
      <w:numFmt w:val="decimal"/>
      <w:lvlText w:val="%1."/>
      <w:lvlJc w:val="left"/>
      <w:pPr>
        <w:tabs>
          <w:tab w:val="num" w:pos="540"/>
        </w:tabs>
        <w:ind w:left="540" w:hanging="360"/>
      </w:pPr>
      <w:rPr>
        <w:rFonts w:cs="Times New Roman" w:hint="default"/>
      </w:rPr>
    </w:lvl>
    <w:lvl w:ilvl="1" w:tplc="04100019" w:tentative="1">
      <w:start w:val="1"/>
      <w:numFmt w:val="lowerLetter"/>
      <w:lvlText w:val="%2."/>
      <w:lvlJc w:val="left"/>
      <w:pPr>
        <w:tabs>
          <w:tab w:val="num" w:pos="1260"/>
        </w:tabs>
        <w:ind w:left="1260" w:hanging="360"/>
      </w:pPr>
      <w:rPr>
        <w:rFonts w:cs="Times New Roman"/>
      </w:rPr>
    </w:lvl>
    <w:lvl w:ilvl="2" w:tplc="0410001B" w:tentative="1">
      <w:start w:val="1"/>
      <w:numFmt w:val="lowerRoman"/>
      <w:lvlText w:val="%3."/>
      <w:lvlJc w:val="right"/>
      <w:pPr>
        <w:tabs>
          <w:tab w:val="num" w:pos="1980"/>
        </w:tabs>
        <w:ind w:left="1980" w:hanging="180"/>
      </w:pPr>
      <w:rPr>
        <w:rFonts w:cs="Times New Roman"/>
      </w:rPr>
    </w:lvl>
    <w:lvl w:ilvl="3" w:tplc="0410000F" w:tentative="1">
      <w:start w:val="1"/>
      <w:numFmt w:val="decimal"/>
      <w:lvlText w:val="%4."/>
      <w:lvlJc w:val="left"/>
      <w:pPr>
        <w:tabs>
          <w:tab w:val="num" w:pos="2700"/>
        </w:tabs>
        <w:ind w:left="2700" w:hanging="360"/>
      </w:pPr>
      <w:rPr>
        <w:rFonts w:cs="Times New Roman"/>
      </w:rPr>
    </w:lvl>
    <w:lvl w:ilvl="4" w:tplc="04100019" w:tentative="1">
      <w:start w:val="1"/>
      <w:numFmt w:val="lowerLetter"/>
      <w:lvlText w:val="%5."/>
      <w:lvlJc w:val="left"/>
      <w:pPr>
        <w:tabs>
          <w:tab w:val="num" w:pos="3420"/>
        </w:tabs>
        <w:ind w:left="3420" w:hanging="360"/>
      </w:pPr>
      <w:rPr>
        <w:rFonts w:cs="Times New Roman"/>
      </w:rPr>
    </w:lvl>
    <w:lvl w:ilvl="5" w:tplc="0410001B" w:tentative="1">
      <w:start w:val="1"/>
      <w:numFmt w:val="lowerRoman"/>
      <w:lvlText w:val="%6."/>
      <w:lvlJc w:val="right"/>
      <w:pPr>
        <w:tabs>
          <w:tab w:val="num" w:pos="4140"/>
        </w:tabs>
        <w:ind w:left="4140" w:hanging="180"/>
      </w:pPr>
      <w:rPr>
        <w:rFonts w:cs="Times New Roman"/>
      </w:rPr>
    </w:lvl>
    <w:lvl w:ilvl="6" w:tplc="0410000F" w:tentative="1">
      <w:start w:val="1"/>
      <w:numFmt w:val="decimal"/>
      <w:lvlText w:val="%7."/>
      <w:lvlJc w:val="left"/>
      <w:pPr>
        <w:tabs>
          <w:tab w:val="num" w:pos="4860"/>
        </w:tabs>
        <w:ind w:left="4860" w:hanging="360"/>
      </w:pPr>
      <w:rPr>
        <w:rFonts w:cs="Times New Roman"/>
      </w:rPr>
    </w:lvl>
    <w:lvl w:ilvl="7" w:tplc="04100019" w:tentative="1">
      <w:start w:val="1"/>
      <w:numFmt w:val="lowerLetter"/>
      <w:lvlText w:val="%8."/>
      <w:lvlJc w:val="left"/>
      <w:pPr>
        <w:tabs>
          <w:tab w:val="num" w:pos="5580"/>
        </w:tabs>
        <w:ind w:left="5580" w:hanging="360"/>
      </w:pPr>
      <w:rPr>
        <w:rFonts w:cs="Times New Roman"/>
      </w:rPr>
    </w:lvl>
    <w:lvl w:ilvl="8" w:tplc="0410001B" w:tentative="1">
      <w:start w:val="1"/>
      <w:numFmt w:val="lowerRoman"/>
      <w:lvlText w:val="%9."/>
      <w:lvlJc w:val="right"/>
      <w:pPr>
        <w:tabs>
          <w:tab w:val="num" w:pos="6300"/>
        </w:tabs>
        <w:ind w:left="6300" w:hanging="180"/>
      </w:pPr>
      <w:rPr>
        <w:rFonts w:cs="Times New Roman"/>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08"/>
  <w:hyphenationZone w:val="283"/>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5EC"/>
    <w:rsid w:val="00001853"/>
    <w:rsid w:val="000038CA"/>
    <w:rsid w:val="00014E09"/>
    <w:rsid w:val="000154C7"/>
    <w:rsid w:val="0002361F"/>
    <w:rsid w:val="00023C6D"/>
    <w:rsid w:val="00024F8E"/>
    <w:rsid w:val="0002551B"/>
    <w:rsid w:val="00027711"/>
    <w:rsid w:val="0003150B"/>
    <w:rsid w:val="00034CBA"/>
    <w:rsid w:val="00037524"/>
    <w:rsid w:val="00041CBD"/>
    <w:rsid w:val="00044E05"/>
    <w:rsid w:val="00051198"/>
    <w:rsid w:val="00051750"/>
    <w:rsid w:val="00051779"/>
    <w:rsid w:val="00051D67"/>
    <w:rsid w:val="000536D4"/>
    <w:rsid w:val="000579EA"/>
    <w:rsid w:val="000608BF"/>
    <w:rsid w:val="00060B1D"/>
    <w:rsid w:val="00061A35"/>
    <w:rsid w:val="000661E7"/>
    <w:rsid w:val="00066E39"/>
    <w:rsid w:val="00071783"/>
    <w:rsid w:val="00073081"/>
    <w:rsid w:val="00074B53"/>
    <w:rsid w:val="0007526E"/>
    <w:rsid w:val="0008501B"/>
    <w:rsid w:val="00085810"/>
    <w:rsid w:val="000870D8"/>
    <w:rsid w:val="00090F3D"/>
    <w:rsid w:val="0009332F"/>
    <w:rsid w:val="00095213"/>
    <w:rsid w:val="00095603"/>
    <w:rsid w:val="000A0FAC"/>
    <w:rsid w:val="000A3094"/>
    <w:rsid w:val="000A3CFF"/>
    <w:rsid w:val="000B069B"/>
    <w:rsid w:val="000B0848"/>
    <w:rsid w:val="000B3F0F"/>
    <w:rsid w:val="000B4393"/>
    <w:rsid w:val="000B79CB"/>
    <w:rsid w:val="000B7C30"/>
    <w:rsid w:val="000C25F6"/>
    <w:rsid w:val="000C2D6E"/>
    <w:rsid w:val="000C40AB"/>
    <w:rsid w:val="000C77C5"/>
    <w:rsid w:val="000D0090"/>
    <w:rsid w:val="000D018F"/>
    <w:rsid w:val="000D0F64"/>
    <w:rsid w:val="000D0FDC"/>
    <w:rsid w:val="000D1873"/>
    <w:rsid w:val="000D64C7"/>
    <w:rsid w:val="000E3729"/>
    <w:rsid w:val="000E5387"/>
    <w:rsid w:val="000F1AD2"/>
    <w:rsid w:val="0010202E"/>
    <w:rsid w:val="00102C1E"/>
    <w:rsid w:val="001032B5"/>
    <w:rsid w:val="00107DD6"/>
    <w:rsid w:val="0011119B"/>
    <w:rsid w:val="0011185C"/>
    <w:rsid w:val="00115773"/>
    <w:rsid w:val="001164AB"/>
    <w:rsid w:val="00121C1C"/>
    <w:rsid w:val="00125E2F"/>
    <w:rsid w:val="00133A9B"/>
    <w:rsid w:val="00133F6B"/>
    <w:rsid w:val="00133F94"/>
    <w:rsid w:val="00135336"/>
    <w:rsid w:val="00136D8C"/>
    <w:rsid w:val="001410EF"/>
    <w:rsid w:val="00143F91"/>
    <w:rsid w:val="00152493"/>
    <w:rsid w:val="00152B86"/>
    <w:rsid w:val="00152F6D"/>
    <w:rsid w:val="001534D3"/>
    <w:rsid w:val="00154B89"/>
    <w:rsid w:val="00160450"/>
    <w:rsid w:val="0016050C"/>
    <w:rsid w:val="0016072B"/>
    <w:rsid w:val="001616DC"/>
    <w:rsid w:val="00162957"/>
    <w:rsid w:val="001637FC"/>
    <w:rsid w:val="001678E9"/>
    <w:rsid w:val="00181A62"/>
    <w:rsid w:val="00191939"/>
    <w:rsid w:val="001931A1"/>
    <w:rsid w:val="00195AE3"/>
    <w:rsid w:val="00196668"/>
    <w:rsid w:val="001A3765"/>
    <w:rsid w:val="001A6C9C"/>
    <w:rsid w:val="001A6E32"/>
    <w:rsid w:val="001B4D41"/>
    <w:rsid w:val="001B6DD6"/>
    <w:rsid w:val="001C40F0"/>
    <w:rsid w:val="001C7EC5"/>
    <w:rsid w:val="001D4632"/>
    <w:rsid w:val="001D60FD"/>
    <w:rsid w:val="001E0EBE"/>
    <w:rsid w:val="001E17EF"/>
    <w:rsid w:val="001F4F42"/>
    <w:rsid w:val="001F552E"/>
    <w:rsid w:val="001F5D74"/>
    <w:rsid w:val="00200545"/>
    <w:rsid w:val="002007EE"/>
    <w:rsid w:val="0021203A"/>
    <w:rsid w:val="0021255E"/>
    <w:rsid w:val="00216687"/>
    <w:rsid w:val="00216C7F"/>
    <w:rsid w:val="00217128"/>
    <w:rsid w:val="002209F0"/>
    <w:rsid w:val="0022530D"/>
    <w:rsid w:val="00227F99"/>
    <w:rsid w:val="00237C9F"/>
    <w:rsid w:val="0024141B"/>
    <w:rsid w:val="00243C05"/>
    <w:rsid w:val="002444B5"/>
    <w:rsid w:val="00251BE7"/>
    <w:rsid w:val="00253549"/>
    <w:rsid w:val="002548CF"/>
    <w:rsid w:val="0025521A"/>
    <w:rsid w:val="002559AF"/>
    <w:rsid w:val="00257BC8"/>
    <w:rsid w:val="0026065F"/>
    <w:rsid w:val="002628E8"/>
    <w:rsid w:val="00263BB7"/>
    <w:rsid w:val="00266420"/>
    <w:rsid w:val="0026737D"/>
    <w:rsid w:val="002702F9"/>
    <w:rsid w:val="00270417"/>
    <w:rsid w:val="002713FA"/>
    <w:rsid w:val="00272998"/>
    <w:rsid w:val="00273E93"/>
    <w:rsid w:val="00277B31"/>
    <w:rsid w:val="00280257"/>
    <w:rsid w:val="0028062B"/>
    <w:rsid w:val="00283B4A"/>
    <w:rsid w:val="00287C36"/>
    <w:rsid w:val="00294B6B"/>
    <w:rsid w:val="00295729"/>
    <w:rsid w:val="002A18AF"/>
    <w:rsid w:val="002A2F3E"/>
    <w:rsid w:val="002A451C"/>
    <w:rsid w:val="002A4AEB"/>
    <w:rsid w:val="002B032A"/>
    <w:rsid w:val="002B0E20"/>
    <w:rsid w:val="002C386A"/>
    <w:rsid w:val="002C4818"/>
    <w:rsid w:val="002D05D2"/>
    <w:rsid w:val="002D060C"/>
    <w:rsid w:val="002D226F"/>
    <w:rsid w:val="002D7D64"/>
    <w:rsid w:val="002E2E87"/>
    <w:rsid w:val="002E30D3"/>
    <w:rsid w:val="002F0625"/>
    <w:rsid w:val="002F07D8"/>
    <w:rsid w:val="002F0E05"/>
    <w:rsid w:val="002F2EC2"/>
    <w:rsid w:val="002F37BC"/>
    <w:rsid w:val="002F42FB"/>
    <w:rsid w:val="002F514F"/>
    <w:rsid w:val="003007C0"/>
    <w:rsid w:val="00300858"/>
    <w:rsid w:val="003016A1"/>
    <w:rsid w:val="00302515"/>
    <w:rsid w:val="0030528E"/>
    <w:rsid w:val="00307534"/>
    <w:rsid w:val="00317253"/>
    <w:rsid w:val="00320DB6"/>
    <w:rsid w:val="003230BD"/>
    <w:rsid w:val="00325711"/>
    <w:rsid w:val="00327985"/>
    <w:rsid w:val="00331167"/>
    <w:rsid w:val="00332AD3"/>
    <w:rsid w:val="003340D1"/>
    <w:rsid w:val="00334470"/>
    <w:rsid w:val="0033581B"/>
    <w:rsid w:val="00337B4C"/>
    <w:rsid w:val="00337EFE"/>
    <w:rsid w:val="00341673"/>
    <w:rsid w:val="0034185A"/>
    <w:rsid w:val="00345F9B"/>
    <w:rsid w:val="00346CAC"/>
    <w:rsid w:val="0034764A"/>
    <w:rsid w:val="00351063"/>
    <w:rsid w:val="00353D51"/>
    <w:rsid w:val="00355627"/>
    <w:rsid w:val="00357C58"/>
    <w:rsid w:val="003621A8"/>
    <w:rsid w:val="00366AD7"/>
    <w:rsid w:val="00370A86"/>
    <w:rsid w:val="0037102C"/>
    <w:rsid w:val="003719EF"/>
    <w:rsid w:val="00374107"/>
    <w:rsid w:val="003779FE"/>
    <w:rsid w:val="003825EA"/>
    <w:rsid w:val="00382832"/>
    <w:rsid w:val="00386104"/>
    <w:rsid w:val="0038763C"/>
    <w:rsid w:val="00393F09"/>
    <w:rsid w:val="0039738D"/>
    <w:rsid w:val="003A0AEB"/>
    <w:rsid w:val="003A1409"/>
    <w:rsid w:val="003A20D3"/>
    <w:rsid w:val="003A5CEA"/>
    <w:rsid w:val="003B0548"/>
    <w:rsid w:val="003B3299"/>
    <w:rsid w:val="003B4902"/>
    <w:rsid w:val="003B615C"/>
    <w:rsid w:val="003B7ABC"/>
    <w:rsid w:val="003C1513"/>
    <w:rsid w:val="003C63D9"/>
    <w:rsid w:val="003D0BFB"/>
    <w:rsid w:val="003D23F9"/>
    <w:rsid w:val="003E150F"/>
    <w:rsid w:val="003E188B"/>
    <w:rsid w:val="003E37A3"/>
    <w:rsid w:val="003E572B"/>
    <w:rsid w:val="003E7624"/>
    <w:rsid w:val="003F1DB5"/>
    <w:rsid w:val="003F3D12"/>
    <w:rsid w:val="003F7825"/>
    <w:rsid w:val="00401D90"/>
    <w:rsid w:val="00403391"/>
    <w:rsid w:val="0040375D"/>
    <w:rsid w:val="00406C3E"/>
    <w:rsid w:val="00411174"/>
    <w:rsid w:val="00411842"/>
    <w:rsid w:val="00411CB8"/>
    <w:rsid w:val="00411EA1"/>
    <w:rsid w:val="0041360F"/>
    <w:rsid w:val="004144FC"/>
    <w:rsid w:val="00414775"/>
    <w:rsid w:val="004253B8"/>
    <w:rsid w:val="00425B80"/>
    <w:rsid w:val="00437B5D"/>
    <w:rsid w:val="00442959"/>
    <w:rsid w:val="00442BA2"/>
    <w:rsid w:val="00442EB1"/>
    <w:rsid w:val="0044499A"/>
    <w:rsid w:val="004452C1"/>
    <w:rsid w:val="00447FE7"/>
    <w:rsid w:val="004502CE"/>
    <w:rsid w:val="00450D2B"/>
    <w:rsid w:val="0045152D"/>
    <w:rsid w:val="004530A3"/>
    <w:rsid w:val="00454E23"/>
    <w:rsid w:val="00461B7B"/>
    <w:rsid w:val="004669A4"/>
    <w:rsid w:val="004751B7"/>
    <w:rsid w:val="00477A20"/>
    <w:rsid w:val="004800F5"/>
    <w:rsid w:val="00480D18"/>
    <w:rsid w:val="0048296F"/>
    <w:rsid w:val="00484B07"/>
    <w:rsid w:val="0049392D"/>
    <w:rsid w:val="0049462C"/>
    <w:rsid w:val="00494C6A"/>
    <w:rsid w:val="00496B0B"/>
    <w:rsid w:val="00497590"/>
    <w:rsid w:val="004A12A4"/>
    <w:rsid w:val="004A2C60"/>
    <w:rsid w:val="004A2CDC"/>
    <w:rsid w:val="004A2D6D"/>
    <w:rsid w:val="004A67D3"/>
    <w:rsid w:val="004A6897"/>
    <w:rsid w:val="004B01A8"/>
    <w:rsid w:val="004B30EE"/>
    <w:rsid w:val="004B5227"/>
    <w:rsid w:val="004B690C"/>
    <w:rsid w:val="004C2756"/>
    <w:rsid w:val="004C3B9A"/>
    <w:rsid w:val="004C4072"/>
    <w:rsid w:val="004C53A5"/>
    <w:rsid w:val="004C6A8B"/>
    <w:rsid w:val="004D1192"/>
    <w:rsid w:val="004D1EA2"/>
    <w:rsid w:val="004D1EBC"/>
    <w:rsid w:val="004E5DD8"/>
    <w:rsid w:val="004F10A8"/>
    <w:rsid w:val="004F23FF"/>
    <w:rsid w:val="004F39BB"/>
    <w:rsid w:val="004F3A92"/>
    <w:rsid w:val="004F4B1C"/>
    <w:rsid w:val="004F5366"/>
    <w:rsid w:val="004F57FA"/>
    <w:rsid w:val="004F5A21"/>
    <w:rsid w:val="004F5C8E"/>
    <w:rsid w:val="004F69A6"/>
    <w:rsid w:val="00502CEE"/>
    <w:rsid w:val="0050362C"/>
    <w:rsid w:val="00505550"/>
    <w:rsid w:val="00505A4C"/>
    <w:rsid w:val="00513468"/>
    <w:rsid w:val="00513AFA"/>
    <w:rsid w:val="00513E97"/>
    <w:rsid w:val="00514D04"/>
    <w:rsid w:val="00515C2E"/>
    <w:rsid w:val="005169E7"/>
    <w:rsid w:val="005176CA"/>
    <w:rsid w:val="00520488"/>
    <w:rsid w:val="00521E46"/>
    <w:rsid w:val="00522EC8"/>
    <w:rsid w:val="0052549D"/>
    <w:rsid w:val="0053074E"/>
    <w:rsid w:val="005322D2"/>
    <w:rsid w:val="00537B11"/>
    <w:rsid w:val="005423B8"/>
    <w:rsid w:val="00543AB8"/>
    <w:rsid w:val="00543D5B"/>
    <w:rsid w:val="00545F90"/>
    <w:rsid w:val="005461D6"/>
    <w:rsid w:val="0054685F"/>
    <w:rsid w:val="005469B9"/>
    <w:rsid w:val="00546D0B"/>
    <w:rsid w:val="005551E8"/>
    <w:rsid w:val="00555363"/>
    <w:rsid w:val="00560680"/>
    <w:rsid w:val="005626AD"/>
    <w:rsid w:val="00564D10"/>
    <w:rsid w:val="005722FA"/>
    <w:rsid w:val="00572316"/>
    <w:rsid w:val="00573594"/>
    <w:rsid w:val="0058149E"/>
    <w:rsid w:val="005830CC"/>
    <w:rsid w:val="00586137"/>
    <w:rsid w:val="00590439"/>
    <w:rsid w:val="005906F2"/>
    <w:rsid w:val="0059528B"/>
    <w:rsid w:val="005A099A"/>
    <w:rsid w:val="005B2211"/>
    <w:rsid w:val="005B5B54"/>
    <w:rsid w:val="005B5F03"/>
    <w:rsid w:val="005C2B74"/>
    <w:rsid w:val="005C3E83"/>
    <w:rsid w:val="005C48E8"/>
    <w:rsid w:val="005C7519"/>
    <w:rsid w:val="005D0F78"/>
    <w:rsid w:val="005D1F4B"/>
    <w:rsid w:val="005D4EBC"/>
    <w:rsid w:val="005D6CEB"/>
    <w:rsid w:val="005E016A"/>
    <w:rsid w:val="005E07DF"/>
    <w:rsid w:val="005E73A3"/>
    <w:rsid w:val="005F39B9"/>
    <w:rsid w:val="005F3F5C"/>
    <w:rsid w:val="005F641E"/>
    <w:rsid w:val="005F6A67"/>
    <w:rsid w:val="006004EF"/>
    <w:rsid w:val="00601500"/>
    <w:rsid w:val="006048A8"/>
    <w:rsid w:val="00605882"/>
    <w:rsid w:val="00606724"/>
    <w:rsid w:val="00607F3F"/>
    <w:rsid w:val="00610B43"/>
    <w:rsid w:val="00611530"/>
    <w:rsid w:val="006115FC"/>
    <w:rsid w:val="00611B5B"/>
    <w:rsid w:val="00612156"/>
    <w:rsid w:val="00613620"/>
    <w:rsid w:val="00613FDC"/>
    <w:rsid w:val="00615780"/>
    <w:rsid w:val="00620C2C"/>
    <w:rsid w:val="006238A9"/>
    <w:rsid w:val="0062444E"/>
    <w:rsid w:val="00627799"/>
    <w:rsid w:val="006331C1"/>
    <w:rsid w:val="00637EB5"/>
    <w:rsid w:val="006426BB"/>
    <w:rsid w:val="006444A4"/>
    <w:rsid w:val="00645A34"/>
    <w:rsid w:val="00645C5A"/>
    <w:rsid w:val="00651677"/>
    <w:rsid w:val="0065370C"/>
    <w:rsid w:val="00663F50"/>
    <w:rsid w:val="006709C5"/>
    <w:rsid w:val="00672092"/>
    <w:rsid w:val="00676EC2"/>
    <w:rsid w:val="00677A87"/>
    <w:rsid w:val="006836E6"/>
    <w:rsid w:val="006926C7"/>
    <w:rsid w:val="006A0B51"/>
    <w:rsid w:val="006A0BE4"/>
    <w:rsid w:val="006A3A05"/>
    <w:rsid w:val="006B0DBA"/>
    <w:rsid w:val="006C011D"/>
    <w:rsid w:val="006C05B5"/>
    <w:rsid w:val="006C297C"/>
    <w:rsid w:val="006C6548"/>
    <w:rsid w:val="006D2624"/>
    <w:rsid w:val="006D7D06"/>
    <w:rsid w:val="006D7D07"/>
    <w:rsid w:val="006E4C36"/>
    <w:rsid w:val="006F0E04"/>
    <w:rsid w:val="006F21AD"/>
    <w:rsid w:val="006F264E"/>
    <w:rsid w:val="006F2809"/>
    <w:rsid w:val="006F4F48"/>
    <w:rsid w:val="006F5C43"/>
    <w:rsid w:val="0070007D"/>
    <w:rsid w:val="007000EA"/>
    <w:rsid w:val="007020D0"/>
    <w:rsid w:val="0070336A"/>
    <w:rsid w:val="00703B2E"/>
    <w:rsid w:val="00703C57"/>
    <w:rsid w:val="00703F2D"/>
    <w:rsid w:val="00704301"/>
    <w:rsid w:val="00704AE0"/>
    <w:rsid w:val="00707EDE"/>
    <w:rsid w:val="007150AF"/>
    <w:rsid w:val="00717123"/>
    <w:rsid w:val="007225F2"/>
    <w:rsid w:val="0072408B"/>
    <w:rsid w:val="00726306"/>
    <w:rsid w:val="007351BF"/>
    <w:rsid w:val="00740004"/>
    <w:rsid w:val="0074142A"/>
    <w:rsid w:val="0074165D"/>
    <w:rsid w:val="00744690"/>
    <w:rsid w:val="00747C0B"/>
    <w:rsid w:val="00747C68"/>
    <w:rsid w:val="007517A0"/>
    <w:rsid w:val="0075467A"/>
    <w:rsid w:val="00754FBD"/>
    <w:rsid w:val="00762C06"/>
    <w:rsid w:val="007678B4"/>
    <w:rsid w:val="0077260C"/>
    <w:rsid w:val="0078125D"/>
    <w:rsid w:val="00784308"/>
    <w:rsid w:val="00793260"/>
    <w:rsid w:val="007938A2"/>
    <w:rsid w:val="00794CDA"/>
    <w:rsid w:val="00795107"/>
    <w:rsid w:val="00797D4F"/>
    <w:rsid w:val="007A1D24"/>
    <w:rsid w:val="007A2F86"/>
    <w:rsid w:val="007B6F18"/>
    <w:rsid w:val="007C41B8"/>
    <w:rsid w:val="007C6034"/>
    <w:rsid w:val="007C7216"/>
    <w:rsid w:val="007D3937"/>
    <w:rsid w:val="007E0751"/>
    <w:rsid w:val="007E0A97"/>
    <w:rsid w:val="007F362B"/>
    <w:rsid w:val="007F5D12"/>
    <w:rsid w:val="007F753A"/>
    <w:rsid w:val="00803808"/>
    <w:rsid w:val="008042BA"/>
    <w:rsid w:val="00805CE7"/>
    <w:rsid w:val="00813F5C"/>
    <w:rsid w:val="00817826"/>
    <w:rsid w:val="00822821"/>
    <w:rsid w:val="00822F48"/>
    <w:rsid w:val="00825940"/>
    <w:rsid w:val="008260B5"/>
    <w:rsid w:val="0082626B"/>
    <w:rsid w:val="00826760"/>
    <w:rsid w:val="00831BD3"/>
    <w:rsid w:val="00833B66"/>
    <w:rsid w:val="00834C4F"/>
    <w:rsid w:val="00835856"/>
    <w:rsid w:val="00835E2E"/>
    <w:rsid w:val="00836CFA"/>
    <w:rsid w:val="008379EA"/>
    <w:rsid w:val="00837ACB"/>
    <w:rsid w:val="00844E48"/>
    <w:rsid w:val="00847543"/>
    <w:rsid w:val="00850092"/>
    <w:rsid w:val="00861156"/>
    <w:rsid w:val="00872096"/>
    <w:rsid w:val="0087646D"/>
    <w:rsid w:val="0087684D"/>
    <w:rsid w:val="00880991"/>
    <w:rsid w:val="0088101E"/>
    <w:rsid w:val="00882EAA"/>
    <w:rsid w:val="0088338C"/>
    <w:rsid w:val="00884542"/>
    <w:rsid w:val="00890238"/>
    <w:rsid w:val="00890924"/>
    <w:rsid w:val="0089619E"/>
    <w:rsid w:val="00896A10"/>
    <w:rsid w:val="008A5D43"/>
    <w:rsid w:val="008B1A3C"/>
    <w:rsid w:val="008B3517"/>
    <w:rsid w:val="008B50FA"/>
    <w:rsid w:val="008B54C6"/>
    <w:rsid w:val="008B7CAB"/>
    <w:rsid w:val="008C201F"/>
    <w:rsid w:val="008C381D"/>
    <w:rsid w:val="008C74BE"/>
    <w:rsid w:val="008D0F75"/>
    <w:rsid w:val="008D14B4"/>
    <w:rsid w:val="008D1C51"/>
    <w:rsid w:val="008D2856"/>
    <w:rsid w:val="008D2A17"/>
    <w:rsid w:val="008D3C17"/>
    <w:rsid w:val="008D78AD"/>
    <w:rsid w:val="008E03AD"/>
    <w:rsid w:val="008E2023"/>
    <w:rsid w:val="008E566A"/>
    <w:rsid w:val="008E61F9"/>
    <w:rsid w:val="008E7AE8"/>
    <w:rsid w:val="008F1907"/>
    <w:rsid w:val="008F1E30"/>
    <w:rsid w:val="008F5AF8"/>
    <w:rsid w:val="00904308"/>
    <w:rsid w:val="00907385"/>
    <w:rsid w:val="00913C87"/>
    <w:rsid w:val="0091518D"/>
    <w:rsid w:val="00915CEF"/>
    <w:rsid w:val="009315F0"/>
    <w:rsid w:val="009373A2"/>
    <w:rsid w:val="009429AF"/>
    <w:rsid w:val="00950E42"/>
    <w:rsid w:val="009521C1"/>
    <w:rsid w:val="00952D1A"/>
    <w:rsid w:val="00954F2D"/>
    <w:rsid w:val="009557E6"/>
    <w:rsid w:val="0095762A"/>
    <w:rsid w:val="009634AB"/>
    <w:rsid w:val="00970F8D"/>
    <w:rsid w:val="0097301C"/>
    <w:rsid w:val="0097527D"/>
    <w:rsid w:val="00976302"/>
    <w:rsid w:val="00981869"/>
    <w:rsid w:val="00983409"/>
    <w:rsid w:val="0098361F"/>
    <w:rsid w:val="00984482"/>
    <w:rsid w:val="00986067"/>
    <w:rsid w:val="00991311"/>
    <w:rsid w:val="0099263B"/>
    <w:rsid w:val="00992F8E"/>
    <w:rsid w:val="00992FDC"/>
    <w:rsid w:val="00994D97"/>
    <w:rsid w:val="0099511A"/>
    <w:rsid w:val="009A0FA9"/>
    <w:rsid w:val="009A2BBD"/>
    <w:rsid w:val="009A31E6"/>
    <w:rsid w:val="009A4AE0"/>
    <w:rsid w:val="009A5F04"/>
    <w:rsid w:val="009B2BBB"/>
    <w:rsid w:val="009C08C6"/>
    <w:rsid w:val="009C2D6D"/>
    <w:rsid w:val="009D2002"/>
    <w:rsid w:val="009D2E6E"/>
    <w:rsid w:val="009D38C7"/>
    <w:rsid w:val="009D3CE6"/>
    <w:rsid w:val="009D6045"/>
    <w:rsid w:val="009D6D84"/>
    <w:rsid w:val="009E06B7"/>
    <w:rsid w:val="009E2846"/>
    <w:rsid w:val="009E5FCC"/>
    <w:rsid w:val="009E65A6"/>
    <w:rsid w:val="009E6749"/>
    <w:rsid w:val="009F1011"/>
    <w:rsid w:val="009F1462"/>
    <w:rsid w:val="009F3F56"/>
    <w:rsid w:val="009F4110"/>
    <w:rsid w:val="00A04069"/>
    <w:rsid w:val="00A117F7"/>
    <w:rsid w:val="00A13C17"/>
    <w:rsid w:val="00A20D1E"/>
    <w:rsid w:val="00A210AA"/>
    <w:rsid w:val="00A21E0E"/>
    <w:rsid w:val="00A241D7"/>
    <w:rsid w:val="00A246B1"/>
    <w:rsid w:val="00A27F3C"/>
    <w:rsid w:val="00A300FC"/>
    <w:rsid w:val="00A31F68"/>
    <w:rsid w:val="00A32723"/>
    <w:rsid w:val="00A327A8"/>
    <w:rsid w:val="00A3376B"/>
    <w:rsid w:val="00A35015"/>
    <w:rsid w:val="00A353B1"/>
    <w:rsid w:val="00A35EDF"/>
    <w:rsid w:val="00A376F2"/>
    <w:rsid w:val="00A40591"/>
    <w:rsid w:val="00A44250"/>
    <w:rsid w:val="00A444B9"/>
    <w:rsid w:val="00A47841"/>
    <w:rsid w:val="00A51ACB"/>
    <w:rsid w:val="00A52311"/>
    <w:rsid w:val="00A5243C"/>
    <w:rsid w:val="00A53CD2"/>
    <w:rsid w:val="00A53D56"/>
    <w:rsid w:val="00A57E01"/>
    <w:rsid w:val="00A67AC4"/>
    <w:rsid w:val="00A67AF0"/>
    <w:rsid w:val="00A67D3D"/>
    <w:rsid w:val="00A702B6"/>
    <w:rsid w:val="00A7114D"/>
    <w:rsid w:val="00A71D9B"/>
    <w:rsid w:val="00A72212"/>
    <w:rsid w:val="00A75485"/>
    <w:rsid w:val="00A775E6"/>
    <w:rsid w:val="00A84521"/>
    <w:rsid w:val="00A87738"/>
    <w:rsid w:val="00A91C63"/>
    <w:rsid w:val="00A926F3"/>
    <w:rsid w:val="00A94823"/>
    <w:rsid w:val="00AA08C3"/>
    <w:rsid w:val="00AA0EA8"/>
    <w:rsid w:val="00AA115D"/>
    <w:rsid w:val="00AB2031"/>
    <w:rsid w:val="00AB579A"/>
    <w:rsid w:val="00AB68E1"/>
    <w:rsid w:val="00AB7D4F"/>
    <w:rsid w:val="00AC0D1D"/>
    <w:rsid w:val="00AC15FD"/>
    <w:rsid w:val="00AC599E"/>
    <w:rsid w:val="00AC6B7F"/>
    <w:rsid w:val="00AC6EE4"/>
    <w:rsid w:val="00AD5E90"/>
    <w:rsid w:val="00AE0D7E"/>
    <w:rsid w:val="00AE105B"/>
    <w:rsid w:val="00AE3101"/>
    <w:rsid w:val="00AE31E6"/>
    <w:rsid w:val="00AE394D"/>
    <w:rsid w:val="00AE67B9"/>
    <w:rsid w:val="00AF4692"/>
    <w:rsid w:val="00B075EC"/>
    <w:rsid w:val="00B10CBA"/>
    <w:rsid w:val="00B112E9"/>
    <w:rsid w:val="00B12BC5"/>
    <w:rsid w:val="00B16C80"/>
    <w:rsid w:val="00B17020"/>
    <w:rsid w:val="00B177D8"/>
    <w:rsid w:val="00B2280B"/>
    <w:rsid w:val="00B23B2D"/>
    <w:rsid w:val="00B24459"/>
    <w:rsid w:val="00B26282"/>
    <w:rsid w:val="00B26B00"/>
    <w:rsid w:val="00B3111C"/>
    <w:rsid w:val="00B317D0"/>
    <w:rsid w:val="00B348C1"/>
    <w:rsid w:val="00B35227"/>
    <w:rsid w:val="00B35915"/>
    <w:rsid w:val="00B376BA"/>
    <w:rsid w:val="00B42E47"/>
    <w:rsid w:val="00B45FC5"/>
    <w:rsid w:val="00B47730"/>
    <w:rsid w:val="00B54F3C"/>
    <w:rsid w:val="00B64590"/>
    <w:rsid w:val="00B726EA"/>
    <w:rsid w:val="00B7398A"/>
    <w:rsid w:val="00B74C5A"/>
    <w:rsid w:val="00B75080"/>
    <w:rsid w:val="00B77883"/>
    <w:rsid w:val="00B834D3"/>
    <w:rsid w:val="00B837F1"/>
    <w:rsid w:val="00B83C40"/>
    <w:rsid w:val="00B84A2F"/>
    <w:rsid w:val="00B855C0"/>
    <w:rsid w:val="00B85EF6"/>
    <w:rsid w:val="00B9092E"/>
    <w:rsid w:val="00B91171"/>
    <w:rsid w:val="00B9141A"/>
    <w:rsid w:val="00B917DE"/>
    <w:rsid w:val="00B91C5E"/>
    <w:rsid w:val="00B94FEB"/>
    <w:rsid w:val="00BA304E"/>
    <w:rsid w:val="00BB7FF8"/>
    <w:rsid w:val="00BC019C"/>
    <w:rsid w:val="00BC213B"/>
    <w:rsid w:val="00BD7C26"/>
    <w:rsid w:val="00BE4B15"/>
    <w:rsid w:val="00BE5763"/>
    <w:rsid w:val="00BE5CA9"/>
    <w:rsid w:val="00BE5D62"/>
    <w:rsid w:val="00BF2742"/>
    <w:rsid w:val="00BF2C06"/>
    <w:rsid w:val="00BF3D6D"/>
    <w:rsid w:val="00BF48A0"/>
    <w:rsid w:val="00BF7F98"/>
    <w:rsid w:val="00C00D85"/>
    <w:rsid w:val="00C044FD"/>
    <w:rsid w:val="00C06914"/>
    <w:rsid w:val="00C07C88"/>
    <w:rsid w:val="00C10A83"/>
    <w:rsid w:val="00C12A63"/>
    <w:rsid w:val="00C12C09"/>
    <w:rsid w:val="00C13C4C"/>
    <w:rsid w:val="00C151B7"/>
    <w:rsid w:val="00C16E72"/>
    <w:rsid w:val="00C20A5C"/>
    <w:rsid w:val="00C27EB3"/>
    <w:rsid w:val="00C3488A"/>
    <w:rsid w:val="00C35EBC"/>
    <w:rsid w:val="00C41218"/>
    <w:rsid w:val="00C4468B"/>
    <w:rsid w:val="00C55B5F"/>
    <w:rsid w:val="00C56046"/>
    <w:rsid w:val="00C561F6"/>
    <w:rsid w:val="00C56A1B"/>
    <w:rsid w:val="00C57668"/>
    <w:rsid w:val="00C578D5"/>
    <w:rsid w:val="00C649A2"/>
    <w:rsid w:val="00C66852"/>
    <w:rsid w:val="00C707B8"/>
    <w:rsid w:val="00C71E69"/>
    <w:rsid w:val="00C73A67"/>
    <w:rsid w:val="00C743F9"/>
    <w:rsid w:val="00C748C8"/>
    <w:rsid w:val="00C75C71"/>
    <w:rsid w:val="00C82653"/>
    <w:rsid w:val="00C866E2"/>
    <w:rsid w:val="00C86744"/>
    <w:rsid w:val="00C902E9"/>
    <w:rsid w:val="00C904CB"/>
    <w:rsid w:val="00C92404"/>
    <w:rsid w:val="00C96311"/>
    <w:rsid w:val="00CA0E87"/>
    <w:rsid w:val="00CA1CFA"/>
    <w:rsid w:val="00CA2998"/>
    <w:rsid w:val="00CA32F5"/>
    <w:rsid w:val="00CA77DF"/>
    <w:rsid w:val="00CB2889"/>
    <w:rsid w:val="00CB72EA"/>
    <w:rsid w:val="00CB7CF5"/>
    <w:rsid w:val="00CB7D84"/>
    <w:rsid w:val="00CC04DD"/>
    <w:rsid w:val="00CC2B6F"/>
    <w:rsid w:val="00CC494E"/>
    <w:rsid w:val="00CC756F"/>
    <w:rsid w:val="00CD0789"/>
    <w:rsid w:val="00CE4608"/>
    <w:rsid w:val="00CE48A7"/>
    <w:rsid w:val="00CF04A2"/>
    <w:rsid w:val="00CF13BE"/>
    <w:rsid w:val="00CF2DCC"/>
    <w:rsid w:val="00CF7C3A"/>
    <w:rsid w:val="00D04EC2"/>
    <w:rsid w:val="00D10891"/>
    <w:rsid w:val="00D1423C"/>
    <w:rsid w:val="00D32454"/>
    <w:rsid w:val="00D348AB"/>
    <w:rsid w:val="00D444FE"/>
    <w:rsid w:val="00D54B5A"/>
    <w:rsid w:val="00D55DFD"/>
    <w:rsid w:val="00D56077"/>
    <w:rsid w:val="00D60506"/>
    <w:rsid w:val="00D6556D"/>
    <w:rsid w:val="00D67BEB"/>
    <w:rsid w:val="00D75D84"/>
    <w:rsid w:val="00D808BF"/>
    <w:rsid w:val="00D80DAA"/>
    <w:rsid w:val="00D81997"/>
    <w:rsid w:val="00D83F0E"/>
    <w:rsid w:val="00D95213"/>
    <w:rsid w:val="00D96AB5"/>
    <w:rsid w:val="00DA18D0"/>
    <w:rsid w:val="00DA1B17"/>
    <w:rsid w:val="00DA3827"/>
    <w:rsid w:val="00DA538C"/>
    <w:rsid w:val="00DB3D13"/>
    <w:rsid w:val="00DB75B2"/>
    <w:rsid w:val="00DC1051"/>
    <w:rsid w:val="00DC34C5"/>
    <w:rsid w:val="00DC5C5F"/>
    <w:rsid w:val="00DE0A01"/>
    <w:rsid w:val="00DE0EFD"/>
    <w:rsid w:val="00DE3B8E"/>
    <w:rsid w:val="00DE4976"/>
    <w:rsid w:val="00DF2FF1"/>
    <w:rsid w:val="00DF30AB"/>
    <w:rsid w:val="00DF3C52"/>
    <w:rsid w:val="00DF7516"/>
    <w:rsid w:val="00E028C3"/>
    <w:rsid w:val="00E0591D"/>
    <w:rsid w:val="00E06821"/>
    <w:rsid w:val="00E13752"/>
    <w:rsid w:val="00E20B37"/>
    <w:rsid w:val="00E220F7"/>
    <w:rsid w:val="00E224CA"/>
    <w:rsid w:val="00E22D75"/>
    <w:rsid w:val="00E23767"/>
    <w:rsid w:val="00E23ECB"/>
    <w:rsid w:val="00E27BDB"/>
    <w:rsid w:val="00E30AC5"/>
    <w:rsid w:val="00E34CC8"/>
    <w:rsid w:val="00E36C95"/>
    <w:rsid w:val="00E45B52"/>
    <w:rsid w:val="00E47F6A"/>
    <w:rsid w:val="00E50A24"/>
    <w:rsid w:val="00E53E73"/>
    <w:rsid w:val="00E5441D"/>
    <w:rsid w:val="00E54FED"/>
    <w:rsid w:val="00E5500A"/>
    <w:rsid w:val="00E57D10"/>
    <w:rsid w:val="00E60949"/>
    <w:rsid w:val="00E63D22"/>
    <w:rsid w:val="00E6641A"/>
    <w:rsid w:val="00E71006"/>
    <w:rsid w:val="00E73EB4"/>
    <w:rsid w:val="00E76E53"/>
    <w:rsid w:val="00E77009"/>
    <w:rsid w:val="00E806FE"/>
    <w:rsid w:val="00E81FBC"/>
    <w:rsid w:val="00E847F3"/>
    <w:rsid w:val="00E85F11"/>
    <w:rsid w:val="00E875F8"/>
    <w:rsid w:val="00E912CB"/>
    <w:rsid w:val="00E953ED"/>
    <w:rsid w:val="00E972F5"/>
    <w:rsid w:val="00EA03D0"/>
    <w:rsid w:val="00EB1507"/>
    <w:rsid w:val="00EB5DD4"/>
    <w:rsid w:val="00EB7D85"/>
    <w:rsid w:val="00EC115A"/>
    <w:rsid w:val="00EC2234"/>
    <w:rsid w:val="00EC3DD4"/>
    <w:rsid w:val="00EC6A08"/>
    <w:rsid w:val="00EE1C4B"/>
    <w:rsid w:val="00EE2AE7"/>
    <w:rsid w:val="00EE6106"/>
    <w:rsid w:val="00EF425F"/>
    <w:rsid w:val="00EF61A5"/>
    <w:rsid w:val="00EF78DC"/>
    <w:rsid w:val="00F01989"/>
    <w:rsid w:val="00F01FCE"/>
    <w:rsid w:val="00F03A5C"/>
    <w:rsid w:val="00F0637F"/>
    <w:rsid w:val="00F068C3"/>
    <w:rsid w:val="00F12EA0"/>
    <w:rsid w:val="00F1351A"/>
    <w:rsid w:val="00F2173C"/>
    <w:rsid w:val="00F220CE"/>
    <w:rsid w:val="00F26ED7"/>
    <w:rsid w:val="00F3476A"/>
    <w:rsid w:val="00F43630"/>
    <w:rsid w:val="00F4691C"/>
    <w:rsid w:val="00F47129"/>
    <w:rsid w:val="00F56689"/>
    <w:rsid w:val="00F617E7"/>
    <w:rsid w:val="00F64E0A"/>
    <w:rsid w:val="00F6504D"/>
    <w:rsid w:val="00F65499"/>
    <w:rsid w:val="00F65571"/>
    <w:rsid w:val="00F6557F"/>
    <w:rsid w:val="00F730F6"/>
    <w:rsid w:val="00F73E90"/>
    <w:rsid w:val="00F80D68"/>
    <w:rsid w:val="00F94471"/>
    <w:rsid w:val="00F96D43"/>
    <w:rsid w:val="00FA1679"/>
    <w:rsid w:val="00FA2F21"/>
    <w:rsid w:val="00FA3C20"/>
    <w:rsid w:val="00FA7E9C"/>
    <w:rsid w:val="00FC3446"/>
    <w:rsid w:val="00FC4D88"/>
    <w:rsid w:val="00FC61DA"/>
    <w:rsid w:val="00FD073C"/>
    <w:rsid w:val="00FD4177"/>
    <w:rsid w:val="00FD6C51"/>
    <w:rsid w:val="00FE4CA7"/>
    <w:rsid w:val="00FE6643"/>
    <w:rsid w:val="00FE79B0"/>
    <w:rsid w:val="00FF214F"/>
    <w:rsid w:val="00FF27BE"/>
    <w:rsid w:val="00FF4350"/>
    <w:rsid w:val="00FF475F"/>
    <w:rsid w:val="00FF7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5EC"/>
    <w:pPr>
      <w:spacing w:after="200" w:line="276" w:lineRule="auto"/>
    </w:pPr>
    <w:rPr>
      <w:kern w:val="0"/>
      <w:sz w:val="22"/>
      <w:lang w:val="it-I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1255E"/>
    <w:pPr>
      <w:ind w:left="720"/>
      <w:contextualSpacing/>
    </w:pPr>
  </w:style>
  <w:style w:type="paragraph" w:styleId="a4">
    <w:name w:val="footer"/>
    <w:basedOn w:val="a"/>
    <w:link w:val="Char"/>
    <w:uiPriority w:val="99"/>
    <w:rsid w:val="002F07D8"/>
    <w:pPr>
      <w:tabs>
        <w:tab w:val="center" w:pos="4819"/>
        <w:tab w:val="right" w:pos="9638"/>
      </w:tabs>
    </w:pPr>
    <w:rPr>
      <w:sz w:val="20"/>
      <w:szCs w:val="20"/>
    </w:rPr>
  </w:style>
  <w:style w:type="character" w:customStyle="1" w:styleId="Char">
    <w:name w:val="页脚 Char"/>
    <w:basedOn w:val="a0"/>
    <w:link w:val="a4"/>
    <w:uiPriority w:val="99"/>
    <w:semiHidden/>
    <w:locked/>
    <w:rsid w:val="00B45FC5"/>
    <w:rPr>
      <w:rFonts w:cs="Times New Roman"/>
      <w:lang w:eastAsia="en-US"/>
    </w:rPr>
  </w:style>
  <w:style w:type="character" w:styleId="a5">
    <w:name w:val="page number"/>
    <w:basedOn w:val="a0"/>
    <w:uiPriority w:val="99"/>
    <w:rsid w:val="002F07D8"/>
    <w:rPr>
      <w:rFonts w:cs="Times New Roman"/>
    </w:rPr>
  </w:style>
  <w:style w:type="character" w:customStyle="1" w:styleId="longtext">
    <w:name w:val="long_text"/>
    <w:uiPriority w:val="99"/>
    <w:rsid w:val="00572316"/>
  </w:style>
  <w:style w:type="character" w:customStyle="1" w:styleId="hps">
    <w:name w:val="hps"/>
    <w:uiPriority w:val="99"/>
    <w:rsid w:val="00572316"/>
  </w:style>
  <w:style w:type="paragraph" w:styleId="a6">
    <w:name w:val="Balloon Text"/>
    <w:basedOn w:val="a"/>
    <w:link w:val="Char0"/>
    <w:uiPriority w:val="99"/>
    <w:semiHidden/>
    <w:rsid w:val="00F01FCE"/>
    <w:rPr>
      <w:rFonts w:ascii="Tahoma" w:hAnsi="Tahoma" w:cs="Tahoma"/>
      <w:sz w:val="16"/>
      <w:szCs w:val="16"/>
    </w:rPr>
  </w:style>
  <w:style w:type="character" w:customStyle="1" w:styleId="Char0">
    <w:name w:val="批注框文本 Char"/>
    <w:basedOn w:val="a0"/>
    <w:link w:val="a6"/>
    <w:uiPriority w:val="99"/>
    <w:semiHidden/>
    <w:locked/>
    <w:rsid w:val="00D95213"/>
    <w:rPr>
      <w:rFonts w:ascii="Times New Roman" w:hAnsi="Times New Roman" w:cs="Times New Roman"/>
      <w:sz w:val="2"/>
      <w:lang w:eastAsia="en-US"/>
    </w:rPr>
  </w:style>
  <w:style w:type="paragraph" w:styleId="a7">
    <w:name w:val="header"/>
    <w:basedOn w:val="a"/>
    <w:link w:val="Char1"/>
    <w:uiPriority w:val="99"/>
    <w:semiHidden/>
    <w:rsid w:val="00543D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semiHidden/>
    <w:locked/>
    <w:rsid w:val="00543D5B"/>
    <w:rPr>
      <w:rFonts w:cs="Times New Roman"/>
      <w:sz w:val="18"/>
      <w:szCs w:val="18"/>
      <w:lang w:eastAsia="en-US"/>
    </w:rPr>
  </w:style>
  <w:style w:type="paragraph" w:customStyle="1" w:styleId="p0">
    <w:name w:val="p0"/>
    <w:basedOn w:val="a"/>
    <w:uiPriority w:val="99"/>
    <w:rsid w:val="00543D5B"/>
    <w:pPr>
      <w:spacing w:after="0" w:line="240" w:lineRule="atLeast"/>
    </w:pPr>
    <w:rPr>
      <w:rFonts w:ascii="Century"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5EC"/>
    <w:pPr>
      <w:spacing w:after="200" w:line="276" w:lineRule="auto"/>
    </w:pPr>
    <w:rPr>
      <w:kern w:val="0"/>
      <w:sz w:val="22"/>
      <w:lang w:val="it-IT"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1255E"/>
    <w:pPr>
      <w:ind w:left="720"/>
      <w:contextualSpacing/>
    </w:pPr>
  </w:style>
  <w:style w:type="paragraph" w:styleId="a4">
    <w:name w:val="footer"/>
    <w:basedOn w:val="a"/>
    <w:link w:val="Char"/>
    <w:uiPriority w:val="99"/>
    <w:rsid w:val="002F07D8"/>
    <w:pPr>
      <w:tabs>
        <w:tab w:val="center" w:pos="4819"/>
        <w:tab w:val="right" w:pos="9638"/>
      </w:tabs>
    </w:pPr>
    <w:rPr>
      <w:sz w:val="20"/>
      <w:szCs w:val="20"/>
    </w:rPr>
  </w:style>
  <w:style w:type="character" w:customStyle="1" w:styleId="Char">
    <w:name w:val="页脚 Char"/>
    <w:basedOn w:val="a0"/>
    <w:link w:val="a4"/>
    <w:uiPriority w:val="99"/>
    <w:semiHidden/>
    <w:locked/>
    <w:rsid w:val="00B45FC5"/>
    <w:rPr>
      <w:rFonts w:cs="Times New Roman"/>
      <w:lang w:eastAsia="en-US"/>
    </w:rPr>
  </w:style>
  <w:style w:type="character" w:styleId="a5">
    <w:name w:val="page number"/>
    <w:basedOn w:val="a0"/>
    <w:uiPriority w:val="99"/>
    <w:rsid w:val="002F07D8"/>
    <w:rPr>
      <w:rFonts w:cs="Times New Roman"/>
    </w:rPr>
  </w:style>
  <w:style w:type="character" w:customStyle="1" w:styleId="longtext">
    <w:name w:val="long_text"/>
    <w:uiPriority w:val="99"/>
    <w:rsid w:val="00572316"/>
  </w:style>
  <w:style w:type="character" w:customStyle="1" w:styleId="hps">
    <w:name w:val="hps"/>
    <w:uiPriority w:val="99"/>
    <w:rsid w:val="00572316"/>
  </w:style>
  <w:style w:type="paragraph" w:styleId="a6">
    <w:name w:val="Balloon Text"/>
    <w:basedOn w:val="a"/>
    <w:link w:val="Char0"/>
    <w:uiPriority w:val="99"/>
    <w:semiHidden/>
    <w:rsid w:val="00F01FCE"/>
    <w:rPr>
      <w:rFonts w:ascii="Tahoma" w:hAnsi="Tahoma" w:cs="Tahoma"/>
      <w:sz w:val="16"/>
      <w:szCs w:val="16"/>
    </w:rPr>
  </w:style>
  <w:style w:type="character" w:customStyle="1" w:styleId="Char0">
    <w:name w:val="批注框文本 Char"/>
    <w:basedOn w:val="a0"/>
    <w:link w:val="a6"/>
    <w:uiPriority w:val="99"/>
    <w:semiHidden/>
    <w:locked/>
    <w:rsid w:val="00D95213"/>
    <w:rPr>
      <w:rFonts w:ascii="Times New Roman" w:hAnsi="Times New Roman" w:cs="Times New Roman"/>
      <w:sz w:val="2"/>
      <w:lang w:eastAsia="en-US"/>
    </w:rPr>
  </w:style>
  <w:style w:type="paragraph" w:styleId="a7">
    <w:name w:val="header"/>
    <w:basedOn w:val="a"/>
    <w:link w:val="Char1"/>
    <w:uiPriority w:val="99"/>
    <w:semiHidden/>
    <w:rsid w:val="00543D5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semiHidden/>
    <w:locked/>
    <w:rsid w:val="00543D5B"/>
    <w:rPr>
      <w:rFonts w:cs="Times New Roman"/>
      <w:sz w:val="18"/>
      <w:szCs w:val="18"/>
      <w:lang w:eastAsia="en-US"/>
    </w:rPr>
  </w:style>
  <w:style w:type="paragraph" w:customStyle="1" w:styleId="p0">
    <w:name w:val="p0"/>
    <w:basedOn w:val="a"/>
    <w:uiPriority w:val="99"/>
    <w:rsid w:val="00543D5B"/>
    <w:pPr>
      <w:spacing w:after="0" w:line="240" w:lineRule="atLeast"/>
    </w:pPr>
    <w:rPr>
      <w:rFonts w:ascii="Century"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701737">
      <w:marLeft w:val="0"/>
      <w:marRight w:val="0"/>
      <w:marTop w:val="0"/>
      <w:marBottom w:val="0"/>
      <w:divBdr>
        <w:top w:val="none" w:sz="0" w:space="0" w:color="auto"/>
        <w:left w:val="none" w:sz="0" w:space="0" w:color="auto"/>
        <w:bottom w:val="none" w:sz="0" w:space="0" w:color="auto"/>
        <w:right w:val="none" w:sz="0" w:space="0" w:color="auto"/>
      </w:divBdr>
      <w:divsChild>
        <w:div w:id="465701774">
          <w:marLeft w:val="0"/>
          <w:marRight w:val="0"/>
          <w:marTop w:val="0"/>
          <w:marBottom w:val="0"/>
          <w:divBdr>
            <w:top w:val="none" w:sz="0" w:space="0" w:color="auto"/>
            <w:left w:val="none" w:sz="0" w:space="0" w:color="auto"/>
            <w:bottom w:val="none" w:sz="0" w:space="0" w:color="auto"/>
            <w:right w:val="none" w:sz="0" w:space="0" w:color="auto"/>
          </w:divBdr>
          <w:divsChild>
            <w:div w:id="465701703">
              <w:marLeft w:val="0"/>
              <w:marRight w:val="0"/>
              <w:marTop w:val="0"/>
              <w:marBottom w:val="0"/>
              <w:divBdr>
                <w:top w:val="none" w:sz="0" w:space="0" w:color="auto"/>
                <w:left w:val="none" w:sz="0" w:space="0" w:color="auto"/>
                <w:bottom w:val="none" w:sz="0" w:space="0" w:color="auto"/>
                <w:right w:val="none" w:sz="0" w:space="0" w:color="auto"/>
              </w:divBdr>
            </w:div>
            <w:div w:id="465701704">
              <w:marLeft w:val="0"/>
              <w:marRight w:val="0"/>
              <w:marTop w:val="0"/>
              <w:marBottom w:val="0"/>
              <w:divBdr>
                <w:top w:val="none" w:sz="0" w:space="0" w:color="auto"/>
                <w:left w:val="none" w:sz="0" w:space="0" w:color="auto"/>
                <w:bottom w:val="none" w:sz="0" w:space="0" w:color="auto"/>
                <w:right w:val="none" w:sz="0" w:space="0" w:color="auto"/>
              </w:divBdr>
            </w:div>
            <w:div w:id="465701705">
              <w:marLeft w:val="0"/>
              <w:marRight w:val="0"/>
              <w:marTop w:val="0"/>
              <w:marBottom w:val="0"/>
              <w:divBdr>
                <w:top w:val="none" w:sz="0" w:space="0" w:color="auto"/>
                <w:left w:val="none" w:sz="0" w:space="0" w:color="auto"/>
                <w:bottom w:val="none" w:sz="0" w:space="0" w:color="auto"/>
                <w:right w:val="none" w:sz="0" w:space="0" w:color="auto"/>
              </w:divBdr>
            </w:div>
            <w:div w:id="465701706">
              <w:marLeft w:val="0"/>
              <w:marRight w:val="0"/>
              <w:marTop w:val="0"/>
              <w:marBottom w:val="0"/>
              <w:divBdr>
                <w:top w:val="none" w:sz="0" w:space="0" w:color="auto"/>
                <w:left w:val="none" w:sz="0" w:space="0" w:color="auto"/>
                <w:bottom w:val="none" w:sz="0" w:space="0" w:color="auto"/>
                <w:right w:val="none" w:sz="0" w:space="0" w:color="auto"/>
              </w:divBdr>
            </w:div>
            <w:div w:id="465701707">
              <w:marLeft w:val="0"/>
              <w:marRight w:val="0"/>
              <w:marTop w:val="0"/>
              <w:marBottom w:val="0"/>
              <w:divBdr>
                <w:top w:val="none" w:sz="0" w:space="0" w:color="auto"/>
                <w:left w:val="none" w:sz="0" w:space="0" w:color="auto"/>
                <w:bottom w:val="none" w:sz="0" w:space="0" w:color="auto"/>
                <w:right w:val="none" w:sz="0" w:space="0" w:color="auto"/>
              </w:divBdr>
            </w:div>
            <w:div w:id="465701708">
              <w:marLeft w:val="0"/>
              <w:marRight w:val="0"/>
              <w:marTop w:val="0"/>
              <w:marBottom w:val="0"/>
              <w:divBdr>
                <w:top w:val="none" w:sz="0" w:space="0" w:color="auto"/>
                <w:left w:val="none" w:sz="0" w:space="0" w:color="auto"/>
                <w:bottom w:val="none" w:sz="0" w:space="0" w:color="auto"/>
                <w:right w:val="none" w:sz="0" w:space="0" w:color="auto"/>
              </w:divBdr>
            </w:div>
            <w:div w:id="465701709">
              <w:marLeft w:val="0"/>
              <w:marRight w:val="0"/>
              <w:marTop w:val="0"/>
              <w:marBottom w:val="0"/>
              <w:divBdr>
                <w:top w:val="none" w:sz="0" w:space="0" w:color="auto"/>
                <w:left w:val="none" w:sz="0" w:space="0" w:color="auto"/>
                <w:bottom w:val="none" w:sz="0" w:space="0" w:color="auto"/>
                <w:right w:val="none" w:sz="0" w:space="0" w:color="auto"/>
              </w:divBdr>
            </w:div>
            <w:div w:id="465701710">
              <w:marLeft w:val="0"/>
              <w:marRight w:val="0"/>
              <w:marTop w:val="0"/>
              <w:marBottom w:val="0"/>
              <w:divBdr>
                <w:top w:val="none" w:sz="0" w:space="0" w:color="auto"/>
                <w:left w:val="none" w:sz="0" w:space="0" w:color="auto"/>
                <w:bottom w:val="none" w:sz="0" w:space="0" w:color="auto"/>
                <w:right w:val="none" w:sz="0" w:space="0" w:color="auto"/>
              </w:divBdr>
            </w:div>
            <w:div w:id="465701711">
              <w:marLeft w:val="0"/>
              <w:marRight w:val="0"/>
              <w:marTop w:val="0"/>
              <w:marBottom w:val="0"/>
              <w:divBdr>
                <w:top w:val="none" w:sz="0" w:space="0" w:color="auto"/>
                <w:left w:val="none" w:sz="0" w:space="0" w:color="auto"/>
                <w:bottom w:val="none" w:sz="0" w:space="0" w:color="auto"/>
                <w:right w:val="none" w:sz="0" w:space="0" w:color="auto"/>
              </w:divBdr>
            </w:div>
            <w:div w:id="465701712">
              <w:marLeft w:val="0"/>
              <w:marRight w:val="0"/>
              <w:marTop w:val="0"/>
              <w:marBottom w:val="0"/>
              <w:divBdr>
                <w:top w:val="none" w:sz="0" w:space="0" w:color="auto"/>
                <w:left w:val="none" w:sz="0" w:space="0" w:color="auto"/>
                <w:bottom w:val="none" w:sz="0" w:space="0" w:color="auto"/>
                <w:right w:val="none" w:sz="0" w:space="0" w:color="auto"/>
              </w:divBdr>
            </w:div>
            <w:div w:id="465701713">
              <w:marLeft w:val="0"/>
              <w:marRight w:val="0"/>
              <w:marTop w:val="0"/>
              <w:marBottom w:val="0"/>
              <w:divBdr>
                <w:top w:val="none" w:sz="0" w:space="0" w:color="auto"/>
                <w:left w:val="none" w:sz="0" w:space="0" w:color="auto"/>
                <w:bottom w:val="none" w:sz="0" w:space="0" w:color="auto"/>
                <w:right w:val="none" w:sz="0" w:space="0" w:color="auto"/>
              </w:divBdr>
            </w:div>
            <w:div w:id="465701714">
              <w:marLeft w:val="0"/>
              <w:marRight w:val="0"/>
              <w:marTop w:val="0"/>
              <w:marBottom w:val="0"/>
              <w:divBdr>
                <w:top w:val="none" w:sz="0" w:space="0" w:color="auto"/>
                <w:left w:val="none" w:sz="0" w:space="0" w:color="auto"/>
                <w:bottom w:val="none" w:sz="0" w:space="0" w:color="auto"/>
                <w:right w:val="none" w:sz="0" w:space="0" w:color="auto"/>
              </w:divBdr>
            </w:div>
            <w:div w:id="465701715">
              <w:marLeft w:val="0"/>
              <w:marRight w:val="0"/>
              <w:marTop w:val="0"/>
              <w:marBottom w:val="0"/>
              <w:divBdr>
                <w:top w:val="none" w:sz="0" w:space="0" w:color="auto"/>
                <w:left w:val="none" w:sz="0" w:space="0" w:color="auto"/>
                <w:bottom w:val="none" w:sz="0" w:space="0" w:color="auto"/>
                <w:right w:val="none" w:sz="0" w:space="0" w:color="auto"/>
              </w:divBdr>
            </w:div>
            <w:div w:id="465701716">
              <w:marLeft w:val="0"/>
              <w:marRight w:val="0"/>
              <w:marTop w:val="0"/>
              <w:marBottom w:val="0"/>
              <w:divBdr>
                <w:top w:val="none" w:sz="0" w:space="0" w:color="auto"/>
                <w:left w:val="none" w:sz="0" w:space="0" w:color="auto"/>
                <w:bottom w:val="none" w:sz="0" w:space="0" w:color="auto"/>
                <w:right w:val="none" w:sz="0" w:space="0" w:color="auto"/>
              </w:divBdr>
            </w:div>
            <w:div w:id="465701717">
              <w:marLeft w:val="0"/>
              <w:marRight w:val="0"/>
              <w:marTop w:val="0"/>
              <w:marBottom w:val="0"/>
              <w:divBdr>
                <w:top w:val="none" w:sz="0" w:space="0" w:color="auto"/>
                <w:left w:val="none" w:sz="0" w:space="0" w:color="auto"/>
                <w:bottom w:val="none" w:sz="0" w:space="0" w:color="auto"/>
                <w:right w:val="none" w:sz="0" w:space="0" w:color="auto"/>
              </w:divBdr>
            </w:div>
            <w:div w:id="465701718">
              <w:marLeft w:val="0"/>
              <w:marRight w:val="0"/>
              <w:marTop w:val="0"/>
              <w:marBottom w:val="0"/>
              <w:divBdr>
                <w:top w:val="none" w:sz="0" w:space="0" w:color="auto"/>
                <w:left w:val="none" w:sz="0" w:space="0" w:color="auto"/>
                <w:bottom w:val="none" w:sz="0" w:space="0" w:color="auto"/>
                <w:right w:val="none" w:sz="0" w:space="0" w:color="auto"/>
              </w:divBdr>
            </w:div>
            <w:div w:id="465701719">
              <w:marLeft w:val="0"/>
              <w:marRight w:val="0"/>
              <w:marTop w:val="0"/>
              <w:marBottom w:val="0"/>
              <w:divBdr>
                <w:top w:val="none" w:sz="0" w:space="0" w:color="auto"/>
                <w:left w:val="none" w:sz="0" w:space="0" w:color="auto"/>
                <w:bottom w:val="none" w:sz="0" w:space="0" w:color="auto"/>
                <w:right w:val="none" w:sz="0" w:space="0" w:color="auto"/>
              </w:divBdr>
            </w:div>
            <w:div w:id="465701720">
              <w:marLeft w:val="0"/>
              <w:marRight w:val="0"/>
              <w:marTop w:val="0"/>
              <w:marBottom w:val="0"/>
              <w:divBdr>
                <w:top w:val="none" w:sz="0" w:space="0" w:color="auto"/>
                <w:left w:val="none" w:sz="0" w:space="0" w:color="auto"/>
                <w:bottom w:val="none" w:sz="0" w:space="0" w:color="auto"/>
                <w:right w:val="none" w:sz="0" w:space="0" w:color="auto"/>
              </w:divBdr>
            </w:div>
            <w:div w:id="465701721">
              <w:marLeft w:val="0"/>
              <w:marRight w:val="0"/>
              <w:marTop w:val="0"/>
              <w:marBottom w:val="0"/>
              <w:divBdr>
                <w:top w:val="none" w:sz="0" w:space="0" w:color="auto"/>
                <w:left w:val="none" w:sz="0" w:space="0" w:color="auto"/>
                <w:bottom w:val="none" w:sz="0" w:space="0" w:color="auto"/>
                <w:right w:val="none" w:sz="0" w:space="0" w:color="auto"/>
              </w:divBdr>
            </w:div>
            <w:div w:id="465701722">
              <w:marLeft w:val="0"/>
              <w:marRight w:val="0"/>
              <w:marTop w:val="0"/>
              <w:marBottom w:val="0"/>
              <w:divBdr>
                <w:top w:val="none" w:sz="0" w:space="0" w:color="auto"/>
                <w:left w:val="none" w:sz="0" w:space="0" w:color="auto"/>
                <w:bottom w:val="none" w:sz="0" w:space="0" w:color="auto"/>
                <w:right w:val="none" w:sz="0" w:space="0" w:color="auto"/>
              </w:divBdr>
            </w:div>
            <w:div w:id="465701723">
              <w:marLeft w:val="0"/>
              <w:marRight w:val="0"/>
              <w:marTop w:val="0"/>
              <w:marBottom w:val="0"/>
              <w:divBdr>
                <w:top w:val="none" w:sz="0" w:space="0" w:color="auto"/>
                <w:left w:val="none" w:sz="0" w:space="0" w:color="auto"/>
                <w:bottom w:val="none" w:sz="0" w:space="0" w:color="auto"/>
                <w:right w:val="none" w:sz="0" w:space="0" w:color="auto"/>
              </w:divBdr>
            </w:div>
            <w:div w:id="465701724">
              <w:marLeft w:val="0"/>
              <w:marRight w:val="0"/>
              <w:marTop w:val="0"/>
              <w:marBottom w:val="0"/>
              <w:divBdr>
                <w:top w:val="none" w:sz="0" w:space="0" w:color="auto"/>
                <w:left w:val="none" w:sz="0" w:space="0" w:color="auto"/>
                <w:bottom w:val="none" w:sz="0" w:space="0" w:color="auto"/>
                <w:right w:val="none" w:sz="0" w:space="0" w:color="auto"/>
              </w:divBdr>
            </w:div>
            <w:div w:id="465701725">
              <w:marLeft w:val="0"/>
              <w:marRight w:val="0"/>
              <w:marTop w:val="0"/>
              <w:marBottom w:val="0"/>
              <w:divBdr>
                <w:top w:val="none" w:sz="0" w:space="0" w:color="auto"/>
                <w:left w:val="none" w:sz="0" w:space="0" w:color="auto"/>
                <w:bottom w:val="none" w:sz="0" w:space="0" w:color="auto"/>
                <w:right w:val="none" w:sz="0" w:space="0" w:color="auto"/>
              </w:divBdr>
            </w:div>
            <w:div w:id="465701726">
              <w:marLeft w:val="0"/>
              <w:marRight w:val="0"/>
              <w:marTop w:val="0"/>
              <w:marBottom w:val="0"/>
              <w:divBdr>
                <w:top w:val="none" w:sz="0" w:space="0" w:color="auto"/>
                <w:left w:val="none" w:sz="0" w:space="0" w:color="auto"/>
                <w:bottom w:val="none" w:sz="0" w:space="0" w:color="auto"/>
                <w:right w:val="none" w:sz="0" w:space="0" w:color="auto"/>
              </w:divBdr>
            </w:div>
            <w:div w:id="465701727">
              <w:marLeft w:val="0"/>
              <w:marRight w:val="0"/>
              <w:marTop w:val="0"/>
              <w:marBottom w:val="0"/>
              <w:divBdr>
                <w:top w:val="none" w:sz="0" w:space="0" w:color="auto"/>
                <w:left w:val="none" w:sz="0" w:space="0" w:color="auto"/>
                <w:bottom w:val="none" w:sz="0" w:space="0" w:color="auto"/>
                <w:right w:val="none" w:sz="0" w:space="0" w:color="auto"/>
              </w:divBdr>
            </w:div>
            <w:div w:id="465701728">
              <w:marLeft w:val="0"/>
              <w:marRight w:val="0"/>
              <w:marTop w:val="0"/>
              <w:marBottom w:val="0"/>
              <w:divBdr>
                <w:top w:val="none" w:sz="0" w:space="0" w:color="auto"/>
                <w:left w:val="none" w:sz="0" w:space="0" w:color="auto"/>
                <w:bottom w:val="none" w:sz="0" w:space="0" w:color="auto"/>
                <w:right w:val="none" w:sz="0" w:space="0" w:color="auto"/>
              </w:divBdr>
            </w:div>
            <w:div w:id="465701729">
              <w:marLeft w:val="0"/>
              <w:marRight w:val="0"/>
              <w:marTop w:val="0"/>
              <w:marBottom w:val="0"/>
              <w:divBdr>
                <w:top w:val="none" w:sz="0" w:space="0" w:color="auto"/>
                <w:left w:val="none" w:sz="0" w:space="0" w:color="auto"/>
                <w:bottom w:val="none" w:sz="0" w:space="0" w:color="auto"/>
                <w:right w:val="none" w:sz="0" w:space="0" w:color="auto"/>
              </w:divBdr>
            </w:div>
            <w:div w:id="465701730">
              <w:marLeft w:val="0"/>
              <w:marRight w:val="0"/>
              <w:marTop w:val="0"/>
              <w:marBottom w:val="0"/>
              <w:divBdr>
                <w:top w:val="none" w:sz="0" w:space="0" w:color="auto"/>
                <w:left w:val="none" w:sz="0" w:space="0" w:color="auto"/>
                <w:bottom w:val="none" w:sz="0" w:space="0" w:color="auto"/>
                <w:right w:val="none" w:sz="0" w:space="0" w:color="auto"/>
              </w:divBdr>
            </w:div>
            <w:div w:id="465701731">
              <w:marLeft w:val="0"/>
              <w:marRight w:val="0"/>
              <w:marTop w:val="0"/>
              <w:marBottom w:val="0"/>
              <w:divBdr>
                <w:top w:val="none" w:sz="0" w:space="0" w:color="auto"/>
                <w:left w:val="none" w:sz="0" w:space="0" w:color="auto"/>
                <w:bottom w:val="none" w:sz="0" w:space="0" w:color="auto"/>
                <w:right w:val="none" w:sz="0" w:space="0" w:color="auto"/>
              </w:divBdr>
            </w:div>
            <w:div w:id="465701732">
              <w:marLeft w:val="0"/>
              <w:marRight w:val="0"/>
              <w:marTop w:val="0"/>
              <w:marBottom w:val="0"/>
              <w:divBdr>
                <w:top w:val="none" w:sz="0" w:space="0" w:color="auto"/>
                <w:left w:val="none" w:sz="0" w:space="0" w:color="auto"/>
                <w:bottom w:val="none" w:sz="0" w:space="0" w:color="auto"/>
                <w:right w:val="none" w:sz="0" w:space="0" w:color="auto"/>
              </w:divBdr>
            </w:div>
            <w:div w:id="465701733">
              <w:marLeft w:val="0"/>
              <w:marRight w:val="0"/>
              <w:marTop w:val="0"/>
              <w:marBottom w:val="0"/>
              <w:divBdr>
                <w:top w:val="none" w:sz="0" w:space="0" w:color="auto"/>
                <w:left w:val="none" w:sz="0" w:space="0" w:color="auto"/>
                <w:bottom w:val="none" w:sz="0" w:space="0" w:color="auto"/>
                <w:right w:val="none" w:sz="0" w:space="0" w:color="auto"/>
              </w:divBdr>
            </w:div>
            <w:div w:id="465701734">
              <w:marLeft w:val="0"/>
              <w:marRight w:val="0"/>
              <w:marTop w:val="0"/>
              <w:marBottom w:val="0"/>
              <w:divBdr>
                <w:top w:val="none" w:sz="0" w:space="0" w:color="auto"/>
                <w:left w:val="none" w:sz="0" w:space="0" w:color="auto"/>
                <w:bottom w:val="none" w:sz="0" w:space="0" w:color="auto"/>
                <w:right w:val="none" w:sz="0" w:space="0" w:color="auto"/>
              </w:divBdr>
            </w:div>
            <w:div w:id="465701735">
              <w:marLeft w:val="0"/>
              <w:marRight w:val="0"/>
              <w:marTop w:val="0"/>
              <w:marBottom w:val="0"/>
              <w:divBdr>
                <w:top w:val="none" w:sz="0" w:space="0" w:color="auto"/>
                <w:left w:val="none" w:sz="0" w:space="0" w:color="auto"/>
                <w:bottom w:val="none" w:sz="0" w:space="0" w:color="auto"/>
                <w:right w:val="none" w:sz="0" w:space="0" w:color="auto"/>
              </w:divBdr>
            </w:div>
            <w:div w:id="465701736">
              <w:marLeft w:val="0"/>
              <w:marRight w:val="0"/>
              <w:marTop w:val="0"/>
              <w:marBottom w:val="0"/>
              <w:divBdr>
                <w:top w:val="none" w:sz="0" w:space="0" w:color="auto"/>
                <w:left w:val="none" w:sz="0" w:space="0" w:color="auto"/>
                <w:bottom w:val="none" w:sz="0" w:space="0" w:color="auto"/>
                <w:right w:val="none" w:sz="0" w:space="0" w:color="auto"/>
              </w:divBdr>
            </w:div>
            <w:div w:id="465701738">
              <w:marLeft w:val="0"/>
              <w:marRight w:val="0"/>
              <w:marTop w:val="0"/>
              <w:marBottom w:val="0"/>
              <w:divBdr>
                <w:top w:val="none" w:sz="0" w:space="0" w:color="auto"/>
                <w:left w:val="none" w:sz="0" w:space="0" w:color="auto"/>
                <w:bottom w:val="none" w:sz="0" w:space="0" w:color="auto"/>
                <w:right w:val="none" w:sz="0" w:space="0" w:color="auto"/>
              </w:divBdr>
            </w:div>
            <w:div w:id="465701739">
              <w:marLeft w:val="0"/>
              <w:marRight w:val="0"/>
              <w:marTop w:val="0"/>
              <w:marBottom w:val="0"/>
              <w:divBdr>
                <w:top w:val="none" w:sz="0" w:space="0" w:color="auto"/>
                <w:left w:val="none" w:sz="0" w:space="0" w:color="auto"/>
                <w:bottom w:val="none" w:sz="0" w:space="0" w:color="auto"/>
                <w:right w:val="none" w:sz="0" w:space="0" w:color="auto"/>
              </w:divBdr>
            </w:div>
            <w:div w:id="465701740">
              <w:marLeft w:val="0"/>
              <w:marRight w:val="0"/>
              <w:marTop w:val="0"/>
              <w:marBottom w:val="0"/>
              <w:divBdr>
                <w:top w:val="none" w:sz="0" w:space="0" w:color="auto"/>
                <w:left w:val="none" w:sz="0" w:space="0" w:color="auto"/>
                <w:bottom w:val="none" w:sz="0" w:space="0" w:color="auto"/>
                <w:right w:val="none" w:sz="0" w:space="0" w:color="auto"/>
              </w:divBdr>
            </w:div>
            <w:div w:id="465701741">
              <w:marLeft w:val="0"/>
              <w:marRight w:val="0"/>
              <w:marTop w:val="0"/>
              <w:marBottom w:val="0"/>
              <w:divBdr>
                <w:top w:val="none" w:sz="0" w:space="0" w:color="auto"/>
                <w:left w:val="none" w:sz="0" w:space="0" w:color="auto"/>
                <w:bottom w:val="none" w:sz="0" w:space="0" w:color="auto"/>
                <w:right w:val="none" w:sz="0" w:space="0" w:color="auto"/>
              </w:divBdr>
            </w:div>
            <w:div w:id="465701742">
              <w:marLeft w:val="0"/>
              <w:marRight w:val="0"/>
              <w:marTop w:val="0"/>
              <w:marBottom w:val="0"/>
              <w:divBdr>
                <w:top w:val="none" w:sz="0" w:space="0" w:color="auto"/>
                <w:left w:val="none" w:sz="0" w:space="0" w:color="auto"/>
                <w:bottom w:val="none" w:sz="0" w:space="0" w:color="auto"/>
                <w:right w:val="none" w:sz="0" w:space="0" w:color="auto"/>
              </w:divBdr>
            </w:div>
            <w:div w:id="465701743">
              <w:marLeft w:val="0"/>
              <w:marRight w:val="0"/>
              <w:marTop w:val="0"/>
              <w:marBottom w:val="0"/>
              <w:divBdr>
                <w:top w:val="none" w:sz="0" w:space="0" w:color="auto"/>
                <w:left w:val="none" w:sz="0" w:space="0" w:color="auto"/>
                <w:bottom w:val="none" w:sz="0" w:space="0" w:color="auto"/>
                <w:right w:val="none" w:sz="0" w:space="0" w:color="auto"/>
              </w:divBdr>
            </w:div>
            <w:div w:id="465701744">
              <w:marLeft w:val="0"/>
              <w:marRight w:val="0"/>
              <w:marTop w:val="0"/>
              <w:marBottom w:val="0"/>
              <w:divBdr>
                <w:top w:val="none" w:sz="0" w:space="0" w:color="auto"/>
                <w:left w:val="none" w:sz="0" w:space="0" w:color="auto"/>
                <w:bottom w:val="none" w:sz="0" w:space="0" w:color="auto"/>
                <w:right w:val="none" w:sz="0" w:space="0" w:color="auto"/>
              </w:divBdr>
            </w:div>
            <w:div w:id="465701745">
              <w:marLeft w:val="0"/>
              <w:marRight w:val="0"/>
              <w:marTop w:val="0"/>
              <w:marBottom w:val="0"/>
              <w:divBdr>
                <w:top w:val="none" w:sz="0" w:space="0" w:color="auto"/>
                <w:left w:val="none" w:sz="0" w:space="0" w:color="auto"/>
                <w:bottom w:val="none" w:sz="0" w:space="0" w:color="auto"/>
                <w:right w:val="none" w:sz="0" w:space="0" w:color="auto"/>
              </w:divBdr>
            </w:div>
            <w:div w:id="465701746">
              <w:marLeft w:val="0"/>
              <w:marRight w:val="0"/>
              <w:marTop w:val="0"/>
              <w:marBottom w:val="0"/>
              <w:divBdr>
                <w:top w:val="none" w:sz="0" w:space="0" w:color="auto"/>
                <w:left w:val="none" w:sz="0" w:space="0" w:color="auto"/>
                <w:bottom w:val="none" w:sz="0" w:space="0" w:color="auto"/>
                <w:right w:val="none" w:sz="0" w:space="0" w:color="auto"/>
              </w:divBdr>
            </w:div>
            <w:div w:id="465701747">
              <w:marLeft w:val="0"/>
              <w:marRight w:val="0"/>
              <w:marTop w:val="0"/>
              <w:marBottom w:val="0"/>
              <w:divBdr>
                <w:top w:val="none" w:sz="0" w:space="0" w:color="auto"/>
                <w:left w:val="none" w:sz="0" w:space="0" w:color="auto"/>
                <w:bottom w:val="none" w:sz="0" w:space="0" w:color="auto"/>
                <w:right w:val="none" w:sz="0" w:space="0" w:color="auto"/>
              </w:divBdr>
            </w:div>
            <w:div w:id="465701748">
              <w:marLeft w:val="0"/>
              <w:marRight w:val="0"/>
              <w:marTop w:val="0"/>
              <w:marBottom w:val="0"/>
              <w:divBdr>
                <w:top w:val="none" w:sz="0" w:space="0" w:color="auto"/>
                <w:left w:val="none" w:sz="0" w:space="0" w:color="auto"/>
                <w:bottom w:val="none" w:sz="0" w:space="0" w:color="auto"/>
                <w:right w:val="none" w:sz="0" w:space="0" w:color="auto"/>
              </w:divBdr>
            </w:div>
            <w:div w:id="465701749">
              <w:marLeft w:val="0"/>
              <w:marRight w:val="0"/>
              <w:marTop w:val="0"/>
              <w:marBottom w:val="0"/>
              <w:divBdr>
                <w:top w:val="none" w:sz="0" w:space="0" w:color="auto"/>
                <w:left w:val="none" w:sz="0" w:space="0" w:color="auto"/>
                <w:bottom w:val="none" w:sz="0" w:space="0" w:color="auto"/>
                <w:right w:val="none" w:sz="0" w:space="0" w:color="auto"/>
              </w:divBdr>
            </w:div>
            <w:div w:id="465701750">
              <w:marLeft w:val="0"/>
              <w:marRight w:val="0"/>
              <w:marTop w:val="0"/>
              <w:marBottom w:val="0"/>
              <w:divBdr>
                <w:top w:val="none" w:sz="0" w:space="0" w:color="auto"/>
                <w:left w:val="none" w:sz="0" w:space="0" w:color="auto"/>
                <w:bottom w:val="none" w:sz="0" w:space="0" w:color="auto"/>
                <w:right w:val="none" w:sz="0" w:space="0" w:color="auto"/>
              </w:divBdr>
            </w:div>
            <w:div w:id="465701751">
              <w:marLeft w:val="0"/>
              <w:marRight w:val="0"/>
              <w:marTop w:val="0"/>
              <w:marBottom w:val="0"/>
              <w:divBdr>
                <w:top w:val="none" w:sz="0" w:space="0" w:color="auto"/>
                <w:left w:val="none" w:sz="0" w:space="0" w:color="auto"/>
                <w:bottom w:val="none" w:sz="0" w:space="0" w:color="auto"/>
                <w:right w:val="none" w:sz="0" w:space="0" w:color="auto"/>
              </w:divBdr>
            </w:div>
            <w:div w:id="465701752">
              <w:marLeft w:val="0"/>
              <w:marRight w:val="0"/>
              <w:marTop w:val="0"/>
              <w:marBottom w:val="0"/>
              <w:divBdr>
                <w:top w:val="none" w:sz="0" w:space="0" w:color="auto"/>
                <w:left w:val="none" w:sz="0" w:space="0" w:color="auto"/>
                <w:bottom w:val="none" w:sz="0" w:space="0" w:color="auto"/>
                <w:right w:val="none" w:sz="0" w:space="0" w:color="auto"/>
              </w:divBdr>
            </w:div>
            <w:div w:id="465701753">
              <w:marLeft w:val="0"/>
              <w:marRight w:val="0"/>
              <w:marTop w:val="0"/>
              <w:marBottom w:val="0"/>
              <w:divBdr>
                <w:top w:val="none" w:sz="0" w:space="0" w:color="auto"/>
                <w:left w:val="none" w:sz="0" w:space="0" w:color="auto"/>
                <w:bottom w:val="none" w:sz="0" w:space="0" w:color="auto"/>
                <w:right w:val="none" w:sz="0" w:space="0" w:color="auto"/>
              </w:divBdr>
            </w:div>
            <w:div w:id="465701754">
              <w:marLeft w:val="0"/>
              <w:marRight w:val="0"/>
              <w:marTop w:val="0"/>
              <w:marBottom w:val="0"/>
              <w:divBdr>
                <w:top w:val="none" w:sz="0" w:space="0" w:color="auto"/>
                <w:left w:val="none" w:sz="0" w:space="0" w:color="auto"/>
                <w:bottom w:val="none" w:sz="0" w:space="0" w:color="auto"/>
                <w:right w:val="none" w:sz="0" w:space="0" w:color="auto"/>
              </w:divBdr>
            </w:div>
            <w:div w:id="465701755">
              <w:marLeft w:val="0"/>
              <w:marRight w:val="0"/>
              <w:marTop w:val="0"/>
              <w:marBottom w:val="0"/>
              <w:divBdr>
                <w:top w:val="none" w:sz="0" w:space="0" w:color="auto"/>
                <w:left w:val="none" w:sz="0" w:space="0" w:color="auto"/>
                <w:bottom w:val="none" w:sz="0" w:space="0" w:color="auto"/>
                <w:right w:val="none" w:sz="0" w:space="0" w:color="auto"/>
              </w:divBdr>
            </w:div>
            <w:div w:id="465701756">
              <w:marLeft w:val="0"/>
              <w:marRight w:val="0"/>
              <w:marTop w:val="0"/>
              <w:marBottom w:val="0"/>
              <w:divBdr>
                <w:top w:val="none" w:sz="0" w:space="0" w:color="auto"/>
                <w:left w:val="none" w:sz="0" w:space="0" w:color="auto"/>
                <w:bottom w:val="none" w:sz="0" w:space="0" w:color="auto"/>
                <w:right w:val="none" w:sz="0" w:space="0" w:color="auto"/>
              </w:divBdr>
            </w:div>
            <w:div w:id="465701757">
              <w:marLeft w:val="0"/>
              <w:marRight w:val="0"/>
              <w:marTop w:val="0"/>
              <w:marBottom w:val="0"/>
              <w:divBdr>
                <w:top w:val="none" w:sz="0" w:space="0" w:color="auto"/>
                <w:left w:val="none" w:sz="0" w:space="0" w:color="auto"/>
                <w:bottom w:val="none" w:sz="0" w:space="0" w:color="auto"/>
                <w:right w:val="none" w:sz="0" w:space="0" w:color="auto"/>
              </w:divBdr>
            </w:div>
            <w:div w:id="465701758">
              <w:marLeft w:val="0"/>
              <w:marRight w:val="0"/>
              <w:marTop w:val="0"/>
              <w:marBottom w:val="0"/>
              <w:divBdr>
                <w:top w:val="none" w:sz="0" w:space="0" w:color="auto"/>
                <w:left w:val="none" w:sz="0" w:space="0" w:color="auto"/>
                <w:bottom w:val="none" w:sz="0" w:space="0" w:color="auto"/>
                <w:right w:val="none" w:sz="0" w:space="0" w:color="auto"/>
              </w:divBdr>
            </w:div>
            <w:div w:id="465701759">
              <w:marLeft w:val="0"/>
              <w:marRight w:val="0"/>
              <w:marTop w:val="0"/>
              <w:marBottom w:val="0"/>
              <w:divBdr>
                <w:top w:val="none" w:sz="0" w:space="0" w:color="auto"/>
                <w:left w:val="none" w:sz="0" w:space="0" w:color="auto"/>
                <w:bottom w:val="none" w:sz="0" w:space="0" w:color="auto"/>
                <w:right w:val="none" w:sz="0" w:space="0" w:color="auto"/>
              </w:divBdr>
            </w:div>
            <w:div w:id="465701760">
              <w:marLeft w:val="0"/>
              <w:marRight w:val="0"/>
              <w:marTop w:val="0"/>
              <w:marBottom w:val="0"/>
              <w:divBdr>
                <w:top w:val="none" w:sz="0" w:space="0" w:color="auto"/>
                <w:left w:val="none" w:sz="0" w:space="0" w:color="auto"/>
                <w:bottom w:val="none" w:sz="0" w:space="0" w:color="auto"/>
                <w:right w:val="none" w:sz="0" w:space="0" w:color="auto"/>
              </w:divBdr>
            </w:div>
            <w:div w:id="465701761">
              <w:marLeft w:val="0"/>
              <w:marRight w:val="0"/>
              <w:marTop w:val="0"/>
              <w:marBottom w:val="0"/>
              <w:divBdr>
                <w:top w:val="none" w:sz="0" w:space="0" w:color="auto"/>
                <w:left w:val="none" w:sz="0" w:space="0" w:color="auto"/>
                <w:bottom w:val="none" w:sz="0" w:space="0" w:color="auto"/>
                <w:right w:val="none" w:sz="0" w:space="0" w:color="auto"/>
              </w:divBdr>
            </w:div>
            <w:div w:id="465701762">
              <w:marLeft w:val="0"/>
              <w:marRight w:val="0"/>
              <w:marTop w:val="0"/>
              <w:marBottom w:val="0"/>
              <w:divBdr>
                <w:top w:val="none" w:sz="0" w:space="0" w:color="auto"/>
                <w:left w:val="none" w:sz="0" w:space="0" w:color="auto"/>
                <w:bottom w:val="none" w:sz="0" w:space="0" w:color="auto"/>
                <w:right w:val="none" w:sz="0" w:space="0" w:color="auto"/>
              </w:divBdr>
            </w:div>
            <w:div w:id="465701763">
              <w:marLeft w:val="0"/>
              <w:marRight w:val="0"/>
              <w:marTop w:val="0"/>
              <w:marBottom w:val="0"/>
              <w:divBdr>
                <w:top w:val="none" w:sz="0" w:space="0" w:color="auto"/>
                <w:left w:val="none" w:sz="0" w:space="0" w:color="auto"/>
                <w:bottom w:val="none" w:sz="0" w:space="0" w:color="auto"/>
                <w:right w:val="none" w:sz="0" w:space="0" w:color="auto"/>
              </w:divBdr>
            </w:div>
            <w:div w:id="465701764">
              <w:marLeft w:val="0"/>
              <w:marRight w:val="0"/>
              <w:marTop w:val="0"/>
              <w:marBottom w:val="0"/>
              <w:divBdr>
                <w:top w:val="none" w:sz="0" w:space="0" w:color="auto"/>
                <w:left w:val="none" w:sz="0" w:space="0" w:color="auto"/>
                <w:bottom w:val="none" w:sz="0" w:space="0" w:color="auto"/>
                <w:right w:val="none" w:sz="0" w:space="0" w:color="auto"/>
              </w:divBdr>
            </w:div>
            <w:div w:id="465701765">
              <w:marLeft w:val="0"/>
              <w:marRight w:val="0"/>
              <w:marTop w:val="0"/>
              <w:marBottom w:val="0"/>
              <w:divBdr>
                <w:top w:val="none" w:sz="0" w:space="0" w:color="auto"/>
                <w:left w:val="none" w:sz="0" w:space="0" w:color="auto"/>
                <w:bottom w:val="none" w:sz="0" w:space="0" w:color="auto"/>
                <w:right w:val="none" w:sz="0" w:space="0" w:color="auto"/>
              </w:divBdr>
            </w:div>
            <w:div w:id="465701766">
              <w:marLeft w:val="0"/>
              <w:marRight w:val="0"/>
              <w:marTop w:val="0"/>
              <w:marBottom w:val="0"/>
              <w:divBdr>
                <w:top w:val="none" w:sz="0" w:space="0" w:color="auto"/>
                <w:left w:val="none" w:sz="0" w:space="0" w:color="auto"/>
                <w:bottom w:val="none" w:sz="0" w:space="0" w:color="auto"/>
                <w:right w:val="none" w:sz="0" w:space="0" w:color="auto"/>
              </w:divBdr>
            </w:div>
            <w:div w:id="465701767">
              <w:marLeft w:val="0"/>
              <w:marRight w:val="0"/>
              <w:marTop w:val="0"/>
              <w:marBottom w:val="0"/>
              <w:divBdr>
                <w:top w:val="none" w:sz="0" w:space="0" w:color="auto"/>
                <w:left w:val="none" w:sz="0" w:space="0" w:color="auto"/>
                <w:bottom w:val="none" w:sz="0" w:space="0" w:color="auto"/>
                <w:right w:val="none" w:sz="0" w:space="0" w:color="auto"/>
              </w:divBdr>
            </w:div>
            <w:div w:id="465701768">
              <w:marLeft w:val="0"/>
              <w:marRight w:val="0"/>
              <w:marTop w:val="0"/>
              <w:marBottom w:val="0"/>
              <w:divBdr>
                <w:top w:val="none" w:sz="0" w:space="0" w:color="auto"/>
                <w:left w:val="none" w:sz="0" w:space="0" w:color="auto"/>
                <w:bottom w:val="none" w:sz="0" w:space="0" w:color="auto"/>
                <w:right w:val="none" w:sz="0" w:space="0" w:color="auto"/>
              </w:divBdr>
            </w:div>
            <w:div w:id="465701769">
              <w:marLeft w:val="0"/>
              <w:marRight w:val="0"/>
              <w:marTop w:val="0"/>
              <w:marBottom w:val="0"/>
              <w:divBdr>
                <w:top w:val="none" w:sz="0" w:space="0" w:color="auto"/>
                <w:left w:val="none" w:sz="0" w:space="0" w:color="auto"/>
                <w:bottom w:val="none" w:sz="0" w:space="0" w:color="auto"/>
                <w:right w:val="none" w:sz="0" w:space="0" w:color="auto"/>
              </w:divBdr>
            </w:div>
            <w:div w:id="465701770">
              <w:marLeft w:val="0"/>
              <w:marRight w:val="0"/>
              <w:marTop w:val="0"/>
              <w:marBottom w:val="0"/>
              <w:divBdr>
                <w:top w:val="none" w:sz="0" w:space="0" w:color="auto"/>
                <w:left w:val="none" w:sz="0" w:space="0" w:color="auto"/>
                <w:bottom w:val="none" w:sz="0" w:space="0" w:color="auto"/>
                <w:right w:val="none" w:sz="0" w:space="0" w:color="auto"/>
              </w:divBdr>
            </w:div>
            <w:div w:id="465701771">
              <w:marLeft w:val="0"/>
              <w:marRight w:val="0"/>
              <w:marTop w:val="0"/>
              <w:marBottom w:val="0"/>
              <w:divBdr>
                <w:top w:val="none" w:sz="0" w:space="0" w:color="auto"/>
                <w:left w:val="none" w:sz="0" w:space="0" w:color="auto"/>
                <w:bottom w:val="none" w:sz="0" w:space="0" w:color="auto"/>
                <w:right w:val="none" w:sz="0" w:space="0" w:color="auto"/>
              </w:divBdr>
            </w:div>
            <w:div w:id="465701772">
              <w:marLeft w:val="0"/>
              <w:marRight w:val="0"/>
              <w:marTop w:val="0"/>
              <w:marBottom w:val="0"/>
              <w:divBdr>
                <w:top w:val="none" w:sz="0" w:space="0" w:color="auto"/>
                <w:left w:val="none" w:sz="0" w:space="0" w:color="auto"/>
                <w:bottom w:val="none" w:sz="0" w:space="0" w:color="auto"/>
                <w:right w:val="none" w:sz="0" w:space="0" w:color="auto"/>
              </w:divBdr>
            </w:div>
            <w:div w:id="465701773">
              <w:marLeft w:val="0"/>
              <w:marRight w:val="0"/>
              <w:marTop w:val="0"/>
              <w:marBottom w:val="0"/>
              <w:divBdr>
                <w:top w:val="none" w:sz="0" w:space="0" w:color="auto"/>
                <w:left w:val="none" w:sz="0" w:space="0" w:color="auto"/>
                <w:bottom w:val="none" w:sz="0" w:space="0" w:color="auto"/>
                <w:right w:val="none" w:sz="0" w:space="0" w:color="auto"/>
              </w:divBdr>
            </w:div>
            <w:div w:id="465701775">
              <w:marLeft w:val="0"/>
              <w:marRight w:val="0"/>
              <w:marTop w:val="0"/>
              <w:marBottom w:val="0"/>
              <w:divBdr>
                <w:top w:val="none" w:sz="0" w:space="0" w:color="auto"/>
                <w:left w:val="none" w:sz="0" w:space="0" w:color="auto"/>
                <w:bottom w:val="none" w:sz="0" w:space="0" w:color="auto"/>
                <w:right w:val="none" w:sz="0" w:space="0" w:color="auto"/>
              </w:divBdr>
            </w:div>
            <w:div w:id="465701776">
              <w:marLeft w:val="0"/>
              <w:marRight w:val="0"/>
              <w:marTop w:val="0"/>
              <w:marBottom w:val="0"/>
              <w:divBdr>
                <w:top w:val="none" w:sz="0" w:space="0" w:color="auto"/>
                <w:left w:val="none" w:sz="0" w:space="0" w:color="auto"/>
                <w:bottom w:val="none" w:sz="0" w:space="0" w:color="auto"/>
                <w:right w:val="none" w:sz="0" w:space="0" w:color="auto"/>
              </w:divBdr>
            </w:div>
            <w:div w:id="465701777">
              <w:marLeft w:val="0"/>
              <w:marRight w:val="0"/>
              <w:marTop w:val="0"/>
              <w:marBottom w:val="0"/>
              <w:divBdr>
                <w:top w:val="none" w:sz="0" w:space="0" w:color="auto"/>
                <w:left w:val="none" w:sz="0" w:space="0" w:color="auto"/>
                <w:bottom w:val="none" w:sz="0" w:space="0" w:color="auto"/>
                <w:right w:val="none" w:sz="0" w:space="0" w:color="auto"/>
              </w:divBdr>
            </w:div>
            <w:div w:id="465701778">
              <w:marLeft w:val="0"/>
              <w:marRight w:val="0"/>
              <w:marTop w:val="0"/>
              <w:marBottom w:val="0"/>
              <w:divBdr>
                <w:top w:val="none" w:sz="0" w:space="0" w:color="auto"/>
                <w:left w:val="none" w:sz="0" w:space="0" w:color="auto"/>
                <w:bottom w:val="none" w:sz="0" w:space="0" w:color="auto"/>
                <w:right w:val="none" w:sz="0" w:space="0" w:color="auto"/>
              </w:divBdr>
            </w:div>
            <w:div w:id="465701779">
              <w:marLeft w:val="0"/>
              <w:marRight w:val="0"/>
              <w:marTop w:val="0"/>
              <w:marBottom w:val="0"/>
              <w:divBdr>
                <w:top w:val="none" w:sz="0" w:space="0" w:color="auto"/>
                <w:left w:val="none" w:sz="0" w:space="0" w:color="auto"/>
                <w:bottom w:val="none" w:sz="0" w:space="0" w:color="auto"/>
                <w:right w:val="none" w:sz="0" w:space="0" w:color="auto"/>
              </w:divBdr>
            </w:div>
            <w:div w:id="465701780">
              <w:marLeft w:val="0"/>
              <w:marRight w:val="0"/>
              <w:marTop w:val="0"/>
              <w:marBottom w:val="0"/>
              <w:divBdr>
                <w:top w:val="none" w:sz="0" w:space="0" w:color="auto"/>
                <w:left w:val="none" w:sz="0" w:space="0" w:color="auto"/>
                <w:bottom w:val="none" w:sz="0" w:space="0" w:color="auto"/>
                <w:right w:val="none" w:sz="0" w:space="0" w:color="auto"/>
              </w:divBdr>
            </w:div>
            <w:div w:id="465701781">
              <w:marLeft w:val="0"/>
              <w:marRight w:val="0"/>
              <w:marTop w:val="0"/>
              <w:marBottom w:val="0"/>
              <w:divBdr>
                <w:top w:val="none" w:sz="0" w:space="0" w:color="auto"/>
                <w:left w:val="none" w:sz="0" w:space="0" w:color="auto"/>
                <w:bottom w:val="none" w:sz="0" w:space="0" w:color="auto"/>
                <w:right w:val="none" w:sz="0" w:space="0" w:color="auto"/>
              </w:divBdr>
            </w:div>
            <w:div w:id="465701782">
              <w:marLeft w:val="0"/>
              <w:marRight w:val="0"/>
              <w:marTop w:val="0"/>
              <w:marBottom w:val="0"/>
              <w:divBdr>
                <w:top w:val="none" w:sz="0" w:space="0" w:color="auto"/>
                <w:left w:val="none" w:sz="0" w:space="0" w:color="auto"/>
                <w:bottom w:val="none" w:sz="0" w:space="0" w:color="auto"/>
                <w:right w:val="none" w:sz="0" w:space="0" w:color="auto"/>
              </w:divBdr>
            </w:div>
            <w:div w:id="465701783">
              <w:marLeft w:val="0"/>
              <w:marRight w:val="0"/>
              <w:marTop w:val="0"/>
              <w:marBottom w:val="0"/>
              <w:divBdr>
                <w:top w:val="none" w:sz="0" w:space="0" w:color="auto"/>
                <w:left w:val="none" w:sz="0" w:space="0" w:color="auto"/>
                <w:bottom w:val="none" w:sz="0" w:space="0" w:color="auto"/>
                <w:right w:val="none" w:sz="0" w:space="0" w:color="auto"/>
              </w:divBdr>
            </w:div>
            <w:div w:id="465701784">
              <w:marLeft w:val="0"/>
              <w:marRight w:val="0"/>
              <w:marTop w:val="0"/>
              <w:marBottom w:val="0"/>
              <w:divBdr>
                <w:top w:val="none" w:sz="0" w:space="0" w:color="auto"/>
                <w:left w:val="none" w:sz="0" w:space="0" w:color="auto"/>
                <w:bottom w:val="none" w:sz="0" w:space="0" w:color="auto"/>
                <w:right w:val="none" w:sz="0" w:space="0" w:color="auto"/>
              </w:divBdr>
            </w:div>
            <w:div w:id="465701785">
              <w:marLeft w:val="0"/>
              <w:marRight w:val="0"/>
              <w:marTop w:val="0"/>
              <w:marBottom w:val="0"/>
              <w:divBdr>
                <w:top w:val="none" w:sz="0" w:space="0" w:color="auto"/>
                <w:left w:val="none" w:sz="0" w:space="0" w:color="auto"/>
                <w:bottom w:val="none" w:sz="0" w:space="0" w:color="auto"/>
                <w:right w:val="none" w:sz="0" w:space="0" w:color="auto"/>
              </w:divBdr>
            </w:div>
            <w:div w:id="465701786">
              <w:marLeft w:val="0"/>
              <w:marRight w:val="0"/>
              <w:marTop w:val="0"/>
              <w:marBottom w:val="0"/>
              <w:divBdr>
                <w:top w:val="none" w:sz="0" w:space="0" w:color="auto"/>
                <w:left w:val="none" w:sz="0" w:space="0" w:color="auto"/>
                <w:bottom w:val="none" w:sz="0" w:space="0" w:color="auto"/>
                <w:right w:val="none" w:sz="0" w:space="0" w:color="auto"/>
              </w:divBdr>
            </w:div>
            <w:div w:id="465701787">
              <w:marLeft w:val="0"/>
              <w:marRight w:val="0"/>
              <w:marTop w:val="0"/>
              <w:marBottom w:val="0"/>
              <w:divBdr>
                <w:top w:val="none" w:sz="0" w:space="0" w:color="auto"/>
                <w:left w:val="none" w:sz="0" w:space="0" w:color="auto"/>
                <w:bottom w:val="none" w:sz="0" w:space="0" w:color="auto"/>
                <w:right w:val="none" w:sz="0" w:space="0" w:color="auto"/>
              </w:divBdr>
            </w:div>
            <w:div w:id="4657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8937</Words>
  <Characters>50942</Characters>
  <Application>Microsoft Office Word</Application>
  <DocSecurity>0</DocSecurity>
  <Lines>424</Lines>
  <Paragraphs>119</Paragraphs>
  <ScaleCrop>false</ScaleCrop>
  <Company>Hewlett-Packard Company</Company>
  <LinksUpToDate>false</LinksUpToDate>
  <CharactersWithSpaces>59760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Telomeres, telomerase and colorectal cancers</dc:title>
  <dc:creator>Roberta</dc:creator>
  <cp:lastModifiedBy>LS Ma</cp:lastModifiedBy>
  <cp:revision>2</cp:revision>
  <cp:lastPrinted>2013-12-03T07:36:00Z</cp:lastPrinted>
  <dcterms:created xsi:type="dcterms:W3CDTF">2014-01-14T16:17:00Z</dcterms:created>
  <dcterms:modified xsi:type="dcterms:W3CDTF">2014-01-14T16:17:00Z</dcterms:modified>
</cp:coreProperties>
</file>