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9798F" w14:textId="77777777" w:rsidR="00A77B3E" w:rsidRPr="00A23AA9" w:rsidRDefault="00CA1127" w:rsidP="00AE2A93">
      <w:pPr>
        <w:snapToGrid w:val="0"/>
        <w:spacing w:line="360" w:lineRule="auto"/>
        <w:jc w:val="both"/>
      </w:pPr>
      <w:r w:rsidRPr="00C76E19">
        <w:rPr>
          <w:rFonts w:ascii="Book Antiqua" w:eastAsia="Book Antiqua" w:hAnsi="Book Antiqua" w:cs="Book Antiqua"/>
          <w:b/>
          <w:color w:val="000000"/>
        </w:rPr>
        <w:t xml:space="preserve">Name of Journal: </w:t>
      </w:r>
      <w:r w:rsidRPr="002B5BCF">
        <w:rPr>
          <w:rFonts w:ascii="Book Antiqua" w:eastAsia="Book Antiqua" w:hAnsi="Book Antiqua" w:cs="Book Antiqua"/>
          <w:i/>
          <w:color w:val="000000"/>
        </w:rPr>
        <w:t>World Journal of Gastroenterology</w:t>
      </w:r>
    </w:p>
    <w:p w14:paraId="18192CAE" w14:textId="77777777" w:rsidR="00A77B3E" w:rsidRPr="00C76E19" w:rsidRDefault="00CA1127" w:rsidP="00AE2A93">
      <w:pPr>
        <w:snapToGrid w:val="0"/>
        <w:spacing w:line="360" w:lineRule="auto"/>
        <w:jc w:val="both"/>
      </w:pPr>
      <w:r w:rsidRPr="00A23AA9">
        <w:rPr>
          <w:rFonts w:ascii="Book Antiqua" w:eastAsia="Book Antiqua" w:hAnsi="Book Antiqua" w:cs="Book Antiqua"/>
          <w:b/>
          <w:color w:val="000000"/>
        </w:rPr>
        <w:t xml:space="preserve">Manuscript NO: </w:t>
      </w:r>
      <w:r w:rsidRPr="00A23AA9">
        <w:rPr>
          <w:rFonts w:ascii="Book Antiqua" w:eastAsia="Book Antiqua" w:hAnsi="Book Antiqua" w:cs="Book Antiqua"/>
          <w:color w:val="000000"/>
        </w:rPr>
        <w:t>57683</w:t>
      </w:r>
    </w:p>
    <w:p w14:paraId="18D3DEDD" w14:textId="77777777" w:rsidR="00A77B3E" w:rsidRPr="00C76E19" w:rsidRDefault="00CA1127" w:rsidP="00AE2A93">
      <w:pPr>
        <w:snapToGrid w:val="0"/>
        <w:spacing w:line="360" w:lineRule="auto"/>
        <w:jc w:val="both"/>
      </w:pPr>
      <w:r w:rsidRPr="00C76E19">
        <w:rPr>
          <w:rFonts w:ascii="Book Antiqua" w:eastAsia="Book Antiqua" w:hAnsi="Book Antiqua" w:cs="Book Antiqua"/>
          <w:b/>
          <w:color w:val="000000"/>
        </w:rPr>
        <w:t xml:space="preserve">Manuscript Type: </w:t>
      </w:r>
      <w:r w:rsidRPr="00C76E19">
        <w:rPr>
          <w:rFonts w:ascii="Book Antiqua" w:eastAsia="Book Antiqua" w:hAnsi="Book Antiqua" w:cs="Book Antiqua"/>
          <w:color w:val="000000"/>
        </w:rPr>
        <w:t>ORIGINAL ARTICLE</w:t>
      </w:r>
    </w:p>
    <w:p w14:paraId="13197AFC" w14:textId="77777777" w:rsidR="00A77B3E" w:rsidRPr="00C76E19" w:rsidRDefault="00A77B3E" w:rsidP="00AE2A93">
      <w:pPr>
        <w:snapToGrid w:val="0"/>
        <w:spacing w:line="360" w:lineRule="auto"/>
        <w:jc w:val="both"/>
      </w:pPr>
    </w:p>
    <w:p w14:paraId="538FDFF3" w14:textId="77777777" w:rsidR="00A77B3E" w:rsidRPr="00C76E19" w:rsidRDefault="00CA1127" w:rsidP="00AE2A93">
      <w:pPr>
        <w:snapToGrid w:val="0"/>
        <w:spacing w:line="360" w:lineRule="auto"/>
        <w:jc w:val="both"/>
      </w:pPr>
      <w:r w:rsidRPr="00C76E19">
        <w:rPr>
          <w:rFonts w:ascii="Book Antiqua" w:eastAsia="Book Antiqua" w:hAnsi="Book Antiqua" w:cs="Book Antiqua"/>
          <w:b/>
          <w:i/>
          <w:color w:val="000000"/>
        </w:rPr>
        <w:t>Observational Study</w:t>
      </w:r>
    </w:p>
    <w:p w14:paraId="518F5547" w14:textId="77777777" w:rsidR="00A77B3E" w:rsidRPr="00C76E19" w:rsidRDefault="00CA1127" w:rsidP="00AE2A93">
      <w:pPr>
        <w:snapToGrid w:val="0"/>
        <w:spacing w:line="360" w:lineRule="auto"/>
        <w:jc w:val="both"/>
      </w:pPr>
      <w:r w:rsidRPr="00C76E19">
        <w:rPr>
          <w:rFonts w:ascii="Book Antiqua" w:eastAsia="Book Antiqua" w:hAnsi="Book Antiqua" w:cs="Book Antiqua"/>
          <w:b/>
          <w:color w:val="000000"/>
        </w:rPr>
        <w:t>Real-world cost-effectiveness associated with infliximab maintenance therapy for moderate to severe Crohn’s disease in China</w:t>
      </w:r>
    </w:p>
    <w:p w14:paraId="02C76322" w14:textId="77777777" w:rsidR="00A77B3E" w:rsidRPr="00C76E19" w:rsidRDefault="00A77B3E" w:rsidP="00AE2A93">
      <w:pPr>
        <w:snapToGrid w:val="0"/>
        <w:spacing w:line="360" w:lineRule="auto"/>
        <w:jc w:val="both"/>
      </w:pPr>
    </w:p>
    <w:p w14:paraId="3632B6C4" w14:textId="333FE2D2" w:rsidR="00A77B3E" w:rsidRPr="00C76E19" w:rsidRDefault="00A5089C" w:rsidP="00AE2A93">
      <w:pPr>
        <w:snapToGrid w:val="0"/>
        <w:spacing w:line="360" w:lineRule="auto"/>
        <w:jc w:val="both"/>
      </w:pPr>
      <w:r w:rsidRPr="00C76E19">
        <w:rPr>
          <w:rFonts w:ascii="Book Antiqua" w:eastAsia="Book Antiqua" w:hAnsi="Book Antiqua" w:cs="Book Antiqua"/>
          <w:color w:val="000000"/>
        </w:rPr>
        <w:t>Shi J</w:t>
      </w:r>
      <w:r w:rsidR="00AE2A93">
        <w:rPr>
          <w:rFonts w:ascii="Book Antiqua" w:eastAsia="Book Antiqua" w:hAnsi="Book Antiqua" w:cs="Book Antiqua"/>
          <w:color w:val="000000"/>
        </w:rPr>
        <w:t>H</w:t>
      </w:r>
      <w:r w:rsidRPr="00C76E19">
        <w:rPr>
          <w:rFonts w:ascii="Book Antiqua" w:eastAsia="Book Antiqua" w:hAnsi="Book Antiqua" w:cs="Book Antiqua"/>
          <w:color w:val="000000"/>
        </w:rPr>
        <w:t xml:space="preserve"> </w:t>
      </w:r>
      <w:r w:rsidRPr="00C76E19">
        <w:rPr>
          <w:rFonts w:ascii="Book Antiqua" w:eastAsia="Book Antiqua" w:hAnsi="Book Antiqua" w:cs="Book Antiqua"/>
          <w:i/>
          <w:iCs/>
          <w:color w:val="000000"/>
        </w:rPr>
        <w:t>et al</w:t>
      </w:r>
      <w:r w:rsidRPr="00C76E19">
        <w:rPr>
          <w:rFonts w:ascii="Book Antiqua" w:eastAsia="Book Antiqua" w:hAnsi="Book Antiqua" w:cs="Book Antiqua"/>
          <w:color w:val="000000"/>
        </w:rPr>
        <w:t xml:space="preserve">. </w:t>
      </w:r>
      <w:r w:rsidR="00CA1127" w:rsidRPr="00C76E19">
        <w:rPr>
          <w:rFonts w:ascii="Book Antiqua" w:eastAsia="Book Antiqua" w:hAnsi="Book Antiqua" w:cs="Book Antiqua"/>
          <w:color w:val="000000"/>
        </w:rPr>
        <w:t xml:space="preserve">Cost-effectiveness of </w:t>
      </w:r>
      <w:r w:rsidR="00567C2F" w:rsidRPr="00C76E19">
        <w:rPr>
          <w:rFonts w:ascii="Book Antiqua" w:eastAsia="Book Antiqua" w:hAnsi="Book Antiqua" w:cs="Book Antiqua"/>
          <w:color w:val="000000"/>
        </w:rPr>
        <w:t>IMT</w:t>
      </w:r>
      <w:r w:rsidR="00CA1127" w:rsidRPr="00C76E19">
        <w:rPr>
          <w:rFonts w:ascii="Book Antiqua" w:eastAsia="Book Antiqua" w:hAnsi="Book Antiqua" w:cs="Book Antiqua"/>
          <w:color w:val="000000"/>
        </w:rPr>
        <w:t xml:space="preserve"> for CD</w:t>
      </w:r>
    </w:p>
    <w:p w14:paraId="529A4583" w14:textId="77777777" w:rsidR="00A77B3E" w:rsidRPr="00C76E19" w:rsidRDefault="00A77B3E" w:rsidP="00AE2A93">
      <w:pPr>
        <w:snapToGrid w:val="0"/>
        <w:spacing w:line="360" w:lineRule="auto"/>
        <w:jc w:val="both"/>
      </w:pPr>
    </w:p>
    <w:p w14:paraId="036987F0" w14:textId="77777777" w:rsidR="00A77B3E" w:rsidRPr="00C76E19" w:rsidRDefault="00CA1127" w:rsidP="00AE2A93">
      <w:pPr>
        <w:snapToGrid w:val="0"/>
        <w:spacing w:line="360" w:lineRule="auto"/>
        <w:jc w:val="both"/>
      </w:pPr>
      <w:r w:rsidRPr="00C76E19">
        <w:rPr>
          <w:rFonts w:ascii="Book Antiqua" w:eastAsia="Book Antiqua" w:hAnsi="Book Antiqua" w:cs="Book Antiqua"/>
          <w:color w:val="000000"/>
        </w:rPr>
        <w:t>Ji-Hao Shi, Liang Luo, Xiao-Li Chen, Yi-Peng Pan, Zhou Zhang, Hao Fang, Ying Chen, Wen-Dong Chen, Qian Cao</w:t>
      </w:r>
    </w:p>
    <w:p w14:paraId="0290B165" w14:textId="77777777" w:rsidR="00A77B3E" w:rsidRPr="00C76E19" w:rsidRDefault="00A77B3E" w:rsidP="00AE2A93">
      <w:pPr>
        <w:snapToGrid w:val="0"/>
        <w:spacing w:line="360" w:lineRule="auto"/>
        <w:jc w:val="both"/>
      </w:pPr>
    </w:p>
    <w:p w14:paraId="03F233CE" w14:textId="644BF986" w:rsidR="00A77B3E" w:rsidRPr="00C76E19" w:rsidRDefault="00CA1127" w:rsidP="00AE2A93">
      <w:pPr>
        <w:snapToGrid w:val="0"/>
        <w:spacing w:line="360" w:lineRule="auto"/>
        <w:jc w:val="both"/>
      </w:pPr>
      <w:r w:rsidRPr="00C76E19">
        <w:rPr>
          <w:rFonts w:ascii="Book Antiqua" w:eastAsia="Book Antiqua" w:hAnsi="Book Antiqua" w:cs="Book Antiqua"/>
          <w:b/>
          <w:bCs/>
          <w:color w:val="000000"/>
        </w:rPr>
        <w:t xml:space="preserve">Ji-Hao Shi, </w:t>
      </w:r>
      <w:r w:rsidRPr="00C76E19">
        <w:rPr>
          <w:rFonts w:ascii="Book Antiqua" w:eastAsia="Book Antiqua" w:hAnsi="Book Antiqua" w:cs="Book Antiqua"/>
          <w:color w:val="000000"/>
        </w:rPr>
        <w:t xml:space="preserve">Department of Gastroenterology, Sir Run </w:t>
      </w:r>
      <w:proofErr w:type="spellStart"/>
      <w:r w:rsidRPr="00C76E19">
        <w:rPr>
          <w:rFonts w:ascii="Book Antiqua" w:eastAsia="Book Antiqua" w:hAnsi="Book Antiqua" w:cs="Book Antiqua"/>
          <w:color w:val="000000"/>
        </w:rPr>
        <w:t>Run</w:t>
      </w:r>
      <w:proofErr w:type="spellEnd"/>
      <w:r w:rsidRPr="00C76E19">
        <w:rPr>
          <w:rFonts w:ascii="Book Antiqua" w:eastAsia="Book Antiqua" w:hAnsi="Book Antiqua" w:cs="Book Antiqua"/>
          <w:color w:val="000000"/>
        </w:rPr>
        <w:t xml:space="preserve"> Shaw Hospital, </w:t>
      </w:r>
      <w:r w:rsidR="00AE2A93">
        <w:rPr>
          <w:rFonts w:ascii="Book Antiqua" w:eastAsia="Book Antiqua" w:hAnsi="Book Antiqua" w:cs="Book Antiqua"/>
          <w:color w:val="000000"/>
          <w:lang w:val="en-CA" w:eastAsia="zh-CN"/>
        </w:rPr>
        <w:t>College of Medicine,</w:t>
      </w:r>
      <w:r w:rsidR="00AE2A93">
        <w:rPr>
          <w:rFonts w:ascii="Book Antiqua" w:eastAsia="Book Antiqua" w:hAnsi="Book Antiqua" w:cs="Book Antiqua"/>
          <w:color w:val="000000"/>
          <w:lang w:val="en-CA" w:eastAsia="zh-CN"/>
        </w:rPr>
        <w:t xml:space="preserve"> </w:t>
      </w:r>
      <w:r w:rsidRPr="00C76E19">
        <w:rPr>
          <w:rFonts w:ascii="Book Antiqua" w:eastAsia="Book Antiqua" w:hAnsi="Book Antiqua" w:cs="Book Antiqua"/>
          <w:color w:val="000000"/>
        </w:rPr>
        <w:t>Zhejiang University, Hangzhou 310016, Zhejiang Province, China</w:t>
      </w:r>
    </w:p>
    <w:p w14:paraId="7DBA1D95" w14:textId="77777777" w:rsidR="00A77B3E" w:rsidRPr="00C76E19" w:rsidRDefault="00A77B3E" w:rsidP="00AE2A93">
      <w:pPr>
        <w:snapToGrid w:val="0"/>
        <w:spacing w:line="360" w:lineRule="auto"/>
        <w:jc w:val="both"/>
      </w:pPr>
    </w:p>
    <w:p w14:paraId="680DD35B" w14:textId="660B2734" w:rsidR="00A77B3E" w:rsidRDefault="00CA1127">
      <w:pPr>
        <w:snapToGrid w:val="0"/>
        <w:spacing w:line="360" w:lineRule="auto"/>
        <w:jc w:val="both"/>
        <w:rPr>
          <w:rFonts w:ascii="Book Antiqua" w:eastAsia="Book Antiqua" w:hAnsi="Book Antiqua" w:cs="Book Antiqua"/>
          <w:color w:val="000000"/>
        </w:rPr>
      </w:pPr>
      <w:r w:rsidRPr="00C76E19">
        <w:rPr>
          <w:rFonts w:ascii="Book Antiqua" w:eastAsia="Book Antiqua" w:hAnsi="Book Antiqua" w:cs="Book Antiqua"/>
          <w:b/>
          <w:bCs/>
          <w:color w:val="000000"/>
        </w:rPr>
        <w:t xml:space="preserve">Liang Luo, Xiao-Li Chen, Yi-Peng Pan, Zhou Zhang, Hao Fang, Qian Cao, </w:t>
      </w:r>
      <w:r w:rsidRPr="00C76E19">
        <w:rPr>
          <w:rFonts w:ascii="Book Antiqua" w:eastAsia="Book Antiqua" w:hAnsi="Book Antiqua" w:cs="Book Antiqua"/>
          <w:color w:val="000000"/>
        </w:rPr>
        <w:t xml:space="preserve">Department of Gastroenterology, Sir Run </w:t>
      </w:r>
      <w:proofErr w:type="spellStart"/>
      <w:r w:rsidRPr="00C76E19">
        <w:rPr>
          <w:rFonts w:ascii="Book Antiqua" w:eastAsia="Book Antiqua" w:hAnsi="Book Antiqua" w:cs="Book Antiqua"/>
          <w:color w:val="000000"/>
        </w:rPr>
        <w:t>Run</w:t>
      </w:r>
      <w:proofErr w:type="spellEnd"/>
      <w:r w:rsidRPr="00C76E19">
        <w:rPr>
          <w:rFonts w:ascii="Book Antiqua" w:eastAsia="Book Antiqua" w:hAnsi="Book Antiqua" w:cs="Book Antiqua"/>
          <w:color w:val="000000"/>
        </w:rPr>
        <w:t xml:space="preserve"> Shaw Hospital, </w:t>
      </w:r>
      <w:r w:rsidR="00AE2A93">
        <w:rPr>
          <w:rFonts w:ascii="Book Antiqua" w:eastAsia="Book Antiqua" w:hAnsi="Book Antiqua" w:cs="Book Antiqua"/>
          <w:color w:val="000000"/>
        </w:rPr>
        <w:t>College of Medicine, Zhejiang University,</w:t>
      </w:r>
      <w:r w:rsidR="00AE2A93">
        <w:rPr>
          <w:rFonts w:ascii="Book Antiqua" w:eastAsia="Book Antiqua" w:hAnsi="Book Antiqua" w:cs="Book Antiqua"/>
          <w:color w:val="000000"/>
        </w:rPr>
        <w:t xml:space="preserve"> </w:t>
      </w:r>
      <w:r w:rsidRPr="00C76E19">
        <w:rPr>
          <w:rFonts w:ascii="Book Antiqua" w:eastAsia="Book Antiqua" w:hAnsi="Book Antiqua" w:cs="Book Antiqua"/>
          <w:color w:val="000000"/>
        </w:rPr>
        <w:t>Hangzhou 310016, Zhejiang Province, China</w:t>
      </w:r>
    </w:p>
    <w:p w14:paraId="54EBDD84" w14:textId="779DF2CE" w:rsidR="00AE2A93" w:rsidRDefault="00AE2A93">
      <w:pPr>
        <w:snapToGrid w:val="0"/>
        <w:spacing w:line="360" w:lineRule="auto"/>
        <w:jc w:val="both"/>
        <w:rPr>
          <w:rFonts w:ascii="Book Antiqua" w:eastAsia="Book Antiqua" w:hAnsi="Book Antiqua" w:cs="Book Antiqua"/>
          <w:color w:val="000000"/>
        </w:rPr>
      </w:pPr>
    </w:p>
    <w:p w14:paraId="0178D196" w14:textId="3E8D0766" w:rsidR="00AE2A93" w:rsidRPr="00AE2A93" w:rsidRDefault="00AE2A93" w:rsidP="00AE2A9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Qian Cao,</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Inflammatory Bowel Disease Center, Sir Run </w:t>
      </w:r>
      <w:proofErr w:type="spellStart"/>
      <w:r>
        <w:rPr>
          <w:rFonts w:ascii="Book Antiqua" w:eastAsia="Book Antiqua" w:hAnsi="Book Antiqua" w:cs="Book Antiqua"/>
          <w:color w:val="000000"/>
        </w:rPr>
        <w:t>Run</w:t>
      </w:r>
      <w:proofErr w:type="spellEnd"/>
      <w:r>
        <w:rPr>
          <w:rFonts w:ascii="Book Antiqua" w:eastAsia="Book Antiqua" w:hAnsi="Book Antiqua" w:cs="Book Antiqua"/>
          <w:color w:val="000000"/>
        </w:rPr>
        <w:t xml:space="preserve"> Shaw Hospital,</w:t>
      </w:r>
      <w:r w:rsidRPr="00AE2A93">
        <w:rPr>
          <w:rFonts w:ascii="Book Antiqua" w:eastAsia="Book Antiqua" w:hAnsi="Book Antiqua" w:cs="Book Antiqua"/>
          <w:color w:val="000000"/>
        </w:rPr>
        <w:t xml:space="preserve"> </w:t>
      </w:r>
      <w:r w:rsidRPr="00C76E19">
        <w:rPr>
          <w:rFonts w:ascii="Book Antiqua" w:eastAsia="Book Antiqua" w:hAnsi="Book Antiqua" w:cs="Book Antiqua"/>
          <w:color w:val="000000"/>
        </w:rPr>
        <w:t>Hangzhou 310016,</w:t>
      </w:r>
      <w:r>
        <w:rPr>
          <w:rFonts w:ascii="Book Antiqua" w:eastAsia="Book Antiqua" w:hAnsi="Book Antiqua" w:cs="Book Antiqua"/>
          <w:color w:val="000000"/>
        </w:rPr>
        <w:t xml:space="preserve"> </w:t>
      </w:r>
      <w:r>
        <w:rPr>
          <w:rFonts w:ascii="Book Antiqua" w:eastAsia="Book Antiqua" w:hAnsi="Book Antiqua" w:cs="Book Antiqua"/>
          <w:color w:val="000000"/>
        </w:rPr>
        <w:t>Zhejiang Province, China</w:t>
      </w:r>
    </w:p>
    <w:p w14:paraId="75722CE3" w14:textId="77777777" w:rsidR="00A77B3E" w:rsidRPr="00C76E19" w:rsidRDefault="00A77B3E" w:rsidP="00AE2A93">
      <w:pPr>
        <w:snapToGrid w:val="0"/>
        <w:spacing w:line="360" w:lineRule="auto"/>
        <w:jc w:val="both"/>
      </w:pPr>
    </w:p>
    <w:p w14:paraId="3830F0B5" w14:textId="77777777" w:rsidR="00A77B3E" w:rsidRPr="00C76E19" w:rsidRDefault="00CA1127" w:rsidP="00AE2A93">
      <w:pPr>
        <w:snapToGrid w:val="0"/>
        <w:spacing w:line="360" w:lineRule="auto"/>
        <w:jc w:val="both"/>
      </w:pPr>
      <w:r w:rsidRPr="00C76E19">
        <w:rPr>
          <w:rFonts w:ascii="Book Antiqua" w:eastAsia="Book Antiqua" w:hAnsi="Book Antiqua" w:cs="Book Antiqua"/>
          <w:b/>
          <w:bCs/>
          <w:color w:val="000000"/>
        </w:rPr>
        <w:t xml:space="preserve">Ying Chen, </w:t>
      </w:r>
      <w:r w:rsidRPr="00C76E19">
        <w:rPr>
          <w:rFonts w:ascii="Book Antiqua" w:eastAsia="Book Antiqua" w:hAnsi="Book Antiqua" w:cs="Book Antiqua"/>
          <w:color w:val="000000"/>
        </w:rPr>
        <w:t xml:space="preserve">Department of </w:t>
      </w:r>
      <w:r w:rsidRPr="00C76E19">
        <w:rPr>
          <w:rFonts w:ascii="Book Antiqua" w:eastAsia="Book Antiqua" w:hAnsi="Book Antiqua" w:cs="Book Antiqua"/>
          <w:caps/>
          <w:color w:val="000000"/>
        </w:rPr>
        <w:t>p</w:t>
      </w:r>
      <w:r w:rsidRPr="00C76E19">
        <w:rPr>
          <w:rFonts w:ascii="Book Antiqua" w:eastAsia="Book Antiqua" w:hAnsi="Book Antiqua" w:cs="Book Antiqua"/>
          <w:color w:val="000000"/>
        </w:rPr>
        <w:t>roject, Changsha Normin Health Technology Ltd, Changsha 410013, Hunan Province, China</w:t>
      </w:r>
    </w:p>
    <w:p w14:paraId="488F2D7D" w14:textId="77777777" w:rsidR="00A77B3E" w:rsidRPr="00C76E19" w:rsidRDefault="00A77B3E" w:rsidP="00AE2A93">
      <w:pPr>
        <w:snapToGrid w:val="0"/>
        <w:spacing w:line="360" w:lineRule="auto"/>
        <w:jc w:val="both"/>
      </w:pPr>
    </w:p>
    <w:p w14:paraId="37D0F72B" w14:textId="77777777" w:rsidR="00A77B3E" w:rsidRPr="00C76E19" w:rsidRDefault="00CA1127" w:rsidP="00AE2A93">
      <w:pPr>
        <w:snapToGrid w:val="0"/>
        <w:spacing w:line="360" w:lineRule="auto"/>
        <w:jc w:val="both"/>
      </w:pPr>
      <w:r w:rsidRPr="00C76E19">
        <w:rPr>
          <w:rFonts w:ascii="Book Antiqua" w:eastAsia="Book Antiqua" w:hAnsi="Book Antiqua" w:cs="Book Antiqua"/>
          <w:b/>
          <w:bCs/>
          <w:color w:val="000000"/>
        </w:rPr>
        <w:t xml:space="preserve">Wen-Dong Chen, </w:t>
      </w:r>
      <w:r w:rsidRPr="00C76E19">
        <w:rPr>
          <w:rFonts w:ascii="Book Antiqua" w:eastAsia="Book Antiqua" w:hAnsi="Book Antiqua" w:cs="Book Antiqua"/>
          <w:color w:val="000000"/>
        </w:rPr>
        <w:t>Department of HEOR, Normin Health Consulting Ltd, Toronto L5R 0E9, Ontario, Canada</w:t>
      </w:r>
    </w:p>
    <w:p w14:paraId="66A6EF88" w14:textId="77777777" w:rsidR="00A77B3E" w:rsidRPr="00C76E19" w:rsidRDefault="00A77B3E" w:rsidP="00AE2A93">
      <w:pPr>
        <w:snapToGrid w:val="0"/>
        <w:spacing w:line="360" w:lineRule="auto"/>
        <w:jc w:val="both"/>
      </w:pPr>
    </w:p>
    <w:p w14:paraId="2D40161D" w14:textId="201EFAD6" w:rsidR="00A77B3E" w:rsidRPr="00C76E19" w:rsidRDefault="00CA1127" w:rsidP="00AE2A93">
      <w:pPr>
        <w:snapToGrid w:val="0"/>
        <w:spacing w:line="360" w:lineRule="auto"/>
        <w:jc w:val="both"/>
      </w:pPr>
      <w:r w:rsidRPr="00C76E19">
        <w:rPr>
          <w:rFonts w:ascii="Book Antiqua" w:eastAsia="Book Antiqua" w:hAnsi="Book Antiqua" w:cs="Book Antiqua"/>
          <w:b/>
          <w:bCs/>
          <w:color w:val="000000"/>
        </w:rPr>
        <w:t xml:space="preserve">Author contributions: </w:t>
      </w:r>
      <w:r w:rsidRPr="00C76E19">
        <w:rPr>
          <w:rFonts w:ascii="Book Antiqua" w:eastAsia="Book Antiqua" w:hAnsi="Book Antiqua" w:cs="Book Antiqua"/>
          <w:color w:val="000000"/>
        </w:rPr>
        <w:t>Cao Q and Chen WD formulated the research idea; Shi JH, Chen Y, Chen WD</w:t>
      </w:r>
      <w:r w:rsidR="002025A2" w:rsidRPr="00C76E19">
        <w:rPr>
          <w:rFonts w:ascii="Book Antiqua" w:eastAsia="Book Antiqua" w:hAnsi="Book Antiqua" w:cs="Book Antiqua"/>
          <w:color w:val="000000"/>
        </w:rPr>
        <w:t>,</w:t>
      </w:r>
      <w:r w:rsidRPr="00C76E19">
        <w:rPr>
          <w:rFonts w:ascii="Book Antiqua" w:eastAsia="Book Antiqua" w:hAnsi="Book Antiqua" w:cs="Book Antiqua"/>
          <w:color w:val="000000"/>
        </w:rPr>
        <w:t> and Cao Q</w:t>
      </w:r>
      <w:r w:rsidR="00A5089C" w:rsidRPr="00C76E19">
        <w:rPr>
          <w:rFonts w:ascii="Book Antiqua" w:eastAsia="Book Antiqua" w:hAnsi="Book Antiqua" w:cs="Book Antiqua"/>
          <w:color w:val="000000"/>
        </w:rPr>
        <w:t xml:space="preserve"> </w:t>
      </w:r>
      <w:r w:rsidRPr="00C76E19">
        <w:rPr>
          <w:rFonts w:ascii="Book Antiqua" w:eastAsia="Book Antiqua" w:hAnsi="Book Antiqua" w:cs="Book Antiqua"/>
          <w:color w:val="000000"/>
        </w:rPr>
        <w:t>developed the study protocol; Shi JH, Wang Y, Pan YP, Zhang Z</w:t>
      </w:r>
      <w:r w:rsidR="002025A2" w:rsidRPr="00C76E19">
        <w:rPr>
          <w:rFonts w:ascii="Book Antiqua" w:eastAsia="Book Antiqua" w:hAnsi="Book Antiqua" w:cs="Book Antiqua"/>
          <w:color w:val="000000"/>
        </w:rPr>
        <w:t>,</w:t>
      </w:r>
      <w:r w:rsidR="00A5089C" w:rsidRPr="00C76E19">
        <w:rPr>
          <w:rFonts w:ascii="Book Antiqua" w:eastAsia="Book Antiqua" w:hAnsi="Book Antiqua" w:cs="Book Antiqua"/>
          <w:color w:val="000000"/>
        </w:rPr>
        <w:t xml:space="preserve"> and</w:t>
      </w:r>
      <w:r w:rsidRPr="00C76E19">
        <w:rPr>
          <w:rFonts w:ascii="Book Antiqua" w:eastAsia="Book Antiqua" w:hAnsi="Book Antiqua" w:cs="Book Antiqua"/>
          <w:color w:val="000000"/>
        </w:rPr>
        <w:t xml:space="preserve"> Fang H conducted the patient identification, data extraction, and patient telephone survey; Chen Y and Chen WD conducted the data analysis; Shi JH, Chen WD</w:t>
      </w:r>
      <w:r w:rsidR="002025A2" w:rsidRPr="00C76E19">
        <w:rPr>
          <w:rFonts w:ascii="Book Antiqua" w:eastAsia="Book Antiqua" w:hAnsi="Book Antiqua" w:cs="Book Antiqua"/>
          <w:color w:val="000000"/>
        </w:rPr>
        <w:t>,</w:t>
      </w:r>
      <w:r w:rsidRPr="00C76E19">
        <w:rPr>
          <w:rFonts w:ascii="Book Antiqua" w:eastAsia="Book Antiqua" w:hAnsi="Book Antiqua" w:cs="Book Antiqua"/>
          <w:color w:val="000000"/>
        </w:rPr>
        <w:t xml:space="preserve"> and Cao Q developed the manuscript; </w:t>
      </w:r>
      <w:r w:rsidR="00C76E19" w:rsidRPr="00C76E19">
        <w:rPr>
          <w:rFonts w:ascii="Book Antiqua" w:eastAsia="Book Antiqua" w:hAnsi="Book Antiqua" w:cs="Book Antiqua"/>
          <w:color w:val="000000"/>
        </w:rPr>
        <w:t>A</w:t>
      </w:r>
      <w:r w:rsidRPr="00C76E19">
        <w:rPr>
          <w:rFonts w:ascii="Book Antiqua" w:eastAsia="Book Antiqua" w:hAnsi="Book Antiqua" w:cs="Book Antiqua"/>
          <w:color w:val="000000"/>
        </w:rPr>
        <w:t xml:space="preserve">ll authors have critically reviewed the manuscript and approved this manuscript submission. </w:t>
      </w:r>
    </w:p>
    <w:p w14:paraId="0E9D2AFC" w14:textId="77777777" w:rsidR="00A77B3E" w:rsidRPr="00C76E19" w:rsidRDefault="00A77B3E" w:rsidP="00AE2A93">
      <w:pPr>
        <w:snapToGrid w:val="0"/>
        <w:spacing w:line="360" w:lineRule="auto"/>
        <w:jc w:val="both"/>
      </w:pPr>
    </w:p>
    <w:p w14:paraId="3E86ADDC" w14:textId="77777777" w:rsidR="00A77B3E" w:rsidRPr="00C76E19" w:rsidRDefault="00CA1127" w:rsidP="00AE2A93">
      <w:pPr>
        <w:snapToGrid w:val="0"/>
        <w:spacing w:line="360" w:lineRule="auto"/>
        <w:jc w:val="both"/>
      </w:pPr>
      <w:r w:rsidRPr="00C76E19">
        <w:rPr>
          <w:rFonts w:ascii="Book Antiqua" w:eastAsia="Book Antiqua" w:hAnsi="Book Antiqua" w:cs="Book Antiqua"/>
          <w:b/>
          <w:bCs/>
          <w:color w:val="000000"/>
        </w:rPr>
        <w:t xml:space="preserve">Supported by </w:t>
      </w:r>
      <w:r w:rsidRPr="00C76E19">
        <w:rPr>
          <w:rFonts w:ascii="Book Antiqua" w:eastAsia="Book Antiqua" w:hAnsi="Book Antiqua" w:cs="Book Antiqua"/>
          <w:color w:val="000000"/>
        </w:rPr>
        <w:t xml:space="preserve">Zhejiang Medical and Health Science and Technology </w:t>
      </w:r>
      <w:r w:rsidRPr="00C76E19">
        <w:rPr>
          <w:rFonts w:ascii="Book Antiqua" w:eastAsia="Book Antiqua" w:hAnsi="Book Antiqua" w:cs="Book Antiqua"/>
          <w:caps/>
          <w:color w:val="000000"/>
        </w:rPr>
        <w:t>p</w:t>
      </w:r>
      <w:r w:rsidRPr="00C76E19">
        <w:rPr>
          <w:rFonts w:ascii="Book Antiqua" w:eastAsia="Book Antiqua" w:hAnsi="Book Antiqua" w:cs="Book Antiqua"/>
          <w:color w:val="000000"/>
        </w:rPr>
        <w:t>roject, No. 2020KY608; and Natural Science Foundation of Zhejiang Province, No. LQ19H030013.</w:t>
      </w:r>
    </w:p>
    <w:p w14:paraId="4FC8A01F" w14:textId="77777777" w:rsidR="00A77B3E" w:rsidRPr="00C76E19" w:rsidRDefault="00A77B3E" w:rsidP="00AE2A93">
      <w:pPr>
        <w:snapToGrid w:val="0"/>
        <w:spacing w:line="360" w:lineRule="auto"/>
        <w:jc w:val="both"/>
      </w:pPr>
    </w:p>
    <w:p w14:paraId="5EB39EE0" w14:textId="77777777" w:rsidR="00A77B3E" w:rsidRPr="00C76E19" w:rsidRDefault="00CA1127" w:rsidP="00AE2A93">
      <w:pPr>
        <w:snapToGrid w:val="0"/>
        <w:spacing w:line="360" w:lineRule="auto"/>
        <w:jc w:val="both"/>
      </w:pPr>
      <w:r w:rsidRPr="00C76E19">
        <w:rPr>
          <w:rFonts w:ascii="Book Antiqua" w:eastAsia="Book Antiqua" w:hAnsi="Book Antiqua" w:cs="Book Antiqua"/>
          <w:b/>
          <w:bCs/>
          <w:color w:val="000000"/>
        </w:rPr>
        <w:t xml:space="preserve">Corresponding author: Qian Cao, MD, PhD, Professor, </w:t>
      </w:r>
      <w:r w:rsidRPr="00C76E19">
        <w:rPr>
          <w:rFonts w:ascii="Book Antiqua" w:eastAsia="Book Antiqua" w:hAnsi="Book Antiqua" w:cs="Book Antiqua"/>
          <w:color w:val="000000"/>
        </w:rPr>
        <w:t>Department of Gastroenterology, Sir Run Run Shaw Hospital, No. 3 Qingchun E Road, Xin Cheng Shang Quan, Jianggan District, Hangzhou 310016, Zhejiang Province, China. caoq@zju.edu.cn</w:t>
      </w:r>
    </w:p>
    <w:p w14:paraId="2BE2DA82" w14:textId="77777777" w:rsidR="00A77B3E" w:rsidRPr="00C76E19" w:rsidRDefault="00A77B3E" w:rsidP="00AE2A93">
      <w:pPr>
        <w:snapToGrid w:val="0"/>
        <w:spacing w:line="360" w:lineRule="auto"/>
        <w:jc w:val="both"/>
      </w:pPr>
    </w:p>
    <w:p w14:paraId="38E56C9E" w14:textId="77777777" w:rsidR="00A77B3E" w:rsidRPr="00C76E19" w:rsidRDefault="00CA1127" w:rsidP="00AE2A93">
      <w:pPr>
        <w:snapToGrid w:val="0"/>
        <w:spacing w:line="360" w:lineRule="auto"/>
        <w:jc w:val="both"/>
      </w:pPr>
      <w:r w:rsidRPr="00C76E19">
        <w:rPr>
          <w:rFonts w:ascii="Book Antiqua" w:eastAsia="Book Antiqua" w:hAnsi="Book Antiqua" w:cs="Book Antiqua"/>
          <w:b/>
          <w:bCs/>
          <w:color w:val="000000"/>
        </w:rPr>
        <w:t xml:space="preserve">Received: </w:t>
      </w:r>
      <w:r w:rsidRPr="00C76E19">
        <w:rPr>
          <w:rFonts w:ascii="Book Antiqua" w:eastAsia="Book Antiqua" w:hAnsi="Book Antiqua" w:cs="Book Antiqua"/>
          <w:color w:val="000000"/>
        </w:rPr>
        <w:t>July 2, 2020</w:t>
      </w:r>
    </w:p>
    <w:p w14:paraId="5484B680" w14:textId="77777777" w:rsidR="00A77B3E" w:rsidRPr="00C76E19" w:rsidRDefault="00CA1127" w:rsidP="00AE2A93">
      <w:pPr>
        <w:snapToGrid w:val="0"/>
        <w:spacing w:line="360" w:lineRule="auto"/>
        <w:jc w:val="both"/>
      </w:pPr>
      <w:r w:rsidRPr="00C76E19">
        <w:rPr>
          <w:rFonts w:ascii="Book Antiqua" w:eastAsia="Book Antiqua" w:hAnsi="Book Antiqua" w:cs="Book Antiqua"/>
          <w:b/>
          <w:bCs/>
          <w:color w:val="000000"/>
        </w:rPr>
        <w:t xml:space="preserve">Revised: </w:t>
      </w:r>
      <w:r w:rsidRPr="00C76E19">
        <w:rPr>
          <w:rFonts w:ascii="Book Antiqua" w:eastAsia="Book Antiqua" w:hAnsi="Book Antiqua" w:cs="Book Antiqua"/>
          <w:color w:val="000000"/>
        </w:rPr>
        <w:t>August 5, 2020</w:t>
      </w:r>
    </w:p>
    <w:p w14:paraId="025A22D2" w14:textId="6035D5D3" w:rsidR="00A77B3E" w:rsidRPr="00C76E19" w:rsidRDefault="00CA1127" w:rsidP="00AE2A93">
      <w:pPr>
        <w:snapToGrid w:val="0"/>
        <w:spacing w:line="360" w:lineRule="auto"/>
        <w:jc w:val="both"/>
        <w:rPr>
          <w:rFonts w:ascii="Book Antiqua" w:hAnsi="Book Antiqua" w:cs="Arial"/>
          <w:color w:val="000000" w:themeColor="text1"/>
          <w:shd w:val="clear" w:color="auto" w:fill="FFFFFF"/>
        </w:rPr>
      </w:pPr>
      <w:r w:rsidRPr="00C76E19">
        <w:rPr>
          <w:rFonts w:ascii="Book Antiqua" w:eastAsia="Book Antiqua" w:hAnsi="Book Antiqua" w:cs="Book Antiqua"/>
          <w:b/>
          <w:bCs/>
          <w:color w:val="000000"/>
        </w:rPr>
        <w:t xml:space="preserve">Accepted: </w:t>
      </w:r>
      <w:bookmarkStart w:id="0" w:name="_Hlk50781202"/>
      <w:bookmarkStart w:id="1" w:name="OLE_LINK106"/>
      <w:r w:rsidR="0092590F" w:rsidRPr="00C76E19">
        <w:rPr>
          <w:rFonts w:ascii="Book Antiqua" w:hAnsi="Book Antiqua" w:cs="Arial"/>
          <w:color w:val="000000" w:themeColor="text1"/>
          <w:shd w:val="clear" w:color="auto" w:fill="FFFFFF"/>
        </w:rPr>
        <w:t>September 18, 2020</w:t>
      </w:r>
      <w:bookmarkEnd w:id="0"/>
      <w:bookmarkEnd w:id="1"/>
    </w:p>
    <w:p w14:paraId="56F68F5B" w14:textId="77777777" w:rsidR="00A77B3E" w:rsidRPr="00C76E19" w:rsidRDefault="00CA1127" w:rsidP="00AE2A93">
      <w:pPr>
        <w:snapToGrid w:val="0"/>
        <w:spacing w:line="360" w:lineRule="auto"/>
        <w:jc w:val="both"/>
      </w:pPr>
      <w:r w:rsidRPr="00C76E19">
        <w:rPr>
          <w:rFonts w:ascii="Book Antiqua" w:eastAsia="Book Antiqua" w:hAnsi="Book Antiqua" w:cs="Book Antiqua"/>
          <w:b/>
          <w:bCs/>
          <w:color w:val="000000"/>
        </w:rPr>
        <w:t xml:space="preserve">Published online: </w:t>
      </w:r>
    </w:p>
    <w:p w14:paraId="4BE67153" w14:textId="77777777" w:rsidR="00000000" w:rsidRDefault="00F624EB" w:rsidP="00AE2A93">
      <w:pPr>
        <w:snapToGrid w:val="0"/>
        <w:spacing w:line="360" w:lineRule="auto"/>
        <w:jc w:val="both"/>
        <w:sectPr w:rsidR="00000000">
          <w:footerReference w:type="default" r:id="rId7"/>
          <w:pgSz w:w="12240" w:h="15840"/>
          <w:pgMar w:top="1440" w:right="1440" w:bottom="1440" w:left="1440" w:header="720" w:footer="720" w:gutter="0"/>
          <w:cols w:space="720"/>
          <w:docGrid w:linePitch="360"/>
        </w:sectPr>
      </w:pPr>
    </w:p>
    <w:p w14:paraId="629650C5" w14:textId="77777777" w:rsidR="00A77B3E" w:rsidRPr="00A23AA9" w:rsidRDefault="00CA1127" w:rsidP="00AE2A93">
      <w:pPr>
        <w:snapToGrid w:val="0"/>
        <w:spacing w:line="360" w:lineRule="auto"/>
        <w:jc w:val="both"/>
      </w:pPr>
      <w:r w:rsidRPr="00C76E19">
        <w:rPr>
          <w:rFonts w:ascii="Book Antiqua" w:eastAsia="Book Antiqua" w:hAnsi="Book Antiqua" w:cs="Book Antiqua"/>
          <w:b/>
          <w:color w:val="000000"/>
        </w:rPr>
        <w:t>Abstract</w:t>
      </w:r>
    </w:p>
    <w:p w14:paraId="3BA58AAE" w14:textId="77777777" w:rsidR="00A77B3E" w:rsidRPr="00A23AA9" w:rsidRDefault="00CA1127" w:rsidP="00AE2A93">
      <w:pPr>
        <w:snapToGrid w:val="0"/>
        <w:spacing w:line="360" w:lineRule="auto"/>
        <w:jc w:val="both"/>
      </w:pPr>
      <w:r w:rsidRPr="00A23AA9">
        <w:rPr>
          <w:rFonts w:ascii="Book Antiqua" w:eastAsia="Book Antiqua" w:hAnsi="Book Antiqua" w:cs="Book Antiqua"/>
          <w:color w:val="000000"/>
        </w:rPr>
        <w:t>BACKGROUND</w:t>
      </w:r>
    </w:p>
    <w:p w14:paraId="58C60B61" w14:textId="77777777" w:rsidR="00A77B3E" w:rsidRPr="00C76E19" w:rsidRDefault="00CA1127" w:rsidP="00AE2A93">
      <w:pPr>
        <w:snapToGrid w:val="0"/>
        <w:spacing w:line="360" w:lineRule="auto"/>
        <w:jc w:val="both"/>
      </w:pPr>
      <w:r w:rsidRPr="00C76E19">
        <w:rPr>
          <w:rFonts w:ascii="Book Antiqua" w:eastAsia="Book Antiqua" w:hAnsi="Book Antiqua" w:cs="Book Antiqua"/>
          <w:color w:val="000000"/>
        </w:rPr>
        <w:t xml:space="preserve">Infliximab was the first approved biologic treatment for </w:t>
      </w:r>
      <w:bookmarkStart w:id="2" w:name="_Hlk50965531"/>
      <w:r w:rsidRPr="00C76E19">
        <w:rPr>
          <w:rFonts w:ascii="Book Antiqua" w:eastAsia="Book Antiqua" w:hAnsi="Book Antiqua" w:cs="Book Antiqua"/>
          <w:color w:val="000000"/>
        </w:rPr>
        <w:t>moderate to severe Crohn’s disease</w:t>
      </w:r>
      <w:bookmarkEnd w:id="2"/>
      <w:r w:rsidRPr="00C76E19">
        <w:rPr>
          <w:rFonts w:ascii="Book Antiqua" w:eastAsia="Book Antiqua" w:hAnsi="Book Antiqua" w:cs="Book Antiqua"/>
          <w:color w:val="000000"/>
        </w:rPr>
        <w:t xml:space="preserve"> (MS-CD) in China. However, the cost-effectiveness of </w:t>
      </w:r>
      <w:bookmarkStart w:id="3" w:name="_Hlk50967922"/>
      <w:r w:rsidRPr="00C76E19">
        <w:rPr>
          <w:rFonts w:ascii="Book Antiqua" w:eastAsia="Book Antiqua" w:hAnsi="Book Antiqua" w:cs="Book Antiqua"/>
          <w:color w:val="000000"/>
        </w:rPr>
        <w:t>infliximab maintenance therapy</w:t>
      </w:r>
      <w:bookmarkEnd w:id="3"/>
      <w:r w:rsidRPr="00C76E19">
        <w:rPr>
          <w:rFonts w:ascii="Book Antiqua" w:eastAsia="Book Antiqua" w:hAnsi="Book Antiqua" w:cs="Book Antiqua"/>
          <w:color w:val="000000"/>
        </w:rPr>
        <w:t xml:space="preserve"> (IMT) for MS-CD relative to conventional maintenance therapy remained unclarified. </w:t>
      </w:r>
    </w:p>
    <w:p w14:paraId="40AF5DBB" w14:textId="77777777" w:rsidR="00A77B3E" w:rsidRPr="00C76E19" w:rsidRDefault="00A77B3E" w:rsidP="00AE2A93">
      <w:pPr>
        <w:snapToGrid w:val="0"/>
        <w:spacing w:line="360" w:lineRule="auto"/>
        <w:jc w:val="both"/>
      </w:pPr>
    </w:p>
    <w:p w14:paraId="22ABB271" w14:textId="77777777" w:rsidR="00A77B3E" w:rsidRPr="00C76E19" w:rsidRDefault="00CA1127" w:rsidP="00AE2A93">
      <w:pPr>
        <w:snapToGrid w:val="0"/>
        <w:spacing w:line="360" w:lineRule="auto"/>
        <w:jc w:val="both"/>
      </w:pPr>
      <w:r w:rsidRPr="00C76E19">
        <w:rPr>
          <w:rFonts w:ascii="Book Antiqua" w:eastAsia="Book Antiqua" w:hAnsi="Book Antiqua" w:cs="Book Antiqua"/>
          <w:color w:val="000000"/>
        </w:rPr>
        <w:t>AIM</w:t>
      </w:r>
    </w:p>
    <w:p w14:paraId="2FE954EB" w14:textId="3332ABA4" w:rsidR="00A77B3E" w:rsidRPr="00A23AA9" w:rsidRDefault="00CA1127" w:rsidP="00AE2A93">
      <w:pPr>
        <w:snapToGrid w:val="0"/>
        <w:spacing w:line="360" w:lineRule="auto"/>
        <w:jc w:val="both"/>
      </w:pPr>
      <w:r w:rsidRPr="00C76E19">
        <w:rPr>
          <w:rFonts w:ascii="Book Antiqua" w:eastAsia="Book Antiqua" w:hAnsi="Book Antiqua" w:cs="Book Antiqua"/>
          <w:color w:val="000000"/>
        </w:rPr>
        <w:t>To assess the cost-effectiveness of IMT for MS-CD in Chinese patients from the perspective of Chinese public insurance payer.</w:t>
      </w:r>
      <w:r w:rsidR="00A23AA9">
        <w:rPr>
          <w:rFonts w:ascii="Book Antiqua" w:eastAsia="Book Antiqua" w:hAnsi="Book Antiqua" w:cs="Book Antiqua"/>
          <w:color w:val="000000"/>
        </w:rPr>
        <w:t xml:space="preserve"> </w:t>
      </w:r>
    </w:p>
    <w:p w14:paraId="256B9A3B" w14:textId="77777777" w:rsidR="00A77B3E" w:rsidRPr="00C76E19" w:rsidRDefault="00A77B3E" w:rsidP="00AE2A93">
      <w:pPr>
        <w:snapToGrid w:val="0"/>
        <w:spacing w:line="360" w:lineRule="auto"/>
        <w:jc w:val="both"/>
      </w:pPr>
    </w:p>
    <w:p w14:paraId="2C08A1A0" w14:textId="77777777" w:rsidR="00A77B3E" w:rsidRPr="00C76E19" w:rsidRDefault="00CA1127" w:rsidP="00AE2A93">
      <w:pPr>
        <w:snapToGrid w:val="0"/>
        <w:spacing w:line="360" w:lineRule="auto"/>
        <w:jc w:val="both"/>
      </w:pPr>
      <w:r w:rsidRPr="00C76E19">
        <w:rPr>
          <w:rFonts w:ascii="Book Antiqua" w:eastAsia="Book Antiqua" w:hAnsi="Book Antiqua" w:cs="Book Antiqua"/>
          <w:color w:val="000000"/>
        </w:rPr>
        <w:t>METHODS</w:t>
      </w:r>
    </w:p>
    <w:p w14:paraId="622D48F2" w14:textId="39EF780A" w:rsidR="00A77B3E" w:rsidRPr="00C76E19" w:rsidRDefault="00CA1127" w:rsidP="00AE2A93">
      <w:pPr>
        <w:snapToGrid w:val="0"/>
        <w:spacing w:line="360" w:lineRule="auto"/>
        <w:jc w:val="both"/>
      </w:pPr>
      <w:r w:rsidRPr="00C76E19">
        <w:rPr>
          <w:rFonts w:ascii="Book Antiqua" w:eastAsia="Book Antiqua" w:hAnsi="Book Antiqua" w:cs="Book Antiqua"/>
          <w:color w:val="000000"/>
        </w:rPr>
        <w:t xml:space="preserve">A cohort of MS-CD patients managed in a Chinese tertiary care hospital was created to compare IMT with conventional maintenance therapy (CMT) for clinical outcomes and direct medical costs over a </w:t>
      </w:r>
      <w:r w:rsidR="002025A2" w:rsidRPr="00C76E19">
        <w:rPr>
          <w:rFonts w:ascii="Book Antiqua" w:eastAsia="Book Antiqua" w:hAnsi="Book Antiqua" w:cs="Book Antiqua"/>
          <w:color w:val="000000"/>
        </w:rPr>
        <w:t>1</w:t>
      </w:r>
      <w:r w:rsidRPr="00C76E19">
        <w:rPr>
          <w:rFonts w:ascii="Book Antiqua" w:eastAsia="Book Antiqua" w:hAnsi="Book Antiqua" w:cs="Book Antiqua"/>
          <w:color w:val="000000"/>
        </w:rPr>
        <w:t>-year observation time using conventional regression analyses. A decision-analytic model with the generated evidence was constructed to assess the cost-effectiveness of IMT relative to CMT using reimbursed medical costs. </w:t>
      </w:r>
    </w:p>
    <w:p w14:paraId="7E54533D" w14:textId="77777777" w:rsidR="00A77B3E" w:rsidRPr="00C76E19" w:rsidRDefault="00A77B3E" w:rsidP="00AE2A93">
      <w:pPr>
        <w:snapToGrid w:val="0"/>
        <w:spacing w:line="360" w:lineRule="auto"/>
        <w:jc w:val="both"/>
      </w:pPr>
    </w:p>
    <w:p w14:paraId="040A3783" w14:textId="77777777" w:rsidR="00A77B3E" w:rsidRPr="00C76E19" w:rsidRDefault="00CA1127" w:rsidP="00AE2A93">
      <w:pPr>
        <w:snapToGrid w:val="0"/>
        <w:spacing w:line="360" w:lineRule="auto"/>
        <w:jc w:val="both"/>
      </w:pPr>
      <w:r w:rsidRPr="00C76E19">
        <w:rPr>
          <w:rFonts w:ascii="Book Antiqua" w:eastAsia="Book Antiqua" w:hAnsi="Book Antiqua" w:cs="Book Antiqua"/>
          <w:color w:val="000000"/>
        </w:rPr>
        <w:t>RESULTS</w:t>
      </w:r>
    </w:p>
    <w:p w14:paraId="170042E2" w14:textId="5CAA5A89" w:rsidR="00A77B3E" w:rsidRPr="00C76E19" w:rsidRDefault="00CA1127" w:rsidP="00AE2A93">
      <w:pPr>
        <w:spacing w:line="360" w:lineRule="auto"/>
        <w:jc w:val="both"/>
      </w:pPr>
      <w:r w:rsidRPr="00C76E19">
        <w:rPr>
          <w:rFonts w:ascii="Book Antiqua" w:eastAsia="Book Antiqua" w:hAnsi="Book Antiqua" w:cs="Book Antiqua"/>
          <w:color w:val="000000"/>
        </w:rPr>
        <w:t>Based on the included 389 patients, IMT was associated with significantly higher disease remission chance [odds ratio</w:t>
      </w:r>
      <w:r w:rsidR="008F1595" w:rsidRPr="00C76E19">
        <w:rPr>
          <w:rFonts w:ascii="Book Antiqua" w:eastAsia="Book Antiqua" w:hAnsi="Book Antiqua" w:cs="Book Antiqua"/>
          <w:color w:val="000000"/>
        </w:rPr>
        <w:t>:</w:t>
      </w:r>
      <w:r w:rsidRPr="00C76E19">
        <w:rPr>
          <w:rFonts w:ascii="Book Antiqua" w:eastAsia="Book Antiqua" w:hAnsi="Book Antiqua" w:cs="Book Antiqua"/>
          <w:color w:val="000000"/>
        </w:rPr>
        <w:t xml:space="preserve"> 4.060, </w:t>
      </w:r>
      <w:r w:rsidRPr="00C76E19">
        <w:rPr>
          <w:rFonts w:ascii="Book Antiqua" w:eastAsia="Book Antiqua" w:hAnsi="Book Antiqua" w:cs="Book Antiqua"/>
          <w:i/>
          <w:iCs/>
          <w:color w:val="000000"/>
        </w:rPr>
        <w:t>P</w:t>
      </w:r>
      <w:r w:rsidRPr="00C76E19">
        <w:rPr>
          <w:rFonts w:ascii="Book Antiqua" w:eastAsia="Book Antiqua" w:hAnsi="Book Antiqua" w:cs="Book Antiqua"/>
          <w:color w:val="000000"/>
        </w:rPr>
        <w:t xml:space="preserve"> = 0.003], lower risk of developing new complications (</w:t>
      </w:r>
      <w:r w:rsidR="002025A2" w:rsidRPr="00C76E19">
        <w:rPr>
          <w:rFonts w:ascii="Book Antiqua" w:eastAsia="Book Antiqua" w:hAnsi="Book Antiqua" w:cs="Book Antiqua"/>
          <w:color w:val="000000"/>
        </w:rPr>
        <w:t>odds ratio:</w:t>
      </w:r>
      <w:r w:rsidRPr="00C76E19">
        <w:rPr>
          <w:rFonts w:ascii="Book Antiqua" w:eastAsia="Book Antiqua" w:hAnsi="Book Antiqua" w:cs="Book Antiqua"/>
          <w:color w:val="000000"/>
        </w:rPr>
        <w:t xml:space="preserve"> 0.527, </w:t>
      </w:r>
      <w:r w:rsidRPr="00C76E19">
        <w:rPr>
          <w:rFonts w:ascii="Book Antiqua" w:eastAsia="Book Antiqua" w:hAnsi="Book Antiqua" w:cs="Book Antiqua"/>
          <w:i/>
          <w:iCs/>
          <w:color w:val="000000"/>
        </w:rPr>
        <w:t>P</w:t>
      </w:r>
      <w:r w:rsidRPr="00C76E19">
        <w:rPr>
          <w:rFonts w:ascii="Book Antiqua" w:eastAsia="Book Antiqua" w:hAnsi="Book Antiqua" w:cs="Book Antiqua"/>
          <w:color w:val="000000"/>
        </w:rPr>
        <w:t xml:space="preserve"> = 0.010), higher utility value for quality of life (coefficient 0.822, </w:t>
      </w:r>
      <w:r w:rsidRPr="00C76E19">
        <w:rPr>
          <w:rFonts w:ascii="Book Antiqua" w:eastAsia="Book Antiqua" w:hAnsi="Book Antiqua" w:cs="Book Antiqua"/>
          <w:i/>
          <w:iCs/>
          <w:color w:val="000000"/>
        </w:rPr>
        <w:t>P</w:t>
      </w:r>
      <w:r w:rsidRPr="00C76E19">
        <w:rPr>
          <w:rFonts w:ascii="Book Antiqua" w:eastAsia="Book Antiqua" w:hAnsi="Book Antiqua" w:cs="Book Antiqua"/>
          <w:color w:val="000000"/>
        </w:rPr>
        <w:t xml:space="preserve"> = 0.008), and lower total hospital costs related to disease management (coefficient -0.378, </w:t>
      </w:r>
      <w:r w:rsidRPr="00C76E19">
        <w:rPr>
          <w:rFonts w:ascii="Book Antiqua" w:eastAsia="Book Antiqua" w:hAnsi="Book Antiqua" w:cs="Book Antiqua"/>
          <w:i/>
          <w:iCs/>
          <w:color w:val="000000"/>
        </w:rPr>
        <w:t>P</w:t>
      </w:r>
      <w:r w:rsidRPr="00C76E19">
        <w:rPr>
          <w:rFonts w:ascii="Book Antiqua" w:eastAsia="Book Antiqua" w:hAnsi="Book Antiqua" w:cs="Book Antiqua"/>
          <w:color w:val="000000"/>
        </w:rPr>
        <w:t xml:space="preserve"> = 0.008) than CMT. Base-case cost-effectiveness analysis estimated that IMT could cost Chinese health insurance payers ¥55260 to gain one quality-adjusted life year (QALY). The cost-effectiveness of IMT was mainly driven by the estimate of quality of life, treatment efficacy of maintenance therapy, mortality risk associated with active disease, and unit price of infliximab. The probability that IMT was cost-effective at a willingness-to-pay threshold of three times </w:t>
      </w:r>
      <w:r w:rsidR="002025A2" w:rsidRPr="00C76E19">
        <w:rPr>
          <w:rFonts w:ascii="Book Antiqua" w:eastAsia="Book Antiqua" w:hAnsi="Book Antiqua" w:cs="Book Antiqua"/>
          <w:color w:val="000000"/>
        </w:rPr>
        <w:t>gross domestic product</w:t>
      </w:r>
      <w:r w:rsidRPr="00C76E19">
        <w:rPr>
          <w:rFonts w:ascii="Book Antiqua" w:eastAsia="Book Antiqua" w:hAnsi="Book Antiqua" w:cs="Book Antiqua"/>
          <w:color w:val="000000"/>
        </w:rPr>
        <w:t xml:space="preserve"> </w:t>
      </w:r>
      <w:r w:rsidR="00A5089C" w:rsidRPr="00C76E19">
        <w:rPr>
          <w:rFonts w:ascii="Book Antiqua" w:eastAsia="Book Antiqua" w:hAnsi="Book Antiqua" w:cs="Book Antiqua"/>
          <w:color w:val="000000"/>
        </w:rPr>
        <w:t>[</w:t>
      </w:r>
      <w:r w:rsidRPr="00C76E19">
        <w:rPr>
          <w:rFonts w:ascii="Book Antiqua" w:eastAsia="Book Antiqua" w:hAnsi="Book Antiqua" w:cs="Book Antiqua"/>
          <w:color w:val="000000"/>
        </w:rPr>
        <w:t>2018 Chinese gross domestic product per capita (GDPPC)</w:t>
      </w:r>
      <w:r w:rsidR="00A5089C" w:rsidRPr="00C76E19">
        <w:rPr>
          <w:rFonts w:ascii="Book Antiqua" w:eastAsia="Book Antiqua" w:hAnsi="Book Antiqua" w:cs="Book Antiqua"/>
          <w:color w:val="000000"/>
        </w:rPr>
        <w:t>]</w:t>
      </w:r>
      <w:r w:rsidRPr="00C76E19">
        <w:rPr>
          <w:rFonts w:ascii="Book Antiqua" w:eastAsia="Book Antiqua" w:hAnsi="Book Antiqua" w:cs="Book Antiqua"/>
          <w:color w:val="000000"/>
        </w:rPr>
        <w:t xml:space="preserve"> was 86.4%. </w:t>
      </w:r>
    </w:p>
    <w:p w14:paraId="0012849D" w14:textId="77777777" w:rsidR="00A77B3E" w:rsidRPr="00C76E19" w:rsidRDefault="00A77B3E" w:rsidP="00AE2A93">
      <w:pPr>
        <w:snapToGrid w:val="0"/>
        <w:spacing w:line="360" w:lineRule="auto"/>
        <w:jc w:val="both"/>
      </w:pPr>
    </w:p>
    <w:p w14:paraId="61762A77" w14:textId="77777777" w:rsidR="00A77B3E" w:rsidRPr="00C76E19" w:rsidRDefault="00CA1127" w:rsidP="00AE2A93">
      <w:pPr>
        <w:snapToGrid w:val="0"/>
        <w:spacing w:line="360" w:lineRule="auto"/>
        <w:jc w:val="both"/>
      </w:pPr>
      <w:r w:rsidRPr="00C76E19">
        <w:rPr>
          <w:rFonts w:ascii="Book Antiqua" w:eastAsia="Book Antiqua" w:hAnsi="Book Antiqua" w:cs="Book Antiqua"/>
          <w:color w:val="000000"/>
        </w:rPr>
        <w:t>CONCLUSION</w:t>
      </w:r>
    </w:p>
    <w:p w14:paraId="0D47F040" w14:textId="0E602AB1" w:rsidR="00A77B3E" w:rsidRPr="00C76E19" w:rsidRDefault="00CA1127" w:rsidP="00AE2A93">
      <w:pPr>
        <w:spacing w:line="360" w:lineRule="auto"/>
        <w:jc w:val="both"/>
      </w:pPr>
      <w:r w:rsidRPr="00C76E19">
        <w:rPr>
          <w:rFonts w:ascii="Book Antiqua" w:eastAsia="Book Antiqua" w:hAnsi="Book Antiqua" w:cs="Book Antiqua"/>
          <w:color w:val="000000"/>
        </w:rPr>
        <w:t>IMT significantly improved real-world health outcomes and cost the Chinese public health insurance payers less than one GDPPC to gain one QALY in Chinese MS-CD patients. </w:t>
      </w:r>
    </w:p>
    <w:p w14:paraId="1BD88046" w14:textId="77777777" w:rsidR="00A77B3E" w:rsidRPr="00C76E19" w:rsidRDefault="00A77B3E" w:rsidP="00AE2A93">
      <w:pPr>
        <w:snapToGrid w:val="0"/>
        <w:spacing w:line="360" w:lineRule="auto"/>
        <w:jc w:val="both"/>
      </w:pPr>
    </w:p>
    <w:p w14:paraId="5BBDB9AC" w14:textId="77777777" w:rsidR="00A77B3E" w:rsidRPr="00C76E19" w:rsidRDefault="00CA1127" w:rsidP="00AE2A93">
      <w:pPr>
        <w:snapToGrid w:val="0"/>
        <w:spacing w:line="360" w:lineRule="auto"/>
        <w:jc w:val="both"/>
      </w:pPr>
      <w:r w:rsidRPr="00C76E19">
        <w:rPr>
          <w:rFonts w:ascii="Book Antiqua" w:eastAsia="Book Antiqua" w:hAnsi="Book Antiqua" w:cs="Book Antiqua"/>
          <w:b/>
          <w:bCs/>
          <w:color w:val="000000"/>
        </w:rPr>
        <w:t xml:space="preserve">Key Words: </w:t>
      </w:r>
      <w:r w:rsidRPr="00C76E19">
        <w:rPr>
          <w:rFonts w:ascii="Book Antiqua" w:eastAsia="Book Antiqua" w:hAnsi="Book Antiqua" w:cs="Book Antiqua"/>
          <w:color w:val="000000"/>
        </w:rPr>
        <w:t>Infliximab; Crohn’s disease; Maintenance therapy; Cost-effectiveness; Outcomes; Direct medical costs</w:t>
      </w:r>
    </w:p>
    <w:p w14:paraId="1888D6D3" w14:textId="77777777" w:rsidR="00A77B3E" w:rsidRPr="00C76E19" w:rsidRDefault="00A77B3E" w:rsidP="00AE2A93">
      <w:pPr>
        <w:snapToGrid w:val="0"/>
        <w:spacing w:line="360" w:lineRule="auto"/>
        <w:jc w:val="both"/>
      </w:pPr>
    </w:p>
    <w:p w14:paraId="54A6203D" w14:textId="77777777" w:rsidR="00A77B3E" w:rsidRPr="00C76E19" w:rsidRDefault="00CA1127" w:rsidP="00AE2A93">
      <w:pPr>
        <w:snapToGrid w:val="0"/>
        <w:spacing w:line="360" w:lineRule="auto"/>
        <w:jc w:val="both"/>
      </w:pPr>
      <w:r w:rsidRPr="00C76E19">
        <w:rPr>
          <w:rFonts w:ascii="Book Antiqua" w:eastAsia="Book Antiqua" w:hAnsi="Book Antiqua" w:cs="Book Antiqua"/>
          <w:color w:val="000000"/>
        </w:rPr>
        <w:t xml:space="preserve">Shi JH, Luo L, Chen XL, Pan YP, Zhang Z, Fang H, Chen Y, Chen WD, Cao Q. Real-world cost-effectiveness associated with infliximab maintenance therapy for moderate to severe Crohn’s disease in China. </w:t>
      </w:r>
      <w:r w:rsidRPr="00C76E19">
        <w:rPr>
          <w:rFonts w:ascii="Book Antiqua" w:eastAsia="Book Antiqua" w:hAnsi="Book Antiqua" w:cs="Book Antiqua"/>
          <w:i/>
          <w:iCs/>
          <w:color w:val="000000"/>
        </w:rPr>
        <w:t>World J Gastroenterol</w:t>
      </w:r>
      <w:r w:rsidRPr="00C76E19">
        <w:rPr>
          <w:rFonts w:ascii="Book Antiqua" w:eastAsia="Book Antiqua" w:hAnsi="Book Antiqua" w:cs="Book Antiqua"/>
          <w:color w:val="000000"/>
        </w:rPr>
        <w:t xml:space="preserve"> 2020; In press</w:t>
      </w:r>
    </w:p>
    <w:p w14:paraId="042F97DC" w14:textId="77777777" w:rsidR="00A77B3E" w:rsidRPr="00C76E19" w:rsidRDefault="00A77B3E" w:rsidP="00AE2A93">
      <w:pPr>
        <w:snapToGrid w:val="0"/>
        <w:spacing w:line="360" w:lineRule="auto"/>
        <w:jc w:val="both"/>
      </w:pPr>
    </w:p>
    <w:p w14:paraId="30E18247" w14:textId="1A527184" w:rsidR="00A77B3E" w:rsidRPr="00C76E19" w:rsidRDefault="00CA1127" w:rsidP="00AE2A93">
      <w:pPr>
        <w:snapToGrid w:val="0"/>
        <w:spacing w:line="360" w:lineRule="auto"/>
        <w:jc w:val="both"/>
      </w:pPr>
      <w:r w:rsidRPr="00C76E19">
        <w:rPr>
          <w:rFonts w:ascii="Book Antiqua" w:eastAsia="Book Antiqua" w:hAnsi="Book Antiqua" w:cs="Book Antiqua"/>
          <w:b/>
          <w:bCs/>
          <w:color w:val="000000"/>
        </w:rPr>
        <w:t xml:space="preserve">Core Tip: </w:t>
      </w:r>
      <w:r w:rsidRPr="00C76E19">
        <w:rPr>
          <w:rFonts w:ascii="Book Antiqua" w:eastAsia="Book Antiqua" w:hAnsi="Book Antiqua" w:cs="Book Antiqua"/>
          <w:color w:val="000000"/>
        </w:rPr>
        <w:t xml:space="preserve">Infliximab maintenance therapy significantly reduced disease severity, improved quality of life, and reduced outpatient clinic visits and hospitalization related to active disease in Chinese patients with </w:t>
      </w:r>
      <w:r w:rsidR="00A5089C" w:rsidRPr="00C76E19">
        <w:rPr>
          <w:rFonts w:ascii="Book Antiqua" w:eastAsia="Book Antiqua" w:hAnsi="Book Antiqua" w:cs="Book Antiqua"/>
          <w:color w:val="000000"/>
        </w:rPr>
        <w:t>moderate to severe Crohn’s disease</w:t>
      </w:r>
      <w:r w:rsidRPr="00C76E19">
        <w:rPr>
          <w:rFonts w:ascii="Book Antiqua" w:eastAsia="Book Antiqua" w:hAnsi="Book Antiqua" w:cs="Book Antiqua"/>
          <w:color w:val="000000"/>
        </w:rPr>
        <w:t>. Even though the drug acquisition costs of infliximab could</w:t>
      </w:r>
      <w:r w:rsidR="002025A2" w:rsidRPr="00C76E19">
        <w:rPr>
          <w:rFonts w:ascii="Book Antiqua" w:eastAsia="Book Antiqua" w:hAnsi="Book Antiqua" w:cs="Book Antiqua"/>
          <w:color w:val="000000"/>
        </w:rPr>
        <w:t xml:space="preserve"> not</w:t>
      </w:r>
      <w:r w:rsidRPr="00C76E19">
        <w:rPr>
          <w:rFonts w:ascii="Book Antiqua" w:eastAsia="Book Antiqua" w:hAnsi="Book Antiqua" w:cs="Book Antiqua"/>
          <w:color w:val="000000"/>
        </w:rPr>
        <w:t xml:space="preserve"> be fully offset by the saved medical costs, the cost-effectiveness of infliximab maintenance therapy was highly attractive from the perspective of Chinese health care payers.</w:t>
      </w:r>
    </w:p>
    <w:p w14:paraId="4A19A0F9" w14:textId="36D4AEC0" w:rsidR="00A77B3E" w:rsidRPr="00C76E19" w:rsidRDefault="00A5089C" w:rsidP="00AE2A93">
      <w:pPr>
        <w:snapToGrid w:val="0"/>
        <w:spacing w:line="360" w:lineRule="auto"/>
        <w:jc w:val="both"/>
      </w:pPr>
      <w:r w:rsidRPr="00C76E19">
        <w:br w:type="page"/>
      </w:r>
      <w:r w:rsidR="00CA1127" w:rsidRPr="00C76E19">
        <w:rPr>
          <w:rFonts w:ascii="Book Antiqua" w:eastAsia="Book Antiqua" w:hAnsi="Book Antiqua" w:cs="Book Antiqua"/>
          <w:b/>
          <w:caps/>
          <w:color w:val="000000"/>
          <w:u w:val="single"/>
        </w:rPr>
        <w:t>INTRODUCTION</w:t>
      </w:r>
    </w:p>
    <w:p w14:paraId="54415070" w14:textId="67D984AE" w:rsidR="00A77B3E" w:rsidRPr="00C76E19" w:rsidRDefault="00CA1127" w:rsidP="00AE2A93">
      <w:pPr>
        <w:snapToGrid w:val="0"/>
        <w:spacing w:line="360" w:lineRule="auto"/>
        <w:jc w:val="both"/>
      </w:pPr>
      <w:r w:rsidRPr="00C76E19">
        <w:rPr>
          <w:rFonts w:ascii="Book Antiqua" w:eastAsia="Book Antiqua" w:hAnsi="Book Antiqua" w:cs="Book Antiqua"/>
          <w:color w:val="000000"/>
        </w:rPr>
        <w:t>Crohn’s disease (CD) is a chronic disease that can affect any part of the gastrointestinal tract</w:t>
      </w:r>
      <w:r w:rsidRPr="00AE2A93">
        <w:rPr>
          <w:rFonts w:ascii="Book Antiqua" w:eastAsia="Book Antiqua" w:hAnsi="Book Antiqua" w:cs="Book Antiqua"/>
          <w:color w:val="000000"/>
          <w:vertAlign w:val="superscript"/>
        </w:rPr>
        <w:t>[1]</w:t>
      </w:r>
      <w:r w:rsidRPr="00C76E19">
        <w:rPr>
          <w:rFonts w:ascii="Book Antiqua" w:eastAsia="Book Antiqua" w:hAnsi="Book Antiqua" w:cs="Book Antiqua"/>
          <w:color w:val="000000"/>
        </w:rPr>
        <w:t>. Even though the causes of CD have not yet been fully clarified, current research has proven that tumor necrosis factor-α (TNF-α) is the proinflammatory cytokine enhancing leukocyte migration, activating leukocytes, inducing acute-phase reactants and metalloproteinases, and inhibiting apoptosis of inflammatory cells in CD patients</w:t>
      </w:r>
      <w:r w:rsidRPr="00AE2A93">
        <w:rPr>
          <w:rFonts w:ascii="Book Antiqua" w:eastAsia="Book Antiqua" w:hAnsi="Book Antiqua" w:cs="Book Antiqua"/>
          <w:color w:val="000000"/>
          <w:vertAlign w:val="superscript"/>
        </w:rPr>
        <w:t>[2-4]</w:t>
      </w:r>
      <w:r w:rsidRPr="00C76E19">
        <w:rPr>
          <w:rFonts w:ascii="Book Antiqua" w:eastAsia="Book Antiqua" w:hAnsi="Book Antiqua" w:cs="Book Antiqua"/>
          <w:color w:val="000000"/>
        </w:rPr>
        <w:t xml:space="preserve">. As the first developed TNF-α blocker, infliximab has been shown to be effective across the spectrum of CD, including refractory luminal CD, steroid-dependent CD, and refractory fistulizing CD. The ACCENT 1 trial demonstrated the clinical benefits of infliximab used as a maintenance therapy. In this trial, there was a significantly higher clinical remission rate, a higher mucosal healing rate, and a lower hospitalization rate associated with </w:t>
      </w:r>
      <w:r w:rsidR="002025A2" w:rsidRPr="00C76E19">
        <w:rPr>
          <w:rFonts w:ascii="Book Antiqua" w:eastAsia="Book Antiqua" w:hAnsi="Book Antiqua" w:cs="Book Antiqua"/>
          <w:color w:val="000000"/>
        </w:rPr>
        <w:t>1</w:t>
      </w:r>
      <w:r w:rsidRPr="00C76E19">
        <w:rPr>
          <w:rFonts w:ascii="Book Antiqua" w:eastAsia="Book Antiqua" w:hAnsi="Book Antiqua" w:cs="Book Antiqua"/>
          <w:color w:val="000000"/>
        </w:rPr>
        <w:t xml:space="preserve">-year infliximab </w:t>
      </w:r>
      <w:r w:rsidR="00567C2F" w:rsidRPr="00C76E19">
        <w:rPr>
          <w:rFonts w:ascii="Book Antiqua" w:eastAsia="Book Antiqua" w:hAnsi="Book Antiqua" w:cs="Book Antiqua"/>
          <w:color w:val="000000"/>
        </w:rPr>
        <w:t>maintenance therapy</w:t>
      </w:r>
      <w:r w:rsidRPr="00C76E19">
        <w:rPr>
          <w:rFonts w:ascii="Book Antiqua" w:eastAsia="Book Antiqua" w:hAnsi="Book Antiqua" w:cs="Book Antiqua"/>
          <w:color w:val="000000"/>
        </w:rPr>
        <w:t xml:space="preserve"> (IMT) when compared to placebo</w:t>
      </w:r>
      <w:r w:rsidRPr="00AE2A93">
        <w:rPr>
          <w:rFonts w:ascii="Book Antiqua" w:eastAsia="Book Antiqua" w:hAnsi="Book Antiqua" w:cs="Book Antiqua"/>
          <w:color w:val="000000"/>
          <w:vertAlign w:val="superscript"/>
        </w:rPr>
        <w:t>[5]</w:t>
      </w:r>
      <w:r w:rsidRPr="00C76E19">
        <w:rPr>
          <w:rFonts w:ascii="Book Antiqua" w:eastAsia="Book Antiqua" w:hAnsi="Book Antiqua" w:cs="Book Antiqua"/>
          <w:color w:val="000000"/>
        </w:rPr>
        <w:t>.</w:t>
      </w:r>
    </w:p>
    <w:p w14:paraId="6E33E994" w14:textId="32A7B622" w:rsidR="00A77B3E" w:rsidRPr="00C76E19" w:rsidRDefault="00CA1127" w:rsidP="00AE2A93">
      <w:pPr>
        <w:snapToGrid w:val="0"/>
        <w:spacing w:line="360" w:lineRule="auto"/>
        <w:ind w:firstLineChars="100" w:firstLine="240"/>
        <w:jc w:val="both"/>
      </w:pPr>
      <w:r w:rsidRPr="00C76E19">
        <w:rPr>
          <w:rFonts w:ascii="Book Antiqua" w:eastAsia="Book Antiqua" w:hAnsi="Book Antiqua" w:cs="Book Antiqua"/>
          <w:color w:val="000000"/>
        </w:rPr>
        <w:t>Using a conservative estimate, CD affects at least 200000 patients across China</w:t>
      </w:r>
      <w:r w:rsidRPr="00AE2A93">
        <w:rPr>
          <w:rFonts w:ascii="Book Antiqua" w:eastAsia="Book Antiqua" w:hAnsi="Book Antiqua" w:cs="Book Antiqua"/>
          <w:color w:val="000000"/>
          <w:vertAlign w:val="superscript"/>
        </w:rPr>
        <w:t>[6]</w:t>
      </w:r>
      <w:r w:rsidRPr="00C76E19">
        <w:rPr>
          <w:rFonts w:ascii="Book Antiqua" w:eastAsia="Book Antiqua" w:hAnsi="Book Antiqua" w:cs="Book Antiqua"/>
          <w:color w:val="000000"/>
        </w:rPr>
        <w:t xml:space="preserve">. Similar to CD patients in western countries, Chinese CD patients are relatively young, and their quality of life and social function are significantly impaired by CD. Even though infliximab was approved to treat CD in China shortly after its launch in 2005, access to infliximab in Chinese CD patients was highly limited due to the lack of reimbursement coverage. Thus, anti-inflammatory drugs and immunosuppressants are still the mainstay treatment for CD in China, and the limited clinical benefits and side effects associated with these drugs are still the main concern regarding the utilization of these drugs for </w:t>
      </w:r>
      <w:r w:rsidR="00E1402F" w:rsidRPr="00C76E19">
        <w:rPr>
          <w:rFonts w:ascii="Book Antiqua" w:eastAsia="Book Antiqua" w:hAnsi="Book Antiqua" w:cs="Book Antiqua"/>
          <w:color w:val="000000"/>
        </w:rPr>
        <w:t>moderate to severe Crohn’s disease (</w:t>
      </w:r>
      <w:r w:rsidRPr="00C76E19">
        <w:rPr>
          <w:rFonts w:ascii="Book Antiqua" w:eastAsia="Book Antiqua" w:hAnsi="Book Antiqua" w:cs="Book Antiqua"/>
          <w:color w:val="000000"/>
        </w:rPr>
        <w:t>MS-CD</w:t>
      </w:r>
      <w:r w:rsidR="00E1402F" w:rsidRPr="00C76E19">
        <w:rPr>
          <w:rFonts w:ascii="Book Antiqua" w:eastAsia="Book Antiqua" w:hAnsi="Book Antiqua" w:cs="Book Antiqua"/>
          <w:color w:val="000000"/>
        </w:rPr>
        <w:t>)</w:t>
      </w:r>
      <w:r w:rsidRPr="00C76E19">
        <w:rPr>
          <w:rFonts w:ascii="Book Antiqua" w:eastAsia="Book Antiqua" w:hAnsi="Book Antiqua" w:cs="Book Antiqua"/>
          <w:color w:val="000000"/>
        </w:rPr>
        <w:t>. The purpose of this study was to clarify the real-world health outcomes, medical costs, and cost-effectiveness associated with IMT for MS-CD in Chinese patients and generate real-world evidence to support reimbursement decision making related to the treatments for MS-CD in China. </w:t>
      </w:r>
    </w:p>
    <w:p w14:paraId="5894BFB6" w14:textId="77777777" w:rsidR="00A77B3E" w:rsidRPr="00C76E19" w:rsidRDefault="00A77B3E" w:rsidP="00AE2A93">
      <w:pPr>
        <w:snapToGrid w:val="0"/>
        <w:spacing w:line="360" w:lineRule="auto"/>
        <w:jc w:val="both"/>
      </w:pPr>
    </w:p>
    <w:p w14:paraId="5D8B8727" w14:textId="77777777" w:rsidR="00A77B3E" w:rsidRPr="00C76E19" w:rsidRDefault="00CA1127" w:rsidP="00AE2A93">
      <w:pPr>
        <w:snapToGrid w:val="0"/>
        <w:spacing w:line="360" w:lineRule="auto"/>
        <w:jc w:val="both"/>
      </w:pPr>
      <w:r w:rsidRPr="00C76E19">
        <w:rPr>
          <w:rFonts w:ascii="Book Antiqua" w:eastAsia="Book Antiqua" w:hAnsi="Book Antiqua" w:cs="Book Antiqua"/>
          <w:b/>
          <w:caps/>
          <w:color w:val="000000"/>
          <w:u w:val="single"/>
        </w:rPr>
        <w:t>MATERIALS AND METHODS</w:t>
      </w:r>
    </w:p>
    <w:p w14:paraId="4CCCBB6F" w14:textId="77777777" w:rsidR="00A77B3E" w:rsidRPr="00C76E19" w:rsidRDefault="00CA1127" w:rsidP="00AE2A93">
      <w:pPr>
        <w:snapToGrid w:val="0"/>
        <w:spacing w:line="360" w:lineRule="auto"/>
        <w:jc w:val="both"/>
      </w:pPr>
      <w:r w:rsidRPr="00C76E19">
        <w:rPr>
          <w:rFonts w:ascii="Book Antiqua" w:eastAsia="Book Antiqua" w:hAnsi="Book Antiqua" w:cs="Book Antiqua"/>
          <w:color w:val="000000"/>
        </w:rPr>
        <w:t>This study consisted of a real-world study and cost-effectiveness analysis comparing IMT and conventional maintenance therapy (CMT) for health outcomes and direct medical costs in a clinical cohort of MS-CD patients. Research ethics approval for this study was obtained from Sir Run Run Shaw Hospital, Hangzhou, China. </w:t>
      </w:r>
    </w:p>
    <w:p w14:paraId="653F6A1D" w14:textId="77777777" w:rsidR="00A77B3E" w:rsidRPr="00C76E19" w:rsidRDefault="00A77B3E" w:rsidP="00AE2A93">
      <w:pPr>
        <w:snapToGrid w:val="0"/>
        <w:spacing w:line="360" w:lineRule="auto"/>
        <w:jc w:val="both"/>
      </w:pPr>
    </w:p>
    <w:p w14:paraId="4CD6BDBD" w14:textId="77777777" w:rsidR="00A77B3E" w:rsidRPr="00C76E19" w:rsidRDefault="00CA1127" w:rsidP="00AE2A93">
      <w:pPr>
        <w:snapToGrid w:val="0"/>
        <w:spacing w:line="360" w:lineRule="auto"/>
        <w:jc w:val="both"/>
        <w:rPr>
          <w:b/>
          <w:bCs/>
        </w:rPr>
      </w:pPr>
      <w:r w:rsidRPr="00C76E19">
        <w:rPr>
          <w:rFonts w:ascii="Book Antiqua" w:eastAsia="Book Antiqua" w:hAnsi="Book Antiqua" w:cs="Book Antiqua"/>
          <w:b/>
          <w:bCs/>
          <w:i/>
          <w:iCs/>
          <w:color w:val="000000"/>
        </w:rPr>
        <w:t>Real-world study </w:t>
      </w:r>
    </w:p>
    <w:p w14:paraId="1688F54A" w14:textId="6CA547A5" w:rsidR="00E1402F" w:rsidRPr="00C76E19" w:rsidRDefault="00CA1127" w:rsidP="00AE2A93">
      <w:pPr>
        <w:snapToGrid w:val="0"/>
        <w:spacing w:line="360" w:lineRule="auto"/>
        <w:jc w:val="both"/>
        <w:rPr>
          <w:rFonts w:ascii="Book Antiqua" w:eastAsia="Book Antiqua" w:hAnsi="Book Antiqua" w:cs="Book Antiqua"/>
          <w:color w:val="000000"/>
        </w:rPr>
      </w:pPr>
      <w:r w:rsidRPr="00C76E19">
        <w:rPr>
          <w:rFonts w:ascii="Book Antiqua" w:eastAsia="Book Antiqua" w:hAnsi="Book Antiqua" w:cs="Book Antiqua"/>
          <w:color w:val="000000"/>
        </w:rPr>
        <w:t xml:space="preserve">This study identified MS-CD patients who visited the </w:t>
      </w:r>
      <w:r w:rsidR="00E1402F" w:rsidRPr="00C76E19">
        <w:rPr>
          <w:rFonts w:ascii="Book Antiqua" w:eastAsia="Book Antiqua" w:hAnsi="Book Antiqua" w:cs="Book Antiqua"/>
          <w:color w:val="000000"/>
        </w:rPr>
        <w:t>Inflammatory Bowel Disease</w:t>
      </w:r>
      <w:r w:rsidRPr="00C76E19">
        <w:rPr>
          <w:rFonts w:ascii="Book Antiqua" w:eastAsia="Book Antiqua" w:hAnsi="Book Antiqua" w:cs="Book Antiqua"/>
          <w:color w:val="000000"/>
        </w:rPr>
        <w:t xml:space="preserve"> clinic of Sir Run Run Shaw Hospital in two time windows: January 1, 2014 to December 31, 2014 and July 1, 2017, to June 30, 2018. This study included all patients with a diagnosis of MS-CD who received maintenance therapy in Sir Run Run Shaw Hospital. To minimize the risk of selection bias, this study only excluded patients with insufficient information for data analysis. Hospital medical records associated with the included patients during the </w:t>
      </w:r>
      <w:r w:rsidR="00E1402F" w:rsidRPr="00C76E19">
        <w:rPr>
          <w:rFonts w:ascii="Book Antiqua" w:eastAsia="Book Antiqua" w:hAnsi="Book Antiqua" w:cs="Book Antiqua"/>
          <w:color w:val="000000"/>
        </w:rPr>
        <w:t>1</w:t>
      </w:r>
      <w:r w:rsidRPr="00C76E19">
        <w:rPr>
          <w:rFonts w:ascii="Book Antiqua" w:eastAsia="Book Antiqua" w:hAnsi="Book Antiqua" w:cs="Book Antiqua"/>
          <w:color w:val="000000"/>
        </w:rPr>
        <w:t xml:space="preserve">-year observation time period were reviewed to extract patient demographics including age, gender, body mass index, socio-economic status (employment, residence, and marital status), lifestyle (smoking and drinking), disease site, history of CD-related surgery, CD-related complications, extraintestinal manifestations, and comorbidities. The prescription records associated with the included patients during the </w:t>
      </w:r>
      <w:r w:rsidR="00E1402F" w:rsidRPr="00C76E19">
        <w:rPr>
          <w:rFonts w:ascii="Book Antiqua" w:eastAsia="Book Antiqua" w:hAnsi="Book Antiqua" w:cs="Book Antiqua"/>
          <w:color w:val="000000"/>
        </w:rPr>
        <w:t>1</w:t>
      </w:r>
      <w:r w:rsidRPr="00C76E19">
        <w:rPr>
          <w:rFonts w:ascii="Book Antiqua" w:eastAsia="Book Antiqua" w:hAnsi="Book Antiqua" w:cs="Book Antiqua"/>
          <w:color w:val="000000"/>
        </w:rPr>
        <w:t xml:space="preserve">-year observation period were the data source for the therapy pattern. The documented telephone follow-up questionnaires of the identified patients from the time window from July 1, 2017 to June 30, 2018 were the data sources to assess disease activity using Harvey-Bradshaw Index and rate quality of life on a 0 to 100 scale (0 indicated the worst health status, and 100 indicated the best health). The measured disease activity and quality of life associated with the followed-up patients were used to develop the prediction formulas from the multiple linear regression analyses that used patient characteristics and treatment pattern as independent variables. The developed prediction formulas for disease activity and utility for quality of life were used to estimate the disease activity and quality of life associated with the identified patients from the time window between January 1, 2014 and December 31, 2014. The billing records associated with the included patients’ outpatient clinic visits and hospitalizations in Sir Run Run Shaw Hospital during the </w:t>
      </w:r>
      <w:r w:rsidR="00E1402F" w:rsidRPr="00C76E19">
        <w:rPr>
          <w:rFonts w:ascii="Book Antiqua" w:eastAsia="Book Antiqua" w:hAnsi="Book Antiqua" w:cs="Book Antiqua"/>
          <w:color w:val="000000"/>
        </w:rPr>
        <w:t>1</w:t>
      </w:r>
      <w:r w:rsidRPr="00C76E19">
        <w:rPr>
          <w:rFonts w:ascii="Book Antiqua" w:eastAsia="Book Antiqua" w:hAnsi="Book Antiqua" w:cs="Book Antiqua"/>
          <w:color w:val="000000"/>
        </w:rPr>
        <w:t xml:space="preserve">-year observation period were used to extract the health resources utilization (outpatient visits, hospital admissions, and hospital stay length) and direct medical costs. </w:t>
      </w:r>
    </w:p>
    <w:p w14:paraId="6539E861" w14:textId="613C510C" w:rsidR="00A77B3E" w:rsidRPr="00C76E19" w:rsidRDefault="00CA1127" w:rsidP="00AE2A93">
      <w:pPr>
        <w:snapToGrid w:val="0"/>
        <w:spacing w:line="360" w:lineRule="auto"/>
        <w:ind w:firstLine="720"/>
        <w:jc w:val="both"/>
      </w:pPr>
      <w:r w:rsidRPr="00C76E19">
        <w:rPr>
          <w:rFonts w:ascii="Book Antiqua" w:eastAsia="Book Antiqua" w:hAnsi="Book Antiqua" w:cs="Book Antiqua"/>
          <w:color w:val="000000"/>
        </w:rPr>
        <w:t xml:space="preserve">This study stratified the included patients into two groups for the data analysis. The included patients receiving infliximab-contained maintenance therapy were assigned into the IMT group. The other included patients receiving maintenance therapy without containing infliximab were assigned into CMT group. The patient baseline characteristics associated with the two groups were summarized using descriptive statistical methods. Student </w:t>
      </w:r>
      <w:r w:rsidRPr="00C76E19">
        <w:rPr>
          <w:rFonts w:ascii="Book Antiqua" w:eastAsia="Book Antiqua" w:hAnsi="Book Antiqua" w:cs="Book Antiqua"/>
          <w:i/>
          <w:iCs/>
          <w:color w:val="000000"/>
        </w:rPr>
        <w:t>t</w:t>
      </w:r>
      <w:r w:rsidRPr="00C76E19">
        <w:rPr>
          <w:rFonts w:ascii="Book Antiqua" w:eastAsia="Book Antiqua" w:hAnsi="Book Antiqua" w:cs="Book Antiqua"/>
          <w:color w:val="000000"/>
        </w:rPr>
        <w:t xml:space="preserve"> test, chi square test, and Wilcoxon rank sum test were used to compare the two groups for their patient characteristics and measured outcomes, which included disease remission, quality of life, health resources utilization, and direct medical costs over </w:t>
      </w:r>
      <w:r w:rsidR="00E1402F" w:rsidRPr="00C76E19">
        <w:rPr>
          <w:rFonts w:ascii="Book Antiqua" w:eastAsia="Book Antiqua" w:hAnsi="Book Antiqua" w:cs="Book Antiqua"/>
          <w:color w:val="000000"/>
        </w:rPr>
        <w:t>1</w:t>
      </w:r>
      <w:r w:rsidRPr="00C76E19">
        <w:rPr>
          <w:rFonts w:ascii="Book Antiqua" w:eastAsia="Book Antiqua" w:hAnsi="Book Antiqua" w:cs="Book Antiqua"/>
          <w:color w:val="000000"/>
        </w:rPr>
        <w:t xml:space="preserve">-year observation time. To adjust the potential confounding effects associated with patient baseline characteristics, this study conducted multivariable conventional regression analyses, including logistic regression analysis, linear regression analysis, Poisson regression analysis, beta-binomial regression analysis, and generalized linear regression analysis, with adjustment of patient baseline characteristics to compare IMT </w:t>
      </w:r>
      <w:r w:rsidRPr="00C76E19">
        <w:rPr>
          <w:rFonts w:ascii="Book Antiqua" w:eastAsia="Book Antiqua" w:hAnsi="Book Antiqua" w:cs="Book Antiqua"/>
          <w:i/>
          <w:iCs/>
          <w:color w:val="000000"/>
        </w:rPr>
        <w:t>vs</w:t>
      </w:r>
      <w:r w:rsidRPr="00C76E19">
        <w:rPr>
          <w:rFonts w:ascii="Book Antiqua" w:eastAsia="Book Antiqua" w:hAnsi="Book Antiqua" w:cs="Book Antiqua"/>
          <w:color w:val="000000"/>
        </w:rPr>
        <w:t xml:space="preserve"> CMT for disease remission (defined as </w:t>
      </w:r>
      <w:r w:rsidR="00E1402F" w:rsidRPr="00C76E19">
        <w:rPr>
          <w:rFonts w:ascii="Book Antiqua" w:eastAsia="Book Antiqua" w:hAnsi="Book Antiqua" w:cs="Book Antiqua"/>
          <w:color w:val="000000"/>
        </w:rPr>
        <w:t xml:space="preserve">Harvey-Bradshaw Index </w:t>
      </w:r>
      <w:r w:rsidRPr="00C76E19">
        <w:rPr>
          <w:rFonts w:ascii="Book Antiqua" w:eastAsia="Book Antiqua" w:hAnsi="Book Antiqua" w:cs="Book Antiqua"/>
          <w:color w:val="000000"/>
        </w:rPr>
        <w:t>score &lt;</w:t>
      </w:r>
      <w:r w:rsidR="00567C2F" w:rsidRPr="00C76E19">
        <w:rPr>
          <w:rFonts w:ascii="Book Antiqua" w:eastAsia="Book Antiqua" w:hAnsi="Book Antiqua" w:cs="Book Antiqua"/>
          <w:color w:val="000000"/>
        </w:rPr>
        <w:t xml:space="preserve"> </w:t>
      </w:r>
      <w:r w:rsidRPr="00C76E19">
        <w:rPr>
          <w:rFonts w:ascii="Book Antiqua" w:eastAsia="Book Antiqua" w:hAnsi="Book Antiqua" w:cs="Book Antiqua"/>
          <w:color w:val="000000"/>
        </w:rPr>
        <w:t>5)</w:t>
      </w:r>
      <w:r w:rsidRPr="00AE2A93">
        <w:rPr>
          <w:rFonts w:ascii="Book Antiqua" w:eastAsia="Book Antiqua" w:hAnsi="Book Antiqua" w:cs="Book Antiqua"/>
          <w:color w:val="000000"/>
          <w:vertAlign w:val="superscript"/>
        </w:rPr>
        <w:t>[7]</w:t>
      </w:r>
      <w:r w:rsidRPr="00C76E19">
        <w:rPr>
          <w:rFonts w:ascii="Book Antiqua" w:eastAsia="Book Antiqua" w:hAnsi="Book Antiqua" w:cs="Book Antiqua"/>
          <w:color w:val="000000"/>
        </w:rPr>
        <w:t xml:space="preserve">, utility for quality of life, health resources utilization, and direct medical costs. The statistical significance in these analyses was defined as the two-sided </w:t>
      </w:r>
      <w:r w:rsidR="00567C2F" w:rsidRPr="00C76E19">
        <w:rPr>
          <w:rFonts w:ascii="Book Antiqua" w:eastAsia="Book Antiqua" w:hAnsi="Book Antiqua" w:cs="Book Antiqua"/>
          <w:i/>
          <w:iCs/>
          <w:color w:val="000000"/>
        </w:rPr>
        <w:t>P</w:t>
      </w:r>
      <w:r w:rsidRPr="00C76E19">
        <w:rPr>
          <w:rFonts w:ascii="Book Antiqua" w:eastAsia="Book Antiqua" w:hAnsi="Book Antiqua" w:cs="Book Antiqua"/>
          <w:color w:val="000000"/>
        </w:rPr>
        <w:t xml:space="preserve"> value less than 0.05. </w:t>
      </w:r>
    </w:p>
    <w:p w14:paraId="7994C094" w14:textId="77777777" w:rsidR="00A77B3E" w:rsidRPr="00C76E19" w:rsidRDefault="00A77B3E" w:rsidP="00AE2A93">
      <w:pPr>
        <w:snapToGrid w:val="0"/>
        <w:spacing w:line="360" w:lineRule="auto"/>
        <w:jc w:val="both"/>
      </w:pPr>
    </w:p>
    <w:p w14:paraId="5AACEAD2" w14:textId="77777777" w:rsidR="00A77B3E" w:rsidRPr="00C76E19" w:rsidRDefault="00CA1127" w:rsidP="00AE2A93">
      <w:pPr>
        <w:snapToGrid w:val="0"/>
        <w:spacing w:line="360" w:lineRule="auto"/>
        <w:jc w:val="both"/>
        <w:rPr>
          <w:b/>
          <w:bCs/>
        </w:rPr>
      </w:pPr>
      <w:r w:rsidRPr="00C76E19">
        <w:rPr>
          <w:rFonts w:ascii="Book Antiqua" w:eastAsia="Book Antiqua" w:hAnsi="Book Antiqua" w:cs="Book Antiqua"/>
          <w:b/>
          <w:bCs/>
          <w:i/>
          <w:iCs/>
          <w:color w:val="000000"/>
        </w:rPr>
        <w:t>Cost-effectiveness analysis</w:t>
      </w:r>
    </w:p>
    <w:p w14:paraId="21A6967A" w14:textId="3407BA11" w:rsidR="00E1402F" w:rsidRPr="00C76E19" w:rsidRDefault="00CA1127" w:rsidP="00AE2A93">
      <w:pPr>
        <w:snapToGrid w:val="0"/>
        <w:spacing w:line="360" w:lineRule="auto"/>
        <w:jc w:val="both"/>
        <w:rPr>
          <w:rFonts w:ascii="Book Antiqua" w:eastAsia="Book Antiqua" w:hAnsi="Book Antiqua" w:cs="Book Antiqua"/>
          <w:color w:val="000000"/>
        </w:rPr>
      </w:pPr>
      <w:r w:rsidRPr="00C76E19">
        <w:rPr>
          <w:rFonts w:ascii="Book Antiqua" w:eastAsia="Book Antiqua" w:hAnsi="Book Antiqua" w:cs="Book Antiqua"/>
          <w:color w:val="000000"/>
        </w:rPr>
        <w:t xml:space="preserve">A decision-analytic model was constructed to simulate health outcomes and direct medical costs associated with two model </w:t>
      </w:r>
      <w:r w:rsidR="00567C2F" w:rsidRPr="00C76E19">
        <w:rPr>
          <w:rFonts w:ascii="Book Antiqua" w:eastAsia="Book Antiqua" w:hAnsi="Book Antiqua" w:cs="Book Antiqua"/>
          <w:color w:val="000000"/>
        </w:rPr>
        <w:t>maintenance therapy</w:t>
      </w:r>
      <w:r w:rsidRPr="00C76E19">
        <w:rPr>
          <w:rFonts w:ascii="Book Antiqua" w:eastAsia="Book Antiqua" w:hAnsi="Book Antiqua" w:cs="Book Antiqua"/>
          <w:color w:val="000000"/>
        </w:rPr>
        <w:t xml:space="preserve"> scenarios: IMT </w:t>
      </w:r>
      <w:r w:rsidRPr="00C76E19">
        <w:rPr>
          <w:rFonts w:ascii="Book Antiqua" w:eastAsia="Book Antiqua" w:hAnsi="Book Antiqua" w:cs="Book Antiqua"/>
          <w:i/>
          <w:iCs/>
          <w:color w:val="000000"/>
        </w:rPr>
        <w:t>vs</w:t>
      </w:r>
      <w:r w:rsidRPr="00C76E19">
        <w:rPr>
          <w:rFonts w:ascii="Book Antiqua" w:eastAsia="Book Antiqua" w:hAnsi="Book Antiqua" w:cs="Book Antiqua"/>
          <w:color w:val="000000"/>
        </w:rPr>
        <w:t xml:space="preserve"> CMT. For each model scenario, the decision-analytic model used a Markov model design to simulate treatment cycles between induction therapy and </w:t>
      </w:r>
      <w:r w:rsidR="00567C2F" w:rsidRPr="00C76E19">
        <w:rPr>
          <w:rFonts w:ascii="Book Antiqua" w:eastAsia="Book Antiqua" w:hAnsi="Book Antiqua" w:cs="Book Antiqua"/>
          <w:color w:val="000000"/>
        </w:rPr>
        <w:t>maintenance therapy</w:t>
      </w:r>
      <w:r w:rsidRPr="00C76E19">
        <w:rPr>
          <w:rFonts w:ascii="Book Antiqua" w:eastAsia="Book Antiqua" w:hAnsi="Book Antiqua" w:cs="Book Antiqua"/>
          <w:color w:val="000000"/>
        </w:rPr>
        <w:t xml:space="preserve"> for treatment response, disease relapse, surgery, and mortality associated with MS-CD patients. The decision analytic model defined the induction therapy as any treatments used with the goal to achieve disease remission in the MS-CD patients who were relapsed from maintenance therapies, which were regularly given to patients to maintain disease remission after induction therapy. The introduction therapies used in real-world study cohort, including steroids (55.2%), infliximab monotherapy (14.3%), a combination of infliximab and immunosuppressant (9.7%) or enteral nutrition (11.7%), and enteral nutrition monotherapy (9.1%), were applied to the decision analytic model to simulate the distribution of introduction therapies in the model cohort. The identified maintenance therapies in the IMT group and CMT group from the real-world study were used to simulate the distributions of IMT and CMT in the model cohort. The administration of infliximab as introduction therapy and maintenance therapy in the real-world study cohort was based on the product monograph of infliximab for MS-CD (5</w:t>
      </w:r>
      <w:r w:rsidR="00BD7541" w:rsidRPr="00C76E19">
        <w:rPr>
          <w:rFonts w:ascii="Book Antiqua" w:eastAsia="Book Antiqua" w:hAnsi="Book Antiqua" w:cs="Book Antiqua"/>
          <w:color w:val="000000"/>
        </w:rPr>
        <w:t xml:space="preserve"> </w:t>
      </w:r>
      <w:r w:rsidRPr="00C76E19">
        <w:rPr>
          <w:rFonts w:ascii="Book Antiqua" w:eastAsia="Book Antiqua" w:hAnsi="Book Antiqua" w:cs="Book Antiqua"/>
          <w:color w:val="000000"/>
        </w:rPr>
        <w:t xml:space="preserve">mg/kg administrated at 0, 2, and 6 wk for introduction therapy, subsequent administration using the same treatment dosage every 8 wk for maintenance therapy). The constructed decision-analytic model allowed patients to </w:t>
      </w:r>
      <w:r w:rsidR="00E1402F" w:rsidRPr="00C76E19">
        <w:rPr>
          <w:rFonts w:ascii="Book Antiqua" w:eastAsia="Book Antiqua" w:hAnsi="Book Antiqua" w:cs="Book Antiqua"/>
          <w:color w:val="000000"/>
        </w:rPr>
        <w:t xml:space="preserve">receive </w:t>
      </w:r>
      <w:r w:rsidRPr="00C76E19">
        <w:rPr>
          <w:rFonts w:ascii="Book Antiqua" w:eastAsia="Book Antiqua" w:hAnsi="Book Antiqua" w:cs="Book Antiqua"/>
          <w:color w:val="000000"/>
        </w:rPr>
        <w:t xml:space="preserve">repeatedly induction therapy and </w:t>
      </w:r>
      <w:r w:rsidR="00567C2F" w:rsidRPr="00C76E19">
        <w:rPr>
          <w:rFonts w:ascii="Book Antiqua" w:eastAsia="Book Antiqua" w:hAnsi="Book Antiqua" w:cs="Book Antiqua"/>
          <w:color w:val="000000"/>
        </w:rPr>
        <w:t>maintenance therapy</w:t>
      </w:r>
      <w:r w:rsidRPr="00C76E19">
        <w:rPr>
          <w:rFonts w:ascii="Book Antiqua" w:eastAsia="Book Antiqua" w:hAnsi="Book Antiqua" w:cs="Book Antiqua"/>
          <w:color w:val="000000"/>
        </w:rPr>
        <w:t xml:space="preserve"> after disease relapse. The model also assumed that the surgical treatment for the complications only occurred in patients with active CD. The post-surgery patients entered another treatment cycle including induction and </w:t>
      </w:r>
      <w:r w:rsidR="00567C2F" w:rsidRPr="00C76E19">
        <w:rPr>
          <w:rFonts w:ascii="Book Antiqua" w:eastAsia="Book Antiqua" w:hAnsi="Book Antiqua" w:cs="Book Antiqua"/>
          <w:color w:val="000000"/>
        </w:rPr>
        <w:t>maintenance therapy</w:t>
      </w:r>
      <w:r w:rsidRPr="00C76E19">
        <w:rPr>
          <w:rFonts w:ascii="Book Antiqua" w:eastAsia="Book Antiqua" w:hAnsi="Book Antiqua" w:cs="Book Antiqua"/>
          <w:color w:val="000000"/>
        </w:rPr>
        <w:t xml:space="preserve"> until the occurrence of another surgical treatment in the model. </w:t>
      </w:r>
    </w:p>
    <w:p w14:paraId="378BB6CD" w14:textId="0BB11433" w:rsidR="00E1402F" w:rsidRPr="00C76E19" w:rsidRDefault="00CA1127" w:rsidP="00AE2A93">
      <w:pPr>
        <w:snapToGrid w:val="0"/>
        <w:spacing w:line="360" w:lineRule="auto"/>
        <w:ind w:firstLine="720"/>
        <w:jc w:val="both"/>
        <w:rPr>
          <w:rFonts w:ascii="Book Antiqua" w:eastAsia="Book Antiqua" w:hAnsi="Book Antiqua" w:cs="Book Antiqua"/>
          <w:color w:val="000000"/>
        </w:rPr>
      </w:pPr>
      <w:r w:rsidRPr="00C76E19">
        <w:rPr>
          <w:rFonts w:ascii="Book Antiqua" w:eastAsia="Book Antiqua" w:hAnsi="Book Antiqua" w:cs="Book Antiqua"/>
          <w:color w:val="000000"/>
        </w:rPr>
        <w:t xml:space="preserve">The decision-analytic model took into account the mortality associated with surgical treatment, disease remission, and active disease to estimate the survival rate associated with each model cycle. The cycle length of the Markov models in the decision-analytic model was </w:t>
      </w:r>
      <w:r w:rsidR="00E1402F" w:rsidRPr="00C76E19">
        <w:rPr>
          <w:rFonts w:ascii="Book Antiqua" w:eastAsia="Book Antiqua" w:hAnsi="Book Antiqua" w:cs="Book Antiqua"/>
          <w:color w:val="000000"/>
        </w:rPr>
        <w:t xml:space="preserve">3 </w:t>
      </w:r>
      <w:proofErr w:type="spellStart"/>
      <w:r w:rsidR="00E1402F" w:rsidRPr="00C76E19">
        <w:rPr>
          <w:rFonts w:ascii="Book Antiqua" w:eastAsia="Book Antiqua" w:hAnsi="Book Antiqua" w:cs="Book Antiqua"/>
          <w:color w:val="000000"/>
        </w:rPr>
        <w:t>mo</w:t>
      </w:r>
      <w:proofErr w:type="spellEnd"/>
      <w:r w:rsidRPr="00C76E19">
        <w:rPr>
          <w:rFonts w:ascii="Book Antiqua" w:eastAsia="Book Antiqua" w:hAnsi="Book Antiqua" w:cs="Book Antiqua"/>
          <w:color w:val="000000"/>
        </w:rPr>
        <w:t xml:space="preserve"> to align with the patients’ regular follow-up frequency. The simulation time horizon in the decision-analytic model was set to lifetime to estimate overall survival, quality-adjusted life years (QALY), cumulative risk of CD-related surgery, and reimbursed medical costs under the reimbursement policy for CD patients in Zhejiang province (annual co-payment: ¥20000; reimbursement percentage: 80%; annual reimbursement cap: ¥40000). The structure of the decision-analytic model is illustrated in Figure 1. </w:t>
      </w:r>
    </w:p>
    <w:p w14:paraId="36B95A46" w14:textId="4D44D8EA" w:rsidR="00A77B3E" w:rsidRPr="00C76E19" w:rsidRDefault="00CA1127" w:rsidP="00AE2A93">
      <w:pPr>
        <w:snapToGrid w:val="0"/>
        <w:spacing w:line="360" w:lineRule="auto"/>
        <w:ind w:firstLine="720"/>
        <w:jc w:val="both"/>
      </w:pPr>
      <w:r w:rsidRPr="00C76E19">
        <w:rPr>
          <w:rFonts w:ascii="Book Antiqua" w:eastAsia="Book Antiqua" w:hAnsi="Book Antiqua" w:cs="Book Antiqua"/>
          <w:color w:val="000000"/>
        </w:rPr>
        <w:t>A literature review was conducted to estimate model variables for the treatment response associated with induction therapy</w:t>
      </w:r>
      <w:r w:rsidRPr="00AE2A93">
        <w:rPr>
          <w:rFonts w:ascii="Book Antiqua" w:eastAsia="Book Antiqua" w:hAnsi="Book Antiqua" w:cs="Book Antiqua"/>
          <w:color w:val="000000"/>
          <w:vertAlign w:val="superscript"/>
        </w:rPr>
        <w:t>[8-13]</w:t>
      </w:r>
      <w:r w:rsidRPr="00C76E19">
        <w:rPr>
          <w:rFonts w:ascii="Book Antiqua" w:eastAsia="Book Antiqua" w:hAnsi="Book Antiqua" w:cs="Book Antiqua"/>
          <w:color w:val="000000"/>
        </w:rPr>
        <w:t xml:space="preserve">, risk of disease relapse associated with </w:t>
      </w:r>
      <w:r w:rsidR="00567C2F" w:rsidRPr="00C76E19">
        <w:rPr>
          <w:rFonts w:ascii="Book Antiqua" w:eastAsia="Book Antiqua" w:hAnsi="Book Antiqua" w:cs="Book Antiqua"/>
          <w:color w:val="000000"/>
        </w:rPr>
        <w:t>maintenance therapy</w:t>
      </w:r>
      <w:r w:rsidRPr="00AE2A93">
        <w:rPr>
          <w:rFonts w:ascii="Book Antiqua" w:eastAsia="Book Antiqua" w:hAnsi="Book Antiqua" w:cs="Book Antiqua"/>
          <w:color w:val="000000"/>
          <w:vertAlign w:val="superscript"/>
        </w:rPr>
        <w:t>[14]</w:t>
      </w:r>
      <w:r w:rsidRPr="00C76E19">
        <w:rPr>
          <w:rFonts w:ascii="Book Antiqua" w:eastAsia="Book Antiqua" w:hAnsi="Book Antiqua" w:cs="Book Antiqua"/>
          <w:color w:val="000000"/>
        </w:rPr>
        <w:t>, surgery risk associated with active CD, perioperative mortality associated with surgery, and the hazard ratio of mortality associated with active CD relative to age and gender-matched general population</w:t>
      </w:r>
      <w:r w:rsidRPr="00AE2A93">
        <w:rPr>
          <w:rFonts w:ascii="Book Antiqua" w:eastAsia="Book Antiqua" w:hAnsi="Book Antiqua" w:cs="Book Antiqua"/>
          <w:color w:val="000000"/>
          <w:vertAlign w:val="superscript"/>
        </w:rPr>
        <w:t>[15-30]</w:t>
      </w:r>
      <w:r w:rsidRPr="00C76E19">
        <w:rPr>
          <w:rFonts w:ascii="Book Antiqua" w:eastAsia="Book Antiqua" w:hAnsi="Book Antiqua" w:cs="Book Antiqua"/>
          <w:color w:val="000000"/>
        </w:rPr>
        <w:t xml:space="preserve">. Meta-analysis was used as the main approach to synthesize the identified evidence from the literature review. The constructed decision analytic model was used to conduct cost-effectiveness analysis, which included base-case analysis, one-way sensitivity analyses, and probabilistic sensitivity analysis (PSA). The point estimates of QALY gains and lifetime reimbursed medical costs from the base-case analysis were used to calculate the incremental cost-effectiveness ratio </w:t>
      </w:r>
      <w:r w:rsidR="00E36B76" w:rsidRPr="00C76E19">
        <w:rPr>
          <w:rFonts w:ascii="Book Antiqua" w:eastAsia="Book Antiqua" w:hAnsi="Book Antiqua" w:cs="Book Antiqua"/>
          <w:color w:val="000000"/>
        </w:rPr>
        <w:t xml:space="preserve">(ICER) </w:t>
      </w:r>
      <w:r w:rsidRPr="00C76E19">
        <w:rPr>
          <w:rFonts w:ascii="Book Antiqua" w:eastAsia="Book Antiqua" w:hAnsi="Book Antiqua" w:cs="Book Antiqua"/>
          <w:color w:val="000000"/>
        </w:rPr>
        <w:t xml:space="preserve">per gained QALY associated with IMT relative to CMT. One-way sensitivity analyses assessed the change of ICER associated with IMT by varying each model variable within its 95% confidence interval (CI) or </w:t>
      </w:r>
      <w:r w:rsidR="00BD7541" w:rsidRPr="00C76E19">
        <w:rPr>
          <w:rFonts w:ascii="Book Antiqua" w:eastAsia="Book Antiqua" w:hAnsi="Book Antiqua" w:cs="Book Antiqua"/>
          <w:color w:val="000000"/>
        </w:rPr>
        <w:t xml:space="preserve">± </w:t>
      </w:r>
      <w:r w:rsidRPr="00C76E19">
        <w:rPr>
          <w:rFonts w:ascii="Book Antiqua" w:eastAsia="Book Antiqua" w:hAnsi="Book Antiqua" w:cs="Book Antiqua"/>
          <w:color w:val="000000"/>
        </w:rPr>
        <w:t>25% of its baseline value. PSA was conducted using a Monte Carlo simulation method to run 10000 iterations of cost-effectiveness analyses based on the distributions of model variables (beta distributions for probability and utility variables; gamma distributions for cost variables).</w:t>
      </w:r>
      <w:r w:rsidR="00A23AA9">
        <w:rPr>
          <w:rFonts w:ascii="Book Antiqua" w:eastAsia="Book Antiqua" w:hAnsi="Book Antiqua" w:cs="Book Antiqua"/>
          <w:color w:val="000000"/>
        </w:rPr>
        <w:t xml:space="preserve"> </w:t>
      </w:r>
      <w:r w:rsidRPr="00A23AA9">
        <w:rPr>
          <w:rFonts w:ascii="Book Antiqua" w:eastAsia="Book Antiqua" w:hAnsi="Book Antiqua" w:cs="Book Antiqua"/>
          <w:color w:val="000000"/>
        </w:rPr>
        <w:t>The cost-effectiveness proportion associated with IMT relative to CMT was calculated under the willingness-to-pay</w:t>
      </w:r>
      <w:r w:rsidRPr="00C76E19">
        <w:rPr>
          <w:rFonts w:ascii="Book Antiqua" w:eastAsia="Book Antiqua" w:hAnsi="Book Antiqua" w:cs="Book Antiqua"/>
          <w:color w:val="000000"/>
        </w:rPr>
        <w:t xml:space="preserve"> (WTP) of one, two, and three times of the 2018 Chinese gross domestic goods per capita (GDPPC) (¥64644 or $9769)</w:t>
      </w:r>
      <w:r w:rsidRPr="00AE2A93">
        <w:rPr>
          <w:rFonts w:ascii="Book Antiqua" w:eastAsia="Book Antiqua" w:hAnsi="Book Antiqua" w:cs="Book Antiqua"/>
          <w:color w:val="000000"/>
          <w:vertAlign w:val="superscript"/>
        </w:rPr>
        <w:t>[31]</w:t>
      </w:r>
      <w:r w:rsidRPr="00C76E19">
        <w:rPr>
          <w:rFonts w:ascii="Book Antiqua" w:eastAsia="Book Antiqua" w:hAnsi="Book Antiqua" w:cs="Book Antiqua"/>
          <w:color w:val="000000"/>
        </w:rPr>
        <w:t>, respectively. </w:t>
      </w:r>
    </w:p>
    <w:p w14:paraId="7FC8FD0D" w14:textId="77777777" w:rsidR="00A77B3E" w:rsidRPr="00C76E19" w:rsidRDefault="00A77B3E" w:rsidP="00A23AA9">
      <w:pPr>
        <w:spacing w:line="360" w:lineRule="auto"/>
        <w:jc w:val="both"/>
      </w:pPr>
    </w:p>
    <w:p w14:paraId="5CA0E2D1" w14:textId="77777777" w:rsidR="00A77B3E" w:rsidRPr="00C76E19" w:rsidRDefault="00CA1127" w:rsidP="00A23AA9">
      <w:pPr>
        <w:spacing w:line="360" w:lineRule="auto"/>
        <w:jc w:val="both"/>
      </w:pPr>
      <w:r w:rsidRPr="00C76E19">
        <w:rPr>
          <w:rFonts w:ascii="Book Antiqua" w:eastAsia="Book Antiqua" w:hAnsi="Book Antiqua" w:cs="Book Antiqua"/>
          <w:b/>
          <w:caps/>
          <w:color w:val="000000"/>
          <w:u w:val="single"/>
        </w:rPr>
        <w:t>RESULTS</w:t>
      </w:r>
    </w:p>
    <w:p w14:paraId="232A58F3" w14:textId="1B9424FF" w:rsidR="00A77B3E" w:rsidRPr="00A23AA9" w:rsidRDefault="00CA1127" w:rsidP="00A23AA9">
      <w:pPr>
        <w:spacing w:line="360" w:lineRule="auto"/>
        <w:jc w:val="both"/>
      </w:pPr>
      <w:r w:rsidRPr="00C76E19">
        <w:rPr>
          <w:rFonts w:ascii="Book Antiqua" w:eastAsia="Book Antiqua" w:hAnsi="Book Antiqua" w:cs="Book Antiqua"/>
          <w:color w:val="000000"/>
        </w:rPr>
        <w:t>The real-world study initially identified 593 MS-CD patients. Of the identified MS-CD patients managed in the study hospital, 393 patients received maintenance therapy for MS-CD. After further exclusion of</w:t>
      </w:r>
      <w:r w:rsidRPr="00A23AA9">
        <w:rPr>
          <w:rFonts w:ascii="Book Antiqua" w:eastAsia="Book Antiqua" w:hAnsi="Book Antiqua" w:cs="Book Antiqua"/>
          <w:color w:val="000000"/>
        </w:rPr>
        <w:t xml:space="preserve"> 4 patients without sufficient information for data analysis, this study eventually included 389 patients to conduct the data analysis. Of the included 389 patients, 259 patients received IMT, including the combination of infliximab and immunosuppressant (38.2%), infliximab monotherapy (44.6%), the combination of infliximab and enteral nutrition (12.4%), and the combination of infliximab, immunosuppressant, and enteral nutrition (4.8%). The other 130 patients received CMT that included immunosuppressant (61.7%), 5-aminosalicylates (25.8%), enteral nutrition (7.0%), the combination of immunosuppressant and enteral nutrition (3.1%), and the combination of immunosuppressant, 5-aminosalicylates, and/or enteral nutrition (2.4%). </w:t>
      </w:r>
    </w:p>
    <w:p w14:paraId="2AA320C5" w14:textId="77777777" w:rsidR="00A77B3E" w:rsidRPr="00A23AA9" w:rsidRDefault="00A77B3E" w:rsidP="00A23AA9">
      <w:pPr>
        <w:spacing w:line="360" w:lineRule="auto"/>
        <w:jc w:val="both"/>
      </w:pPr>
    </w:p>
    <w:p w14:paraId="4F2CEBC6" w14:textId="77777777" w:rsidR="00A77B3E" w:rsidRPr="00A23AA9" w:rsidRDefault="00CA1127" w:rsidP="00A23AA9">
      <w:pPr>
        <w:spacing w:line="360" w:lineRule="auto"/>
        <w:jc w:val="both"/>
        <w:rPr>
          <w:b/>
          <w:bCs/>
        </w:rPr>
      </w:pPr>
      <w:r w:rsidRPr="00A23AA9">
        <w:rPr>
          <w:rFonts w:ascii="Book Antiqua" w:eastAsia="Book Antiqua" w:hAnsi="Book Antiqua" w:cs="Book Antiqua"/>
          <w:b/>
          <w:bCs/>
          <w:i/>
          <w:iCs/>
          <w:color w:val="000000"/>
        </w:rPr>
        <w:t>Real-world outcomes associated with IMT and CMT</w:t>
      </w:r>
    </w:p>
    <w:p w14:paraId="095DEC57" w14:textId="3D67010F" w:rsidR="00A77B3E" w:rsidRPr="00C76E19" w:rsidRDefault="00CA1127" w:rsidP="00A23AA9">
      <w:pPr>
        <w:spacing w:line="360" w:lineRule="auto"/>
        <w:jc w:val="both"/>
      </w:pPr>
      <w:r w:rsidRPr="00A23AA9">
        <w:rPr>
          <w:rFonts w:ascii="Book Antiqua" w:eastAsia="Book Antiqua" w:hAnsi="Book Antiqua" w:cs="Book Antiqua"/>
          <w:color w:val="000000"/>
        </w:rPr>
        <w:t xml:space="preserve">The comparisons of the patient baseline characteristics associated with the two study groups for IMT </w:t>
      </w:r>
      <w:r w:rsidRPr="00A23AA9">
        <w:rPr>
          <w:rFonts w:ascii="Book Antiqua" w:eastAsia="Book Antiqua" w:hAnsi="Book Antiqua" w:cs="Book Antiqua"/>
          <w:i/>
          <w:iCs/>
          <w:color w:val="000000"/>
        </w:rPr>
        <w:t>vs</w:t>
      </w:r>
      <w:r w:rsidRPr="00A23AA9">
        <w:rPr>
          <w:rFonts w:ascii="Book Antiqua" w:eastAsia="Book Antiqua" w:hAnsi="Book Antiqua" w:cs="Book Antiqua"/>
          <w:color w:val="000000"/>
        </w:rPr>
        <w:t xml:space="preserve"> CMT identified significantly younger age (34.1</w:t>
      </w:r>
      <w:r w:rsidR="00BD7541" w:rsidRPr="00A23AA9">
        <w:rPr>
          <w:rFonts w:ascii="Book Antiqua" w:eastAsia="Book Antiqua" w:hAnsi="Book Antiqua" w:cs="Book Antiqua"/>
          <w:color w:val="000000"/>
        </w:rPr>
        <w:t xml:space="preserve"> ± </w:t>
      </w:r>
      <w:r w:rsidRPr="00A23AA9">
        <w:rPr>
          <w:rFonts w:ascii="Book Antiqua" w:eastAsia="Book Antiqua" w:hAnsi="Book Antiqua" w:cs="Book Antiqua"/>
          <w:color w:val="000000"/>
        </w:rPr>
        <w:t xml:space="preserve">10.9 years </w:t>
      </w:r>
      <w:r w:rsidRPr="00A23AA9">
        <w:rPr>
          <w:rFonts w:ascii="Book Antiqua" w:eastAsia="Book Antiqua" w:hAnsi="Book Antiqua" w:cs="Book Antiqua"/>
          <w:i/>
          <w:iCs/>
          <w:color w:val="000000"/>
        </w:rPr>
        <w:t>vs</w:t>
      </w:r>
      <w:r w:rsidRPr="00A23AA9">
        <w:rPr>
          <w:rFonts w:ascii="Book Antiqua" w:eastAsia="Book Antiqua" w:hAnsi="Book Antiqua" w:cs="Book Antiqua"/>
          <w:color w:val="000000"/>
        </w:rPr>
        <w:t xml:space="preserve"> 37.2</w:t>
      </w:r>
      <w:r w:rsidR="00BD7541" w:rsidRPr="00A23AA9">
        <w:rPr>
          <w:rFonts w:ascii="Book Antiqua" w:eastAsia="Book Antiqua" w:hAnsi="Book Antiqua" w:cs="Book Antiqua"/>
          <w:color w:val="000000"/>
        </w:rPr>
        <w:t xml:space="preserve"> ± </w:t>
      </w:r>
      <w:r w:rsidRPr="00A23AA9">
        <w:rPr>
          <w:rFonts w:ascii="Book Antiqua" w:eastAsia="Book Antiqua" w:hAnsi="Book Antiqua" w:cs="Book Antiqua"/>
          <w:color w:val="000000"/>
        </w:rPr>
        <w:t xml:space="preserve">11.2 years, </w:t>
      </w:r>
      <w:r w:rsidRPr="00A23AA9">
        <w:rPr>
          <w:rFonts w:ascii="Book Antiqua" w:eastAsia="Book Antiqua" w:hAnsi="Book Antiqua" w:cs="Book Antiqua"/>
          <w:i/>
          <w:iCs/>
          <w:color w:val="000000"/>
        </w:rPr>
        <w:t>P</w:t>
      </w:r>
      <w:r w:rsidRPr="00A23AA9">
        <w:rPr>
          <w:rFonts w:ascii="Book Antiqua" w:eastAsia="Book Antiqua" w:hAnsi="Book Antiqua" w:cs="Book Antiqua"/>
          <w:color w:val="000000"/>
        </w:rPr>
        <w:t xml:space="preserve"> = 0.004), lower rate of married patients (56.0% </w:t>
      </w:r>
      <w:r w:rsidRPr="00A23AA9">
        <w:rPr>
          <w:rFonts w:ascii="Book Antiqua" w:eastAsia="Book Antiqua" w:hAnsi="Book Antiqua" w:cs="Book Antiqua"/>
          <w:i/>
          <w:iCs/>
          <w:color w:val="000000"/>
        </w:rPr>
        <w:t>vs</w:t>
      </w:r>
      <w:r w:rsidRPr="00A23AA9">
        <w:rPr>
          <w:rFonts w:ascii="Book Antiqua" w:eastAsia="Book Antiqua" w:hAnsi="Book Antiqua" w:cs="Book Antiqua"/>
          <w:color w:val="000000"/>
        </w:rPr>
        <w:t xml:space="preserve"> 67.7%, </w:t>
      </w:r>
      <w:r w:rsidRPr="00A23AA9">
        <w:rPr>
          <w:rFonts w:ascii="Book Antiqua" w:eastAsia="Book Antiqua" w:hAnsi="Book Antiqua" w:cs="Book Antiqua"/>
          <w:i/>
          <w:iCs/>
          <w:color w:val="000000"/>
        </w:rPr>
        <w:t>P</w:t>
      </w:r>
      <w:r w:rsidRPr="00A23AA9">
        <w:rPr>
          <w:rFonts w:ascii="Book Antiqua" w:eastAsia="Book Antiqua" w:hAnsi="Book Antiqua" w:cs="Book Antiqua"/>
          <w:color w:val="000000"/>
        </w:rPr>
        <w:t xml:space="preserve"> = 0.026), higher unemployment rate (6.9% </w:t>
      </w:r>
      <w:r w:rsidRPr="00A23AA9">
        <w:rPr>
          <w:rFonts w:ascii="Book Antiqua" w:eastAsia="Book Antiqua" w:hAnsi="Book Antiqua" w:cs="Book Antiqua"/>
          <w:i/>
          <w:iCs/>
          <w:color w:val="000000"/>
        </w:rPr>
        <w:t>vs</w:t>
      </w:r>
      <w:r w:rsidRPr="00A23AA9">
        <w:rPr>
          <w:rFonts w:ascii="Book Antiqua" w:eastAsia="Book Antiqua" w:hAnsi="Book Antiqua" w:cs="Book Antiqua"/>
          <w:color w:val="000000"/>
        </w:rPr>
        <w:t xml:space="preserve"> 1.5%, </w:t>
      </w:r>
      <w:r w:rsidRPr="00A23AA9">
        <w:rPr>
          <w:rFonts w:ascii="Book Antiqua" w:eastAsia="Book Antiqua" w:hAnsi="Book Antiqua" w:cs="Book Antiqua"/>
          <w:i/>
          <w:iCs/>
          <w:color w:val="000000"/>
        </w:rPr>
        <w:t>P</w:t>
      </w:r>
      <w:r w:rsidRPr="00A23AA9">
        <w:rPr>
          <w:rFonts w:ascii="Book Antiqua" w:eastAsia="Book Antiqua" w:hAnsi="Book Antiqua" w:cs="Book Antiqua"/>
          <w:color w:val="000000"/>
        </w:rPr>
        <w:t xml:space="preserve"> = 0.023), higher proportion of disease site at ileocolon (52.5% </w:t>
      </w:r>
      <w:r w:rsidRPr="00A23AA9">
        <w:rPr>
          <w:rFonts w:ascii="Book Antiqua" w:eastAsia="Book Antiqua" w:hAnsi="Book Antiqua" w:cs="Book Antiqua"/>
          <w:i/>
          <w:iCs/>
          <w:color w:val="000000"/>
        </w:rPr>
        <w:t>vs</w:t>
      </w:r>
      <w:r w:rsidRPr="00A23AA9">
        <w:rPr>
          <w:rFonts w:ascii="Book Antiqua" w:eastAsia="Book Antiqua" w:hAnsi="Book Antiqua" w:cs="Book Antiqua"/>
          <w:color w:val="000000"/>
        </w:rPr>
        <w:t xml:space="preserve"> 33.8%</w:t>
      </w:r>
      <w:r w:rsidR="002875EB" w:rsidRPr="00A23AA9">
        <w:rPr>
          <w:rFonts w:ascii="Book Antiqua" w:eastAsia="Book Antiqua" w:hAnsi="Book Antiqua" w:cs="Book Antiqua"/>
          <w:color w:val="000000"/>
        </w:rPr>
        <w:t>,</w:t>
      </w:r>
      <w:r w:rsidRPr="00A23AA9">
        <w:rPr>
          <w:rFonts w:ascii="Book Antiqua" w:eastAsia="Book Antiqua" w:hAnsi="Book Antiqua" w:cs="Book Antiqua"/>
          <w:color w:val="000000"/>
        </w:rPr>
        <w:t xml:space="preserve"> </w:t>
      </w:r>
      <w:r w:rsidR="002875EB" w:rsidRPr="00A23AA9">
        <w:rPr>
          <w:rFonts w:ascii="Book Antiqua" w:eastAsia="Book Antiqua" w:hAnsi="Book Antiqua" w:cs="Book Antiqua"/>
          <w:i/>
          <w:iCs/>
          <w:color w:val="000000"/>
        </w:rPr>
        <w:t>P</w:t>
      </w:r>
      <w:r w:rsidR="002875EB" w:rsidRPr="00A23AA9">
        <w:rPr>
          <w:rFonts w:ascii="Book Antiqua" w:eastAsia="Book Antiqua" w:hAnsi="Book Antiqua" w:cs="Book Antiqua"/>
          <w:color w:val="000000"/>
        </w:rPr>
        <w:t xml:space="preserve"> </w:t>
      </w:r>
      <w:r w:rsidRPr="00A23AA9">
        <w:rPr>
          <w:rFonts w:ascii="Book Antiqua" w:eastAsia="Book Antiqua" w:hAnsi="Book Antiqua" w:cs="Book Antiqua"/>
          <w:color w:val="000000"/>
        </w:rPr>
        <w:t>&lt;</w:t>
      </w:r>
      <w:r w:rsidR="002875EB" w:rsidRPr="00A23AA9">
        <w:rPr>
          <w:rFonts w:ascii="Book Antiqua" w:eastAsia="Book Antiqua" w:hAnsi="Book Antiqua" w:cs="Book Antiqua"/>
          <w:color w:val="000000"/>
        </w:rPr>
        <w:t xml:space="preserve"> </w:t>
      </w:r>
      <w:r w:rsidRPr="00A23AA9">
        <w:rPr>
          <w:rFonts w:ascii="Book Antiqua" w:eastAsia="Book Antiqua" w:hAnsi="Book Antiqua" w:cs="Book Antiqua"/>
          <w:color w:val="000000"/>
        </w:rPr>
        <w:t xml:space="preserve">0.001), higher proportions of historical complications for anus fistula (36.3% </w:t>
      </w:r>
      <w:r w:rsidRPr="00A23AA9">
        <w:rPr>
          <w:rFonts w:ascii="Book Antiqua" w:eastAsia="Book Antiqua" w:hAnsi="Book Antiqua" w:cs="Book Antiqua"/>
          <w:i/>
          <w:iCs/>
          <w:color w:val="000000"/>
        </w:rPr>
        <w:t>vs</w:t>
      </w:r>
      <w:r w:rsidRPr="00A23AA9">
        <w:rPr>
          <w:rFonts w:ascii="Book Antiqua" w:eastAsia="Book Antiqua" w:hAnsi="Book Antiqua" w:cs="Book Antiqua"/>
          <w:color w:val="000000"/>
        </w:rPr>
        <w:t xml:space="preserve"> 14.6%, </w:t>
      </w:r>
      <w:r w:rsidR="002875EB" w:rsidRPr="00A23AA9">
        <w:rPr>
          <w:rFonts w:ascii="Book Antiqua" w:eastAsia="Book Antiqua" w:hAnsi="Book Antiqua" w:cs="Book Antiqua"/>
          <w:i/>
          <w:iCs/>
          <w:color w:val="000000"/>
        </w:rPr>
        <w:t>P</w:t>
      </w:r>
      <w:r w:rsidR="002875EB" w:rsidRPr="00A23AA9">
        <w:rPr>
          <w:rFonts w:ascii="Book Antiqua" w:eastAsia="Book Antiqua" w:hAnsi="Book Antiqua" w:cs="Book Antiqua"/>
          <w:color w:val="000000"/>
        </w:rPr>
        <w:t xml:space="preserve"> </w:t>
      </w:r>
      <w:r w:rsidRPr="00A23AA9">
        <w:rPr>
          <w:rFonts w:ascii="Book Antiqua" w:eastAsia="Book Antiqua" w:hAnsi="Book Antiqua" w:cs="Book Antiqua"/>
          <w:color w:val="000000"/>
        </w:rPr>
        <w:t>&lt;</w:t>
      </w:r>
      <w:r w:rsidR="002875EB" w:rsidRPr="00A23AA9">
        <w:rPr>
          <w:rFonts w:ascii="Book Antiqua" w:eastAsia="Book Antiqua" w:hAnsi="Book Antiqua" w:cs="Book Antiqua"/>
          <w:color w:val="000000"/>
        </w:rPr>
        <w:t xml:space="preserve"> </w:t>
      </w:r>
      <w:r w:rsidRPr="00A23AA9">
        <w:rPr>
          <w:rFonts w:ascii="Book Antiqua" w:eastAsia="Book Antiqua" w:hAnsi="Book Antiqua" w:cs="Book Antiqua"/>
          <w:color w:val="000000"/>
        </w:rPr>
        <w:t xml:space="preserve">0.001), perianal abscess (27.4% </w:t>
      </w:r>
      <w:r w:rsidRPr="00A23AA9">
        <w:rPr>
          <w:rFonts w:ascii="Book Antiqua" w:eastAsia="Book Antiqua" w:hAnsi="Book Antiqua" w:cs="Book Antiqua"/>
          <w:i/>
          <w:iCs/>
          <w:color w:val="000000"/>
        </w:rPr>
        <w:t>vs</w:t>
      </w:r>
      <w:r w:rsidRPr="00A23AA9">
        <w:rPr>
          <w:rFonts w:ascii="Book Antiqua" w:eastAsia="Book Antiqua" w:hAnsi="Book Antiqua" w:cs="Book Antiqua"/>
          <w:color w:val="000000"/>
        </w:rPr>
        <w:t xml:space="preserve"> 13.8%, </w:t>
      </w:r>
      <w:r w:rsidRPr="00A23AA9">
        <w:rPr>
          <w:rFonts w:ascii="Book Antiqua" w:eastAsia="Book Antiqua" w:hAnsi="Book Antiqua" w:cs="Book Antiqua"/>
          <w:i/>
          <w:iCs/>
          <w:color w:val="000000"/>
        </w:rPr>
        <w:t>P</w:t>
      </w:r>
      <w:r w:rsidRPr="00A23AA9">
        <w:rPr>
          <w:rFonts w:ascii="Book Antiqua" w:eastAsia="Book Antiqua" w:hAnsi="Book Antiqua" w:cs="Book Antiqua"/>
          <w:color w:val="000000"/>
        </w:rPr>
        <w:t xml:space="preserve"> = 0.003), and intestinal fistula (10.4% </w:t>
      </w:r>
      <w:r w:rsidRPr="00A23AA9">
        <w:rPr>
          <w:rFonts w:ascii="Book Antiqua" w:eastAsia="Book Antiqua" w:hAnsi="Book Antiqua" w:cs="Book Antiqua"/>
          <w:i/>
          <w:iCs/>
          <w:color w:val="000000"/>
        </w:rPr>
        <w:t>vs</w:t>
      </w:r>
      <w:r w:rsidRPr="00A23AA9">
        <w:rPr>
          <w:rFonts w:ascii="Book Antiqua" w:eastAsia="Book Antiqua" w:hAnsi="Book Antiqua" w:cs="Book Antiqua"/>
          <w:color w:val="000000"/>
        </w:rPr>
        <w:t xml:space="preserve"> 3.1%, </w:t>
      </w:r>
      <w:r w:rsidRPr="00A23AA9">
        <w:rPr>
          <w:rFonts w:ascii="Book Antiqua" w:eastAsia="Book Antiqua" w:hAnsi="Book Antiqua" w:cs="Book Antiqua"/>
          <w:i/>
          <w:iCs/>
          <w:color w:val="000000"/>
        </w:rPr>
        <w:t>P</w:t>
      </w:r>
      <w:r w:rsidRPr="00A23AA9">
        <w:rPr>
          <w:rFonts w:ascii="Book Antiqua" w:eastAsia="Book Antiqua" w:hAnsi="Book Antiqua" w:cs="Book Antiqua"/>
          <w:color w:val="000000"/>
        </w:rPr>
        <w:t xml:space="preserve"> = 0.012)</w:t>
      </w:r>
      <w:r w:rsidR="00E8047E" w:rsidRPr="00A23AA9">
        <w:rPr>
          <w:rFonts w:ascii="Book Antiqua" w:eastAsia="Book Antiqua" w:hAnsi="Book Antiqua" w:cs="Book Antiqua"/>
          <w:color w:val="000000"/>
        </w:rPr>
        <w:t>;</w:t>
      </w:r>
      <w:r w:rsidRPr="00C76E19">
        <w:rPr>
          <w:rFonts w:ascii="Book Antiqua" w:eastAsia="Book Antiqua" w:hAnsi="Book Antiqua" w:cs="Book Antiqua"/>
          <w:color w:val="000000"/>
        </w:rPr>
        <w:t xml:space="preserve"> and lower proportions of comorbidities including chronic hepatitis B (3.1% </w:t>
      </w:r>
      <w:r w:rsidRPr="00C76E19">
        <w:rPr>
          <w:rFonts w:ascii="Book Antiqua" w:eastAsia="Book Antiqua" w:hAnsi="Book Antiqua" w:cs="Book Antiqua"/>
          <w:i/>
          <w:iCs/>
          <w:color w:val="000000"/>
        </w:rPr>
        <w:t>vs</w:t>
      </w:r>
      <w:r w:rsidRPr="00C76E19">
        <w:rPr>
          <w:rFonts w:ascii="Book Antiqua" w:eastAsia="Book Antiqua" w:hAnsi="Book Antiqua" w:cs="Book Antiqua"/>
          <w:color w:val="000000"/>
        </w:rPr>
        <w:t xml:space="preserve"> 8.5%, </w:t>
      </w:r>
      <w:r w:rsidRPr="00C76E19">
        <w:rPr>
          <w:rFonts w:ascii="Book Antiqua" w:eastAsia="Book Antiqua" w:hAnsi="Book Antiqua" w:cs="Book Antiqua"/>
          <w:i/>
          <w:iCs/>
          <w:color w:val="000000"/>
        </w:rPr>
        <w:t>P</w:t>
      </w:r>
      <w:r w:rsidRPr="00C76E19">
        <w:rPr>
          <w:rFonts w:ascii="Book Antiqua" w:eastAsia="Book Antiqua" w:hAnsi="Book Antiqua" w:cs="Book Antiqua"/>
          <w:color w:val="000000"/>
        </w:rPr>
        <w:t xml:space="preserve"> = 0.020), gastroenteritis (1.5% </w:t>
      </w:r>
      <w:r w:rsidRPr="00C76E19">
        <w:rPr>
          <w:rFonts w:ascii="Book Antiqua" w:eastAsia="Book Antiqua" w:hAnsi="Book Antiqua" w:cs="Book Antiqua"/>
          <w:i/>
          <w:iCs/>
          <w:color w:val="000000"/>
        </w:rPr>
        <w:t>vs</w:t>
      </w:r>
      <w:r w:rsidRPr="00C76E19">
        <w:rPr>
          <w:rFonts w:ascii="Book Antiqua" w:eastAsia="Book Antiqua" w:hAnsi="Book Antiqua" w:cs="Book Antiqua"/>
          <w:color w:val="000000"/>
        </w:rPr>
        <w:t xml:space="preserve"> 4.6%, </w:t>
      </w:r>
      <w:r w:rsidRPr="00C76E19">
        <w:rPr>
          <w:rFonts w:ascii="Book Antiqua" w:eastAsia="Book Antiqua" w:hAnsi="Book Antiqua" w:cs="Book Antiqua"/>
          <w:i/>
          <w:iCs/>
          <w:color w:val="000000"/>
        </w:rPr>
        <w:t>P</w:t>
      </w:r>
      <w:r w:rsidRPr="00C76E19">
        <w:rPr>
          <w:rFonts w:ascii="Book Antiqua" w:eastAsia="Book Antiqua" w:hAnsi="Book Antiqua" w:cs="Book Antiqua"/>
          <w:color w:val="000000"/>
        </w:rPr>
        <w:t xml:space="preserve"> = 0.071), and kidney diseases (0.4% </w:t>
      </w:r>
      <w:r w:rsidRPr="00C76E19">
        <w:rPr>
          <w:rFonts w:ascii="Book Antiqua" w:eastAsia="Book Antiqua" w:hAnsi="Book Antiqua" w:cs="Book Antiqua"/>
          <w:i/>
          <w:iCs/>
          <w:color w:val="000000"/>
        </w:rPr>
        <w:t>vs</w:t>
      </w:r>
      <w:r w:rsidRPr="00C76E19">
        <w:rPr>
          <w:rFonts w:ascii="Book Antiqua" w:eastAsia="Book Antiqua" w:hAnsi="Book Antiqua" w:cs="Book Antiqua"/>
          <w:color w:val="000000"/>
        </w:rPr>
        <w:t xml:space="preserve"> 3.8%, </w:t>
      </w:r>
      <w:r w:rsidRPr="00C76E19">
        <w:rPr>
          <w:rFonts w:ascii="Book Antiqua" w:eastAsia="Book Antiqua" w:hAnsi="Book Antiqua" w:cs="Book Antiqua"/>
          <w:i/>
          <w:iCs/>
          <w:color w:val="000000"/>
        </w:rPr>
        <w:t>P</w:t>
      </w:r>
      <w:r w:rsidRPr="00C76E19">
        <w:rPr>
          <w:rFonts w:ascii="Book Antiqua" w:eastAsia="Book Antiqua" w:hAnsi="Book Antiqua" w:cs="Book Antiqua"/>
          <w:color w:val="000000"/>
        </w:rPr>
        <w:t xml:space="preserve"> = 0.009)</w:t>
      </w:r>
      <w:r w:rsidR="00A23AA9">
        <w:rPr>
          <w:rFonts w:ascii="Book Antiqua" w:eastAsia="Book Antiqua" w:hAnsi="Book Antiqua" w:cs="Book Antiqua"/>
          <w:color w:val="000000"/>
        </w:rPr>
        <w:t xml:space="preserve"> </w:t>
      </w:r>
      <w:r w:rsidRPr="00A23AA9">
        <w:rPr>
          <w:rFonts w:ascii="Book Antiqua" w:eastAsia="Book Antiqua" w:hAnsi="Book Antiqua" w:cs="Book Antiqua"/>
          <w:color w:val="000000"/>
        </w:rPr>
        <w:t>in the IMT group. The patient baseline characteristics associated with the two study groups are summarized in Table 1. </w:t>
      </w:r>
    </w:p>
    <w:p w14:paraId="0C356383" w14:textId="33A06C40" w:rsidR="00A77B3E" w:rsidRPr="00C76E19" w:rsidRDefault="00CA1127" w:rsidP="00A23AA9">
      <w:pPr>
        <w:spacing w:line="360" w:lineRule="auto"/>
        <w:ind w:firstLineChars="100" w:firstLine="240"/>
        <w:jc w:val="both"/>
      </w:pPr>
      <w:r w:rsidRPr="00C76E19">
        <w:rPr>
          <w:rFonts w:ascii="Book Antiqua" w:eastAsia="Book Antiqua" w:hAnsi="Book Antiqua" w:cs="Book Antiqua"/>
          <w:color w:val="000000"/>
        </w:rPr>
        <w:t xml:space="preserve">The unadjusted comparisons of the measured clinical outcomes, health resources utilization, and hospital costs associated with the two created study groups for IMT </w:t>
      </w:r>
      <w:r w:rsidRPr="00C76E19">
        <w:rPr>
          <w:rFonts w:ascii="Book Antiqua" w:eastAsia="Book Antiqua" w:hAnsi="Book Antiqua" w:cs="Book Antiqua"/>
          <w:i/>
          <w:iCs/>
          <w:color w:val="000000"/>
        </w:rPr>
        <w:t>vs</w:t>
      </w:r>
      <w:r w:rsidRPr="00C76E19">
        <w:rPr>
          <w:rFonts w:ascii="Book Antiqua" w:eastAsia="Book Antiqua" w:hAnsi="Book Antiqua" w:cs="Book Antiqua"/>
          <w:color w:val="000000"/>
        </w:rPr>
        <w:t xml:space="preserve"> CMT from the included 389 patients are summarized in Table 2.</w:t>
      </w:r>
      <w:r w:rsidR="00A23AA9">
        <w:rPr>
          <w:rFonts w:ascii="Book Antiqua" w:eastAsia="Book Antiqua" w:hAnsi="Book Antiqua" w:cs="Book Antiqua"/>
          <w:color w:val="000000"/>
        </w:rPr>
        <w:t xml:space="preserve"> </w:t>
      </w:r>
      <w:r w:rsidRPr="00A23AA9">
        <w:rPr>
          <w:rFonts w:ascii="Book Antiqua" w:eastAsia="Book Antiqua" w:hAnsi="Book Antiqua" w:cs="Book Antiqua"/>
          <w:color w:val="000000"/>
        </w:rPr>
        <w:t>The multivariate regression analyses with the adjustment of patient demographics, social economic status, disease site at diagnosis, history of CD-related complications, history of CD-related surgery, and extraintestinal manifestation at baseline confirmed that IMT was associated with significantly higher disease remission chance [odds ratio (OR)</w:t>
      </w:r>
      <w:r w:rsidR="008F1595" w:rsidRPr="00C76E19">
        <w:rPr>
          <w:rFonts w:ascii="Book Antiqua" w:eastAsia="Book Antiqua" w:hAnsi="Book Antiqua" w:cs="Book Antiqua"/>
          <w:color w:val="000000"/>
        </w:rPr>
        <w:t>:</w:t>
      </w:r>
      <w:r w:rsidRPr="00C76E19">
        <w:rPr>
          <w:rFonts w:ascii="Book Antiqua" w:eastAsia="Book Antiqua" w:hAnsi="Book Antiqua" w:cs="Book Antiqua"/>
          <w:color w:val="000000"/>
        </w:rPr>
        <w:t xml:space="preserve"> 4.060, 95%CI</w:t>
      </w:r>
      <w:r w:rsidR="008F1595" w:rsidRPr="00C76E19">
        <w:rPr>
          <w:rFonts w:ascii="Book Antiqua" w:eastAsia="Book Antiqua" w:hAnsi="Book Antiqua" w:cs="Book Antiqua"/>
          <w:color w:val="000000"/>
        </w:rPr>
        <w:t>:</w:t>
      </w:r>
      <w:r w:rsidRPr="00C76E19">
        <w:rPr>
          <w:rFonts w:ascii="Book Antiqua" w:eastAsia="Book Antiqua" w:hAnsi="Book Antiqua" w:cs="Book Antiqua"/>
          <w:color w:val="000000"/>
        </w:rPr>
        <w:t xml:space="preserve"> 1.643</w:t>
      </w:r>
      <w:r w:rsidR="008F1595" w:rsidRPr="00C76E19">
        <w:rPr>
          <w:rFonts w:ascii="Book Antiqua" w:eastAsia="Book Antiqua" w:hAnsi="Book Antiqua" w:cs="Book Antiqua"/>
          <w:color w:val="000000"/>
        </w:rPr>
        <w:t xml:space="preserve"> to </w:t>
      </w:r>
      <w:r w:rsidRPr="00C76E19">
        <w:rPr>
          <w:rFonts w:ascii="Book Antiqua" w:eastAsia="Book Antiqua" w:hAnsi="Book Antiqua" w:cs="Book Antiqua"/>
          <w:color w:val="000000"/>
        </w:rPr>
        <w:t xml:space="preserve">10.753, </w:t>
      </w:r>
      <w:r w:rsidRPr="00C76E19">
        <w:rPr>
          <w:rFonts w:ascii="Book Antiqua" w:eastAsia="Book Antiqua" w:hAnsi="Book Antiqua" w:cs="Book Antiqua"/>
          <w:i/>
          <w:iCs/>
          <w:color w:val="000000"/>
        </w:rPr>
        <w:t>P</w:t>
      </w:r>
      <w:r w:rsidRPr="00C76E19">
        <w:rPr>
          <w:rFonts w:ascii="Book Antiqua" w:eastAsia="Book Antiqua" w:hAnsi="Book Antiqua" w:cs="Book Antiqua"/>
          <w:color w:val="000000"/>
        </w:rPr>
        <w:t xml:space="preserve"> = 0.003], lower risk of developing any new complications (OR</w:t>
      </w:r>
      <w:r w:rsidR="008F1595" w:rsidRPr="00C76E19">
        <w:rPr>
          <w:rFonts w:ascii="Book Antiqua" w:eastAsia="Book Antiqua" w:hAnsi="Book Antiqua" w:cs="Book Antiqua"/>
          <w:color w:val="000000"/>
        </w:rPr>
        <w:t>:</w:t>
      </w:r>
      <w:r w:rsidRPr="00C76E19">
        <w:rPr>
          <w:rFonts w:ascii="Book Antiqua" w:eastAsia="Book Antiqua" w:hAnsi="Book Antiqua" w:cs="Book Antiqua"/>
          <w:color w:val="000000"/>
        </w:rPr>
        <w:t xml:space="preserve"> 0.527, 95%CI</w:t>
      </w:r>
      <w:r w:rsidR="008F1595" w:rsidRPr="00C76E19">
        <w:rPr>
          <w:rFonts w:ascii="Book Antiqua" w:eastAsia="Book Antiqua" w:hAnsi="Book Antiqua" w:cs="Book Antiqua"/>
          <w:color w:val="000000"/>
        </w:rPr>
        <w:t>:</w:t>
      </w:r>
      <w:r w:rsidRPr="00C76E19">
        <w:rPr>
          <w:rFonts w:ascii="Book Antiqua" w:eastAsia="Book Antiqua" w:hAnsi="Book Antiqua" w:cs="Book Antiqua"/>
          <w:color w:val="000000"/>
        </w:rPr>
        <w:t xml:space="preserve"> 0.323</w:t>
      </w:r>
      <w:r w:rsidR="008F1595" w:rsidRPr="00C76E19">
        <w:rPr>
          <w:rFonts w:ascii="Book Antiqua" w:eastAsia="Book Antiqua" w:hAnsi="Book Antiqua" w:cs="Book Antiqua"/>
          <w:color w:val="000000"/>
        </w:rPr>
        <w:t xml:space="preserve"> to </w:t>
      </w:r>
      <w:r w:rsidRPr="00C76E19">
        <w:rPr>
          <w:rFonts w:ascii="Book Antiqua" w:eastAsia="Book Antiqua" w:hAnsi="Book Antiqua" w:cs="Book Antiqua"/>
          <w:color w:val="000000"/>
        </w:rPr>
        <w:t xml:space="preserve">0.858, </w:t>
      </w:r>
      <w:r w:rsidRPr="00C76E19">
        <w:rPr>
          <w:rFonts w:ascii="Book Antiqua" w:eastAsia="Book Antiqua" w:hAnsi="Book Antiqua" w:cs="Book Antiqua"/>
          <w:i/>
          <w:iCs/>
          <w:color w:val="000000"/>
        </w:rPr>
        <w:t>P</w:t>
      </w:r>
      <w:r w:rsidRPr="00C76E19">
        <w:rPr>
          <w:rFonts w:ascii="Book Antiqua" w:eastAsia="Book Antiqua" w:hAnsi="Book Antiqua" w:cs="Book Antiqua"/>
          <w:color w:val="000000"/>
        </w:rPr>
        <w:t xml:space="preserve"> = 0.010), and higher utility value for quality of life (coefficient</w:t>
      </w:r>
      <w:r w:rsidR="008F1595" w:rsidRPr="00C76E19">
        <w:rPr>
          <w:rFonts w:ascii="Book Antiqua" w:eastAsia="Book Antiqua" w:hAnsi="Book Antiqua" w:cs="Book Antiqua"/>
          <w:color w:val="000000"/>
        </w:rPr>
        <w:t>:</w:t>
      </w:r>
      <w:r w:rsidRPr="00C76E19">
        <w:rPr>
          <w:rFonts w:ascii="Book Antiqua" w:eastAsia="Book Antiqua" w:hAnsi="Book Antiqua" w:cs="Book Antiqua"/>
          <w:color w:val="000000"/>
        </w:rPr>
        <w:t xml:space="preserve"> 0.822, 95%CI</w:t>
      </w:r>
      <w:r w:rsidR="008F1595" w:rsidRPr="00C76E19">
        <w:rPr>
          <w:rFonts w:ascii="Book Antiqua" w:eastAsia="Book Antiqua" w:hAnsi="Book Antiqua" w:cs="Book Antiqua"/>
          <w:color w:val="000000"/>
        </w:rPr>
        <w:t>:</w:t>
      </w:r>
      <w:r w:rsidRPr="00C76E19">
        <w:rPr>
          <w:rFonts w:ascii="Book Antiqua" w:eastAsia="Book Antiqua" w:hAnsi="Book Antiqua" w:cs="Book Antiqua"/>
          <w:color w:val="000000"/>
        </w:rPr>
        <w:t xml:space="preserve"> 0.218</w:t>
      </w:r>
      <w:r w:rsidR="008F1595" w:rsidRPr="00C76E19">
        <w:rPr>
          <w:rFonts w:ascii="Book Antiqua" w:eastAsia="Book Antiqua" w:hAnsi="Book Antiqua" w:cs="Book Antiqua"/>
          <w:color w:val="000000"/>
        </w:rPr>
        <w:t xml:space="preserve"> to </w:t>
      </w:r>
      <w:r w:rsidRPr="00C76E19">
        <w:rPr>
          <w:rFonts w:ascii="Book Antiqua" w:eastAsia="Book Antiqua" w:hAnsi="Book Antiqua" w:cs="Book Antiqua"/>
          <w:color w:val="000000"/>
        </w:rPr>
        <w:t xml:space="preserve">1.426, </w:t>
      </w:r>
      <w:r w:rsidRPr="00C76E19">
        <w:rPr>
          <w:rFonts w:ascii="Book Antiqua" w:eastAsia="Book Antiqua" w:hAnsi="Book Antiqua" w:cs="Book Antiqua"/>
          <w:i/>
          <w:iCs/>
          <w:color w:val="000000"/>
        </w:rPr>
        <w:t>P</w:t>
      </w:r>
      <w:r w:rsidRPr="00C76E19">
        <w:rPr>
          <w:rFonts w:ascii="Book Antiqua" w:eastAsia="Book Antiqua" w:hAnsi="Book Antiqua" w:cs="Book Antiqua"/>
          <w:color w:val="000000"/>
        </w:rPr>
        <w:t xml:space="preserve"> = 0.008) than CMT; IMT was associated with significantly lower outpatient clinic visits (coefficient</w:t>
      </w:r>
      <w:r w:rsidR="008F1595" w:rsidRPr="00C76E19">
        <w:rPr>
          <w:rFonts w:ascii="Book Antiqua" w:eastAsia="Book Antiqua" w:hAnsi="Book Antiqua" w:cs="Book Antiqua"/>
          <w:color w:val="000000"/>
        </w:rPr>
        <w:t>:</w:t>
      </w:r>
      <w:r w:rsidRPr="00C76E19">
        <w:rPr>
          <w:rFonts w:ascii="Book Antiqua" w:eastAsia="Book Antiqua" w:hAnsi="Book Antiqua" w:cs="Book Antiqua"/>
          <w:color w:val="000000"/>
        </w:rPr>
        <w:t xml:space="preserve"> -0.564, 95%CI</w:t>
      </w:r>
      <w:r w:rsidR="008F1595" w:rsidRPr="00C76E19">
        <w:rPr>
          <w:rFonts w:ascii="Book Antiqua" w:eastAsia="Book Antiqua" w:hAnsi="Book Antiqua" w:cs="Book Antiqua"/>
          <w:color w:val="000000"/>
        </w:rPr>
        <w:t>:</w:t>
      </w:r>
      <w:r w:rsidRPr="00C76E19">
        <w:rPr>
          <w:rFonts w:ascii="Book Antiqua" w:eastAsia="Book Antiqua" w:hAnsi="Book Antiqua" w:cs="Book Antiqua"/>
          <w:color w:val="000000"/>
        </w:rPr>
        <w:t xml:space="preserve"> -0.703 to -0.425) and shorter hospital stay length related to active disease management (coefficient</w:t>
      </w:r>
      <w:r w:rsidR="008F1595" w:rsidRPr="00C76E19">
        <w:rPr>
          <w:rFonts w:ascii="Book Antiqua" w:eastAsia="Book Antiqua" w:hAnsi="Book Antiqua" w:cs="Book Antiqua"/>
          <w:color w:val="000000"/>
        </w:rPr>
        <w:t>:</w:t>
      </w:r>
      <w:r w:rsidRPr="00C76E19">
        <w:rPr>
          <w:rFonts w:ascii="Book Antiqua" w:eastAsia="Book Antiqua" w:hAnsi="Book Antiqua" w:cs="Book Antiqua"/>
          <w:color w:val="000000"/>
        </w:rPr>
        <w:t xml:space="preserve"> -4.725, 95%CI</w:t>
      </w:r>
      <w:r w:rsidR="008F1595" w:rsidRPr="00C76E19">
        <w:rPr>
          <w:rFonts w:ascii="Book Antiqua" w:eastAsia="Book Antiqua" w:hAnsi="Book Antiqua" w:cs="Book Antiqua"/>
          <w:color w:val="000000"/>
        </w:rPr>
        <w:t>:</w:t>
      </w:r>
      <w:r w:rsidRPr="00C76E19">
        <w:rPr>
          <w:rFonts w:ascii="Book Antiqua" w:eastAsia="Book Antiqua" w:hAnsi="Book Antiqua" w:cs="Book Antiqua"/>
          <w:color w:val="000000"/>
        </w:rPr>
        <w:t xml:space="preserve"> -7.112 to -2.337, </w:t>
      </w:r>
      <w:r w:rsidR="008F1595" w:rsidRPr="00C76E19">
        <w:rPr>
          <w:rFonts w:ascii="Book Antiqua" w:eastAsia="Book Antiqua" w:hAnsi="Book Antiqua" w:cs="Book Antiqua"/>
          <w:i/>
          <w:iCs/>
          <w:color w:val="000000"/>
        </w:rPr>
        <w:t>P</w:t>
      </w:r>
      <w:r w:rsidR="008F1595" w:rsidRPr="00C76E19">
        <w:rPr>
          <w:rFonts w:ascii="Book Antiqua" w:eastAsia="Book Antiqua" w:hAnsi="Book Antiqua" w:cs="Book Antiqua"/>
          <w:color w:val="000000"/>
        </w:rPr>
        <w:t xml:space="preserve"> </w:t>
      </w:r>
      <w:r w:rsidRPr="00C76E19">
        <w:rPr>
          <w:rFonts w:ascii="Book Antiqua" w:eastAsia="Book Antiqua" w:hAnsi="Book Antiqua" w:cs="Book Antiqua"/>
          <w:color w:val="000000"/>
        </w:rPr>
        <w:t>&lt;</w:t>
      </w:r>
      <w:r w:rsidR="008F1595" w:rsidRPr="00C76E19">
        <w:rPr>
          <w:rFonts w:ascii="Book Antiqua" w:eastAsia="Book Antiqua" w:hAnsi="Book Antiqua" w:cs="Book Antiqua"/>
          <w:color w:val="000000"/>
        </w:rPr>
        <w:t xml:space="preserve"> </w:t>
      </w:r>
      <w:r w:rsidRPr="00C76E19">
        <w:rPr>
          <w:rFonts w:ascii="Book Antiqua" w:eastAsia="Book Antiqua" w:hAnsi="Book Antiqua" w:cs="Book Antiqua"/>
          <w:color w:val="000000"/>
        </w:rPr>
        <w:t>0.001) than CMT; and IMT was associated with significantly lower outpatient costs (coefficient</w:t>
      </w:r>
      <w:r w:rsidR="008F1595" w:rsidRPr="00C76E19">
        <w:rPr>
          <w:rFonts w:ascii="Book Antiqua" w:eastAsia="Book Antiqua" w:hAnsi="Book Antiqua" w:cs="Book Antiqua"/>
          <w:color w:val="000000"/>
        </w:rPr>
        <w:t>:</w:t>
      </w:r>
      <w:r w:rsidRPr="00C76E19">
        <w:rPr>
          <w:rFonts w:ascii="Book Antiqua" w:eastAsia="Book Antiqua" w:hAnsi="Book Antiqua" w:cs="Book Antiqua"/>
          <w:color w:val="000000"/>
        </w:rPr>
        <w:t xml:space="preserve"> -1.248, 95%CI</w:t>
      </w:r>
      <w:r w:rsidR="008F1595" w:rsidRPr="00C76E19">
        <w:rPr>
          <w:rFonts w:ascii="Book Antiqua" w:eastAsia="Book Antiqua" w:hAnsi="Book Antiqua" w:cs="Book Antiqua"/>
          <w:color w:val="000000"/>
        </w:rPr>
        <w:t>:</w:t>
      </w:r>
      <w:r w:rsidRPr="00C76E19">
        <w:rPr>
          <w:rFonts w:ascii="Book Antiqua" w:eastAsia="Book Antiqua" w:hAnsi="Book Antiqua" w:cs="Book Antiqua"/>
          <w:color w:val="000000"/>
        </w:rPr>
        <w:t xml:space="preserve"> -1.651 to -0.850) and total medical costs related to active disease management (coefficient</w:t>
      </w:r>
      <w:r w:rsidR="008F1595" w:rsidRPr="00C76E19">
        <w:rPr>
          <w:rFonts w:ascii="Book Antiqua" w:eastAsia="Book Antiqua" w:hAnsi="Book Antiqua" w:cs="Book Antiqua"/>
          <w:color w:val="000000"/>
        </w:rPr>
        <w:t>:</w:t>
      </w:r>
      <w:r w:rsidRPr="00C76E19">
        <w:rPr>
          <w:rFonts w:ascii="Book Antiqua" w:eastAsia="Book Antiqua" w:hAnsi="Book Antiqua" w:cs="Book Antiqua"/>
          <w:color w:val="000000"/>
        </w:rPr>
        <w:t xml:space="preserve"> -0.378, 95%CI</w:t>
      </w:r>
      <w:r w:rsidR="008F1595" w:rsidRPr="00C76E19">
        <w:rPr>
          <w:rFonts w:ascii="Book Antiqua" w:eastAsia="Book Antiqua" w:hAnsi="Book Antiqua" w:cs="Book Antiqua"/>
          <w:color w:val="000000"/>
        </w:rPr>
        <w:t>:</w:t>
      </w:r>
      <w:r w:rsidRPr="00C76E19">
        <w:rPr>
          <w:rFonts w:ascii="Book Antiqua" w:eastAsia="Book Antiqua" w:hAnsi="Book Antiqua" w:cs="Book Antiqua"/>
          <w:color w:val="000000"/>
        </w:rPr>
        <w:t xml:space="preserve"> -0.659 to -0.101, </w:t>
      </w:r>
      <w:r w:rsidRPr="00C76E19">
        <w:rPr>
          <w:rFonts w:ascii="Book Antiqua" w:eastAsia="Book Antiqua" w:hAnsi="Book Antiqua" w:cs="Book Antiqua"/>
          <w:i/>
          <w:iCs/>
          <w:color w:val="000000"/>
        </w:rPr>
        <w:t>P</w:t>
      </w:r>
      <w:r w:rsidRPr="00C76E19">
        <w:rPr>
          <w:rFonts w:ascii="Book Antiqua" w:eastAsia="Book Antiqua" w:hAnsi="Book Antiqua" w:cs="Book Antiqua"/>
          <w:color w:val="000000"/>
        </w:rPr>
        <w:t xml:space="preserve"> = 0.008) than CMT. The results of multivariate regression analyses are summarized by clinical outcomes (Table 3), health resources utilizations (Table 4), and medical costs (Table 5). </w:t>
      </w:r>
    </w:p>
    <w:p w14:paraId="77374013" w14:textId="77777777" w:rsidR="00A77B3E" w:rsidRPr="00C76E19" w:rsidRDefault="00A77B3E" w:rsidP="00A23AA9">
      <w:pPr>
        <w:spacing w:line="360" w:lineRule="auto"/>
        <w:jc w:val="both"/>
      </w:pPr>
    </w:p>
    <w:p w14:paraId="1DA20E8B" w14:textId="77777777" w:rsidR="00A77B3E" w:rsidRPr="00C76E19" w:rsidRDefault="00CA1127" w:rsidP="00A23AA9">
      <w:pPr>
        <w:spacing w:line="360" w:lineRule="auto"/>
        <w:jc w:val="both"/>
        <w:rPr>
          <w:b/>
          <w:bCs/>
        </w:rPr>
      </w:pPr>
      <w:r w:rsidRPr="00C76E19">
        <w:rPr>
          <w:rFonts w:ascii="Book Antiqua" w:eastAsia="Book Antiqua" w:hAnsi="Book Antiqua" w:cs="Book Antiqua"/>
          <w:b/>
          <w:bCs/>
          <w:i/>
          <w:iCs/>
          <w:color w:val="000000"/>
        </w:rPr>
        <w:t>Cost-effectiveness of IMT relative to CMT </w:t>
      </w:r>
    </w:p>
    <w:p w14:paraId="6D14A4DD" w14:textId="5080A1A0" w:rsidR="00A77B3E" w:rsidRPr="00C76E19" w:rsidRDefault="00CA1127" w:rsidP="00A23AA9">
      <w:pPr>
        <w:spacing w:line="360" w:lineRule="auto"/>
        <w:jc w:val="both"/>
      </w:pPr>
      <w:r w:rsidRPr="00C76E19">
        <w:rPr>
          <w:rFonts w:ascii="Book Antiqua" w:eastAsia="Book Antiqua" w:hAnsi="Book Antiqua" w:cs="Book Antiqua"/>
          <w:color w:val="000000"/>
        </w:rPr>
        <w:t xml:space="preserve">Based on the model variables that are summarized in Table 6, the comparisons of the point estimates of the model outputs associated with two model scenarios in the base case analysis without discounting the measured outcomes estimated that the IMT model scenario was associated with the increase of overall survival by 2.871 years (43.815 years </w:t>
      </w:r>
      <w:r w:rsidRPr="00C76E19">
        <w:rPr>
          <w:rFonts w:ascii="Book Antiqua" w:eastAsia="Book Antiqua" w:hAnsi="Book Antiqua" w:cs="Book Antiqua"/>
          <w:i/>
          <w:iCs/>
          <w:color w:val="000000"/>
        </w:rPr>
        <w:t>vs</w:t>
      </w:r>
      <w:r w:rsidRPr="00C76E19">
        <w:rPr>
          <w:rFonts w:ascii="Book Antiqua" w:eastAsia="Book Antiqua" w:hAnsi="Book Antiqua" w:cs="Book Antiqua"/>
          <w:color w:val="000000"/>
        </w:rPr>
        <w:t xml:space="preserve"> 40.944 years), QALY by 2.476 years (33.365 QALY </w:t>
      </w:r>
      <w:r w:rsidRPr="00C76E19">
        <w:rPr>
          <w:rFonts w:ascii="Book Antiqua" w:eastAsia="Book Antiqua" w:hAnsi="Book Antiqua" w:cs="Book Antiqua"/>
          <w:i/>
          <w:iCs/>
          <w:color w:val="000000"/>
        </w:rPr>
        <w:t>vs</w:t>
      </w:r>
      <w:r w:rsidRPr="00C76E19">
        <w:rPr>
          <w:rFonts w:ascii="Book Antiqua" w:eastAsia="Book Antiqua" w:hAnsi="Book Antiqua" w:cs="Book Antiqua"/>
          <w:color w:val="000000"/>
        </w:rPr>
        <w:t xml:space="preserve"> 30.889 QALY), and reimbursed medical costs by ¥96201 (¥ 469958</w:t>
      </w:r>
      <w:r w:rsidR="00A23AA9">
        <w:rPr>
          <w:rFonts w:ascii="Book Antiqua" w:eastAsia="Book Antiqua" w:hAnsi="Book Antiqua" w:cs="Book Antiqua"/>
          <w:color w:val="000000"/>
        </w:rPr>
        <w:t xml:space="preserve"> </w:t>
      </w:r>
      <w:r w:rsidRPr="00A23AA9">
        <w:rPr>
          <w:rFonts w:ascii="Book Antiqua" w:eastAsia="Book Antiqua" w:hAnsi="Book Antiqua" w:cs="Book Antiqua"/>
          <w:i/>
          <w:iCs/>
          <w:color w:val="000000"/>
        </w:rPr>
        <w:t>vs</w:t>
      </w:r>
      <w:r w:rsidRPr="00A23AA9">
        <w:rPr>
          <w:rFonts w:ascii="Book Antiqua" w:eastAsia="Book Antiqua" w:hAnsi="Book Antiqua" w:cs="Book Antiqua"/>
          <w:color w:val="000000"/>
        </w:rPr>
        <w:t xml:space="preserve"> ¥373757). The cumulative CD-related surgery risk associated with the IMT model scenario was reduced by 39</w:t>
      </w:r>
      <w:r w:rsidRPr="00C76E19">
        <w:rPr>
          <w:rFonts w:ascii="Book Antiqua" w:eastAsia="Book Antiqua" w:hAnsi="Book Antiqua" w:cs="Book Antiqua"/>
          <w:color w:val="000000"/>
        </w:rPr>
        <w:t>.7%. The discounted point estimates of QALYs and reimbursed medical costs associated with the two model scenarios in the base-case analysis estimated that the ICER associated with the IMT scenario relative to the CMT scenario was ¥55260, 85.5% of the 2018 Chinese GDPPC.</w:t>
      </w:r>
      <w:r w:rsidR="00A23AA9">
        <w:rPr>
          <w:rFonts w:ascii="Book Antiqua" w:eastAsia="Book Antiqua" w:hAnsi="Book Antiqua" w:cs="Book Antiqua"/>
          <w:color w:val="000000"/>
        </w:rPr>
        <w:t xml:space="preserve"> </w:t>
      </w:r>
      <w:r w:rsidRPr="00A23AA9">
        <w:rPr>
          <w:rFonts w:ascii="Book Antiqua" w:eastAsia="Book Antiqua" w:hAnsi="Book Antiqua" w:cs="Book Antiqua"/>
          <w:color w:val="000000"/>
        </w:rPr>
        <w:t>The results of the base case analysis before and after discounting are summarized in </w:t>
      </w:r>
      <w:r w:rsidRPr="00C76E19">
        <w:rPr>
          <w:rFonts w:ascii="Book Antiqua" w:eastAsia="Book Antiqua" w:hAnsi="Book Antiqua" w:cs="Book Antiqua"/>
          <w:color w:val="000000"/>
        </w:rPr>
        <w:t>Table 7. </w:t>
      </w:r>
    </w:p>
    <w:p w14:paraId="0EBA7879" w14:textId="3BFBEBAB" w:rsidR="00A77B3E" w:rsidRPr="00C76E19" w:rsidRDefault="00CA1127" w:rsidP="00A23AA9">
      <w:pPr>
        <w:spacing w:line="360" w:lineRule="auto"/>
        <w:ind w:firstLineChars="100" w:firstLine="240"/>
        <w:jc w:val="both"/>
      </w:pPr>
      <w:r w:rsidRPr="00C76E19">
        <w:rPr>
          <w:rFonts w:ascii="Book Antiqua" w:eastAsia="Book Antiqua" w:hAnsi="Book Antiqua" w:cs="Book Antiqua"/>
          <w:color w:val="000000"/>
        </w:rPr>
        <w:t xml:space="preserve">One-way sensitivity analyses indicated that the cost-effectiveness of IMT could be more attractive, indicated by the reduction of ICER over ¥20000, as shown by increasing the following model variables: </w:t>
      </w:r>
      <w:r w:rsidR="00E8047E" w:rsidRPr="00C76E19">
        <w:rPr>
          <w:rFonts w:ascii="Book Antiqua" w:eastAsia="Book Antiqua" w:hAnsi="Book Antiqua" w:cs="Book Antiqua"/>
          <w:color w:val="000000"/>
        </w:rPr>
        <w:t>Q</w:t>
      </w:r>
      <w:r w:rsidRPr="00C76E19">
        <w:rPr>
          <w:rFonts w:ascii="Book Antiqua" w:eastAsia="Book Antiqua" w:hAnsi="Book Antiqua" w:cs="Book Antiqua"/>
          <w:color w:val="000000"/>
        </w:rPr>
        <w:t xml:space="preserve">uality of life associated with disease remission, relapse risk associated with CMT, treatment discontinuation risk associated with IMT, relapse risk after treatment discontinuation, and hazard ratio of mortality associated with active disease relative to the general population. The cost-effectiveness of IMT was less attractive, indicated by the increase of ICER over ¥20000, when increasing the following model variables: </w:t>
      </w:r>
      <w:r w:rsidR="00E8047E" w:rsidRPr="00C76E19">
        <w:rPr>
          <w:rFonts w:ascii="Book Antiqua" w:eastAsia="Book Antiqua" w:hAnsi="Book Antiqua" w:cs="Book Antiqua"/>
          <w:color w:val="000000"/>
        </w:rPr>
        <w:t>T</w:t>
      </w:r>
      <w:r w:rsidRPr="00C76E19">
        <w:rPr>
          <w:rFonts w:ascii="Book Antiqua" w:eastAsia="Book Antiqua" w:hAnsi="Book Antiqua" w:cs="Book Antiqua"/>
          <w:color w:val="000000"/>
        </w:rPr>
        <w:t>reatment response of induction therapy with enteral nutrition, steroids plus 5-aminosalicylates, and steroids alone, distribution of induction therapy using steroids, disease relapse risk after the discontinuation of IMT, quality of life associated with active disease, and unit price of infliximab. The impacts of these key model variables on the cost-effectiveness of IMT relative to CMT are illustrated in Figure 2. </w:t>
      </w:r>
    </w:p>
    <w:p w14:paraId="4BB2AFB6" w14:textId="2B7B462C" w:rsidR="00A77B3E" w:rsidRPr="00C76E19" w:rsidRDefault="00CA1127" w:rsidP="00A23AA9">
      <w:pPr>
        <w:spacing w:line="360" w:lineRule="auto"/>
        <w:ind w:firstLineChars="100" w:firstLine="240"/>
        <w:jc w:val="both"/>
      </w:pPr>
      <w:r w:rsidRPr="00C76E19">
        <w:rPr>
          <w:rFonts w:ascii="Book Antiqua" w:eastAsia="Book Antiqua" w:hAnsi="Book Antiqua" w:cs="Book Antiqua"/>
          <w:color w:val="000000"/>
        </w:rPr>
        <w:t>The 10000 generated ICER values associated with IMT from the Monte Carlo simulations were ranked to identify the median ICER (¥68512) and its 95% credible interval (¥-238869 to ¥601293). The cost-effectiveness proportions of IMT relative to CMT under the WTP of one, two, and three times of the 2018 Chinese GDPPC were 47.6%, 74.7%, and 86.4%, respectively. </w:t>
      </w:r>
    </w:p>
    <w:p w14:paraId="210BBC53" w14:textId="77777777" w:rsidR="00A77B3E" w:rsidRPr="00C76E19" w:rsidRDefault="00A77B3E" w:rsidP="00A23AA9">
      <w:pPr>
        <w:spacing w:line="360" w:lineRule="auto"/>
        <w:jc w:val="both"/>
      </w:pPr>
    </w:p>
    <w:p w14:paraId="5A448282" w14:textId="77777777" w:rsidR="00A77B3E" w:rsidRPr="00C76E19" w:rsidRDefault="00CA1127" w:rsidP="00A23AA9">
      <w:pPr>
        <w:spacing w:line="360" w:lineRule="auto"/>
        <w:jc w:val="both"/>
      </w:pPr>
      <w:r w:rsidRPr="00C76E19">
        <w:rPr>
          <w:rFonts w:ascii="Book Antiqua" w:eastAsia="Book Antiqua" w:hAnsi="Book Antiqua" w:cs="Book Antiqua"/>
          <w:b/>
          <w:caps/>
          <w:color w:val="000000"/>
          <w:u w:val="single"/>
        </w:rPr>
        <w:t>DISCUSSION</w:t>
      </w:r>
    </w:p>
    <w:p w14:paraId="114FA493" w14:textId="3DAC9DAC" w:rsidR="00A77B3E" w:rsidRPr="00C76E19" w:rsidRDefault="00CA1127" w:rsidP="00A23AA9">
      <w:pPr>
        <w:spacing w:line="360" w:lineRule="auto"/>
        <w:jc w:val="both"/>
      </w:pPr>
      <w:r w:rsidRPr="00C76E19">
        <w:rPr>
          <w:rFonts w:ascii="Book Antiqua" w:eastAsia="Book Antiqua" w:hAnsi="Book Antiqua" w:cs="Book Antiqua"/>
          <w:color w:val="000000"/>
        </w:rPr>
        <w:t>This study observed that IMT was highly effective in a real-world setting by achieving a 94.6% disease remission rate. This is much higher than the reported disease remission rate of infliximab in randomized trials</w:t>
      </w:r>
      <w:r w:rsidRPr="00AE2A93">
        <w:rPr>
          <w:rFonts w:ascii="Book Antiqua" w:eastAsia="Book Antiqua" w:hAnsi="Book Antiqua" w:cs="Book Antiqua"/>
          <w:color w:val="000000"/>
          <w:vertAlign w:val="superscript"/>
        </w:rPr>
        <w:t>[9,32,33]</w:t>
      </w:r>
      <w:r w:rsidRPr="00C76E19">
        <w:rPr>
          <w:rFonts w:ascii="Book Antiqua" w:eastAsia="Book Antiqua" w:hAnsi="Book Antiqua" w:cs="Book Antiqua"/>
          <w:color w:val="000000"/>
        </w:rPr>
        <w:t xml:space="preserve">, which reported about 60% disease remission rate associated with </w:t>
      </w:r>
      <w:r w:rsidR="00092A83" w:rsidRPr="00C76E19">
        <w:rPr>
          <w:rFonts w:ascii="Book Antiqua" w:eastAsia="Book Antiqua" w:hAnsi="Book Antiqua" w:cs="Book Antiqua"/>
          <w:color w:val="000000"/>
        </w:rPr>
        <w:t>1</w:t>
      </w:r>
      <w:r w:rsidRPr="00C76E19">
        <w:rPr>
          <w:rFonts w:ascii="Book Antiqua" w:eastAsia="Book Antiqua" w:hAnsi="Book Antiqua" w:cs="Book Antiqua"/>
          <w:color w:val="000000"/>
        </w:rPr>
        <w:t>-year infliximab monotherapy in MS-CD patients. Because the IMT group consisted of approximately 60% of patients receiving a combination of infliximab and immunosuppressants or enteral nutrition in the real-world study, the MT containing infliximab and traditional treatments could be more effective in MS-CD patients. The superior treatment effects associated with the combination of infliximab and immunosuppressants for MS-CD ha</w:t>
      </w:r>
      <w:r w:rsidR="00092A83" w:rsidRPr="00C76E19">
        <w:rPr>
          <w:rFonts w:ascii="Book Antiqua" w:eastAsia="Book Antiqua" w:hAnsi="Book Antiqua" w:cs="Book Antiqua"/>
          <w:color w:val="000000"/>
        </w:rPr>
        <w:t>ve</w:t>
      </w:r>
      <w:r w:rsidRPr="00C76E19">
        <w:rPr>
          <w:rFonts w:ascii="Book Antiqua" w:eastAsia="Book Antiqua" w:hAnsi="Book Antiqua" w:cs="Book Antiqua"/>
          <w:color w:val="000000"/>
        </w:rPr>
        <w:t xml:space="preserve"> been proven in randomized clinical trials. However, the reported disease remission rate in these randomized trials was not as high as what was observed in this study. Because the treatment efficacies of infliximab were mainly assessed in randomized clinical trials conducted in western countries, the observed treatment effects of infliximab in this study might suggest that patient ethnicity might play a role in the treatment effects of infliximab. This speculation was supported by another retrospective study that observed nearly the same disease remission rate (97.1%) associated with </w:t>
      </w:r>
      <w:r w:rsidR="00092A83" w:rsidRPr="00C76E19">
        <w:rPr>
          <w:rFonts w:ascii="Book Antiqua" w:eastAsia="Book Antiqua" w:hAnsi="Book Antiqua" w:cs="Book Antiqua"/>
          <w:color w:val="000000"/>
        </w:rPr>
        <w:t>1</w:t>
      </w:r>
      <w:r w:rsidRPr="00C76E19">
        <w:rPr>
          <w:rFonts w:ascii="Book Antiqua" w:eastAsia="Book Antiqua" w:hAnsi="Book Antiqua" w:cs="Book Antiqua"/>
          <w:color w:val="000000"/>
        </w:rPr>
        <w:t>-year treatment with infliximab for MS-CD in Korean patients</w:t>
      </w:r>
      <w:r w:rsidRPr="00AE2A93">
        <w:rPr>
          <w:rFonts w:ascii="Book Antiqua" w:eastAsia="Book Antiqua" w:hAnsi="Book Antiqua" w:cs="Book Antiqua"/>
          <w:color w:val="000000"/>
          <w:vertAlign w:val="superscript"/>
        </w:rPr>
        <w:t>[34]</w:t>
      </w:r>
      <w:r w:rsidRPr="00C76E19">
        <w:rPr>
          <w:rFonts w:ascii="Book Antiqua" w:eastAsia="Book Antiqua" w:hAnsi="Book Antiqua" w:cs="Book Antiqua"/>
          <w:color w:val="000000"/>
        </w:rPr>
        <w:t>. Additionally, male gender was found to predict better treatment response of infliximab</w:t>
      </w:r>
      <w:r w:rsidRPr="00AE2A93">
        <w:rPr>
          <w:rFonts w:ascii="Book Antiqua" w:eastAsia="Book Antiqua" w:hAnsi="Book Antiqua" w:cs="Book Antiqua"/>
          <w:color w:val="000000"/>
          <w:vertAlign w:val="superscript"/>
        </w:rPr>
        <w:t>[35]</w:t>
      </w:r>
      <w:r w:rsidRPr="00C76E19">
        <w:rPr>
          <w:rFonts w:ascii="Book Antiqua" w:eastAsia="Book Antiqua" w:hAnsi="Book Antiqua" w:cs="Book Antiqua"/>
          <w:color w:val="000000"/>
        </w:rPr>
        <w:t>, and the high male proportion in the patient cohort in this study could further increase the disease remission rate. Thus, IMT could gain more clinical benefits and have more attractive cost-effectiveness in Chinese MS-CD patients. </w:t>
      </w:r>
    </w:p>
    <w:p w14:paraId="5D8B24D7" w14:textId="3F31B946" w:rsidR="00A77B3E" w:rsidRPr="00C76E19" w:rsidRDefault="00CA1127" w:rsidP="00A23AA9">
      <w:pPr>
        <w:spacing w:line="360" w:lineRule="auto"/>
        <w:ind w:firstLineChars="100" w:firstLine="240"/>
        <w:jc w:val="both"/>
      </w:pPr>
      <w:r w:rsidRPr="00C76E19">
        <w:rPr>
          <w:rFonts w:ascii="Book Antiqua" w:eastAsia="Book Antiqua" w:hAnsi="Book Antiqua" w:cs="Book Antiqua"/>
          <w:color w:val="000000"/>
        </w:rPr>
        <w:t xml:space="preserve">Similar to previous studies reporting reduced health resource utilization associated with infliximab in CD patients, this study confirmed that the high disease remission rate associated with IMT reduced health resources utilization related to active disease management during the </w:t>
      </w:r>
      <w:r w:rsidR="00092A83" w:rsidRPr="00C76E19">
        <w:rPr>
          <w:rFonts w:ascii="Book Antiqua" w:eastAsia="Book Antiqua" w:hAnsi="Book Antiqua" w:cs="Book Antiqua"/>
          <w:color w:val="000000"/>
        </w:rPr>
        <w:t>1</w:t>
      </w:r>
      <w:r w:rsidRPr="00C76E19">
        <w:rPr>
          <w:rFonts w:ascii="Book Antiqua" w:eastAsia="Book Antiqua" w:hAnsi="Book Antiqua" w:cs="Book Antiqua"/>
          <w:color w:val="000000"/>
        </w:rPr>
        <w:t xml:space="preserve">-year observation period. According to the multivariate regression analysis, IMT significantly reduced outpatient clinic visits and hospital stay days related to active disease management. These impacts on health resources utilization could save direct medical costs and partially offset the high drug acquisition costs of infliximab. However, the drug acquisition costs of infliximab were much higher than conventional medications used for CMT. The overall direct medical costs associated with IMT was about </w:t>
      </w:r>
      <w:r w:rsidR="00092A83" w:rsidRPr="00C76E19">
        <w:rPr>
          <w:rFonts w:ascii="Book Antiqua" w:eastAsia="Book Antiqua" w:hAnsi="Book Antiqua" w:cs="Book Antiqua"/>
          <w:color w:val="000000"/>
        </w:rPr>
        <w:t>four</w:t>
      </w:r>
      <w:r w:rsidRPr="00C76E19">
        <w:rPr>
          <w:rFonts w:ascii="Book Antiqua" w:eastAsia="Book Antiqua" w:hAnsi="Book Antiqua" w:cs="Book Antiqua"/>
          <w:color w:val="000000"/>
        </w:rPr>
        <w:t xml:space="preserve"> times of the direct medical costs associated with CMT. Because the cost-effectiveness was assessed by ICER, which </w:t>
      </w:r>
      <w:r w:rsidR="00092A83" w:rsidRPr="00C76E19">
        <w:rPr>
          <w:rFonts w:ascii="Book Antiqua" w:eastAsia="Book Antiqua" w:hAnsi="Book Antiqua" w:cs="Book Antiqua"/>
          <w:color w:val="000000"/>
        </w:rPr>
        <w:t>i</w:t>
      </w:r>
      <w:r w:rsidRPr="00C76E19">
        <w:rPr>
          <w:rFonts w:ascii="Book Antiqua" w:eastAsia="Book Antiqua" w:hAnsi="Book Antiqua" w:cs="Book Antiqua"/>
          <w:color w:val="000000"/>
        </w:rPr>
        <w:t>s the ratio between the difference in lifetime medical costs and difference in QALY associated with IMT and CMT, the drug acquisition costs of infliximab were likely to be the main driving factor for the cost-effectiveness of IMT for MS-CD in China.</w:t>
      </w:r>
    </w:p>
    <w:p w14:paraId="35C9657B" w14:textId="415224D0" w:rsidR="00A77B3E" w:rsidRPr="00C76E19" w:rsidRDefault="00CA1127" w:rsidP="00A23AA9">
      <w:pPr>
        <w:spacing w:line="360" w:lineRule="auto"/>
        <w:ind w:firstLineChars="100" w:firstLine="240"/>
        <w:jc w:val="both"/>
      </w:pPr>
      <w:r w:rsidRPr="00C76E19">
        <w:rPr>
          <w:rFonts w:ascii="Book Antiqua" w:eastAsia="Book Antiqua" w:hAnsi="Book Antiqua" w:cs="Book Antiqua"/>
          <w:color w:val="000000"/>
        </w:rPr>
        <w:t>This study constructed a comprehensive decision-analytic model that fully accounted for the induction and maintenance treatment cycles, surgery related to developed complications, and mortality risk related to disease status and surgery to simulate lifetime health outcomes and reimbursed medical costs associated with IMT and CMT. This study leveraged the generated evidence from the real-world study for the estimation of the model variables to maximize the generalizability of the cost-effectiveness analysis. Consistent with real-world studies with long-term follow-ups and the cost-effectiveness analyses assessing IMT for MS-CD in high-income countries</w:t>
      </w:r>
      <w:r w:rsidRPr="00AE2A93">
        <w:rPr>
          <w:rFonts w:ascii="Book Antiqua" w:eastAsia="Book Antiqua" w:hAnsi="Book Antiqua" w:cs="Book Antiqua"/>
          <w:color w:val="000000"/>
          <w:vertAlign w:val="superscript"/>
        </w:rPr>
        <w:t>[36]</w:t>
      </w:r>
      <w:r w:rsidRPr="00C76E19">
        <w:rPr>
          <w:rFonts w:ascii="Book Antiqua" w:eastAsia="Book Antiqua" w:hAnsi="Book Antiqua" w:cs="Book Antiqua"/>
          <w:color w:val="000000"/>
        </w:rPr>
        <w:t>, the constructed decision-analytic model confirmed that IMT could gain more clinical and health benefits than CMT by increasing overall survival, increasing QALY, and reducing the risk of surgery for CD-related complications. Additionally, IMT was only associated with a modest increase of reimbursed medical costs under current Chinese reimbursement policy. In this case, the cost-effectiveness of IMT relative to CMT for MS-CD in China was highly attractive by having the ICER value less than the 2018 Chinese GDPPC. This result also suggested that the reimbursement coverage in Chinese patients was unlikely to substantially reduce the out-of-pocket costs associated with the disease management.</w:t>
      </w:r>
      <w:r w:rsidR="00A23AA9">
        <w:rPr>
          <w:rFonts w:ascii="Book Antiqua" w:eastAsia="Book Antiqua" w:hAnsi="Book Antiqua" w:cs="Book Antiqua"/>
          <w:color w:val="000000"/>
        </w:rPr>
        <w:t xml:space="preserve"> </w:t>
      </w:r>
      <w:r w:rsidRPr="00A23AA9">
        <w:rPr>
          <w:rFonts w:ascii="Book Antiqua" w:eastAsia="Book Antiqua" w:hAnsi="Book Antiqua" w:cs="Book Antiqua"/>
          <w:color w:val="000000"/>
        </w:rPr>
        <w:t>Thus, the affordability of IMT could be still a significant</w:t>
      </w:r>
      <w:r w:rsidRPr="00C76E19">
        <w:rPr>
          <w:rFonts w:ascii="Book Antiqua" w:eastAsia="Book Antiqua" w:hAnsi="Book Antiqua" w:cs="Book Antiqua"/>
          <w:color w:val="000000"/>
        </w:rPr>
        <w:t xml:space="preserve"> barrier for patient access to infliximab even with reimbursement support. Since the cost-effectiveness of IMT was highly sensitive to the price of infliximab, it might be beneficial to use our constructed decision-analytic model to</w:t>
      </w:r>
      <w:r w:rsidR="00092A83" w:rsidRPr="00C76E19">
        <w:rPr>
          <w:rFonts w:ascii="Book Antiqua" w:eastAsia="Book Antiqua" w:hAnsi="Book Antiqua" w:cs="Book Antiqua"/>
          <w:color w:val="000000"/>
        </w:rPr>
        <w:t xml:space="preserve"> identify</w:t>
      </w:r>
      <w:r w:rsidRPr="00C76E19">
        <w:rPr>
          <w:rFonts w:ascii="Book Antiqua" w:eastAsia="Book Antiqua" w:hAnsi="Book Antiqua" w:cs="Book Antiqua"/>
          <w:color w:val="000000"/>
        </w:rPr>
        <w:t xml:space="preserve"> further the appropriate price of infliximab and reimbursement policy to improve patient access to IMT.</w:t>
      </w:r>
    </w:p>
    <w:p w14:paraId="5CEE3D3C" w14:textId="77526F04" w:rsidR="00A77B3E" w:rsidRPr="00C76E19" w:rsidRDefault="00CA1127" w:rsidP="00A23AA9">
      <w:pPr>
        <w:spacing w:line="360" w:lineRule="auto"/>
        <w:ind w:firstLineChars="100" w:firstLine="240"/>
        <w:jc w:val="both"/>
      </w:pPr>
      <w:r w:rsidRPr="00C76E19">
        <w:rPr>
          <w:rFonts w:ascii="Book Antiqua" w:eastAsia="Book Antiqua" w:hAnsi="Book Antiqua" w:cs="Book Antiqua"/>
          <w:color w:val="000000"/>
        </w:rPr>
        <w:t>This study conducted one-way sensitivity analysis and probability sensitivity analysis to assess the impact of uncertainty associated with the model variables on the cost-effectiveness of IMT relative to CMT in MS-CD patients. The one-way sensitivity analyses clearly demonstrated that quality of life, measured as utility in our study, associated with disease remission and active disease, could substantially change the ICER due to their wide 95%CIs. Thus, the validity of the utility associated with disease remission and active disease in our study was critical for the robustness of our cost-effectiveness analysis. Because the estimated utilities for disease remission and active disease were highly comparable as previously reported results of a meta-analysis</w:t>
      </w:r>
      <w:r w:rsidRPr="00AE2A93">
        <w:rPr>
          <w:rFonts w:ascii="Book Antiqua" w:eastAsia="Book Antiqua" w:hAnsi="Book Antiqua" w:cs="Book Antiqua"/>
          <w:color w:val="000000"/>
          <w:vertAlign w:val="superscript"/>
        </w:rPr>
        <w:t>[37]</w:t>
      </w:r>
      <w:r w:rsidRPr="00C76E19">
        <w:rPr>
          <w:rFonts w:ascii="Book Antiqua" w:eastAsia="Book Antiqua" w:hAnsi="Book Antiqua" w:cs="Book Antiqua"/>
          <w:color w:val="000000"/>
        </w:rPr>
        <w:t xml:space="preserve"> based on 17 studies (utility for disease remission: 0.829 </w:t>
      </w:r>
      <w:r w:rsidRPr="00C76E19">
        <w:rPr>
          <w:rFonts w:ascii="Book Antiqua" w:eastAsia="Book Antiqua" w:hAnsi="Book Antiqua" w:cs="Book Antiqua"/>
          <w:i/>
          <w:iCs/>
          <w:color w:val="000000"/>
        </w:rPr>
        <w:t>vs</w:t>
      </w:r>
      <w:r w:rsidRPr="00C76E19">
        <w:rPr>
          <w:rFonts w:ascii="Book Antiqua" w:eastAsia="Book Antiqua" w:hAnsi="Book Antiqua" w:cs="Book Antiqua"/>
          <w:color w:val="000000"/>
        </w:rPr>
        <w:t xml:space="preserve"> 0.840; utility for active disease: 0.743 </w:t>
      </w:r>
      <w:r w:rsidRPr="00C76E19">
        <w:rPr>
          <w:rFonts w:ascii="Book Antiqua" w:eastAsia="Book Antiqua" w:hAnsi="Book Antiqua" w:cs="Book Antiqua"/>
          <w:i/>
          <w:iCs/>
          <w:color w:val="000000"/>
        </w:rPr>
        <w:t>vs</w:t>
      </w:r>
      <w:r w:rsidRPr="00C76E19">
        <w:rPr>
          <w:rFonts w:ascii="Book Antiqua" w:eastAsia="Book Antiqua" w:hAnsi="Book Antiqua" w:cs="Book Antiqua"/>
          <w:color w:val="000000"/>
        </w:rPr>
        <w:t xml:space="preserve"> 0.753), the utility variables in cost-effectiveness analysis should have sufficient external validity. Our PSA took into account overall uncertainty associated with utility variables and also other model variable to estimate the distribution of the cost-effectiveness of IMT relative to CMT under the 10000 Monte Carlo simulations. Our base-case analysis indicated that IMT was highly cost-effective by having an ICER less than 2018 Chinese GDPPC (85.5%). Our PSA estimated that 47.6% of simulated ICERs less than 2018 Chinese GDPPC. Thus, base-case analysis was likely to overestimate the cost-effectiveness of IMT. As the cost-effectiveness proportion associated with IMT relative to CMT was 86.4% under the recommended cost-effectiveness threshold, both base case analysis and PSA supported the attractive cost-effectiveness of IMT in Chinese MS-CD patients. </w:t>
      </w:r>
    </w:p>
    <w:p w14:paraId="0DD8B619" w14:textId="593FC64D" w:rsidR="00A77B3E" w:rsidRPr="00C76E19" w:rsidRDefault="00CA1127" w:rsidP="00A23AA9">
      <w:pPr>
        <w:spacing w:line="360" w:lineRule="auto"/>
        <w:ind w:firstLineChars="100" w:firstLine="240"/>
        <w:jc w:val="both"/>
      </w:pPr>
      <w:r w:rsidRPr="00C76E19">
        <w:rPr>
          <w:rFonts w:ascii="Book Antiqua" w:eastAsia="Book Antiqua" w:hAnsi="Book Antiqua" w:cs="Book Antiqua"/>
          <w:color w:val="000000"/>
        </w:rPr>
        <w:t>Except infliximab, the other launched TNF-alpha inhibitors, such as etanercept and adalimumab, were launched in China as well.</w:t>
      </w:r>
      <w:r w:rsidR="00A23AA9">
        <w:rPr>
          <w:rFonts w:ascii="Book Antiqua" w:eastAsia="Book Antiqua" w:hAnsi="Book Antiqua" w:cs="Book Antiqua"/>
          <w:color w:val="000000"/>
        </w:rPr>
        <w:t xml:space="preserve"> </w:t>
      </w:r>
      <w:r w:rsidRPr="00A23AA9">
        <w:rPr>
          <w:rFonts w:ascii="Book Antiqua" w:eastAsia="Book Antiqua" w:hAnsi="Book Antiqua" w:cs="Book Antiqua"/>
          <w:color w:val="000000"/>
        </w:rPr>
        <w:t>However, the approved indications of etanercept and adalimumab did</w:t>
      </w:r>
      <w:r w:rsidR="00BA7233" w:rsidRPr="00A23AA9">
        <w:rPr>
          <w:rFonts w:ascii="Book Antiqua" w:eastAsia="Book Antiqua" w:hAnsi="Book Antiqua" w:cs="Book Antiqua"/>
          <w:color w:val="000000"/>
        </w:rPr>
        <w:t xml:space="preserve"> not</w:t>
      </w:r>
      <w:r w:rsidRPr="00C76E19">
        <w:rPr>
          <w:rFonts w:ascii="Book Antiqua" w:eastAsia="Book Antiqua" w:hAnsi="Book Antiqua" w:cs="Book Antiqua"/>
          <w:color w:val="000000"/>
        </w:rPr>
        <w:t xml:space="preserve"> include MS-CD when this study was conducted. The other biologics indicated for MS-CD, including vedolizumab and ustekinumab, were recently launched in China. Thus, our cost-effectiveness analysis did</w:t>
      </w:r>
      <w:r w:rsidR="00EA16DB" w:rsidRPr="00C76E19">
        <w:rPr>
          <w:rFonts w:ascii="Book Antiqua" w:eastAsia="Book Antiqua" w:hAnsi="Book Antiqua" w:cs="Book Antiqua"/>
          <w:color w:val="000000"/>
        </w:rPr>
        <w:t xml:space="preserve"> not</w:t>
      </w:r>
      <w:r w:rsidRPr="00C76E19">
        <w:rPr>
          <w:rFonts w:ascii="Book Antiqua" w:eastAsia="Book Antiqua" w:hAnsi="Book Antiqua" w:cs="Book Antiqua"/>
          <w:color w:val="000000"/>
        </w:rPr>
        <w:t xml:space="preserve"> include these biologic treatments. Even though the maintenance therapy with these newly approved biologics were reported to have a higher disease remission rate than IMT, the higher acquisition costs associated with these biologics could make their cost-effectiveness relative to IMT unlikely attractive in MS-CD patients. Thus, the newly approved biologics are mainly recommended in the second-line treatment setting after the failure with infliximab treatment. </w:t>
      </w:r>
    </w:p>
    <w:p w14:paraId="06BAE493" w14:textId="4BA4F636" w:rsidR="00A77B3E" w:rsidRPr="00C76E19" w:rsidRDefault="00CA1127" w:rsidP="00A23AA9">
      <w:pPr>
        <w:spacing w:line="360" w:lineRule="auto"/>
        <w:ind w:firstLineChars="100" w:firstLine="240"/>
        <w:jc w:val="both"/>
      </w:pPr>
      <w:r w:rsidRPr="00C76E19">
        <w:rPr>
          <w:rFonts w:ascii="Book Antiqua" w:eastAsia="Book Antiqua" w:hAnsi="Book Antiqua" w:cs="Book Antiqua"/>
          <w:color w:val="000000"/>
        </w:rPr>
        <w:t xml:space="preserve">Even though the cost-effectiveness analysis based on the real-world data minimized the uncertainty and variability associated with the model variables, the real-world observation period was only </w:t>
      </w:r>
      <w:r w:rsidR="00CA6ECB" w:rsidRPr="00C76E19">
        <w:rPr>
          <w:rFonts w:ascii="Book Antiqua" w:eastAsia="Book Antiqua" w:hAnsi="Book Antiqua" w:cs="Book Antiqua"/>
          <w:color w:val="000000"/>
        </w:rPr>
        <w:t>1</w:t>
      </w:r>
      <w:r w:rsidRPr="00C76E19">
        <w:rPr>
          <w:rFonts w:ascii="Book Antiqua" w:eastAsia="Book Antiqua" w:hAnsi="Book Antiqua" w:cs="Book Antiqua"/>
          <w:color w:val="000000"/>
        </w:rPr>
        <w:t xml:space="preserve"> year, which was not sufficiently long to assess the impact of IMT on long-term clinical outcomes, such as the development of complications, surgeries, and mortality. The predictions of these long-term clinical outcomes in the cost-effectiveness analysis were based on literature evidence. Thus, the generalizability of the cost-effectiveness analysis needs further improvement by future real-world studies assessing these long-term outcomes associated with IMT in Chinese patients with MS-CD. Another main limitation in this study was the small sample size of the study cohort from one tertiary care hospital. The study cohort might not be large enough to </w:t>
      </w:r>
      <w:r w:rsidR="00CA6ECB" w:rsidRPr="00C76E19">
        <w:rPr>
          <w:rFonts w:ascii="Book Antiqua" w:eastAsia="Book Antiqua" w:hAnsi="Book Antiqua" w:cs="Book Antiqua"/>
          <w:color w:val="000000"/>
        </w:rPr>
        <w:t xml:space="preserve">represent </w:t>
      </w:r>
      <w:r w:rsidRPr="00C76E19">
        <w:rPr>
          <w:rFonts w:ascii="Book Antiqua" w:eastAsia="Book Antiqua" w:hAnsi="Book Antiqua" w:cs="Book Antiqua"/>
          <w:color w:val="000000"/>
        </w:rPr>
        <w:t>fully the MS-CD patients across China. As the incidence rate of CD in China was as low as 0.46/1000000</w:t>
      </w:r>
      <w:r w:rsidRPr="00AE2A93">
        <w:rPr>
          <w:rFonts w:ascii="Book Antiqua" w:eastAsia="Book Antiqua" w:hAnsi="Book Antiqua" w:cs="Book Antiqua"/>
          <w:color w:val="000000"/>
          <w:vertAlign w:val="superscript"/>
        </w:rPr>
        <w:t>[38]</w:t>
      </w:r>
      <w:r w:rsidRPr="00C76E19">
        <w:rPr>
          <w:rFonts w:ascii="Book Antiqua" w:eastAsia="Book Antiqua" w:hAnsi="Book Antiqua" w:cs="Book Antiqua"/>
          <w:color w:val="000000"/>
        </w:rPr>
        <w:t>, it is challengeable to identify a large cohort of MS-CD patients from a single cent</w:t>
      </w:r>
      <w:r w:rsidR="00CA6ECB" w:rsidRPr="00C76E19">
        <w:rPr>
          <w:rFonts w:ascii="Book Antiqua" w:eastAsia="Book Antiqua" w:hAnsi="Book Antiqua" w:cs="Book Antiqua"/>
          <w:color w:val="000000"/>
        </w:rPr>
        <w:t>er</w:t>
      </w:r>
      <w:r w:rsidRPr="00C76E19">
        <w:rPr>
          <w:rFonts w:ascii="Book Antiqua" w:eastAsia="Book Antiqua" w:hAnsi="Book Antiqua" w:cs="Book Antiqua"/>
          <w:color w:val="000000"/>
        </w:rPr>
        <w:t>. However, our study cohort had comparable patient baseline characteristics as the Chinese MS-CD patients in other observational studies</w:t>
      </w:r>
      <w:r w:rsidRPr="00AE2A93">
        <w:rPr>
          <w:rFonts w:ascii="Book Antiqua" w:eastAsia="Book Antiqua" w:hAnsi="Book Antiqua" w:cs="Book Antiqua"/>
          <w:color w:val="000000"/>
          <w:vertAlign w:val="superscript"/>
        </w:rPr>
        <w:t>[39,40]</w:t>
      </w:r>
      <w:r w:rsidRPr="00AE2A93">
        <w:rPr>
          <w:rFonts w:ascii="Book Antiqua" w:eastAsia="Book Antiqua" w:hAnsi="Book Antiqua" w:cs="Book Antiqua"/>
          <w:color w:val="000000"/>
        </w:rPr>
        <w:t>.</w:t>
      </w:r>
      <w:r w:rsidRPr="00C76E19">
        <w:rPr>
          <w:rFonts w:ascii="Book Antiqua" w:eastAsia="Book Antiqua" w:hAnsi="Book Antiqua" w:cs="Book Antiqua"/>
          <w:color w:val="000000"/>
        </w:rPr>
        <w:t xml:space="preserve"> Similar to the Chinese MS-CD patients in previously published observational studies, our study cohort </w:t>
      </w:r>
      <w:r w:rsidR="00CA6ECB" w:rsidRPr="00C76E19">
        <w:rPr>
          <w:rFonts w:ascii="Book Antiqua" w:eastAsia="Book Antiqua" w:hAnsi="Book Antiqua" w:cs="Book Antiqua"/>
          <w:color w:val="000000"/>
        </w:rPr>
        <w:t xml:space="preserve">was </w:t>
      </w:r>
      <w:r w:rsidRPr="00C76E19">
        <w:rPr>
          <w:rFonts w:ascii="Book Antiqua" w:eastAsia="Book Antiqua" w:hAnsi="Book Antiqua" w:cs="Book Antiqua"/>
          <w:color w:val="000000"/>
        </w:rPr>
        <w:t>characterized by younger age, more male patients, higher proportion with disease site at colon, and one-third patients with history of surgery for CD-related complications. </w:t>
      </w:r>
    </w:p>
    <w:p w14:paraId="4ADF9DDD" w14:textId="77777777" w:rsidR="00A77B3E" w:rsidRPr="00C76E19" w:rsidRDefault="00A77B3E" w:rsidP="00A23AA9">
      <w:pPr>
        <w:spacing w:line="360" w:lineRule="auto"/>
        <w:jc w:val="both"/>
      </w:pPr>
    </w:p>
    <w:p w14:paraId="7FB8058B" w14:textId="77777777" w:rsidR="00A77B3E" w:rsidRPr="00C76E19" w:rsidRDefault="00CA1127" w:rsidP="00A23AA9">
      <w:pPr>
        <w:spacing w:line="360" w:lineRule="auto"/>
        <w:jc w:val="both"/>
      </w:pPr>
      <w:r w:rsidRPr="00C76E19">
        <w:rPr>
          <w:rFonts w:ascii="Book Antiqua" w:eastAsia="Book Antiqua" w:hAnsi="Book Antiqua" w:cs="Book Antiqua"/>
          <w:b/>
          <w:caps/>
          <w:color w:val="000000"/>
          <w:u w:val="single"/>
        </w:rPr>
        <w:t>CONCLUSION</w:t>
      </w:r>
    </w:p>
    <w:p w14:paraId="51B992AA" w14:textId="77777777" w:rsidR="00A77B3E" w:rsidRPr="00C76E19" w:rsidRDefault="00CA1127" w:rsidP="00A23AA9">
      <w:pPr>
        <w:spacing w:line="360" w:lineRule="auto"/>
        <w:jc w:val="both"/>
      </w:pPr>
      <w:r w:rsidRPr="00C76E19">
        <w:rPr>
          <w:rFonts w:ascii="Book Antiqua" w:eastAsia="Book Antiqua" w:hAnsi="Book Antiqua" w:cs="Book Antiqua"/>
          <w:color w:val="000000"/>
        </w:rPr>
        <w:t>In summary, this study confirmed that IMT was superior to CMT regarding disease remission rate, quality of life, and health resources utilization in real-world Chinese patients with MS-CD. The extremely high disease remission rate associated with IMT suggested that Chinese patients might have better treatment response to infliximab. Based on the generated real-world evidence, the cost-effectiveness of IMT relative to CMT was highly attractive as IMT cost the Chinese public health insurance payers less than the 2018 Chinese GDPPC to gain one QALY in Chinese MS-CD patients. </w:t>
      </w:r>
    </w:p>
    <w:p w14:paraId="573C769F" w14:textId="77777777" w:rsidR="00A77B3E" w:rsidRPr="00C76E19" w:rsidRDefault="00A77B3E" w:rsidP="00A23AA9">
      <w:pPr>
        <w:spacing w:line="360" w:lineRule="auto"/>
        <w:jc w:val="both"/>
      </w:pPr>
    </w:p>
    <w:p w14:paraId="459F9D0F" w14:textId="77777777" w:rsidR="00A77B3E" w:rsidRPr="00C76E19" w:rsidRDefault="00CA1127" w:rsidP="00A23AA9">
      <w:pPr>
        <w:spacing w:line="360" w:lineRule="auto"/>
        <w:jc w:val="both"/>
      </w:pPr>
      <w:r w:rsidRPr="00C76E19">
        <w:rPr>
          <w:rFonts w:ascii="Book Antiqua" w:eastAsia="Book Antiqua" w:hAnsi="Book Antiqua" w:cs="Book Antiqua"/>
          <w:b/>
          <w:caps/>
          <w:color w:val="000000"/>
          <w:u w:val="single"/>
        </w:rPr>
        <w:t>ARTICLE HIGHLIGHTS</w:t>
      </w:r>
    </w:p>
    <w:p w14:paraId="1759267D" w14:textId="77777777" w:rsidR="00A77B3E" w:rsidRPr="00C76E19" w:rsidRDefault="00CA1127" w:rsidP="00A23AA9">
      <w:pPr>
        <w:spacing w:line="360" w:lineRule="auto"/>
        <w:jc w:val="both"/>
      </w:pPr>
      <w:r w:rsidRPr="00C76E19">
        <w:rPr>
          <w:rFonts w:ascii="Book Antiqua" w:eastAsia="Book Antiqua" w:hAnsi="Book Antiqua" w:cs="Book Antiqua"/>
          <w:b/>
          <w:i/>
          <w:color w:val="000000"/>
        </w:rPr>
        <w:t>Research background</w:t>
      </w:r>
    </w:p>
    <w:p w14:paraId="52263B50" w14:textId="77777777" w:rsidR="00A77B3E" w:rsidRPr="00C76E19" w:rsidRDefault="00CA1127" w:rsidP="00A23AA9">
      <w:pPr>
        <w:spacing w:line="360" w:lineRule="auto"/>
        <w:jc w:val="both"/>
      </w:pPr>
      <w:r w:rsidRPr="00C76E19">
        <w:rPr>
          <w:rFonts w:ascii="Book Antiqua" w:eastAsia="Book Antiqua" w:hAnsi="Book Antiqua" w:cs="Book Antiqua"/>
          <w:color w:val="000000"/>
        </w:rPr>
        <w:t>Infliximab was the first approved biologic treatment for moderate to severe Crohn’s disease (MS-CD) in China. Even though infliximab was proven to be clinically more effective and safer than conventional treatments, Chinese MS-CD patients still had limited access to infliximab due to lack of reimbursement for their infliximab treatment. </w:t>
      </w:r>
    </w:p>
    <w:p w14:paraId="1FBE44DB" w14:textId="77777777" w:rsidR="00A77B3E" w:rsidRPr="00C76E19" w:rsidRDefault="00A77B3E" w:rsidP="00A23AA9">
      <w:pPr>
        <w:spacing w:line="360" w:lineRule="auto"/>
        <w:jc w:val="both"/>
      </w:pPr>
    </w:p>
    <w:p w14:paraId="61644266" w14:textId="77777777" w:rsidR="00A77B3E" w:rsidRPr="00C76E19" w:rsidRDefault="00CA1127" w:rsidP="00A23AA9">
      <w:pPr>
        <w:spacing w:line="360" w:lineRule="auto"/>
        <w:jc w:val="both"/>
      </w:pPr>
      <w:r w:rsidRPr="00C76E19">
        <w:rPr>
          <w:rFonts w:ascii="Book Antiqua" w:eastAsia="Book Antiqua" w:hAnsi="Book Antiqua" w:cs="Book Antiqua"/>
          <w:b/>
          <w:i/>
          <w:color w:val="000000"/>
        </w:rPr>
        <w:t>Research motivation</w:t>
      </w:r>
    </w:p>
    <w:p w14:paraId="5E542FC6" w14:textId="46ED9E4E" w:rsidR="00A77B3E" w:rsidRPr="00C76E19" w:rsidRDefault="00CA1127" w:rsidP="00A23AA9">
      <w:pPr>
        <w:spacing w:line="360" w:lineRule="auto"/>
        <w:jc w:val="both"/>
      </w:pPr>
      <w:r w:rsidRPr="00C76E19">
        <w:rPr>
          <w:rFonts w:ascii="Book Antiqua" w:eastAsia="Book Antiqua" w:hAnsi="Book Antiqua" w:cs="Book Antiqua"/>
          <w:color w:val="000000"/>
        </w:rPr>
        <w:t>The conventional treatments could</w:t>
      </w:r>
      <w:r w:rsidR="002F43F7" w:rsidRPr="00C76E19">
        <w:rPr>
          <w:rFonts w:ascii="Book Antiqua" w:eastAsia="Book Antiqua" w:hAnsi="Book Antiqua" w:cs="Book Antiqua"/>
          <w:color w:val="000000"/>
        </w:rPr>
        <w:t xml:space="preserve"> not</w:t>
      </w:r>
      <w:r w:rsidRPr="00C76E19">
        <w:rPr>
          <w:rFonts w:ascii="Book Antiqua" w:eastAsia="Book Antiqua" w:hAnsi="Book Antiqua" w:cs="Book Antiqua"/>
          <w:color w:val="000000"/>
        </w:rPr>
        <w:t xml:space="preserve"> meet the medical needs of Chinese MS-CD patients. However, the patients could</w:t>
      </w:r>
      <w:r w:rsidR="002F43F7" w:rsidRPr="00C76E19">
        <w:rPr>
          <w:rFonts w:ascii="Book Antiqua" w:eastAsia="Book Antiqua" w:hAnsi="Book Antiqua" w:cs="Book Antiqua"/>
          <w:color w:val="000000"/>
        </w:rPr>
        <w:t xml:space="preserve"> not</w:t>
      </w:r>
      <w:r w:rsidRPr="00C76E19">
        <w:rPr>
          <w:rFonts w:ascii="Book Antiqua" w:eastAsia="Book Antiqua" w:hAnsi="Book Antiqua" w:cs="Book Antiqua"/>
          <w:color w:val="000000"/>
        </w:rPr>
        <w:t xml:space="preserve"> afford regular infliximab-contained maintenance treatment (IMT) without reimbursement support. Reimbursement decision makers needed evidence to support the reimbursement coverage of infliximab used as maintenance therapy for MS-CD. </w:t>
      </w:r>
    </w:p>
    <w:p w14:paraId="5EB9AE46" w14:textId="77777777" w:rsidR="00A77B3E" w:rsidRPr="00C76E19" w:rsidRDefault="00A77B3E" w:rsidP="00A23AA9">
      <w:pPr>
        <w:spacing w:line="360" w:lineRule="auto"/>
        <w:jc w:val="both"/>
      </w:pPr>
    </w:p>
    <w:p w14:paraId="145F8A20" w14:textId="77777777" w:rsidR="00A77B3E" w:rsidRPr="00C76E19" w:rsidRDefault="00CA1127" w:rsidP="00A23AA9">
      <w:pPr>
        <w:spacing w:line="360" w:lineRule="auto"/>
        <w:jc w:val="both"/>
      </w:pPr>
      <w:r w:rsidRPr="00C76E19">
        <w:rPr>
          <w:rFonts w:ascii="Book Antiqua" w:eastAsia="Book Antiqua" w:hAnsi="Book Antiqua" w:cs="Book Antiqua"/>
          <w:b/>
          <w:i/>
          <w:color w:val="000000"/>
        </w:rPr>
        <w:t>Research objectives</w:t>
      </w:r>
    </w:p>
    <w:p w14:paraId="3042A72C" w14:textId="5727EB65" w:rsidR="00A77B3E" w:rsidRPr="00C76E19" w:rsidRDefault="00CA1127" w:rsidP="00A23AA9">
      <w:pPr>
        <w:spacing w:line="360" w:lineRule="auto"/>
        <w:jc w:val="both"/>
      </w:pPr>
      <w:r w:rsidRPr="00C76E19">
        <w:rPr>
          <w:rFonts w:ascii="Book Antiqua" w:eastAsia="Book Antiqua" w:hAnsi="Book Antiqua" w:cs="Book Antiqua"/>
          <w:color w:val="000000"/>
        </w:rPr>
        <w:t>This study was designed to leverage the real-world evidence from a clinical cohort of patients with MS-CD in a Chinese tertiary care hospital and existing literature evidence to assess the cost-effectiveness of IMT relative to conventional maintenance therapy (CMT) in Chinese MS-CD patients.</w:t>
      </w:r>
    </w:p>
    <w:p w14:paraId="081409A5" w14:textId="77777777" w:rsidR="00A77B3E" w:rsidRPr="00C76E19" w:rsidRDefault="00A77B3E" w:rsidP="00A23AA9">
      <w:pPr>
        <w:spacing w:line="360" w:lineRule="auto"/>
        <w:jc w:val="both"/>
      </w:pPr>
    </w:p>
    <w:p w14:paraId="03C2BD70" w14:textId="77777777" w:rsidR="00A77B3E" w:rsidRPr="00C76E19" w:rsidRDefault="00CA1127" w:rsidP="00A23AA9">
      <w:pPr>
        <w:spacing w:line="360" w:lineRule="auto"/>
        <w:jc w:val="both"/>
      </w:pPr>
      <w:r w:rsidRPr="00C76E19">
        <w:rPr>
          <w:rFonts w:ascii="Book Antiqua" w:eastAsia="Book Antiqua" w:hAnsi="Book Antiqua" w:cs="Book Antiqua"/>
          <w:b/>
          <w:i/>
          <w:color w:val="000000"/>
        </w:rPr>
        <w:t>Research methods</w:t>
      </w:r>
    </w:p>
    <w:p w14:paraId="60EA1188" w14:textId="24DEE22A" w:rsidR="00A77B3E" w:rsidRPr="00C76E19" w:rsidRDefault="00CA1127" w:rsidP="00A23AA9">
      <w:pPr>
        <w:spacing w:line="360" w:lineRule="auto"/>
        <w:jc w:val="both"/>
      </w:pPr>
      <w:r w:rsidRPr="00C76E19">
        <w:rPr>
          <w:rFonts w:ascii="Book Antiqua" w:eastAsia="Book Antiqua" w:hAnsi="Book Antiqua" w:cs="Book Antiqua"/>
          <w:color w:val="000000"/>
        </w:rPr>
        <w:t xml:space="preserve">This study conducted a retrospective cohort study to compare IMT </w:t>
      </w:r>
      <w:r w:rsidRPr="00C76E19">
        <w:rPr>
          <w:rFonts w:ascii="Book Antiqua" w:eastAsia="Book Antiqua" w:hAnsi="Book Antiqua" w:cs="Book Antiqua"/>
          <w:i/>
          <w:iCs/>
          <w:color w:val="000000"/>
        </w:rPr>
        <w:t>vs</w:t>
      </w:r>
      <w:r w:rsidRPr="00C76E19">
        <w:rPr>
          <w:rFonts w:ascii="Book Antiqua" w:eastAsia="Book Antiqua" w:hAnsi="Book Antiqua" w:cs="Book Antiqua"/>
          <w:color w:val="000000"/>
        </w:rPr>
        <w:t xml:space="preserve"> CMT for disease remission, quality of life, health resource utilizations, and direct medical costs in MS-CD patients who were followed up over one year in a Chinese inflammatory bowel disease treatment cent</w:t>
      </w:r>
      <w:r w:rsidR="002F43F7" w:rsidRPr="00C76E19">
        <w:rPr>
          <w:rFonts w:ascii="Book Antiqua" w:eastAsia="Book Antiqua" w:hAnsi="Book Antiqua" w:cs="Book Antiqua"/>
          <w:color w:val="000000"/>
        </w:rPr>
        <w:t>er</w:t>
      </w:r>
      <w:r w:rsidRPr="00C76E19">
        <w:rPr>
          <w:rFonts w:ascii="Book Antiqua" w:eastAsia="Book Antiqua" w:hAnsi="Book Antiqua" w:cs="Book Antiqua"/>
          <w:color w:val="000000"/>
        </w:rPr>
        <w:t>. The generated evidence from the retrospective cohort study were further used to construct a decision analytic model to assess the cost-effectiveness of IMT relative to CMT in Chinese MS-CD patients.</w:t>
      </w:r>
    </w:p>
    <w:p w14:paraId="0EAF6FD1" w14:textId="77777777" w:rsidR="00A77B3E" w:rsidRPr="00C76E19" w:rsidRDefault="00A77B3E" w:rsidP="00A23AA9">
      <w:pPr>
        <w:spacing w:line="360" w:lineRule="auto"/>
        <w:jc w:val="both"/>
      </w:pPr>
    </w:p>
    <w:p w14:paraId="7B615D7E" w14:textId="77777777" w:rsidR="00A77B3E" w:rsidRPr="00C76E19" w:rsidRDefault="00CA1127" w:rsidP="00A23AA9">
      <w:pPr>
        <w:spacing w:line="360" w:lineRule="auto"/>
        <w:jc w:val="both"/>
      </w:pPr>
      <w:r w:rsidRPr="00C76E19">
        <w:rPr>
          <w:rFonts w:ascii="Book Antiqua" w:eastAsia="Book Antiqua" w:hAnsi="Book Antiqua" w:cs="Book Antiqua"/>
          <w:b/>
          <w:i/>
          <w:color w:val="000000"/>
        </w:rPr>
        <w:t>Research results</w:t>
      </w:r>
    </w:p>
    <w:p w14:paraId="614CB04B" w14:textId="77777777" w:rsidR="00A77B3E" w:rsidRPr="00C76E19" w:rsidRDefault="00CA1127" w:rsidP="00A23AA9">
      <w:pPr>
        <w:spacing w:line="360" w:lineRule="auto"/>
        <w:jc w:val="both"/>
      </w:pPr>
      <w:r w:rsidRPr="00C76E19">
        <w:rPr>
          <w:rFonts w:ascii="Book Antiqua" w:eastAsia="Book Antiqua" w:hAnsi="Book Antiqua" w:cs="Book Antiqua"/>
          <w:color w:val="000000"/>
        </w:rPr>
        <w:t>The retrospective data analysis in this study observed significantly better clinical outcomes, including disease remission rate, CD-related complications, and quality of life, and less utilization of health resources associated with IMT. The base case cost-effectiveness analysis estimated that IMT was associated with attractive incremental cost-effectiveness ratio per gained quality-adjusted life year, which was less than one gross domestic products per capita in China. Probabilistic sensitivity analysis confirmed the attractive cost-effectiveness of IMT relative to CMT in Chinese MS-CD patients under the recommended cost-effectiveness threshold. </w:t>
      </w:r>
    </w:p>
    <w:p w14:paraId="56142175" w14:textId="77777777" w:rsidR="00A77B3E" w:rsidRPr="00C76E19" w:rsidRDefault="00A77B3E" w:rsidP="00A23AA9">
      <w:pPr>
        <w:spacing w:line="360" w:lineRule="auto"/>
        <w:jc w:val="both"/>
      </w:pPr>
    </w:p>
    <w:p w14:paraId="5D547B24" w14:textId="77777777" w:rsidR="00A77B3E" w:rsidRPr="00C76E19" w:rsidRDefault="00CA1127" w:rsidP="00A23AA9">
      <w:pPr>
        <w:spacing w:line="360" w:lineRule="auto"/>
        <w:jc w:val="both"/>
      </w:pPr>
      <w:r w:rsidRPr="00C76E19">
        <w:rPr>
          <w:rFonts w:ascii="Book Antiqua" w:eastAsia="Book Antiqua" w:hAnsi="Book Antiqua" w:cs="Book Antiqua"/>
          <w:b/>
          <w:i/>
          <w:color w:val="000000"/>
        </w:rPr>
        <w:t>Research conclusions</w:t>
      </w:r>
    </w:p>
    <w:p w14:paraId="0D04F4AA" w14:textId="77777777" w:rsidR="00A77B3E" w:rsidRPr="00C76E19" w:rsidRDefault="00CA1127" w:rsidP="00A23AA9">
      <w:pPr>
        <w:spacing w:line="360" w:lineRule="auto"/>
        <w:jc w:val="both"/>
      </w:pPr>
      <w:r w:rsidRPr="00C76E19">
        <w:rPr>
          <w:rFonts w:ascii="Book Antiqua" w:eastAsia="Book Antiqua" w:hAnsi="Book Antiqua" w:cs="Book Antiqua"/>
          <w:color w:val="000000"/>
        </w:rPr>
        <w:t>IMT was confirmed to be superior to CMT in Chinese real-world MS-CD patients. With the overall uncertainty associated with clinical effectiveness, quality of life, and direct medical costs associated with IMT and CMT in Chinese MS-CD patients, the cost-effectiveness of IMT relative to CMT was attractive from the perspective of Chinese health care payers. </w:t>
      </w:r>
    </w:p>
    <w:p w14:paraId="122AD668" w14:textId="77777777" w:rsidR="00A77B3E" w:rsidRPr="00C76E19" w:rsidRDefault="00A77B3E" w:rsidP="00A23AA9">
      <w:pPr>
        <w:spacing w:line="360" w:lineRule="auto"/>
        <w:jc w:val="both"/>
      </w:pPr>
    </w:p>
    <w:p w14:paraId="1070138C" w14:textId="77777777" w:rsidR="00A77B3E" w:rsidRPr="00C76E19" w:rsidRDefault="00CA1127" w:rsidP="00A23AA9">
      <w:pPr>
        <w:spacing w:line="360" w:lineRule="auto"/>
        <w:jc w:val="both"/>
      </w:pPr>
      <w:r w:rsidRPr="00C76E19">
        <w:rPr>
          <w:rFonts w:ascii="Book Antiqua" w:eastAsia="Book Antiqua" w:hAnsi="Book Antiqua" w:cs="Book Antiqua"/>
          <w:b/>
          <w:i/>
          <w:color w:val="000000"/>
        </w:rPr>
        <w:t>Research perspectives</w:t>
      </w:r>
    </w:p>
    <w:p w14:paraId="36AAAB71" w14:textId="01047B2A" w:rsidR="00A77B3E" w:rsidRPr="00A23AA9" w:rsidRDefault="00CA1127" w:rsidP="00A23AA9">
      <w:pPr>
        <w:spacing w:line="360" w:lineRule="auto"/>
        <w:jc w:val="both"/>
      </w:pPr>
      <w:r w:rsidRPr="00C76E19">
        <w:rPr>
          <w:rFonts w:ascii="Book Antiqua" w:eastAsia="Book Antiqua" w:hAnsi="Book Antiqua" w:cs="Book Antiqua"/>
          <w:color w:val="000000"/>
        </w:rPr>
        <w:t>This study only followed up a relatively small cohort with MS-CD patients from a single treatment cent</w:t>
      </w:r>
      <w:r w:rsidR="002F43F7" w:rsidRPr="00C76E19">
        <w:rPr>
          <w:rFonts w:ascii="Book Antiqua" w:eastAsia="Book Antiqua" w:hAnsi="Book Antiqua" w:cs="Book Antiqua"/>
          <w:color w:val="000000"/>
        </w:rPr>
        <w:t>er</w:t>
      </w:r>
      <w:r w:rsidRPr="00C76E19">
        <w:rPr>
          <w:rFonts w:ascii="Book Antiqua" w:eastAsia="Book Antiqua" w:hAnsi="Book Antiqua" w:cs="Book Antiqua"/>
          <w:color w:val="000000"/>
        </w:rPr>
        <w:t xml:space="preserve">. The </w:t>
      </w:r>
      <w:r w:rsidR="002F43F7" w:rsidRPr="00C76E19">
        <w:rPr>
          <w:rFonts w:ascii="Book Antiqua" w:eastAsia="Book Antiqua" w:hAnsi="Book Antiqua" w:cs="Book Antiqua"/>
          <w:color w:val="000000"/>
        </w:rPr>
        <w:t>generalizability</w:t>
      </w:r>
      <w:r w:rsidRPr="00C76E19">
        <w:rPr>
          <w:rFonts w:ascii="Book Antiqua" w:eastAsia="Book Antiqua" w:hAnsi="Book Antiqua" w:cs="Book Antiqua"/>
          <w:color w:val="000000"/>
        </w:rPr>
        <w:t xml:space="preserve"> associated with generated evidence in this study needs confirmation by future studies with large sample size of patients enrolled from more treatment </w:t>
      </w:r>
      <w:r w:rsidR="002F43F7" w:rsidRPr="00C76E19">
        <w:rPr>
          <w:rFonts w:ascii="Book Antiqua" w:eastAsia="Book Antiqua" w:hAnsi="Book Antiqua" w:cs="Book Antiqua"/>
          <w:color w:val="000000"/>
        </w:rPr>
        <w:t>centers</w:t>
      </w:r>
      <w:r w:rsidRPr="00C76E19">
        <w:rPr>
          <w:rFonts w:ascii="Book Antiqua" w:eastAsia="Book Antiqua" w:hAnsi="Book Antiqua" w:cs="Book Antiqua"/>
          <w:color w:val="000000"/>
        </w:rPr>
        <w:t xml:space="preserve">. Additionally, this study followed up MS-CD patients for only </w:t>
      </w:r>
      <w:r w:rsidR="002F43F7" w:rsidRPr="00C76E19">
        <w:rPr>
          <w:rFonts w:ascii="Book Antiqua" w:eastAsia="Book Antiqua" w:hAnsi="Book Antiqua" w:cs="Book Antiqua"/>
          <w:color w:val="000000"/>
        </w:rPr>
        <w:t>1</w:t>
      </w:r>
      <w:r w:rsidRPr="00C76E19">
        <w:rPr>
          <w:rFonts w:ascii="Book Antiqua" w:eastAsia="Book Antiqua" w:hAnsi="Book Antiqua" w:cs="Book Antiqua"/>
          <w:color w:val="000000"/>
        </w:rPr>
        <w:t xml:space="preserve"> year. Future studies are needed to follow up patients longer to assess the impact of IMT on long-term clinical outcomes, which should include survival outcomes and CD-related to surgery and complications.</w:t>
      </w:r>
      <w:r w:rsidR="00A23AA9">
        <w:rPr>
          <w:rFonts w:ascii="Book Antiqua" w:eastAsia="Book Antiqua" w:hAnsi="Book Antiqua" w:cs="Book Antiqua"/>
          <w:color w:val="000000"/>
        </w:rPr>
        <w:t xml:space="preserve"> </w:t>
      </w:r>
    </w:p>
    <w:p w14:paraId="4C7FCFC3" w14:textId="77777777" w:rsidR="00A77B3E" w:rsidRPr="00C76E19" w:rsidRDefault="00A77B3E" w:rsidP="00A23AA9">
      <w:pPr>
        <w:spacing w:line="360" w:lineRule="auto"/>
        <w:jc w:val="both"/>
      </w:pPr>
    </w:p>
    <w:p w14:paraId="5E525124" w14:textId="77777777" w:rsidR="00A77B3E" w:rsidRPr="00C76E19" w:rsidRDefault="00CA1127" w:rsidP="00A23AA9">
      <w:pPr>
        <w:spacing w:line="360" w:lineRule="auto"/>
        <w:jc w:val="both"/>
      </w:pPr>
      <w:r w:rsidRPr="00C76E19">
        <w:rPr>
          <w:rFonts w:ascii="Book Antiqua" w:eastAsia="Book Antiqua" w:hAnsi="Book Antiqua" w:cs="Book Antiqua"/>
          <w:b/>
          <w:caps/>
          <w:color w:val="000000"/>
          <w:u w:val="single"/>
        </w:rPr>
        <w:t>ACKNOWLEDGEMENTS</w:t>
      </w:r>
    </w:p>
    <w:p w14:paraId="16FFC219" w14:textId="4D765D70" w:rsidR="00A77B3E" w:rsidRPr="00C76E19" w:rsidRDefault="00CA1127" w:rsidP="00A23AA9">
      <w:pPr>
        <w:spacing w:line="360" w:lineRule="auto"/>
        <w:jc w:val="both"/>
      </w:pPr>
      <w:r w:rsidRPr="00C76E19">
        <w:rPr>
          <w:rFonts w:ascii="Book Antiqua" w:eastAsia="Book Antiqua" w:hAnsi="Book Antiqua" w:cs="Book Antiqua"/>
          <w:color w:val="000000"/>
        </w:rPr>
        <w:t xml:space="preserve">We want to thank Professor Krahn </w:t>
      </w:r>
      <w:r w:rsidR="00992B57" w:rsidRPr="00C76E19">
        <w:rPr>
          <w:rFonts w:ascii="Book Antiqua" w:eastAsia="Book Antiqua" w:hAnsi="Book Antiqua" w:cs="Book Antiqua"/>
          <w:color w:val="000000"/>
        </w:rPr>
        <w:t xml:space="preserve">M </w:t>
      </w:r>
      <w:r w:rsidRPr="00C76E19">
        <w:rPr>
          <w:rFonts w:ascii="Book Antiqua" w:eastAsia="Book Antiqua" w:hAnsi="Book Antiqua" w:cs="Book Antiqua"/>
          <w:color w:val="000000"/>
        </w:rPr>
        <w:t>from THETA Collaborative at the University of Toronto to help with reviewing the statistical methods and proofreading the manuscript of this study. </w:t>
      </w:r>
    </w:p>
    <w:p w14:paraId="6CC601C3" w14:textId="77777777" w:rsidR="00A77B3E" w:rsidRPr="00C76E19" w:rsidRDefault="00A77B3E" w:rsidP="00A23AA9">
      <w:pPr>
        <w:spacing w:line="360" w:lineRule="auto"/>
        <w:jc w:val="both"/>
      </w:pPr>
    </w:p>
    <w:p w14:paraId="033E7707" w14:textId="77777777" w:rsidR="00A77B3E" w:rsidRPr="00C76E19" w:rsidRDefault="00CA1127" w:rsidP="00A23AA9">
      <w:pPr>
        <w:spacing w:line="360" w:lineRule="auto"/>
        <w:jc w:val="both"/>
      </w:pPr>
      <w:r w:rsidRPr="00C76E19">
        <w:rPr>
          <w:rFonts w:ascii="Book Antiqua" w:eastAsia="Book Antiqua" w:hAnsi="Book Antiqua" w:cs="Book Antiqua"/>
          <w:b/>
          <w:color w:val="000000"/>
        </w:rPr>
        <w:t>REFERENCES</w:t>
      </w:r>
    </w:p>
    <w:p w14:paraId="0E68EB4A"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1 </w:t>
      </w:r>
      <w:r w:rsidRPr="00C76E19">
        <w:rPr>
          <w:rFonts w:ascii="Book Antiqua" w:eastAsia="Book Antiqua" w:hAnsi="Book Antiqua" w:cs="Book Antiqua"/>
          <w:b/>
          <w:bCs/>
          <w:color w:val="000000"/>
        </w:rPr>
        <w:t>Baumgart DC</w:t>
      </w:r>
      <w:r w:rsidRPr="00C76E19">
        <w:rPr>
          <w:rFonts w:ascii="Book Antiqua" w:eastAsia="Book Antiqua" w:hAnsi="Book Antiqua" w:cs="Book Antiqua"/>
          <w:color w:val="000000"/>
        </w:rPr>
        <w:t xml:space="preserve">, </w:t>
      </w:r>
      <w:proofErr w:type="spellStart"/>
      <w:r w:rsidRPr="00C76E19">
        <w:rPr>
          <w:rFonts w:ascii="Book Antiqua" w:eastAsia="Book Antiqua" w:hAnsi="Book Antiqua" w:cs="Book Antiqua"/>
          <w:color w:val="000000"/>
        </w:rPr>
        <w:t>Sandborn</w:t>
      </w:r>
      <w:proofErr w:type="spellEnd"/>
      <w:r w:rsidRPr="00C76E19">
        <w:rPr>
          <w:rFonts w:ascii="Book Antiqua" w:eastAsia="Book Antiqua" w:hAnsi="Book Antiqua" w:cs="Book Antiqua"/>
          <w:color w:val="000000"/>
        </w:rPr>
        <w:t xml:space="preserve"> WJ. Crohn's disease. </w:t>
      </w:r>
      <w:r w:rsidRPr="00C76E19">
        <w:rPr>
          <w:rFonts w:ascii="Book Antiqua" w:eastAsia="Book Antiqua" w:hAnsi="Book Antiqua" w:cs="Book Antiqua"/>
          <w:i/>
          <w:iCs/>
          <w:color w:val="000000"/>
        </w:rPr>
        <w:t>Lancet</w:t>
      </w:r>
      <w:r w:rsidRPr="00C76E19">
        <w:rPr>
          <w:rFonts w:ascii="Book Antiqua" w:eastAsia="Book Antiqua" w:hAnsi="Book Antiqua" w:cs="Book Antiqua"/>
          <w:color w:val="000000"/>
        </w:rPr>
        <w:t xml:space="preserve"> 2012; </w:t>
      </w:r>
      <w:r w:rsidRPr="00C76E19">
        <w:rPr>
          <w:rFonts w:ascii="Book Antiqua" w:eastAsia="Book Antiqua" w:hAnsi="Book Antiqua" w:cs="Book Antiqua"/>
          <w:b/>
          <w:bCs/>
          <w:color w:val="000000"/>
        </w:rPr>
        <w:t>380</w:t>
      </w:r>
      <w:r w:rsidRPr="00C76E19">
        <w:rPr>
          <w:rFonts w:ascii="Book Antiqua" w:eastAsia="Book Antiqua" w:hAnsi="Book Antiqua" w:cs="Book Antiqua"/>
          <w:color w:val="000000"/>
        </w:rPr>
        <w:t>: 1590-1605 [PMID: 22914295 DOI: 10.1016/S0140-6736(12)60026-9]</w:t>
      </w:r>
    </w:p>
    <w:p w14:paraId="6A171BA6"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2 </w:t>
      </w:r>
      <w:proofErr w:type="spellStart"/>
      <w:r w:rsidRPr="00C76E19">
        <w:rPr>
          <w:rFonts w:ascii="Book Antiqua" w:eastAsia="Book Antiqua" w:hAnsi="Book Antiqua" w:cs="Book Antiqua"/>
          <w:b/>
          <w:bCs/>
          <w:color w:val="000000"/>
        </w:rPr>
        <w:t>Paleolog</w:t>
      </w:r>
      <w:proofErr w:type="spellEnd"/>
      <w:r w:rsidRPr="00C76E19">
        <w:rPr>
          <w:rFonts w:ascii="Book Antiqua" w:eastAsia="Book Antiqua" w:hAnsi="Book Antiqua" w:cs="Book Antiqua"/>
          <w:b/>
          <w:bCs/>
          <w:color w:val="000000"/>
        </w:rPr>
        <w:t xml:space="preserve"> EM</w:t>
      </w:r>
      <w:r w:rsidRPr="00C76E19">
        <w:rPr>
          <w:rFonts w:ascii="Book Antiqua" w:eastAsia="Book Antiqua" w:hAnsi="Book Antiqua" w:cs="Book Antiqua"/>
          <w:color w:val="000000"/>
        </w:rPr>
        <w:t xml:space="preserve">, </w:t>
      </w:r>
      <w:proofErr w:type="spellStart"/>
      <w:r w:rsidRPr="00C76E19">
        <w:rPr>
          <w:rFonts w:ascii="Book Antiqua" w:eastAsia="Book Antiqua" w:hAnsi="Book Antiqua" w:cs="Book Antiqua"/>
          <w:color w:val="000000"/>
        </w:rPr>
        <w:t>Delasalle</w:t>
      </w:r>
      <w:proofErr w:type="spellEnd"/>
      <w:r w:rsidRPr="00C76E19">
        <w:rPr>
          <w:rFonts w:ascii="Book Antiqua" w:eastAsia="Book Antiqua" w:hAnsi="Book Antiqua" w:cs="Book Antiqua"/>
          <w:color w:val="000000"/>
        </w:rPr>
        <w:t xml:space="preserve"> SA, </w:t>
      </w:r>
      <w:proofErr w:type="spellStart"/>
      <w:r w:rsidRPr="00C76E19">
        <w:rPr>
          <w:rFonts w:ascii="Book Antiqua" w:eastAsia="Book Antiqua" w:hAnsi="Book Antiqua" w:cs="Book Antiqua"/>
          <w:color w:val="000000"/>
        </w:rPr>
        <w:t>Buurman</w:t>
      </w:r>
      <w:proofErr w:type="spellEnd"/>
      <w:r w:rsidRPr="00C76E19">
        <w:rPr>
          <w:rFonts w:ascii="Book Antiqua" w:eastAsia="Book Antiqua" w:hAnsi="Book Antiqua" w:cs="Book Antiqua"/>
          <w:color w:val="000000"/>
        </w:rPr>
        <w:t xml:space="preserve"> WA, Feldmann M. Functional activities of receptors for tumor necrosis factor-alpha on human vascular endothelial cells. </w:t>
      </w:r>
      <w:r w:rsidRPr="00C76E19">
        <w:rPr>
          <w:rFonts w:ascii="Book Antiqua" w:eastAsia="Book Antiqua" w:hAnsi="Book Antiqua" w:cs="Book Antiqua"/>
          <w:i/>
          <w:iCs/>
          <w:color w:val="000000"/>
        </w:rPr>
        <w:t>Blood</w:t>
      </w:r>
      <w:r w:rsidRPr="00C76E19">
        <w:rPr>
          <w:rFonts w:ascii="Book Antiqua" w:eastAsia="Book Antiqua" w:hAnsi="Book Antiqua" w:cs="Book Antiqua"/>
          <w:color w:val="000000"/>
        </w:rPr>
        <w:t xml:space="preserve"> 1994; </w:t>
      </w:r>
      <w:r w:rsidRPr="00C76E19">
        <w:rPr>
          <w:rFonts w:ascii="Book Antiqua" w:eastAsia="Book Antiqua" w:hAnsi="Book Antiqua" w:cs="Book Antiqua"/>
          <w:b/>
          <w:bCs/>
          <w:color w:val="000000"/>
        </w:rPr>
        <w:t>84</w:t>
      </w:r>
      <w:r w:rsidRPr="00C76E19">
        <w:rPr>
          <w:rFonts w:ascii="Book Antiqua" w:eastAsia="Book Antiqua" w:hAnsi="Book Antiqua" w:cs="Book Antiqua"/>
          <w:color w:val="000000"/>
        </w:rPr>
        <w:t>: 2578-2590 [PMID: 7919375 DOI: 10.1182/blood.V84.8.2578.2578]</w:t>
      </w:r>
    </w:p>
    <w:p w14:paraId="138C8EC4"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3 </w:t>
      </w:r>
      <w:proofErr w:type="spellStart"/>
      <w:r w:rsidRPr="00C76E19">
        <w:rPr>
          <w:rFonts w:ascii="Book Antiqua" w:eastAsia="Book Antiqua" w:hAnsi="Book Antiqua" w:cs="Book Antiqua"/>
          <w:b/>
          <w:bCs/>
          <w:color w:val="000000"/>
        </w:rPr>
        <w:t>Kuijpers</w:t>
      </w:r>
      <w:proofErr w:type="spellEnd"/>
      <w:r w:rsidRPr="00C76E19">
        <w:rPr>
          <w:rFonts w:ascii="Book Antiqua" w:eastAsia="Book Antiqua" w:hAnsi="Book Antiqua" w:cs="Book Antiqua"/>
          <w:b/>
          <w:bCs/>
          <w:color w:val="000000"/>
        </w:rPr>
        <w:t xml:space="preserve"> TW</w:t>
      </w:r>
      <w:r w:rsidRPr="00C76E19">
        <w:rPr>
          <w:rFonts w:ascii="Book Antiqua" w:eastAsia="Book Antiqua" w:hAnsi="Book Antiqua" w:cs="Book Antiqua"/>
          <w:color w:val="000000"/>
        </w:rPr>
        <w:t xml:space="preserve">, </w:t>
      </w:r>
      <w:proofErr w:type="spellStart"/>
      <w:r w:rsidRPr="00C76E19">
        <w:rPr>
          <w:rFonts w:ascii="Book Antiqua" w:eastAsia="Book Antiqua" w:hAnsi="Book Antiqua" w:cs="Book Antiqua"/>
          <w:color w:val="000000"/>
        </w:rPr>
        <w:t>Hakkert</w:t>
      </w:r>
      <w:proofErr w:type="spellEnd"/>
      <w:r w:rsidRPr="00C76E19">
        <w:rPr>
          <w:rFonts w:ascii="Book Antiqua" w:eastAsia="Book Antiqua" w:hAnsi="Book Antiqua" w:cs="Book Antiqua"/>
          <w:color w:val="000000"/>
        </w:rPr>
        <w:t xml:space="preserve"> BC, Hart MH, </w:t>
      </w:r>
      <w:proofErr w:type="spellStart"/>
      <w:r w:rsidRPr="00C76E19">
        <w:rPr>
          <w:rFonts w:ascii="Book Antiqua" w:eastAsia="Book Antiqua" w:hAnsi="Book Antiqua" w:cs="Book Antiqua"/>
          <w:color w:val="000000"/>
        </w:rPr>
        <w:t>Roos</w:t>
      </w:r>
      <w:proofErr w:type="spellEnd"/>
      <w:r w:rsidRPr="00C76E19">
        <w:rPr>
          <w:rFonts w:ascii="Book Antiqua" w:eastAsia="Book Antiqua" w:hAnsi="Book Antiqua" w:cs="Book Antiqua"/>
          <w:color w:val="000000"/>
        </w:rPr>
        <w:t xml:space="preserve"> D. Neutrophil migration across monolayers of cytokine-</w:t>
      </w:r>
      <w:proofErr w:type="spellStart"/>
      <w:r w:rsidRPr="00C76E19">
        <w:rPr>
          <w:rFonts w:ascii="Book Antiqua" w:eastAsia="Book Antiqua" w:hAnsi="Book Antiqua" w:cs="Book Antiqua"/>
          <w:color w:val="000000"/>
        </w:rPr>
        <w:t>prestimulated</w:t>
      </w:r>
      <w:proofErr w:type="spellEnd"/>
      <w:r w:rsidRPr="00C76E19">
        <w:rPr>
          <w:rFonts w:ascii="Book Antiqua" w:eastAsia="Book Antiqua" w:hAnsi="Book Antiqua" w:cs="Book Antiqua"/>
          <w:color w:val="000000"/>
        </w:rPr>
        <w:t xml:space="preserve"> endothelial cells: a role for platelet-activating factor and IL-8. </w:t>
      </w:r>
      <w:r w:rsidRPr="00C76E19">
        <w:rPr>
          <w:rFonts w:ascii="Book Antiqua" w:eastAsia="Book Antiqua" w:hAnsi="Book Antiqua" w:cs="Book Antiqua"/>
          <w:i/>
          <w:iCs/>
          <w:color w:val="000000"/>
        </w:rPr>
        <w:t>J Cell Biol</w:t>
      </w:r>
      <w:r w:rsidRPr="00C76E19">
        <w:rPr>
          <w:rFonts w:ascii="Book Antiqua" w:eastAsia="Book Antiqua" w:hAnsi="Book Antiqua" w:cs="Book Antiqua"/>
          <w:color w:val="000000"/>
        </w:rPr>
        <w:t xml:space="preserve"> 1992; </w:t>
      </w:r>
      <w:r w:rsidRPr="00C76E19">
        <w:rPr>
          <w:rFonts w:ascii="Book Antiqua" w:eastAsia="Book Antiqua" w:hAnsi="Book Antiqua" w:cs="Book Antiqua"/>
          <w:b/>
          <w:bCs/>
          <w:color w:val="000000"/>
        </w:rPr>
        <w:t>117</w:t>
      </w:r>
      <w:r w:rsidRPr="00C76E19">
        <w:rPr>
          <w:rFonts w:ascii="Book Antiqua" w:eastAsia="Book Antiqua" w:hAnsi="Book Antiqua" w:cs="Book Antiqua"/>
          <w:color w:val="000000"/>
        </w:rPr>
        <w:t>: 565-572 [PMID: 1315317 DOI: 10.1083/jcb.117.3.565]</w:t>
      </w:r>
    </w:p>
    <w:p w14:paraId="124DB86B"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4 </w:t>
      </w:r>
      <w:r w:rsidRPr="00C76E19">
        <w:rPr>
          <w:rFonts w:ascii="Book Antiqua" w:eastAsia="Book Antiqua" w:hAnsi="Book Antiqua" w:cs="Book Antiqua"/>
          <w:b/>
          <w:bCs/>
          <w:color w:val="000000"/>
        </w:rPr>
        <w:t>Carlos TM</w:t>
      </w:r>
      <w:r w:rsidRPr="00C76E19">
        <w:rPr>
          <w:rFonts w:ascii="Book Antiqua" w:eastAsia="Book Antiqua" w:hAnsi="Book Antiqua" w:cs="Book Antiqua"/>
          <w:color w:val="000000"/>
        </w:rPr>
        <w:t xml:space="preserve">, Harlan JM. Leukocyte-endothelial adhesion molecules. </w:t>
      </w:r>
      <w:r w:rsidRPr="00C76E19">
        <w:rPr>
          <w:rFonts w:ascii="Book Antiqua" w:eastAsia="Book Antiqua" w:hAnsi="Book Antiqua" w:cs="Book Antiqua"/>
          <w:i/>
          <w:iCs/>
          <w:color w:val="000000"/>
        </w:rPr>
        <w:t>Blood</w:t>
      </w:r>
      <w:r w:rsidRPr="00C76E19">
        <w:rPr>
          <w:rFonts w:ascii="Book Antiqua" w:eastAsia="Book Antiqua" w:hAnsi="Book Antiqua" w:cs="Book Antiqua"/>
          <w:color w:val="000000"/>
        </w:rPr>
        <w:t xml:space="preserve"> 1994; </w:t>
      </w:r>
      <w:r w:rsidRPr="00C76E19">
        <w:rPr>
          <w:rFonts w:ascii="Book Antiqua" w:eastAsia="Book Antiqua" w:hAnsi="Book Antiqua" w:cs="Book Antiqua"/>
          <w:b/>
          <w:bCs/>
          <w:color w:val="000000"/>
        </w:rPr>
        <w:t>84</w:t>
      </w:r>
      <w:r w:rsidRPr="00C76E19">
        <w:rPr>
          <w:rFonts w:ascii="Book Antiqua" w:eastAsia="Book Antiqua" w:hAnsi="Book Antiqua" w:cs="Book Antiqua"/>
          <w:color w:val="000000"/>
        </w:rPr>
        <w:t>: 2068-2101 [PMID: 7522621 DOI: 10.1182/blood.V84.7.2068.2068]</w:t>
      </w:r>
    </w:p>
    <w:p w14:paraId="4AA891B9"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5 </w:t>
      </w:r>
      <w:proofErr w:type="spellStart"/>
      <w:r w:rsidRPr="00C76E19">
        <w:rPr>
          <w:rFonts w:ascii="Book Antiqua" w:eastAsia="Book Antiqua" w:hAnsi="Book Antiqua" w:cs="Book Antiqua"/>
          <w:b/>
          <w:bCs/>
          <w:color w:val="000000"/>
        </w:rPr>
        <w:t>Hanauer</w:t>
      </w:r>
      <w:proofErr w:type="spellEnd"/>
      <w:r w:rsidRPr="00C76E19">
        <w:rPr>
          <w:rFonts w:ascii="Book Antiqua" w:eastAsia="Book Antiqua" w:hAnsi="Book Antiqua" w:cs="Book Antiqua"/>
          <w:b/>
          <w:bCs/>
          <w:color w:val="000000"/>
        </w:rPr>
        <w:t xml:space="preserve"> SB</w:t>
      </w:r>
      <w:r w:rsidRPr="00C76E19">
        <w:rPr>
          <w:rFonts w:ascii="Book Antiqua" w:eastAsia="Book Antiqua" w:hAnsi="Book Antiqua" w:cs="Book Antiqua"/>
          <w:color w:val="000000"/>
        </w:rPr>
        <w:t xml:space="preserve">, </w:t>
      </w:r>
      <w:proofErr w:type="spellStart"/>
      <w:r w:rsidRPr="00C76E19">
        <w:rPr>
          <w:rFonts w:ascii="Book Antiqua" w:eastAsia="Book Antiqua" w:hAnsi="Book Antiqua" w:cs="Book Antiqua"/>
          <w:color w:val="000000"/>
        </w:rPr>
        <w:t>Feagan</w:t>
      </w:r>
      <w:proofErr w:type="spellEnd"/>
      <w:r w:rsidRPr="00C76E19">
        <w:rPr>
          <w:rFonts w:ascii="Book Antiqua" w:eastAsia="Book Antiqua" w:hAnsi="Book Antiqua" w:cs="Book Antiqua"/>
          <w:color w:val="000000"/>
        </w:rPr>
        <w:t xml:space="preserve"> BG, Lichtenstein GR, Mayer LF, Schreiber S, </w:t>
      </w:r>
      <w:proofErr w:type="spellStart"/>
      <w:r w:rsidRPr="00C76E19">
        <w:rPr>
          <w:rFonts w:ascii="Book Antiqua" w:eastAsia="Book Antiqua" w:hAnsi="Book Antiqua" w:cs="Book Antiqua"/>
          <w:color w:val="000000"/>
        </w:rPr>
        <w:t>Colombel</w:t>
      </w:r>
      <w:proofErr w:type="spellEnd"/>
      <w:r w:rsidRPr="00C76E19">
        <w:rPr>
          <w:rFonts w:ascii="Book Antiqua" w:eastAsia="Book Antiqua" w:hAnsi="Book Antiqua" w:cs="Book Antiqua"/>
          <w:color w:val="000000"/>
        </w:rPr>
        <w:t xml:space="preserve"> JF, </w:t>
      </w:r>
      <w:proofErr w:type="spellStart"/>
      <w:r w:rsidRPr="00C76E19">
        <w:rPr>
          <w:rFonts w:ascii="Book Antiqua" w:eastAsia="Book Antiqua" w:hAnsi="Book Antiqua" w:cs="Book Antiqua"/>
          <w:color w:val="000000"/>
        </w:rPr>
        <w:t>Rachmilewitz</w:t>
      </w:r>
      <w:proofErr w:type="spellEnd"/>
      <w:r w:rsidRPr="00C76E19">
        <w:rPr>
          <w:rFonts w:ascii="Book Antiqua" w:eastAsia="Book Antiqua" w:hAnsi="Book Antiqua" w:cs="Book Antiqua"/>
          <w:color w:val="000000"/>
        </w:rPr>
        <w:t xml:space="preserve"> D, Wolf DC, Olson A, Bao W, </w:t>
      </w:r>
      <w:proofErr w:type="spellStart"/>
      <w:r w:rsidRPr="00C76E19">
        <w:rPr>
          <w:rFonts w:ascii="Book Antiqua" w:eastAsia="Book Antiqua" w:hAnsi="Book Antiqua" w:cs="Book Antiqua"/>
          <w:color w:val="000000"/>
        </w:rPr>
        <w:t>Rutgeerts</w:t>
      </w:r>
      <w:proofErr w:type="spellEnd"/>
      <w:r w:rsidRPr="00C76E19">
        <w:rPr>
          <w:rFonts w:ascii="Book Antiqua" w:eastAsia="Book Antiqua" w:hAnsi="Book Antiqua" w:cs="Book Antiqua"/>
          <w:color w:val="000000"/>
        </w:rPr>
        <w:t xml:space="preserve"> P; ACCENT I Study Group. Maintenance infliximab for Crohn's disease: the ACCENT I </w:t>
      </w:r>
      <w:proofErr w:type="spellStart"/>
      <w:r w:rsidRPr="00C76E19">
        <w:rPr>
          <w:rFonts w:ascii="Book Antiqua" w:eastAsia="Book Antiqua" w:hAnsi="Book Antiqua" w:cs="Book Antiqua"/>
          <w:color w:val="000000"/>
        </w:rPr>
        <w:t>randomised</w:t>
      </w:r>
      <w:proofErr w:type="spellEnd"/>
      <w:r w:rsidRPr="00C76E19">
        <w:rPr>
          <w:rFonts w:ascii="Book Antiqua" w:eastAsia="Book Antiqua" w:hAnsi="Book Antiqua" w:cs="Book Antiqua"/>
          <w:color w:val="000000"/>
        </w:rPr>
        <w:t xml:space="preserve"> trial. </w:t>
      </w:r>
      <w:r w:rsidRPr="00C76E19">
        <w:rPr>
          <w:rFonts w:ascii="Book Antiqua" w:eastAsia="Book Antiqua" w:hAnsi="Book Antiqua" w:cs="Book Antiqua"/>
          <w:i/>
          <w:iCs/>
          <w:color w:val="000000"/>
        </w:rPr>
        <w:t>Lancet</w:t>
      </w:r>
      <w:r w:rsidRPr="00C76E19">
        <w:rPr>
          <w:rFonts w:ascii="Book Antiqua" w:eastAsia="Book Antiqua" w:hAnsi="Book Antiqua" w:cs="Book Antiqua"/>
          <w:color w:val="000000"/>
        </w:rPr>
        <w:t xml:space="preserve"> 2002; </w:t>
      </w:r>
      <w:r w:rsidRPr="00C76E19">
        <w:rPr>
          <w:rFonts w:ascii="Book Antiqua" w:eastAsia="Book Antiqua" w:hAnsi="Book Antiqua" w:cs="Book Antiqua"/>
          <w:b/>
          <w:bCs/>
          <w:color w:val="000000"/>
        </w:rPr>
        <w:t>359</w:t>
      </w:r>
      <w:r w:rsidRPr="00C76E19">
        <w:rPr>
          <w:rFonts w:ascii="Book Antiqua" w:eastAsia="Book Antiqua" w:hAnsi="Book Antiqua" w:cs="Book Antiqua"/>
          <w:color w:val="000000"/>
        </w:rPr>
        <w:t>: 1541-1549 [PMID: 12047962 DOI: 10.1016/S0140-6736(02)08512-4]</w:t>
      </w:r>
    </w:p>
    <w:p w14:paraId="3FEB5088"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6 </w:t>
      </w:r>
      <w:r w:rsidRPr="00C76E19">
        <w:rPr>
          <w:rFonts w:ascii="Book Antiqua" w:eastAsia="Book Antiqua" w:hAnsi="Book Antiqua" w:cs="Book Antiqua"/>
          <w:b/>
          <w:bCs/>
          <w:color w:val="000000"/>
        </w:rPr>
        <w:t>Zheng JJ</w:t>
      </w:r>
      <w:r w:rsidRPr="00C76E19">
        <w:rPr>
          <w:rFonts w:ascii="Book Antiqua" w:eastAsia="Book Antiqua" w:hAnsi="Book Antiqua" w:cs="Book Antiqua"/>
          <w:color w:val="000000"/>
        </w:rPr>
        <w:t xml:space="preserve">, Zhu XS, </w:t>
      </w:r>
      <w:proofErr w:type="spellStart"/>
      <w:r w:rsidRPr="00C76E19">
        <w:rPr>
          <w:rFonts w:ascii="Book Antiqua" w:eastAsia="Book Antiqua" w:hAnsi="Book Antiqua" w:cs="Book Antiqua"/>
          <w:color w:val="000000"/>
        </w:rPr>
        <w:t>Huangfu</w:t>
      </w:r>
      <w:proofErr w:type="spellEnd"/>
      <w:r w:rsidRPr="00C76E19">
        <w:rPr>
          <w:rFonts w:ascii="Book Antiqua" w:eastAsia="Book Antiqua" w:hAnsi="Book Antiqua" w:cs="Book Antiqua"/>
          <w:color w:val="000000"/>
        </w:rPr>
        <w:t xml:space="preserve"> Z, Shi XH, Guo ZR. Prevalence and incidence rates of Crohn's disease in mainland China: a meta-analysis of 55 years of research. </w:t>
      </w:r>
      <w:r w:rsidRPr="00C76E19">
        <w:rPr>
          <w:rFonts w:ascii="Book Antiqua" w:eastAsia="Book Antiqua" w:hAnsi="Book Antiqua" w:cs="Book Antiqua"/>
          <w:i/>
          <w:iCs/>
          <w:color w:val="000000"/>
        </w:rPr>
        <w:t>J Dig Dis</w:t>
      </w:r>
      <w:r w:rsidRPr="00C76E19">
        <w:rPr>
          <w:rFonts w:ascii="Book Antiqua" w:eastAsia="Book Antiqua" w:hAnsi="Book Antiqua" w:cs="Book Antiqua"/>
          <w:color w:val="000000"/>
        </w:rPr>
        <w:t xml:space="preserve"> 2010; </w:t>
      </w:r>
      <w:r w:rsidRPr="00C76E19">
        <w:rPr>
          <w:rFonts w:ascii="Book Antiqua" w:eastAsia="Book Antiqua" w:hAnsi="Book Antiqua" w:cs="Book Antiqua"/>
          <w:b/>
          <w:bCs/>
          <w:color w:val="000000"/>
        </w:rPr>
        <w:t>11</w:t>
      </w:r>
      <w:r w:rsidRPr="00C76E19">
        <w:rPr>
          <w:rFonts w:ascii="Book Antiqua" w:eastAsia="Book Antiqua" w:hAnsi="Book Antiqua" w:cs="Book Antiqua"/>
          <w:color w:val="000000"/>
        </w:rPr>
        <w:t>: 161-166 [PMID: 20579219 DOI: 10.1111/j.1751-2980.2010.00431.x]</w:t>
      </w:r>
    </w:p>
    <w:p w14:paraId="417D4194"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7 </w:t>
      </w:r>
      <w:proofErr w:type="spellStart"/>
      <w:r w:rsidRPr="00C76E19">
        <w:rPr>
          <w:rFonts w:ascii="Book Antiqua" w:eastAsia="Book Antiqua" w:hAnsi="Book Antiqua" w:cs="Book Antiqua"/>
          <w:b/>
          <w:bCs/>
          <w:color w:val="000000"/>
        </w:rPr>
        <w:t>Vermeire</w:t>
      </w:r>
      <w:proofErr w:type="spellEnd"/>
      <w:r w:rsidRPr="00C76E19">
        <w:rPr>
          <w:rFonts w:ascii="Book Antiqua" w:eastAsia="Book Antiqua" w:hAnsi="Book Antiqua" w:cs="Book Antiqua"/>
          <w:b/>
          <w:bCs/>
          <w:color w:val="000000"/>
        </w:rPr>
        <w:t xml:space="preserve"> S</w:t>
      </w:r>
      <w:r w:rsidRPr="00C76E19">
        <w:rPr>
          <w:rFonts w:ascii="Book Antiqua" w:eastAsia="Book Antiqua" w:hAnsi="Book Antiqua" w:cs="Book Antiqua"/>
          <w:color w:val="000000"/>
        </w:rPr>
        <w:t xml:space="preserve">, Schreiber S, </w:t>
      </w:r>
      <w:proofErr w:type="spellStart"/>
      <w:r w:rsidRPr="00C76E19">
        <w:rPr>
          <w:rFonts w:ascii="Book Antiqua" w:eastAsia="Book Antiqua" w:hAnsi="Book Antiqua" w:cs="Book Antiqua"/>
          <w:color w:val="000000"/>
        </w:rPr>
        <w:t>Sandborn</w:t>
      </w:r>
      <w:proofErr w:type="spellEnd"/>
      <w:r w:rsidRPr="00C76E19">
        <w:rPr>
          <w:rFonts w:ascii="Book Antiqua" w:eastAsia="Book Antiqua" w:hAnsi="Book Antiqua" w:cs="Book Antiqua"/>
          <w:color w:val="000000"/>
        </w:rPr>
        <w:t xml:space="preserve"> WJ, Dubois C, </w:t>
      </w:r>
      <w:proofErr w:type="spellStart"/>
      <w:r w:rsidRPr="00C76E19">
        <w:rPr>
          <w:rFonts w:ascii="Book Antiqua" w:eastAsia="Book Antiqua" w:hAnsi="Book Antiqua" w:cs="Book Antiqua"/>
          <w:color w:val="000000"/>
        </w:rPr>
        <w:t>Rutgeerts</w:t>
      </w:r>
      <w:proofErr w:type="spellEnd"/>
      <w:r w:rsidRPr="00C76E19">
        <w:rPr>
          <w:rFonts w:ascii="Book Antiqua" w:eastAsia="Book Antiqua" w:hAnsi="Book Antiqua" w:cs="Book Antiqua"/>
          <w:color w:val="000000"/>
        </w:rPr>
        <w:t xml:space="preserve"> P. Correlation between the Crohn's disease activity and Harvey-Bradshaw indices in assessing Crohn's disease severity. </w:t>
      </w:r>
      <w:r w:rsidRPr="00C76E19">
        <w:rPr>
          <w:rFonts w:ascii="Book Antiqua" w:eastAsia="Book Antiqua" w:hAnsi="Book Antiqua" w:cs="Book Antiqua"/>
          <w:i/>
          <w:iCs/>
          <w:color w:val="000000"/>
        </w:rPr>
        <w:t>Clin Gastroenterol Hepatol</w:t>
      </w:r>
      <w:r w:rsidRPr="00C76E19">
        <w:rPr>
          <w:rFonts w:ascii="Book Antiqua" w:eastAsia="Book Antiqua" w:hAnsi="Book Antiqua" w:cs="Book Antiqua"/>
          <w:color w:val="000000"/>
        </w:rPr>
        <w:t xml:space="preserve"> 2010; </w:t>
      </w:r>
      <w:r w:rsidRPr="00C76E19">
        <w:rPr>
          <w:rFonts w:ascii="Book Antiqua" w:eastAsia="Book Antiqua" w:hAnsi="Book Antiqua" w:cs="Book Antiqua"/>
          <w:b/>
          <w:bCs/>
          <w:color w:val="000000"/>
        </w:rPr>
        <w:t>8</w:t>
      </w:r>
      <w:r w:rsidRPr="00C76E19">
        <w:rPr>
          <w:rFonts w:ascii="Book Antiqua" w:eastAsia="Book Antiqua" w:hAnsi="Book Antiqua" w:cs="Book Antiqua"/>
          <w:color w:val="000000"/>
        </w:rPr>
        <w:t>: 357-363 [PMID: 20096379 DOI: 10.1016/j.cgh.2010.01.001]</w:t>
      </w:r>
    </w:p>
    <w:p w14:paraId="7D49B23D"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8 </w:t>
      </w:r>
      <w:r w:rsidRPr="00C76E19">
        <w:rPr>
          <w:rFonts w:ascii="Book Antiqua" w:eastAsia="Book Antiqua" w:hAnsi="Book Antiqua" w:cs="Book Antiqua"/>
          <w:b/>
          <w:bCs/>
          <w:color w:val="000000"/>
        </w:rPr>
        <w:t>Lichtenstein GR</w:t>
      </w:r>
      <w:r w:rsidRPr="00C76E19">
        <w:rPr>
          <w:rFonts w:ascii="Book Antiqua" w:eastAsia="Book Antiqua" w:hAnsi="Book Antiqua" w:cs="Book Antiqua"/>
          <w:color w:val="000000"/>
        </w:rPr>
        <w:t xml:space="preserve">, Diamond RH, Wagner CL, </w:t>
      </w:r>
      <w:proofErr w:type="spellStart"/>
      <w:r w:rsidRPr="00C76E19">
        <w:rPr>
          <w:rFonts w:ascii="Book Antiqua" w:eastAsia="Book Antiqua" w:hAnsi="Book Antiqua" w:cs="Book Antiqua"/>
          <w:color w:val="000000"/>
        </w:rPr>
        <w:t>Fasanmade</w:t>
      </w:r>
      <w:proofErr w:type="spellEnd"/>
      <w:r w:rsidRPr="00C76E19">
        <w:rPr>
          <w:rFonts w:ascii="Book Antiqua" w:eastAsia="Book Antiqua" w:hAnsi="Book Antiqua" w:cs="Book Antiqua"/>
          <w:color w:val="000000"/>
        </w:rPr>
        <w:t xml:space="preserve"> AA, Olson AD, </w:t>
      </w:r>
      <w:proofErr w:type="spellStart"/>
      <w:r w:rsidRPr="00C76E19">
        <w:rPr>
          <w:rFonts w:ascii="Book Antiqua" w:eastAsia="Book Antiqua" w:hAnsi="Book Antiqua" w:cs="Book Antiqua"/>
          <w:color w:val="000000"/>
        </w:rPr>
        <w:t>Marano</w:t>
      </w:r>
      <w:proofErr w:type="spellEnd"/>
      <w:r w:rsidRPr="00C76E19">
        <w:rPr>
          <w:rFonts w:ascii="Book Antiqua" w:eastAsia="Book Antiqua" w:hAnsi="Book Antiqua" w:cs="Book Antiqua"/>
          <w:color w:val="000000"/>
        </w:rPr>
        <w:t xml:space="preserve"> CW, </w:t>
      </w:r>
      <w:proofErr w:type="spellStart"/>
      <w:r w:rsidRPr="00C76E19">
        <w:rPr>
          <w:rFonts w:ascii="Book Antiqua" w:eastAsia="Book Antiqua" w:hAnsi="Book Antiqua" w:cs="Book Antiqua"/>
          <w:color w:val="000000"/>
        </w:rPr>
        <w:t>Johanns</w:t>
      </w:r>
      <w:proofErr w:type="spellEnd"/>
      <w:r w:rsidRPr="00C76E19">
        <w:rPr>
          <w:rFonts w:ascii="Book Antiqua" w:eastAsia="Book Antiqua" w:hAnsi="Book Antiqua" w:cs="Book Antiqua"/>
          <w:color w:val="000000"/>
        </w:rPr>
        <w:t xml:space="preserve"> J, Lang Y, </w:t>
      </w:r>
      <w:proofErr w:type="spellStart"/>
      <w:r w:rsidRPr="00C76E19">
        <w:rPr>
          <w:rFonts w:ascii="Book Antiqua" w:eastAsia="Book Antiqua" w:hAnsi="Book Antiqua" w:cs="Book Antiqua"/>
          <w:color w:val="000000"/>
        </w:rPr>
        <w:t>Sandborn</w:t>
      </w:r>
      <w:proofErr w:type="spellEnd"/>
      <w:r w:rsidRPr="00C76E19">
        <w:rPr>
          <w:rFonts w:ascii="Book Antiqua" w:eastAsia="Book Antiqua" w:hAnsi="Book Antiqua" w:cs="Book Antiqua"/>
          <w:color w:val="000000"/>
        </w:rPr>
        <w:t xml:space="preserve"> WJ. Clinical trial: benefits and risks of immunomodulators and maintenance infliximab for IBD-subgroup analyses across four randomized trials. </w:t>
      </w:r>
      <w:r w:rsidRPr="00C76E19">
        <w:rPr>
          <w:rFonts w:ascii="Book Antiqua" w:eastAsia="Book Antiqua" w:hAnsi="Book Antiqua" w:cs="Book Antiqua"/>
          <w:i/>
          <w:iCs/>
          <w:color w:val="000000"/>
        </w:rPr>
        <w:t xml:space="preserve">Aliment </w:t>
      </w:r>
      <w:proofErr w:type="spellStart"/>
      <w:r w:rsidRPr="00C76E19">
        <w:rPr>
          <w:rFonts w:ascii="Book Antiqua" w:eastAsia="Book Antiqua" w:hAnsi="Book Antiqua" w:cs="Book Antiqua"/>
          <w:i/>
          <w:iCs/>
          <w:color w:val="000000"/>
        </w:rPr>
        <w:t>Pharmacol</w:t>
      </w:r>
      <w:proofErr w:type="spellEnd"/>
      <w:r w:rsidRPr="00C76E19">
        <w:rPr>
          <w:rFonts w:ascii="Book Antiqua" w:eastAsia="Book Antiqua" w:hAnsi="Book Antiqua" w:cs="Book Antiqua"/>
          <w:i/>
          <w:iCs/>
          <w:color w:val="000000"/>
        </w:rPr>
        <w:t xml:space="preserve"> </w:t>
      </w:r>
      <w:proofErr w:type="spellStart"/>
      <w:r w:rsidRPr="00C76E19">
        <w:rPr>
          <w:rFonts w:ascii="Book Antiqua" w:eastAsia="Book Antiqua" w:hAnsi="Book Antiqua" w:cs="Book Antiqua"/>
          <w:i/>
          <w:iCs/>
          <w:color w:val="000000"/>
        </w:rPr>
        <w:t>Ther</w:t>
      </w:r>
      <w:proofErr w:type="spellEnd"/>
      <w:r w:rsidRPr="00C76E19">
        <w:rPr>
          <w:rFonts w:ascii="Book Antiqua" w:eastAsia="Book Antiqua" w:hAnsi="Book Antiqua" w:cs="Book Antiqua"/>
          <w:color w:val="000000"/>
        </w:rPr>
        <w:t xml:space="preserve"> 2009; </w:t>
      </w:r>
      <w:r w:rsidRPr="00C76E19">
        <w:rPr>
          <w:rFonts w:ascii="Book Antiqua" w:eastAsia="Book Antiqua" w:hAnsi="Book Antiqua" w:cs="Book Antiqua"/>
          <w:b/>
          <w:bCs/>
          <w:color w:val="000000"/>
        </w:rPr>
        <w:t>30</w:t>
      </w:r>
      <w:r w:rsidRPr="00C76E19">
        <w:rPr>
          <w:rFonts w:ascii="Book Antiqua" w:eastAsia="Book Antiqua" w:hAnsi="Book Antiqua" w:cs="Book Antiqua"/>
          <w:color w:val="000000"/>
        </w:rPr>
        <w:t>: 210-226 [PMID: 19392858 DOI: 10.1111/j.1365-2036.2009.04027.x]</w:t>
      </w:r>
    </w:p>
    <w:p w14:paraId="0F47C872"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9 </w:t>
      </w:r>
      <w:proofErr w:type="spellStart"/>
      <w:r w:rsidRPr="00C76E19">
        <w:rPr>
          <w:rFonts w:ascii="Book Antiqua" w:eastAsia="Book Antiqua" w:hAnsi="Book Antiqua" w:cs="Book Antiqua"/>
          <w:b/>
          <w:bCs/>
          <w:color w:val="000000"/>
        </w:rPr>
        <w:t>Colombel</w:t>
      </w:r>
      <w:proofErr w:type="spellEnd"/>
      <w:r w:rsidRPr="00C76E19">
        <w:rPr>
          <w:rFonts w:ascii="Book Antiqua" w:eastAsia="Book Antiqua" w:hAnsi="Book Antiqua" w:cs="Book Antiqua"/>
          <w:b/>
          <w:bCs/>
          <w:color w:val="000000"/>
        </w:rPr>
        <w:t xml:space="preserve"> JF</w:t>
      </w:r>
      <w:r w:rsidRPr="00C76E19">
        <w:rPr>
          <w:rFonts w:ascii="Book Antiqua" w:eastAsia="Book Antiqua" w:hAnsi="Book Antiqua" w:cs="Book Antiqua"/>
          <w:color w:val="000000"/>
        </w:rPr>
        <w:t xml:space="preserve">, </w:t>
      </w:r>
      <w:proofErr w:type="spellStart"/>
      <w:r w:rsidRPr="00C76E19">
        <w:rPr>
          <w:rFonts w:ascii="Book Antiqua" w:eastAsia="Book Antiqua" w:hAnsi="Book Antiqua" w:cs="Book Antiqua"/>
          <w:color w:val="000000"/>
        </w:rPr>
        <w:t>Sandborn</w:t>
      </w:r>
      <w:proofErr w:type="spellEnd"/>
      <w:r w:rsidRPr="00C76E19">
        <w:rPr>
          <w:rFonts w:ascii="Book Antiqua" w:eastAsia="Book Antiqua" w:hAnsi="Book Antiqua" w:cs="Book Antiqua"/>
          <w:color w:val="000000"/>
        </w:rPr>
        <w:t xml:space="preserve"> WJ, </w:t>
      </w:r>
      <w:proofErr w:type="spellStart"/>
      <w:r w:rsidRPr="00C76E19">
        <w:rPr>
          <w:rFonts w:ascii="Book Antiqua" w:eastAsia="Book Antiqua" w:hAnsi="Book Antiqua" w:cs="Book Antiqua"/>
          <w:color w:val="000000"/>
        </w:rPr>
        <w:t>Reinisch</w:t>
      </w:r>
      <w:proofErr w:type="spellEnd"/>
      <w:r w:rsidRPr="00C76E19">
        <w:rPr>
          <w:rFonts w:ascii="Book Antiqua" w:eastAsia="Book Antiqua" w:hAnsi="Book Antiqua" w:cs="Book Antiqua"/>
          <w:color w:val="000000"/>
        </w:rPr>
        <w:t xml:space="preserve"> W, </w:t>
      </w:r>
      <w:proofErr w:type="spellStart"/>
      <w:r w:rsidRPr="00C76E19">
        <w:rPr>
          <w:rFonts w:ascii="Book Antiqua" w:eastAsia="Book Antiqua" w:hAnsi="Book Antiqua" w:cs="Book Antiqua"/>
          <w:color w:val="000000"/>
        </w:rPr>
        <w:t>Mantzaris</w:t>
      </w:r>
      <w:proofErr w:type="spellEnd"/>
      <w:r w:rsidRPr="00C76E19">
        <w:rPr>
          <w:rFonts w:ascii="Book Antiqua" w:eastAsia="Book Antiqua" w:hAnsi="Book Antiqua" w:cs="Book Antiqua"/>
          <w:color w:val="000000"/>
        </w:rPr>
        <w:t xml:space="preserve"> GJ, Kornbluth A, </w:t>
      </w:r>
      <w:proofErr w:type="spellStart"/>
      <w:r w:rsidRPr="00C76E19">
        <w:rPr>
          <w:rFonts w:ascii="Book Antiqua" w:eastAsia="Book Antiqua" w:hAnsi="Book Antiqua" w:cs="Book Antiqua"/>
          <w:color w:val="000000"/>
        </w:rPr>
        <w:t>Rachmilewitz</w:t>
      </w:r>
      <w:proofErr w:type="spellEnd"/>
      <w:r w:rsidRPr="00C76E19">
        <w:rPr>
          <w:rFonts w:ascii="Book Antiqua" w:eastAsia="Book Antiqua" w:hAnsi="Book Antiqua" w:cs="Book Antiqua"/>
          <w:color w:val="000000"/>
        </w:rPr>
        <w:t xml:space="preserve"> D, </w:t>
      </w:r>
      <w:proofErr w:type="spellStart"/>
      <w:r w:rsidRPr="00C76E19">
        <w:rPr>
          <w:rFonts w:ascii="Book Antiqua" w:eastAsia="Book Antiqua" w:hAnsi="Book Antiqua" w:cs="Book Antiqua"/>
          <w:color w:val="000000"/>
        </w:rPr>
        <w:t>Lichtiger</w:t>
      </w:r>
      <w:proofErr w:type="spellEnd"/>
      <w:r w:rsidRPr="00C76E19">
        <w:rPr>
          <w:rFonts w:ascii="Book Antiqua" w:eastAsia="Book Antiqua" w:hAnsi="Book Antiqua" w:cs="Book Antiqua"/>
          <w:color w:val="000000"/>
        </w:rPr>
        <w:t xml:space="preserve"> S, </w:t>
      </w:r>
      <w:proofErr w:type="spellStart"/>
      <w:r w:rsidRPr="00C76E19">
        <w:rPr>
          <w:rFonts w:ascii="Book Antiqua" w:eastAsia="Book Antiqua" w:hAnsi="Book Antiqua" w:cs="Book Antiqua"/>
          <w:color w:val="000000"/>
        </w:rPr>
        <w:t>D'Haens</w:t>
      </w:r>
      <w:proofErr w:type="spellEnd"/>
      <w:r w:rsidRPr="00C76E19">
        <w:rPr>
          <w:rFonts w:ascii="Book Antiqua" w:eastAsia="Book Antiqua" w:hAnsi="Book Antiqua" w:cs="Book Antiqua"/>
          <w:color w:val="000000"/>
        </w:rPr>
        <w:t xml:space="preserve"> G, Diamond RH, Broussard DL, Tang KL, van der </w:t>
      </w:r>
      <w:proofErr w:type="spellStart"/>
      <w:r w:rsidRPr="00C76E19">
        <w:rPr>
          <w:rFonts w:ascii="Book Antiqua" w:eastAsia="Book Antiqua" w:hAnsi="Book Antiqua" w:cs="Book Antiqua"/>
          <w:color w:val="000000"/>
        </w:rPr>
        <w:t>Woude</w:t>
      </w:r>
      <w:proofErr w:type="spellEnd"/>
      <w:r w:rsidRPr="00C76E19">
        <w:rPr>
          <w:rFonts w:ascii="Book Antiqua" w:eastAsia="Book Antiqua" w:hAnsi="Book Antiqua" w:cs="Book Antiqua"/>
          <w:color w:val="000000"/>
        </w:rPr>
        <w:t xml:space="preserve"> CJ, </w:t>
      </w:r>
      <w:proofErr w:type="spellStart"/>
      <w:r w:rsidRPr="00C76E19">
        <w:rPr>
          <w:rFonts w:ascii="Book Antiqua" w:eastAsia="Book Antiqua" w:hAnsi="Book Antiqua" w:cs="Book Antiqua"/>
          <w:color w:val="000000"/>
        </w:rPr>
        <w:t>Rutgeerts</w:t>
      </w:r>
      <w:proofErr w:type="spellEnd"/>
      <w:r w:rsidRPr="00C76E19">
        <w:rPr>
          <w:rFonts w:ascii="Book Antiqua" w:eastAsia="Book Antiqua" w:hAnsi="Book Antiqua" w:cs="Book Antiqua"/>
          <w:color w:val="000000"/>
        </w:rPr>
        <w:t xml:space="preserve"> P; SONIC Study Group. Infliximab, azathioprine, or combination therapy for Crohn's disease. </w:t>
      </w:r>
      <w:r w:rsidRPr="00C76E19">
        <w:rPr>
          <w:rFonts w:ascii="Book Antiqua" w:eastAsia="Book Antiqua" w:hAnsi="Book Antiqua" w:cs="Book Antiqua"/>
          <w:i/>
          <w:iCs/>
          <w:color w:val="000000"/>
        </w:rPr>
        <w:t xml:space="preserve">N </w:t>
      </w:r>
      <w:proofErr w:type="spellStart"/>
      <w:r w:rsidRPr="00C76E19">
        <w:rPr>
          <w:rFonts w:ascii="Book Antiqua" w:eastAsia="Book Antiqua" w:hAnsi="Book Antiqua" w:cs="Book Antiqua"/>
          <w:i/>
          <w:iCs/>
          <w:color w:val="000000"/>
        </w:rPr>
        <w:t>Engl</w:t>
      </w:r>
      <w:proofErr w:type="spellEnd"/>
      <w:r w:rsidRPr="00C76E19">
        <w:rPr>
          <w:rFonts w:ascii="Book Antiqua" w:eastAsia="Book Antiqua" w:hAnsi="Book Antiqua" w:cs="Book Antiqua"/>
          <w:i/>
          <w:iCs/>
          <w:color w:val="000000"/>
        </w:rPr>
        <w:t xml:space="preserve"> J Med</w:t>
      </w:r>
      <w:r w:rsidRPr="00C76E19">
        <w:rPr>
          <w:rFonts w:ascii="Book Antiqua" w:eastAsia="Book Antiqua" w:hAnsi="Book Antiqua" w:cs="Book Antiqua"/>
          <w:color w:val="000000"/>
        </w:rPr>
        <w:t xml:space="preserve"> 2010; </w:t>
      </w:r>
      <w:r w:rsidRPr="00C76E19">
        <w:rPr>
          <w:rFonts w:ascii="Book Antiqua" w:eastAsia="Book Antiqua" w:hAnsi="Book Antiqua" w:cs="Book Antiqua"/>
          <w:b/>
          <w:bCs/>
          <w:color w:val="000000"/>
        </w:rPr>
        <w:t>362</w:t>
      </w:r>
      <w:r w:rsidRPr="00C76E19">
        <w:rPr>
          <w:rFonts w:ascii="Book Antiqua" w:eastAsia="Book Antiqua" w:hAnsi="Book Antiqua" w:cs="Book Antiqua"/>
          <w:color w:val="000000"/>
        </w:rPr>
        <w:t>: 1383-1395 [PMID: 20393175 DOI: 10.1056/NEJMoa0904492]</w:t>
      </w:r>
    </w:p>
    <w:p w14:paraId="4FE181AC"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10 </w:t>
      </w:r>
      <w:proofErr w:type="spellStart"/>
      <w:r w:rsidRPr="00C76E19">
        <w:rPr>
          <w:rFonts w:ascii="Book Antiqua" w:eastAsia="Book Antiqua" w:hAnsi="Book Antiqua" w:cs="Book Antiqua"/>
          <w:b/>
          <w:bCs/>
          <w:color w:val="000000"/>
        </w:rPr>
        <w:t>D'Haens</w:t>
      </w:r>
      <w:proofErr w:type="spellEnd"/>
      <w:r w:rsidRPr="00C76E19">
        <w:rPr>
          <w:rFonts w:ascii="Book Antiqua" w:eastAsia="Book Antiqua" w:hAnsi="Book Antiqua" w:cs="Book Antiqua"/>
          <w:b/>
          <w:bCs/>
          <w:color w:val="000000"/>
        </w:rPr>
        <w:t xml:space="preserve"> G</w:t>
      </w:r>
      <w:r w:rsidRPr="00C76E19">
        <w:rPr>
          <w:rFonts w:ascii="Book Antiqua" w:eastAsia="Book Antiqua" w:hAnsi="Book Antiqua" w:cs="Book Antiqua"/>
          <w:color w:val="000000"/>
        </w:rPr>
        <w:t xml:space="preserve">, </w:t>
      </w:r>
      <w:proofErr w:type="spellStart"/>
      <w:r w:rsidRPr="00C76E19">
        <w:rPr>
          <w:rFonts w:ascii="Book Antiqua" w:eastAsia="Book Antiqua" w:hAnsi="Book Antiqua" w:cs="Book Antiqua"/>
          <w:color w:val="000000"/>
        </w:rPr>
        <w:t>Baert</w:t>
      </w:r>
      <w:proofErr w:type="spellEnd"/>
      <w:r w:rsidRPr="00C76E19">
        <w:rPr>
          <w:rFonts w:ascii="Book Antiqua" w:eastAsia="Book Antiqua" w:hAnsi="Book Antiqua" w:cs="Book Antiqua"/>
          <w:color w:val="000000"/>
        </w:rPr>
        <w:t xml:space="preserve"> F, van </w:t>
      </w:r>
      <w:proofErr w:type="spellStart"/>
      <w:r w:rsidRPr="00C76E19">
        <w:rPr>
          <w:rFonts w:ascii="Book Antiqua" w:eastAsia="Book Antiqua" w:hAnsi="Book Antiqua" w:cs="Book Antiqua"/>
          <w:color w:val="000000"/>
        </w:rPr>
        <w:t>Assche</w:t>
      </w:r>
      <w:proofErr w:type="spellEnd"/>
      <w:r w:rsidRPr="00C76E19">
        <w:rPr>
          <w:rFonts w:ascii="Book Antiqua" w:eastAsia="Book Antiqua" w:hAnsi="Book Antiqua" w:cs="Book Antiqua"/>
          <w:color w:val="000000"/>
        </w:rPr>
        <w:t xml:space="preserve"> G, </w:t>
      </w:r>
      <w:proofErr w:type="spellStart"/>
      <w:r w:rsidRPr="00C76E19">
        <w:rPr>
          <w:rFonts w:ascii="Book Antiqua" w:eastAsia="Book Antiqua" w:hAnsi="Book Antiqua" w:cs="Book Antiqua"/>
          <w:color w:val="000000"/>
        </w:rPr>
        <w:t>Caenepeel</w:t>
      </w:r>
      <w:proofErr w:type="spellEnd"/>
      <w:r w:rsidRPr="00C76E19">
        <w:rPr>
          <w:rFonts w:ascii="Book Antiqua" w:eastAsia="Book Antiqua" w:hAnsi="Book Antiqua" w:cs="Book Antiqua"/>
          <w:color w:val="000000"/>
        </w:rPr>
        <w:t xml:space="preserve"> P, </w:t>
      </w:r>
      <w:proofErr w:type="spellStart"/>
      <w:r w:rsidRPr="00C76E19">
        <w:rPr>
          <w:rFonts w:ascii="Book Antiqua" w:eastAsia="Book Antiqua" w:hAnsi="Book Antiqua" w:cs="Book Antiqua"/>
          <w:color w:val="000000"/>
        </w:rPr>
        <w:t>Vergauwe</w:t>
      </w:r>
      <w:proofErr w:type="spellEnd"/>
      <w:r w:rsidRPr="00C76E19">
        <w:rPr>
          <w:rFonts w:ascii="Book Antiqua" w:eastAsia="Book Antiqua" w:hAnsi="Book Antiqua" w:cs="Book Antiqua"/>
          <w:color w:val="000000"/>
        </w:rPr>
        <w:t xml:space="preserve"> P, </w:t>
      </w:r>
      <w:proofErr w:type="spellStart"/>
      <w:r w:rsidRPr="00C76E19">
        <w:rPr>
          <w:rFonts w:ascii="Book Antiqua" w:eastAsia="Book Antiqua" w:hAnsi="Book Antiqua" w:cs="Book Antiqua"/>
          <w:color w:val="000000"/>
        </w:rPr>
        <w:t>Tuynman</w:t>
      </w:r>
      <w:proofErr w:type="spellEnd"/>
      <w:r w:rsidRPr="00C76E19">
        <w:rPr>
          <w:rFonts w:ascii="Book Antiqua" w:eastAsia="Book Antiqua" w:hAnsi="Book Antiqua" w:cs="Book Antiqua"/>
          <w:color w:val="000000"/>
        </w:rPr>
        <w:t xml:space="preserve"> H, De Vos M, van Deventer S, Stitt L, Donner A, </w:t>
      </w:r>
      <w:proofErr w:type="spellStart"/>
      <w:r w:rsidRPr="00C76E19">
        <w:rPr>
          <w:rFonts w:ascii="Book Antiqua" w:eastAsia="Book Antiqua" w:hAnsi="Book Antiqua" w:cs="Book Antiqua"/>
          <w:color w:val="000000"/>
        </w:rPr>
        <w:t>Vermeire</w:t>
      </w:r>
      <w:proofErr w:type="spellEnd"/>
      <w:r w:rsidRPr="00C76E19">
        <w:rPr>
          <w:rFonts w:ascii="Book Antiqua" w:eastAsia="Book Antiqua" w:hAnsi="Book Antiqua" w:cs="Book Antiqua"/>
          <w:color w:val="000000"/>
        </w:rPr>
        <w:t xml:space="preserve"> S, Van De </w:t>
      </w:r>
      <w:proofErr w:type="spellStart"/>
      <w:r w:rsidRPr="00C76E19">
        <w:rPr>
          <w:rFonts w:ascii="Book Antiqua" w:eastAsia="Book Antiqua" w:hAnsi="Book Antiqua" w:cs="Book Antiqua"/>
          <w:color w:val="000000"/>
        </w:rPr>
        <w:t>Mierop</w:t>
      </w:r>
      <w:proofErr w:type="spellEnd"/>
      <w:r w:rsidRPr="00C76E19">
        <w:rPr>
          <w:rFonts w:ascii="Book Antiqua" w:eastAsia="Book Antiqua" w:hAnsi="Book Antiqua" w:cs="Book Antiqua"/>
          <w:color w:val="000000"/>
        </w:rPr>
        <w:t xml:space="preserve"> FJ, Coche JR, van der </w:t>
      </w:r>
      <w:proofErr w:type="spellStart"/>
      <w:r w:rsidRPr="00C76E19">
        <w:rPr>
          <w:rFonts w:ascii="Book Antiqua" w:eastAsia="Book Antiqua" w:hAnsi="Book Antiqua" w:cs="Book Antiqua"/>
          <w:color w:val="000000"/>
        </w:rPr>
        <w:t>Woude</w:t>
      </w:r>
      <w:proofErr w:type="spellEnd"/>
      <w:r w:rsidRPr="00C76E19">
        <w:rPr>
          <w:rFonts w:ascii="Book Antiqua" w:eastAsia="Book Antiqua" w:hAnsi="Book Antiqua" w:cs="Book Antiqua"/>
          <w:color w:val="000000"/>
        </w:rPr>
        <w:t xml:space="preserve"> J, </w:t>
      </w:r>
      <w:proofErr w:type="spellStart"/>
      <w:r w:rsidRPr="00C76E19">
        <w:rPr>
          <w:rFonts w:ascii="Book Antiqua" w:eastAsia="Book Antiqua" w:hAnsi="Book Antiqua" w:cs="Book Antiqua"/>
          <w:color w:val="000000"/>
        </w:rPr>
        <w:t>Ochsenkühn</w:t>
      </w:r>
      <w:proofErr w:type="spellEnd"/>
      <w:r w:rsidRPr="00C76E19">
        <w:rPr>
          <w:rFonts w:ascii="Book Antiqua" w:eastAsia="Book Antiqua" w:hAnsi="Book Antiqua" w:cs="Book Antiqua"/>
          <w:color w:val="000000"/>
        </w:rPr>
        <w:t xml:space="preserve"> T, van </w:t>
      </w:r>
      <w:proofErr w:type="spellStart"/>
      <w:r w:rsidRPr="00C76E19">
        <w:rPr>
          <w:rFonts w:ascii="Book Antiqua" w:eastAsia="Book Antiqua" w:hAnsi="Book Antiqua" w:cs="Book Antiqua"/>
          <w:color w:val="000000"/>
        </w:rPr>
        <w:t>Bodegraven</w:t>
      </w:r>
      <w:proofErr w:type="spellEnd"/>
      <w:r w:rsidRPr="00C76E19">
        <w:rPr>
          <w:rFonts w:ascii="Book Antiqua" w:eastAsia="Book Antiqua" w:hAnsi="Book Antiqua" w:cs="Book Antiqua"/>
          <w:color w:val="000000"/>
        </w:rPr>
        <w:t xml:space="preserve"> AA, Van </w:t>
      </w:r>
      <w:proofErr w:type="spellStart"/>
      <w:r w:rsidRPr="00C76E19">
        <w:rPr>
          <w:rFonts w:ascii="Book Antiqua" w:eastAsia="Book Antiqua" w:hAnsi="Book Antiqua" w:cs="Book Antiqua"/>
          <w:color w:val="000000"/>
        </w:rPr>
        <w:t>Hootegem</w:t>
      </w:r>
      <w:proofErr w:type="spellEnd"/>
      <w:r w:rsidRPr="00C76E19">
        <w:rPr>
          <w:rFonts w:ascii="Book Antiqua" w:eastAsia="Book Antiqua" w:hAnsi="Book Antiqua" w:cs="Book Antiqua"/>
          <w:color w:val="000000"/>
        </w:rPr>
        <w:t xml:space="preserve"> PP, Lambrecht GL, Mana F, </w:t>
      </w:r>
      <w:proofErr w:type="spellStart"/>
      <w:r w:rsidRPr="00C76E19">
        <w:rPr>
          <w:rFonts w:ascii="Book Antiqua" w:eastAsia="Book Antiqua" w:hAnsi="Book Antiqua" w:cs="Book Antiqua"/>
          <w:color w:val="000000"/>
        </w:rPr>
        <w:t>Rutgeerts</w:t>
      </w:r>
      <w:proofErr w:type="spellEnd"/>
      <w:r w:rsidRPr="00C76E19">
        <w:rPr>
          <w:rFonts w:ascii="Book Antiqua" w:eastAsia="Book Antiqua" w:hAnsi="Book Antiqua" w:cs="Book Antiqua"/>
          <w:color w:val="000000"/>
        </w:rPr>
        <w:t xml:space="preserve"> P, </w:t>
      </w:r>
      <w:proofErr w:type="spellStart"/>
      <w:r w:rsidRPr="00C76E19">
        <w:rPr>
          <w:rFonts w:ascii="Book Antiqua" w:eastAsia="Book Antiqua" w:hAnsi="Book Antiqua" w:cs="Book Antiqua"/>
          <w:color w:val="000000"/>
        </w:rPr>
        <w:t>Feagan</w:t>
      </w:r>
      <w:proofErr w:type="spellEnd"/>
      <w:r w:rsidRPr="00C76E19">
        <w:rPr>
          <w:rFonts w:ascii="Book Antiqua" w:eastAsia="Book Antiqua" w:hAnsi="Book Antiqua" w:cs="Book Antiqua"/>
          <w:color w:val="000000"/>
        </w:rPr>
        <w:t xml:space="preserve"> BG, Hommes D; Belgian Inflammatory Bowel Disease Research Group; North-Holland Gut Club. Early combined immunosuppression or conventional management in patients with newly diagnosed Crohn's disease: an open </w:t>
      </w:r>
      <w:proofErr w:type="spellStart"/>
      <w:r w:rsidRPr="00C76E19">
        <w:rPr>
          <w:rFonts w:ascii="Book Antiqua" w:eastAsia="Book Antiqua" w:hAnsi="Book Antiqua" w:cs="Book Antiqua"/>
          <w:color w:val="000000"/>
        </w:rPr>
        <w:t>randomised</w:t>
      </w:r>
      <w:proofErr w:type="spellEnd"/>
      <w:r w:rsidRPr="00C76E19">
        <w:rPr>
          <w:rFonts w:ascii="Book Antiqua" w:eastAsia="Book Antiqua" w:hAnsi="Book Antiqua" w:cs="Book Antiqua"/>
          <w:color w:val="000000"/>
        </w:rPr>
        <w:t xml:space="preserve"> trial. </w:t>
      </w:r>
      <w:r w:rsidRPr="00C76E19">
        <w:rPr>
          <w:rFonts w:ascii="Book Antiqua" w:eastAsia="Book Antiqua" w:hAnsi="Book Antiqua" w:cs="Book Antiqua"/>
          <w:i/>
          <w:iCs/>
          <w:color w:val="000000"/>
        </w:rPr>
        <w:t>Lancet</w:t>
      </w:r>
      <w:r w:rsidRPr="00C76E19">
        <w:rPr>
          <w:rFonts w:ascii="Book Antiqua" w:eastAsia="Book Antiqua" w:hAnsi="Book Antiqua" w:cs="Book Antiqua"/>
          <w:color w:val="000000"/>
        </w:rPr>
        <w:t xml:space="preserve"> 2008; </w:t>
      </w:r>
      <w:r w:rsidRPr="00C76E19">
        <w:rPr>
          <w:rFonts w:ascii="Book Antiqua" w:eastAsia="Book Antiqua" w:hAnsi="Book Antiqua" w:cs="Book Antiqua"/>
          <w:b/>
          <w:bCs/>
          <w:color w:val="000000"/>
        </w:rPr>
        <w:t>371</w:t>
      </w:r>
      <w:r w:rsidRPr="00C76E19">
        <w:rPr>
          <w:rFonts w:ascii="Book Antiqua" w:eastAsia="Book Antiqua" w:hAnsi="Book Antiqua" w:cs="Book Antiqua"/>
          <w:color w:val="000000"/>
        </w:rPr>
        <w:t>: 660-667 [PMID: 18295023 DOI: 10.1016/S0140-6736(08)60304-9]</w:t>
      </w:r>
    </w:p>
    <w:p w14:paraId="19388F89"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11 </w:t>
      </w:r>
      <w:r w:rsidRPr="00C76E19">
        <w:rPr>
          <w:rFonts w:ascii="Book Antiqua" w:eastAsia="Book Antiqua" w:hAnsi="Book Antiqua" w:cs="Book Antiqua"/>
          <w:b/>
          <w:bCs/>
          <w:color w:val="000000"/>
        </w:rPr>
        <w:t>Suzuki Y</w:t>
      </w:r>
      <w:r w:rsidRPr="00C76E19">
        <w:rPr>
          <w:rFonts w:ascii="Book Antiqua" w:eastAsia="Book Antiqua" w:hAnsi="Book Antiqua" w:cs="Book Antiqua"/>
          <w:color w:val="000000"/>
        </w:rPr>
        <w:t xml:space="preserve">, </w:t>
      </w:r>
      <w:proofErr w:type="spellStart"/>
      <w:r w:rsidRPr="00C76E19">
        <w:rPr>
          <w:rFonts w:ascii="Book Antiqua" w:eastAsia="Book Antiqua" w:hAnsi="Book Antiqua" w:cs="Book Antiqua"/>
          <w:color w:val="000000"/>
        </w:rPr>
        <w:t>Motoya</w:t>
      </w:r>
      <w:proofErr w:type="spellEnd"/>
      <w:r w:rsidRPr="00C76E19">
        <w:rPr>
          <w:rFonts w:ascii="Book Antiqua" w:eastAsia="Book Antiqua" w:hAnsi="Book Antiqua" w:cs="Book Antiqua"/>
          <w:color w:val="000000"/>
        </w:rPr>
        <w:t xml:space="preserve"> S, </w:t>
      </w:r>
      <w:proofErr w:type="spellStart"/>
      <w:r w:rsidRPr="00C76E19">
        <w:rPr>
          <w:rFonts w:ascii="Book Antiqua" w:eastAsia="Book Antiqua" w:hAnsi="Book Antiqua" w:cs="Book Antiqua"/>
          <w:color w:val="000000"/>
        </w:rPr>
        <w:t>Takazoe</w:t>
      </w:r>
      <w:proofErr w:type="spellEnd"/>
      <w:r w:rsidRPr="00C76E19">
        <w:rPr>
          <w:rFonts w:ascii="Book Antiqua" w:eastAsia="Book Antiqua" w:hAnsi="Book Antiqua" w:cs="Book Antiqua"/>
          <w:color w:val="000000"/>
        </w:rPr>
        <w:t xml:space="preserve"> M, </w:t>
      </w:r>
      <w:proofErr w:type="spellStart"/>
      <w:r w:rsidRPr="00C76E19">
        <w:rPr>
          <w:rFonts w:ascii="Book Antiqua" w:eastAsia="Book Antiqua" w:hAnsi="Book Antiqua" w:cs="Book Antiqua"/>
          <w:color w:val="000000"/>
        </w:rPr>
        <w:t>Kosaka</w:t>
      </w:r>
      <w:proofErr w:type="spellEnd"/>
      <w:r w:rsidRPr="00C76E19">
        <w:rPr>
          <w:rFonts w:ascii="Book Antiqua" w:eastAsia="Book Antiqua" w:hAnsi="Book Antiqua" w:cs="Book Antiqua"/>
          <w:color w:val="000000"/>
        </w:rPr>
        <w:t xml:space="preserve"> T, Date M, </w:t>
      </w:r>
      <w:proofErr w:type="spellStart"/>
      <w:r w:rsidRPr="00C76E19">
        <w:rPr>
          <w:rFonts w:ascii="Book Antiqua" w:eastAsia="Book Antiqua" w:hAnsi="Book Antiqua" w:cs="Book Antiqua"/>
          <w:color w:val="000000"/>
        </w:rPr>
        <w:t>Nii</w:t>
      </w:r>
      <w:proofErr w:type="spellEnd"/>
      <w:r w:rsidRPr="00C76E19">
        <w:rPr>
          <w:rFonts w:ascii="Book Antiqua" w:eastAsia="Book Antiqua" w:hAnsi="Book Antiqua" w:cs="Book Antiqua"/>
          <w:color w:val="000000"/>
        </w:rPr>
        <w:t xml:space="preserve"> M, </w:t>
      </w:r>
      <w:proofErr w:type="spellStart"/>
      <w:r w:rsidRPr="00C76E19">
        <w:rPr>
          <w:rFonts w:ascii="Book Antiqua" w:eastAsia="Book Antiqua" w:hAnsi="Book Antiqua" w:cs="Book Antiqua"/>
          <w:color w:val="000000"/>
        </w:rPr>
        <w:t>Hibi</w:t>
      </w:r>
      <w:proofErr w:type="spellEnd"/>
      <w:r w:rsidRPr="00C76E19">
        <w:rPr>
          <w:rFonts w:ascii="Book Antiqua" w:eastAsia="Book Antiqua" w:hAnsi="Book Antiqua" w:cs="Book Antiqua"/>
          <w:color w:val="000000"/>
        </w:rPr>
        <w:t xml:space="preserve"> T. Efficacy and tolerability of oral budesonide in Japanese patients with active Crohn's disease: a </w:t>
      </w:r>
      <w:proofErr w:type="spellStart"/>
      <w:r w:rsidRPr="00C76E19">
        <w:rPr>
          <w:rFonts w:ascii="Book Antiqua" w:eastAsia="Book Antiqua" w:hAnsi="Book Antiqua" w:cs="Book Antiqua"/>
          <w:color w:val="000000"/>
        </w:rPr>
        <w:t>multicentre</w:t>
      </w:r>
      <w:proofErr w:type="spellEnd"/>
      <w:r w:rsidRPr="00C76E19">
        <w:rPr>
          <w:rFonts w:ascii="Book Antiqua" w:eastAsia="Book Antiqua" w:hAnsi="Book Antiqua" w:cs="Book Antiqua"/>
          <w:color w:val="000000"/>
        </w:rPr>
        <w:t xml:space="preserve">, double-blind, randomized, parallel-group Phase II study. </w:t>
      </w:r>
      <w:r w:rsidRPr="00C76E19">
        <w:rPr>
          <w:rFonts w:ascii="Book Antiqua" w:eastAsia="Book Antiqua" w:hAnsi="Book Antiqua" w:cs="Book Antiqua"/>
          <w:i/>
          <w:iCs/>
          <w:color w:val="000000"/>
        </w:rPr>
        <w:t xml:space="preserve">J </w:t>
      </w:r>
      <w:proofErr w:type="spellStart"/>
      <w:r w:rsidRPr="00C76E19">
        <w:rPr>
          <w:rFonts w:ascii="Book Antiqua" w:eastAsia="Book Antiqua" w:hAnsi="Book Antiqua" w:cs="Book Antiqua"/>
          <w:i/>
          <w:iCs/>
          <w:color w:val="000000"/>
        </w:rPr>
        <w:t>Crohns</w:t>
      </w:r>
      <w:proofErr w:type="spellEnd"/>
      <w:r w:rsidRPr="00C76E19">
        <w:rPr>
          <w:rFonts w:ascii="Book Antiqua" w:eastAsia="Book Antiqua" w:hAnsi="Book Antiqua" w:cs="Book Antiqua"/>
          <w:i/>
          <w:iCs/>
          <w:color w:val="000000"/>
        </w:rPr>
        <w:t xml:space="preserve"> Colitis</w:t>
      </w:r>
      <w:r w:rsidRPr="00C76E19">
        <w:rPr>
          <w:rFonts w:ascii="Book Antiqua" w:eastAsia="Book Antiqua" w:hAnsi="Book Antiqua" w:cs="Book Antiqua"/>
          <w:color w:val="000000"/>
        </w:rPr>
        <w:t xml:space="preserve"> 2013; </w:t>
      </w:r>
      <w:r w:rsidRPr="00C76E19">
        <w:rPr>
          <w:rFonts w:ascii="Book Antiqua" w:eastAsia="Book Antiqua" w:hAnsi="Book Antiqua" w:cs="Book Antiqua"/>
          <w:b/>
          <w:bCs/>
          <w:color w:val="000000"/>
        </w:rPr>
        <w:t>7</w:t>
      </w:r>
      <w:r w:rsidRPr="00C76E19">
        <w:rPr>
          <w:rFonts w:ascii="Book Antiqua" w:eastAsia="Book Antiqua" w:hAnsi="Book Antiqua" w:cs="Book Antiqua"/>
          <w:color w:val="000000"/>
        </w:rPr>
        <w:t>: 239-247 [PMID: 22766525 DOI: 10.1016/j.crohns.2012.06.006]</w:t>
      </w:r>
    </w:p>
    <w:p w14:paraId="29E72B66" w14:textId="0C062041" w:rsidR="00A77B3E" w:rsidRPr="00C76E19" w:rsidRDefault="00CA1127" w:rsidP="00A23AA9">
      <w:pPr>
        <w:spacing w:line="360" w:lineRule="auto"/>
        <w:jc w:val="both"/>
      </w:pPr>
      <w:r w:rsidRPr="00C76E19">
        <w:rPr>
          <w:rFonts w:ascii="Book Antiqua" w:eastAsia="Book Antiqua" w:hAnsi="Book Antiqua" w:cs="Book Antiqua"/>
          <w:color w:val="000000"/>
        </w:rPr>
        <w:t xml:space="preserve">12 </w:t>
      </w:r>
      <w:proofErr w:type="spellStart"/>
      <w:r w:rsidRPr="00C76E19">
        <w:rPr>
          <w:rFonts w:ascii="Book Antiqua" w:eastAsia="Book Antiqua" w:hAnsi="Book Antiqua" w:cs="Book Antiqua"/>
          <w:b/>
          <w:bCs/>
          <w:color w:val="000000"/>
        </w:rPr>
        <w:t>Tromm</w:t>
      </w:r>
      <w:proofErr w:type="spellEnd"/>
      <w:r w:rsidRPr="00C76E19">
        <w:rPr>
          <w:rFonts w:ascii="Book Antiqua" w:eastAsia="Book Antiqua" w:hAnsi="Book Antiqua" w:cs="Book Antiqua"/>
          <w:b/>
          <w:bCs/>
          <w:color w:val="000000"/>
        </w:rPr>
        <w:t xml:space="preserve"> A</w:t>
      </w:r>
      <w:r w:rsidRPr="00C76E19">
        <w:rPr>
          <w:rFonts w:ascii="Book Antiqua" w:eastAsia="Book Antiqua" w:hAnsi="Book Antiqua" w:cs="Book Antiqua"/>
          <w:color w:val="000000"/>
        </w:rPr>
        <w:t xml:space="preserve">, </w:t>
      </w:r>
      <w:proofErr w:type="spellStart"/>
      <w:r w:rsidR="009C1DB7" w:rsidRPr="00C76E19">
        <w:rPr>
          <w:rFonts w:ascii="Book Antiqua" w:eastAsia="Book Antiqua" w:hAnsi="Book Antiqua" w:cs="Book Antiqua"/>
          <w:color w:val="000000"/>
        </w:rPr>
        <w:t>Bunganič</w:t>
      </w:r>
      <w:proofErr w:type="spellEnd"/>
      <w:r w:rsidR="009C1DB7" w:rsidRPr="00C76E19">
        <w:rPr>
          <w:rFonts w:ascii="Book Antiqua" w:eastAsia="Book Antiqua" w:hAnsi="Book Antiqua" w:cs="Book Antiqua"/>
          <w:color w:val="000000"/>
        </w:rPr>
        <w:t xml:space="preserve"> </w:t>
      </w:r>
      <w:r w:rsidRPr="00C76E19">
        <w:rPr>
          <w:rFonts w:ascii="Book Antiqua" w:eastAsia="Book Antiqua" w:hAnsi="Book Antiqua" w:cs="Book Antiqua"/>
          <w:color w:val="000000"/>
        </w:rPr>
        <w:t xml:space="preserve">I, </w:t>
      </w:r>
      <w:proofErr w:type="spellStart"/>
      <w:r w:rsidRPr="00C76E19">
        <w:rPr>
          <w:rFonts w:ascii="Book Antiqua" w:eastAsia="Book Antiqua" w:hAnsi="Book Antiqua" w:cs="Book Antiqua"/>
          <w:color w:val="000000"/>
        </w:rPr>
        <w:t>Tomsová</w:t>
      </w:r>
      <w:proofErr w:type="spellEnd"/>
      <w:r w:rsidRPr="00C76E19">
        <w:rPr>
          <w:rFonts w:ascii="Book Antiqua" w:eastAsia="Book Antiqua" w:hAnsi="Book Antiqua" w:cs="Book Antiqua"/>
          <w:color w:val="000000"/>
        </w:rPr>
        <w:t xml:space="preserve"> E, </w:t>
      </w:r>
      <w:proofErr w:type="spellStart"/>
      <w:r w:rsidRPr="00C76E19">
        <w:rPr>
          <w:rFonts w:ascii="Book Antiqua" w:eastAsia="Book Antiqua" w:hAnsi="Book Antiqua" w:cs="Book Antiqua"/>
          <w:color w:val="000000"/>
        </w:rPr>
        <w:t>Tulassay</w:t>
      </w:r>
      <w:proofErr w:type="spellEnd"/>
      <w:r w:rsidRPr="00C76E19">
        <w:rPr>
          <w:rFonts w:ascii="Book Antiqua" w:eastAsia="Book Antiqua" w:hAnsi="Book Antiqua" w:cs="Book Antiqua"/>
          <w:color w:val="000000"/>
        </w:rPr>
        <w:t xml:space="preserve"> Z, </w:t>
      </w:r>
      <w:proofErr w:type="spellStart"/>
      <w:r w:rsidRPr="00C76E19">
        <w:rPr>
          <w:rFonts w:ascii="Book Antiqua" w:eastAsia="Book Antiqua" w:hAnsi="Book Antiqua" w:cs="Book Antiqua"/>
          <w:color w:val="000000"/>
        </w:rPr>
        <w:t>Lukáš</w:t>
      </w:r>
      <w:proofErr w:type="spellEnd"/>
      <w:r w:rsidRPr="00C76E19">
        <w:rPr>
          <w:rFonts w:ascii="Book Antiqua" w:eastAsia="Book Antiqua" w:hAnsi="Book Antiqua" w:cs="Book Antiqua"/>
          <w:color w:val="000000"/>
        </w:rPr>
        <w:t xml:space="preserve"> M, </w:t>
      </w:r>
      <w:proofErr w:type="spellStart"/>
      <w:r w:rsidRPr="00C76E19">
        <w:rPr>
          <w:rFonts w:ascii="Book Antiqua" w:eastAsia="Book Antiqua" w:hAnsi="Book Antiqua" w:cs="Book Antiqua"/>
          <w:color w:val="000000"/>
        </w:rPr>
        <w:t>Kykal</w:t>
      </w:r>
      <w:proofErr w:type="spellEnd"/>
      <w:r w:rsidRPr="00C76E19">
        <w:rPr>
          <w:rFonts w:ascii="Book Antiqua" w:eastAsia="Book Antiqua" w:hAnsi="Book Antiqua" w:cs="Book Antiqua"/>
          <w:color w:val="000000"/>
        </w:rPr>
        <w:t xml:space="preserve"> J, </w:t>
      </w:r>
      <w:proofErr w:type="spellStart"/>
      <w:r w:rsidRPr="00C76E19">
        <w:rPr>
          <w:rFonts w:ascii="Book Antiqua" w:eastAsia="Book Antiqua" w:hAnsi="Book Antiqua" w:cs="Book Antiqua"/>
          <w:color w:val="000000"/>
        </w:rPr>
        <w:t>Bátovský</w:t>
      </w:r>
      <w:proofErr w:type="spellEnd"/>
      <w:r w:rsidRPr="00C76E19">
        <w:rPr>
          <w:rFonts w:ascii="Book Antiqua" w:eastAsia="Book Antiqua" w:hAnsi="Book Antiqua" w:cs="Book Antiqua"/>
          <w:color w:val="000000"/>
        </w:rPr>
        <w:t xml:space="preserve"> M, </w:t>
      </w:r>
      <w:proofErr w:type="spellStart"/>
      <w:r w:rsidRPr="00C76E19">
        <w:rPr>
          <w:rFonts w:ascii="Book Antiqua" w:eastAsia="Book Antiqua" w:hAnsi="Book Antiqua" w:cs="Book Antiqua"/>
          <w:color w:val="000000"/>
        </w:rPr>
        <w:t>Fixa</w:t>
      </w:r>
      <w:proofErr w:type="spellEnd"/>
      <w:r w:rsidRPr="00C76E19">
        <w:rPr>
          <w:rFonts w:ascii="Book Antiqua" w:eastAsia="Book Antiqua" w:hAnsi="Book Antiqua" w:cs="Book Antiqua"/>
          <w:color w:val="000000"/>
        </w:rPr>
        <w:t xml:space="preserve"> B, </w:t>
      </w:r>
      <w:proofErr w:type="spellStart"/>
      <w:r w:rsidRPr="00C76E19">
        <w:rPr>
          <w:rFonts w:ascii="Book Antiqua" w:eastAsia="Book Antiqua" w:hAnsi="Book Antiqua" w:cs="Book Antiqua"/>
          <w:color w:val="000000"/>
        </w:rPr>
        <w:t>Gabalec</w:t>
      </w:r>
      <w:proofErr w:type="spellEnd"/>
      <w:r w:rsidRPr="00C76E19">
        <w:rPr>
          <w:rFonts w:ascii="Book Antiqua" w:eastAsia="Book Antiqua" w:hAnsi="Book Antiqua" w:cs="Book Antiqua"/>
          <w:color w:val="000000"/>
        </w:rPr>
        <w:t xml:space="preserve"> L, Safadi R, </w:t>
      </w:r>
      <w:proofErr w:type="spellStart"/>
      <w:r w:rsidRPr="00C76E19">
        <w:rPr>
          <w:rFonts w:ascii="Book Antiqua" w:eastAsia="Book Antiqua" w:hAnsi="Book Antiqua" w:cs="Book Antiqua"/>
          <w:color w:val="000000"/>
        </w:rPr>
        <w:t>Kramm</w:t>
      </w:r>
      <w:proofErr w:type="spellEnd"/>
      <w:r w:rsidRPr="00C76E19">
        <w:rPr>
          <w:rFonts w:ascii="Book Antiqua" w:eastAsia="Book Antiqua" w:hAnsi="Book Antiqua" w:cs="Book Antiqua"/>
          <w:color w:val="000000"/>
        </w:rPr>
        <w:t xml:space="preserve"> HJ, </w:t>
      </w:r>
      <w:proofErr w:type="spellStart"/>
      <w:r w:rsidRPr="00C76E19">
        <w:rPr>
          <w:rFonts w:ascii="Book Antiqua" w:eastAsia="Book Antiqua" w:hAnsi="Book Antiqua" w:cs="Book Antiqua"/>
          <w:color w:val="000000"/>
        </w:rPr>
        <w:t>Altorjay</w:t>
      </w:r>
      <w:proofErr w:type="spellEnd"/>
      <w:r w:rsidRPr="00C76E19">
        <w:rPr>
          <w:rFonts w:ascii="Book Antiqua" w:eastAsia="Book Antiqua" w:hAnsi="Book Antiqua" w:cs="Book Antiqua"/>
          <w:color w:val="000000"/>
        </w:rPr>
        <w:t xml:space="preserve"> I, </w:t>
      </w:r>
      <w:proofErr w:type="spellStart"/>
      <w:r w:rsidRPr="00C76E19">
        <w:rPr>
          <w:rFonts w:ascii="Book Antiqua" w:eastAsia="Book Antiqua" w:hAnsi="Book Antiqua" w:cs="Book Antiqua"/>
          <w:color w:val="000000"/>
        </w:rPr>
        <w:t>Löhr</w:t>
      </w:r>
      <w:proofErr w:type="spellEnd"/>
      <w:r w:rsidRPr="00C76E19">
        <w:rPr>
          <w:rFonts w:ascii="Book Antiqua" w:eastAsia="Book Antiqua" w:hAnsi="Book Antiqua" w:cs="Book Antiqua"/>
          <w:color w:val="000000"/>
        </w:rPr>
        <w:t xml:space="preserve"> H, </w:t>
      </w:r>
      <w:proofErr w:type="spellStart"/>
      <w:r w:rsidRPr="00C76E19">
        <w:rPr>
          <w:rFonts w:ascii="Book Antiqua" w:eastAsia="Book Antiqua" w:hAnsi="Book Antiqua" w:cs="Book Antiqua"/>
          <w:color w:val="000000"/>
        </w:rPr>
        <w:t>Koutroubakis</w:t>
      </w:r>
      <w:proofErr w:type="spellEnd"/>
      <w:r w:rsidRPr="00C76E19">
        <w:rPr>
          <w:rFonts w:ascii="Book Antiqua" w:eastAsia="Book Antiqua" w:hAnsi="Book Antiqua" w:cs="Book Antiqua"/>
          <w:color w:val="000000"/>
        </w:rPr>
        <w:t xml:space="preserve"> I, Bar-Meir S, </w:t>
      </w:r>
      <w:proofErr w:type="spellStart"/>
      <w:r w:rsidRPr="00C76E19">
        <w:rPr>
          <w:rFonts w:ascii="Book Antiqua" w:eastAsia="Book Antiqua" w:hAnsi="Book Antiqua" w:cs="Book Antiqua"/>
          <w:color w:val="000000"/>
        </w:rPr>
        <w:t>Stimac</w:t>
      </w:r>
      <w:proofErr w:type="spellEnd"/>
      <w:r w:rsidRPr="00C76E19">
        <w:rPr>
          <w:rFonts w:ascii="Book Antiqua" w:eastAsia="Book Antiqua" w:hAnsi="Book Antiqua" w:cs="Book Antiqua"/>
          <w:color w:val="000000"/>
        </w:rPr>
        <w:t xml:space="preserve"> D, </w:t>
      </w:r>
      <w:proofErr w:type="spellStart"/>
      <w:r w:rsidRPr="00C76E19">
        <w:rPr>
          <w:rFonts w:ascii="Book Antiqua" w:eastAsia="Book Antiqua" w:hAnsi="Book Antiqua" w:cs="Book Antiqua"/>
          <w:color w:val="000000"/>
        </w:rPr>
        <w:t>Schäffeler</w:t>
      </w:r>
      <w:proofErr w:type="spellEnd"/>
      <w:r w:rsidRPr="00C76E19">
        <w:rPr>
          <w:rFonts w:ascii="Book Antiqua" w:eastAsia="Book Antiqua" w:hAnsi="Book Antiqua" w:cs="Book Antiqua"/>
          <w:color w:val="000000"/>
        </w:rPr>
        <w:t xml:space="preserve"> E, </w:t>
      </w:r>
      <w:proofErr w:type="spellStart"/>
      <w:r w:rsidRPr="00C76E19">
        <w:rPr>
          <w:rFonts w:ascii="Book Antiqua" w:eastAsia="Book Antiqua" w:hAnsi="Book Antiqua" w:cs="Book Antiqua"/>
          <w:color w:val="000000"/>
        </w:rPr>
        <w:t>Glasmacher</w:t>
      </w:r>
      <w:proofErr w:type="spellEnd"/>
      <w:r w:rsidRPr="00C76E19">
        <w:rPr>
          <w:rFonts w:ascii="Book Antiqua" w:eastAsia="Book Antiqua" w:hAnsi="Book Antiqua" w:cs="Book Antiqua"/>
          <w:color w:val="000000"/>
        </w:rPr>
        <w:t xml:space="preserve"> C, </w:t>
      </w:r>
      <w:proofErr w:type="spellStart"/>
      <w:r w:rsidRPr="00C76E19">
        <w:rPr>
          <w:rFonts w:ascii="Book Antiqua" w:eastAsia="Book Antiqua" w:hAnsi="Book Antiqua" w:cs="Book Antiqua"/>
          <w:color w:val="000000"/>
        </w:rPr>
        <w:t>Dilger</w:t>
      </w:r>
      <w:proofErr w:type="spellEnd"/>
      <w:r w:rsidRPr="00C76E19">
        <w:rPr>
          <w:rFonts w:ascii="Book Antiqua" w:eastAsia="Book Antiqua" w:hAnsi="Book Antiqua" w:cs="Book Antiqua"/>
          <w:color w:val="000000"/>
        </w:rPr>
        <w:t xml:space="preserve"> K, </w:t>
      </w:r>
      <w:proofErr w:type="spellStart"/>
      <w:r w:rsidRPr="00C76E19">
        <w:rPr>
          <w:rFonts w:ascii="Book Antiqua" w:eastAsia="Book Antiqua" w:hAnsi="Book Antiqua" w:cs="Book Antiqua"/>
          <w:color w:val="000000"/>
        </w:rPr>
        <w:t>Mohrbacher</w:t>
      </w:r>
      <w:proofErr w:type="spellEnd"/>
      <w:r w:rsidRPr="00C76E19">
        <w:rPr>
          <w:rFonts w:ascii="Book Antiqua" w:eastAsia="Book Antiqua" w:hAnsi="Book Antiqua" w:cs="Book Antiqua"/>
          <w:color w:val="000000"/>
        </w:rPr>
        <w:t xml:space="preserve"> R, </w:t>
      </w:r>
      <w:proofErr w:type="spellStart"/>
      <w:r w:rsidRPr="00C76E19">
        <w:rPr>
          <w:rFonts w:ascii="Book Antiqua" w:eastAsia="Book Antiqua" w:hAnsi="Book Antiqua" w:cs="Book Antiqua"/>
          <w:color w:val="000000"/>
        </w:rPr>
        <w:t>Greinwald</w:t>
      </w:r>
      <w:proofErr w:type="spellEnd"/>
      <w:r w:rsidRPr="00C76E19">
        <w:rPr>
          <w:rFonts w:ascii="Book Antiqua" w:eastAsia="Book Antiqua" w:hAnsi="Book Antiqua" w:cs="Book Antiqua"/>
          <w:color w:val="000000"/>
        </w:rPr>
        <w:t xml:space="preserve"> R; International </w:t>
      </w:r>
      <w:proofErr w:type="spellStart"/>
      <w:r w:rsidRPr="00C76E19">
        <w:rPr>
          <w:rFonts w:ascii="Book Antiqua" w:eastAsia="Book Antiqua" w:hAnsi="Book Antiqua" w:cs="Book Antiqua"/>
          <w:color w:val="000000"/>
        </w:rPr>
        <w:t>Budenofalk</w:t>
      </w:r>
      <w:proofErr w:type="spellEnd"/>
      <w:r w:rsidRPr="00C76E19">
        <w:rPr>
          <w:rFonts w:ascii="Book Antiqua" w:eastAsia="Book Antiqua" w:hAnsi="Book Antiqua" w:cs="Book Antiqua"/>
          <w:color w:val="000000"/>
        </w:rPr>
        <w:t xml:space="preserve"> Study Group. Budesonide 9 mg is at least as effective as mesalamine 4.5 g in patients with mildly to moderately active Crohn's disease. </w:t>
      </w:r>
      <w:r w:rsidRPr="00C76E19">
        <w:rPr>
          <w:rFonts w:ascii="Book Antiqua" w:eastAsia="Book Antiqua" w:hAnsi="Book Antiqua" w:cs="Book Antiqua"/>
          <w:i/>
          <w:iCs/>
          <w:color w:val="000000"/>
        </w:rPr>
        <w:t>Gastroenterology</w:t>
      </w:r>
      <w:r w:rsidRPr="00C76E19">
        <w:rPr>
          <w:rFonts w:ascii="Book Antiqua" w:eastAsia="Book Antiqua" w:hAnsi="Book Antiqua" w:cs="Book Antiqua"/>
          <w:color w:val="000000"/>
        </w:rPr>
        <w:t xml:space="preserve"> 2011; </w:t>
      </w:r>
      <w:r w:rsidRPr="00C76E19">
        <w:rPr>
          <w:rFonts w:ascii="Book Antiqua" w:eastAsia="Book Antiqua" w:hAnsi="Book Antiqua" w:cs="Book Antiqua"/>
          <w:b/>
          <w:bCs/>
          <w:color w:val="000000"/>
        </w:rPr>
        <w:t>140</w:t>
      </w:r>
      <w:r w:rsidRPr="00C76E19">
        <w:rPr>
          <w:rFonts w:ascii="Book Antiqua" w:eastAsia="Book Antiqua" w:hAnsi="Book Antiqua" w:cs="Book Antiqua"/>
          <w:color w:val="000000"/>
        </w:rPr>
        <w:t>: 425-434.e1; quiz e13-</w:t>
      </w:r>
      <w:r w:rsidR="009C1DB7" w:rsidRPr="00C76E19">
        <w:rPr>
          <w:rFonts w:ascii="Book Antiqua" w:eastAsia="Book Antiqua" w:hAnsi="Book Antiqua" w:cs="Book Antiqua"/>
          <w:color w:val="000000"/>
        </w:rPr>
        <w:t>1</w:t>
      </w:r>
      <w:r w:rsidRPr="00C76E19">
        <w:rPr>
          <w:rFonts w:ascii="Book Antiqua" w:eastAsia="Book Antiqua" w:hAnsi="Book Antiqua" w:cs="Book Antiqua"/>
          <w:color w:val="000000"/>
        </w:rPr>
        <w:t>4 [PMID: 21070781 DOI: 10.1053/j.gastro.2010.11.004]</w:t>
      </w:r>
    </w:p>
    <w:p w14:paraId="2478BD7A"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13 </w:t>
      </w:r>
      <w:r w:rsidRPr="00C76E19">
        <w:rPr>
          <w:rFonts w:ascii="Book Antiqua" w:eastAsia="Book Antiqua" w:hAnsi="Book Antiqua" w:cs="Book Antiqua"/>
          <w:b/>
          <w:bCs/>
          <w:color w:val="000000"/>
        </w:rPr>
        <w:t>Yokoyama T</w:t>
      </w:r>
      <w:r w:rsidRPr="00C76E19">
        <w:rPr>
          <w:rFonts w:ascii="Book Antiqua" w:eastAsia="Book Antiqua" w:hAnsi="Book Antiqua" w:cs="Book Antiqua"/>
          <w:color w:val="000000"/>
        </w:rPr>
        <w:t xml:space="preserve">, </w:t>
      </w:r>
      <w:proofErr w:type="spellStart"/>
      <w:r w:rsidRPr="00C76E19">
        <w:rPr>
          <w:rFonts w:ascii="Book Antiqua" w:eastAsia="Book Antiqua" w:hAnsi="Book Antiqua" w:cs="Book Antiqua"/>
          <w:color w:val="000000"/>
        </w:rPr>
        <w:t>Ohta</w:t>
      </w:r>
      <w:proofErr w:type="spellEnd"/>
      <w:r w:rsidRPr="00C76E19">
        <w:rPr>
          <w:rFonts w:ascii="Book Antiqua" w:eastAsia="Book Antiqua" w:hAnsi="Book Antiqua" w:cs="Book Antiqua"/>
          <w:color w:val="000000"/>
        </w:rPr>
        <w:t xml:space="preserve"> A, </w:t>
      </w:r>
      <w:proofErr w:type="spellStart"/>
      <w:r w:rsidRPr="00C76E19">
        <w:rPr>
          <w:rFonts w:ascii="Book Antiqua" w:eastAsia="Book Antiqua" w:hAnsi="Book Antiqua" w:cs="Book Antiqua"/>
          <w:color w:val="000000"/>
        </w:rPr>
        <w:t>Motoya</w:t>
      </w:r>
      <w:proofErr w:type="spellEnd"/>
      <w:r w:rsidRPr="00C76E19">
        <w:rPr>
          <w:rFonts w:ascii="Book Antiqua" w:eastAsia="Book Antiqua" w:hAnsi="Book Antiqua" w:cs="Book Antiqua"/>
          <w:color w:val="000000"/>
        </w:rPr>
        <w:t xml:space="preserve"> S, </w:t>
      </w:r>
      <w:proofErr w:type="spellStart"/>
      <w:r w:rsidRPr="00C76E19">
        <w:rPr>
          <w:rFonts w:ascii="Book Antiqua" w:eastAsia="Book Antiqua" w:hAnsi="Book Antiqua" w:cs="Book Antiqua"/>
          <w:color w:val="000000"/>
        </w:rPr>
        <w:t>Takazoe</w:t>
      </w:r>
      <w:proofErr w:type="spellEnd"/>
      <w:r w:rsidRPr="00C76E19">
        <w:rPr>
          <w:rFonts w:ascii="Book Antiqua" w:eastAsia="Book Antiqua" w:hAnsi="Book Antiqua" w:cs="Book Antiqua"/>
          <w:color w:val="000000"/>
        </w:rPr>
        <w:t xml:space="preserve"> M, </w:t>
      </w:r>
      <w:proofErr w:type="spellStart"/>
      <w:r w:rsidRPr="00C76E19">
        <w:rPr>
          <w:rFonts w:ascii="Book Antiqua" w:eastAsia="Book Antiqua" w:hAnsi="Book Antiqua" w:cs="Book Antiqua"/>
          <w:color w:val="000000"/>
        </w:rPr>
        <w:t>Yajima</w:t>
      </w:r>
      <w:proofErr w:type="spellEnd"/>
      <w:r w:rsidRPr="00C76E19">
        <w:rPr>
          <w:rFonts w:ascii="Book Antiqua" w:eastAsia="Book Antiqua" w:hAnsi="Book Antiqua" w:cs="Book Antiqua"/>
          <w:color w:val="000000"/>
        </w:rPr>
        <w:t xml:space="preserve"> T, Date M, </w:t>
      </w:r>
      <w:proofErr w:type="spellStart"/>
      <w:r w:rsidRPr="00C76E19">
        <w:rPr>
          <w:rFonts w:ascii="Book Antiqua" w:eastAsia="Book Antiqua" w:hAnsi="Book Antiqua" w:cs="Book Antiqua"/>
          <w:color w:val="000000"/>
        </w:rPr>
        <w:t>Nii</w:t>
      </w:r>
      <w:proofErr w:type="spellEnd"/>
      <w:r w:rsidRPr="00C76E19">
        <w:rPr>
          <w:rFonts w:ascii="Book Antiqua" w:eastAsia="Book Antiqua" w:hAnsi="Book Antiqua" w:cs="Book Antiqua"/>
          <w:color w:val="000000"/>
        </w:rPr>
        <w:t xml:space="preserve"> M, Nagy P, Suzuki Y, </w:t>
      </w:r>
      <w:proofErr w:type="spellStart"/>
      <w:r w:rsidRPr="00C76E19">
        <w:rPr>
          <w:rFonts w:ascii="Book Antiqua" w:eastAsia="Book Antiqua" w:hAnsi="Book Antiqua" w:cs="Book Antiqua"/>
          <w:color w:val="000000"/>
        </w:rPr>
        <w:t>Hibi</w:t>
      </w:r>
      <w:proofErr w:type="spellEnd"/>
      <w:r w:rsidRPr="00C76E19">
        <w:rPr>
          <w:rFonts w:ascii="Book Antiqua" w:eastAsia="Book Antiqua" w:hAnsi="Book Antiqua" w:cs="Book Antiqua"/>
          <w:color w:val="000000"/>
        </w:rPr>
        <w:t xml:space="preserve"> T. Efficacy and Safety of Oral Budesonide in Patients with Active Crohn's Disease in Japan: A Multicenter, Double-Blind, Randomized, Parallel-Group Phase 3 Study. </w:t>
      </w:r>
      <w:proofErr w:type="spellStart"/>
      <w:r w:rsidRPr="00C76E19">
        <w:rPr>
          <w:rFonts w:ascii="Book Antiqua" w:eastAsia="Book Antiqua" w:hAnsi="Book Antiqua" w:cs="Book Antiqua"/>
          <w:i/>
          <w:iCs/>
          <w:color w:val="000000"/>
        </w:rPr>
        <w:t>Inflamm</w:t>
      </w:r>
      <w:proofErr w:type="spellEnd"/>
      <w:r w:rsidRPr="00C76E19">
        <w:rPr>
          <w:rFonts w:ascii="Book Antiqua" w:eastAsia="Book Antiqua" w:hAnsi="Book Antiqua" w:cs="Book Antiqua"/>
          <w:i/>
          <w:iCs/>
          <w:color w:val="000000"/>
        </w:rPr>
        <w:t xml:space="preserve"> </w:t>
      </w:r>
      <w:proofErr w:type="spellStart"/>
      <w:r w:rsidRPr="00C76E19">
        <w:rPr>
          <w:rFonts w:ascii="Book Antiqua" w:eastAsia="Book Antiqua" w:hAnsi="Book Antiqua" w:cs="Book Antiqua"/>
          <w:i/>
          <w:iCs/>
          <w:color w:val="000000"/>
        </w:rPr>
        <w:t>Intest</w:t>
      </w:r>
      <w:proofErr w:type="spellEnd"/>
      <w:r w:rsidRPr="00C76E19">
        <w:rPr>
          <w:rFonts w:ascii="Book Antiqua" w:eastAsia="Book Antiqua" w:hAnsi="Book Antiqua" w:cs="Book Antiqua"/>
          <w:i/>
          <w:iCs/>
          <w:color w:val="000000"/>
        </w:rPr>
        <w:t xml:space="preserve"> Dis</w:t>
      </w:r>
      <w:r w:rsidRPr="00C76E19">
        <w:rPr>
          <w:rFonts w:ascii="Book Antiqua" w:eastAsia="Book Antiqua" w:hAnsi="Book Antiqua" w:cs="Book Antiqua"/>
          <w:color w:val="000000"/>
        </w:rPr>
        <w:t xml:space="preserve"> 2018; </w:t>
      </w:r>
      <w:r w:rsidRPr="00C76E19">
        <w:rPr>
          <w:rFonts w:ascii="Book Antiqua" w:eastAsia="Book Antiqua" w:hAnsi="Book Antiqua" w:cs="Book Antiqua"/>
          <w:b/>
          <w:bCs/>
          <w:color w:val="000000"/>
        </w:rPr>
        <w:t>2</w:t>
      </w:r>
      <w:r w:rsidRPr="00C76E19">
        <w:rPr>
          <w:rFonts w:ascii="Book Antiqua" w:eastAsia="Book Antiqua" w:hAnsi="Book Antiqua" w:cs="Book Antiqua"/>
          <w:color w:val="000000"/>
        </w:rPr>
        <w:t>: 154-162 [PMID: 29922676 DOI: 10.1159/000484047]</w:t>
      </w:r>
    </w:p>
    <w:p w14:paraId="4709A77E"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14 </w:t>
      </w:r>
      <w:r w:rsidRPr="00C76E19">
        <w:rPr>
          <w:rFonts w:ascii="Book Antiqua" w:eastAsia="Book Antiqua" w:hAnsi="Book Antiqua" w:cs="Book Antiqua"/>
          <w:b/>
          <w:bCs/>
          <w:color w:val="000000"/>
        </w:rPr>
        <w:t>Singh S</w:t>
      </w:r>
      <w:r w:rsidRPr="00C76E19">
        <w:rPr>
          <w:rFonts w:ascii="Book Antiqua" w:eastAsia="Book Antiqua" w:hAnsi="Book Antiqua" w:cs="Book Antiqua"/>
          <w:color w:val="000000"/>
        </w:rPr>
        <w:t xml:space="preserve">, Garg SK, </w:t>
      </w:r>
      <w:proofErr w:type="spellStart"/>
      <w:r w:rsidRPr="00C76E19">
        <w:rPr>
          <w:rFonts w:ascii="Book Antiqua" w:eastAsia="Book Antiqua" w:hAnsi="Book Antiqua" w:cs="Book Antiqua"/>
          <w:color w:val="000000"/>
        </w:rPr>
        <w:t>Pardi</w:t>
      </w:r>
      <w:proofErr w:type="spellEnd"/>
      <w:r w:rsidRPr="00C76E19">
        <w:rPr>
          <w:rFonts w:ascii="Book Antiqua" w:eastAsia="Book Antiqua" w:hAnsi="Book Antiqua" w:cs="Book Antiqua"/>
          <w:color w:val="000000"/>
        </w:rPr>
        <w:t xml:space="preserve"> DS, Wang Z, Murad MH, Loftus EV Jr. Comparative efficacy of pharmacologic interventions in preventing relapse of Crohn's disease after surgery: a systematic review and network meta-analysis. </w:t>
      </w:r>
      <w:r w:rsidRPr="00C76E19">
        <w:rPr>
          <w:rFonts w:ascii="Book Antiqua" w:eastAsia="Book Antiqua" w:hAnsi="Book Antiqua" w:cs="Book Antiqua"/>
          <w:i/>
          <w:iCs/>
          <w:color w:val="000000"/>
        </w:rPr>
        <w:t>Gastroenterology</w:t>
      </w:r>
      <w:r w:rsidRPr="00C76E19">
        <w:rPr>
          <w:rFonts w:ascii="Book Antiqua" w:eastAsia="Book Antiqua" w:hAnsi="Book Antiqua" w:cs="Book Antiqua"/>
          <w:color w:val="000000"/>
        </w:rPr>
        <w:t xml:space="preserve"> 2015; </w:t>
      </w:r>
      <w:r w:rsidRPr="00C76E19">
        <w:rPr>
          <w:rFonts w:ascii="Book Antiqua" w:eastAsia="Book Antiqua" w:hAnsi="Book Antiqua" w:cs="Book Antiqua"/>
          <w:b/>
          <w:bCs/>
          <w:color w:val="000000"/>
        </w:rPr>
        <w:t>148</w:t>
      </w:r>
      <w:r w:rsidRPr="00C76E19">
        <w:rPr>
          <w:rFonts w:ascii="Book Antiqua" w:eastAsia="Book Antiqua" w:hAnsi="Book Antiqua" w:cs="Book Antiqua"/>
          <w:color w:val="000000"/>
        </w:rPr>
        <w:t>: 64-76.e2; quiz e14 [PMID: 25263803 DOI: 10.1053/j.gastro.2014.09.031]</w:t>
      </w:r>
    </w:p>
    <w:p w14:paraId="586B7320" w14:textId="05CA38FC" w:rsidR="00A77B3E" w:rsidRPr="00C76E19" w:rsidRDefault="00CA1127" w:rsidP="00A23AA9">
      <w:pPr>
        <w:spacing w:line="360" w:lineRule="auto"/>
        <w:jc w:val="both"/>
      </w:pPr>
      <w:r w:rsidRPr="00C76E19">
        <w:rPr>
          <w:rFonts w:ascii="Book Antiqua" w:eastAsia="Book Antiqua" w:hAnsi="Book Antiqua" w:cs="Book Antiqua"/>
          <w:color w:val="000000"/>
        </w:rPr>
        <w:t xml:space="preserve">15 </w:t>
      </w:r>
      <w:r w:rsidRPr="00C76E19">
        <w:rPr>
          <w:rFonts w:ascii="Book Antiqua" w:eastAsia="Book Antiqua" w:hAnsi="Book Antiqua" w:cs="Book Antiqua"/>
          <w:b/>
          <w:bCs/>
          <w:color w:val="000000"/>
        </w:rPr>
        <w:t>Huang CQ</w:t>
      </w:r>
      <w:r w:rsidR="00992B57" w:rsidRPr="00C76E19">
        <w:rPr>
          <w:rFonts w:ascii="Book Antiqua" w:eastAsia="Book Antiqua" w:hAnsi="Book Antiqua" w:cs="Book Antiqua"/>
          <w:color w:val="000000"/>
        </w:rPr>
        <w:t>,</w:t>
      </w:r>
      <w:r w:rsidRPr="00C76E19">
        <w:rPr>
          <w:rFonts w:ascii="Book Antiqua" w:eastAsia="Book Antiqua" w:hAnsi="Book Antiqua" w:cs="Book Antiqua"/>
          <w:color w:val="000000"/>
        </w:rPr>
        <w:t xml:space="preserve"> Wang DX. Analysis of risk factors associated with poor prognosis and prognosis of colonic and non-colon-type Crohn's disease. </w:t>
      </w:r>
      <w:proofErr w:type="spellStart"/>
      <w:r w:rsidR="00992B57" w:rsidRPr="00C76E19">
        <w:rPr>
          <w:rFonts w:ascii="Book Antiqua" w:eastAsia="Book Antiqua" w:hAnsi="Book Antiqua" w:cs="Book Antiqua"/>
          <w:i/>
          <w:iCs/>
          <w:color w:val="000000"/>
        </w:rPr>
        <w:t>Weichangbingxue</w:t>
      </w:r>
      <w:proofErr w:type="spellEnd"/>
      <w:r w:rsidR="00992B57" w:rsidRPr="00C76E19">
        <w:rPr>
          <w:rFonts w:ascii="Book Antiqua" w:eastAsia="Book Antiqua" w:hAnsi="Book Antiqua" w:cs="Book Antiqua"/>
          <w:i/>
          <w:iCs/>
          <w:color w:val="000000"/>
        </w:rPr>
        <w:t xml:space="preserve"> He </w:t>
      </w:r>
      <w:proofErr w:type="spellStart"/>
      <w:r w:rsidR="00992B57" w:rsidRPr="00C76E19">
        <w:rPr>
          <w:rFonts w:ascii="Book Antiqua" w:eastAsia="Book Antiqua" w:hAnsi="Book Antiqua" w:cs="Book Antiqua"/>
          <w:i/>
          <w:iCs/>
          <w:color w:val="000000"/>
        </w:rPr>
        <w:t>Ganbingxue</w:t>
      </w:r>
      <w:proofErr w:type="spellEnd"/>
      <w:r w:rsidR="00992B57" w:rsidRPr="00C76E19">
        <w:rPr>
          <w:rFonts w:ascii="Book Antiqua" w:eastAsia="Book Antiqua" w:hAnsi="Book Antiqua" w:cs="Book Antiqua"/>
          <w:i/>
          <w:iCs/>
          <w:color w:val="000000"/>
        </w:rPr>
        <w:t xml:space="preserve"> </w:t>
      </w:r>
      <w:proofErr w:type="spellStart"/>
      <w:r w:rsidR="00992B57" w:rsidRPr="00C76E19">
        <w:rPr>
          <w:rFonts w:ascii="Book Antiqua" w:eastAsia="Book Antiqua" w:hAnsi="Book Antiqua" w:cs="Book Antiqua"/>
          <w:i/>
          <w:iCs/>
          <w:color w:val="000000"/>
        </w:rPr>
        <w:t>Zazhi</w:t>
      </w:r>
      <w:proofErr w:type="spellEnd"/>
      <w:r w:rsidRPr="00C76E19">
        <w:rPr>
          <w:rFonts w:ascii="Book Antiqua" w:eastAsia="Book Antiqua" w:hAnsi="Book Antiqua" w:cs="Book Antiqua"/>
          <w:i/>
          <w:iCs/>
          <w:color w:val="000000"/>
        </w:rPr>
        <w:t xml:space="preserve"> </w:t>
      </w:r>
      <w:r w:rsidRPr="00C76E19">
        <w:rPr>
          <w:rFonts w:ascii="Book Antiqua" w:eastAsia="Book Antiqua" w:hAnsi="Book Antiqua" w:cs="Book Antiqua"/>
          <w:color w:val="000000"/>
        </w:rPr>
        <w:t xml:space="preserve">2018; </w:t>
      </w:r>
      <w:r w:rsidRPr="00C76E19">
        <w:rPr>
          <w:rFonts w:ascii="Book Antiqua" w:eastAsia="Book Antiqua" w:hAnsi="Book Antiqua" w:cs="Book Antiqua"/>
          <w:b/>
          <w:bCs/>
          <w:color w:val="000000"/>
        </w:rPr>
        <w:t>27</w:t>
      </w:r>
      <w:r w:rsidRPr="00C76E19">
        <w:rPr>
          <w:rFonts w:ascii="Book Antiqua" w:eastAsia="Book Antiqua" w:hAnsi="Book Antiqua" w:cs="Book Antiqua"/>
          <w:color w:val="000000"/>
        </w:rPr>
        <w:t>:</w:t>
      </w:r>
      <w:r w:rsidR="00992B57" w:rsidRPr="00C76E19">
        <w:rPr>
          <w:rFonts w:ascii="Book Antiqua" w:eastAsia="Book Antiqua" w:hAnsi="Book Antiqua" w:cs="Book Antiqua"/>
          <w:color w:val="000000"/>
        </w:rPr>
        <w:t xml:space="preserve"> </w:t>
      </w:r>
      <w:r w:rsidRPr="00C76E19">
        <w:rPr>
          <w:rFonts w:ascii="Book Antiqua" w:eastAsia="Book Antiqua" w:hAnsi="Book Antiqua" w:cs="Book Antiqua"/>
          <w:color w:val="000000"/>
        </w:rPr>
        <w:t xml:space="preserve">45-49 </w:t>
      </w:r>
      <w:r w:rsidR="00992B57" w:rsidRPr="00C76E19">
        <w:rPr>
          <w:rFonts w:ascii="Book Antiqua" w:eastAsia="Book Antiqua" w:hAnsi="Book Antiqua" w:cs="Book Antiqua"/>
          <w:color w:val="000000"/>
        </w:rPr>
        <w:t>[DOI</w:t>
      </w:r>
      <w:r w:rsidRPr="00C76E19">
        <w:rPr>
          <w:rFonts w:ascii="Book Antiqua" w:eastAsia="Book Antiqua" w:hAnsi="Book Antiqua" w:cs="Book Antiqua"/>
          <w:color w:val="000000"/>
        </w:rPr>
        <w:t>:</w:t>
      </w:r>
      <w:r w:rsidR="00992B57" w:rsidRPr="00C76E19">
        <w:rPr>
          <w:rFonts w:ascii="Book Antiqua" w:eastAsia="Book Antiqua" w:hAnsi="Book Antiqua" w:cs="Book Antiqua"/>
          <w:color w:val="000000"/>
        </w:rPr>
        <w:t xml:space="preserve"> </w:t>
      </w:r>
      <w:r w:rsidRPr="00C76E19">
        <w:rPr>
          <w:rFonts w:ascii="Book Antiqua" w:eastAsia="Book Antiqua" w:hAnsi="Book Antiqua" w:cs="Book Antiqua"/>
          <w:color w:val="000000"/>
        </w:rPr>
        <w:t>10.3969/j.issn.1006-5709.2018.05.009</w:t>
      </w:r>
      <w:r w:rsidR="00992B57" w:rsidRPr="00C76E19">
        <w:rPr>
          <w:rFonts w:ascii="Book Antiqua" w:eastAsia="Book Antiqua" w:hAnsi="Book Antiqua" w:cs="Book Antiqua"/>
          <w:color w:val="000000"/>
        </w:rPr>
        <w:t>]</w:t>
      </w:r>
    </w:p>
    <w:p w14:paraId="2D2C711C" w14:textId="2149FD3C" w:rsidR="00A77B3E" w:rsidRPr="00C76E19" w:rsidRDefault="00CA1127" w:rsidP="00A23AA9">
      <w:pPr>
        <w:spacing w:line="360" w:lineRule="auto"/>
        <w:jc w:val="both"/>
      </w:pPr>
      <w:r w:rsidRPr="00C76E19">
        <w:rPr>
          <w:rFonts w:ascii="Book Antiqua" w:eastAsia="Book Antiqua" w:hAnsi="Book Antiqua" w:cs="Book Antiqua"/>
          <w:color w:val="000000"/>
        </w:rPr>
        <w:t xml:space="preserve">16 </w:t>
      </w:r>
      <w:r w:rsidRPr="00C76E19">
        <w:rPr>
          <w:rFonts w:ascii="Book Antiqua" w:eastAsia="Book Antiqua" w:hAnsi="Book Antiqua" w:cs="Book Antiqua"/>
          <w:b/>
          <w:bCs/>
          <w:color w:val="000000"/>
        </w:rPr>
        <w:t>Lei XM</w:t>
      </w:r>
      <w:r w:rsidRPr="00C76E19">
        <w:rPr>
          <w:rFonts w:ascii="Book Antiqua" w:eastAsia="Book Antiqua" w:hAnsi="Book Antiqua" w:cs="Book Antiqua"/>
          <w:color w:val="000000"/>
        </w:rPr>
        <w:t xml:space="preserve">, Lu L. Clinical characteristics and prognosis analysis of severe Crohn's disease. </w:t>
      </w:r>
      <w:r w:rsidR="000D145B" w:rsidRPr="00C76E19">
        <w:rPr>
          <w:rFonts w:ascii="Book Antiqua" w:eastAsia="Book Antiqua" w:hAnsi="Book Antiqua" w:cs="Book Antiqua"/>
          <w:i/>
          <w:iCs/>
          <w:color w:val="000000"/>
        </w:rPr>
        <w:t xml:space="preserve">Chengde </w:t>
      </w:r>
      <w:proofErr w:type="spellStart"/>
      <w:r w:rsidR="000D145B" w:rsidRPr="00C76E19">
        <w:rPr>
          <w:rFonts w:ascii="Book Antiqua" w:eastAsia="Book Antiqua" w:hAnsi="Book Antiqua" w:cs="Book Antiqua"/>
          <w:i/>
          <w:iCs/>
          <w:color w:val="000000"/>
        </w:rPr>
        <w:t>Yixueyuan</w:t>
      </w:r>
      <w:proofErr w:type="spellEnd"/>
      <w:r w:rsidR="000D145B" w:rsidRPr="00C76E19">
        <w:rPr>
          <w:rFonts w:ascii="Book Antiqua" w:eastAsia="Book Antiqua" w:hAnsi="Book Antiqua" w:cs="Book Antiqua"/>
          <w:i/>
          <w:iCs/>
          <w:color w:val="000000"/>
        </w:rPr>
        <w:t xml:space="preserve"> </w:t>
      </w:r>
      <w:proofErr w:type="spellStart"/>
      <w:r w:rsidR="000D145B" w:rsidRPr="00C76E19">
        <w:rPr>
          <w:rFonts w:ascii="Book Antiqua" w:eastAsia="Book Antiqua" w:hAnsi="Book Antiqua" w:cs="Book Antiqua"/>
          <w:i/>
          <w:iCs/>
          <w:color w:val="000000"/>
        </w:rPr>
        <w:t>Xuebao</w:t>
      </w:r>
      <w:proofErr w:type="spellEnd"/>
      <w:r w:rsidRPr="00C76E19">
        <w:rPr>
          <w:rFonts w:ascii="Book Antiqua" w:eastAsia="Book Antiqua" w:hAnsi="Book Antiqua" w:cs="Book Antiqua"/>
          <w:color w:val="000000"/>
        </w:rPr>
        <w:t xml:space="preserve"> </w:t>
      </w:r>
      <w:proofErr w:type="spellStart"/>
      <w:r w:rsidR="00D15C59" w:rsidRPr="00C76E19">
        <w:rPr>
          <w:rFonts w:ascii="Book Antiqua" w:eastAsia="Book Antiqua" w:hAnsi="Book Antiqua" w:cs="Book Antiqua"/>
          <w:i/>
          <w:iCs/>
          <w:color w:val="000000"/>
        </w:rPr>
        <w:t>Zazhi</w:t>
      </w:r>
      <w:proofErr w:type="spellEnd"/>
      <w:r w:rsidR="00D15C59" w:rsidRPr="00C76E19">
        <w:rPr>
          <w:rFonts w:ascii="Book Antiqua" w:eastAsia="Book Antiqua" w:hAnsi="Book Antiqua" w:cs="Book Antiqua"/>
          <w:color w:val="000000"/>
        </w:rPr>
        <w:t xml:space="preserve"> </w:t>
      </w:r>
      <w:r w:rsidRPr="00C76E19">
        <w:rPr>
          <w:rFonts w:ascii="Book Antiqua" w:eastAsia="Book Antiqua" w:hAnsi="Book Antiqua" w:cs="Book Antiqua"/>
          <w:color w:val="000000"/>
        </w:rPr>
        <w:t>2017;</w:t>
      </w:r>
      <w:r w:rsidR="002875EB" w:rsidRPr="00C76E19">
        <w:rPr>
          <w:rFonts w:ascii="Book Antiqua" w:eastAsia="Book Antiqua" w:hAnsi="Book Antiqua" w:cs="Book Antiqua"/>
          <w:color w:val="000000"/>
        </w:rPr>
        <w:t xml:space="preserve"> </w:t>
      </w:r>
      <w:r w:rsidR="000D145B" w:rsidRPr="00C76E19">
        <w:rPr>
          <w:rFonts w:ascii="Book Antiqua" w:eastAsia="Book Antiqua" w:hAnsi="Book Antiqua" w:cs="Book Antiqua"/>
          <w:b/>
          <w:bCs/>
          <w:color w:val="000000"/>
        </w:rPr>
        <w:t>34</w:t>
      </w:r>
      <w:r w:rsidRPr="00C76E19">
        <w:rPr>
          <w:rFonts w:ascii="Book Antiqua" w:eastAsia="Book Antiqua" w:hAnsi="Book Antiqua" w:cs="Book Antiqua"/>
          <w:color w:val="000000"/>
        </w:rPr>
        <w:t>: 35-37</w:t>
      </w:r>
    </w:p>
    <w:p w14:paraId="1CFC1AE3" w14:textId="05AAF31B" w:rsidR="00A77B3E" w:rsidRPr="00C76E19" w:rsidRDefault="00CA1127" w:rsidP="00A23AA9">
      <w:pPr>
        <w:spacing w:line="360" w:lineRule="auto"/>
        <w:jc w:val="both"/>
      </w:pPr>
      <w:r w:rsidRPr="00C76E19">
        <w:rPr>
          <w:rFonts w:ascii="Book Antiqua" w:eastAsia="Book Antiqua" w:hAnsi="Book Antiqua" w:cs="Book Antiqua"/>
          <w:color w:val="000000"/>
        </w:rPr>
        <w:t xml:space="preserve">17 </w:t>
      </w:r>
      <w:r w:rsidRPr="00C76E19">
        <w:rPr>
          <w:rFonts w:ascii="Book Antiqua" w:eastAsia="Book Antiqua" w:hAnsi="Book Antiqua" w:cs="Book Antiqua"/>
          <w:b/>
          <w:bCs/>
          <w:color w:val="000000"/>
        </w:rPr>
        <w:t>Wang M</w:t>
      </w:r>
      <w:r w:rsidRPr="00C76E19">
        <w:rPr>
          <w:rFonts w:ascii="Book Antiqua" w:eastAsia="Book Antiqua" w:hAnsi="Book Antiqua" w:cs="Book Antiqua"/>
          <w:color w:val="000000"/>
        </w:rPr>
        <w:t>, Ding YB, Xiao WM</w:t>
      </w:r>
      <w:r w:rsidR="000D145B" w:rsidRPr="00C76E19">
        <w:rPr>
          <w:rFonts w:ascii="Book Antiqua" w:eastAsia="Book Antiqua" w:hAnsi="Book Antiqua" w:cs="Book Antiqua"/>
          <w:color w:val="000000"/>
        </w:rPr>
        <w:t>, Deng B, Zhi JH</w:t>
      </w:r>
      <w:r w:rsidR="00D15C59" w:rsidRPr="00C76E19">
        <w:rPr>
          <w:rFonts w:ascii="Book Antiqua" w:eastAsia="Book Antiqua" w:hAnsi="Book Antiqua" w:cs="Book Antiqua"/>
          <w:color w:val="000000"/>
        </w:rPr>
        <w:t>.</w:t>
      </w:r>
      <w:r w:rsidRPr="00C76E19">
        <w:rPr>
          <w:rFonts w:ascii="Book Antiqua" w:eastAsia="Book Antiqua" w:hAnsi="Book Antiqua" w:cs="Book Antiqua"/>
          <w:color w:val="000000"/>
        </w:rPr>
        <w:t xml:space="preserve"> The efficacy and safety of azathioprine in a long-term treatment for Crohn’s disease. </w:t>
      </w:r>
      <w:proofErr w:type="spellStart"/>
      <w:r w:rsidR="000D145B" w:rsidRPr="00C76E19">
        <w:rPr>
          <w:rFonts w:ascii="Book Antiqua" w:eastAsia="Book Antiqua" w:hAnsi="Book Antiqua" w:cs="Book Antiqua"/>
          <w:i/>
          <w:iCs/>
          <w:color w:val="000000"/>
        </w:rPr>
        <w:t>Weichangbingxue</w:t>
      </w:r>
      <w:proofErr w:type="spellEnd"/>
      <w:r w:rsidR="000D145B" w:rsidRPr="00C76E19">
        <w:rPr>
          <w:rFonts w:ascii="Book Antiqua" w:eastAsia="Book Antiqua" w:hAnsi="Book Antiqua" w:cs="Book Antiqua"/>
          <w:i/>
          <w:iCs/>
          <w:color w:val="000000"/>
        </w:rPr>
        <w:t xml:space="preserve"> He </w:t>
      </w:r>
      <w:proofErr w:type="spellStart"/>
      <w:r w:rsidR="000D145B" w:rsidRPr="00C76E19">
        <w:rPr>
          <w:rFonts w:ascii="Book Antiqua" w:eastAsia="Book Antiqua" w:hAnsi="Book Antiqua" w:cs="Book Antiqua"/>
          <w:i/>
          <w:iCs/>
          <w:color w:val="000000"/>
        </w:rPr>
        <w:t>Ganbingxue</w:t>
      </w:r>
      <w:proofErr w:type="spellEnd"/>
      <w:r w:rsidR="000D145B" w:rsidRPr="00C76E19">
        <w:rPr>
          <w:rFonts w:ascii="Book Antiqua" w:eastAsia="Book Antiqua" w:hAnsi="Book Antiqua" w:cs="Book Antiqua"/>
          <w:i/>
          <w:iCs/>
          <w:color w:val="000000"/>
        </w:rPr>
        <w:t xml:space="preserve"> </w:t>
      </w:r>
      <w:proofErr w:type="spellStart"/>
      <w:r w:rsidR="000D145B" w:rsidRPr="00C76E19">
        <w:rPr>
          <w:rFonts w:ascii="Book Antiqua" w:eastAsia="Book Antiqua" w:hAnsi="Book Antiqua" w:cs="Book Antiqua"/>
          <w:i/>
          <w:iCs/>
          <w:color w:val="000000"/>
        </w:rPr>
        <w:t>Zazhi</w:t>
      </w:r>
      <w:proofErr w:type="spellEnd"/>
      <w:r w:rsidRPr="00C76E19">
        <w:rPr>
          <w:rFonts w:ascii="Book Antiqua" w:eastAsia="Book Antiqua" w:hAnsi="Book Antiqua" w:cs="Book Antiqua"/>
          <w:color w:val="000000"/>
        </w:rPr>
        <w:t xml:space="preserve"> 2011; </w:t>
      </w:r>
      <w:r w:rsidRPr="00C76E19">
        <w:rPr>
          <w:rFonts w:ascii="Book Antiqua" w:eastAsia="Book Antiqua" w:hAnsi="Book Antiqua" w:cs="Book Antiqua"/>
          <w:b/>
          <w:bCs/>
          <w:color w:val="000000"/>
        </w:rPr>
        <w:t>20</w:t>
      </w:r>
      <w:r w:rsidRPr="00C76E19">
        <w:rPr>
          <w:rFonts w:ascii="Book Antiqua" w:eastAsia="Book Antiqua" w:hAnsi="Book Antiqua" w:cs="Book Antiqua"/>
          <w:color w:val="000000"/>
        </w:rPr>
        <w:t xml:space="preserve">: 647-649 </w:t>
      </w:r>
      <w:r w:rsidR="000D145B" w:rsidRPr="00C76E19">
        <w:rPr>
          <w:rFonts w:ascii="Book Antiqua" w:eastAsia="Book Antiqua" w:hAnsi="Book Antiqua" w:cs="Book Antiqua"/>
          <w:color w:val="000000"/>
        </w:rPr>
        <w:t>[DOI</w:t>
      </w:r>
      <w:r w:rsidRPr="00C76E19">
        <w:rPr>
          <w:rFonts w:ascii="Book Antiqua" w:eastAsia="Book Antiqua" w:hAnsi="Book Antiqua" w:cs="Book Antiqua"/>
          <w:color w:val="000000"/>
        </w:rPr>
        <w:t>:</w:t>
      </w:r>
      <w:r w:rsidR="000D145B" w:rsidRPr="00C76E19">
        <w:rPr>
          <w:rFonts w:ascii="Book Antiqua" w:eastAsia="Book Antiqua" w:hAnsi="Book Antiqua" w:cs="Book Antiqua"/>
          <w:color w:val="000000"/>
        </w:rPr>
        <w:t xml:space="preserve"> </w:t>
      </w:r>
      <w:r w:rsidRPr="00C76E19">
        <w:rPr>
          <w:rFonts w:ascii="Book Antiqua" w:eastAsia="Book Antiqua" w:hAnsi="Book Antiqua" w:cs="Book Antiqua"/>
          <w:color w:val="000000"/>
        </w:rPr>
        <w:t>10.3969/j.issn.1006-5709.2011.07.017</w:t>
      </w:r>
      <w:r w:rsidR="000D145B" w:rsidRPr="00C76E19">
        <w:rPr>
          <w:rFonts w:ascii="Book Antiqua" w:eastAsia="Book Antiqua" w:hAnsi="Book Antiqua" w:cs="Book Antiqua"/>
          <w:color w:val="000000"/>
        </w:rPr>
        <w:t>]</w:t>
      </w:r>
    </w:p>
    <w:p w14:paraId="0EA03688" w14:textId="7BD66E0D" w:rsidR="00A77B3E" w:rsidRPr="00C76E19" w:rsidRDefault="00CA1127" w:rsidP="00A23AA9">
      <w:pPr>
        <w:spacing w:line="360" w:lineRule="auto"/>
        <w:jc w:val="both"/>
      </w:pPr>
      <w:r w:rsidRPr="00C76E19">
        <w:rPr>
          <w:rFonts w:ascii="Book Antiqua" w:eastAsia="Book Antiqua" w:hAnsi="Book Antiqua" w:cs="Book Antiqua"/>
          <w:color w:val="000000"/>
        </w:rPr>
        <w:t xml:space="preserve">18 </w:t>
      </w:r>
      <w:r w:rsidRPr="00C76E19">
        <w:rPr>
          <w:rFonts w:ascii="Book Antiqua" w:eastAsia="Book Antiqua" w:hAnsi="Book Antiqua" w:cs="Book Antiqua"/>
          <w:b/>
          <w:bCs/>
          <w:color w:val="000000"/>
        </w:rPr>
        <w:t>Wang QZ</w:t>
      </w:r>
      <w:r w:rsidRPr="00C76E19">
        <w:rPr>
          <w:rFonts w:ascii="Book Antiqua" w:eastAsia="Book Antiqua" w:hAnsi="Book Antiqua" w:cs="Book Antiqua"/>
          <w:color w:val="000000"/>
        </w:rPr>
        <w:t xml:space="preserve">, Wang SJ. Investigation of clinical characteristics and survival conditions of patients with inflammatory bowel disease. </w:t>
      </w:r>
      <w:proofErr w:type="spellStart"/>
      <w:r w:rsidR="00D15C59" w:rsidRPr="00C76E19">
        <w:rPr>
          <w:rFonts w:ascii="Book Antiqua" w:eastAsia="Book Antiqua" w:hAnsi="Book Antiqua" w:cs="Book Antiqua"/>
          <w:i/>
          <w:iCs/>
          <w:color w:val="000000"/>
        </w:rPr>
        <w:t>Zhongguo</w:t>
      </w:r>
      <w:proofErr w:type="spellEnd"/>
      <w:r w:rsidR="00D15C59" w:rsidRPr="00C76E19">
        <w:rPr>
          <w:rFonts w:ascii="Book Antiqua" w:eastAsia="Book Antiqua" w:hAnsi="Book Antiqua" w:cs="Book Antiqua"/>
          <w:i/>
          <w:iCs/>
          <w:color w:val="000000"/>
        </w:rPr>
        <w:t xml:space="preserve"> </w:t>
      </w:r>
      <w:proofErr w:type="spellStart"/>
      <w:r w:rsidR="00D15C59" w:rsidRPr="00C76E19">
        <w:rPr>
          <w:rFonts w:ascii="Book Antiqua" w:eastAsia="Book Antiqua" w:hAnsi="Book Antiqua" w:cs="Book Antiqua"/>
          <w:i/>
          <w:iCs/>
          <w:color w:val="000000"/>
        </w:rPr>
        <w:t>Minkang</w:t>
      </w:r>
      <w:proofErr w:type="spellEnd"/>
      <w:r w:rsidR="00D15C59" w:rsidRPr="00C76E19">
        <w:rPr>
          <w:rFonts w:ascii="Book Antiqua" w:eastAsia="Book Antiqua" w:hAnsi="Book Antiqua" w:cs="Book Antiqua"/>
          <w:i/>
          <w:iCs/>
          <w:color w:val="000000"/>
        </w:rPr>
        <w:t xml:space="preserve"> </w:t>
      </w:r>
      <w:proofErr w:type="spellStart"/>
      <w:r w:rsidR="00D15C59" w:rsidRPr="00C76E19">
        <w:rPr>
          <w:rFonts w:ascii="Book Antiqua" w:eastAsia="Book Antiqua" w:hAnsi="Book Antiqua" w:cs="Book Antiqua"/>
          <w:i/>
          <w:iCs/>
          <w:color w:val="000000"/>
        </w:rPr>
        <w:t>Yixue</w:t>
      </w:r>
      <w:proofErr w:type="spellEnd"/>
      <w:r w:rsidR="00D15C59" w:rsidRPr="00C76E19">
        <w:rPr>
          <w:rFonts w:ascii="Book Antiqua" w:eastAsia="Book Antiqua" w:hAnsi="Book Antiqua" w:cs="Book Antiqua"/>
          <w:i/>
          <w:iCs/>
          <w:color w:val="000000"/>
        </w:rPr>
        <w:t xml:space="preserve"> </w:t>
      </w:r>
      <w:proofErr w:type="spellStart"/>
      <w:r w:rsidR="00D15C59" w:rsidRPr="00C76E19">
        <w:rPr>
          <w:rFonts w:ascii="Book Antiqua" w:eastAsia="Book Antiqua" w:hAnsi="Book Antiqua" w:cs="Book Antiqua"/>
          <w:i/>
          <w:iCs/>
          <w:color w:val="000000"/>
        </w:rPr>
        <w:t>Zazhi</w:t>
      </w:r>
      <w:proofErr w:type="spellEnd"/>
      <w:r w:rsidRPr="00C76E19">
        <w:rPr>
          <w:rFonts w:ascii="Book Antiqua" w:eastAsia="Book Antiqua" w:hAnsi="Book Antiqua" w:cs="Book Antiqua"/>
          <w:color w:val="000000"/>
        </w:rPr>
        <w:t xml:space="preserve"> 2017; </w:t>
      </w:r>
      <w:r w:rsidR="00D15C59" w:rsidRPr="00C76E19">
        <w:rPr>
          <w:rFonts w:ascii="Book Antiqua" w:eastAsia="Book Antiqua" w:hAnsi="Book Antiqua" w:cs="Book Antiqua"/>
          <w:b/>
          <w:bCs/>
          <w:color w:val="000000"/>
        </w:rPr>
        <w:t>29</w:t>
      </w:r>
      <w:r w:rsidRPr="00C76E19">
        <w:rPr>
          <w:rFonts w:ascii="Book Antiqua" w:eastAsia="Book Antiqua" w:hAnsi="Book Antiqua" w:cs="Book Antiqua"/>
          <w:color w:val="000000"/>
        </w:rPr>
        <w:t xml:space="preserve">: 1-3 </w:t>
      </w:r>
      <w:r w:rsidR="00D15C59" w:rsidRPr="00C76E19">
        <w:rPr>
          <w:rFonts w:ascii="Book Antiqua" w:eastAsia="Book Antiqua" w:hAnsi="Book Antiqua" w:cs="Book Antiqua"/>
          <w:color w:val="000000"/>
        </w:rPr>
        <w:t>[</w:t>
      </w:r>
      <w:r w:rsidRPr="00C76E19">
        <w:rPr>
          <w:rFonts w:ascii="Book Antiqua" w:eastAsia="Book Antiqua" w:hAnsi="Book Antiqua" w:cs="Book Antiqua"/>
          <w:color w:val="000000"/>
        </w:rPr>
        <w:t>DOI: 10.3969/j.issn.1672-0369.2017.03.001</w:t>
      </w:r>
      <w:r w:rsidR="00D15C59" w:rsidRPr="00C76E19">
        <w:rPr>
          <w:rFonts w:ascii="Book Antiqua" w:eastAsia="Book Antiqua" w:hAnsi="Book Antiqua" w:cs="Book Antiqua"/>
          <w:color w:val="000000"/>
        </w:rPr>
        <w:t>]</w:t>
      </w:r>
    </w:p>
    <w:p w14:paraId="3358BE7F"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19 </w:t>
      </w:r>
      <w:proofErr w:type="spellStart"/>
      <w:r w:rsidRPr="00C76E19">
        <w:rPr>
          <w:rFonts w:ascii="Book Antiqua" w:eastAsia="Book Antiqua" w:hAnsi="Book Antiqua" w:cs="Book Antiqua"/>
          <w:b/>
          <w:bCs/>
          <w:color w:val="000000"/>
        </w:rPr>
        <w:t>Aniwan</w:t>
      </w:r>
      <w:proofErr w:type="spellEnd"/>
      <w:r w:rsidRPr="00C76E19">
        <w:rPr>
          <w:rFonts w:ascii="Book Antiqua" w:eastAsia="Book Antiqua" w:hAnsi="Book Antiqua" w:cs="Book Antiqua"/>
          <w:b/>
          <w:bCs/>
          <w:color w:val="000000"/>
        </w:rPr>
        <w:t xml:space="preserve"> S</w:t>
      </w:r>
      <w:r w:rsidRPr="00C76E19">
        <w:rPr>
          <w:rFonts w:ascii="Book Antiqua" w:eastAsia="Book Antiqua" w:hAnsi="Book Antiqua" w:cs="Book Antiqua"/>
          <w:color w:val="000000"/>
        </w:rPr>
        <w:t xml:space="preserve">, </w:t>
      </w:r>
      <w:proofErr w:type="spellStart"/>
      <w:r w:rsidRPr="00C76E19">
        <w:rPr>
          <w:rFonts w:ascii="Book Antiqua" w:eastAsia="Book Antiqua" w:hAnsi="Book Antiqua" w:cs="Book Antiqua"/>
          <w:color w:val="000000"/>
        </w:rPr>
        <w:t>Harmsen</w:t>
      </w:r>
      <w:proofErr w:type="spellEnd"/>
      <w:r w:rsidRPr="00C76E19">
        <w:rPr>
          <w:rFonts w:ascii="Book Antiqua" w:eastAsia="Book Antiqua" w:hAnsi="Book Antiqua" w:cs="Book Antiqua"/>
          <w:color w:val="000000"/>
        </w:rPr>
        <w:t xml:space="preserve"> WS, Tremaine WJ, Kane SV, Loftus EV Jr. Overall and Cause-Specific Mortality of Inflammatory Bowel Disease in Olmsted County, Minnesota, From 1970 Through 2016. </w:t>
      </w:r>
      <w:r w:rsidRPr="00C76E19">
        <w:rPr>
          <w:rFonts w:ascii="Book Antiqua" w:eastAsia="Book Antiqua" w:hAnsi="Book Antiqua" w:cs="Book Antiqua"/>
          <w:i/>
          <w:iCs/>
          <w:color w:val="000000"/>
        </w:rPr>
        <w:t>Mayo Clin Proc</w:t>
      </w:r>
      <w:r w:rsidRPr="00C76E19">
        <w:rPr>
          <w:rFonts w:ascii="Book Antiqua" w:eastAsia="Book Antiqua" w:hAnsi="Book Antiqua" w:cs="Book Antiqua"/>
          <w:color w:val="000000"/>
        </w:rPr>
        <w:t xml:space="preserve"> 2018; </w:t>
      </w:r>
      <w:r w:rsidRPr="00C76E19">
        <w:rPr>
          <w:rFonts w:ascii="Book Antiqua" w:eastAsia="Book Antiqua" w:hAnsi="Book Antiqua" w:cs="Book Antiqua"/>
          <w:b/>
          <w:bCs/>
          <w:color w:val="000000"/>
        </w:rPr>
        <w:t>93</w:t>
      </w:r>
      <w:r w:rsidRPr="00C76E19">
        <w:rPr>
          <w:rFonts w:ascii="Book Antiqua" w:eastAsia="Book Antiqua" w:hAnsi="Book Antiqua" w:cs="Book Antiqua"/>
          <w:color w:val="000000"/>
        </w:rPr>
        <w:t>: 1415-1422 [PMID: 30293558 DOI: 10.1016/j.mayocp.2018.03.004]</w:t>
      </w:r>
    </w:p>
    <w:p w14:paraId="6E90E5BA"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20 </w:t>
      </w:r>
      <w:proofErr w:type="spellStart"/>
      <w:r w:rsidRPr="00C76E19">
        <w:rPr>
          <w:rFonts w:ascii="Book Antiqua" w:eastAsia="Book Antiqua" w:hAnsi="Book Antiqua" w:cs="Book Antiqua"/>
          <w:b/>
          <w:bCs/>
          <w:color w:val="000000"/>
        </w:rPr>
        <w:t>Hovde</w:t>
      </w:r>
      <w:proofErr w:type="spellEnd"/>
      <w:r w:rsidRPr="00C76E19">
        <w:rPr>
          <w:rFonts w:ascii="Book Antiqua" w:eastAsia="Book Antiqua" w:hAnsi="Book Antiqua" w:cs="Book Antiqua"/>
          <w:b/>
          <w:bCs/>
          <w:color w:val="000000"/>
        </w:rPr>
        <w:t xml:space="preserve"> Ø</w:t>
      </w:r>
      <w:r w:rsidRPr="00C76E19">
        <w:rPr>
          <w:rFonts w:ascii="Book Antiqua" w:eastAsia="Book Antiqua" w:hAnsi="Book Antiqua" w:cs="Book Antiqua"/>
          <w:color w:val="000000"/>
        </w:rPr>
        <w:t xml:space="preserve">, </w:t>
      </w:r>
      <w:proofErr w:type="spellStart"/>
      <w:r w:rsidRPr="00C76E19">
        <w:rPr>
          <w:rFonts w:ascii="Book Antiqua" w:eastAsia="Book Antiqua" w:hAnsi="Book Antiqua" w:cs="Book Antiqua"/>
          <w:color w:val="000000"/>
        </w:rPr>
        <w:t>Kempski-Monstad</w:t>
      </w:r>
      <w:proofErr w:type="spellEnd"/>
      <w:r w:rsidRPr="00C76E19">
        <w:rPr>
          <w:rFonts w:ascii="Book Antiqua" w:eastAsia="Book Antiqua" w:hAnsi="Book Antiqua" w:cs="Book Antiqua"/>
          <w:color w:val="000000"/>
        </w:rPr>
        <w:t xml:space="preserve"> I, </w:t>
      </w:r>
      <w:proofErr w:type="spellStart"/>
      <w:r w:rsidRPr="00C76E19">
        <w:rPr>
          <w:rFonts w:ascii="Book Antiqua" w:eastAsia="Book Antiqua" w:hAnsi="Book Antiqua" w:cs="Book Antiqua"/>
          <w:color w:val="000000"/>
        </w:rPr>
        <w:t>Småstuen</w:t>
      </w:r>
      <w:proofErr w:type="spellEnd"/>
      <w:r w:rsidRPr="00C76E19">
        <w:rPr>
          <w:rFonts w:ascii="Book Antiqua" w:eastAsia="Book Antiqua" w:hAnsi="Book Antiqua" w:cs="Book Antiqua"/>
          <w:color w:val="000000"/>
        </w:rPr>
        <w:t xml:space="preserve"> MC, Solberg IC, Henriksen M, </w:t>
      </w:r>
      <w:proofErr w:type="spellStart"/>
      <w:r w:rsidRPr="00C76E19">
        <w:rPr>
          <w:rFonts w:ascii="Book Antiqua" w:eastAsia="Book Antiqua" w:hAnsi="Book Antiqua" w:cs="Book Antiqua"/>
          <w:color w:val="000000"/>
        </w:rPr>
        <w:t>Jahnsen</w:t>
      </w:r>
      <w:proofErr w:type="spellEnd"/>
      <w:r w:rsidRPr="00C76E19">
        <w:rPr>
          <w:rFonts w:ascii="Book Antiqua" w:eastAsia="Book Antiqua" w:hAnsi="Book Antiqua" w:cs="Book Antiqua"/>
          <w:color w:val="000000"/>
        </w:rPr>
        <w:t xml:space="preserve"> J, Stray N, </w:t>
      </w:r>
      <w:proofErr w:type="spellStart"/>
      <w:r w:rsidRPr="00C76E19">
        <w:rPr>
          <w:rFonts w:ascii="Book Antiqua" w:eastAsia="Book Antiqua" w:hAnsi="Book Antiqua" w:cs="Book Antiqua"/>
          <w:color w:val="000000"/>
        </w:rPr>
        <w:t>Moum</w:t>
      </w:r>
      <w:proofErr w:type="spellEnd"/>
      <w:r w:rsidRPr="00C76E19">
        <w:rPr>
          <w:rFonts w:ascii="Book Antiqua" w:eastAsia="Book Antiqua" w:hAnsi="Book Antiqua" w:cs="Book Antiqua"/>
          <w:color w:val="000000"/>
        </w:rPr>
        <w:t xml:space="preserve"> BA. Mortality and causes of death in Crohn's disease: results from 20 years of follow-up in the IBSEN study. </w:t>
      </w:r>
      <w:r w:rsidRPr="00C76E19">
        <w:rPr>
          <w:rFonts w:ascii="Book Antiqua" w:eastAsia="Book Antiqua" w:hAnsi="Book Antiqua" w:cs="Book Antiqua"/>
          <w:i/>
          <w:iCs/>
          <w:color w:val="000000"/>
        </w:rPr>
        <w:t>Gut</w:t>
      </w:r>
      <w:r w:rsidRPr="00C76E19">
        <w:rPr>
          <w:rFonts w:ascii="Book Antiqua" w:eastAsia="Book Antiqua" w:hAnsi="Book Antiqua" w:cs="Book Antiqua"/>
          <w:color w:val="000000"/>
        </w:rPr>
        <w:t xml:space="preserve"> 2014; </w:t>
      </w:r>
      <w:r w:rsidRPr="00C76E19">
        <w:rPr>
          <w:rFonts w:ascii="Book Antiqua" w:eastAsia="Book Antiqua" w:hAnsi="Book Antiqua" w:cs="Book Antiqua"/>
          <w:b/>
          <w:bCs/>
          <w:color w:val="000000"/>
        </w:rPr>
        <w:t>63</w:t>
      </w:r>
      <w:r w:rsidRPr="00C76E19">
        <w:rPr>
          <w:rFonts w:ascii="Book Antiqua" w:eastAsia="Book Antiqua" w:hAnsi="Book Antiqua" w:cs="Book Antiqua"/>
          <w:color w:val="000000"/>
        </w:rPr>
        <w:t>: 771-775 [PMID: 23744613 DOI: 10.1136/gutjnl-2013-304766]</w:t>
      </w:r>
    </w:p>
    <w:p w14:paraId="47C9F75F"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21 </w:t>
      </w:r>
      <w:proofErr w:type="spellStart"/>
      <w:r w:rsidRPr="00C76E19">
        <w:rPr>
          <w:rFonts w:ascii="Book Antiqua" w:eastAsia="Book Antiqua" w:hAnsi="Book Antiqua" w:cs="Book Antiqua"/>
          <w:b/>
          <w:bCs/>
          <w:color w:val="000000"/>
        </w:rPr>
        <w:t>Caini</w:t>
      </w:r>
      <w:proofErr w:type="spellEnd"/>
      <w:r w:rsidRPr="00C76E19">
        <w:rPr>
          <w:rFonts w:ascii="Book Antiqua" w:eastAsia="Book Antiqua" w:hAnsi="Book Antiqua" w:cs="Book Antiqua"/>
          <w:b/>
          <w:bCs/>
          <w:color w:val="000000"/>
        </w:rPr>
        <w:t xml:space="preserve"> S</w:t>
      </w:r>
      <w:r w:rsidRPr="00C76E19">
        <w:rPr>
          <w:rFonts w:ascii="Book Antiqua" w:eastAsia="Book Antiqua" w:hAnsi="Book Antiqua" w:cs="Book Antiqua"/>
          <w:color w:val="000000"/>
        </w:rPr>
        <w:t xml:space="preserve">, Bagnoli S, </w:t>
      </w:r>
      <w:proofErr w:type="spellStart"/>
      <w:r w:rsidRPr="00C76E19">
        <w:rPr>
          <w:rFonts w:ascii="Book Antiqua" w:eastAsia="Book Antiqua" w:hAnsi="Book Antiqua" w:cs="Book Antiqua"/>
          <w:color w:val="000000"/>
        </w:rPr>
        <w:t>Palli</w:t>
      </w:r>
      <w:proofErr w:type="spellEnd"/>
      <w:r w:rsidRPr="00C76E19">
        <w:rPr>
          <w:rFonts w:ascii="Book Antiqua" w:eastAsia="Book Antiqua" w:hAnsi="Book Antiqua" w:cs="Book Antiqua"/>
          <w:color w:val="000000"/>
        </w:rPr>
        <w:t xml:space="preserve"> D, </w:t>
      </w:r>
      <w:proofErr w:type="spellStart"/>
      <w:r w:rsidRPr="00C76E19">
        <w:rPr>
          <w:rFonts w:ascii="Book Antiqua" w:eastAsia="Book Antiqua" w:hAnsi="Book Antiqua" w:cs="Book Antiqua"/>
          <w:color w:val="000000"/>
        </w:rPr>
        <w:t>Saieva</w:t>
      </w:r>
      <w:proofErr w:type="spellEnd"/>
      <w:r w:rsidRPr="00C76E19">
        <w:rPr>
          <w:rFonts w:ascii="Book Antiqua" w:eastAsia="Book Antiqua" w:hAnsi="Book Antiqua" w:cs="Book Antiqua"/>
          <w:color w:val="000000"/>
        </w:rPr>
        <w:t xml:space="preserve"> C, </w:t>
      </w:r>
      <w:proofErr w:type="spellStart"/>
      <w:r w:rsidRPr="00C76E19">
        <w:rPr>
          <w:rFonts w:ascii="Book Antiqua" w:eastAsia="Book Antiqua" w:hAnsi="Book Antiqua" w:cs="Book Antiqua"/>
          <w:color w:val="000000"/>
        </w:rPr>
        <w:t>Ceroti</w:t>
      </w:r>
      <w:proofErr w:type="spellEnd"/>
      <w:r w:rsidRPr="00C76E19">
        <w:rPr>
          <w:rFonts w:ascii="Book Antiqua" w:eastAsia="Book Antiqua" w:hAnsi="Book Antiqua" w:cs="Book Antiqua"/>
          <w:color w:val="000000"/>
        </w:rPr>
        <w:t xml:space="preserve"> M, Bendinelli B, </w:t>
      </w:r>
      <w:proofErr w:type="spellStart"/>
      <w:r w:rsidRPr="00C76E19">
        <w:rPr>
          <w:rFonts w:ascii="Book Antiqua" w:eastAsia="Book Antiqua" w:hAnsi="Book Antiqua" w:cs="Book Antiqua"/>
          <w:color w:val="000000"/>
        </w:rPr>
        <w:t>Assedi</w:t>
      </w:r>
      <w:proofErr w:type="spellEnd"/>
      <w:r w:rsidRPr="00C76E19">
        <w:rPr>
          <w:rFonts w:ascii="Book Antiqua" w:eastAsia="Book Antiqua" w:hAnsi="Book Antiqua" w:cs="Book Antiqua"/>
          <w:color w:val="000000"/>
        </w:rPr>
        <w:t xml:space="preserve"> M, Masala G. Total and cancer mortality in a cohort of ulcerative colitis and Crohn's disease patients: The Florence inflammatory bowel disease study, 1978-2010. </w:t>
      </w:r>
      <w:r w:rsidRPr="00C76E19">
        <w:rPr>
          <w:rFonts w:ascii="Book Antiqua" w:eastAsia="Book Antiqua" w:hAnsi="Book Antiqua" w:cs="Book Antiqua"/>
          <w:i/>
          <w:iCs/>
          <w:color w:val="000000"/>
        </w:rPr>
        <w:t>Dig Liver Dis</w:t>
      </w:r>
      <w:r w:rsidRPr="00C76E19">
        <w:rPr>
          <w:rFonts w:ascii="Book Antiqua" w:eastAsia="Book Antiqua" w:hAnsi="Book Antiqua" w:cs="Book Antiqua"/>
          <w:color w:val="000000"/>
        </w:rPr>
        <w:t xml:space="preserve"> 2016; </w:t>
      </w:r>
      <w:r w:rsidRPr="00C76E19">
        <w:rPr>
          <w:rFonts w:ascii="Book Antiqua" w:eastAsia="Book Antiqua" w:hAnsi="Book Antiqua" w:cs="Book Antiqua"/>
          <w:b/>
          <w:bCs/>
          <w:color w:val="000000"/>
        </w:rPr>
        <w:t>48</w:t>
      </w:r>
      <w:r w:rsidRPr="00C76E19">
        <w:rPr>
          <w:rFonts w:ascii="Book Antiqua" w:eastAsia="Book Antiqua" w:hAnsi="Book Antiqua" w:cs="Book Antiqua"/>
          <w:color w:val="000000"/>
        </w:rPr>
        <w:t>: 1162-1167 [PMID: 27481588 DOI: 10.1016/j.dld.2016.07.008]</w:t>
      </w:r>
    </w:p>
    <w:p w14:paraId="2A23D972"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22 </w:t>
      </w:r>
      <w:r w:rsidRPr="00C76E19">
        <w:rPr>
          <w:rFonts w:ascii="Book Antiqua" w:eastAsia="Book Antiqua" w:hAnsi="Book Antiqua" w:cs="Book Antiqua"/>
          <w:b/>
          <w:bCs/>
          <w:color w:val="000000"/>
        </w:rPr>
        <w:t>Camus M</w:t>
      </w:r>
      <w:r w:rsidRPr="00C76E19">
        <w:rPr>
          <w:rFonts w:ascii="Book Antiqua" w:eastAsia="Book Antiqua" w:hAnsi="Book Antiqua" w:cs="Book Antiqua"/>
          <w:color w:val="000000"/>
        </w:rPr>
        <w:t xml:space="preserve">, </w:t>
      </w:r>
      <w:proofErr w:type="spellStart"/>
      <w:r w:rsidRPr="00C76E19">
        <w:rPr>
          <w:rFonts w:ascii="Book Antiqua" w:eastAsia="Book Antiqua" w:hAnsi="Book Antiqua" w:cs="Book Antiqua"/>
          <w:color w:val="000000"/>
        </w:rPr>
        <w:t>Seksik</w:t>
      </w:r>
      <w:proofErr w:type="spellEnd"/>
      <w:r w:rsidRPr="00C76E19">
        <w:rPr>
          <w:rFonts w:ascii="Book Antiqua" w:eastAsia="Book Antiqua" w:hAnsi="Book Antiqua" w:cs="Book Antiqua"/>
          <w:color w:val="000000"/>
        </w:rPr>
        <w:t xml:space="preserve"> P, </w:t>
      </w:r>
      <w:proofErr w:type="spellStart"/>
      <w:r w:rsidRPr="00C76E19">
        <w:rPr>
          <w:rFonts w:ascii="Book Antiqua" w:eastAsia="Book Antiqua" w:hAnsi="Book Antiqua" w:cs="Book Antiqua"/>
          <w:color w:val="000000"/>
        </w:rPr>
        <w:t>Bourrier</w:t>
      </w:r>
      <w:proofErr w:type="spellEnd"/>
      <w:r w:rsidRPr="00C76E19">
        <w:rPr>
          <w:rFonts w:ascii="Book Antiqua" w:eastAsia="Book Antiqua" w:hAnsi="Book Antiqua" w:cs="Book Antiqua"/>
          <w:color w:val="000000"/>
        </w:rPr>
        <w:t xml:space="preserve"> A, </w:t>
      </w:r>
      <w:proofErr w:type="spellStart"/>
      <w:r w:rsidRPr="00C76E19">
        <w:rPr>
          <w:rFonts w:ascii="Book Antiqua" w:eastAsia="Book Antiqua" w:hAnsi="Book Antiqua" w:cs="Book Antiqua"/>
          <w:color w:val="000000"/>
        </w:rPr>
        <w:t>Nion-Larmurier</w:t>
      </w:r>
      <w:proofErr w:type="spellEnd"/>
      <w:r w:rsidRPr="00C76E19">
        <w:rPr>
          <w:rFonts w:ascii="Book Antiqua" w:eastAsia="Book Antiqua" w:hAnsi="Book Antiqua" w:cs="Book Antiqua"/>
          <w:color w:val="000000"/>
        </w:rPr>
        <w:t xml:space="preserve"> I, Sokol H, </w:t>
      </w:r>
      <w:proofErr w:type="spellStart"/>
      <w:r w:rsidRPr="00C76E19">
        <w:rPr>
          <w:rFonts w:ascii="Book Antiqua" w:eastAsia="Book Antiqua" w:hAnsi="Book Antiqua" w:cs="Book Antiqua"/>
          <w:color w:val="000000"/>
        </w:rPr>
        <w:t>Baumer</w:t>
      </w:r>
      <w:proofErr w:type="spellEnd"/>
      <w:r w:rsidRPr="00C76E19">
        <w:rPr>
          <w:rFonts w:ascii="Book Antiqua" w:eastAsia="Book Antiqua" w:hAnsi="Book Antiqua" w:cs="Book Antiqua"/>
          <w:color w:val="000000"/>
        </w:rPr>
        <w:t xml:space="preserve"> P, </w:t>
      </w:r>
      <w:proofErr w:type="spellStart"/>
      <w:r w:rsidRPr="00C76E19">
        <w:rPr>
          <w:rFonts w:ascii="Book Antiqua" w:eastAsia="Book Antiqua" w:hAnsi="Book Antiqua" w:cs="Book Antiqua"/>
          <w:color w:val="000000"/>
        </w:rPr>
        <w:t>Beaugerie</w:t>
      </w:r>
      <w:proofErr w:type="spellEnd"/>
      <w:r w:rsidRPr="00C76E19">
        <w:rPr>
          <w:rFonts w:ascii="Book Antiqua" w:eastAsia="Book Antiqua" w:hAnsi="Book Antiqua" w:cs="Book Antiqua"/>
          <w:color w:val="000000"/>
        </w:rPr>
        <w:t xml:space="preserve"> L, </w:t>
      </w:r>
      <w:proofErr w:type="spellStart"/>
      <w:r w:rsidRPr="00C76E19">
        <w:rPr>
          <w:rFonts w:ascii="Book Antiqua" w:eastAsia="Book Antiqua" w:hAnsi="Book Antiqua" w:cs="Book Antiqua"/>
          <w:color w:val="000000"/>
        </w:rPr>
        <w:t>Cosnes</w:t>
      </w:r>
      <w:proofErr w:type="spellEnd"/>
      <w:r w:rsidRPr="00C76E19">
        <w:rPr>
          <w:rFonts w:ascii="Book Antiqua" w:eastAsia="Book Antiqua" w:hAnsi="Book Antiqua" w:cs="Book Antiqua"/>
          <w:color w:val="000000"/>
        </w:rPr>
        <w:t xml:space="preserve"> J. Long-term outcome of patients with Crohn's disease who respond to azathioprine. </w:t>
      </w:r>
      <w:r w:rsidRPr="00C76E19">
        <w:rPr>
          <w:rFonts w:ascii="Book Antiqua" w:eastAsia="Book Antiqua" w:hAnsi="Book Antiqua" w:cs="Book Antiqua"/>
          <w:i/>
          <w:iCs/>
          <w:color w:val="000000"/>
        </w:rPr>
        <w:t>Clin Gastroenterol Hepatol</w:t>
      </w:r>
      <w:r w:rsidRPr="00C76E19">
        <w:rPr>
          <w:rFonts w:ascii="Book Antiqua" w:eastAsia="Book Antiqua" w:hAnsi="Book Antiqua" w:cs="Book Antiqua"/>
          <w:color w:val="000000"/>
        </w:rPr>
        <w:t xml:space="preserve"> 2013; </w:t>
      </w:r>
      <w:r w:rsidRPr="00C76E19">
        <w:rPr>
          <w:rFonts w:ascii="Book Antiqua" w:eastAsia="Book Antiqua" w:hAnsi="Book Antiqua" w:cs="Book Antiqua"/>
          <w:b/>
          <w:bCs/>
          <w:color w:val="000000"/>
        </w:rPr>
        <w:t>11</w:t>
      </w:r>
      <w:r w:rsidRPr="00C76E19">
        <w:rPr>
          <w:rFonts w:ascii="Book Antiqua" w:eastAsia="Book Antiqua" w:hAnsi="Book Antiqua" w:cs="Book Antiqua"/>
          <w:color w:val="000000"/>
        </w:rPr>
        <w:t>: 389-394 [PMID: 23142207 DOI: 10.1016/j.cgh.2012.10.038]</w:t>
      </w:r>
    </w:p>
    <w:p w14:paraId="3C59AD67"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23 </w:t>
      </w:r>
      <w:proofErr w:type="spellStart"/>
      <w:r w:rsidRPr="00C76E19">
        <w:rPr>
          <w:rFonts w:ascii="Book Antiqua" w:eastAsia="Book Antiqua" w:hAnsi="Book Antiqua" w:cs="Book Antiqua"/>
          <w:b/>
          <w:bCs/>
          <w:color w:val="000000"/>
        </w:rPr>
        <w:t>D'Haens</w:t>
      </w:r>
      <w:proofErr w:type="spellEnd"/>
      <w:r w:rsidRPr="00C76E19">
        <w:rPr>
          <w:rFonts w:ascii="Book Antiqua" w:eastAsia="Book Antiqua" w:hAnsi="Book Antiqua" w:cs="Book Antiqua"/>
          <w:b/>
          <w:bCs/>
          <w:color w:val="000000"/>
        </w:rPr>
        <w:t xml:space="preserve"> G</w:t>
      </w:r>
      <w:r w:rsidRPr="00C76E19">
        <w:rPr>
          <w:rFonts w:ascii="Book Antiqua" w:eastAsia="Book Antiqua" w:hAnsi="Book Antiqua" w:cs="Book Antiqua"/>
          <w:color w:val="000000"/>
        </w:rPr>
        <w:t xml:space="preserve">, </w:t>
      </w:r>
      <w:proofErr w:type="spellStart"/>
      <w:r w:rsidRPr="00C76E19">
        <w:rPr>
          <w:rFonts w:ascii="Book Antiqua" w:eastAsia="Book Antiqua" w:hAnsi="Book Antiqua" w:cs="Book Antiqua"/>
          <w:color w:val="000000"/>
        </w:rPr>
        <w:t>Reinisch</w:t>
      </w:r>
      <w:proofErr w:type="spellEnd"/>
      <w:r w:rsidRPr="00C76E19">
        <w:rPr>
          <w:rFonts w:ascii="Book Antiqua" w:eastAsia="Book Antiqua" w:hAnsi="Book Antiqua" w:cs="Book Antiqua"/>
          <w:color w:val="000000"/>
        </w:rPr>
        <w:t xml:space="preserve"> W, </w:t>
      </w:r>
      <w:proofErr w:type="spellStart"/>
      <w:r w:rsidRPr="00C76E19">
        <w:rPr>
          <w:rFonts w:ascii="Book Antiqua" w:eastAsia="Book Antiqua" w:hAnsi="Book Antiqua" w:cs="Book Antiqua"/>
          <w:color w:val="000000"/>
        </w:rPr>
        <w:t>Colombel</w:t>
      </w:r>
      <w:proofErr w:type="spellEnd"/>
      <w:r w:rsidRPr="00C76E19">
        <w:rPr>
          <w:rFonts w:ascii="Book Antiqua" w:eastAsia="Book Antiqua" w:hAnsi="Book Antiqua" w:cs="Book Antiqua"/>
          <w:color w:val="000000"/>
        </w:rPr>
        <w:t xml:space="preserve"> JF, Panes J, Ghosh S, </w:t>
      </w:r>
      <w:proofErr w:type="spellStart"/>
      <w:r w:rsidRPr="00C76E19">
        <w:rPr>
          <w:rFonts w:ascii="Book Antiqua" w:eastAsia="Book Antiqua" w:hAnsi="Book Antiqua" w:cs="Book Antiqua"/>
          <w:color w:val="000000"/>
        </w:rPr>
        <w:t>Prantera</w:t>
      </w:r>
      <w:proofErr w:type="spellEnd"/>
      <w:r w:rsidRPr="00C76E19">
        <w:rPr>
          <w:rFonts w:ascii="Book Antiqua" w:eastAsia="Book Antiqua" w:hAnsi="Book Antiqua" w:cs="Book Antiqua"/>
          <w:color w:val="000000"/>
        </w:rPr>
        <w:t xml:space="preserve"> C, Lindgren S, Hommes DW, Huang Z, </w:t>
      </w:r>
      <w:proofErr w:type="spellStart"/>
      <w:r w:rsidRPr="00C76E19">
        <w:rPr>
          <w:rFonts w:ascii="Book Antiqua" w:eastAsia="Book Antiqua" w:hAnsi="Book Antiqua" w:cs="Book Antiqua"/>
          <w:color w:val="000000"/>
        </w:rPr>
        <w:t>Boice</w:t>
      </w:r>
      <w:proofErr w:type="spellEnd"/>
      <w:r w:rsidRPr="00C76E19">
        <w:rPr>
          <w:rFonts w:ascii="Book Antiqua" w:eastAsia="Book Antiqua" w:hAnsi="Book Antiqua" w:cs="Book Antiqua"/>
          <w:color w:val="000000"/>
        </w:rPr>
        <w:t xml:space="preserve"> J, </w:t>
      </w:r>
      <w:proofErr w:type="spellStart"/>
      <w:r w:rsidRPr="00C76E19">
        <w:rPr>
          <w:rFonts w:ascii="Book Antiqua" w:eastAsia="Book Antiqua" w:hAnsi="Book Antiqua" w:cs="Book Antiqua"/>
          <w:color w:val="000000"/>
        </w:rPr>
        <w:t>Huyck</w:t>
      </w:r>
      <w:proofErr w:type="spellEnd"/>
      <w:r w:rsidRPr="00C76E19">
        <w:rPr>
          <w:rFonts w:ascii="Book Antiqua" w:eastAsia="Book Antiqua" w:hAnsi="Book Antiqua" w:cs="Book Antiqua"/>
          <w:color w:val="000000"/>
        </w:rPr>
        <w:t xml:space="preserve"> S, </w:t>
      </w:r>
      <w:proofErr w:type="spellStart"/>
      <w:r w:rsidRPr="00C76E19">
        <w:rPr>
          <w:rFonts w:ascii="Book Antiqua" w:eastAsia="Book Antiqua" w:hAnsi="Book Antiqua" w:cs="Book Antiqua"/>
          <w:color w:val="000000"/>
        </w:rPr>
        <w:t>Cornillie</w:t>
      </w:r>
      <w:proofErr w:type="spellEnd"/>
      <w:r w:rsidRPr="00C76E19">
        <w:rPr>
          <w:rFonts w:ascii="Book Antiqua" w:eastAsia="Book Antiqua" w:hAnsi="Book Antiqua" w:cs="Book Antiqua"/>
          <w:color w:val="000000"/>
        </w:rPr>
        <w:t xml:space="preserve"> F; ENCORE investigators. Five-year Safety Data From ENCORE, a European Observational Safety Registry for Adults With Crohn's Disease Treated With Infliximab [Remicade®] or Conventional Therapy. </w:t>
      </w:r>
      <w:r w:rsidRPr="00C76E19">
        <w:rPr>
          <w:rFonts w:ascii="Book Antiqua" w:eastAsia="Book Antiqua" w:hAnsi="Book Antiqua" w:cs="Book Antiqua"/>
          <w:i/>
          <w:iCs/>
          <w:color w:val="000000"/>
        </w:rPr>
        <w:t xml:space="preserve">J </w:t>
      </w:r>
      <w:proofErr w:type="spellStart"/>
      <w:r w:rsidRPr="00C76E19">
        <w:rPr>
          <w:rFonts w:ascii="Book Antiqua" w:eastAsia="Book Antiqua" w:hAnsi="Book Antiqua" w:cs="Book Antiqua"/>
          <w:i/>
          <w:iCs/>
          <w:color w:val="000000"/>
        </w:rPr>
        <w:t>Crohns</w:t>
      </w:r>
      <w:proofErr w:type="spellEnd"/>
      <w:r w:rsidRPr="00C76E19">
        <w:rPr>
          <w:rFonts w:ascii="Book Antiqua" w:eastAsia="Book Antiqua" w:hAnsi="Book Antiqua" w:cs="Book Antiqua"/>
          <w:i/>
          <w:iCs/>
          <w:color w:val="000000"/>
        </w:rPr>
        <w:t xml:space="preserve"> Colitis</w:t>
      </w:r>
      <w:r w:rsidRPr="00C76E19">
        <w:rPr>
          <w:rFonts w:ascii="Book Antiqua" w:eastAsia="Book Antiqua" w:hAnsi="Book Antiqua" w:cs="Book Antiqua"/>
          <w:color w:val="000000"/>
        </w:rPr>
        <w:t xml:space="preserve"> 2017; </w:t>
      </w:r>
      <w:r w:rsidRPr="00C76E19">
        <w:rPr>
          <w:rFonts w:ascii="Book Antiqua" w:eastAsia="Book Antiqua" w:hAnsi="Book Antiqua" w:cs="Book Antiqua"/>
          <w:b/>
          <w:bCs/>
          <w:color w:val="000000"/>
        </w:rPr>
        <w:t>11</w:t>
      </w:r>
      <w:r w:rsidRPr="00C76E19">
        <w:rPr>
          <w:rFonts w:ascii="Book Antiqua" w:eastAsia="Book Antiqua" w:hAnsi="Book Antiqua" w:cs="Book Antiqua"/>
          <w:color w:val="000000"/>
        </w:rPr>
        <w:t>: 680-689 [PMID: 28025307 DOI: 10.1093/</w:t>
      </w:r>
      <w:proofErr w:type="spellStart"/>
      <w:r w:rsidRPr="00C76E19">
        <w:rPr>
          <w:rFonts w:ascii="Book Antiqua" w:eastAsia="Book Antiqua" w:hAnsi="Book Antiqua" w:cs="Book Antiqua"/>
          <w:color w:val="000000"/>
        </w:rPr>
        <w:t>ecco-jcc</w:t>
      </w:r>
      <w:proofErr w:type="spellEnd"/>
      <w:r w:rsidRPr="00C76E19">
        <w:rPr>
          <w:rFonts w:ascii="Book Antiqua" w:eastAsia="Book Antiqua" w:hAnsi="Book Antiqua" w:cs="Book Antiqua"/>
          <w:color w:val="000000"/>
        </w:rPr>
        <w:t>/jjw221]</w:t>
      </w:r>
    </w:p>
    <w:p w14:paraId="575E0ABA"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24 </w:t>
      </w:r>
      <w:proofErr w:type="spellStart"/>
      <w:r w:rsidRPr="00C76E19">
        <w:rPr>
          <w:rFonts w:ascii="Book Antiqua" w:eastAsia="Book Antiqua" w:hAnsi="Book Antiqua" w:cs="Book Antiqua"/>
          <w:b/>
          <w:bCs/>
          <w:color w:val="000000"/>
        </w:rPr>
        <w:t>Eshuis</w:t>
      </w:r>
      <w:proofErr w:type="spellEnd"/>
      <w:r w:rsidRPr="00C76E19">
        <w:rPr>
          <w:rFonts w:ascii="Book Antiqua" w:eastAsia="Book Antiqua" w:hAnsi="Book Antiqua" w:cs="Book Antiqua"/>
          <w:b/>
          <w:bCs/>
          <w:color w:val="000000"/>
        </w:rPr>
        <w:t xml:space="preserve"> EJ</w:t>
      </w:r>
      <w:r w:rsidRPr="00C76E19">
        <w:rPr>
          <w:rFonts w:ascii="Book Antiqua" w:eastAsia="Book Antiqua" w:hAnsi="Book Antiqua" w:cs="Book Antiqua"/>
          <w:color w:val="000000"/>
        </w:rPr>
        <w:t xml:space="preserve">, Peters CP, van </w:t>
      </w:r>
      <w:proofErr w:type="spellStart"/>
      <w:r w:rsidRPr="00C76E19">
        <w:rPr>
          <w:rFonts w:ascii="Book Antiqua" w:eastAsia="Book Antiqua" w:hAnsi="Book Antiqua" w:cs="Book Antiqua"/>
          <w:color w:val="000000"/>
        </w:rPr>
        <w:t>Bodegraven</w:t>
      </w:r>
      <w:proofErr w:type="spellEnd"/>
      <w:r w:rsidRPr="00C76E19">
        <w:rPr>
          <w:rFonts w:ascii="Book Antiqua" w:eastAsia="Book Antiqua" w:hAnsi="Book Antiqua" w:cs="Book Antiqua"/>
          <w:color w:val="000000"/>
        </w:rPr>
        <w:t xml:space="preserve"> AA, </w:t>
      </w:r>
      <w:proofErr w:type="spellStart"/>
      <w:r w:rsidRPr="00C76E19">
        <w:rPr>
          <w:rFonts w:ascii="Book Antiqua" w:eastAsia="Book Antiqua" w:hAnsi="Book Antiqua" w:cs="Book Antiqua"/>
          <w:color w:val="000000"/>
        </w:rPr>
        <w:t>Bartelsman</w:t>
      </w:r>
      <w:proofErr w:type="spellEnd"/>
      <w:r w:rsidRPr="00C76E19">
        <w:rPr>
          <w:rFonts w:ascii="Book Antiqua" w:eastAsia="Book Antiqua" w:hAnsi="Book Antiqua" w:cs="Book Antiqua"/>
          <w:color w:val="000000"/>
        </w:rPr>
        <w:t xml:space="preserve"> JF, </w:t>
      </w:r>
      <w:proofErr w:type="spellStart"/>
      <w:r w:rsidRPr="00C76E19">
        <w:rPr>
          <w:rFonts w:ascii="Book Antiqua" w:eastAsia="Book Antiqua" w:hAnsi="Book Antiqua" w:cs="Book Antiqua"/>
          <w:color w:val="000000"/>
        </w:rPr>
        <w:t>Bemelman</w:t>
      </w:r>
      <w:proofErr w:type="spellEnd"/>
      <w:r w:rsidRPr="00C76E19">
        <w:rPr>
          <w:rFonts w:ascii="Book Antiqua" w:eastAsia="Book Antiqua" w:hAnsi="Book Antiqua" w:cs="Book Antiqua"/>
          <w:color w:val="000000"/>
        </w:rPr>
        <w:t xml:space="preserve"> W, </w:t>
      </w:r>
      <w:proofErr w:type="spellStart"/>
      <w:r w:rsidRPr="00C76E19">
        <w:rPr>
          <w:rFonts w:ascii="Book Antiqua" w:eastAsia="Book Antiqua" w:hAnsi="Book Antiqua" w:cs="Book Antiqua"/>
          <w:color w:val="000000"/>
        </w:rPr>
        <w:t>Fockens</w:t>
      </w:r>
      <w:proofErr w:type="spellEnd"/>
      <w:r w:rsidRPr="00C76E19">
        <w:rPr>
          <w:rFonts w:ascii="Book Antiqua" w:eastAsia="Book Antiqua" w:hAnsi="Book Antiqua" w:cs="Book Antiqua"/>
          <w:color w:val="000000"/>
        </w:rPr>
        <w:t xml:space="preserve"> P, </w:t>
      </w:r>
      <w:proofErr w:type="spellStart"/>
      <w:r w:rsidRPr="00C76E19">
        <w:rPr>
          <w:rFonts w:ascii="Book Antiqua" w:eastAsia="Book Antiqua" w:hAnsi="Book Antiqua" w:cs="Book Antiqua"/>
          <w:color w:val="000000"/>
        </w:rPr>
        <w:t>D'Haens</w:t>
      </w:r>
      <w:proofErr w:type="spellEnd"/>
      <w:r w:rsidRPr="00C76E19">
        <w:rPr>
          <w:rFonts w:ascii="Book Antiqua" w:eastAsia="Book Antiqua" w:hAnsi="Book Antiqua" w:cs="Book Antiqua"/>
          <w:color w:val="000000"/>
        </w:rPr>
        <w:t xml:space="preserve"> GR, </w:t>
      </w:r>
      <w:proofErr w:type="spellStart"/>
      <w:r w:rsidRPr="00C76E19">
        <w:rPr>
          <w:rFonts w:ascii="Book Antiqua" w:eastAsia="Book Antiqua" w:hAnsi="Book Antiqua" w:cs="Book Antiqua"/>
          <w:color w:val="000000"/>
        </w:rPr>
        <w:t>Stokkers</w:t>
      </w:r>
      <w:proofErr w:type="spellEnd"/>
      <w:r w:rsidRPr="00C76E19">
        <w:rPr>
          <w:rFonts w:ascii="Book Antiqua" w:eastAsia="Book Antiqua" w:hAnsi="Book Antiqua" w:cs="Book Antiqua"/>
          <w:color w:val="000000"/>
        </w:rPr>
        <w:t xml:space="preserve"> PC, </w:t>
      </w:r>
      <w:proofErr w:type="spellStart"/>
      <w:r w:rsidRPr="00C76E19">
        <w:rPr>
          <w:rFonts w:ascii="Book Antiqua" w:eastAsia="Book Antiqua" w:hAnsi="Book Antiqua" w:cs="Book Antiqua"/>
          <w:color w:val="000000"/>
        </w:rPr>
        <w:t>Ponsioen</w:t>
      </w:r>
      <w:proofErr w:type="spellEnd"/>
      <w:r w:rsidRPr="00C76E19">
        <w:rPr>
          <w:rFonts w:ascii="Book Antiqua" w:eastAsia="Book Antiqua" w:hAnsi="Book Antiqua" w:cs="Book Antiqua"/>
          <w:color w:val="000000"/>
        </w:rPr>
        <w:t xml:space="preserve"> CY. Ten years of infliximab for Crohn's disease: outcome in 469 patients from 2 tertiary referral centers. </w:t>
      </w:r>
      <w:proofErr w:type="spellStart"/>
      <w:r w:rsidRPr="00C76E19">
        <w:rPr>
          <w:rFonts w:ascii="Book Antiqua" w:eastAsia="Book Antiqua" w:hAnsi="Book Antiqua" w:cs="Book Antiqua"/>
          <w:i/>
          <w:iCs/>
          <w:color w:val="000000"/>
        </w:rPr>
        <w:t>Inflamm</w:t>
      </w:r>
      <w:proofErr w:type="spellEnd"/>
      <w:r w:rsidRPr="00C76E19">
        <w:rPr>
          <w:rFonts w:ascii="Book Antiqua" w:eastAsia="Book Antiqua" w:hAnsi="Book Antiqua" w:cs="Book Antiqua"/>
          <w:i/>
          <w:iCs/>
          <w:color w:val="000000"/>
        </w:rPr>
        <w:t xml:space="preserve"> Bowel Dis</w:t>
      </w:r>
      <w:r w:rsidRPr="00C76E19">
        <w:rPr>
          <w:rFonts w:ascii="Book Antiqua" w:eastAsia="Book Antiqua" w:hAnsi="Book Antiqua" w:cs="Book Antiqua"/>
          <w:color w:val="000000"/>
        </w:rPr>
        <w:t xml:space="preserve"> 2013; </w:t>
      </w:r>
      <w:r w:rsidRPr="00C76E19">
        <w:rPr>
          <w:rFonts w:ascii="Book Antiqua" w:eastAsia="Book Antiqua" w:hAnsi="Book Antiqua" w:cs="Book Antiqua"/>
          <w:b/>
          <w:bCs/>
          <w:color w:val="000000"/>
        </w:rPr>
        <w:t>19</w:t>
      </w:r>
      <w:r w:rsidRPr="00C76E19">
        <w:rPr>
          <w:rFonts w:ascii="Book Antiqua" w:eastAsia="Book Antiqua" w:hAnsi="Book Antiqua" w:cs="Book Antiqua"/>
          <w:color w:val="000000"/>
        </w:rPr>
        <w:t>: 1622-1630 [PMID: 23552767 DOI: 10.1097/MIB.0b013e318281f4c4]</w:t>
      </w:r>
    </w:p>
    <w:p w14:paraId="4DCE7842"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25 </w:t>
      </w:r>
      <w:r w:rsidRPr="00C76E19">
        <w:rPr>
          <w:rFonts w:ascii="Book Antiqua" w:eastAsia="Book Antiqua" w:hAnsi="Book Antiqua" w:cs="Book Antiqua"/>
          <w:b/>
          <w:bCs/>
          <w:color w:val="000000"/>
        </w:rPr>
        <w:t>Greener T</w:t>
      </w:r>
      <w:r w:rsidRPr="00C76E19">
        <w:rPr>
          <w:rFonts w:ascii="Book Antiqua" w:eastAsia="Book Antiqua" w:hAnsi="Book Antiqua" w:cs="Book Antiqua"/>
          <w:color w:val="000000"/>
        </w:rPr>
        <w:t xml:space="preserve">, Shapiro R, </w:t>
      </w:r>
      <w:proofErr w:type="spellStart"/>
      <w:r w:rsidRPr="00C76E19">
        <w:rPr>
          <w:rFonts w:ascii="Book Antiqua" w:eastAsia="Book Antiqua" w:hAnsi="Book Antiqua" w:cs="Book Antiqua"/>
          <w:color w:val="000000"/>
        </w:rPr>
        <w:t>Klang</w:t>
      </w:r>
      <w:proofErr w:type="spellEnd"/>
      <w:r w:rsidRPr="00C76E19">
        <w:rPr>
          <w:rFonts w:ascii="Book Antiqua" w:eastAsia="Book Antiqua" w:hAnsi="Book Antiqua" w:cs="Book Antiqua"/>
          <w:color w:val="000000"/>
        </w:rPr>
        <w:t xml:space="preserve"> E, </w:t>
      </w:r>
      <w:proofErr w:type="spellStart"/>
      <w:r w:rsidRPr="00C76E19">
        <w:rPr>
          <w:rFonts w:ascii="Book Antiqua" w:eastAsia="Book Antiqua" w:hAnsi="Book Antiqua" w:cs="Book Antiqua"/>
          <w:color w:val="000000"/>
        </w:rPr>
        <w:t>Rozendorn</w:t>
      </w:r>
      <w:proofErr w:type="spellEnd"/>
      <w:r w:rsidRPr="00C76E19">
        <w:rPr>
          <w:rFonts w:ascii="Book Antiqua" w:eastAsia="Book Antiqua" w:hAnsi="Book Antiqua" w:cs="Book Antiqua"/>
          <w:color w:val="000000"/>
        </w:rPr>
        <w:t xml:space="preserve"> N, Eliakim R, Ben-</w:t>
      </w:r>
      <w:proofErr w:type="spellStart"/>
      <w:r w:rsidRPr="00C76E19">
        <w:rPr>
          <w:rFonts w:ascii="Book Antiqua" w:eastAsia="Book Antiqua" w:hAnsi="Book Antiqua" w:cs="Book Antiqua"/>
          <w:color w:val="000000"/>
        </w:rPr>
        <w:t>Horin</w:t>
      </w:r>
      <w:proofErr w:type="spellEnd"/>
      <w:r w:rsidRPr="00C76E19">
        <w:rPr>
          <w:rFonts w:ascii="Book Antiqua" w:eastAsia="Book Antiqua" w:hAnsi="Book Antiqua" w:cs="Book Antiqua"/>
          <w:color w:val="000000"/>
        </w:rPr>
        <w:t xml:space="preserve"> S, </w:t>
      </w:r>
      <w:proofErr w:type="spellStart"/>
      <w:r w:rsidRPr="00C76E19">
        <w:rPr>
          <w:rFonts w:ascii="Book Antiqua" w:eastAsia="Book Antiqua" w:hAnsi="Book Antiqua" w:cs="Book Antiqua"/>
          <w:color w:val="000000"/>
        </w:rPr>
        <w:t>Amitai</w:t>
      </w:r>
      <w:proofErr w:type="spellEnd"/>
      <w:r w:rsidRPr="00C76E19">
        <w:rPr>
          <w:rFonts w:ascii="Book Antiqua" w:eastAsia="Book Antiqua" w:hAnsi="Book Antiqua" w:cs="Book Antiqua"/>
          <w:color w:val="000000"/>
        </w:rPr>
        <w:t xml:space="preserve"> MM, </w:t>
      </w:r>
      <w:proofErr w:type="spellStart"/>
      <w:r w:rsidRPr="00C76E19">
        <w:rPr>
          <w:rFonts w:ascii="Book Antiqua" w:eastAsia="Book Antiqua" w:hAnsi="Book Antiqua" w:cs="Book Antiqua"/>
          <w:color w:val="000000"/>
        </w:rPr>
        <w:t>Kopylov</w:t>
      </w:r>
      <w:proofErr w:type="spellEnd"/>
      <w:r w:rsidRPr="00C76E19">
        <w:rPr>
          <w:rFonts w:ascii="Book Antiqua" w:eastAsia="Book Antiqua" w:hAnsi="Book Antiqua" w:cs="Book Antiqua"/>
          <w:color w:val="000000"/>
        </w:rPr>
        <w:t xml:space="preserve"> U. Clinical Outcomes of Surgery Versus Endoscopic Balloon Dilation for </w:t>
      </w:r>
      <w:proofErr w:type="spellStart"/>
      <w:r w:rsidRPr="00C76E19">
        <w:rPr>
          <w:rFonts w:ascii="Book Antiqua" w:eastAsia="Book Antiqua" w:hAnsi="Book Antiqua" w:cs="Book Antiqua"/>
          <w:color w:val="000000"/>
        </w:rPr>
        <w:t>Stricturing</w:t>
      </w:r>
      <w:proofErr w:type="spellEnd"/>
      <w:r w:rsidRPr="00C76E19">
        <w:rPr>
          <w:rFonts w:ascii="Book Antiqua" w:eastAsia="Book Antiqua" w:hAnsi="Book Antiqua" w:cs="Book Antiqua"/>
          <w:color w:val="000000"/>
        </w:rPr>
        <w:t xml:space="preserve"> Crohn's Disease. </w:t>
      </w:r>
      <w:r w:rsidRPr="00C76E19">
        <w:rPr>
          <w:rFonts w:ascii="Book Antiqua" w:eastAsia="Book Antiqua" w:hAnsi="Book Antiqua" w:cs="Book Antiqua"/>
          <w:i/>
          <w:iCs/>
          <w:color w:val="000000"/>
        </w:rPr>
        <w:t>Dis Colon Rectum</w:t>
      </w:r>
      <w:r w:rsidRPr="00C76E19">
        <w:rPr>
          <w:rFonts w:ascii="Book Antiqua" w:eastAsia="Book Antiqua" w:hAnsi="Book Antiqua" w:cs="Book Antiqua"/>
          <w:color w:val="000000"/>
        </w:rPr>
        <w:t xml:space="preserve"> 2015; </w:t>
      </w:r>
      <w:r w:rsidRPr="00C76E19">
        <w:rPr>
          <w:rFonts w:ascii="Book Antiqua" w:eastAsia="Book Antiqua" w:hAnsi="Book Antiqua" w:cs="Book Antiqua"/>
          <w:b/>
          <w:bCs/>
          <w:color w:val="000000"/>
        </w:rPr>
        <w:t>58</w:t>
      </w:r>
      <w:r w:rsidRPr="00C76E19">
        <w:rPr>
          <w:rFonts w:ascii="Book Antiqua" w:eastAsia="Book Antiqua" w:hAnsi="Book Antiqua" w:cs="Book Antiqua"/>
          <w:color w:val="000000"/>
        </w:rPr>
        <w:t>: 1151-1157 [PMID: 26544812 DOI: 10.1097/DCR.0000000000000491]</w:t>
      </w:r>
    </w:p>
    <w:p w14:paraId="04E84B08"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26 </w:t>
      </w:r>
      <w:r w:rsidRPr="00C76E19">
        <w:rPr>
          <w:rFonts w:ascii="Book Antiqua" w:eastAsia="Book Antiqua" w:hAnsi="Book Antiqua" w:cs="Book Antiqua"/>
          <w:b/>
          <w:bCs/>
          <w:color w:val="000000"/>
        </w:rPr>
        <w:t>Manninen P</w:t>
      </w:r>
      <w:r w:rsidRPr="00C76E19">
        <w:rPr>
          <w:rFonts w:ascii="Book Antiqua" w:eastAsia="Book Antiqua" w:hAnsi="Book Antiqua" w:cs="Book Antiqua"/>
          <w:color w:val="000000"/>
        </w:rPr>
        <w:t xml:space="preserve">, Karvonen AL, </w:t>
      </w:r>
      <w:proofErr w:type="spellStart"/>
      <w:r w:rsidRPr="00C76E19">
        <w:rPr>
          <w:rFonts w:ascii="Book Antiqua" w:eastAsia="Book Antiqua" w:hAnsi="Book Antiqua" w:cs="Book Antiqua"/>
          <w:color w:val="000000"/>
        </w:rPr>
        <w:t>Huhtala</w:t>
      </w:r>
      <w:proofErr w:type="spellEnd"/>
      <w:r w:rsidRPr="00C76E19">
        <w:rPr>
          <w:rFonts w:ascii="Book Antiqua" w:eastAsia="Book Antiqua" w:hAnsi="Book Antiqua" w:cs="Book Antiqua"/>
          <w:color w:val="000000"/>
        </w:rPr>
        <w:t xml:space="preserve"> H, Rasmussen M, </w:t>
      </w:r>
      <w:proofErr w:type="spellStart"/>
      <w:r w:rsidRPr="00C76E19">
        <w:rPr>
          <w:rFonts w:ascii="Book Antiqua" w:eastAsia="Book Antiqua" w:hAnsi="Book Antiqua" w:cs="Book Antiqua"/>
          <w:color w:val="000000"/>
        </w:rPr>
        <w:t>Salo</w:t>
      </w:r>
      <w:proofErr w:type="spellEnd"/>
      <w:r w:rsidRPr="00C76E19">
        <w:rPr>
          <w:rFonts w:ascii="Book Antiqua" w:eastAsia="Book Antiqua" w:hAnsi="Book Antiqua" w:cs="Book Antiqua"/>
          <w:color w:val="000000"/>
        </w:rPr>
        <w:t xml:space="preserve"> M, </w:t>
      </w:r>
      <w:proofErr w:type="spellStart"/>
      <w:r w:rsidRPr="00C76E19">
        <w:rPr>
          <w:rFonts w:ascii="Book Antiqua" w:eastAsia="Book Antiqua" w:hAnsi="Book Antiqua" w:cs="Book Antiqua"/>
          <w:color w:val="000000"/>
        </w:rPr>
        <w:t>Mustaniemi</w:t>
      </w:r>
      <w:proofErr w:type="spellEnd"/>
      <w:r w:rsidRPr="00C76E19">
        <w:rPr>
          <w:rFonts w:ascii="Book Antiqua" w:eastAsia="Book Antiqua" w:hAnsi="Book Antiqua" w:cs="Book Antiqua"/>
          <w:color w:val="000000"/>
        </w:rPr>
        <w:t xml:space="preserve"> L, </w:t>
      </w:r>
      <w:proofErr w:type="spellStart"/>
      <w:r w:rsidRPr="00C76E19">
        <w:rPr>
          <w:rFonts w:ascii="Book Antiqua" w:eastAsia="Book Antiqua" w:hAnsi="Book Antiqua" w:cs="Book Antiqua"/>
          <w:color w:val="000000"/>
        </w:rPr>
        <w:t>Pirttiniemi</w:t>
      </w:r>
      <w:proofErr w:type="spellEnd"/>
      <w:r w:rsidRPr="00C76E19">
        <w:rPr>
          <w:rFonts w:ascii="Book Antiqua" w:eastAsia="Book Antiqua" w:hAnsi="Book Antiqua" w:cs="Book Antiqua"/>
          <w:color w:val="000000"/>
        </w:rPr>
        <w:t xml:space="preserve"> I, Collin P. Mortality in ulcerative colitis and Crohn's disease. A population-based study in Finland. </w:t>
      </w:r>
      <w:r w:rsidRPr="00C76E19">
        <w:rPr>
          <w:rFonts w:ascii="Book Antiqua" w:eastAsia="Book Antiqua" w:hAnsi="Book Antiqua" w:cs="Book Antiqua"/>
          <w:i/>
          <w:iCs/>
          <w:color w:val="000000"/>
        </w:rPr>
        <w:t xml:space="preserve">J </w:t>
      </w:r>
      <w:proofErr w:type="spellStart"/>
      <w:r w:rsidRPr="00C76E19">
        <w:rPr>
          <w:rFonts w:ascii="Book Antiqua" w:eastAsia="Book Antiqua" w:hAnsi="Book Antiqua" w:cs="Book Antiqua"/>
          <w:i/>
          <w:iCs/>
          <w:color w:val="000000"/>
        </w:rPr>
        <w:t>Crohns</w:t>
      </w:r>
      <w:proofErr w:type="spellEnd"/>
      <w:r w:rsidRPr="00C76E19">
        <w:rPr>
          <w:rFonts w:ascii="Book Antiqua" w:eastAsia="Book Antiqua" w:hAnsi="Book Antiqua" w:cs="Book Antiqua"/>
          <w:i/>
          <w:iCs/>
          <w:color w:val="000000"/>
        </w:rPr>
        <w:t xml:space="preserve"> Colitis</w:t>
      </w:r>
      <w:r w:rsidRPr="00C76E19">
        <w:rPr>
          <w:rFonts w:ascii="Book Antiqua" w:eastAsia="Book Antiqua" w:hAnsi="Book Antiqua" w:cs="Book Antiqua"/>
          <w:color w:val="000000"/>
        </w:rPr>
        <w:t xml:space="preserve"> 2012; </w:t>
      </w:r>
      <w:r w:rsidRPr="00C76E19">
        <w:rPr>
          <w:rFonts w:ascii="Book Antiqua" w:eastAsia="Book Antiqua" w:hAnsi="Book Antiqua" w:cs="Book Antiqua"/>
          <w:b/>
          <w:bCs/>
          <w:color w:val="000000"/>
        </w:rPr>
        <w:t>6</w:t>
      </w:r>
      <w:r w:rsidRPr="00C76E19">
        <w:rPr>
          <w:rFonts w:ascii="Book Antiqua" w:eastAsia="Book Antiqua" w:hAnsi="Book Antiqua" w:cs="Book Antiqua"/>
          <w:color w:val="000000"/>
        </w:rPr>
        <w:t>: 524-528 [PMID: 22398058 DOI: 10.1016/j.crohns.2011.10.009]</w:t>
      </w:r>
    </w:p>
    <w:p w14:paraId="5E931738"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27 </w:t>
      </w:r>
      <w:proofErr w:type="spellStart"/>
      <w:r w:rsidRPr="00C76E19">
        <w:rPr>
          <w:rFonts w:ascii="Book Antiqua" w:eastAsia="Book Antiqua" w:hAnsi="Book Antiqua" w:cs="Book Antiqua"/>
          <w:b/>
          <w:bCs/>
          <w:color w:val="000000"/>
        </w:rPr>
        <w:t>Rönnblom</w:t>
      </w:r>
      <w:proofErr w:type="spellEnd"/>
      <w:r w:rsidRPr="00C76E19">
        <w:rPr>
          <w:rFonts w:ascii="Book Antiqua" w:eastAsia="Book Antiqua" w:hAnsi="Book Antiqua" w:cs="Book Antiqua"/>
          <w:b/>
          <w:bCs/>
          <w:color w:val="000000"/>
        </w:rPr>
        <w:t xml:space="preserve"> A</w:t>
      </w:r>
      <w:r w:rsidRPr="00C76E19">
        <w:rPr>
          <w:rFonts w:ascii="Book Antiqua" w:eastAsia="Book Antiqua" w:hAnsi="Book Antiqua" w:cs="Book Antiqua"/>
          <w:color w:val="000000"/>
        </w:rPr>
        <w:t xml:space="preserve">, </w:t>
      </w:r>
      <w:proofErr w:type="spellStart"/>
      <w:r w:rsidRPr="00C76E19">
        <w:rPr>
          <w:rFonts w:ascii="Book Antiqua" w:eastAsia="Book Antiqua" w:hAnsi="Book Antiqua" w:cs="Book Antiqua"/>
          <w:color w:val="000000"/>
        </w:rPr>
        <w:t>Holmström</w:t>
      </w:r>
      <w:proofErr w:type="spellEnd"/>
      <w:r w:rsidRPr="00C76E19">
        <w:rPr>
          <w:rFonts w:ascii="Book Antiqua" w:eastAsia="Book Antiqua" w:hAnsi="Book Antiqua" w:cs="Book Antiqua"/>
          <w:color w:val="000000"/>
        </w:rPr>
        <w:t xml:space="preserve"> T, </w:t>
      </w:r>
      <w:proofErr w:type="spellStart"/>
      <w:r w:rsidRPr="00C76E19">
        <w:rPr>
          <w:rFonts w:ascii="Book Antiqua" w:eastAsia="Book Antiqua" w:hAnsi="Book Antiqua" w:cs="Book Antiqua"/>
          <w:color w:val="000000"/>
        </w:rPr>
        <w:t>Karlbom</w:t>
      </w:r>
      <w:proofErr w:type="spellEnd"/>
      <w:r w:rsidRPr="00C76E19">
        <w:rPr>
          <w:rFonts w:ascii="Book Antiqua" w:eastAsia="Book Antiqua" w:hAnsi="Book Antiqua" w:cs="Book Antiqua"/>
          <w:color w:val="000000"/>
        </w:rPr>
        <w:t xml:space="preserve"> U, </w:t>
      </w:r>
      <w:proofErr w:type="spellStart"/>
      <w:r w:rsidRPr="00C76E19">
        <w:rPr>
          <w:rFonts w:ascii="Book Antiqua" w:eastAsia="Book Antiqua" w:hAnsi="Book Antiqua" w:cs="Book Antiqua"/>
          <w:color w:val="000000"/>
        </w:rPr>
        <w:t>Tanghöj</w:t>
      </w:r>
      <w:proofErr w:type="spellEnd"/>
      <w:r w:rsidRPr="00C76E19">
        <w:rPr>
          <w:rFonts w:ascii="Book Antiqua" w:eastAsia="Book Antiqua" w:hAnsi="Book Antiqua" w:cs="Book Antiqua"/>
          <w:color w:val="000000"/>
        </w:rPr>
        <w:t xml:space="preserve"> H, </w:t>
      </w:r>
      <w:proofErr w:type="spellStart"/>
      <w:r w:rsidRPr="00C76E19">
        <w:rPr>
          <w:rFonts w:ascii="Book Antiqua" w:eastAsia="Book Antiqua" w:hAnsi="Book Antiqua" w:cs="Book Antiqua"/>
          <w:color w:val="000000"/>
        </w:rPr>
        <w:t>Thörn</w:t>
      </w:r>
      <w:proofErr w:type="spellEnd"/>
      <w:r w:rsidRPr="00C76E19">
        <w:rPr>
          <w:rFonts w:ascii="Book Antiqua" w:eastAsia="Book Antiqua" w:hAnsi="Book Antiqua" w:cs="Book Antiqua"/>
          <w:color w:val="000000"/>
        </w:rPr>
        <w:t xml:space="preserve"> M, </w:t>
      </w:r>
      <w:proofErr w:type="spellStart"/>
      <w:r w:rsidRPr="00C76E19">
        <w:rPr>
          <w:rFonts w:ascii="Book Antiqua" w:eastAsia="Book Antiqua" w:hAnsi="Book Antiqua" w:cs="Book Antiqua"/>
          <w:color w:val="000000"/>
        </w:rPr>
        <w:t>Sjöberg</w:t>
      </w:r>
      <w:proofErr w:type="spellEnd"/>
      <w:r w:rsidRPr="00C76E19">
        <w:rPr>
          <w:rFonts w:ascii="Book Antiqua" w:eastAsia="Book Antiqua" w:hAnsi="Book Antiqua" w:cs="Book Antiqua"/>
          <w:color w:val="000000"/>
        </w:rPr>
        <w:t xml:space="preserve"> D. Clinical course of Crohn's disease during the first 5 years. Results from a population-based cohort in Sweden (ICURE) diagnosed 2005-2009</w:t>
      </w:r>
      <w:r w:rsidRPr="00AE2A93">
        <w:rPr>
          <w:rFonts w:ascii="Book Antiqua" w:eastAsia="Book Antiqua" w:hAnsi="Book Antiqua" w:cs="Book Antiqua"/>
          <w:color w:val="000000"/>
        </w:rPr>
        <w:t xml:space="preserve">. </w:t>
      </w:r>
      <w:proofErr w:type="spellStart"/>
      <w:r w:rsidRPr="00AE2A93">
        <w:rPr>
          <w:rFonts w:ascii="Book Antiqua" w:eastAsia="Book Antiqua" w:hAnsi="Book Antiqua" w:cs="Book Antiqua"/>
          <w:i/>
          <w:iCs/>
          <w:color w:val="000000"/>
        </w:rPr>
        <w:t>Scand</w:t>
      </w:r>
      <w:proofErr w:type="spellEnd"/>
      <w:r w:rsidRPr="00AE2A93">
        <w:rPr>
          <w:rFonts w:ascii="Book Antiqua" w:eastAsia="Book Antiqua" w:hAnsi="Book Antiqua" w:cs="Book Antiqua"/>
          <w:i/>
          <w:iCs/>
          <w:color w:val="000000"/>
        </w:rPr>
        <w:t xml:space="preserve"> J Gastroenterol</w:t>
      </w:r>
      <w:r w:rsidRPr="00AE2A93">
        <w:rPr>
          <w:rFonts w:ascii="Book Antiqua" w:eastAsia="Book Antiqua" w:hAnsi="Book Antiqua" w:cs="Book Antiqua"/>
          <w:color w:val="000000"/>
        </w:rPr>
        <w:t xml:space="preserve"> 2017; </w:t>
      </w:r>
      <w:r w:rsidRPr="00AE2A93">
        <w:rPr>
          <w:rFonts w:ascii="Book Antiqua" w:eastAsia="Book Antiqua" w:hAnsi="Book Antiqua" w:cs="Book Antiqua"/>
          <w:b/>
          <w:bCs/>
          <w:color w:val="000000"/>
        </w:rPr>
        <w:t>52</w:t>
      </w:r>
      <w:r w:rsidRPr="00AE2A93">
        <w:rPr>
          <w:rFonts w:ascii="Book Antiqua" w:eastAsia="Book Antiqua" w:hAnsi="Book Antiqua" w:cs="Book Antiqua"/>
          <w:color w:val="000000"/>
        </w:rPr>
        <w:t>: 81-86 [PMID: 27632773 DOI: 10.1080/00365521.2016.1230777]</w:t>
      </w:r>
    </w:p>
    <w:p w14:paraId="4BEEAAB7"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28 </w:t>
      </w:r>
      <w:r w:rsidRPr="00C76E19">
        <w:rPr>
          <w:rFonts w:ascii="Book Antiqua" w:eastAsia="Book Antiqua" w:hAnsi="Book Antiqua" w:cs="Book Antiqua"/>
          <w:b/>
          <w:bCs/>
          <w:color w:val="000000"/>
        </w:rPr>
        <w:t>Selinger CP</w:t>
      </w:r>
      <w:r w:rsidRPr="00C76E19">
        <w:rPr>
          <w:rFonts w:ascii="Book Antiqua" w:eastAsia="Book Antiqua" w:hAnsi="Book Antiqua" w:cs="Book Antiqua"/>
          <w:color w:val="000000"/>
        </w:rPr>
        <w:t xml:space="preserve">, Andrews J, Dent OF, Norton I, Jones B, McDonald C, </w:t>
      </w:r>
      <w:proofErr w:type="spellStart"/>
      <w:r w:rsidRPr="00C76E19">
        <w:rPr>
          <w:rFonts w:ascii="Book Antiqua" w:eastAsia="Book Antiqua" w:hAnsi="Book Antiqua" w:cs="Book Antiqua"/>
          <w:color w:val="000000"/>
        </w:rPr>
        <w:t>Cowlishaw</w:t>
      </w:r>
      <w:proofErr w:type="spellEnd"/>
      <w:r w:rsidRPr="00C76E19">
        <w:rPr>
          <w:rFonts w:ascii="Book Antiqua" w:eastAsia="Book Antiqua" w:hAnsi="Book Antiqua" w:cs="Book Antiqua"/>
          <w:color w:val="000000"/>
        </w:rPr>
        <w:t xml:space="preserve"> J, Barr G, Selby W, Leong RW; Sydney IBD Cohort Study Group. Cause-specific mortality and 30-year relative survival of Crohn's disease and ulcerative colitis. </w:t>
      </w:r>
      <w:proofErr w:type="spellStart"/>
      <w:r w:rsidRPr="00C76E19">
        <w:rPr>
          <w:rFonts w:ascii="Book Antiqua" w:eastAsia="Book Antiqua" w:hAnsi="Book Antiqua" w:cs="Book Antiqua"/>
          <w:i/>
          <w:iCs/>
          <w:color w:val="000000"/>
        </w:rPr>
        <w:t>Inflamm</w:t>
      </w:r>
      <w:proofErr w:type="spellEnd"/>
      <w:r w:rsidRPr="00C76E19">
        <w:rPr>
          <w:rFonts w:ascii="Book Antiqua" w:eastAsia="Book Antiqua" w:hAnsi="Book Antiqua" w:cs="Book Antiqua"/>
          <w:i/>
          <w:iCs/>
          <w:color w:val="000000"/>
        </w:rPr>
        <w:t xml:space="preserve"> Bowel Dis</w:t>
      </w:r>
      <w:r w:rsidRPr="00C76E19">
        <w:rPr>
          <w:rFonts w:ascii="Book Antiqua" w:eastAsia="Book Antiqua" w:hAnsi="Book Antiqua" w:cs="Book Antiqua"/>
          <w:color w:val="000000"/>
        </w:rPr>
        <w:t xml:space="preserve"> 2013; </w:t>
      </w:r>
      <w:r w:rsidRPr="00C76E19">
        <w:rPr>
          <w:rFonts w:ascii="Book Antiqua" w:eastAsia="Book Antiqua" w:hAnsi="Book Antiqua" w:cs="Book Antiqua"/>
          <w:b/>
          <w:bCs/>
          <w:color w:val="000000"/>
        </w:rPr>
        <w:t>19</w:t>
      </w:r>
      <w:r w:rsidRPr="00C76E19">
        <w:rPr>
          <w:rFonts w:ascii="Book Antiqua" w:eastAsia="Book Antiqua" w:hAnsi="Book Antiqua" w:cs="Book Antiqua"/>
          <w:color w:val="000000"/>
        </w:rPr>
        <w:t>: 1880-1888 [PMID: 23765177 DOI: 10.1097/MIB.0b013e31829080a8]</w:t>
      </w:r>
    </w:p>
    <w:p w14:paraId="1E18137C" w14:textId="6C48E374" w:rsidR="00A77B3E" w:rsidRPr="00C76E19" w:rsidRDefault="00CA1127" w:rsidP="00A23AA9">
      <w:pPr>
        <w:spacing w:line="360" w:lineRule="auto"/>
        <w:jc w:val="both"/>
      </w:pPr>
      <w:r w:rsidRPr="00C76E19">
        <w:rPr>
          <w:rFonts w:ascii="Book Antiqua" w:eastAsia="Book Antiqua" w:hAnsi="Book Antiqua" w:cs="Book Antiqua"/>
          <w:color w:val="000000"/>
        </w:rPr>
        <w:t xml:space="preserve">29 </w:t>
      </w:r>
      <w:r w:rsidRPr="00C76E19">
        <w:rPr>
          <w:rFonts w:ascii="Book Antiqua" w:eastAsia="Book Antiqua" w:hAnsi="Book Antiqua" w:cs="Book Antiqua"/>
          <w:b/>
          <w:bCs/>
          <w:color w:val="000000"/>
        </w:rPr>
        <w:t>Wang GF</w:t>
      </w:r>
      <w:r w:rsidRPr="00C76E19">
        <w:rPr>
          <w:rFonts w:ascii="Book Antiqua" w:eastAsia="Book Antiqua" w:hAnsi="Book Antiqua" w:cs="Book Antiqua"/>
          <w:color w:val="000000"/>
        </w:rPr>
        <w:t xml:space="preserve">, Ren JA, Liu S, Chen J, Gu GS, Wang XB, Fan CG, Li JS. Clinical characteristics of non-perianal </w:t>
      </w:r>
      <w:proofErr w:type="spellStart"/>
      <w:r w:rsidRPr="00C76E19">
        <w:rPr>
          <w:rFonts w:ascii="Book Antiqua" w:eastAsia="Book Antiqua" w:hAnsi="Book Antiqua" w:cs="Book Antiqua"/>
          <w:color w:val="000000"/>
        </w:rPr>
        <w:t>fistulating</w:t>
      </w:r>
      <w:proofErr w:type="spellEnd"/>
      <w:r w:rsidRPr="00C76E19">
        <w:rPr>
          <w:rFonts w:ascii="Book Antiqua" w:eastAsia="Book Antiqua" w:hAnsi="Book Antiqua" w:cs="Book Antiqua"/>
          <w:color w:val="000000"/>
        </w:rPr>
        <w:t xml:space="preserve"> Crohn's disease in China: a single-center experience of 184 cases. </w:t>
      </w:r>
      <w:r w:rsidRPr="00C76E19">
        <w:rPr>
          <w:rFonts w:ascii="Book Antiqua" w:eastAsia="Book Antiqua" w:hAnsi="Book Antiqua" w:cs="Book Antiqua"/>
          <w:i/>
          <w:iCs/>
          <w:color w:val="000000"/>
        </w:rPr>
        <w:t>Chin Med J (</w:t>
      </w:r>
      <w:proofErr w:type="spellStart"/>
      <w:r w:rsidRPr="00C76E19">
        <w:rPr>
          <w:rFonts w:ascii="Book Antiqua" w:eastAsia="Book Antiqua" w:hAnsi="Book Antiqua" w:cs="Book Antiqua"/>
          <w:i/>
          <w:iCs/>
          <w:color w:val="000000"/>
        </w:rPr>
        <w:t>Engl</w:t>
      </w:r>
      <w:proofErr w:type="spellEnd"/>
      <w:r w:rsidRPr="00C76E19">
        <w:rPr>
          <w:rFonts w:ascii="Book Antiqua" w:eastAsia="Book Antiqua" w:hAnsi="Book Antiqua" w:cs="Book Antiqua"/>
          <w:i/>
          <w:iCs/>
          <w:color w:val="000000"/>
        </w:rPr>
        <w:t>)</w:t>
      </w:r>
      <w:r w:rsidRPr="00C76E19">
        <w:rPr>
          <w:rFonts w:ascii="Book Antiqua" w:eastAsia="Book Antiqua" w:hAnsi="Book Antiqua" w:cs="Book Antiqua"/>
          <w:color w:val="000000"/>
        </w:rPr>
        <w:t xml:space="preserve"> 2012; </w:t>
      </w:r>
      <w:r w:rsidRPr="00C76E19">
        <w:rPr>
          <w:rFonts w:ascii="Book Antiqua" w:eastAsia="Book Antiqua" w:hAnsi="Book Antiqua" w:cs="Book Antiqua"/>
          <w:b/>
          <w:bCs/>
          <w:color w:val="000000"/>
        </w:rPr>
        <w:t>125</w:t>
      </w:r>
      <w:r w:rsidRPr="00C76E19">
        <w:rPr>
          <w:rFonts w:ascii="Book Antiqua" w:eastAsia="Book Antiqua" w:hAnsi="Book Antiqua" w:cs="Book Antiqua"/>
          <w:color w:val="000000"/>
        </w:rPr>
        <w:t>: 2405-2410 [PMID: 22882911]</w:t>
      </w:r>
    </w:p>
    <w:p w14:paraId="1CB05032"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30 </w:t>
      </w:r>
      <w:r w:rsidRPr="00C76E19">
        <w:rPr>
          <w:rFonts w:ascii="Book Antiqua" w:eastAsia="Book Antiqua" w:hAnsi="Book Antiqua" w:cs="Book Antiqua"/>
          <w:b/>
          <w:bCs/>
          <w:color w:val="000000"/>
        </w:rPr>
        <w:t>Yasukawa S</w:t>
      </w:r>
      <w:r w:rsidRPr="00C76E19">
        <w:rPr>
          <w:rFonts w:ascii="Book Antiqua" w:eastAsia="Book Antiqua" w:hAnsi="Book Antiqua" w:cs="Book Antiqua"/>
          <w:color w:val="000000"/>
        </w:rPr>
        <w:t xml:space="preserve">, Matsui T, Yano Y, Sato Y, Takada Y, </w:t>
      </w:r>
      <w:proofErr w:type="spellStart"/>
      <w:r w:rsidRPr="00C76E19">
        <w:rPr>
          <w:rFonts w:ascii="Book Antiqua" w:eastAsia="Book Antiqua" w:hAnsi="Book Antiqua" w:cs="Book Antiqua"/>
          <w:color w:val="000000"/>
        </w:rPr>
        <w:t>Kishi</w:t>
      </w:r>
      <w:proofErr w:type="spellEnd"/>
      <w:r w:rsidRPr="00C76E19">
        <w:rPr>
          <w:rFonts w:ascii="Book Antiqua" w:eastAsia="Book Antiqua" w:hAnsi="Book Antiqua" w:cs="Book Antiqua"/>
          <w:color w:val="000000"/>
        </w:rPr>
        <w:t xml:space="preserve"> M, Ono Y, Takatsu N, </w:t>
      </w:r>
      <w:proofErr w:type="spellStart"/>
      <w:r w:rsidRPr="00C76E19">
        <w:rPr>
          <w:rFonts w:ascii="Book Antiqua" w:eastAsia="Book Antiqua" w:hAnsi="Book Antiqua" w:cs="Book Antiqua"/>
          <w:color w:val="000000"/>
        </w:rPr>
        <w:t>Nagahama</w:t>
      </w:r>
      <w:proofErr w:type="spellEnd"/>
      <w:r w:rsidRPr="00C76E19">
        <w:rPr>
          <w:rFonts w:ascii="Book Antiqua" w:eastAsia="Book Antiqua" w:hAnsi="Book Antiqua" w:cs="Book Antiqua"/>
          <w:color w:val="000000"/>
        </w:rPr>
        <w:t xml:space="preserve"> T, </w:t>
      </w:r>
      <w:proofErr w:type="spellStart"/>
      <w:r w:rsidRPr="00C76E19">
        <w:rPr>
          <w:rFonts w:ascii="Book Antiqua" w:eastAsia="Book Antiqua" w:hAnsi="Book Antiqua" w:cs="Book Antiqua"/>
          <w:color w:val="000000"/>
        </w:rPr>
        <w:t>Hisabe</w:t>
      </w:r>
      <w:proofErr w:type="spellEnd"/>
      <w:r w:rsidRPr="00C76E19">
        <w:rPr>
          <w:rFonts w:ascii="Book Antiqua" w:eastAsia="Book Antiqua" w:hAnsi="Book Antiqua" w:cs="Book Antiqua"/>
          <w:color w:val="000000"/>
        </w:rPr>
        <w:t xml:space="preserve"> T, Hirai F, Yao K, Ueki T, Higashi D, </w:t>
      </w:r>
      <w:proofErr w:type="spellStart"/>
      <w:r w:rsidRPr="00C76E19">
        <w:rPr>
          <w:rFonts w:ascii="Book Antiqua" w:eastAsia="Book Antiqua" w:hAnsi="Book Antiqua" w:cs="Book Antiqua"/>
          <w:color w:val="000000"/>
        </w:rPr>
        <w:t>Futami</w:t>
      </w:r>
      <w:proofErr w:type="spellEnd"/>
      <w:r w:rsidRPr="00C76E19">
        <w:rPr>
          <w:rFonts w:ascii="Book Antiqua" w:eastAsia="Book Antiqua" w:hAnsi="Book Antiqua" w:cs="Book Antiqua"/>
          <w:color w:val="000000"/>
        </w:rPr>
        <w:t xml:space="preserve"> K, Sou S, Sakurai T, Yao T, Tanabe H, Iwashita A, </w:t>
      </w:r>
      <w:proofErr w:type="spellStart"/>
      <w:r w:rsidRPr="00C76E19">
        <w:rPr>
          <w:rFonts w:ascii="Book Antiqua" w:eastAsia="Book Antiqua" w:hAnsi="Book Antiqua" w:cs="Book Antiqua"/>
          <w:color w:val="000000"/>
        </w:rPr>
        <w:t>Washio</w:t>
      </w:r>
      <w:proofErr w:type="spellEnd"/>
      <w:r w:rsidRPr="00C76E19">
        <w:rPr>
          <w:rFonts w:ascii="Book Antiqua" w:eastAsia="Book Antiqua" w:hAnsi="Book Antiqua" w:cs="Book Antiqua"/>
          <w:color w:val="000000"/>
        </w:rPr>
        <w:t xml:space="preserve"> M. Crohn's disease-specific mortality: a 30-year cohort study at a tertiary referral center in Japan. </w:t>
      </w:r>
      <w:r w:rsidRPr="00C76E19">
        <w:rPr>
          <w:rFonts w:ascii="Book Antiqua" w:eastAsia="Book Antiqua" w:hAnsi="Book Antiqua" w:cs="Book Antiqua"/>
          <w:i/>
          <w:iCs/>
          <w:color w:val="000000"/>
        </w:rPr>
        <w:t>J Gastroenterol</w:t>
      </w:r>
      <w:r w:rsidRPr="00C76E19">
        <w:rPr>
          <w:rFonts w:ascii="Book Antiqua" w:eastAsia="Book Antiqua" w:hAnsi="Book Antiqua" w:cs="Book Antiqua"/>
          <w:color w:val="000000"/>
        </w:rPr>
        <w:t xml:space="preserve"> 2019; </w:t>
      </w:r>
      <w:r w:rsidRPr="00C76E19">
        <w:rPr>
          <w:rFonts w:ascii="Book Antiqua" w:eastAsia="Book Antiqua" w:hAnsi="Book Antiqua" w:cs="Book Antiqua"/>
          <w:b/>
          <w:bCs/>
          <w:color w:val="000000"/>
        </w:rPr>
        <w:t>54</w:t>
      </w:r>
      <w:r w:rsidRPr="00C76E19">
        <w:rPr>
          <w:rFonts w:ascii="Book Antiqua" w:eastAsia="Book Antiqua" w:hAnsi="Book Antiqua" w:cs="Book Antiqua"/>
          <w:color w:val="000000"/>
        </w:rPr>
        <w:t>: 42-52 [PMID: 29948302 DOI: 10.1007/s00535-018-1482-y]</w:t>
      </w:r>
    </w:p>
    <w:p w14:paraId="330140F7" w14:textId="61E6BE98" w:rsidR="00A77B3E" w:rsidRPr="00A23AA9" w:rsidRDefault="00CA1127" w:rsidP="00A23AA9">
      <w:pPr>
        <w:spacing w:line="360" w:lineRule="auto"/>
        <w:jc w:val="both"/>
      </w:pPr>
      <w:r w:rsidRPr="00AE2A93">
        <w:rPr>
          <w:rFonts w:ascii="Book Antiqua" w:eastAsia="Book Antiqua" w:hAnsi="Book Antiqua" w:cs="Book Antiqua"/>
          <w:color w:val="000000"/>
          <w:highlight w:val="yellow"/>
        </w:rPr>
        <w:t xml:space="preserve">31 </w:t>
      </w:r>
      <w:r w:rsidRPr="00AE2A93">
        <w:rPr>
          <w:rFonts w:ascii="Book Antiqua" w:eastAsia="Book Antiqua" w:hAnsi="Book Antiqua" w:cs="Book Antiqua"/>
          <w:bCs/>
          <w:color w:val="000000"/>
          <w:highlight w:val="yellow"/>
        </w:rPr>
        <w:t xml:space="preserve">China Statistical Bulletin of National Economic and Social Development in 2018. </w:t>
      </w:r>
      <w:r w:rsidR="00D15C59" w:rsidRPr="00AE2A93">
        <w:rPr>
          <w:rFonts w:ascii="Book Antiqua" w:eastAsia="Book Antiqua" w:hAnsi="Book Antiqua" w:cs="Book Antiqua"/>
          <w:color w:val="000000"/>
          <w:highlight w:val="yellow"/>
        </w:rPr>
        <w:t xml:space="preserve">[Cited May 20, 2020]. </w:t>
      </w:r>
      <w:r w:rsidRPr="00AE2A93">
        <w:rPr>
          <w:rFonts w:ascii="Book Antiqua" w:eastAsia="Book Antiqua" w:hAnsi="Book Antiqua" w:cs="Book Antiqua"/>
          <w:color w:val="000000"/>
          <w:highlight w:val="yellow"/>
        </w:rPr>
        <w:t>Accessed</w:t>
      </w:r>
      <w:r w:rsidR="00D15C59" w:rsidRPr="00AE2A93">
        <w:rPr>
          <w:rFonts w:ascii="Book Antiqua" w:eastAsia="Book Antiqua" w:hAnsi="Book Antiqua" w:cs="Book Antiqua"/>
          <w:color w:val="000000"/>
          <w:highlight w:val="yellow"/>
        </w:rPr>
        <w:t xml:space="preserve"> from:</w:t>
      </w:r>
      <w:r w:rsidRPr="00AE2A93">
        <w:rPr>
          <w:rFonts w:ascii="Book Antiqua" w:eastAsia="Book Antiqua" w:hAnsi="Book Antiqua" w:cs="Book Antiqua"/>
          <w:color w:val="000000"/>
          <w:highlight w:val="yellow"/>
        </w:rPr>
        <w:t xml:space="preserve"> </w:t>
      </w:r>
      <w:hyperlink r:id="rId8" w:history="1">
        <w:r w:rsidR="00875E65" w:rsidRPr="00AE2A93">
          <w:rPr>
            <w:rStyle w:val="ae"/>
            <w:rFonts w:ascii="Book Antiqua" w:eastAsia="Book Antiqua" w:hAnsi="Book Antiqua" w:cs="Book Antiqua"/>
            <w:highlight w:val="yellow"/>
          </w:rPr>
          <w:t>http://www.stats.gov.cn/tjsj/zxfb/201902/t20190228_1651265.html</w:t>
        </w:r>
      </w:hyperlink>
      <w:r w:rsidR="00875E65" w:rsidRPr="00C76E19">
        <w:rPr>
          <w:rFonts w:ascii="Book Antiqua" w:eastAsia="Book Antiqua" w:hAnsi="Book Antiqua" w:cs="Book Antiqua"/>
          <w:color w:val="000000"/>
        </w:rPr>
        <w:t xml:space="preserve"> </w:t>
      </w:r>
    </w:p>
    <w:p w14:paraId="5226236A" w14:textId="77777777" w:rsidR="00A77B3E" w:rsidRPr="00C76E19" w:rsidRDefault="00CA1127" w:rsidP="00A23AA9">
      <w:pPr>
        <w:spacing w:line="360" w:lineRule="auto"/>
        <w:jc w:val="both"/>
      </w:pPr>
      <w:r w:rsidRPr="00A23AA9">
        <w:rPr>
          <w:rFonts w:ascii="Book Antiqua" w:eastAsia="Book Antiqua" w:hAnsi="Book Antiqua" w:cs="Book Antiqua"/>
          <w:color w:val="000000"/>
        </w:rPr>
        <w:t xml:space="preserve">32 </w:t>
      </w:r>
      <w:r w:rsidRPr="00A23AA9">
        <w:rPr>
          <w:rFonts w:ascii="Book Antiqua" w:eastAsia="Book Antiqua" w:hAnsi="Book Antiqua" w:cs="Book Antiqua"/>
          <w:b/>
          <w:bCs/>
          <w:color w:val="000000"/>
        </w:rPr>
        <w:t>Sands BE</w:t>
      </w:r>
      <w:r w:rsidRPr="00C76E19">
        <w:rPr>
          <w:rFonts w:ascii="Book Antiqua" w:eastAsia="Book Antiqua" w:hAnsi="Book Antiqua" w:cs="Book Antiqua"/>
          <w:color w:val="000000"/>
        </w:rPr>
        <w:t xml:space="preserve">, Anderson FH, Bernstein CN, Chey WY, </w:t>
      </w:r>
      <w:proofErr w:type="spellStart"/>
      <w:r w:rsidRPr="00C76E19">
        <w:rPr>
          <w:rFonts w:ascii="Book Antiqua" w:eastAsia="Book Antiqua" w:hAnsi="Book Antiqua" w:cs="Book Antiqua"/>
          <w:color w:val="000000"/>
        </w:rPr>
        <w:t>Feagan</w:t>
      </w:r>
      <w:proofErr w:type="spellEnd"/>
      <w:r w:rsidRPr="00C76E19">
        <w:rPr>
          <w:rFonts w:ascii="Book Antiqua" w:eastAsia="Book Antiqua" w:hAnsi="Book Antiqua" w:cs="Book Antiqua"/>
          <w:color w:val="000000"/>
        </w:rPr>
        <w:t xml:space="preserve"> BG, </w:t>
      </w:r>
      <w:proofErr w:type="spellStart"/>
      <w:r w:rsidRPr="00C76E19">
        <w:rPr>
          <w:rFonts w:ascii="Book Antiqua" w:eastAsia="Book Antiqua" w:hAnsi="Book Antiqua" w:cs="Book Antiqua"/>
          <w:color w:val="000000"/>
        </w:rPr>
        <w:t>Fedorak</w:t>
      </w:r>
      <w:proofErr w:type="spellEnd"/>
      <w:r w:rsidRPr="00C76E19">
        <w:rPr>
          <w:rFonts w:ascii="Book Antiqua" w:eastAsia="Book Antiqua" w:hAnsi="Book Antiqua" w:cs="Book Antiqua"/>
          <w:color w:val="000000"/>
        </w:rPr>
        <w:t xml:space="preserve"> RN, </w:t>
      </w:r>
      <w:proofErr w:type="spellStart"/>
      <w:r w:rsidRPr="00C76E19">
        <w:rPr>
          <w:rFonts w:ascii="Book Antiqua" w:eastAsia="Book Antiqua" w:hAnsi="Book Antiqua" w:cs="Book Antiqua"/>
          <w:color w:val="000000"/>
        </w:rPr>
        <w:t>Kamm</w:t>
      </w:r>
      <w:proofErr w:type="spellEnd"/>
      <w:r w:rsidRPr="00C76E19">
        <w:rPr>
          <w:rFonts w:ascii="Book Antiqua" w:eastAsia="Book Antiqua" w:hAnsi="Book Antiqua" w:cs="Book Antiqua"/>
          <w:color w:val="000000"/>
        </w:rPr>
        <w:t xml:space="preserve"> MA, </w:t>
      </w:r>
      <w:proofErr w:type="spellStart"/>
      <w:r w:rsidRPr="00C76E19">
        <w:rPr>
          <w:rFonts w:ascii="Book Antiqua" w:eastAsia="Book Antiqua" w:hAnsi="Book Antiqua" w:cs="Book Antiqua"/>
          <w:color w:val="000000"/>
        </w:rPr>
        <w:t>Korzenik</w:t>
      </w:r>
      <w:proofErr w:type="spellEnd"/>
      <w:r w:rsidRPr="00C76E19">
        <w:rPr>
          <w:rFonts w:ascii="Book Antiqua" w:eastAsia="Book Antiqua" w:hAnsi="Book Antiqua" w:cs="Book Antiqua"/>
          <w:color w:val="000000"/>
        </w:rPr>
        <w:t xml:space="preserve"> JR, </w:t>
      </w:r>
      <w:proofErr w:type="spellStart"/>
      <w:r w:rsidRPr="00C76E19">
        <w:rPr>
          <w:rFonts w:ascii="Book Antiqua" w:eastAsia="Book Antiqua" w:hAnsi="Book Antiqua" w:cs="Book Antiqua"/>
          <w:color w:val="000000"/>
        </w:rPr>
        <w:t>Lashner</w:t>
      </w:r>
      <w:proofErr w:type="spellEnd"/>
      <w:r w:rsidRPr="00C76E19">
        <w:rPr>
          <w:rFonts w:ascii="Book Antiqua" w:eastAsia="Book Antiqua" w:hAnsi="Book Antiqua" w:cs="Book Antiqua"/>
          <w:color w:val="000000"/>
        </w:rPr>
        <w:t xml:space="preserve"> BA, </w:t>
      </w:r>
      <w:proofErr w:type="spellStart"/>
      <w:r w:rsidRPr="00C76E19">
        <w:rPr>
          <w:rFonts w:ascii="Book Antiqua" w:eastAsia="Book Antiqua" w:hAnsi="Book Antiqua" w:cs="Book Antiqua"/>
          <w:color w:val="000000"/>
        </w:rPr>
        <w:t>Onken</w:t>
      </w:r>
      <w:proofErr w:type="spellEnd"/>
      <w:r w:rsidRPr="00C76E19">
        <w:rPr>
          <w:rFonts w:ascii="Book Antiqua" w:eastAsia="Book Antiqua" w:hAnsi="Book Antiqua" w:cs="Book Antiqua"/>
          <w:color w:val="000000"/>
        </w:rPr>
        <w:t xml:space="preserve"> JE, </w:t>
      </w:r>
      <w:proofErr w:type="spellStart"/>
      <w:r w:rsidRPr="00C76E19">
        <w:rPr>
          <w:rFonts w:ascii="Book Antiqua" w:eastAsia="Book Antiqua" w:hAnsi="Book Antiqua" w:cs="Book Antiqua"/>
          <w:color w:val="000000"/>
        </w:rPr>
        <w:t>Rachmilewitz</w:t>
      </w:r>
      <w:proofErr w:type="spellEnd"/>
      <w:r w:rsidRPr="00C76E19">
        <w:rPr>
          <w:rFonts w:ascii="Book Antiqua" w:eastAsia="Book Antiqua" w:hAnsi="Book Antiqua" w:cs="Book Antiqua"/>
          <w:color w:val="000000"/>
        </w:rPr>
        <w:t xml:space="preserve"> D, </w:t>
      </w:r>
      <w:proofErr w:type="spellStart"/>
      <w:r w:rsidRPr="00C76E19">
        <w:rPr>
          <w:rFonts w:ascii="Book Antiqua" w:eastAsia="Book Antiqua" w:hAnsi="Book Antiqua" w:cs="Book Antiqua"/>
          <w:color w:val="000000"/>
        </w:rPr>
        <w:t>Rutgeerts</w:t>
      </w:r>
      <w:proofErr w:type="spellEnd"/>
      <w:r w:rsidRPr="00C76E19">
        <w:rPr>
          <w:rFonts w:ascii="Book Antiqua" w:eastAsia="Book Antiqua" w:hAnsi="Book Antiqua" w:cs="Book Antiqua"/>
          <w:color w:val="000000"/>
        </w:rPr>
        <w:t xml:space="preserve"> P, Wild G, Wolf DC, </w:t>
      </w:r>
      <w:proofErr w:type="spellStart"/>
      <w:r w:rsidRPr="00C76E19">
        <w:rPr>
          <w:rFonts w:ascii="Book Antiqua" w:eastAsia="Book Antiqua" w:hAnsi="Book Antiqua" w:cs="Book Antiqua"/>
          <w:color w:val="000000"/>
        </w:rPr>
        <w:t>Marsters</w:t>
      </w:r>
      <w:proofErr w:type="spellEnd"/>
      <w:r w:rsidRPr="00C76E19">
        <w:rPr>
          <w:rFonts w:ascii="Book Antiqua" w:eastAsia="Book Antiqua" w:hAnsi="Book Antiqua" w:cs="Book Antiqua"/>
          <w:color w:val="000000"/>
        </w:rPr>
        <w:t xml:space="preserve"> PA, Travers SB, Blank MA, van Deventer SJ. Infliximab maintenance therapy for fistulizing Crohn's disease. </w:t>
      </w:r>
      <w:r w:rsidRPr="00C76E19">
        <w:rPr>
          <w:rFonts w:ascii="Book Antiqua" w:eastAsia="Book Antiqua" w:hAnsi="Book Antiqua" w:cs="Book Antiqua"/>
          <w:i/>
          <w:iCs/>
          <w:color w:val="000000"/>
        </w:rPr>
        <w:t xml:space="preserve">N </w:t>
      </w:r>
      <w:proofErr w:type="spellStart"/>
      <w:r w:rsidRPr="00C76E19">
        <w:rPr>
          <w:rFonts w:ascii="Book Antiqua" w:eastAsia="Book Antiqua" w:hAnsi="Book Antiqua" w:cs="Book Antiqua"/>
          <w:i/>
          <w:iCs/>
          <w:color w:val="000000"/>
        </w:rPr>
        <w:t>Engl</w:t>
      </w:r>
      <w:proofErr w:type="spellEnd"/>
      <w:r w:rsidRPr="00C76E19">
        <w:rPr>
          <w:rFonts w:ascii="Book Antiqua" w:eastAsia="Book Antiqua" w:hAnsi="Book Antiqua" w:cs="Book Antiqua"/>
          <w:i/>
          <w:iCs/>
          <w:color w:val="000000"/>
        </w:rPr>
        <w:t xml:space="preserve"> J Med</w:t>
      </w:r>
      <w:r w:rsidRPr="00C76E19">
        <w:rPr>
          <w:rFonts w:ascii="Book Antiqua" w:eastAsia="Book Antiqua" w:hAnsi="Book Antiqua" w:cs="Book Antiqua"/>
          <w:color w:val="000000"/>
        </w:rPr>
        <w:t xml:space="preserve"> 2004; </w:t>
      </w:r>
      <w:r w:rsidRPr="00C76E19">
        <w:rPr>
          <w:rFonts w:ascii="Book Antiqua" w:eastAsia="Book Antiqua" w:hAnsi="Book Antiqua" w:cs="Book Antiqua"/>
          <w:b/>
          <w:bCs/>
          <w:color w:val="000000"/>
        </w:rPr>
        <w:t>350</w:t>
      </w:r>
      <w:r w:rsidRPr="00C76E19">
        <w:rPr>
          <w:rFonts w:ascii="Book Antiqua" w:eastAsia="Book Antiqua" w:hAnsi="Book Antiqua" w:cs="Book Antiqua"/>
          <w:color w:val="000000"/>
        </w:rPr>
        <w:t>: 876-885 [PMID: 14985485 DOI: 10.1056/NEJMoa030815]</w:t>
      </w:r>
    </w:p>
    <w:p w14:paraId="1C2971A0"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33 </w:t>
      </w:r>
      <w:proofErr w:type="spellStart"/>
      <w:r w:rsidRPr="00C76E19">
        <w:rPr>
          <w:rFonts w:ascii="Book Antiqua" w:eastAsia="Book Antiqua" w:hAnsi="Book Antiqua" w:cs="Book Antiqua"/>
          <w:b/>
          <w:bCs/>
          <w:color w:val="000000"/>
        </w:rPr>
        <w:t>Lémann</w:t>
      </w:r>
      <w:proofErr w:type="spellEnd"/>
      <w:r w:rsidRPr="00C76E19">
        <w:rPr>
          <w:rFonts w:ascii="Book Antiqua" w:eastAsia="Book Antiqua" w:hAnsi="Book Antiqua" w:cs="Book Antiqua"/>
          <w:b/>
          <w:bCs/>
          <w:color w:val="000000"/>
        </w:rPr>
        <w:t xml:space="preserve"> M</w:t>
      </w:r>
      <w:r w:rsidRPr="00C76E19">
        <w:rPr>
          <w:rFonts w:ascii="Book Antiqua" w:eastAsia="Book Antiqua" w:hAnsi="Book Antiqua" w:cs="Book Antiqua"/>
          <w:color w:val="000000"/>
        </w:rPr>
        <w:t xml:space="preserve">, Mary JY, Duclos B, </w:t>
      </w:r>
      <w:proofErr w:type="spellStart"/>
      <w:r w:rsidRPr="00C76E19">
        <w:rPr>
          <w:rFonts w:ascii="Book Antiqua" w:eastAsia="Book Antiqua" w:hAnsi="Book Antiqua" w:cs="Book Antiqua"/>
          <w:color w:val="000000"/>
        </w:rPr>
        <w:t>Veyrac</w:t>
      </w:r>
      <w:proofErr w:type="spellEnd"/>
      <w:r w:rsidRPr="00C76E19">
        <w:rPr>
          <w:rFonts w:ascii="Book Antiqua" w:eastAsia="Book Antiqua" w:hAnsi="Book Antiqua" w:cs="Book Antiqua"/>
          <w:color w:val="000000"/>
        </w:rPr>
        <w:t xml:space="preserve"> M, </w:t>
      </w:r>
      <w:proofErr w:type="spellStart"/>
      <w:r w:rsidRPr="00C76E19">
        <w:rPr>
          <w:rFonts w:ascii="Book Antiqua" w:eastAsia="Book Antiqua" w:hAnsi="Book Antiqua" w:cs="Book Antiqua"/>
          <w:color w:val="000000"/>
        </w:rPr>
        <w:t>Dupas</w:t>
      </w:r>
      <w:proofErr w:type="spellEnd"/>
      <w:r w:rsidRPr="00C76E19">
        <w:rPr>
          <w:rFonts w:ascii="Book Antiqua" w:eastAsia="Book Antiqua" w:hAnsi="Book Antiqua" w:cs="Book Antiqua"/>
          <w:color w:val="000000"/>
        </w:rPr>
        <w:t xml:space="preserve"> JL, </w:t>
      </w:r>
      <w:proofErr w:type="spellStart"/>
      <w:r w:rsidRPr="00C76E19">
        <w:rPr>
          <w:rFonts w:ascii="Book Antiqua" w:eastAsia="Book Antiqua" w:hAnsi="Book Antiqua" w:cs="Book Antiqua"/>
          <w:color w:val="000000"/>
        </w:rPr>
        <w:t>Delchier</w:t>
      </w:r>
      <w:proofErr w:type="spellEnd"/>
      <w:r w:rsidRPr="00C76E19">
        <w:rPr>
          <w:rFonts w:ascii="Book Antiqua" w:eastAsia="Book Antiqua" w:hAnsi="Book Antiqua" w:cs="Book Antiqua"/>
          <w:color w:val="000000"/>
        </w:rPr>
        <w:t xml:space="preserve"> JC, </w:t>
      </w:r>
      <w:proofErr w:type="spellStart"/>
      <w:r w:rsidRPr="00C76E19">
        <w:rPr>
          <w:rFonts w:ascii="Book Antiqua" w:eastAsia="Book Antiqua" w:hAnsi="Book Antiqua" w:cs="Book Antiqua"/>
          <w:color w:val="000000"/>
        </w:rPr>
        <w:t>Laharie</w:t>
      </w:r>
      <w:proofErr w:type="spellEnd"/>
      <w:r w:rsidRPr="00C76E19">
        <w:rPr>
          <w:rFonts w:ascii="Book Antiqua" w:eastAsia="Book Antiqua" w:hAnsi="Book Antiqua" w:cs="Book Antiqua"/>
          <w:color w:val="000000"/>
        </w:rPr>
        <w:t xml:space="preserve"> D, Moreau J, </w:t>
      </w:r>
      <w:proofErr w:type="spellStart"/>
      <w:r w:rsidRPr="00C76E19">
        <w:rPr>
          <w:rFonts w:ascii="Book Antiqua" w:eastAsia="Book Antiqua" w:hAnsi="Book Antiqua" w:cs="Book Antiqua"/>
          <w:color w:val="000000"/>
        </w:rPr>
        <w:t>Cadiot</w:t>
      </w:r>
      <w:proofErr w:type="spellEnd"/>
      <w:r w:rsidRPr="00C76E19">
        <w:rPr>
          <w:rFonts w:ascii="Book Antiqua" w:eastAsia="Book Antiqua" w:hAnsi="Book Antiqua" w:cs="Book Antiqua"/>
          <w:color w:val="000000"/>
        </w:rPr>
        <w:t xml:space="preserve"> G, </w:t>
      </w:r>
      <w:proofErr w:type="spellStart"/>
      <w:r w:rsidRPr="00C76E19">
        <w:rPr>
          <w:rFonts w:ascii="Book Antiqua" w:eastAsia="Book Antiqua" w:hAnsi="Book Antiqua" w:cs="Book Antiqua"/>
          <w:color w:val="000000"/>
        </w:rPr>
        <w:t>Picon</w:t>
      </w:r>
      <w:proofErr w:type="spellEnd"/>
      <w:r w:rsidRPr="00C76E19">
        <w:rPr>
          <w:rFonts w:ascii="Book Antiqua" w:eastAsia="Book Antiqua" w:hAnsi="Book Antiqua" w:cs="Book Antiqua"/>
          <w:color w:val="000000"/>
        </w:rPr>
        <w:t xml:space="preserve"> L, </w:t>
      </w:r>
      <w:proofErr w:type="spellStart"/>
      <w:r w:rsidRPr="00C76E19">
        <w:rPr>
          <w:rFonts w:ascii="Book Antiqua" w:eastAsia="Book Antiqua" w:hAnsi="Book Antiqua" w:cs="Book Antiqua"/>
          <w:color w:val="000000"/>
        </w:rPr>
        <w:t>Bourreille</w:t>
      </w:r>
      <w:proofErr w:type="spellEnd"/>
      <w:r w:rsidRPr="00C76E19">
        <w:rPr>
          <w:rFonts w:ascii="Book Antiqua" w:eastAsia="Book Antiqua" w:hAnsi="Book Antiqua" w:cs="Book Antiqua"/>
          <w:color w:val="000000"/>
        </w:rPr>
        <w:t xml:space="preserve"> A, </w:t>
      </w:r>
      <w:proofErr w:type="spellStart"/>
      <w:r w:rsidRPr="00C76E19">
        <w:rPr>
          <w:rFonts w:ascii="Book Antiqua" w:eastAsia="Book Antiqua" w:hAnsi="Book Antiqua" w:cs="Book Antiqua"/>
          <w:color w:val="000000"/>
        </w:rPr>
        <w:t>Sobahni</w:t>
      </w:r>
      <w:proofErr w:type="spellEnd"/>
      <w:r w:rsidRPr="00C76E19">
        <w:rPr>
          <w:rFonts w:ascii="Book Antiqua" w:eastAsia="Book Antiqua" w:hAnsi="Book Antiqua" w:cs="Book Antiqua"/>
          <w:color w:val="000000"/>
        </w:rPr>
        <w:t xml:space="preserve"> I, </w:t>
      </w:r>
      <w:proofErr w:type="spellStart"/>
      <w:r w:rsidRPr="00C76E19">
        <w:rPr>
          <w:rFonts w:ascii="Book Antiqua" w:eastAsia="Book Antiqua" w:hAnsi="Book Antiqua" w:cs="Book Antiqua"/>
          <w:color w:val="000000"/>
        </w:rPr>
        <w:t>Colombel</w:t>
      </w:r>
      <w:proofErr w:type="spellEnd"/>
      <w:r w:rsidRPr="00C76E19">
        <w:rPr>
          <w:rFonts w:ascii="Book Antiqua" w:eastAsia="Book Antiqua" w:hAnsi="Book Antiqua" w:cs="Book Antiqua"/>
          <w:color w:val="000000"/>
        </w:rPr>
        <w:t xml:space="preserve"> JF; Groupe </w:t>
      </w:r>
      <w:proofErr w:type="spellStart"/>
      <w:r w:rsidRPr="00C76E19">
        <w:rPr>
          <w:rFonts w:ascii="Book Antiqua" w:eastAsia="Book Antiqua" w:hAnsi="Book Antiqua" w:cs="Book Antiqua"/>
          <w:color w:val="000000"/>
        </w:rPr>
        <w:t>d'Etude</w:t>
      </w:r>
      <w:proofErr w:type="spellEnd"/>
      <w:r w:rsidRPr="00C76E19">
        <w:rPr>
          <w:rFonts w:ascii="Book Antiqua" w:eastAsia="Book Antiqua" w:hAnsi="Book Antiqua" w:cs="Book Antiqua"/>
          <w:color w:val="000000"/>
        </w:rPr>
        <w:t xml:space="preserve"> </w:t>
      </w:r>
      <w:proofErr w:type="spellStart"/>
      <w:r w:rsidRPr="00C76E19">
        <w:rPr>
          <w:rFonts w:ascii="Book Antiqua" w:eastAsia="Book Antiqua" w:hAnsi="Book Antiqua" w:cs="Book Antiqua"/>
          <w:color w:val="000000"/>
        </w:rPr>
        <w:t>Therapeutique</w:t>
      </w:r>
      <w:proofErr w:type="spellEnd"/>
      <w:r w:rsidRPr="00C76E19">
        <w:rPr>
          <w:rFonts w:ascii="Book Antiqua" w:eastAsia="Book Antiqua" w:hAnsi="Book Antiqua" w:cs="Book Antiqua"/>
          <w:color w:val="000000"/>
        </w:rPr>
        <w:t xml:space="preserve"> des Affections </w:t>
      </w:r>
      <w:proofErr w:type="spellStart"/>
      <w:r w:rsidRPr="00C76E19">
        <w:rPr>
          <w:rFonts w:ascii="Book Antiqua" w:eastAsia="Book Antiqua" w:hAnsi="Book Antiqua" w:cs="Book Antiqua"/>
          <w:color w:val="000000"/>
        </w:rPr>
        <w:t>Inflammatoires</w:t>
      </w:r>
      <w:proofErr w:type="spellEnd"/>
      <w:r w:rsidRPr="00C76E19">
        <w:rPr>
          <w:rFonts w:ascii="Book Antiqua" w:eastAsia="Book Antiqua" w:hAnsi="Book Antiqua" w:cs="Book Antiqua"/>
          <w:color w:val="000000"/>
        </w:rPr>
        <w:t xml:space="preserve"> du Tube Digestif (GETAID). Infliximab plus azathioprine for steroid-dependent Crohn's disease patients: a randomized placebo-controlled trial. </w:t>
      </w:r>
      <w:r w:rsidRPr="00C76E19">
        <w:rPr>
          <w:rFonts w:ascii="Book Antiqua" w:eastAsia="Book Antiqua" w:hAnsi="Book Antiqua" w:cs="Book Antiqua"/>
          <w:i/>
          <w:iCs/>
          <w:color w:val="000000"/>
        </w:rPr>
        <w:t>Gastroenterology</w:t>
      </w:r>
      <w:r w:rsidRPr="00C76E19">
        <w:rPr>
          <w:rFonts w:ascii="Book Antiqua" w:eastAsia="Book Antiqua" w:hAnsi="Book Antiqua" w:cs="Book Antiqua"/>
          <w:color w:val="000000"/>
        </w:rPr>
        <w:t xml:space="preserve"> 2006; </w:t>
      </w:r>
      <w:r w:rsidRPr="00C76E19">
        <w:rPr>
          <w:rFonts w:ascii="Book Antiqua" w:eastAsia="Book Antiqua" w:hAnsi="Book Antiqua" w:cs="Book Antiqua"/>
          <w:b/>
          <w:bCs/>
          <w:color w:val="000000"/>
        </w:rPr>
        <w:t>130</w:t>
      </w:r>
      <w:r w:rsidRPr="00C76E19">
        <w:rPr>
          <w:rFonts w:ascii="Book Antiqua" w:eastAsia="Book Antiqua" w:hAnsi="Book Antiqua" w:cs="Book Antiqua"/>
          <w:color w:val="000000"/>
        </w:rPr>
        <w:t>: 1054-1061 [PMID: 16618399 DOI: 10.1053/j.gastro.2006.02.014]</w:t>
      </w:r>
    </w:p>
    <w:p w14:paraId="7CF8D1FA"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34 </w:t>
      </w:r>
      <w:r w:rsidRPr="00C76E19">
        <w:rPr>
          <w:rFonts w:ascii="Book Antiqua" w:eastAsia="Book Antiqua" w:hAnsi="Book Antiqua" w:cs="Book Antiqua"/>
          <w:b/>
          <w:bCs/>
          <w:color w:val="000000"/>
        </w:rPr>
        <w:t>Choi CH</w:t>
      </w:r>
      <w:r w:rsidRPr="00C76E19">
        <w:rPr>
          <w:rFonts w:ascii="Book Antiqua" w:eastAsia="Book Antiqua" w:hAnsi="Book Antiqua" w:cs="Book Antiqua"/>
          <w:color w:val="000000"/>
        </w:rPr>
        <w:t xml:space="preserve">, Song ID, Kim YH, Koo JS, Kim YS, Kim JS, Kim N, Kim ES, Kim JH, Kim JW, Kim TO, Kim HS, Kim HJ, Park YS, Park DI, Park SJ, Song HJ, Shin SJ, Yang SK, Ye BD, Lee KM, Lee BI, Lee SY, Lee CK, Im JP, Jang BI, Jeon TJ, Cho YK, Chang SK, Jeon SR, Jung SA, </w:t>
      </w:r>
      <w:proofErr w:type="spellStart"/>
      <w:r w:rsidRPr="00C76E19">
        <w:rPr>
          <w:rFonts w:ascii="Book Antiqua" w:eastAsia="Book Antiqua" w:hAnsi="Book Antiqua" w:cs="Book Antiqua"/>
          <w:color w:val="000000"/>
        </w:rPr>
        <w:t>Jeen</w:t>
      </w:r>
      <w:proofErr w:type="spellEnd"/>
      <w:r w:rsidRPr="00C76E19">
        <w:rPr>
          <w:rFonts w:ascii="Book Antiqua" w:eastAsia="Book Antiqua" w:hAnsi="Book Antiqua" w:cs="Book Antiqua"/>
          <w:color w:val="000000"/>
        </w:rPr>
        <w:t xml:space="preserve"> YT, Cha JM, Han DS, Kim WH; IBD Study Group of the Korean Association for the Study of the Intestinal Diseases. Efficacy and Safety of Infliximab Therapy and Predictors of Response in Korean Patients with Crohn's Disease: A Nationwide, Multicenter Study. </w:t>
      </w:r>
      <w:r w:rsidRPr="00C76E19">
        <w:rPr>
          <w:rFonts w:ascii="Book Antiqua" w:eastAsia="Book Antiqua" w:hAnsi="Book Antiqua" w:cs="Book Antiqua"/>
          <w:i/>
          <w:iCs/>
          <w:color w:val="000000"/>
        </w:rPr>
        <w:t>Yonsei Med J</w:t>
      </w:r>
      <w:r w:rsidRPr="00C76E19">
        <w:rPr>
          <w:rFonts w:ascii="Book Antiqua" w:eastAsia="Book Antiqua" w:hAnsi="Book Antiqua" w:cs="Book Antiqua"/>
          <w:color w:val="000000"/>
        </w:rPr>
        <w:t xml:space="preserve"> 2016; </w:t>
      </w:r>
      <w:r w:rsidRPr="00C76E19">
        <w:rPr>
          <w:rFonts w:ascii="Book Antiqua" w:eastAsia="Book Antiqua" w:hAnsi="Book Antiqua" w:cs="Book Antiqua"/>
          <w:b/>
          <w:bCs/>
          <w:color w:val="000000"/>
        </w:rPr>
        <w:t>57</w:t>
      </w:r>
      <w:r w:rsidRPr="00C76E19">
        <w:rPr>
          <w:rFonts w:ascii="Book Antiqua" w:eastAsia="Book Antiqua" w:hAnsi="Book Antiqua" w:cs="Book Antiqua"/>
          <w:color w:val="000000"/>
        </w:rPr>
        <w:t>: 1376-1385 [PMID: 27593865 DOI: 10.3349/ymj.2016.57.6.1376]</w:t>
      </w:r>
    </w:p>
    <w:p w14:paraId="709C4F44"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35 </w:t>
      </w:r>
      <w:proofErr w:type="spellStart"/>
      <w:r w:rsidRPr="00C76E19">
        <w:rPr>
          <w:rFonts w:ascii="Book Antiqua" w:eastAsia="Book Antiqua" w:hAnsi="Book Antiqua" w:cs="Book Antiqua"/>
          <w:b/>
          <w:bCs/>
          <w:color w:val="000000"/>
        </w:rPr>
        <w:t>Oussalah</w:t>
      </w:r>
      <w:proofErr w:type="spellEnd"/>
      <w:r w:rsidRPr="00C76E19">
        <w:rPr>
          <w:rFonts w:ascii="Book Antiqua" w:eastAsia="Book Antiqua" w:hAnsi="Book Antiqua" w:cs="Book Antiqua"/>
          <w:b/>
          <w:bCs/>
          <w:color w:val="000000"/>
        </w:rPr>
        <w:t xml:space="preserve"> A</w:t>
      </w:r>
      <w:r w:rsidRPr="00C76E19">
        <w:rPr>
          <w:rFonts w:ascii="Book Antiqua" w:eastAsia="Book Antiqua" w:hAnsi="Book Antiqua" w:cs="Book Antiqua"/>
          <w:color w:val="000000"/>
        </w:rPr>
        <w:t xml:space="preserve">, </w:t>
      </w:r>
      <w:proofErr w:type="spellStart"/>
      <w:r w:rsidRPr="00C76E19">
        <w:rPr>
          <w:rFonts w:ascii="Book Antiqua" w:eastAsia="Book Antiqua" w:hAnsi="Book Antiqua" w:cs="Book Antiqua"/>
          <w:color w:val="000000"/>
        </w:rPr>
        <w:t>Chevaux</w:t>
      </w:r>
      <w:proofErr w:type="spellEnd"/>
      <w:r w:rsidRPr="00C76E19">
        <w:rPr>
          <w:rFonts w:ascii="Book Antiqua" w:eastAsia="Book Antiqua" w:hAnsi="Book Antiqua" w:cs="Book Antiqua"/>
          <w:color w:val="000000"/>
        </w:rPr>
        <w:t xml:space="preserve"> JB, Fay R, </w:t>
      </w:r>
      <w:proofErr w:type="spellStart"/>
      <w:r w:rsidRPr="00C76E19">
        <w:rPr>
          <w:rFonts w:ascii="Book Antiqua" w:eastAsia="Book Antiqua" w:hAnsi="Book Antiqua" w:cs="Book Antiqua"/>
          <w:color w:val="000000"/>
        </w:rPr>
        <w:t>Sandborn</w:t>
      </w:r>
      <w:proofErr w:type="spellEnd"/>
      <w:r w:rsidRPr="00C76E19">
        <w:rPr>
          <w:rFonts w:ascii="Book Antiqua" w:eastAsia="Book Antiqua" w:hAnsi="Book Antiqua" w:cs="Book Antiqua"/>
          <w:color w:val="000000"/>
        </w:rPr>
        <w:t xml:space="preserve"> WJ, </w:t>
      </w:r>
      <w:proofErr w:type="spellStart"/>
      <w:r w:rsidRPr="00C76E19">
        <w:rPr>
          <w:rFonts w:ascii="Book Antiqua" w:eastAsia="Book Antiqua" w:hAnsi="Book Antiqua" w:cs="Book Antiqua"/>
          <w:color w:val="000000"/>
        </w:rPr>
        <w:t>Bigard</w:t>
      </w:r>
      <w:proofErr w:type="spellEnd"/>
      <w:r w:rsidRPr="00C76E19">
        <w:rPr>
          <w:rFonts w:ascii="Book Antiqua" w:eastAsia="Book Antiqua" w:hAnsi="Book Antiqua" w:cs="Book Antiqua"/>
          <w:color w:val="000000"/>
        </w:rPr>
        <w:t xml:space="preserve"> MA, </w:t>
      </w:r>
      <w:proofErr w:type="spellStart"/>
      <w:r w:rsidRPr="00C76E19">
        <w:rPr>
          <w:rFonts w:ascii="Book Antiqua" w:eastAsia="Book Antiqua" w:hAnsi="Book Antiqua" w:cs="Book Antiqua"/>
          <w:color w:val="000000"/>
        </w:rPr>
        <w:t>Peyrin-Biroulet</w:t>
      </w:r>
      <w:proofErr w:type="spellEnd"/>
      <w:r w:rsidRPr="00C76E19">
        <w:rPr>
          <w:rFonts w:ascii="Book Antiqua" w:eastAsia="Book Antiqua" w:hAnsi="Book Antiqua" w:cs="Book Antiqua"/>
          <w:color w:val="000000"/>
        </w:rPr>
        <w:t xml:space="preserve"> L. Predictors of infliximab failure after azathioprine withdrawal in Crohn's disease treated with combination therapy. </w:t>
      </w:r>
      <w:r w:rsidRPr="00C76E19">
        <w:rPr>
          <w:rFonts w:ascii="Book Antiqua" w:eastAsia="Book Antiqua" w:hAnsi="Book Antiqua" w:cs="Book Antiqua"/>
          <w:i/>
          <w:iCs/>
          <w:color w:val="000000"/>
        </w:rPr>
        <w:t>Am J Gastroenterol</w:t>
      </w:r>
      <w:r w:rsidRPr="00C76E19">
        <w:rPr>
          <w:rFonts w:ascii="Book Antiqua" w:eastAsia="Book Antiqua" w:hAnsi="Book Antiqua" w:cs="Book Antiqua"/>
          <w:color w:val="000000"/>
        </w:rPr>
        <w:t xml:space="preserve"> 2010; </w:t>
      </w:r>
      <w:r w:rsidRPr="00C76E19">
        <w:rPr>
          <w:rFonts w:ascii="Book Antiqua" w:eastAsia="Book Antiqua" w:hAnsi="Book Antiqua" w:cs="Book Antiqua"/>
          <w:b/>
          <w:bCs/>
          <w:color w:val="000000"/>
        </w:rPr>
        <w:t>105</w:t>
      </w:r>
      <w:r w:rsidRPr="00C76E19">
        <w:rPr>
          <w:rFonts w:ascii="Book Antiqua" w:eastAsia="Book Antiqua" w:hAnsi="Book Antiqua" w:cs="Book Antiqua"/>
          <w:color w:val="000000"/>
        </w:rPr>
        <w:t>: 1142-1149 [PMID: 20389296 DOI: 10.1038/ajg.2010.158]</w:t>
      </w:r>
    </w:p>
    <w:p w14:paraId="3799CFD3"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36 </w:t>
      </w:r>
      <w:proofErr w:type="spellStart"/>
      <w:r w:rsidRPr="00C76E19">
        <w:rPr>
          <w:rFonts w:ascii="Book Antiqua" w:eastAsia="Book Antiqua" w:hAnsi="Book Antiqua" w:cs="Book Antiqua"/>
          <w:b/>
          <w:bCs/>
          <w:color w:val="000000"/>
        </w:rPr>
        <w:t>Dretzke</w:t>
      </w:r>
      <w:proofErr w:type="spellEnd"/>
      <w:r w:rsidRPr="00C76E19">
        <w:rPr>
          <w:rFonts w:ascii="Book Antiqua" w:eastAsia="Book Antiqua" w:hAnsi="Book Antiqua" w:cs="Book Antiqua"/>
          <w:b/>
          <w:bCs/>
          <w:color w:val="000000"/>
        </w:rPr>
        <w:t xml:space="preserve"> J</w:t>
      </w:r>
      <w:r w:rsidRPr="00C76E19">
        <w:rPr>
          <w:rFonts w:ascii="Book Antiqua" w:eastAsia="Book Antiqua" w:hAnsi="Book Antiqua" w:cs="Book Antiqua"/>
          <w:color w:val="000000"/>
        </w:rPr>
        <w:t xml:space="preserve">, </w:t>
      </w:r>
      <w:proofErr w:type="spellStart"/>
      <w:r w:rsidRPr="00C76E19">
        <w:rPr>
          <w:rFonts w:ascii="Book Antiqua" w:eastAsia="Book Antiqua" w:hAnsi="Book Antiqua" w:cs="Book Antiqua"/>
          <w:color w:val="000000"/>
        </w:rPr>
        <w:t>Edlin</w:t>
      </w:r>
      <w:proofErr w:type="spellEnd"/>
      <w:r w:rsidRPr="00C76E19">
        <w:rPr>
          <w:rFonts w:ascii="Book Antiqua" w:eastAsia="Book Antiqua" w:hAnsi="Book Antiqua" w:cs="Book Antiqua"/>
          <w:color w:val="000000"/>
        </w:rPr>
        <w:t xml:space="preserve"> R, Round J, Connock M, Hulme C, </w:t>
      </w:r>
      <w:proofErr w:type="spellStart"/>
      <w:r w:rsidRPr="00C76E19">
        <w:rPr>
          <w:rFonts w:ascii="Book Antiqua" w:eastAsia="Book Antiqua" w:hAnsi="Book Antiqua" w:cs="Book Antiqua"/>
          <w:color w:val="000000"/>
        </w:rPr>
        <w:t>Czeczot</w:t>
      </w:r>
      <w:proofErr w:type="spellEnd"/>
      <w:r w:rsidRPr="00C76E19">
        <w:rPr>
          <w:rFonts w:ascii="Book Antiqua" w:eastAsia="Book Antiqua" w:hAnsi="Book Antiqua" w:cs="Book Antiqua"/>
          <w:color w:val="000000"/>
        </w:rPr>
        <w:t xml:space="preserve"> J, Fry-Smith A, McCabe C, Meads C. A systematic review and economic evaluation of the use of </w:t>
      </w:r>
      <w:proofErr w:type="spellStart"/>
      <w:r w:rsidRPr="00C76E19">
        <w:rPr>
          <w:rFonts w:ascii="Book Antiqua" w:eastAsia="Book Antiqua" w:hAnsi="Book Antiqua" w:cs="Book Antiqua"/>
          <w:color w:val="000000"/>
        </w:rPr>
        <w:t>tumour</w:t>
      </w:r>
      <w:proofErr w:type="spellEnd"/>
      <w:r w:rsidRPr="00C76E19">
        <w:rPr>
          <w:rFonts w:ascii="Book Antiqua" w:eastAsia="Book Antiqua" w:hAnsi="Book Antiqua" w:cs="Book Antiqua"/>
          <w:color w:val="000000"/>
        </w:rPr>
        <w:t xml:space="preserve"> necrosis factor-alpha (TNF-α) inhibitors, adalimumab and infliximab, for Crohn's disease. </w:t>
      </w:r>
      <w:r w:rsidRPr="00C76E19">
        <w:rPr>
          <w:rFonts w:ascii="Book Antiqua" w:eastAsia="Book Antiqua" w:hAnsi="Book Antiqua" w:cs="Book Antiqua"/>
          <w:i/>
          <w:iCs/>
          <w:color w:val="000000"/>
        </w:rPr>
        <w:t>Health Technol Assess</w:t>
      </w:r>
      <w:r w:rsidRPr="00C76E19">
        <w:rPr>
          <w:rFonts w:ascii="Book Antiqua" w:eastAsia="Book Antiqua" w:hAnsi="Book Antiqua" w:cs="Book Antiqua"/>
          <w:color w:val="000000"/>
        </w:rPr>
        <w:t xml:space="preserve"> 2011; </w:t>
      </w:r>
      <w:r w:rsidRPr="00C76E19">
        <w:rPr>
          <w:rFonts w:ascii="Book Antiqua" w:eastAsia="Book Antiqua" w:hAnsi="Book Antiqua" w:cs="Book Antiqua"/>
          <w:b/>
          <w:bCs/>
          <w:color w:val="000000"/>
        </w:rPr>
        <w:t>15</w:t>
      </w:r>
      <w:r w:rsidRPr="00C76E19">
        <w:rPr>
          <w:rFonts w:ascii="Book Antiqua" w:eastAsia="Book Antiqua" w:hAnsi="Book Antiqua" w:cs="Book Antiqua"/>
          <w:color w:val="000000"/>
        </w:rPr>
        <w:t>: 1-244 [PMID: 21291629 DOI: 10.3310/hta15060]</w:t>
      </w:r>
    </w:p>
    <w:p w14:paraId="22C6AFB1"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37 </w:t>
      </w:r>
      <w:r w:rsidRPr="00C76E19">
        <w:rPr>
          <w:rFonts w:ascii="Book Antiqua" w:eastAsia="Book Antiqua" w:hAnsi="Book Antiqua" w:cs="Book Antiqua"/>
          <w:b/>
          <w:bCs/>
          <w:color w:val="000000"/>
        </w:rPr>
        <w:t>Malinowski KP</w:t>
      </w:r>
      <w:r w:rsidRPr="00C76E19">
        <w:rPr>
          <w:rFonts w:ascii="Book Antiqua" w:eastAsia="Book Antiqua" w:hAnsi="Book Antiqua" w:cs="Book Antiqua"/>
          <w:color w:val="000000"/>
        </w:rPr>
        <w:t xml:space="preserve">, </w:t>
      </w:r>
      <w:proofErr w:type="spellStart"/>
      <w:r w:rsidRPr="00C76E19">
        <w:rPr>
          <w:rFonts w:ascii="Book Antiqua" w:eastAsia="Book Antiqua" w:hAnsi="Book Antiqua" w:cs="Book Antiqua"/>
          <w:color w:val="000000"/>
        </w:rPr>
        <w:t>Kawalec</w:t>
      </w:r>
      <w:proofErr w:type="spellEnd"/>
      <w:r w:rsidRPr="00C76E19">
        <w:rPr>
          <w:rFonts w:ascii="Book Antiqua" w:eastAsia="Book Antiqua" w:hAnsi="Book Antiqua" w:cs="Book Antiqua"/>
          <w:color w:val="000000"/>
        </w:rPr>
        <w:t xml:space="preserve"> P. Health utility of patients with Crohn's disease and ulcerative colitis: a systematic review and meta-analysis. </w:t>
      </w:r>
      <w:r w:rsidRPr="00C76E19">
        <w:rPr>
          <w:rFonts w:ascii="Book Antiqua" w:eastAsia="Book Antiqua" w:hAnsi="Book Antiqua" w:cs="Book Antiqua"/>
          <w:i/>
          <w:iCs/>
          <w:color w:val="000000"/>
        </w:rPr>
        <w:t xml:space="preserve">Expert Rev </w:t>
      </w:r>
      <w:proofErr w:type="spellStart"/>
      <w:r w:rsidRPr="00C76E19">
        <w:rPr>
          <w:rFonts w:ascii="Book Antiqua" w:eastAsia="Book Antiqua" w:hAnsi="Book Antiqua" w:cs="Book Antiqua"/>
          <w:i/>
          <w:iCs/>
          <w:color w:val="000000"/>
        </w:rPr>
        <w:t>Pharmacoecon</w:t>
      </w:r>
      <w:proofErr w:type="spellEnd"/>
      <w:r w:rsidRPr="00C76E19">
        <w:rPr>
          <w:rFonts w:ascii="Book Antiqua" w:eastAsia="Book Antiqua" w:hAnsi="Book Antiqua" w:cs="Book Antiqua"/>
          <w:i/>
          <w:iCs/>
          <w:color w:val="000000"/>
        </w:rPr>
        <w:t xml:space="preserve"> Outcomes Res</w:t>
      </w:r>
      <w:r w:rsidRPr="00C76E19">
        <w:rPr>
          <w:rFonts w:ascii="Book Antiqua" w:eastAsia="Book Antiqua" w:hAnsi="Book Antiqua" w:cs="Book Antiqua"/>
          <w:color w:val="000000"/>
        </w:rPr>
        <w:t xml:space="preserve"> 2016; </w:t>
      </w:r>
      <w:r w:rsidRPr="00C76E19">
        <w:rPr>
          <w:rFonts w:ascii="Book Antiqua" w:eastAsia="Book Antiqua" w:hAnsi="Book Antiqua" w:cs="Book Antiqua"/>
          <w:b/>
          <w:bCs/>
          <w:color w:val="000000"/>
        </w:rPr>
        <w:t>16</w:t>
      </w:r>
      <w:r w:rsidRPr="00C76E19">
        <w:rPr>
          <w:rFonts w:ascii="Book Antiqua" w:eastAsia="Book Antiqua" w:hAnsi="Book Antiqua" w:cs="Book Antiqua"/>
          <w:color w:val="000000"/>
        </w:rPr>
        <w:t>: 441-453 [PMID: 27187028 DOI: 10.1080/14737167.2016.1190644]</w:t>
      </w:r>
    </w:p>
    <w:p w14:paraId="3B4ECB34"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38 </w:t>
      </w:r>
      <w:r w:rsidRPr="00C76E19">
        <w:rPr>
          <w:rFonts w:ascii="Book Antiqua" w:eastAsia="Book Antiqua" w:hAnsi="Book Antiqua" w:cs="Book Antiqua"/>
          <w:b/>
          <w:bCs/>
          <w:color w:val="000000"/>
        </w:rPr>
        <w:t>Cui G</w:t>
      </w:r>
      <w:r w:rsidRPr="00C76E19">
        <w:rPr>
          <w:rFonts w:ascii="Book Antiqua" w:eastAsia="Book Antiqua" w:hAnsi="Book Antiqua" w:cs="Book Antiqua"/>
          <w:color w:val="000000"/>
        </w:rPr>
        <w:t xml:space="preserve">, Yuan A. A Systematic Review of Epidemiology and Risk Factors Associated With Chinese Inflammatory Bowel Disease. </w:t>
      </w:r>
      <w:r w:rsidRPr="00C76E19">
        <w:rPr>
          <w:rFonts w:ascii="Book Antiqua" w:eastAsia="Book Antiqua" w:hAnsi="Book Antiqua" w:cs="Book Antiqua"/>
          <w:i/>
          <w:iCs/>
          <w:color w:val="000000"/>
        </w:rPr>
        <w:t>Front Med (Lausanne)</w:t>
      </w:r>
      <w:r w:rsidRPr="00C76E19">
        <w:rPr>
          <w:rFonts w:ascii="Book Antiqua" w:eastAsia="Book Antiqua" w:hAnsi="Book Antiqua" w:cs="Book Antiqua"/>
          <w:color w:val="000000"/>
        </w:rPr>
        <w:t xml:space="preserve"> 2018; </w:t>
      </w:r>
      <w:r w:rsidRPr="00C76E19">
        <w:rPr>
          <w:rFonts w:ascii="Book Antiqua" w:eastAsia="Book Antiqua" w:hAnsi="Book Antiqua" w:cs="Book Antiqua"/>
          <w:b/>
          <w:bCs/>
          <w:color w:val="000000"/>
        </w:rPr>
        <w:t>5</w:t>
      </w:r>
      <w:r w:rsidRPr="00C76E19">
        <w:rPr>
          <w:rFonts w:ascii="Book Antiqua" w:eastAsia="Book Antiqua" w:hAnsi="Book Antiqua" w:cs="Book Antiqua"/>
          <w:color w:val="000000"/>
        </w:rPr>
        <w:t>: 183 [PMID: 29971235 DOI: 10.3389/fmed.2018.00183]</w:t>
      </w:r>
    </w:p>
    <w:p w14:paraId="58D662AE"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39 </w:t>
      </w:r>
      <w:r w:rsidRPr="00C76E19">
        <w:rPr>
          <w:rFonts w:ascii="Book Antiqua" w:eastAsia="Book Antiqua" w:hAnsi="Book Antiqua" w:cs="Book Antiqua"/>
          <w:b/>
          <w:bCs/>
          <w:color w:val="000000"/>
        </w:rPr>
        <w:t>Gao X</w:t>
      </w:r>
      <w:r w:rsidRPr="00C76E19">
        <w:rPr>
          <w:rFonts w:ascii="Book Antiqua" w:eastAsia="Book Antiqua" w:hAnsi="Book Antiqua" w:cs="Book Antiqua"/>
          <w:color w:val="000000"/>
        </w:rPr>
        <w:t xml:space="preserve">, Yang RP, Chen MH, Xiao YL, He Y, Chen BL, Hu PJ. Risk factors for surgery and postoperative recurrence: analysis of a south China cohort with Crohn's disease. </w:t>
      </w:r>
      <w:proofErr w:type="spellStart"/>
      <w:r w:rsidRPr="00C76E19">
        <w:rPr>
          <w:rFonts w:ascii="Book Antiqua" w:eastAsia="Book Antiqua" w:hAnsi="Book Antiqua" w:cs="Book Antiqua"/>
          <w:i/>
          <w:iCs/>
          <w:color w:val="000000"/>
        </w:rPr>
        <w:t>Scand</w:t>
      </w:r>
      <w:proofErr w:type="spellEnd"/>
      <w:r w:rsidRPr="00C76E19">
        <w:rPr>
          <w:rFonts w:ascii="Book Antiqua" w:eastAsia="Book Antiqua" w:hAnsi="Book Antiqua" w:cs="Book Antiqua"/>
          <w:i/>
          <w:iCs/>
          <w:color w:val="000000"/>
        </w:rPr>
        <w:t xml:space="preserve"> J Gastroenterol</w:t>
      </w:r>
      <w:r w:rsidRPr="00C76E19">
        <w:rPr>
          <w:rFonts w:ascii="Book Antiqua" w:eastAsia="Book Antiqua" w:hAnsi="Book Antiqua" w:cs="Book Antiqua"/>
          <w:color w:val="000000"/>
        </w:rPr>
        <w:t xml:space="preserve"> 2012; </w:t>
      </w:r>
      <w:r w:rsidRPr="00C76E19">
        <w:rPr>
          <w:rFonts w:ascii="Book Antiqua" w:eastAsia="Book Antiqua" w:hAnsi="Book Antiqua" w:cs="Book Antiqua"/>
          <w:b/>
          <w:bCs/>
          <w:color w:val="000000"/>
        </w:rPr>
        <w:t>47</w:t>
      </w:r>
      <w:r w:rsidRPr="00C76E19">
        <w:rPr>
          <w:rFonts w:ascii="Book Antiqua" w:eastAsia="Book Antiqua" w:hAnsi="Book Antiqua" w:cs="Book Antiqua"/>
          <w:color w:val="000000"/>
        </w:rPr>
        <w:t>: 1181-1191 [PMID: 22845663 DOI: 10.3109/00365521.2012.668931]</w:t>
      </w:r>
    </w:p>
    <w:p w14:paraId="3394906B" w14:textId="77777777" w:rsidR="00A77B3E" w:rsidRPr="00C76E19" w:rsidRDefault="00CA1127" w:rsidP="00A23AA9">
      <w:pPr>
        <w:spacing w:line="360" w:lineRule="auto"/>
        <w:jc w:val="both"/>
      </w:pPr>
      <w:r w:rsidRPr="00C76E19">
        <w:rPr>
          <w:rFonts w:ascii="Book Antiqua" w:eastAsia="Book Antiqua" w:hAnsi="Book Antiqua" w:cs="Book Antiqua"/>
          <w:color w:val="000000"/>
        </w:rPr>
        <w:t xml:space="preserve">40 </w:t>
      </w:r>
      <w:r w:rsidRPr="00C76E19">
        <w:rPr>
          <w:rFonts w:ascii="Book Antiqua" w:eastAsia="Book Antiqua" w:hAnsi="Book Antiqua" w:cs="Book Antiqua"/>
          <w:b/>
          <w:bCs/>
          <w:color w:val="000000"/>
        </w:rPr>
        <w:t>Song XM</w:t>
      </w:r>
      <w:r w:rsidRPr="00C76E19">
        <w:rPr>
          <w:rFonts w:ascii="Book Antiqua" w:eastAsia="Book Antiqua" w:hAnsi="Book Antiqua" w:cs="Book Antiqua"/>
          <w:color w:val="000000"/>
        </w:rPr>
        <w:t xml:space="preserve">, Gao X, Li MZ, Chen ZH, Chen SC, Hu PJ, He YL, Zhan WH, Chen MH. Clinical features and risk factors for primary surgery in 205 patients with Crohn's disease: analysis of a South China cohort. </w:t>
      </w:r>
      <w:r w:rsidRPr="00C76E19">
        <w:rPr>
          <w:rFonts w:ascii="Book Antiqua" w:eastAsia="Book Antiqua" w:hAnsi="Book Antiqua" w:cs="Book Antiqua"/>
          <w:i/>
          <w:iCs/>
          <w:color w:val="000000"/>
        </w:rPr>
        <w:t>Dis Colon Rectum</w:t>
      </w:r>
      <w:r w:rsidRPr="00C76E19">
        <w:rPr>
          <w:rFonts w:ascii="Book Antiqua" w:eastAsia="Book Antiqua" w:hAnsi="Book Antiqua" w:cs="Book Antiqua"/>
          <w:color w:val="000000"/>
        </w:rPr>
        <w:t xml:space="preserve"> 2011; </w:t>
      </w:r>
      <w:r w:rsidRPr="00C76E19">
        <w:rPr>
          <w:rFonts w:ascii="Book Antiqua" w:eastAsia="Book Antiqua" w:hAnsi="Book Antiqua" w:cs="Book Antiqua"/>
          <w:b/>
          <w:bCs/>
          <w:color w:val="000000"/>
        </w:rPr>
        <w:t>54</w:t>
      </w:r>
      <w:r w:rsidRPr="00C76E19">
        <w:rPr>
          <w:rFonts w:ascii="Book Antiqua" w:eastAsia="Book Antiqua" w:hAnsi="Book Antiqua" w:cs="Book Antiqua"/>
          <w:color w:val="000000"/>
        </w:rPr>
        <w:t>: 1147-1154 [PMID: 21825896 DOI: 10.1097/DCR.0b013e318222ddc3]</w:t>
      </w:r>
    </w:p>
    <w:p w14:paraId="65751F3A" w14:textId="77777777" w:rsidR="00A77B3E" w:rsidRPr="00C76E19" w:rsidRDefault="00A77B3E" w:rsidP="00A23AA9">
      <w:pPr>
        <w:spacing w:line="360" w:lineRule="auto"/>
        <w:jc w:val="both"/>
        <w:sectPr w:rsidR="00A77B3E" w:rsidRPr="00C76E19">
          <w:pgSz w:w="12240" w:h="15840"/>
          <w:pgMar w:top="1440" w:right="1440" w:bottom="1440" w:left="1440" w:header="720" w:footer="720" w:gutter="0"/>
          <w:cols w:space="720"/>
          <w:docGrid w:linePitch="360"/>
        </w:sectPr>
      </w:pPr>
    </w:p>
    <w:p w14:paraId="593BE36A" w14:textId="77777777" w:rsidR="00A77B3E" w:rsidRPr="00A23AA9" w:rsidRDefault="00CA1127" w:rsidP="00A23AA9">
      <w:pPr>
        <w:spacing w:line="360" w:lineRule="auto"/>
        <w:jc w:val="both"/>
      </w:pPr>
      <w:r w:rsidRPr="00C76E19">
        <w:rPr>
          <w:rFonts w:ascii="Book Antiqua" w:eastAsia="Book Antiqua" w:hAnsi="Book Antiqua" w:cs="Book Antiqua"/>
          <w:b/>
          <w:color w:val="000000"/>
        </w:rPr>
        <w:t>Footnotes</w:t>
      </w:r>
    </w:p>
    <w:p w14:paraId="69903033" w14:textId="77777777" w:rsidR="00A77B3E" w:rsidRPr="00C76E19" w:rsidRDefault="00CA1127" w:rsidP="00A23AA9">
      <w:pPr>
        <w:spacing w:line="360" w:lineRule="auto"/>
        <w:jc w:val="both"/>
      </w:pPr>
      <w:r w:rsidRPr="00A23AA9">
        <w:rPr>
          <w:rFonts w:ascii="Book Antiqua" w:eastAsia="Book Antiqua" w:hAnsi="Book Antiqua" w:cs="Book Antiqua"/>
          <w:b/>
          <w:bCs/>
          <w:color w:val="000000"/>
        </w:rPr>
        <w:t xml:space="preserve">Institutional review board statement: </w:t>
      </w:r>
      <w:r w:rsidRPr="00C76E19">
        <w:rPr>
          <w:rFonts w:ascii="Book Antiqua" w:eastAsia="Book Antiqua" w:hAnsi="Book Antiqua" w:cs="Book Antiqua"/>
          <w:color w:val="000000"/>
          <w:shd w:val="clear" w:color="auto" w:fill="FFFFFF"/>
        </w:rPr>
        <w:t>The study was reviewed and approved by the Sir Run Run Shaw Hospital Institutional Review Board.</w:t>
      </w:r>
    </w:p>
    <w:p w14:paraId="5B95F46F" w14:textId="77777777" w:rsidR="00A77B3E" w:rsidRPr="00C76E19" w:rsidRDefault="00A77B3E" w:rsidP="00A23AA9">
      <w:pPr>
        <w:spacing w:line="360" w:lineRule="auto"/>
        <w:jc w:val="both"/>
      </w:pPr>
    </w:p>
    <w:p w14:paraId="22CF3359" w14:textId="77777777" w:rsidR="00A77B3E" w:rsidRPr="00C76E19" w:rsidRDefault="00CA1127" w:rsidP="00A23AA9">
      <w:pPr>
        <w:spacing w:line="360" w:lineRule="auto"/>
        <w:jc w:val="both"/>
      </w:pPr>
      <w:r w:rsidRPr="00C76E19">
        <w:rPr>
          <w:rFonts w:ascii="Book Antiqua" w:eastAsia="Book Antiqua" w:hAnsi="Book Antiqua" w:cs="Book Antiqua"/>
          <w:b/>
          <w:bCs/>
          <w:color w:val="000000"/>
        </w:rPr>
        <w:t xml:space="preserve">Conflict-of-interest statement: </w:t>
      </w:r>
      <w:r w:rsidRPr="00C76E19">
        <w:rPr>
          <w:rFonts w:ascii="Book Antiqua" w:eastAsia="Book Antiqua" w:hAnsi="Book Antiqua" w:cs="Book Antiqua"/>
          <w:color w:val="000000"/>
        </w:rPr>
        <w:t>Chen Y and Chen WD are employed by a consulting firm that receives industry funds to conduct health economics and outcome research. Other authors have none to declare. </w:t>
      </w:r>
    </w:p>
    <w:p w14:paraId="01F19BD4" w14:textId="77777777" w:rsidR="00A77B3E" w:rsidRPr="00C76E19" w:rsidRDefault="00A77B3E" w:rsidP="00A23AA9">
      <w:pPr>
        <w:spacing w:line="360" w:lineRule="auto"/>
        <w:jc w:val="both"/>
      </w:pPr>
    </w:p>
    <w:p w14:paraId="2CF3B3DD" w14:textId="11648F43" w:rsidR="00A77B3E" w:rsidRPr="00C76E19" w:rsidRDefault="00CA1127" w:rsidP="00A23AA9">
      <w:pPr>
        <w:spacing w:line="360" w:lineRule="auto"/>
        <w:jc w:val="both"/>
      </w:pPr>
      <w:r w:rsidRPr="00C76E19">
        <w:rPr>
          <w:rFonts w:ascii="Book Antiqua" w:eastAsia="Book Antiqua" w:hAnsi="Book Antiqua" w:cs="Book Antiqua"/>
          <w:b/>
          <w:bCs/>
          <w:color w:val="000000"/>
        </w:rPr>
        <w:t xml:space="preserve">Data sharing statement: </w:t>
      </w:r>
      <w:r w:rsidRPr="00C76E19">
        <w:rPr>
          <w:rFonts w:ascii="Book Antiqua" w:eastAsia="Book Antiqua" w:hAnsi="Book Antiqua" w:cs="Book Antiqua"/>
          <w:color w:val="000000"/>
          <w:shd w:val="clear" w:color="auto" w:fill="FFFFFF"/>
        </w:rPr>
        <w:t xml:space="preserve">Technical appendix, statistical code, and dataset available from the corresponding author at </w:t>
      </w:r>
      <w:r w:rsidR="007A464A" w:rsidRPr="00AE2A93">
        <w:rPr>
          <w:rFonts w:ascii="Book Antiqua" w:eastAsia="Book Antiqua" w:hAnsi="Book Antiqua" w:cs="Book Antiqua"/>
          <w:color w:val="000000"/>
          <w:shd w:val="clear" w:color="auto" w:fill="FFFFFF"/>
        </w:rPr>
        <w:t>caoq@zju.edu.cn</w:t>
      </w:r>
      <w:r w:rsidRPr="00C76E19">
        <w:rPr>
          <w:rFonts w:ascii="Book Antiqua" w:eastAsia="Book Antiqua" w:hAnsi="Book Antiqua" w:cs="Book Antiqua"/>
          <w:color w:val="000000"/>
          <w:shd w:val="clear" w:color="auto" w:fill="FFFFFF"/>
        </w:rPr>
        <w:t>. </w:t>
      </w:r>
    </w:p>
    <w:p w14:paraId="1C47E055" w14:textId="77777777" w:rsidR="00A77B3E" w:rsidRPr="00C76E19" w:rsidRDefault="00A77B3E" w:rsidP="00A23AA9">
      <w:pPr>
        <w:spacing w:line="360" w:lineRule="auto"/>
        <w:jc w:val="both"/>
      </w:pPr>
    </w:p>
    <w:p w14:paraId="0C75EC75" w14:textId="6CAA4990" w:rsidR="00A77B3E" w:rsidRPr="00C76E19" w:rsidRDefault="00CA1127" w:rsidP="00A23AA9">
      <w:pPr>
        <w:spacing w:line="360" w:lineRule="auto"/>
        <w:jc w:val="both"/>
      </w:pPr>
      <w:r w:rsidRPr="00C76E19">
        <w:rPr>
          <w:rFonts w:ascii="Book Antiqua" w:eastAsia="Book Antiqua" w:hAnsi="Book Antiqua" w:cs="Book Antiqua"/>
          <w:b/>
          <w:bCs/>
          <w:color w:val="000000"/>
        </w:rPr>
        <w:t xml:space="preserve">STROBE statement: </w:t>
      </w:r>
      <w:r w:rsidRPr="00C76E19">
        <w:rPr>
          <w:rFonts w:ascii="Book Antiqua" w:eastAsia="Book Antiqua" w:hAnsi="Book Antiqua" w:cs="Book Antiqua"/>
          <w:color w:val="000000"/>
          <w:shd w:val="clear" w:color="auto" w:fill="FFFFFF"/>
        </w:rPr>
        <w:t>The authors have read the STROBE Statement</w:t>
      </w:r>
      <w:r w:rsidR="007A464A" w:rsidRPr="00C76E19">
        <w:rPr>
          <w:rFonts w:ascii="Book Antiqua" w:eastAsia="Book Antiqua" w:hAnsi="Book Antiqua" w:cs="Book Antiqua"/>
          <w:color w:val="000000"/>
          <w:shd w:val="clear" w:color="auto" w:fill="FFFFFF"/>
        </w:rPr>
        <w:t>-</w:t>
      </w:r>
      <w:r w:rsidRPr="00C76E19">
        <w:rPr>
          <w:rFonts w:ascii="Book Antiqua" w:eastAsia="Book Antiqua" w:hAnsi="Book Antiqua" w:cs="Book Antiqua"/>
          <w:color w:val="000000"/>
          <w:shd w:val="clear" w:color="auto" w:fill="FFFFFF"/>
        </w:rPr>
        <w:t>checklist of items, and the manuscript was prepared and revised according to the STROBE Statement</w:t>
      </w:r>
      <w:r w:rsidR="007A464A" w:rsidRPr="00C76E19">
        <w:rPr>
          <w:rFonts w:ascii="Book Antiqua" w:eastAsia="Book Antiqua" w:hAnsi="Book Antiqua" w:cs="Book Antiqua"/>
          <w:color w:val="000000"/>
          <w:shd w:val="clear" w:color="auto" w:fill="FFFFFF"/>
        </w:rPr>
        <w:t>-</w:t>
      </w:r>
      <w:r w:rsidRPr="00C76E19">
        <w:rPr>
          <w:rFonts w:ascii="Book Antiqua" w:eastAsia="Book Antiqua" w:hAnsi="Book Antiqua" w:cs="Book Antiqua"/>
          <w:color w:val="000000"/>
          <w:shd w:val="clear" w:color="auto" w:fill="FFFFFF"/>
        </w:rPr>
        <w:t>checklist of items.</w:t>
      </w:r>
    </w:p>
    <w:p w14:paraId="22FCF43C" w14:textId="77777777" w:rsidR="00A77B3E" w:rsidRPr="00C76E19" w:rsidRDefault="00A77B3E" w:rsidP="00A23AA9">
      <w:pPr>
        <w:spacing w:line="360" w:lineRule="auto"/>
        <w:jc w:val="both"/>
      </w:pPr>
    </w:p>
    <w:p w14:paraId="5D327052" w14:textId="77777777" w:rsidR="00A77B3E" w:rsidRPr="00C76E19" w:rsidRDefault="00CA1127" w:rsidP="00A23AA9">
      <w:pPr>
        <w:spacing w:line="360" w:lineRule="auto"/>
        <w:jc w:val="both"/>
      </w:pPr>
      <w:r w:rsidRPr="00C76E19">
        <w:rPr>
          <w:rFonts w:ascii="Book Antiqua" w:eastAsia="Book Antiqua" w:hAnsi="Book Antiqua" w:cs="Book Antiqua"/>
          <w:b/>
          <w:bCs/>
          <w:color w:val="000000"/>
        </w:rPr>
        <w:t xml:space="preserve">Open-Access: </w:t>
      </w:r>
      <w:r w:rsidRPr="00C76E1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0BE169" w14:textId="77777777" w:rsidR="00A77B3E" w:rsidRPr="00C76E19" w:rsidRDefault="00A77B3E" w:rsidP="00A23AA9">
      <w:pPr>
        <w:spacing w:line="360" w:lineRule="auto"/>
        <w:jc w:val="both"/>
      </w:pPr>
    </w:p>
    <w:p w14:paraId="29D3815E" w14:textId="442D5B91" w:rsidR="00A77B3E" w:rsidRPr="00C76E19" w:rsidRDefault="00CA1127" w:rsidP="00A23AA9">
      <w:pPr>
        <w:spacing w:line="360" w:lineRule="auto"/>
        <w:jc w:val="both"/>
      </w:pPr>
      <w:r w:rsidRPr="00C76E19">
        <w:rPr>
          <w:rFonts w:ascii="Book Antiqua" w:eastAsia="Book Antiqua" w:hAnsi="Book Antiqua" w:cs="Book Antiqua"/>
          <w:b/>
          <w:color w:val="000000"/>
        </w:rPr>
        <w:t xml:space="preserve">Manuscript source: </w:t>
      </w:r>
      <w:r w:rsidRPr="00C76E19">
        <w:rPr>
          <w:rFonts w:ascii="Book Antiqua" w:eastAsia="Book Antiqua" w:hAnsi="Book Antiqua" w:cs="Book Antiqua"/>
          <w:color w:val="000000"/>
        </w:rPr>
        <w:t>Unsolicited</w:t>
      </w:r>
      <w:r w:rsidR="00A5089C" w:rsidRPr="00C76E19">
        <w:rPr>
          <w:rFonts w:ascii="Book Antiqua" w:eastAsia="Book Antiqua" w:hAnsi="Book Antiqua" w:cs="Book Antiqua"/>
          <w:color w:val="000000"/>
        </w:rPr>
        <w:t xml:space="preserve"> ma</w:t>
      </w:r>
      <w:r w:rsidRPr="00C76E19">
        <w:rPr>
          <w:rFonts w:ascii="Book Antiqua" w:eastAsia="Book Antiqua" w:hAnsi="Book Antiqua" w:cs="Book Antiqua"/>
          <w:color w:val="000000"/>
        </w:rPr>
        <w:t>nuscript</w:t>
      </w:r>
    </w:p>
    <w:p w14:paraId="3216AF51" w14:textId="77777777" w:rsidR="00A77B3E" w:rsidRPr="00C76E19" w:rsidRDefault="00A77B3E" w:rsidP="00A23AA9">
      <w:pPr>
        <w:spacing w:line="360" w:lineRule="auto"/>
        <w:jc w:val="both"/>
      </w:pPr>
    </w:p>
    <w:p w14:paraId="2B508ACC" w14:textId="77777777" w:rsidR="00A77B3E" w:rsidRPr="00C76E19" w:rsidRDefault="00CA1127" w:rsidP="00A23AA9">
      <w:pPr>
        <w:spacing w:line="360" w:lineRule="auto"/>
        <w:jc w:val="both"/>
      </w:pPr>
      <w:r w:rsidRPr="00C76E19">
        <w:rPr>
          <w:rFonts w:ascii="Book Antiqua" w:eastAsia="Book Antiqua" w:hAnsi="Book Antiqua" w:cs="Book Antiqua"/>
          <w:b/>
          <w:color w:val="000000"/>
        </w:rPr>
        <w:t xml:space="preserve">Peer-review started: </w:t>
      </w:r>
      <w:r w:rsidRPr="00C76E19">
        <w:rPr>
          <w:rFonts w:ascii="Book Antiqua" w:eastAsia="Book Antiqua" w:hAnsi="Book Antiqua" w:cs="Book Antiqua"/>
          <w:color w:val="000000"/>
        </w:rPr>
        <w:t>July 2, 2020</w:t>
      </w:r>
    </w:p>
    <w:p w14:paraId="4BE97BD1" w14:textId="77777777" w:rsidR="00A77B3E" w:rsidRPr="00C76E19" w:rsidRDefault="00CA1127" w:rsidP="00A23AA9">
      <w:pPr>
        <w:spacing w:line="360" w:lineRule="auto"/>
        <w:jc w:val="both"/>
      </w:pPr>
      <w:r w:rsidRPr="00C76E19">
        <w:rPr>
          <w:rFonts w:ascii="Book Antiqua" w:eastAsia="Book Antiqua" w:hAnsi="Book Antiqua" w:cs="Book Antiqua"/>
          <w:b/>
          <w:color w:val="000000"/>
        </w:rPr>
        <w:t xml:space="preserve">First decision: </w:t>
      </w:r>
      <w:r w:rsidRPr="00C76E19">
        <w:rPr>
          <w:rFonts w:ascii="Book Antiqua" w:eastAsia="Book Antiqua" w:hAnsi="Book Antiqua" w:cs="Book Antiqua"/>
          <w:color w:val="000000"/>
        </w:rPr>
        <w:t>July 28, 2020</w:t>
      </w:r>
    </w:p>
    <w:p w14:paraId="573FD43F" w14:textId="77777777" w:rsidR="00A77B3E" w:rsidRPr="00C76E19" w:rsidRDefault="00CA1127" w:rsidP="00A23AA9">
      <w:pPr>
        <w:spacing w:line="360" w:lineRule="auto"/>
        <w:jc w:val="both"/>
      </w:pPr>
      <w:r w:rsidRPr="00C76E19">
        <w:rPr>
          <w:rFonts w:ascii="Book Antiqua" w:eastAsia="Book Antiqua" w:hAnsi="Book Antiqua" w:cs="Book Antiqua"/>
          <w:b/>
          <w:color w:val="000000"/>
        </w:rPr>
        <w:t xml:space="preserve">Article in press: </w:t>
      </w:r>
    </w:p>
    <w:p w14:paraId="46BE4E20" w14:textId="77777777" w:rsidR="00A77B3E" w:rsidRPr="00C76E19" w:rsidRDefault="00A77B3E" w:rsidP="00A23AA9">
      <w:pPr>
        <w:spacing w:line="360" w:lineRule="auto"/>
        <w:jc w:val="both"/>
      </w:pPr>
    </w:p>
    <w:p w14:paraId="0DC80848" w14:textId="03623A63" w:rsidR="00A77B3E" w:rsidRPr="00C76E19" w:rsidRDefault="00CA1127" w:rsidP="00A23AA9">
      <w:pPr>
        <w:spacing w:line="360" w:lineRule="auto"/>
        <w:jc w:val="both"/>
      </w:pPr>
      <w:r w:rsidRPr="00C76E19">
        <w:rPr>
          <w:rFonts w:ascii="Book Antiqua" w:eastAsia="Book Antiqua" w:hAnsi="Book Antiqua" w:cs="Book Antiqua"/>
          <w:b/>
          <w:color w:val="000000"/>
        </w:rPr>
        <w:t xml:space="preserve">Specialty type: </w:t>
      </w:r>
      <w:r w:rsidRPr="00C76E19">
        <w:rPr>
          <w:rFonts w:ascii="Book Antiqua" w:eastAsia="Book Antiqua" w:hAnsi="Book Antiqua" w:cs="Book Antiqua"/>
          <w:color w:val="000000"/>
        </w:rPr>
        <w:t xml:space="preserve">Gastroenterology and </w:t>
      </w:r>
      <w:r w:rsidR="00A5089C" w:rsidRPr="00C76E19">
        <w:rPr>
          <w:rFonts w:ascii="Book Antiqua" w:eastAsia="Book Antiqua" w:hAnsi="Book Antiqua" w:cs="Book Antiqua"/>
          <w:color w:val="000000"/>
        </w:rPr>
        <w:t>he</w:t>
      </w:r>
      <w:r w:rsidRPr="00C76E19">
        <w:rPr>
          <w:rFonts w:ascii="Book Antiqua" w:eastAsia="Book Antiqua" w:hAnsi="Book Antiqua" w:cs="Book Antiqua"/>
          <w:color w:val="000000"/>
        </w:rPr>
        <w:t>patology</w:t>
      </w:r>
    </w:p>
    <w:p w14:paraId="4DF25FC9" w14:textId="77777777" w:rsidR="00A77B3E" w:rsidRPr="00C76E19" w:rsidRDefault="00CA1127" w:rsidP="00A23AA9">
      <w:pPr>
        <w:spacing w:line="360" w:lineRule="auto"/>
        <w:jc w:val="both"/>
      </w:pPr>
      <w:r w:rsidRPr="00C76E19">
        <w:rPr>
          <w:rFonts w:ascii="Book Antiqua" w:eastAsia="Book Antiqua" w:hAnsi="Book Antiqua" w:cs="Book Antiqua"/>
          <w:b/>
          <w:color w:val="000000"/>
        </w:rPr>
        <w:t xml:space="preserve">Country/Territory of origin: </w:t>
      </w:r>
      <w:r w:rsidRPr="00C76E19">
        <w:rPr>
          <w:rFonts w:ascii="Book Antiqua" w:eastAsia="Book Antiqua" w:hAnsi="Book Antiqua" w:cs="Book Antiqua"/>
          <w:color w:val="000000"/>
        </w:rPr>
        <w:t>China</w:t>
      </w:r>
    </w:p>
    <w:p w14:paraId="6651939C" w14:textId="77777777" w:rsidR="00A77B3E" w:rsidRPr="00C76E19" w:rsidRDefault="00CA1127" w:rsidP="00A23AA9">
      <w:pPr>
        <w:spacing w:line="360" w:lineRule="auto"/>
        <w:jc w:val="both"/>
      </w:pPr>
      <w:r w:rsidRPr="00C76E19">
        <w:rPr>
          <w:rFonts w:ascii="Book Antiqua" w:eastAsia="Book Antiqua" w:hAnsi="Book Antiqua" w:cs="Book Antiqua"/>
          <w:b/>
          <w:color w:val="000000"/>
        </w:rPr>
        <w:t>Peer-review report’s scientific quality classification</w:t>
      </w:r>
    </w:p>
    <w:p w14:paraId="6298AF98" w14:textId="77777777" w:rsidR="00A77B3E" w:rsidRPr="00C76E19" w:rsidRDefault="00CA1127" w:rsidP="00A23AA9">
      <w:pPr>
        <w:spacing w:line="360" w:lineRule="auto"/>
        <w:jc w:val="both"/>
      </w:pPr>
      <w:r w:rsidRPr="00C76E19">
        <w:rPr>
          <w:rFonts w:ascii="Book Antiqua" w:eastAsia="Book Antiqua" w:hAnsi="Book Antiqua" w:cs="Book Antiqua"/>
          <w:color w:val="000000"/>
        </w:rPr>
        <w:t>Grade A (Excellent): 0</w:t>
      </w:r>
    </w:p>
    <w:p w14:paraId="169557F4" w14:textId="77777777" w:rsidR="00A77B3E" w:rsidRPr="00C76E19" w:rsidRDefault="00CA1127" w:rsidP="00A23AA9">
      <w:pPr>
        <w:spacing w:line="360" w:lineRule="auto"/>
        <w:jc w:val="both"/>
      </w:pPr>
      <w:r w:rsidRPr="00C76E19">
        <w:rPr>
          <w:rFonts w:ascii="Book Antiqua" w:eastAsia="Book Antiqua" w:hAnsi="Book Antiqua" w:cs="Book Antiqua"/>
          <w:color w:val="000000"/>
        </w:rPr>
        <w:t>Grade B (Very good): 0</w:t>
      </w:r>
    </w:p>
    <w:p w14:paraId="7A5BD72C" w14:textId="77777777" w:rsidR="00A77B3E" w:rsidRPr="00C76E19" w:rsidRDefault="00CA1127" w:rsidP="00A23AA9">
      <w:pPr>
        <w:spacing w:line="360" w:lineRule="auto"/>
        <w:jc w:val="both"/>
      </w:pPr>
      <w:r w:rsidRPr="00C76E19">
        <w:rPr>
          <w:rFonts w:ascii="Book Antiqua" w:eastAsia="Book Antiqua" w:hAnsi="Book Antiqua" w:cs="Book Antiqua"/>
          <w:color w:val="000000"/>
        </w:rPr>
        <w:t>Grade C (Good): C</w:t>
      </w:r>
    </w:p>
    <w:p w14:paraId="305AA148" w14:textId="77777777" w:rsidR="00A77B3E" w:rsidRPr="00C76E19" w:rsidRDefault="00CA1127" w:rsidP="00A23AA9">
      <w:pPr>
        <w:spacing w:line="360" w:lineRule="auto"/>
        <w:jc w:val="both"/>
      </w:pPr>
      <w:r w:rsidRPr="00C76E19">
        <w:rPr>
          <w:rFonts w:ascii="Book Antiqua" w:eastAsia="Book Antiqua" w:hAnsi="Book Antiqua" w:cs="Book Antiqua"/>
          <w:color w:val="000000"/>
        </w:rPr>
        <w:t>Grade D (Fair): 0</w:t>
      </w:r>
    </w:p>
    <w:p w14:paraId="1FEA0905" w14:textId="77777777" w:rsidR="00A77B3E" w:rsidRPr="00C76E19" w:rsidRDefault="00CA1127" w:rsidP="00A23AA9">
      <w:pPr>
        <w:spacing w:line="360" w:lineRule="auto"/>
        <w:jc w:val="both"/>
      </w:pPr>
      <w:r w:rsidRPr="00C76E19">
        <w:rPr>
          <w:rFonts w:ascii="Book Antiqua" w:eastAsia="Book Antiqua" w:hAnsi="Book Antiqua" w:cs="Book Antiqua"/>
          <w:color w:val="000000"/>
        </w:rPr>
        <w:t>Grade E (Poor): 0</w:t>
      </w:r>
    </w:p>
    <w:p w14:paraId="7068D1B1" w14:textId="77777777" w:rsidR="00A77B3E" w:rsidRPr="00C76E19" w:rsidRDefault="00A77B3E" w:rsidP="00A23AA9">
      <w:pPr>
        <w:spacing w:line="360" w:lineRule="auto"/>
        <w:jc w:val="both"/>
      </w:pPr>
    </w:p>
    <w:p w14:paraId="00415B15" w14:textId="0B6277F8" w:rsidR="00A77B3E" w:rsidRPr="00C76E19" w:rsidRDefault="00CA1127" w:rsidP="00A23AA9">
      <w:pPr>
        <w:spacing w:line="360" w:lineRule="auto"/>
        <w:jc w:val="both"/>
        <w:sectPr w:rsidR="00A77B3E" w:rsidRPr="00C76E19">
          <w:pgSz w:w="12240" w:h="15840"/>
          <w:pgMar w:top="1440" w:right="1440" w:bottom="1440" w:left="1440" w:header="720" w:footer="720" w:gutter="0"/>
          <w:cols w:space="720"/>
          <w:docGrid w:linePitch="360"/>
        </w:sectPr>
      </w:pPr>
      <w:r w:rsidRPr="00C76E19">
        <w:rPr>
          <w:rFonts w:ascii="Book Antiqua" w:eastAsia="Book Antiqua" w:hAnsi="Book Antiqua" w:cs="Book Antiqua"/>
          <w:b/>
          <w:color w:val="000000"/>
        </w:rPr>
        <w:t xml:space="preserve">P-Reviewer: </w:t>
      </w:r>
      <w:r w:rsidRPr="00C76E19">
        <w:rPr>
          <w:rFonts w:ascii="Book Antiqua" w:eastAsia="Book Antiqua" w:hAnsi="Book Antiqua" w:cs="Book Antiqua"/>
          <w:color w:val="000000"/>
        </w:rPr>
        <w:t>Hansson-Hedblom A</w:t>
      </w:r>
      <w:r w:rsidRPr="00C76E19">
        <w:rPr>
          <w:rFonts w:ascii="Book Antiqua" w:eastAsia="Book Antiqua" w:hAnsi="Book Antiqua" w:cs="Book Antiqua"/>
          <w:b/>
          <w:color w:val="000000"/>
        </w:rPr>
        <w:t xml:space="preserve"> S-Editor: </w:t>
      </w:r>
      <w:r w:rsidRPr="00C76E19">
        <w:rPr>
          <w:rFonts w:ascii="Book Antiqua" w:eastAsia="Book Antiqua" w:hAnsi="Book Antiqua" w:cs="Book Antiqua"/>
          <w:color w:val="000000"/>
        </w:rPr>
        <w:t>Gao CC</w:t>
      </w:r>
      <w:r w:rsidRPr="00C76E19">
        <w:rPr>
          <w:rFonts w:ascii="Book Antiqua" w:eastAsia="Book Antiqua" w:hAnsi="Book Antiqua" w:cs="Book Antiqua"/>
          <w:b/>
          <w:color w:val="000000"/>
        </w:rPr>
        <w:t xml:space="preserve"> L-Editor: </w:t>
      </w:r>
      <w:r w:rsidR="00A857A5" w:rsidRPr="00C76E19">
        <w:rPr>
          <w:rFonts w:ascii="Book Antiqua" w:eastAsia="Book Antiqua" w:hAnsi="Book Antiqua" w:cs="Book Antiqua"/>
          <w:bCs/>
          <w:color w:val="000000"/>
        </w:rPr>
        <w:t>Filipodia</w:t>
      </w:r>
      <w:r w:rsidRPr="00C76E19">
        <w:rPr>
          <w:rFonts w:ascii="Book Antiqua" w:eastAsia="Book Antiqua" w:hAnsi="Book Antiqua" w:cs="Book Antiqua"/>
          <w:b/>
          <w:color w:val="000000"/>
        </w:rPr>
        <w:t xml:space="preserve"> P-Editor: </w:t>
      </w:r>
    </w:p>
    <w:p w14:paraId="664FD7C5" w14:textId="5A0819D5" w:rsidR="00A77B3E" w:rsidRPr="00A23AA9" w:rsidRDefault="00CA1127" w:rsidP="00A23AA9">
      <w:pPr>
        <w:spacing w:line="360" w:lineRule="auto"/>
        <w:jc w:val="both"/>
        <w:rPr>
          <w:rFonts w:ascii="Book Antiqua" w:eastAsia="Book Antiqua" w:hAnsi="Book Antiqua" w:cs="Book Antiqua"/>
          <w:b/>
          <w:color w:val="000000"/>
        </w:rPr>
      </w:pPr>
      <w:r w:rsidRPr="00C76E19">
        <w:rPr>
          <w:rFonts w:ascii="Book Antiqua" w:eastAsia="Book Antiqua" w:hAnsi="Book Antiqua" w:cs="Book Antiqua"/>
          <w:b/>
          <w:color w:val="000000"/>
        </w:rPr>
        <w:t>Figure Legends</w:t>
      </w:r>
    </w:p>
    <w:p w14:paraId="03D3E29D" w14:textId="622F4812" w:rsidR="007A464A" w:rsidRPr="00C76E19" w:rsidRDefault="007A464A" w:rsidP="00A23AA9">
      <w:pPr>
        <w:spacing w:line="360" w:lineRule="auto"/>
        <w:jc w:val="both"/>
      </w:pPr>
      <w:r w:rsidRPr="00AE2A93">
        <w:rPr>
          <w:noProof/>
          <w:lang w:eastAsia="zh-CN"/>
        </w:rPr>
        <w:drawing>
          <wp:inline distT="0" distB="0" distL="0" distR="0" wp14:anchorId="125D6453" wp14:editId="3EFEA719">
            <wp:extent cx="5992165" cy="23087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5770" cy="2321652"/>
                    </a:xfrm>
                    <a:prstGeom prst="rect">
                      <a:avLst/>
                    </a:prstGeom>
                    <a:noFill/>
                  </pic:spPr>
                </pic:pic>
              </a:graphicData>
            </a:graphic>
          </wp:inline>
        </w:drawing>
      </w:r>
    </w:p>
    <w:p w14:paraId="201581AD" w14:textId="0A6A5BDD" w:rsidR="007A464A" w:rsidRPr="00C76E19" w:rsidRDefault="00CA1127" w:rsidP="00A23AA9">
      <w:pPr>
        <w:spacing w:line="360" w:lineRule="auto"/>
        <w:jc w:val="both"/>
        <w:rPr>
          <w:rFonts w:ascii="Book Antiqua" w:eastAsia="Book Antiqua" w:hAnsi="Book Antiqua" w:cs="Book Antiqua"/>
          <w:color w:val="000000"/>
        </w:rPr>
      </w:pPr>
      <w:r w:rsidRPr="00C76E19">
        <w:rPr>
          <w:rFonts w:ascii="Book Antiqua" w:eastAsia="Book Antiqua" w:hAnsi="Book Antiqua" w:cs="Book Antiqua"/>
          <w:b/>
          <w:bCs/>
          <w:color w:val="000000"/>
        </w:rPr>
        <w:t>F</w:t>
      </w:r>
      <w:r w:rsidR="007A464A" w:rsidRPr="00C76E19">
        <w:rPr>
          <w:rFonts w:ascii="Book Antiqua" w:eastAsia="Book Antiqua" w:hAnsi="Book Antiqua" w:cs="Book Antiqua"/>
          <w:b/>
          <w:bCs/>
          <w:color w:val="000000"/>
        </w:rPr>
        <w:t>igure</w:t>
      </w:r>
      <w:r w:rsidRPr="00C76E19">
        <w:rPr>
          <w:rFonts w:ascii="Book Antiqua" w:eastAsia="Book Antiqua" w:hAnsi="Book Antiqua" w:cs="Book Antiqua"/>
          <w:b/>
          <w:bCs/>
          <w:color w:val="000000"/>
        </w:rPr>
        <w:t xml:space="preserve"> 1 </w:t>
      </w:r>
      <w:r w:rsidR="00C76E19">
        <w:rPr>
          <w:rFonts w:ascii="Book Antiqua" w:eastAsia="Book Antiqua" w:hAnsi="Book Antiqua" w:cs="Book Antiqua"/>
          <w:b/>
          <w:bCs/>
          <w:color w:val="000000"/>
        </w:rPr>
        <w:t>S</w:t>
      </w:r>
      <w:r w:rsidRPr="00C76E19">
        <w:rPr>
          <w:rFonts w:ascii="Book Antiqua" w:eastAsia="Book Antiqua" w:hAnsi="Book Antiqua" w:cs="Book Antiqua"/>
          <w:b/>
          <w:bCs/>
          <w:color w:val="000000"/>
        </w:rPr>
        <w:t xml:space="preserve">tructure of </w:t>
      </w:r>
      <w:r w:rsidR="00C76E19">
        <w:rPr>
          <w:rFonts w:ascii="Book Antiqua" w:eastAsia="Book Antiqua" w:hAnsi="Book Antiqua" w:cs="Book Antiqua"/>
          <w:b/>
          <w:bCs/>
          <w:color w:val="000000"/>
        </w:rPr>
        <w:t xml:space="preserve">the </w:t>
      </w:r>
      <w:r w:rsidRPr="00C76E19">
        <w:rPr>
          <w:rFonts w:ascii="Book Antiqua" w:eastAsia="Book Antiqua" w:hAnsi="Book Antiqua" w:cs="Book Antiqua"/>
          <w:b/>
          <w:bCs/>
          <w:color w:val="000000"/>
        </w:rPr>
        <w:t xml:space="preserve">decision analytic model assessing the cost-effectiveness of </w:t>
      </w:r>
      <w:r w:rsidR="007A464A" w:rsidRPr="00A23AA9">
        <w:rPr>
          <w:rFonts w:ascii="Book Antiqua" w:eastAsia="Book Antiqua" w:hAnsi="Book Antiqua" w:cs="Book Antiqua"/>
          <w:b/>
          <w:bCs/>
          <w:color w:val="000000"/>
        </w:rPr>
        <w:t>infliximab maintenance therapy</w:t>
      </w:r>
      <w:r w:rsidRPr="00A23AA9">
        <w:rPr>
          <w:rFonts w:ascii="Book Antiqua" w:eastAsia="Book Antiqua" w:hAnsi="Book Antiqua" w:cs="Book Antiqua"/>
          <w:b/>
          <w:bCs/>
          <w:color w:val="000000"/>
        </w:rPr>
        <w:t xml:space="preserve"> relative to </w:t>
      </w:r>
      <w:r w:rsidR="007A464A" w:rsidRPr="00A23AA9">
        <w:rPr>
          <w:rFonts w:ascii="Book Antiqua" w:eastAsia="Book Antiqua" w:hAnsi="Book Antiqua" w:cs="Book Antiqua"/>
          <w:b/>
          <w:bCs/>
          <w:color w:val="000000"/>
        </w:rPr>
        <w:t>conventional maintenance therapy</w:t>
      </w:r>
      <w:r w:rsidRPr="00C76E19">
        <w:rPr>
          <w:rFonts w:ascii="Book Antiqua" w:eastAsia="Book Antiqua" w:hAnsi="Book Antiqua" w:cs="Book Antiqua"/>
          <w:b/>
          <w:bCs/>
          <w:color w:val="000000"/>
        </w:rPr>
        <w:t xml:space="preserve"> for </w:t>
      </w:r>
      <w:r w:rsidR="007A464A" w:rsidRPr="00C76E19">
        <w:rPr>
          <w:rFonts w:ascii="Book Antiqua" w:eastAsia="Book Antiqua" w:hAnsi="Book Antiqua" w:cs="Book Antiqua"/>
          <w:b/>
          <w:bCs/>
          <w:color w:val="000000"/>
        </w:rPr>
        <w:t>moderate to severe Crohn’s disease</w:t>
      </w:r>
      <w:r w:rsidRPr="00C76E19">
        <w:rPr>
          <w:rFonts w:ascii="Book Antiqua" w:eastAsia="Book Antiqua" w:hAnsi="Book Antiqua" w:cs="Book Antiqua"/>
          <w:b/>
          <w:bCs/>
          <w:color w:val="000000"/>
        </w:rPr>
        <w:t xml:space="preserve"> in China</w:t>
      </w:r>
      <w:r w:rsidR="007A464A" w:rsidRPr="00C76E19">
        <w:rPr>
          <w:rFonts w:ascii="Book Antiqua" w:eastAsia="Book Antiqua" w:hAnsi="Book Antiqua" w:cs="Book Antiqua"/>
          <w:b/>
          <w:bCs/>
          <w:color w:val="000000"/>
        </w:rPr>
        <w:t>.</w:t>
      </w:r>
      <w:r w:rsidRPr="00C76E19">
        <w:rPr>
          <w:rFonts w:ascii="Book Antiqua" w:eastAsia="Book Antiqua" w:hAnsi="Book Antiqua" w:cs="Book Antiqua"/>
          <w:color w:val="000000"/>
        </w:rPr>
        <w:t xml:space="preserve"> </w:t>
      </w:r>
      <w:r w:rsidR="00C76E19" w:rsidRPr="00842F88">
        <w:rPr>
          <w:rFonts w:ascii="Book Antiqua" w:eastAsia="Book Antiqua" w:hAnsi="Book Antiqua" w:cs="Book Antiqua"/>
          <w:color w:val="000000"/>
        </w:rPr>
        <w:t>CMT: Conventional maintenance therapy</w:t>
      </w:r>
      <w:r w:rsidR="00C76E19">
        <w:rPr>
          <w:rFonts w:ascii="Book Antiqua" w:eastAsia="Book Antiqua" w:hAnsi="Book Antiqua" w:cs="Book Antiqua"/>
          <w:color w:val="000000"/>
        </w:rPr>
        <w:t>;</w:t>
      </w:r>
      <w:r w:rsidR="00C76E19" w:rsidRPr="00C76E19">
        <w:rPr>
          <w:rFonts w:ascii="Book Antiqua" w:eastAsia="Book Antiqua" w:hAnsi="Book Antiqua" w:cs="Book Antiqua"/>
          <w:color w:val="000000"/>
        </w:rPr>
        <w:t xml:space="preserve"> </w:t>
      </w:r>
      <w:r w:rsidR="00C76E19" w:rsidRPr="00B013DF">
        <w:rPr>
          <w:rFonts w:ascii="Book Antiqua" w:eastAsia="Book Antiqua" w:hAnsi="Book Antiqua" w:cs="Book Antiqua"/>
          <w:color w:val="000000"/>
        </w:rPr>
        <w:t>IMT: Infliximab maintenance therapy</w:t>
      </w:r>
      <w:r w:rsidR="00C76E19">
        <w:rPr>
          <w:rFonts w:ascii="Book Antiqua" w:eastAsia="Book Antiqua" w:hAnsi="Book Antiqua" w:cs="Book Antiqua"/>
          <w:color w:val="000000"/>
        </w:rPr>
        <w:t>;</w:t>
      </w:r>
      <w:r w:rsidR="00C76E19" w:rsidRPr="00C76E19">
        <w:rPr>
          <w:rFonts w:ascii="Book Antiqua" w:eastAsia="Book Antiqua" w:hAnsi="Book Antiqua" w:cs="Book Antiqua"/>
          <w:color w:val="000000"/>
        </w:rPr>
        <w:t xml:space="preserve"> </w:t>
      </w:r>
      <w:r w:rsidRPr="00C76E19">
        <w:rPr>
          <w:rFonts w:ascii="Book Antiqua" w:eastAsia="Book Antiqua" w:hAnsi="Book Antiqua" w:cs="Book Antiqua"/>
          <w:color w:val="000000"/>
        </w:rPr>
        <w:t xml:space="preserve">MS-CD: </w:t>
      </w:r>
      <w:r w:rsidR="007A464A" w:rsidRPr="00C76E19">
        <w:rPr>
          <w:rFonts w:ascii="Book Antiqua" w:eastAsia="Book Antiqua" w:hAnsi="Book Antiqua" w:cs="Book Antiqua"/>
          <w:color w:val="000000"/>
        </w:rPr>
        <w:t>M</w:t>
      </w:r>
      <w:r w:rsidRPr="00C76E19">
        <w:rPr>
          <w:rFonts w:ascii="Book Antiqua" w:eastAsia="Book Antiqua" w:hAnsi="Book Antiqua" w:cs="Book Antiqua"/>
          <w:color w:val="000000"/>
        </w:rPr>
        <w:t>oderate to severe Crohn’s disease.</w:t>
      </w:r>
    </w:p>
    <w:p w14:paraId="42E2D84D" w14:textId="3279C05E" w:rsidR="00A77B3E" w:rsidRPr="00C76E19" w:rsidRDefault="007A464A" w:rsidP="00A23AA9">
      <w:pPr>
        <w:spacing w:line="360" w:lineRule="auto"/>
        <w:jc w:val="both"/>
      </w:pPr>
      <w:r w:rsidRPr="00C76E19">
        <w:rPr>
          <w:rFonts w:ascii="Book Antiqua" w:eastAsia="Book Antiqua" w:hAnsi="Book Antiqua" w:cs="Book Antiqua"/>
          <w:color w:val="000000"/>
        </w:rPr>
        <w:br w:type="page"/>
      </w:r>
      <w:r w:rsidRPr="00AE2A93">
        <w:rPr>
          <w:rFonts w:ascii="Book Antiqua" w:eastAsia="Book Antiqua" w:hAnsi="Book Antiqua" w:cs="Book Antiqua"/>
          <w:noProof/>
          <w:color w:val="000000"/>
          <w:lang w:eastAsia="zh-CN"/>
        </w:rPr>
        <w:drawing>
          <wp:inline distT="0" distB="0" distL="0" distR="0" wp14:anchorId="29A76204" wp14:editId="473A9061">
            <wp:extent cx="5968854" cy="276712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2963" cy="2778304"/>
                    </a:xfrm>
                    <a:prstGeom prst="rect">
                      <a:avLst/>
                    </a:prstGeom>
                    <a:noFill/>
                  </pic:spPr>
                </pic:pic>
              </a:graphicData>
            </a:graphic>
          </wp:inline>
        </w:drawing>
      </w:r>
    </w:p>
    <w:p w14:paraId="161CD406" w14:textId="628D8798" w:rsidR="00CA1127" w:rsidRPr="00C76E19" w:rsidRDefault="00CA1127" w:rsidP="00A23AA9">
      <w:pPr>
        <w:spacing w:line="360" w:lineRule="auto"/>
        <w:jc w:val="both"/>
        <w:rPr>
          <w:rFonts w:ascii="Book Antiqua" w:eastAsia="Book Antiqua" w:hAnsi="Book Antiqua" w:cs="Book Antiqua"/>
          <w:color w:val="000000"/>
        </w:rPr>
      </w:pPr>
      <w:r w:rsidRPr="00A23AA9">
        <w:rPr>
          <w:rFonts w:ascii="Book Antiqua" w:eastAsia="Book Antiqua" w:hAnsi="Book Antiqua" w:cs="Book Antiqua"/>
          <w:b/>
          <w:bCs/>
          <w:color w:val="000000"/>
        </w:rPr>
        <w:t>F</w:t>
      </w:r>
      <w:r w:rsidR="007A464A" w:rsidRPr="00A23AA9">
        <w:rPr>
          <w:rFonts w:ascii="Book Antiqua" w:eastAsia="Book Antiqua" w:hAnsi="Book Antiqua" w:cs="Book Antiqua"/>
          <w:b/>
          <w:bCs/>
          <w:color w:val="000000"/>
        </w:rPr>
        <w:t>igure</w:t>
      </w:r>
      <w:r w:rsidRPr="00C76E19">
        <w:rPr>
          <w:rFonts w:ascii="Book Antiqua" w:eastAsia="Book Antiqua" w:hAnsi="Book Antiqua" w:cs="Book Antiqua"/>
          <w:b/>
          <w:bCs/>
          <w:color w:val="000000"/>
        </w:rPr>
        <w:t xml:space="preserve"> 2 Impact of key model variables on the cost-effectiveness of </w:t>
      </w:r>
      <w:r w:rsidR="007A464A" w:rsidRPr="00C76E19">
        <w:rPr>
          <w:rFonts w:ascii="Book Antiqua" w:eastAsia="Book Antiqua" w:hAnsi="Book Antiqua" w:cs="Book Antiqua"/>
          <w:b/>
          <w:bCs/>
          <w:color w:val="000000"/>
        </w:rPr>
        <w:t>infliximab maintenance therapy</w:t>
      </w:r>
      <w:r w:rsidRPr="00C76E19">
        <w:rPr>
          <w:rFonts w:ascii="Book Antiqua" w:eastAsia="Book Antiqua" w:hAnsi="Book Antiqua" w:cs="Book Antiqua"/>
          <w:b/>
          <w:bCs/>
          <w:color w:val="000000"/>
        </w:rPr>
        <w:t xml:space="preserve"> relative to </w:t>
      </w:r>
      <w:r w:rsidR="007A464A" w:rsidRPr="00C76E19">
        <w:rPr>
          <w:rFonts w:ascii="Book Antiqua" w:eastAsia="Book Antiqua" w:hAnsi="Book Antiqua" w:cs="Book Antiqua"/>
          <w:b/>
          <w:bCs/>
          <w:color w:val="000000"/>
        </w:rPr>
        <w:t>conventional maintenance therapy</w:t>
      </w:r>
      <w:r w:rsidRPr="00C76E19">
        <w:rPr>
          <w:rFonts w:ascii="Book Antiqua" w:eastAsia="Book Antiqua" w:hAnsi="Book Antiqua" w:cs="Book Antiqua"/>
          <w:b/>
          <w:bCs/>
          <w:color w:val="000000"/>
        </w:rPr>
        <w:t xml:space="preserve"> for </w:t>
      </w:r>
      <w:r w:rsidR="007A464A" w:rsidRPr="00C76E19">
        <w:rPr>
          <w:rFonts w:ascii="Book Antiqua" w:eastAsia="Book Antiqua" w:hAnsi="Book Antiqua" w:cs="Book Antiqua"/>
          <w:b/>
          <w:bCs/>
          <w:color w:val="000000"/>
        </w:rPr>
        <w:t>moderate to severe Crohn’s disease</w:t>
      </w:r>
      <w:r w:rsidRPr="00C76E19">
        <w:rPr>
          <w:rFonts w:ascii="Book Antiqua" w:eastAsia="Book Antiqua" w:hAnsi="Book Antiqua" w:cs="Book Antiqua"/>
          <w:b/>
          <w:bCs/>
          <w:color w:val="000000"/>
        </w:rPr>
        <w:t xml:space="preserve"> in one-way sensitivity analyses.</w:t>
      </w:r>
      <w:r w:rsidRPr="00C76E19">
        <w:rPr>
          <w:rFonts w:ascii="Book Antiqua" w:eastAsia="Book Antiqua" w:hAnsi="Book Antiqua" w:cs="Book Antiqua"/>
          <w:color w:val="000000"/>
        </w:rPr>
        <w:t> </w:t>
      </w:r>
      <w:r w:rsidR="00E36B76" w:rsidRPr="00C76E19">
        <w:rPr>
          <w:rFonts w:ascii="Book Antiqua" w:eastAsia="Book Antiqua" w:hAnsi="Book Antiqua" w:cs="Book Antiqua"/>
          <w:color w:val="000000"/>
        </w:rPr>
        <w:t xml:space="preserve">CD: Crohn’s disease; </w:t>
      </w:r>
      <w:r w:rsidR="00C76E19" w:rsidRPr="00843355">
        <w:rPr>
          <w:rFonts w:ascii="Book Antiqua" w:eastAsia="Book Antiqua" w:hAnsi="Book Antiqua" w:cs="Book Antiqua"/>
          <w:color w:val="000000"/>
        </w:rPr>
        <w:t>CMT: Conventional maintenance therap</w:t>
      </w:r>
      <w:r w:rsidR="00C76E19">
        <w:rPr>
          <w:rFonts w:ascii="Book Antiqua" w:eastAsia="Book Antiqua" w:hAnsi="Book Antiqua" w:cs="Book Antiqua"/>
          <w:color w:val="000000"/>
        </w:rPr>
        <w:t xml:space="preserve">y; </w:t>
      </w:r>
      <w:r w:rsidR="00E36B76" w:rsidRPr="00C76E19">
        <w:rPr>
          <w:rFonts w:ascii="Book Antiqua" w:eastAsia="Book Antiqua" w:hAnsi="Book Antiqua" w:cs="Book Antiqua"/>
          <w:color w:val="000000"/>
        </w:rPr>
        <w:t>ICER: Incremental cost-effectiveness ratio; IMT: Infliximab maintenance therapy.</w:t>
      </w:r>
    </w:p>
    <w:p w14:paraId="0FDF7D9A" w14:textId="488AF66F" w:rsidR="00BF310C" w:rsidRPr="00C76E19" w:rsidRDefault="00BF310C" w:rsidP="00A23AA9">
      <w:pPr>
        <w:spacing w:line="360" w:lineRule="auto"/>
        <w:jc w:val="both"/>
        <w:rPr>
          <w:rFonts w:ascii="Book Antiqua" w:eastAsia="Book Antiqua" w:hAnsi="Book Antiqua" w:cs="Book Antiqua"/>
          <w:color w:val="000000"/>
        </w:rPr>
        <w:sectPr w:rsidR="00BF310C" w:rsidRPr="00C76E19">
          <w:pgSz w:w="12240" w:h="15840"/>
          <w:pgMar w:top="1440" w:right="1440" w:bottom="1440" w:left="1440" w:header="720" w:footer="720" w:gutter="0"/>
          <w:cols w:space="720"/>
          <w:docGrid w:linePitch="360"/>
        </w:sectPr>
      </w:pPr>
    </w:p>
    <w:p w14:paraId="741C9B4B" w14:textId="57998E28" w:rsidR="00A77B3E" w:rsidRPr="00C76E19" w:rsidRDefault="00CA1127" w:rsidP="00A23AA9">
      <w:pPr>
        <w:spacing w:line="360" w:lineRule="auto"/>
        <w:jc w:val="both"/>
        <w:rPr>
          <w:rFonts w:ascii="Book Antiqua" w:hAnsi="Book Antiqua"/>
          <w:b/>
          <w:bCs/>
        </w:rPr>
      </w:pPr>
      <w:r w:rsidRPr="00C76E19">
        <w:rPr>
          <w:rFonts w:ascii="Book Antiqua" w:hAnsi="Book Antiqua"/>
          <w:b/>
          <w:bCs/>
        </w:rPr>
        <w:t xml:space="preserve">Table 1 </w:t>
      </w:r>
      <w:r w:rsidR="00C76E19">
        <w:rPr>
          <w:rFonts w:ascii="Book Antiqua" w:hAnsi="Book Antiqua"/>
          <w:b/>
          <w:bCs/>
        </w:rPr>
        <w:t>P</w:t>
      </w:r>
      <w:r w:rsidRPr="00C76E19">
        <w:rPr>
          <w:rFonts w:ascii="Book Antiqua" w:hAnsi="Book Antiqua"/>
          <w:b/>
          <w:bCs/>
        </w:rPr>
        <w:t xml:space="preserve">atient characteristics associated with the included </w:t>
      </w:r>
      <w:r w:rsidRPr="00C76E19">
        <w:rPr>
          <w:rFonts w:ascii="Book Antiqua" w:eastAsia="Book Antiqua" w:hAnsi="Book Antiqua" w:cs="Book Antiqua"/>
          <w:b/>
          <w:bCs/>
          <w:color w:val="000000"/>
        </w:rPr>
        <w:t>moderate to severe Crohn’s disease</w:t>
      </w:r>
      <w:r w:rsidRPr="00C76E19">
        <w:rPr>
          <w:rFonts w:ascii="Book Antiqua" w:hAnsi="Book Antiqua"/>
          <w:b/>
          <w:bCs/>
        </w:rPr>
        <w:t xml:space="preserve"> patients in real-world study</w:t>
      </w:r>
    </w:p>
    <w:tbl>
      <w:tblPr>
        <w:tblW w:w="0" w:type="auto"/>
        <w:tblLook w:val="04A0" w:firstRow="1" w:lastRow="0" w:firstColumn="1" w:lastColumn="0" w:noHBand="0" w:noVBand="1"/>
      </w:tblPr>
      <w:tblGrid>
        <w:gridCol w:w="4740"/>
        <w:gridCol w:w="2055"/>
        <w:gridCol w:w="1107"/>
        <w:gridCol w:w="1456"/>
        <w:gridCol w:w="1547"/>
        <w:gridCol w:w="2055"/>
      </w:tblGrid>
      <w:tr w:rsidR="00CA1127" w:rsidRPr="00C76E19" w14:paraId="6495076C" w14:textId="77777777" w:rsidTr="00D05FFF">
        <w:trPr>
          <w:trHeight w:val="402"/>
        </w:trPr>
        <w:tc>
          <w:tcPr>
            <w:tcW w:w="4761" w:type="dxa"/>
            <w:tcBorders>
              <w:top w:val="single" w:sz="4" w:space="0" w:color="auto"/>
              <w:left w:val="nil"/>
              <w:bottom w:val="single" w:sz="4" w:space="0" w:color="auto"/>
              <w:right w:val="nil"/>
            </w:tcBorders>
            <w:shd w:val="clear" w:color="auto" w:fill="auto"/>
            <w:noWrap/>
          </w:tcPr>
          <w:p w14:paraId="7AC3429E" w14:textId="2C1FB483" w:rsidR="00CA1127" w:rsidRPr="00C76E19" w:rsidRDefault="00CA1127" w:rsidP="00A23AA9">
            <w:pPr>
              <w:spacing w:line="360" w:lineRule="auto"/>
              <w:jc w:val="both"/>
              <w:rPr>
                <w:rFonts w:ascii="Book Antiqua" w:hAnsi="Book Antiqua"/>
                <w:b/>
                <w:bCs/>
                <w:color w:val="000000"/>
              </w:rPr>
            </w:pPr>
          </w:p>
        </w:tc>
        <w:tc>
          <w:tcPr>
            <w:tcW w:w="3174" w:type="dxa"/>
            <w:gridSpan w:val="2"/>
            <w:tcBorders>
              <w:top w:val="single" w:sz="4" w:space="0" w:color="auto"/>
              <w:left w:val="nil"/>
              <w:bottom w:val="single" w:sz="4" w:space="0" w:color="auto"/>
              <w:right w:val="nil"/>
            </w:tcBorders>
            <w:shd w:val="clear" w:color="auto" w:fill="auto"/>
            <w:noWrap/>
            <w:hideMark/>
          </w:tcPr>
          <w:p w14:paraId="2FDF9A91" w14:textId="5389CE45" w:rsidR="00CA1127" w:rsidRPr="00C76E19" w:rsidRDefault="00CA1127" w:rsidP="00A23AA9">
            <w:pPr>
              <w:spacing w:line="360" w:lineRule="auto"/>
              <w:jc w:val="both"/>
              <w:rPr>
                <w:rFonts w:ascii="Book Antiqua" w:hAnsi="Book Antiqua"/>
                <w:b/>
                <w:bCs/>
                <w:color w:val="000000"/>
              </w:rPr>
            </w:pPr>
            <w:r w:rsidRPr="00C76E19">
              <w:rPr>
                <w:rFonts w:ascii="Book Antiqua" w:hAnsi="Book Antiqua"/>
                <w:b/>
                <w:bCs/>
                <w:color w:val="000000"/>
              </w:rPr>
              <w:t>IMT</w:t>
            </w:r>
            <w:r w:rsidR="00C76E19">
              <w:rPr>
                <w:rFonts w:ascii="Book Antiqua" w:hAnsi="Book Antiqua"/>
                <w:b/>
                <w:bCs/>
                <w:color w:val="000000"/>
              </w:rPr>
              <w:t>,</w:t>
            </w:r>
            <w:r w:rsidRPr="00C76E19">
              <w:rPr>
                <w:rFonts w:ascii="Book Antiqua" w:hAnsi="Book Antiqua"/>
                <w:b/>
                <w:bCs/>
                <w:color w:val="000000"/>
              </w:rPr>
              <w:t xml:space="preserve"> </w:t>
            </w:r>
            <w:r w:rsidRPr="00C76E19">
              <w:rPr>
                <w:rFonts w:ascii="Book Antiqua" w:hAnsi="Book Antiqua"/>
                <w:b/>
                <w:bCs/>
                <w:i/>
                <w:iCs/>
                <w:color w:val="000000"/>
              </w:rPr>
              <w:t>n</w:t>
            </w:r>
            <w:r w:rsidRPr="00C76E19">
              <w:rPr>
                <w:rFonts w:ascii="Book Antiqua" w:hAnsi="Book Antiqua"/>
                <w:b/>
                <w:bCs/>
                <w:color w:val="000000"/>
              </w:rPr>
              <w:t xml:space="preserve"> = 295</w:t>
            </w:r>
          </w:p>
        </w:tc>
        <w:tc>
          <w:tcPr>
            <w:tcW w:w="3015" w:type="dxa"/>
            <w:gridSpan w:val="2"/>
            <w:tcBorders>
              <w:top w:val="single" w:sz="4" w:space="0" w:color="auto"/>
              <w:left w:val="nil"/>
              <w:bottom w:val="single" w:sz="4" w:space="0" w:color="auto"/>
              <w:right w:val="nil"/>
            </w:tcBorders>
            <w:shd w:val="clear" w:color="auto" w:fill="auto"/>
            <w:noWrap/>
            <w:hideMark/>
          </w:tcPr>
          <w:p w14:paraId="30396732" w14:textId="6C212BA3" w:rsidR="00CA1127" w:rsidRPr="00C76E19" w:rsidRDefault="00CA1127" w:rsidP="00A23AA9">
            <w:pPr>
              <w:spacing w:line="360" w:lineRule="auto"/>
              <w:jc w:val="both"/>
              <w:rPr>
                <w:rFonts w:ascii="Book Antiqua" w:hAnsi="Book Antiqua"/>
                <w:b/>
                <w:bCs/>
                <w:color w:val="000000"/>
              </w:rPr>
            </w:pPr>
            <w:r w:rsidRPr="00C76E19">
              <w:rPr>
                <w:rFonts w:ascii="Book Antiqua" w:hAnsi="Book Antiqua"/>
                <w:b/>
                <w:bCs/>
                <w:color w:val="000000"/>
              </w:rPr>
              <w:t>CMT</w:t>
            </w:r>
            <w:r w:rsidR="00C76E19">
              <w:rPr>
                <w:rFonts w:ascii="Book Antiqua" w:hAnsi="Book Antiqua"/>
                <w:b/>
                <w:bCs/>
                <w:color w:val="000000"/>
              </w:rPr>
              <w:t>,</w:t>
            </w:r>
            <w:r w:rsidRPr="00C76E19">
              <w:rPr>
                <w:rFonts w:ascii="Book Antiqua" w:hAnsi="Book Antiqua"/>
                <w:b/>
                <w:bCs/>
                <w:color w:val="000000"/>
              </w:rPr>
              <w:t xml:space="preserve"> </w:t>
            </w:r>
            <w:r w:rsidRPr="00C76E19">
              <w:rPr>
                <w:rFonts w:ascii="Book Antiqua" w:hAnsi="Book Antiqua"/>
                <w:b/>
                <w:bCs/>
                <w:i/>
                <w:iCs/>
                <w:color w:val="000000"/>
              </w:rPr>
              <w:t>n</w:t>
            </w:r>
            <w:r w:rsidRPr="00C76E19">
              <w:rPr>
                <w:rFonts w:ascii="Book Antiqua" w:hAnsi="Book Antiqua"/>
                <w:b/>
                <w:bCs/>
                <w:color w:val="000000"/>
              </w:rPr>
              <w:t xml:space="preserve"> = 130</w:t>
            </w:r>
          </w:p>
        </w:tc>
        <w:tc>
          <w:tcPr>
            <w:tcW w:w="2063" w:type="dxa"/>
            <w:tcBorders>
              <w:top w:val="single" w:sz="4" w:space="0" w:color="auto"/>
              <w:left w:val="nil"/>
              <w:right w:val="nil"/>
            </w:tcBorders>
            <w:shd w:val="clear" w:color="auto" w:fill="auto"/>
            <w:noWrap/>
            <w:hideMark/>
          </w:tcPr>
          <w:p w14:paraId="2538BDAF" w14:textId="77777777" w:rsidR="00CA1127" w:rsidRPr="00C76E19" w:rsidRDefault="00CA1127" w:rsidP="00A23AA9">
            <w:pPr>
              <w:spacing w:line="360" w:lineRule="auto"/>
              <w:jc w:val="both"/>
              <w:rPr>
                <w:rFonts w:ascii="Book Antiqua" w:hAnsi="Book Antiqua"/>
                <w:b/>
                <w:bCs/>
                <w:color w:val="000000"/>
              </w:rPr>
            </w:pPr>
            <w:r w:rsidRPr="00C76E19">
              <w:rPr>
                <w:rFonts w:ascii="Book Antiqua" w:hAnsi="Book Antiqua"/>
                <w:b/>
                <w:bCs/>
                <w:i/>
                <w:iCs/>
                <w:color w:val="000000"/>
              </w:rPr>
              <w:t>P</w:t>
            </w:r>
            <w:r w:rsidRPr="00C76E19">
              <w:rPr>
                <w:rFonts w:ascii="Book Antiqua" w:hAnsi="Book Antiqua"/>
                <w:b/>
                <w:bCs/>
                <w:color w:val="000000"/>
              </w:rPr>
              <w:t xml:space="preserve"> value</w:t>
            </w:r>
          </w:p>
        </w:tc>
      </w:tr>
      <w:tr w:rsidR="00CA1127" w:rsidRPr="00C76E19" w14:paraId="31104B4A" w14:textId="77777777" w:rsidTr="00D05FFF">
        <w:trPr>
          <w:trHeight w:val="298"/>
        </w:trPr>
        <w:tc>
          <w:tcPr>
            <w:tcW w:w="4761" w:type="dxa"/>
            <w:tcBorders>
              <w:top w:val="nil"/>
              <w:left w:val="nil"/>
              <w:bottom w:val="single" w:sz="4" w:space="0" w:color="auto"/>
              <w:right w:val="nil"/>
            </w:tcBorders>
            <w:shd w:val="clear" w:color="000000" w:fill="FFFFFF"/>
            <w:noWrap/>
            <w:hideMark/>
          </w:tcPr>
          <w:p w14:paraId="7ABFBE9C" w14:textId="77777777" w:rsidR="00CA1127" w:rsidRPr="00C76E19" w:rsidRDefault="00CA1127" w:rsidP="00AE2A93">
            <w:pPr>
              <w:snapToGrid w:val="0"/>
              <w:spacing w:line="360" w:lineRule="auto"/>
              <w:jc w:val="both"/>
              <w:rPr>
                <w:rFonts w:ascii="Book Antiqua" w:hAnsi="Book Antiqua"/>
                <w:b/>
                <w:bCs/>
                <w:color w:val="000000"/>
              </w:rPr>
            </w:pPr>
            <w:r w:rsidRPr="00C76E19">
              <w:rPr>
                <w:rFonts w:ascii="Book Antiqua" w:hAnsi="Book Antiqua"/>
                <w:b/>
                <w:bCs/>
                <w:color w:val="000000"/>
              </w:rPr>
              <w:t xml:space="preserve">Patient characteristics </w:t>
            </w:r>
          </w:p>
        </w:tc>
        <w:tc>
          <w:tcPr>
            <w:tcW w:w="2063" w:type="dxa"/>
            <w:tcBorders>
              <w:top w:val="nil"/>
              <w:left w:val="nil"/>
              <w:bottom w:val="single" w:sz="4" w:space="0" w:color="auto"/>
              <w:right w:val="nil"/>
            </w:tcBorders>
            <w:shd w:val="clear" w:color="000000" w:fill="FFFFFF"/>
            <w:noWrap/>
            <w:hideMark/>
          </w:tcPr>
          <w:p w14:paraId="2900612E" w14:textId="44DDF639" w:rsidR="00CA1127" w:rsidRPr="00C76E19" w:rsidRDefault="00CA1127" w:rsidP="00AE2A93">
            <w:pPr>
              <w:snapToGrid w:val="0"/>
              <w:spacing w:line="360" w:lineRule="auto"/>
              <w:jc w:val="both"/>
              <w:rPr>
                <w:rFonts w:ascii="Book Antiqua" w:hAnsi="Book Antiqua"/>
                <w:b/>
                <w:bCs/>
                <w:color w:val="000000"/>
              </w:rPr>
            </w:pPr>
            <w:r w:rsidRPr="00C76E19">
              <w:rPr>
                <w:rFonts w:ascii="Book Antiqua" w:hAnsi="Book Antiqua"/>
                <w:b/>
                <w:bCs/>
                <w:color w:val="000000"/>
              </w:rPr>
              <w:t>Mean</w:t>
            </w:r>
            <w:r w:rsidR="00BF310C" w:rsidRPr="00C76E19">
              <w:rPr>
                <w:rFonts w:ascii="Book Antiqua" w:hAnsi="Book Antiqua"/>
                <w:b/>
                <w:bCs/>
                <w:color w:val="000000"/>
              </w:rPr>
              <w:t>/%</w:t>
            </w:r>
          </w:p>
        </w:tc>
        <w:tc>
          <w:tcPr>
            <w:tcW w:w="1110" w:type="dxa"/>
            <w:tcBorders>
              <w:top w:val="nil"/>
              <w:left w:val="nil"/>
              <w:bottom w:val="single" w:sz="4" w:space="0" w:color="auto"/>
              <w:right w:val="nil"/>
            </w:tcBorders>
            <w:shd w:val="clear" w:color="000000" w:fill="FFFFFF"/>
            <w:noWrap/>
            <w:hideMark/>
          </w:tcPr>
          <w:p w14:paraId="0E9CFAF4" w14:textId="77777777" w:rsidR="00CA1127" w:rsidRPr="00C76E19" w:rsidRDefault="00CA1127" w:rsidP="00AE2A93">
            <w:pPr>
              <w:snapToGrid w:val="0"/>
              <w:spacing w:line="360" w:lineRule="auto"/>
              <w:jc w:val="both"/>
              <w:rPr>
                <w:rFonts w:ascii="Book Antiqua" w:hAnsi="Book Antiqua"/>
                <w:b/>
                <w:bCs/>
                <w:color w:val="000000"/>
              </w:rPr>
            </w:pPr>
            <w:r w:rsidRPr="00C76E19">
              <w:rPr>
                <w:rFonts w:ascii="Book Antiqua" w:hAnsi="Book Antiqua"/>
                <w:b/>
                <w:bCs/>
                <w:color w:val="000000"/>
              </w:rPr>
              <w:t>SD</w:t>
            </w:r>
          </w:p>
        </w:tc>
        <w:tc>
          <w:tcPr>
            <w:tcW w:w="1462" w:type="dxa"/>
            <w:tcBorders>
              <w:top w:val="nil"/>
              <w:left w:val="nil"/>
              <w:bottom w:val="single" w:sz="4" w:space="0" w:color="auto"/>
              <w:right w:val="nil"/>
            </w:tcBorders>
            <w:shd w:val="clear" w:color="000000" w:fill="FFFFFF"/>
            <w:noWrap/>
            <w:hideMark/>
          </w:tcPr>
          <w:p w14:paraId="375422EE" w14:textId="1716C3E4" w:rsidR="00CA1127" w:rsidRPr="00C76E19" w:rsidRDefault="00CA1127" w:rsidP="00AE2A93">
            <w:pPr>
              <w:snapToGrid w:val="0"/>
              <w:spacing w:line="360" w:lineRule="auto"/>
              <w:jc w:val="both"/>
              <w:rPr>
                <w:rFonts w:ascii="Book Antiqua" w:hAnsi="Book Antiqua"/>
                <w:b/>
                <w:bCs/>
                <w:color w:val="000000"/>
              </w:rPr>
            </w:pPr>
            <w:r w:rsidRPr="00C76E19">
              <w:rPr>
                <w:rFonts w:ascii="Book Antiqua" w:hAnsi="Book Antiqua"/>
                <w:b/>
                <w:bCs/>
                <w:color w:val="000000"/>
              </w:rPr>
              <w:t>Mean</w:t>
            </w:r>
            <w:r w:rsidR="00BF310C" w:rsidRPr="00C76E19">
              <w:rPr>
                <w:rFonts w:ascii="Book Antiqua" w:hAnsi="Book Antiqua"/>
                <w:b/>
                <w:bCs/>
                <w:color w:val="000000"/>
              </w:rPr>
              <w:t>/%</w:t>
            </w:r>
          </w:p>
        </w:tc>
        <w:tc>
          <w:tcPr>
            <w:tcW w:w="1552" w:type="dxa"/>
            <w:tcBorders>
              <w:top w:val="nil"/>
              <w:left w:val="nil"/>
              <w:bottom w:val="single" w:sz="4" w:space="0" w:color="auto"/>
              <w:right w:val="nil"/>
            </w:tcBorders>
            <w:shd w:val="clear" w:color="000000" w:fill="FFFFFF"/>
            <w:noWrap/>
            <w:hideMark/>
          </w:tcPr>
          <w:p w14:paraId="31CCD875" w14:textId="77777777" w:rsidR="00CA1127" w:rsidRPr="00C76E19" w:rsidRDefault="00CA1127" w:rsidP="00AE2A93">
            <w:pPr>
              <w:snapToGrid w:val="0"/>
              <w:spacing w:line="360" w:lineRule="auto"/>
              <w:jc w:val="both"/>
              <w:rPr>
                <w:rFonts w:ascii="Book Antiqua" w:hAnsi="Book Antiqua"/>
                <w:b/>
                <w:bCs/>
                <w:color w:val="000000"/>
              </w:rPr>
            </w:pPr>
            <w:r w:rsidRPr="00C76E19">
              <w:rPr>
                <w:rFonts w:ascii="Book Antiqua" w:hAnsi="Book Antiqua"/>
                <w:b/>
                <w:bCs/>
                <w:color w:val="000000"/>
              </w:rPr>
              <w:t>SD</w:t>
            </w:r>
          </w:p>
        </w:tc>
        <w:tc>
          <w:tcPr>
            <w:tcW w:w="2063" w:type="dxa"/>
            <w:tcBorders>
              <w:left w:val="nil"/>
              <w:bottom w:val="single" w:sz="4" w:space="0" w:color="000000"/>
              <w:right w:val="nil"/>
            </w:tcBorders>
            <w:shd w:val="clear" w:color="000000" w:fill="FFFFFF"/>
            <w:hideMark/>
          </w:tcPr>
          <w:p w14:paraId="1A98CBBC" w14:textId="77777777" w:rsidR="00CA1127" w:rsidRPr="00C76E19" w:rsidRDefault="00CA1127" w:rsidP="00AE2A93">
            <w:pPr>
              <w:snapToGrid w:val="0"/>
              <w:spacing w:line="360" w:lineRule="auto"/>
              <w:jc w:val="both"/>
              <w:rPr>
                <w:rFonts w:ascii="Book Antiqua" w:hAnsi="Book Antiqua"/>
                <w:b/>
                <w:bCs/>
                <w:color w:val="000000"/>
              </w:rPr>
            </w:pPr>
          </w:p>
        </w:tc>
      </w:tr>
      <w:tr w:rsidR="00CA1127" w:rsidRPr="00C76E19" w14:paraId="143E3AA7" w14:textId="77777777" w:rsidTr="00D05FFF">
        <w:trPr>
          <w:trHeight w:val="298"/>
        </w:trPr>
        <w:tc>
          <w:tcPr>
            <w:tcW w:w="4761" w:type="dxa"/>
            <w:tcBorders>
              <w:top w:val="nil"/>
              <w:left w:val="nil"/>
              <w:right w:val="nil"/>
            </w:tcBorders>
            <w:shd w:val="clear" w:color="000000" w:fill="FFFFFF"/>
            <w:noWrap/>
            <w:hideMark/>
          </w:tcPr>
          <w:p w14:paraId="592527EE"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Demographics </w:t>
            </w:r>
          </w:p>
        </w:tc>
        <w:tc>
          <w:tcPr>
            <w:tcW w:w="2063" w:type="dxa"/>
            <w:tcBorders>
              <w:top w:val="nil"/>
              <w:left w:val="nil"/>
              <w:right w:val="nil"/>
            </w:tcBorders>
            <w:shd w:val="clear" w:color="000000" w:fill="FFFFFF"/>
            <w:noWrap/>
            <w:hideMark/>
          </w:tcPr>
          <w:p w14:paraId="0179AB55"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110" w:type="dxa"/>
            <w:tcBorders>
              <w:top w:val="nil"/>
              <w:left w:val="nil"/>
              <w:right w:val="nil"/>
            </w:tcBorders>
            <w:shd w:val="clear" w:color="000000" w:fill="FFFFFF"/>
            <w:noWrap/>
            <w:hideMark/>
          </w:tcPr>
          <w:p w14:paraId="33AE9580"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right w:val="nil"/>
            </w:tcBorders>
            <w:shd w:val="clear" w:color="000000" w:fill="FFFFFF"/>
            <w:noWrap/>
            <w:hideMark/>
          </w:tcPr>
          <w:p w14:paraId="4BAA1D20"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552" w:type="dxa"/>
            <w:tcBorders>
              <w:top w:val="nil"/>
              <w:left w:val="nil"/>
              <w:right w:val="nil"/>
            </w:tcBorders>
            <w:shd w:val="clear" w:color="000000" w:fill="FFFFFF"/>
            <w:noWrap/>
            <w:hideMark/>
          </w:tcPr>
          <w:p w14:paraId="582C40DC"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right w:val="nil"/>
            </w:tcBorders>
            <w:shd w:val="clear" w:color="000000" w:fill="FFFFFF"/>
            <w:noWrap/>
            <w:hideMark/>
          </w:tcPr>
          <w:p w14:paraId="34C10D31" w14:textId="77777777" w:rsidR="00CA1127" w:rsidRPr="00C76E19" w:rsidRDefault="00CA1127" w:rsidP="00AE2A93">
            <w:pPr>
              <w:snapToGrid w:val="0"/>
              <w:spacing w:line="360" w:lineRule="auto"/>
              <w:jc w:val="both"/>
              <w:rPr>
                <w:rFonts w:ascii="Book Antiqua" w:hAnsi="Book Antiqua"/>
                <w:b/>
                <w:bCs/>
                <w:i/>
                <w:iCs/>
                <w:color w:val="000000"/>
              </w:rPr>
            </w:pPr>
            <w:r w:rsidRPr="00C76E19">
              <w:rPr>
                <w:rFonts w:ascii="Book Antiqua" w:hAnsi="Book Antiqua"/>
                <w:b/>
                <w:bCs/>
                <w:i/>
                <w:iCs/>
                <w:color w:val="000000"/>
              </w:rPr>
              <w:t> </w:t>
            </w:r>
          </w:p>
        </w:tc>
      </w:tr>
      <w:tr w:rsidR="00CA1127" w:rsidRPr="00C76E19" w14:paraId="4B84C147" w14:textId="77777777" w:rsidTr="00D05FFF">
        <w:trPr>
          <w:trHeight w:val="298"/>
        </w:trPr>
        <w:tc>
          <w:tcPr>
            <w:tcW w:w="4761" w:type="dxa"/>
            <w:tcBorders>
              <w:top w:val="nil"/>
              <w:left w:val="nil"/>
              <w:bottom w:val="nil"/>
              <w:right w:val="nil"/>
            </w:tcBorders>
            <w:shd w:val="clear" w:color="000000" w:fill="FFFFFF"/>
            <w:noWrap/>
            <w:hideMark/>
          </w:tcPr>
          <w:p w14:paraId="325CD00B"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Male proportion </w:t>
            </w:r>
          </w:p>
        </w:tc>
        <w:tc>
          <w:tcPr>
            <w:tcW w:w="2063" w:type="dxa"/>
            <w:tcBorders>
              <w:top w:val="nil"/>
              <w:left w:val="nil"/>
              <w:bottom w:val="nil"/>
              <w:right w:val="nil"/>
            </w:tcBorders>
            <w:shd w:val="clear" w:color="000000" w:fill="FFFFFF"/>
            <w:noWrap/>
            <w:hideMark/>
          </w:tcPr>
          <w:p w14:paraId="2DA5F264"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72.2%</w:t>
            </w:r>
          </w:p>
        </w:tc>
        <w:tc>
          <w:tcPr>
            <w:tcW w:w="1110" w:type="dxa"/>
            <w:tcBorders>
              <w:top w:val="nil"/>
              <w:left w:val="nil"/>
              <w:bottom w:val="nil"/>
              <w:right w:val="nil"/>
            </w:tcBorders>
            <w:shd w:val="clear" w:color="000000" w:fill="FFFFFF"/>
            <w:noWrap/>
            <w:hideMark/>
          </w:tcPr>
          <w:p w14:paraId="5250A93D"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7B796ADD"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64.6%</w:t>
            </w:r>
          </w:p>
        </w:tc>
        <w:tc>
          <w:tcPr>
            <w:tcW w:w="1552" w:type="dxa"/>
            <w:tcBorders>
              <w:top w:val="nil"/>
              <w:left w:val="nil"/>
              <w:bottom w:val="nil"/>
              <w:right w:val="nil"/>
            </w:tcBorders>
            <w:shd w:val="clear" w:color="000000" w:fill="FFFFFF"/>
            <w:noWrap/>
            <w:hideMark/>
          </w:tcPr>
          <w:p w14:paraId="7C059B17"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7E1BB677"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0.125 </w:t>
            </w:r>
          </w:p>
        </w:tc>
      </w:tr>
      <w:tr w:rsidR="00CA1127" w:rsidRPr="00C76E19" w14:paraId="2731A8DB" w14:textId="77777777" w:rsidTr="00D05FFF">
        <w:trPr>
          <w:trHeight w:val="298"/>
        </w:trPr>
        <w:tc>
          <w:tcPr>
            <w:tcW w:w="4761" w:type="dxa"/>
            <w:tcBorders>
              <w:top w:val="nil"/>
              <w:left w:val="nil"/>
              <w:right w:val="nil"/>
            </w:tcBorders>
            <w:shd w:val="clear" w:color="000000" w:fill="FFFFFF"/>
            <w:noWrap/>
            <w:hideMark/>
          </w:tcPr>
          <w:p w14:paraId="3EF7A725" w14:textId="7C7C8453"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Age </w:t>
            </w:r>
            <w:r w:rsidR="00C76E19">
              <w:rPr>
                <w:rFonts w:ascii="Book Antiqua" w:hAnsi="Book Antiqua"/>
                <w:color w:val="000000"/>
              </w:rPr>
              <w:t xml:space="preserve">in </w:t>
            </w:r>
            <w:proofErr w:type="spellStart"/>
            <w:r w:rsidRPr="00C76E19">
              <w:rPr>
                <w:rFonts w:ascii="Book Antiqua" w:hAnsi="Book Antiqua"/>
                <w:color w:val="000000"/>
              </w:rPr>
              <w:t>y</w:t>
            </w:r>
            <w:r w:rsidR="00C61E72" w:rsidRPr="00C76E19">
              <w:rPr>
                <w:rFonts w:ascii="Book Antiqua" w:hAnsi="Book Antiqua"/>
                <w:color w:val="000000"/>
              </w:rPr>
              <w:t>r</w:t>
            </w:r>
            <w:proofErr w:type="spellEnd"/>
          </w:p>
        </w:tc>
        <w:tc>
          <w:tcPr>
            <w:tcW w:w="2063" w:type="dxa"/>
            <w:tcBorders>
              <w:top w:val="nil"/>
              <w:left w:val="nil"/>
              <w:right w:val="nil"/>
            </w:tcBorders>
            <w:shd w:val="clear" w:color="000000" w:fill="FFFFFF"/>
            <w:noWrap/>
            <w:hideMark/>
          </w:tcPr>
          <w:p w14:paraId="3DD414ED" w14:textId="77777777" w:rsidR="00CA1127" w:rsidRPr="00A23AA9" w:rsidRDefault="00CA1127" w:rsidP="00AE2A93">
            <w:pPr>
              <w:snapToGrid w:val="0"/>
              <w:spacing w:line="360" w:lineRule="auto"/>
              <w:jc w:val="both"/>
              <w:rPr>
                <w:rFonts w:ascii="Book Antiqua" w:hAnsi="Book Antiqua"/>
                <w:color w:val="000000"/>
              </w:rPr>
            </w:pPr>
            <w:r w:rsidRPr="00A23AA9">
              <w:rPr>
                <w:rFonts w:ascii="Book Antiqua" w:hAnsi="Book Antiqua"/>
                <w:color w:val="000000"/>
              </w:rPr>
              <w:t xml:space="preserve">34.1 </w:t>
            </w:r>
          </w:p>
        </w:tc>
        <w:tc>
          <w:tcPr>
            <w:tcW w:w="1110" w:type="dxa"/>
            <w:tcBorders>
              <w:top w:val="nil"/>
              <w:left w:val="nil"/>
              <w:right w:val="nil"/>
            </w:tcBorders>
            <w:shd w:val="clear" w:color="000000" w:fill="FFFFFF"/>
            <w:noWrap/>
            <w:hideMark/>
          </w:tcPr>
          <w:p w14:paraId="0C33A3D0"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10.9 </w:t>
            </w:r>
          </w:p>
        </w:tc>
        <w:tc>
          <w:tcPr>
            <w:tcW w:w="1462" w:type="dxa"/>
            <w:tcBorders>
              <w:top w:val="nil"/>
              <w:left w:val="nil"/>
              <w:right w:val="nil"/>
            </w:tcBorders>
            <w:shd w:val="clear" w:color="000000" w:fill="FFFFFF"/>
            <w:noWrap/>
            <w:hideMark/>
          </w:tcPr>
          <w:p w14:paraId="342022A1"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37.2 </w:t>
            </w:r>
          </w:p>
        </w:tc>
        <w:tc>
          <w:tcPr>
            <w:tcW w:w="1552" w:type="dxa"/>
            <w:tcBorders>
              <w:top w:val="nil"/>
              <w:left w:val="nil"/>
              <w:right w:val="nil"/>
            </w:tcBorders>
            <w:shd w:val="clear" w:color="000000" w:fill="FFFFFF"/>
            <w:noWrap/>
            <w:hideMark/>
          </w:tcPr>
          <w:p w14:paraId="4FDD3994"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11.2 </w:t>
            </w:r>
          </w:p>
        </w:tc>
        <w:tc>
          <w:tcPr>
            <w:tcW w:w="2063" w:type="dxa"/>
            <w:tcBorders>
              <w:top w:val="nil"/>
              <w:left w:val="nil"/>
              <w:right w:val="nil"/>
            </w:tcBorders>
            <w:shd w:val="clear" w:color="000000" w:fill="FFFFFF"/>
            <w:noWrap/>
            <w:hideMark/>
          </w:tcPr>
          <w:p w14:paraId="74F6BA5B" w14:textId="73AA1FC5"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0.004</w:t>
            </w:r>
            <w:r w:rsidR="00C61E72" w:rsidRPr="00C76E19">
              <w:rPr>
                <w:rFonts w:ascii="Book Antiqua" w:hAnsi="Book Antiqua"/>
                <w:color w:val="000000"/>
                <w:vertAlign w:val="superscript"/>
              </w:rPr>
              <w:t>b</w:t>
            </w:r>
          </w:p>
        </w:tc>
      </w:tr>
      <w:tr w:rsidR="00CA1127" w:rsidRPr="00C76E19" w14:paraId="3BE43919" w14:textId="77777777" w:rsidTr="00D05FFF">
        <w:trPr>
          <w:trHeight w:val="298"/>
        </w:trPr>
        <w:tc>
          <w:tcPr>
            <w:tcW w:w="4761" w:type="dxa"/>
            <w:tcBorders>
              <w:top w:val="nil"/>
              <w:left w:val="nil"/>
              <w:bottom w:val="nil"/>
              <w:right w:val="nil"/>
            </w:tcBorders>
            <w:shd w:val="clear" w:color="000000" w:fill="FFFFFF"/>
            <w:noWrap/>
            <w:hideMark/>
          </w:tcPr>
          <w:p w14:paraId="37279C8C"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BMI range </w:t>
            </w:r>
          </w:p>
        </w:tc>
        <w:tc>
          <w:tcPr>
            <w:tcW w:w="2063" w:type="dxa"/>
            <w:tcBorders>
              <w:top w:val="nil"/>
              <w:left w:val="nil"/>
              <w:bottom w:val="nil"/>
              <w:right w:val="nil"/>
            </w:tcBorders>
            <w:shd w:val="clear" w:color="000000" w:fill="FFFFFF"/>
            <w:noWrap/>
            <w:hideMark/>
          </w:tcPr>
          <w:p w14:paraId="05AD692D"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110" w:type="dxa"/>
            <w:tcBorders>
              <w:top w:val="nil"/>
              <w:left w:val="nil"/>
              <w:bottom w:val="nil"/>
              <w:right w:val="nil"/>
            </w:tcBorders>
            <w:shd w:val="clear" w:color="000000" w:fill="FFFFFF"/>
            <w:noWrap/>
            <w:hideMark/>
          </w:tcPr>
          <w:p w14:paraId="68A88D4E"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2541DEC0"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552" w:type="dxa"/>
            <w:tcBorders>
              <w:top w:val="nil"/>
              <w:left w:val="nil"/>
              <w:bottom w:val="nil"/>
              <w:right w:val="nil"/>
            </w:tcBorders>
            <w:shd w:val="clear" w:color="000000" w:fill="FFFFFF"/>
            <w:noWrap/>
            <w:hideMark/>
          </w:tcPr>
          <w:p w14:paraId="6B0B376D"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285A3BF9" w14:textId="77777777" w:rsidR="00CA1127" w:rsidRPr="00C76E19" w:rsidRDefault="00CA1127" w:rsidP="00AE2A93">
            <w:pPr>
              <w:snapToGrid w:val="0"/>
              <w:spacing w:line="360" w:lineRule="auto"/>
              <w:jc w:val="both"/>
              <w:rPr>
                <w:rFonts w:ascii="Book Antiqua" w:hAnsi="Book Antiqua"/>
                <w:b/>
                <w:bCs/>
                <w:i/>
                <w:iCs/>
                <w:color w:val="000000"/>
              </w:rPr>
            </w:pPr>
            <w:r w:rsidRPr="00C76E19">
              <w:rPr>
                <w:rFonts w:ascii="Book Antiqua" w:hAnsi="Book Antiqua"/>
                <w:b/>
                <w:bCs/>
                <w:i/>
                <w:iCs/>
                <w:color w:val="000000"/>
              </w:rPr>
              <w:t> </w:t>
            </w:r>
          </w:p>
        </w:tc>
      </w:tr>
      <w:tr w:rsidR="00CA1127" w:rsidRPr="00C76E19" w14:paraId="3365BC26" w14:textId="77777777" w:rsidTr="00D05FFF">
        <w:trPr>
          <w:trHeight w:val="298"/>
        </w:trPr>
        <w:tc>
          <w:tcPr>
            <w:tcW w:w="4761" w:type="dxa"/>
            <w:tcBorders>
              <w:top w:val="nil"/>
              <w:left w:val="nil"/>
              <w:bottom w:val="nil"/>
              <w:right w:val="nil"/>
            </w:tcBorders>
            <w:shd w:val="clear" w:color="000000" w:fill="FFFFFF"/>
            <w:noWrap/>
            <w:hideMark/>
          </w:tcPr>
          <w:p w14:paraId="3D6F4920" w14:textId="0FE446A5"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&lt;</w:t>
            </w:r>
            <w:r w:rsidR="00C61E72" w:rsidRPr="00C76E19">
              <w:rPr>
                <w:rFonts w:ascii="Book Antiqua" w:hAnsi="Book Antiqua"/>
                <w:color w:val="000000"/>
              </w:rPr>
              <w:t xml:space="preserve"> </w:t>
            </w:r>
            <w:r w:rsidRPr="00C76E19">
              <w:rPr>
                <w:rFonts w:ascii="Book Antiqua" w:hAnsi="Book Antiqua"/>
                <w:color w:val="000000"/>
              </w:rPr>
              <w:t>18.5</w:t>
            </w:r>
          </w:p>
        </w:tc>
        <w:tc>
          <w:tcPr>
            <w:tcW w:w="2063" w:type="dxa"/>
            <w:tcBorders>
              <w:top w:val="nil"/>
              <w:left w:val="nil"/>
              <w:bottom w:val="nil"/>
              <w:right w:val="nil"/>
            </w:tcBorders>
            <w:shd w:val="clear" w:color="000000" w:fill="FFFFFF"/>
            <w:noWrap/>
            <w:hideMark/>
          </w:tcPr>
          <w:p w14:paraId="715530AE"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32.8%</w:t>
            </w:r>
          </w:p>
        </w:tc>
        <w:tc>
          <w:tcPr>
            <w:tcW w:w="1110" w:type="dxa"/>
            <w:tcBorders>
              <w:top w:val="nil"/>
              <w:left w:val="nil"/>
              <w:bottom w:val="nil"/>
              <w:right w:val="nil"/>
            </w:tcBorders>
            <w:shd w:val="clear" w:color="000000" w:fill="FFFFFF"/>
            <w:noWrap/>
            <w:hideMark/>
          </w:tcPr>
          <w:p w14:paraId="6C397E2A"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74AA144E"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40.0%</w:t>
            </w:r>
          </w:p>
        </w:tc>
        <w:tc>
          <w:tcPr>
            <w:tcW w:w="1552" w:type="dxa"/>
            <w:tcBorders>
              <w:top w:val="nil"/>
              <w:left w:val="nil"/>
              <w:bottom w:val="nil"/>
              <w:right w:val="nil"/>
            </w:tcBorders>
            <w:shd w:val="clear" w:color="000000" w:fill="FFFFFF"/>
            <w:noWrap/>
            <w:hideMark/>
          </w:tcPr>
          <w:p w14:paraId="3BD9E8B3"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31C0F850"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0.162 </w:t>
            </w:r>
          </w:p>
        </w:tc>
      </w:tr>
      <w:tr w:rsidR="00CA1127" w:rsidRPr="00C76E19" w14:paraId="11928232" w14:textId="77777777" w:rsidTr="00D05FFF">
        <w:trPr>
          <w:trHeight w:val="298"/>
        </w:trPr>
        <w:tc>
          <w:tcPr>
            <w:tcW w:w="4761" w:type="dxa"/>
            <w:tcBorders>
              <w:top w:val="nil"/>
              <w:left w:val="nil"/>
              <w:bottom w:val="nil"/>
              <w:right w:val="nil"/>
            </w:tcBorders>
            <w:shd w:val="clear" w:color="000000" w:fill="FFFFFF"/>
            <w:noWrap/>
            <w:hideMark/>
          </w:tcPr>
          <w:p w14:paraId="60EFDD43" w14:textId="3810BB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18.5</w:t>
            </w:r>
            <w:r w:rsidR="00C61E72" w:rsidRPr="00C76E19">
              <w:rPr>
                <w:rFonts w:ascii="Book Antiqua" w:eastAsia="宋体" w:hAnsi="Book Antiqua"/>
                <w:color w:val="000000"/>
                <w:lang w:eastAsia="zh-CN"/>
              </w:rPr>
              <w:t>-</w:t>
            </w:r>
            <w:r w:rsidRPr="00C76E19">
              <w:rPr>
                <w:rFonts w:ascii="Book Antiqua" w:hAnsi="Book Antiqua"/>
                <w:color w:val="000000"/>
              </w:rPr>
              <w:t>23.9</w:t>
            </w:r>
          </w:p>
        </w:tc>
        <w:tc>
          <w:tcPr>
            <w:tcW w:w="2063" w:type="dxa"/>
            <w:tcBorders>
              <w:top w:val="nil"/>
              <w:left w:val="nil"/>
              <w:bottom w:val="nil"/>
              <w:right w:val="nil"/>
            </w:tcBorders>
            <w:shd w:val="clear" w:color="000000" w:fill="FFFFFF"/>
            <w:noWrap/>
            <w:hideMark/>
          </w:tcPr>
          <w:p w14:paraId="6D083CE9" w14:textId="77777777" w:rsidR="00CA1127" w:rsidRPr="00A23AA9" w:rsidRDefault="00CA1127" w:rsidP="00AE2A93">
            <w:pPr>
              <w:snapToGrid w:val="0"/>
              <w:spacing w:line="360" w:lineRule="auto"/>
              <w:jc w:val="both"/>
              <w:rPr>
                <w:rFonts w:ascii="Book Antiqua" w:hAnsi="Book Antiqua"/>
                <w:color w:val="000000"/>
              </w:rPr>
            </w:pPr>
            <w:r w:rsidRPr="00A23AA9">
              <w:rPr>
                <w:rFonts w:ascii="Book Antiqua" w:hAnsi="Book Antiqua"/>
                <w:color w:val="000000"/>
              </w:rPr>
              <w:t>56.0%</w:t>
            </w:r>
          </w:p>
        </w:tc>
        <w:tc>
          <w:tcPr>
            <w:tcW w:w="1110" w:type="dxa"/>
            <w:tcBorders>
              <w:top w:val="nil"/>
              <w:left w:val="nil"/>
              <w:bottom w:val="nil"/>
              <w:right w:val="nil"/>
            </w:tcBorders>
            <w:shd w:val="clear" w:color="000000" w:fill="FFFFFF"/>
            <w:noWrap/>
            <w:hideMark/>
          </w:tcPr>
          <w:p w14:paraId="7015B439"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0BAFD909"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53.8%</w:t>
            </w:r>
          </w:p>
        </w:tc>
        <w:tc>
          <w:tcPr>
            <w:tcW w:w="1552" w:type="dxa"/>
            <w:tcBorders>
              <w:top w:val="nil"/>
              <w:left w:val="nil"/>
              <w:bottom w:val="nil"/>
              <w:right w:val="nil"/>
            </w:tcBorders>
            <w:shd w:val="clear" w:color="000000" w:fill="FFFFFF"/>
            <w:noWrap/>
            <w:hideMark/>
          </w:tcPr>
          <w:p w14:paraId="7425D827"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6AE23E9C"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0.689 </w:t>
            </w:r>
          </w:p>
        </w:tc>
      </w:tr>
      <w:tr w:rsidR="00CA1127" w:rsidRPr="00C76E19" w14:paraId="3CB38718" w14:textId="77777777" w:rsidTr="00D05FFF">
        <w:trPr>
          <w:trHeight w:val="298"/>
        </w:trPr>
        <w:tc>
          <w:tcPr>
            <w:tcW w:w="4761" w:type="dxa"/>
            <w:tcBorders>
              <w:top w:val="nil"/>
              <w:left w:val="nil"/>
              <w:right w:val="nil"/>
            </w:tcBorders>
            <w:shd w:val="clear" w:color="000000" w:fill="FFFFFF"/>
            <w:noWrap/>
            <w:hideMark/>
          </w:tcPr>
          <w:p w14:paraId="3C99790D" w14:textId="2D16B12D"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hint="eastAsia"/>
                <w:color w:val="000000"/>
              </w:rPr>
              <w:t>≥</w:t>
            </w:r>
            <w:r w:rsidR="00C61E72" w:rsidRPr="00C76E19">
              <w:rPr>
                <w:rFonts w:ascii="Book Antiqua" w:hAnsi="Book Antiqua"/>
                <w:color w:val="000000"/>
              </w:rPr>
              <w:t xml:space="preserve"> </w:t>
            </w:r>
            <w:r w:rsidRPr="00C76E19">
              <w:rPr>
                <w:rFonts w:ascii="Book Antiqua" w:hAnsi="Book Antiqua"/>
                <w:color w:val="000000"/>
              </w:rPr>
              <w:t>24</w:t>
            </w:r>
          </w:p>
        </w:tc>
        <w:tc>
          <w:tcPr>
            <w:tcW w:w="2063" w:type="dxa"/>
            <w:tcBorders>
              <w:top w:val="nil"/>
              <w:left w:val="nil"/>
              <w:right w:val="nil"/>
            </w:tcBorders>
            <w:shd w:val="clear" w:color="000000" w:fill="FFFFFF"/>
            <w:noWrap/>
            <w:hideMark/>
          </w:tcPr>
          <w:p w14:paraId="66C5CD19"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10.4%</w:t>
            </w:r>
          </w:p>
        </w:tc>
        <w:tc>
          <w:tcPr>
            <w:tcW w:w="1110" w:type="dxa"/>
            <w:tcBorders>
              <w:top w:val="nil"/>
              <w:left w:val="nil"/>
              <w:right w:val="nil"/>
            </w:tcBorders>
            <w:shd w:val="clear" w:color="000000" w:fill="FFFFFF"/>
            <w:noWrap/>
            <w:hideMark/>
          </w:tcPr>
          <w:p w14:paraId="4D5A2F11"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right w:val="nil"/>
            </w:tcBorders>
            <w:shd w:val="clear" w:color="000000" w:fill="FFFFFF"/>
            <w:noWrap/>
            <w:hideMark/>
          </w:tcPr>
          <w:p w14:paraId="17CC8A1A"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6.2%</w:t>
            </w:r>
          </w:p>
        </w:tc>
        <w:tc>
          <w:tcPr>
            <w:tcW w:w="1552" w:type="dxa"/>
            <w:tcBorders>
              <w:top w:val="nil"/>
              <w:left w:val="nil"/>
              <w:right w:val="nil"/>
            </w:tcBorders>
            <w:shd w:val="clear" w:color="000000" w:fill="FFFFFF"/>
            <w:noWrap/>
            <w:hideMark/>
          </w:tcPr>
          <w:p w14:paraId="1CDAC2A4"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right w:val="nil"/>
            </w:tcBorders>
            <w:shd w:val="clear" w:color="000000" w:fill="FFFFFF"/>
            <w:noWrap/>
            <w:hideMark/>
          </w:tcPr>
          <w:p w14:paraId="0F69D417"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0.165 </w:t>
            </w:r>
          </w:p>
        </w:tc>
      </w:tr>
      <w:tr w:rsidR="00CA1127" w:rsidRPr="00C76E19" w14:paraId="1888F303" w14:textId="77777777" w:rsidTr="00D05FFF">
        <w:trPr>
          <w:trHeight w:val="298"/>
        </w:trPr>
        <w:tc>
          <w:tcPr>
            <w:tcW w:w="4761" w:type="dxa"/>
            <w:tcBorders>
              <w:top w:val="nil"/>
              <w:left w:val="nil"/>
              <w:bottom w:val="nil"/>
              <w:right w:val="nil"/>
            </w:tcBorders>
            <w:shd w:val="clear" w:color="000000" w:fill="FFFFFF"/>
            <w:noWrap/>
            <w:hideMark/>
          </w:tcPr>
          <w:p w14:paraId="4E528460"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Lifestyle </w:t>
            </w:r>
          </w:p>
        </w:tc>
        <w:tc>
          <w:tcPr>
            <w:tcW w:w="2063" w:type="dxa"/>
            <w:tcBorders>
              <w:top w:val="nil"/>
              <w:left w:val="nil"/>
              <w:bottom w:val="nil"/>
              <w:right w:val="nil"/>
            </w:tcBorders>
            <w:shd w:val="clear" w:color="000000" w:fill="FFFFFF"/>
            <w:noWrap/>
            <w:hideMark/>
          </w:tcPr>
          <w:p w14:paraId="4EAD3CDA"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110" w:type="dxa"/>
            <w:tcBorders>
              <w:top w:val="nil"/>
              <w:left w:val="nil"/>
              <w:bottom w:val="nil"/>
              <w:right w:val="nil"/>
            </w:tcBorders>
            <w:shd w:val="clear" w:color="000000" w:fill="FFFFFF"/>
            <w:noWrap/>
            <w:hideMark/>
          </w:tcPr>
          <w:p w14:paraId="67045933"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2CDEE9D9"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552" w:type="dxa"/>
            <w:tcBorders>
              <w:top w:val="nil"/>
              <w:left w:val="nil"/>
              <w:bottom w:val="nil"/>
              <w:right w:val="nil"/>
            </w:tcBorders>
            <w:shd w:val="clear" w:color="000000" w:fill="FFFFFF"/>
            <w:noWrap/>
            <w:hideMark/>
          </w:tcPr>
          <w:p w14:paraId="7EBDE805"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567AFEE0" w14:textId="77777777" w:rsidR="00CA1127" w:rsidRPr="00C76E19" w:rsidRDefault="00CA1127" w:rsidP="00AE2A93">
            <w:pPr>
              <w:snapToGrid w:val="0"/>
              <w:spacing w:line="360" w:lineRule="auto"/>
              <w:jc w:val="both"/>
              <w:rPr>
                <w:rFonts w:ascii="Book Antiqua" w:hAnsi="Book Antiqua"/>
                <w:b/>
                <w:bCs/>
                <w:i/>
                <w:iCs/>
                <w:color w:val="000000"/>
              </w:rPr>
            </w:pPr>
            <w:r w:rsidRPr="00C76E19">
              <w:rPr>
                <w:rFonts w:ascii="Book Antiqua" w:hAnsi="Book Antiqua"/>
                <w:b/>
                <w:bCs/>
                <w:i/>
                <w:iCs/>
                <w:color w:val="000000"/>
              </w:rPr>
              <w:t> </w:t>
            </w:r>
          </w:p>
        </w:tc>
      </w:tr>
      <w:tr w:rsidR="00CA1127" w:rsidRPr="00C76E19" w14:paraId="6917755A" w14:textId="77777777" w:rsidTr="00D05FFF">
        <w:trPr>
          <w:trHeight w:val="298"/>
        </w:trPr>
        <w:tc>
          <w:tcPr>
            <w:tcW w:w="4761" w:type="dxa"/>
            <w:tcBorders>
              <w:top w:val="nil"/>
              <w:left w:val="nil"/>
              <w:bottom w:val="nil"/>
              <w:right w:val="nil"/>
            </w:tcBorders>
            <w:shd w:val="clear" w:color="000000" w:fill="FFFFFF"/>
            <w:noWrap/>
            <w:hideMark/>
          </w:tcPr>
          <w:p w14:paraId="58DF7CDA"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Non-smoker </w:t>
            </w:r>
          </w:p>
        </w:tc>
        <w:tc>
          <w:tcPr>
            <w:tcW w:w="2063" w:type="dxa"/>
            <w:tcBorders>
              <w:top w:val="nil"/>
              <w:left w:val="nil"/>
              <w:bottom w:val="nil"/>
              <w:right w:val="nil"/>
            </w:tcBorders>
            <w:shd w:val="clear" w:color="000000" w:fill="FFFFFF"/>
            <w:noWrap/>
            <w:hideMark/>
          </w:tcPr>
          <w:p w14:paraId="10C58AF8"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85.7%</w:t>
            </w:r>
          </w:p>
        </w:tc>
        <w:tc>
          <w:tcPr>
            <w:tcW w:w="1110" w:type="dxa"/>
            <w:tcBorders>
              <w:top w:val="nil"/>
              <w:left w:val="nil"/>
              <w:bottom w:val="nil"/>
              <w:right w:val="nil"/>
            </w:tcBorders>
            <w:shd w:val="clear" w:color="000000" w:fill="FFFFFF"/>
            <w:noWrap/>
            <w:hideMark/>
          </w:tcPr>
          <w:p w14:paraId="0571026C"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5B7690CC"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87.7%</w:t>
            </w:r>
          </w:p>
        </w:tc>
        <w:tc>
          <w:tcPr>
            <w:tcW w:w="1552" w:type="dxa"/>
            <w:tcBorders>
              <w:top w:val="nil"/>
              <w:left w:val="nil"/>
              <w:bottom w:val="nil"/>
              <w:right w:val="nil"/>
            </w:tcBorders>
            <w:shd w:val="clear" w:color="000000" w:fill="FFFFFF"/>
            <w:noWrap/>
            <w:hideMark/>
          </w:tcPr>
          <w:p w14:paraId="6E9DB859"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33B63128"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0.592 </w:t>
            </w:r>
          </w:p>
        </w:tc>
      </w:tr>
      <w:tr w:rsidR="00CA1127" w:rsidRPr="00C76E19" w14:paraId="46CAF16F" w14:textId="77777777" w:rsidTr="00D05FFF">
        <w:trPr>
          <w:trHeight w:val="298"/>
        </w:trPr>
        <w:tc>
          <w:tcPr>
            <w:tcW w:w="4761" w:type="dxa"/>
            <w:tcBorders>
              <w:top w:val="nil"/>
              <w:left w:val="nil"/>
              <w:right w:val="nil"/>
            </w:tcBorders>
            <w:shd w:val="clear" w:color="000000" w:fill="FFFFFF"/>
            <w:noWrap/>
            <w:hideMark/>
          </w:tcPr>
          <w:p w14:paraId="43FDF74E"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Non-drinker </w:t>
            </w:r>
          </w:p>
        </w:tc>
        <w:tc>
          <w:tcPr>
            <w:tcW w:w="2063" w:type="dxa"/>
            <w:tcBorders>
              <w:top w:val="nil"/>
              <w:left w:val="nil"/>
              <w:right w:val="nil"/>
            </w:tcBorders>
            <w:shd w:val="clear" w:color="000000" w:fill="FFFFFF"/>
            <w:noWrap/>
            <w:hideMark/>
          </w:tcPr>
          <w:p w14:paraId="01053D9D"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81.9%</w:t>
            </w:r>
          </w:p>
        </w:tc>
        <w:tc>
          <w:tcPr>
            <w:tcW w:w="1110" w:type="dxa"/>
            <w:tcBorders>
              <w:top w:val="nil"/>
              <w:left w:val="nil"/>
              <w:right w:val="nil"/>
            </w:tcBorders>
            <w:shd w:val="clear" w:color="000000" w:fill="FFFFFF"/>
            <w:noWrap/>
            <w:hideMark/>
          </w:tcPr>
          <w:p w14:paraId="41194E15"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right w:val="nil"/>
            </w:tcBorders>
            <w:shd w:val="clear" w:color="000000" w:fill="FFFFFF"/>
            <w:noWrap/>
            <w:hideMark/>
          </w:tcPr>
          <w:p w14:paraId="02D54F41"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88.5%</w:t>
            </w:r>
          </w:p>
        </w:tc>
        <w:tc>
          <w:tcPr>
            <w:tcW w:w="1552" w:type="dxa"/>
            <w:tcBorders>
              <w:top w:val="nil"/>
              <w:left w:val="nil"/>
              <w:right w:val="nil"/>
            </w:tcBorders>
            <w:shd w:val="clear" w:color="000000" w:fill="FFFFFF"/>
            <w:noWrap/>
            <w:hideMark/>
          </w:tcPr>
          <w:p w14:paraId="4C4E2477"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right w:val="nil"/>
            </w:tcBorders>
            <w:shd w:val="clear" w:color="000000" w:fill="FFFFFF"/>
            <w:noWrap/>
            <w:hideMark/>
          </w:tcPr>
          <w:p w14:paraId="6CD9B761"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0.093 </w:t>
            </w:r>
          </w:p>
        </w:tc>
      </w:tr>
      <w:tr w:rsidR="00CA1127" w:rsidRPr="00C76E19" w14:paraId="6E1F8F56" w14:textId="77777777" w:rsidTr="00D05FFF">
        <w:trPr>
          <w:trHeight w:val="298"/>
        </w:trPr>
        <w:tc>
          <w:tcPr>
            <w:tcW w:w="4761" w:type="dxa"/>
            <w:tcBorders>
              <w:top w:val="nil"/>
              <w:left w:val="nil"/>
              <w:bottom w:val="nil"/>
              <w:right w:val="nil"/>
            </w:tcBorders>
            <w:shd w:val="clear" w:color="000000" w:fill="FFFFFF"/>
            <w:noWrap/>
            <w:hideMark/>
          </w:tcPr>
          <w:p w14:paraId="729D17B2"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Marital status </w:t>
            </w:r>
          </w:p>
        </w:tc>
        <w:tc>
          <w:tcPr>
            <w:tcW w:w="2063" w:type="dxa"/>
            <w:tcBorders>
              <w:top w:val="nil"/>
              <w:left w:val="nil"/>
              <w:bottom w:val="nil"/>
              <w:right w:val="nil"/>
            </w:tcBorders>
            <w:shd w:val="clear" w:color="000000" w:fill="FFFFFF"/>
            <w:noWrap/>
            <w:hideMark/>
          </w:tcPr>
          <w:p w14:paraId="0FA308D8"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110" w:type="dxa"/>
            <w:tcBorders>
              <w:top w:val="nil"/>
              <w:left w:val="nil"/>
              <w:bottom w:val="nil"/>
              <w:right w:val="nil"/>
            </w:tcBorders>
            <w:shd w:val="clear" w:color="000000" w:fill="FFFFFF"/>
            <w:noWrap/>
            <w:hideMark/>
          </w:tcPr>
          <w:p w14:paraId="7C96FFA3"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47DA00C2"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552" w:type="dxa"/>
            <w:tcBorders>
              <w:top w:val="nil"/>
              <w:left w:val="nil"/>
              <w:bottom w:val="nil"/>
              <w:right w:val="nil"/>
            </w:tcBorders>
            <w:shd w:val="clear" w:color="000000" w:fill="FFFFFF"/>
            <w:noWrap/>
            <w:hideMark/>
          </w:tcPr>
          <w:p w14:paraId="115BE5BA"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0D88BC7B" w14:textId="77777777" w:rsidR="00CA1127" w:rsidRPr="00C76E19" w:rsidRDefault="00CA1127" w:rsidP="00AE2A93">
            <w:pPr>
              <w:snapToGrid w:val="0"/>
              <w:spacing w:line="360" w:lineRule="auto"/>
              <w:jc w:val="both"/>
              <w:rPr>
                <w:rFonts w:ascii="Book Antiqua" w:hAnsi="Book Antiqua"/>
                <w:b/>
                <w:bCs/>
                <w:i/>
                <w:iCs/>
                <w:color w:val="000000"/>
              </w:rPr>
            </w:pPr>
            <w:r w:rsidRPr="00C76E19">
              <w:rPr>
                <w:rFonts w:ascii="Book Antiqua" w:hAnsi="Book Antiqua"/>
                <w:b/>
                <w:bCs/>
                <w:i/>
                <w:iCs/>
                <w:color w:val="000000"/>
              </w:rPr>
              <w:t> </w:t>
            </w:r>
          </w:p>
        </w:tc>
      </w:tr>
      <w:tr w:rsidR="00CA1127" w:rsidRPr="00C76E19" w14:paraId="3AC5D14C" w14:textId="77777777" w:rsidTr="00D05FFF">
        <w:trPr>
          <w:trHeight w:val="298"/>
        </w:trPr>
        <w:tc>
          <w:tcPr>
            <w:tcW w:w="4761" w:type="dxa"/>
            <w:tcBorders>
              <w:top w:val="nil"/>
              <w:left w:val="nil"/>
              <w:bottom w:val="nil"/>
              <w:right w:val="nil"/>
            </w:tcBorders>
            <w:shd w:val="clear" w:color="000000" w:fill="FFFFFF"/>
            <w:noWrap/>
            <w:hideMark/>
          </w:tcPr>
          <w:p w14:paraId="4BCACB5B"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Unmarried </w:t>
            </w:r>
          </w:p>
        </w:tc>
        <w:tc>
          <w:tcPr>
            <w:tcW w:w="2063" w:type="dxa"/>
            <w:tcBorders>
              <w:top w:val="nil"/>
              <w:left w:val="nil"/>
              <w:bottom w:val="nil"/>
              <w:right w:val="nil"/>
            </w:tcBorders>
            <w:shd w:val="clear" w:color="000000" w:fill="FFFFFF"/>
            <w:noWrap/>
            <w:hideMark/>
          </w:tcPr>
          <w:p w14:paraId="3DE8384D"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43.2%</w:t>
            </w:r>
          </w:p>
        </w:tc>
        <w:tc>
          <w:tcPr>
            <w:tcW w:w="1110" w:type="dxa"/>
            <w:tcBorders>
              <w:top w:val="nil"/>
              <w:left w:val="nil"/>
              <w:bottom w:val="nil"/>
              <w:right w:val="nil"/>
            </w:tcBorders>
            <w:shd w:val="clear" w:color="000000" w:fill="FFFFFF"/>
            <w:noWrap/>
            <w:hideMark/>
          </w:tcPr>
          <w:p w14:paraId="10C4BE70"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66CA87B5"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32.3%</w:t>
            </w:r>
          </w:p>
        </w:tc>
        <w:tc>
          <w:tcPr>
            <w:tcW w:w="1552" w:type="dxa"/>
            <w:tcBorders>
              <w:top w:val="nil"/>
              <w:left w:val="nil"/>
              <w:bottom w:val="nil"/>
              <w:right w:val="nil"/>
            </w:tcBorders>
            <w:shd w:val="clear" w:color="000000" w:fill="FFFFFF"/>
            <w:noWrap/>
            <w:hideMark/>
          </w:tcPr>
          <w:p w14:paraId="02C50D5D"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5C9E5DC2" w14:textId="6B038492"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0.037</w:t>
            </w:r>
            <w:r w:rsidR="00C61E72" w:rsidRPr="00C76E19">
              <w:rPr>
                <w:rFonts w:ascii="Book Antiqua" w:hAnsi="Book Antiqua"/>
                <w:color w:val="000000"/>
                <w:vertAlign w:val="superscript"/>
              </w:rPr>
              <w:t>a</w:t>
            </w:r>
          </w:p>
        </w:tc>
      </w:tr>
      <w:tr w:rsidR="00CA1127" w:rsidRPr="00C76E19" w14:paraId="1F5D4373" w14:textId="77777777" w:rsidTr="00D05FFF">
        <w:trPr>
          <w:trHeight w:val="298"/>
        </w:trPr>
        <w:tc>
          <w:tcPr>
            <w:tcW w:w="4761" w:type="dxa"/>
            <w:tcBorders>
              <w:top w:val="nil"/>
              <w:left w:val="nil"/>
              <w:right w:val="nil"/>
            </w:tcBorders>
            <w:shd w:val="clear" w:color="000000" w:fill="FFFFFF"/>
            <w:noWrap/>
            <w:hideMark/>
          </w:tcPr>
          <w:p w14:paraId="51FB1D43"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Married </w:t>
            </w:r>
          </w:p>
        </w:tc>
        <w:tc>
          <w:tcPr>
            <w:tcW w:w="2063" w:type="dxa"/>
            <w:tcBorders>
              <w:top w:val="nil"/>
              <w:left w:val="nil"/>
              <w:right w:val="nil"/>
            </w:tcBorders>
            <w:shd w:val="clear" w:color="000000" w:fill="FFFFFF"/>
            <w:noWrap/>
            <w:hideMark/>
          </w:tcPr>
          <w:p w14:paraId="299E6636"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56.0%</w:t>
            </w:r>
          </w:p>
        </w:tc>
        <w:tc>
          <w:tcPr>
            <w:tcW w:w="1110" w:type="dxa"/>
            <w:tcBorders>
              <w:top w:val="nil"/>
              <w:left w:val="nil"/>
              <w:right w:val="nil"/>
            </w:tcBorders>
            <w:shd w:val="clear" w:color="000000" w:fill="FFFFFF"/>
            <w:noWrap/>
            <w:hideMark/>
          </w:tcPr>
          <w:p w14:paraId="3CC3FB69"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right w:val="nil"/>
            </w:tcBorders>
            <w:shd w:val="clear" w:color="000000" w:fill="FFFFFF"/>
            <w:noWrap/>
            <w:hideMark/>
          </w:tcPr>
          <w:p w14:paraId="4590C429"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67.7%</w:t>
            </w:r>
          </w:p>
        </w:tc>
        <w:tc>
          <w:tcPr>
            <w:tcW w:w="1552" w:type="dxa"/>
            <w:tcBorders>
              <w:top w:val="nil"/>
              <w:left w:val="nil"/>
              <w:right w:val="nil"/>
            </w:tcBorders>
            <w:shd w:val="clear" w:color="000000" w:fill="FFFFFF"/>
            <w:noWrap/>
            <w:hideMark/>
          </w:tcPr>
          <w:p w14:paraId="5DC22AA4"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right w:val="nil"/>
            </w:tcBorders>
            <w:shd w:val="clear" w:color="000000" w:fill="FFFFFF"/>
            <w:noWrap/>
            <w:hideMark/>
          </w:tcPr>
          <w:p w14:paraId="7CEAB5EF" w14:textId="709E2DA7" w:rsidR="00CA1127" w:rsidRPr="00C76E19" w:rsidRDefault="00CA1127" w:rsidP="00AE2A93">
            <w:pPr>
              <w:snapToGrid w:val="0"/>
              <w:spacing w:line="360" w:lineRule="auto"/>
              <w:jc w:val="both"/>
              <w:rPr>
                <w:rFonts w:ascii="Book Antiqua" w:hAnsi="Book Antiqua"/>
                <w:b/>
                <w:bCs/>
                <w:i/>
                <w:iCs/>
                <w:color w:val="000000"/>
              </w:rPr>
            </w:pPr>
            <w:r w:rsidRPr="00C76E19">
              <w:rPr>
                <w:rFonts w:ascii="Book Antiqua" w:hAnsi="Book Antiqua"/>
                <w:color w:val="000000"/>
              </w:rPr>
              <w:t>0.026</w:t>
            </w:r>
            <w:r w:rsidR="00C61E72" w:rsidRPr="00C76E19">
              <w:rPr>
                <w:rFonts w:ascii="Book Antiqua" w:hAnsi="Book Antiqua"/>
                <w:color w:val="000000"/>
                <w:vertAlign w:val="superscript"/>
              </w:rPr>
              <w:t>a</w:t>
            </w:r>
          </w:p>
        </w:tc>
      </w:tr>
      <w:tr w:rsidR="00CA1127" w:rsidRPr="00C76E19" w14:paraId="6CBFF40E" w14:textId="77777777" w:rsidTr="00D05FFF">
        <w:trPr>
          <w:trHeight w:val="298"/>
        </w:trPr>
        <w:tc>
          <w:tcPr>
            <w:tcW w:w="4761" w:type="dxa"/>
            <w:tcBorders>
              <w:top w:val="nil"/>
              <w:left w:val="nil"/>
              <w:bottom w:val="nil"/>
              <w:right w:val="nil"/>
            </w:tcBorders>
            <w:shd w:val="clear" w:color="000000" w:fill="FFFFFF"/>
            <w:noWrap/>
            <w:hideMark/>
          </w:tcPr>
          <w:p w14:paraId="57F16233"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Employment status </w:t>
            </w:r>
          </w:p>
        </w:tc>
        <w:tc>
          <w:tcPr>
            <w:tcW w:w="2063" w:type="dxa"/>
            <w:tcBorders>
              <w:top w:val="nil"/>
              <w:left w:val="nil"/>
              <w:bottom w:val="nil"/>
              <w:right w:val="nil"/>
            </w:tcBorders>
            <w:shd w:val="clear" w:color="000000" w:fill="FFFFFF"/>
            <w:noWrap/>
            <w:hideMark/>
          </w:tcPr>
          <w:p w14:paraId="62512D0B"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110" w:type="dxa"/>
            <w:tcBorders>
              <w:top w:val="nil"/>
              <w:left w:val="nil"/>
              <w:bottom w:val="nil"/>
              <w:right w:val="nil"/>
            </w:tcBorders>
            <w:shd w:val="clear" w:color="000000" w:fill="FFFFFF"/>
            <w:noWrap/>
            <w:hideMark/>
          </w:tcPr>
          <w:p w14:paraId="5F39FC20"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4E8A3E80"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552" w:type="dxa"/>
            <w:tcBorders>
              <w:top w:val="nil"/>
              <w:left w:val="nil"/>
              <w:bottom w:val="nil"/>
              <w:right w:val="nil"/>
            </w:tcBorders>
            <w:shd w:val="clear" w:color="000000" w:fill="FFFFFF"/>
            <w:noWrap/>
            <w:hideMark/>
          </w:tcPr>
          <w:p w14:paraId="288C9D67"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357F3749" w14:textId="77777777" w:rsidR="00CA1127" w:rsidRPr="00C76E19" w:rsidRDefault="00CA1127" w:rsidP="00AE2A93">
            <w:pPr>
              <w:snapToGrid w:val="0"/>
              <w:spacing w:line="360" w:lineRule="auto"/>
              <w:jc w:val="both"/>
              <w:rPr>
                <w:rFonts w:ascii="Book Antiqua" w:hAnsi="Book Antiqua"/>
                <w:b/>
                <w:bCs/>
                <w:i/>
                <w:iCs/>
                <w:color w:val="000000"/>
              </w:rPr>
            </w:pPr>
            <w:r w:rsidRPr="00C76E19">
              <w:rPr>
                <w:rFonts w:ascii="Book Antiqua" w:hAnsi="Book Antiqua"/>
                <w:b/>
                <w:bCs/>
                <w:i/>
                <w:iCs/>
                <w:color w:val="000000"/>
              </w:rPr>
              <w:t> </w:t>
            </w:r>
          </w:p>
        </w:tc>
      </w:tr>
      <w:tr w:rsidR="00CA1127" w:rsidRPr="00C76E19" w14:paraId="540FF0C6" w14:textId="77777777" w:rsidTr="00D05FFF">
        <w:trPr>
          <w:trHeight w:val="298"/>
        </w:trPr>
        <w:tc>
          <w:tcPr>
            <w:tcW w:w="4761" w:type="dxa"/>
            <w:tcBorders>
              <w:top w:val="nil"/>
              <w:left w:val="nil"/>
              <w:bottom w:val="nil"/>
              <w:right w:val="nil"/>
            </w:tcBorders>
            <w:shd w:val="clear" w:color="000000" w:fill="FFFFFF"/>
            <w:noWrap/>
            <w:hideMark/>
          </w:tcPr>
          <w:p w14:paraId="1B029DF9"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Student</w:t>
            </w:r>
          </w:p>
        </w:tc>
        <w:tc>
          <w:tcPr>
            <w:tcW w:w="2063" w:type="dxa"/>
            <w:tcBorders>
              <w:top w:val="nil"/>
              <w:left w:val="nil"/>
              <w:bottom w:val="nil"/>
              <w:right w:val="nil"/>
            </w:tcBorders>
            <w:shd w:val="clear" w:color="000000" w:fill="FFFFFF"/>
            <w:noWrap/>
            <w:hideMark/>
          </w:tcPr>
          <w:p w14:paraId="4E7307B0"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13.5%</w:t>
            </w:r>
          </w:p>
        </w:tc>
        <w:tc>
          <w:tcPr>
            <w:tcW w:w="1110" w:type="dxa"/>
            <w:tcBorders>
              <w:top w:val="nil"/>
              <w:left w:val="nil"/>
              <w:bottom w:val="nil"/>
              <w:right w:val="nil"/>
            </w:tcBorders>
            <w:shd w:val="clear" w:color="000000" w:fill="FFFFFF"/>
            <w:noWrap/>
            <w:hideMark/>
          </w:tcPr>
          <w:p w14:paraId="2DFAC78D"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08C6332F"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7.7%</w:t>
            </w:r>
          </w:p>
        </w:tc>
        <w:tc>
          <w:tcPr>
            <w:tcW w:w="1552" w:type="dxa"/>
            <w:tcBorders>
              <w:top w:val="nil"/>
              <w:left w:val="nil"/>
              <w:bottom w:val="nil"/>
              <w:right w:val="nil"/>
            </w:tcBorders>
            <w:shd w:val="clear" w:color="000000" w:fill="FFFFFF"/>
            <w:noWrap/>
            <w:hideMark/>
          </w:tcPr>
          <w:p w14:paraId="36A64613"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23DB22FE"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0.090 </w:t>
            </w:r>
          </w:p>
        </w:tc>
      </w:tr>
      <w:tr w:rsidR="00CA1127" w:rsidRPr="00C76E19" w14:paraId="65E767A3" w14:textId="77777777" w:rsidTr="00D05FFF">
        <w:trPr>
          <w:trHeight w:val="298"/>
        </w:trPr>
        <w:tc>
          <w:tcPr>
            <w:tcW w:w="4761" w:type="dxa"/>
            <w:tcBorders>
              <w:top w:val="nil"/>
              <w:left w:val="nil"/>
              <w:bottom w:val="nil"/>
              <w:right w:val="nil"/>
            </w:tcBorders>
            <w:shd w:val="clear" w:color="000000" w:fill="FFFFFF"/>
            <w:noWrap/>
            <w:hideMark/>
          </w:tcPr>
          <w:p w14:paraId="0294B566"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Full-time </w:t>
            </w:r>
          </w:p>
        </w:tc>
        <w:tc>
          <w:tcPr>
            <w:tcW w:w="2063" w:type="dxa"/>
            <w:tcBorders>
              <w:top w:val="nil"/>
              <w:left w:val="nil"/>
              <w:bottom w:val="nil"/>
              <w:right w:val="nil"/>
            </w:tcBorders>
            <w:shd w:val="clear" w:color="000000" w:fill="FFFFFF"/>
            <w:noWrap/>
            <w:hideMark/>
          </w:tcPr>
          <w:p w14:paraId="1DFFB8E3"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59.1%</w:t>
            </w:r>
          </w:p>
        </w:tc>
        <w:tc>
          <w:tcPr>
            <w:tcW w:w="1110" w:type="dxa"/>
            <w:tcBorders>
              <w:top w:val="nil"/>
              <w:left w:val="nil"/>
              <w:bottom w:val="nil"/>
              <w:right w:val="nil"/>
            </w:tcBorders>
            <w:shd w:val="clear" w:color="000000" w:fill="FFFFFF"/>
            <w:noWrap/>
            <w:hideMark/>
          </w:tcPr>
          <w:p w14:paraId="7664A418"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0DF83671"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54.6%</w:t>
            </w:r>
          </w:p>
        </w:tc>
        <w:tc>
          <w:tcPr>
            <w:tcW w:w="1552" w:type="dxa"/>
            <w:tcBorders>
              <w:top w:val="nil"/>
              <w:left w:val="nil"/>
              <w:bottom w:val="nil"/>
              <w:right w:val="nil"/>
            </w:tcBorders>
            <w:shd w:val="clear" w:color="000000" w:fill="FFFFFF"/>
            <w:noWrap/>
            <w:hideMark/>
          </w:tcPr>
          <w:p w14:paraId="064D3B23"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5BE25606"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0.401 </w:t>
            </w:r>
          </w:p>
        </w:tc>
      </w:tr>
      <w:tr w:rsidR="00CA1127" w:rsidRPr="00C76E19" w14:paraId="5906CCB9" w14:textId="77777777" w:rsidTr="00D05FFF">
        <w:trPr>
          <w:trHeight w:val="298"/>
        </w:trPr>
        <w:tc>
          <w:tcPr>
            <w:tcW w:w="4761" w:type="dxa"/>
            <w:tcBorders>
              <w:top w:val="nil"/>
              <w:left w:val="nil"/>
              <w:bottom w:val="nil"/>
              <w:right w:val="nil"/>
            </w:tcBorders>
            <w:shd w:val="clear" w:color="000000" w:fill="FFFFFF"/>
            <w:noWrap/>
            <w:hideMark/>
          </w:tcPr>
          <w:p w14:paraId="797FBB57"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Part-time </w:t>
            </w:r>
          </w:p>
        </w:tc>
        <w:tc>
          <w:tcPr>
            <w:tcW w:w="2063" w:type="dxa"/>
            <w:tcBorders>
              <w:top w:val="nil"/>
              <w:left w:val="nil"/>
              <w:bottom w:val="nil"/>
              <w:right w:val="nil"/>
            </w:tcBorders>
            <w:shd w:val="clear" w:color="000000" w:fill="FFFFFF"/>
            <w:noWrap/>
            <w:hideMark/>
          </w:tcPr>
          <w:p w14:paraId="344304B9"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2.7%</w:t>
            </w:r>
          </w:p>
        </w:tc>
        <w:tc>
          <w:tcPr>
            <w:tcW w:w="1110" w:type="dxa"/>
            <w:tcBorders>
              <w:top w:val="nil"/>
              <w:left w:val="nil"/>
              <w:bottom w:val="nil"/>
              <w:right w:val="nil"/>
            </w:tcBorders>
            <w:shd w:val="clear" w:color="000000" w:fill="FFFFFF"/>
            <w:noWrap/>
            <w:hideMark/>
          </w:tcPr>
          <w:p w14:paraId="0A18FA76"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7B4D3EC1"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2.3%</w:t>
            </w:r>
          </w:p>
        </w:tc>
        <w:tc>
          <w:tcPr>
            <w:tcW w:w="1552" w:type="dxa"/>
            <w:tcBorders>
              <w:top w:val="nil"/>
              <w:left w:val="nil"/>
              <w:bottom w:val="nil"/>
              <w:right w:val="nil"/>
            </w:tcBorders>
            <w:shd w:val="clear" w:color="000000" w:fill="FFFFFF"/>
            <w:noWrap/>
            <w:hideMark/>
          </w:tcPr>
          <w:p w14:paraId="5D6D73AA"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4AFB1CD8"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0.816 </w:t>
            </w:r>
          </w:p>
        </w:tc>
      </w:tr>
      <w:tr w:rsidR="00CA1127" w:rsidRPr="00C76E19" w14:paraId="02231FAF" w14:textId="77777777" w:rsidTr="00D05FFF">
        <w:trPr>
          <w:trHeight w:val="298"/>
        </w:trPr>
        <w:tc>
          <w:tcPr>
            <w:tcW w:w="4761" w:type="dxa"/>
            <w:tcBorders>
              <w:top w:val="nil"/>
              <w:left w:val="nil"/>
              <w:bottom w:val="nil"/>
              <w:right w:val="nil"/>
            </w:tcBorders>
            <w:shd w:val="clear" w:color="000000" w:fill="FFFFFF"/>
            <w:noWrap/>
            <w:hideMark/>
          </w:tcPr>
          <w:p w14:paraId="74E8AEAB"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Unemployed </w:t>
            </w:r>
          </w:p>
        </w:tc>
        <w:tc>
          <w:tcPr>
            <w:tcW w:w="2063" w:type="dxa"/>
            <w:tcBorders>
              <w:top w:val="nil"/>
              <w:left w:val="nil"/>
              <w:bottom w:val="nil"/>
              <w:right w:val="nil"/>
            </w:tcBorders>
            <w:shd w:val="clear" w:color="000000" w:fill="FFFFFF"/>
            <w:noWrap/>
            <w:hideMark/>
          </w:tcPr>
          <w:p w14:paraId="1D81D1AE"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6.9%</w:t>
            </w:r>
          </w:p>
        </w:tc>
        <w:tc>
          <w:tcPr>
            <w:tcW w:w="1110" w:type="dxa"/>
            <w:tcBorders>
              <w:top w:val="nil"/>
              <w:left w:val="nil"/>
              <w:bottom w:val="nil"/>
              <w:right w:val="nil"/>
            </w:tcBorders>
            <w:shd w:val="clear" w:color="000000" w:fill="FFFFFF"/>
            <w:noWrap/>
            <w:hideMark/>
          </w:tcPr>
          <w:p w14:paraId="1855C7EC"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2DE355B1"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1.5%</w:t>
            </w:r>
          </w:p>
        </w:tc>
        <w:tc>
          <w:tcPr>
            <w:tcW w:w="1552" w:type="dxa"/>
            <w:tcBorders>
              <w:top w:val="nil"/>
              <w:left w:val="nil"/>
              <w:bottom w:val="nil"/>
              <w:right w:val="nil"/>
            </w:tcBorders>
            <w:shd w:val="clear" w:color="000000" w:fill="FFFFFF"/>
            <w:noWrap/>
            <w:hideMark/>
          </w:tcPr>
          <w:p w14:paraId="055B408B"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18C7D4CA" w14:textId="19AD4499"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0.023</w:t>
            </w:r>
            <w:r w:rsidR="00C61E72" w:rsidRPr="00C76E19">
              <w:rPr>
                <w:rFonts w:ascii="Book Antiqua" w:hAnsi="Book Antiqua"/>
                <w:color w:val="000000"/>
                <w:vertAlign w:val="superscript"/>
              </w:rPr>
              <w:t>a</w:t>
            </w:r>
          </w:p>
        </w:tc>
      </w:tr>
      <w:tr w:rsidR="00CA1127" w:rsidRPr="00C76E19" w14:paraId="42B92F39" w14:textId="77777777" w:rsidTr="00D05FFF">
        <w:trPr>
          <w:trHeight w:val="298"/>
        </w:trPr>
        <w:tc>
          <w:tcPr>
            <w:tcW w:w="4761" w:type="dxa"/>
            <w:tcBorders>
              <w:top w:val="nil"/>
              <w:left w:val="nil"/>
              <w:bottom w:val="nil"/>
              <w:right w:val="nil"/>
            </w:tcBorders>
            <w:shd w:val="clear" w:color="000000" w:fill="FFFFFF"/>
            <w:noWrap/>
            <w:hideMark/>
          </w:tcPr>
          <w:p w14:paraId="18833E24"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Farmer </w:t>
            </w:r>
          </w:p>
        </w:tc>
        <w:tc>
          <w:tcPr>
            <w:tcW w:w="2063" w:type="dxa"/>
            <w:tcBorders>
              <w:top w:val="nil"/>
              <w:left w:val="nil"/>
              <w:bottom w:val="nil"/>
              <w:right w:val="nil"/>
            </w:tcBorders>
            <w:shd w:val="clear" w:color="000000" w:fill="FFFFFF"/>
            <w:noWrap/>
            <w:hideMark/>
          </w:tcPr>
          <w:p w14:paraId="7DF39C15"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1.5%</w:t>
            </w:r>
          </w:p>
        </w:tc>
        <w:tc>
          <w:tcPr>
            <w:tcW w:w="1110" w:type="dxa"/>
            <w:tcBorders>
              <w:top w:val="nil"/>
              <w:left w:val="nil"/>
              <w:bottom w:val="nil"/>
              <w:right w:val="nil"/>
            </w:tcBorders>
            <w:shd w:val="clear" w:color="000000" w:fill="FFFFFF"/>
            <w:noWrap/>
            <w:hideMark/>
          </w:tcPr>
          <w:p w14:paraId="05B7BA88"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747BB245"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1.5%</w:t>
            </w:r>
          </w:p>
        </w:tc>
        <w:tc>
          <w:tcPr>
            <w:tcW w:w="1552" w:type="dxa"/>
            <w:tcBorders>
              <w:top w:val="nil"/>
              <w:left w:val="nil"/>
              <w:bottom w:val="nil"/>
              <w:right w:val="nil"/>
            </w:tcBorders>
            <w:shd w:val="clear" w:color="000000" w:fill="FFFFFF"/>
            <w:noWrap/>
            <w:hideMark/>
          </w:tcPr>
          <w:p w14:paraId="4872EA1E"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7B8C4DD9"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0.996 </w:t>
            </w:r>
          </w:p>
        </w:tc>
      </w:tr>
      <w:tr w:rsidR="00CA1127" w:rsidRPr="00C76E19" w14:paraId="18C7E7E6" w14:textId="77777777" w:rsidTr="00D05FFF">
        <w:trPr>
          <w:trHeight w:val="298"/>
        </w:trPr>
        <w:tc>
          <w:tcPr>
            <w:tcW w:w="4761" w:type="dxa"/>
            <w:tcBorders>
              <w:top w:val="nil"/>
              <w:left w:val="nil"/>
              <w:bottom w:val="nil"/>
              <w:right w:val="nil"/>
            </w:tcBorders>
            <w:shd w:val="clear" w:color="000000" w:fill="FFFFFF"/>
            <w:noWrap/>
            <w:hideMark/>
          </w:tcPr>
          <w:p w14:paraId="55558628"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Retired </w:t>
            </w:r>
          </w:p>
        </w:tc>
        <w:tc>
          <w:tcPr>
            <w:tcW w:w="2063" w:type="dxa"/>
            <w:tcBorders>
              <w:top w:val="nil"/>
              <w:left w:val="nil"/>
              <w:bottom w:val="nil"/>
              <w:right w:val="nil"/>
            </w:tcBorders>
            <w:shd w:val="clear" w:color="000000" w:fill="FFFFFF"/>
            <w:noWrap/>
            <w:hideMark/>
          </w:tcPr>
          <w:p w14:paraId="4D088E50"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3.9%</w:t>
            </w:r>
          </w:p>
        </w:tc>
        <w:tc>
          <w:tcPr>
            <w:tcW w:w="1110" w:type="dxa"/>
            <w:tcBorders>
              <w:top w:val="nil"/>
              <w:left w:val="nil"/>
              <w:bottom w:val="nil"/>
              <w:right w:val="nil"/>
            </w:tcBorders>
            <w:shd w:val="clear" w:color="000000" w:fill="FFFFFF"/>
            <w:noWrap/>
            <w:hideMark/>
          </w:tcPr>
          <w:p w14:paraId="5C486E79"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61C308DF"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4.6%</w:t>
            </w:r>
          </w:p>
        </w:tc>
        <w:tc>
          <w:tcPr>
            <w:tcW w:w="1552" w:type="dxa"/>
            <w:tcBorders>
              <w:top w:val="nil"/>
              <w:left w:val="nil"/>
              <w:bottom w:val="nil"/>
              <w:right w:val="nil"/>
            </w:tcBorders>
            <w:shd w:val="clear" w:color="000000" w:fill="FFFFFF"/>
            <w:noWrap/>
            <w:hideMark/>
          </w:tcPr>
          <w:p w14:paraId="123848F4"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1453685F"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0.724 </w:t>
            </w:r>
          </w:p>
        </w:tc>
      </w:tr>
      <w:tr w:rsidR="00CA1127" w:rsidRPr="00C76E19" w14:paraId="3AD36E7D" w14:textId="77777777" w:rsidTr="00D05FFF">
        <w:trPr>
          <w:trHeight w:val="298"/>
        </w:trPr>
        <w:tc>
          <w:tcPr>
            <w:tcW w:w="4761" w:type="dxa"/>
            <w:tcBorders>
              <w:top w:val="nil"/>
              <w:left w:val="nil"/>
              <w:bottom w:val="nil"/>
              <w:right w:val="nil"/>
            </w:tcBorders>
            <w:shd w:val="clear" w:color="000000" w:fill="FFFFFF"/>
            <w:noWrap/>
            <w:hideMark/>
          </w:tcPr>
          <w:p w14:paraId="48181E0C"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Unknown </w:t>
            </w:r>
          </w:p>
        </w:tc>
        <w:tc>
          <w:tcPr>
            <w:tcW w:w="2063" w:type="dxa"/>
            <w:tcBorders>
              <w:top w:val="nil"/>
              <w:left w:val="nil"/>
              <w:bottom w:val="nil"/>
              <w:right w:val="nil"/>
            </w:tcBorders>
            <w:shd w:val="clear" w:color="000000" w:fill="FFFFFF"/>
            <w:noWrap/>
            <w:hideMark/>
          </w:tcPr>
          <w:p w14:paraId="604594BD"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5.8%</w:t>
            </w:r>
          </w:p>
        </w:tc>
        <w:tc>
          <w:tcPr>
            <w:tcW w:w="1110" w:type="dxa"/>
            <w:tcBorders>
              <w:top w:val="nil"/>
              <w:left w:val="nil"/>
              <w:bottom w:val="nil"/>
              <w:right w:val="nil"/>
            </w:tcBorders>
            <w:shd w:val="clear" w:color="000000" w:fill="FFFFFF"/>
            <w:noWrap/>
            <w:hideMark/>
          </w:tcPr>
          <w:p w14:paraId="68680374"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79596F73"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18.5%</w:t>
            </w:r>
          </w:p>
        </w:tc>
        <w:tc>
          <w:tcPr>
            <w:tcW w:w="1552" w:type="dxa"/>
            <w:tcBorders>
              <w:top w:val="nil"/>
              <w:left w:val="nil"/>
              <w:bottom w:val="nil"/>
              <w:right w:val="nil"/>
            </w:tcBorders>
            <w:shd w:val="clear" w:color="000000" w:fill="FFFFFF"/>
            <w:noWrap/>
            <w:hideMark/>
          </w:tcPr>
          <w:p w14:paraId="771587B5"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1004318E" w14:textId="272D5ECD"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&lt;</w:t>
            </w:r>
            <w:r w:rsidR="00C61E72" w:rsidRPr="00C76E19">
              <w:rPr>
                <w:rFonts w:ascii="Book Antiqua" w:hAnsi="Book Antiqua"/>
                <w:color w:val="000000"/>
              </w:rPr>
              <w:t xml:space="preserve"> </w:t>
            </w:r>
            <w:r w:rsidRPr="00C76E19">
              <w:rPr>
                <w:rFonts w:ascii="Book Antiqua" w:hAnsi="Book Antiqua"/>
                <w:color w:val="000000"/>
              </w:rPr>
              <w:t>0.001</w:t>
            </w:r>
          </w:p>
        </w:tc>
      </w:tr>
      <w:tr w:rsidR="00CA1127" w:rsidRPr="00C76E19" w14:paraId="2BBD9495" w14:textId="77777777" w:rsidTr="00D05FFF">
        <w:trPr>
          <w:trHeight w:val="298"/>
        </w:trPr>
        <w:tc>
          <w:tcPr>
            <w:tcW w:w="4761" w:type="dxa"/>
            <w:tcBorders>
              <w:top w:val="nil"/>
              <w:left w:val="nil"/>
              <w:right w:val="nil"/>
            </w:tcBorders>
            <w:shd w:val="clear" w:color="000000" w:fill="FFFFFF"/>
            <w:noWrap/>
            <w:hideMark/>
          </w:tcPr>
          <w:p w14:paraId="5C42761E"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Missing </w:t>
            </w:r>
          </w:p>
        </w:tc>
        <w:tc>
          <w:tcPr>
            <w:tcW w:w="2063" w:type="dxa"/>
            <w:tcBorders>
              <w:top w:val="nil"/>
              <w:left w:val="nil"/>
              <w:right w:val="nil"/>
            </w:tcBorders>
            <w:shd w:val="clear" w:color="000000" w:fill="FFFFFF"/>
            <w:noWrap/>
            <w:hideMark/>
          </w:tcPr>
          <w:p w14:paraId="7CBA4C63"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6.6%</w:t>
            </w:r>
          </w:p>
        </w:tc>
        <w:tc>
          <w:tcPr>
            <w:tcW w:w="1110" w:type="dxa"/>
            <w:tcBorders>
              <w:top w:val="nil"/>
              <w:left w:val="nil"/>
              <w:right w:val="nil"/>
            </w:tcBorders>
            <w:shd w:val="clear" w:color="000000" w:fill="FFFFFF"/>
            <w:noWrap/>
            <w:hideMark/>
          </w:tcPr>
          <w:p w14:paraId="12117CF6"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right w:val="nil"/>
            </w:tcBorders>
            <w:shd w:val="clear" w:color="000000" w:fill="FFFFFF"/>
            <w:noWrap/>
            <w:hideMark/>
          </w:tcPr>
          <w:p w14:paraId="43F39ABF"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9.2%</w:t>
            </w:r>
          </w:p>
        </w:tc>
        <w:tc>
          <w:tcPr>
            <w:tcW w:w="1552" w:type="dxa"/>
            <w:tcBorders>
              <w:top w:val="nil"/>
              <w:left w:val="nil"/>
              <w:right w:val="nil"/>
            </w:tcBorders>
            <w:shd w:val="clear" w:color="000000" w:fill="FFFFFF"/>
            <w:noWrap/>
            <w:hideMark/>
          </w:tcPr>
          <w:p w14:paraId="73845FC2"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right w:val="nil"/>
            </w:tcBorders>
            <w:shd w:val="clear" w:color="000000" w:fill="FFFFFF"/>
            <w:noWrap/>
            <w:hideMark/>
          </w:tcPr>
          <w:p w14:paraId="385A9588"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0.345 </w:t>
            </w:r>
          </w:p>
        </w:tc>
      </w:tr>
      <w:tr w:rsidR="00CA1127" w:rsidRPr="00C76E19" w14:paraId="0CA3F3AC" w14:textId="77777777" w:rsidTr="00D05FFF">
        <w:trPr>
          <w:trHeight w:val="298"/>
        </w:trPr>
        <w:tc>
          <w:tcPr>
            <w:tcW w:w="4761" w:type="dxa"/>
            <w:tcBorders>
              <w:top w:val="nil"/>
              <w:left w:val="nil"/>
              <w:bottom w:val="nil"/>
              <w:right w:val="nil"/>
            </w:tcBorders>
            <w:shd w:val="clear" w:color="000000" w:fill="FFFFFF"/>
            <w:noWrap/>
            <w:hideMark/>
          </w:tcPr>
          <w:p w14:paraId="22F9E17C"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Disease site at diagnosis </w:t>
            </w:r>
          </w:p>
        </w:tc>
        <w:tc>
          <w:tcPr>
            <w:tcW w:w="2063" w:type="dxa"/>
            <w:tcBorders>
              <w:top w:val="nil"/>
              <w:left w:val="nil"/>
              <w:bottom w:val="nil"/>
              <w:right w:val="nil"/>
            </w:tcBorders>
            <w:shd w:val="clear" w:color="000000" w:fill="FFFFFF"/>
            <w:noWrap/>
            <w:hideMark/>
          </w:tcPr>
          <w:p w14:paraId="674C2537"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110" w:type="dxa"/>
            <w:tcBorders>
              <w:top w:val="nil"/>
              <w:left w:val="nil"/>
              <w:bottom w:val="nil"/>
              <w:right w:val="nil"/>
            </w:tcBorders>
            <w:shd w:val="clear" w:color="000000" w:fill="FFFFFF"/>
            <w:noWrap/>
            <w:hideMark/>
          </w:tcPr>
          <w:p w14:paraId="6F3CA0A5"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03EBC8D7"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552" w:type="dxa"/>
            <w:tcBorders>
              <w:top w:val="nil"/>
              <w:left w:val="nil"/>
              <w:bottom w:val="nil"/>
              <w:right w:val="nil"/>
            </w:tcBorders>
            <w:shd w:val="clear" w:color="000000" w:fill="FFFFFF"/>
            <w:noWrap/>
            <w:hideMark/>
          </w:tcPr>
          <w:p w14:paraId="07848CFE"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0321982F" w14:textId="77777777" w:rsidR="00CA1127" w:rsidRPr="00C76E19" w:rsidRDefault="00CA1127" w:rsidP="00AE2A93">
            <w:pPr>
              <w:snapToGrid w:val="0"/>
              <w:spacing w:line="360" w:lineRule="auto"/>
              <w:jc w:val="both"/>
              <w:rPr>
                <w:rFonts w:ascii="Book Antiqua" w:hAnsi="Book Antiqua"/>
                <w:b/>
                <w:bCs/>
                <w:i/>
                <w:iCs/>
                <w:color w:val="000000"/>
              </w:rPr>
            </w:pPr>
            <w:r w:rsidRPr="00C76E19">
              <w:rPr>
                <w:rFonts w:ascii="Book Antiqua" w:hAnsi="Book Antiqua"/>
                <w:b/>
                <w:bCs/>
                <w:i/>
                <w:iCs/>
                <w:color w:val="000000"/>
              </w:rPr>
              <w:t> </w:t>
            </w:r>
          </w:p>
        </w:tc>
      </w:tr>
      <w:tr w:rsidR="00CA1127" w:rsidRPr="00C76E19" w14:paraId="39ED624E" w14:textId="77777777" w:rsidTr="00D05FFF">
        <w:trPr>
          <w:trHeight w:val="298"/>
        </w:trPr>
        <w:tc>
          <w:tcPr>
            <w:tcW w:w="4761" w:type="dxa"/>
            <w:tcBorders>
              <w:top w:val="nil"/>
              <w:left w:val="nil"/>
              <w:bottom w:val="nil"/>
              <w:right w:val="nil"/>
            </w:tcBorders>
            <w:shd w:val="clear" w:color="000000" w:fill="FFFFFF"/>
            <w:noWrap/>
            <w:hideMark/>
          </w:tcPr>
          <w:p w14:paraId="08C7CCE1"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Distal colon</w:t>
            </w:r>
          </w:p>
        </w:tc>
        <w:tc>
          <w:tcPr>
            <w:tcW w:w="2063" w:type="dxa"/>
            <w:tcBorders>
              <w:top w:val="nil"/>
              <w:left w:val="nil"/>
              <w:bottom w:val="nil"/>
              <w:right w:val="nil"/>
            </w:tcBorders>
            <w:shd w:val="clear" w:color="000000" w:fill="FFFFFF"/>
            <w:noWrap/>
            <w:hideMark/>
          </w:tcPr>
          <w:p w14:paraId="740B7A79"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52.9%</w:t>
            </w:r>
          </w:p>
        </w:tc>
        <w:tc>
          <w:tcPr>
            <w:tcW w:w="1110" w:type="dxa"/>
            <w:tcBorders>
              <w:top w:val="nil"/>
              <w:left w:val="nil"/>
              <w:bottom w:val="nil"/>
              <w:right w:val="nil"/>
            </w:tcBorders>
            <w:shd w:val="clear" w:color="000000" w:fill="FFFFFF"/>
            <w:noWrap/>
            <w:hideMark/>
          </w:tcPr>
          <w:p w14:paraId="776670A2"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2FFC00A5"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34.1%</w:t>
            </w:r>
          </w:p>
        </w:tc>
        <w:tc>
          <w:tcPr>
            <w:tcW w:w="1552" w:type="dxa"/>
            <w:tcBorders>
              <w:top w:val="nil"/>
              <w:left w:val="nil"/>
              <w:bottom w:val="nil"/>
              <w:right w:val="nil"/>
            </w:tcBorders>
            <w:shd w:val="clear" w:color="000000" w:fill="FFFFFF"/>
            <w:noWrap/>
            <w:hideMark/>
          </w:tcPr>
          <w:p w14:paraId="71B19547"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44B8AEBE" w14:textId="080BFD6B"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&lt;</w:t>
            </w:r>
            <w:r w:rsidR="00C61E72" w:rsidRPr="00C76E19">
              <w:rPr>
                <w:rFonts w:ascii="Book Antiqua" w:hAnsi="Book Antiqua"/>
                <w:color w:val="000000"/>
              </w:rPr>
              <w:t xml:space="preserve"> </w:t>
            </w:r>
            <w:r w:rsidRPr="00C76E19">
              <w:rPr>
                <w:rFonts w:ascii="Book Antiqua" w:hAnsi="Book Antiqua"/>
                <w:color w:val="000000"/>
              </w:rPr>
              <w:t>0.001</w:t>
            </w:r>
          </w:p>
        </w:tc>
      </w:tr>
      <w:tr w:rsidR="00CA1127" w:rsidRPr="00C76E19" w14:paraId="19B7ABC5" w14:textId="77777777" w:rsidTr="00D05FFF">
        <w:trPr>
          <w:trHeight w:val="298"/>
        </w:trPr>
        <w:tc>
          <w:tcPr>
            <w:tcW w:w="4761" w:type="dxa"/>
            <w:tcBorders>
              <w:top w:val="nil"/>
              <w:left w:val="nil"/>
              <w:bottom w:val="nil"/>
              <w:right w:val="nil"/>
            </w:tcBorders>
            <w:shd w:val="clear" w:color="000000" w:fill="FFFFFF"/>
            <w:noWrap/>
            <w:hideMark/>
          </w:tcPr>
          <w:p w14:paraId="62E1144A" w14:textId="387BFFAA"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Terminal</w:t>
            </w:r>
            <w:r w:rsidR="00C61E72" w:rsidRPr="00C76E19">
              <w:rPr>
                <w:rFonts w:ascii="Book Antiqua" w:hAnsi="Book Antiqua"/>
                <w:color w:val="000000"/>
              </w:rPr>
              <w:t xml:space="preserve"> i</w:t>
            </w:r>
            <w:r w:rsidRPr="00C76E19">
              <w:rPr>
                <w:rFonts w:ascii="Book Antiqua" w:hAnsi="Book Antiqua"/>
                <w:color w:val="000000"/>
              </w:rPr>
              <w:t>leum</w:t>
            </w:r>
          </w:p>
        </w:tc>
        <w:tc>
          <w:tcPr>
            <w:tcW w:w="2063" w:type="dxa"/>
            <w:tcBorders>
              <w:top w:val="nil"/>
              <w:left w:val="nil"/>
              <w:bottom w:val="nil"/>
              <w:right w:val="nil"/>
            </w:tcBorders>
            <w:shd w:val="clear" w:color="000000" w:fill="FFFFFF"/>
            <w:noWrap/>
            <w:hideMark/>
          </w:tcPr>
          <w:p w14:paraId="6FD43F6F"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19.5%</w:t>
            </w:r>
          </w:p>
        </w:tc>
        <w:tc>
          <w:tcPr>
            <w:tcW w:w="1110" w:type="dxa"/>
            <w:tcBorders>
              <w:top w:val="nil"/>
              <w:left w:val="nil"/>
              <w:bottom w:val="nil"/>
              <w:right w:val="nil"/>
            </w:tcBorders>
            <w:shd w:val="clear" w:color="000000" w:fill="FFFFFF"/>
            <w:noWrap/>
            <w:hideMark/>
          </w:tcPr>
          <w:p w14:paraId="3C927C63"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5ABAAD91"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48.8%</w:t>
            </w:r>
          </w:p>
        </w:tc>
        <w:tc>
          <w:tcPr>
            <w:tcW w:w="1552" w:type="dxa"/>
            <w:tcBorders>
              <w:top w:val="nil"/>
              <w:left w:val="nil"/>
              <w:bottom w:val="nil"/>
              <w:right w:val="nil"/>
            </w:tcBorders>
            <w:shd w:val="clear" w:color="000000" w:fill="FFFFFF"/>
            <w:noWrap/>
            <w:hideMark/>
          </w:tcPr>
          <w:p w14:paraId="46A17814"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3B888064" w14:textId="4F05B17C"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&lt;</w:t>
            </w:r>
            <w:r w:rsidR="00C61E72" w:rsidRPr="00C76E19">
              <w:rPr>
                <w:rFonts w:ascii="Book Antiqua" w:hAnsi="Book Antiqua"/>
                <w:color w:val="000000"/>
              </w:rPr>
              <w:t xml:space="preserve"> </w:t>
            </w:r>
            <w:r w:rsidRPr="00C76E19">
              <w:rPr>
                <w:rFonts w:ascii="Book Antiqua" w:hAnsi="Book Antiqua"/>
                <w:color w:val="000000"/>
              </w:rPr>
              <w:t>0.001</w:t>
            </w:r>
          </w:p>
        </w:tc>
      </w:tr>
      <w:tr w:rsidR="00CA1127" w:rsidRPr="00C76E19" w14:paraId="47F8EA16" w14:textId="77777777" w:rsidTr="00D05FFF">
        <w:trPr>
          <w:trHeight w:val="298"/>
        </w:trPr>
        <w:tc>
          <w:tcPr>
            <w:tcW w:w="4761" w:type="dxa"/>
            <w:tcBorders>
              <w:top w:val="nil"/>
              <w:left w:val="nil"/>
              <w:bottom w:val="nil"/>
              <w:right w:val="nil"/>
            </w:tcBorders>
            <w:shd w:val="clear" w:color="000000" w:fill="FFFFFF"/>
            <w:noWrap/>
            <w:hideMark/>
          </w:tcPr>
          <w:p w14:paraId="36457291"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Colon</w:t>
            </w:r>
          </w:p>
        </w:tc>
        <w:tc>
          <w:tcPr>
            <w:tcW w:w="2063" w:type="dxa"/>
            <w:tcBorders>
              <w:top w:val="nil"/>
              <w:left w:val="nil"/>
              <w:bottom w:val="nil"/>
              <w:right w:val="nil"/>
            </w:tcBorders>
            <w:shd w:val="clear" w:color="000000" w:fill="FFFFFF"/>
            <w:noWrap/>
            <w:hideMark/>
          </w:tcPr>
          <w:p w14:paraId="214901E4"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9.7%</w:t>
            </w:r>
          </w:p>
        </w:tc>
        <w:tc>
          <w:tcPr>
            <w:tcW w:w="1110" w:type="dxa"/>
            <w:tcBorders>
              <w:top w:val="nil"/>
              <w:left w:val="nil"/>
              <w:bottom w:val="nil"/>
              <w:right w:val="nil"/>
            </w:tcBorders>
            <w:shd w:val="clear" w:color="000000" w:fill="FFFFFF"/>
            <w:noWrap/>
            <w:hideMark/>
          </w:tcPr>
          <w:p w14:paraId="08DA39CF"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36E87398"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10.9%</w:t>
            </w:r>
          </w:p>
        </w:tc>
        <w:tc>
          <w:tcPr>
            <w:tcW w:w="1552" w:type="dxa"/>
            <w:tcBorders>
              <w:top w:val="nil"/>
              <w:left w:val="nil"/>
              <w:bottom w:val="nil"/>
              <w:right w:val="nil"/>
            </w:tcBorders>
            <w:shd w:val="clear" w:color="000000" w:fill="FFFFFF"/>
            <w:noWrap/>
            <w:hideMark/>
          </w:tcPr>
          <w:p w14:paraId="0EA76D4E"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48191011"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0.729 </w:t>
            </w:r>
          </w:p>
        </w:tc>
      </w:tr>
      <w:tr w:rsidR="00CA1127" w:rsidRPr="00C76E19" w14:paraId="4CE8C6BA" w14:textId="77777777" w:rsidTr="00D05FFF">
        <w:trPr>
          <w:trHeight w:val="298"/>
        </w:trPr>
        <w:tc>
          <w:tcPr>
            <w:tcW w:w="4761" w:type="dxa"/>
            <w:tcBorders>
              <w:top w:val="nil"/>
              <w:left w:val="nil"/>
              <w:bottom w:val="nil"/>
              <w:right w:val="nil"/>
            </w:tcBorders>
            <w:shd w:val="clear" w:color="000000" w:fill="FFFFFF"/>
            <w:noWrap/>
            <w:hideMark/>
          </w:tcPr>
          <w:p w14:paraId="33392FC6"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Upper gastrointestinal and back colon</w:t>
            </w:r>
          </w:p>
        </w:tc>
        <w:tc>
          <w:tcPr>
            <w:tcW w:w="2063" w:type="dxa"/>
            <w:tcBorders>
              <w:top w:val="nil"/>
              <w:left w:val="nil"/>
              <w:bottom w:val="nil"/>
              <w:right w:val="nil"/>
            </w:tcBorders>
            <w:shd w:val="clear" w:color="000000" w:fill="FFFFFF"/>
            <w:noWrap/>
            <w:hideMark/>
          </w:tcPr>
          <w:p w14:paraId="33EA9A58"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4.3%</w:t>
            </w:r>
          </w:p>
        </w:tc>
        <w:tc>
          <w:tcPr>
            <w:tcW w:w="1110" w:type="dxa"/>
            <w:tcBorders>
              <w:top w:val="nil"/>
              <w:left w:val="nil"/>
              <w:bottom w:val="nil"/>
              <w:right w:val="nil"/>
            </w:tcBorders>
            <w:shd w:val="clear" w:color="000000" w:fill="FFFFFF"/>
            <w:noWrap/>
            <w:hideMark/>
          </w:tcPr>
          <w:p w14:paraId="4A2FEC86"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2B91A041"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3.1%</w:t>
            </w:r>
          </w:p>
        </w:tc>
        <w:tc>
          <w:tcPr>
            <w:tcW w:w="1552" w:type="dxa"/>
            <w:tcBorders>
              <w:top w:val="nil"/>
              <w:left w:val="nil"/>
              <w:bottom w:val="nil"/>
              <w:right w:val="nil"/>
            </w:tcBorders>
            <w:shd w:val="clear" w:color="000000" w:fill="FFFFFF"/>
            <w:noWrap/>
            <w:hideMark/>
          </w:tcPr>
          <w:p w14:paraId="0CBDB3B6"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64A3F547"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0.572 </w:t>
            </w:r>
          </w:p>
        </w:tc>
      </w:tr>
      <w:tr w:rsidR="00CA1127" w:rsidRPr="00C76E19" w14:paraId="1F61FCAB" w14:textId="77777777" w:rsidTr="00D05FFF">
        <w:trPr>
          <w:trHeight w:val="298"/>
        </w:trPr>
        <w:tc>
          <w:tcPr>
            <w:tcW w:w="4761" w:type="dxa"/>
            <w:tcBorders>
              <w:top w:val="nil"/>
              <w:left w:val="nil"/>
              <w:bottom w:val="nil"/>
              <w:right w:val="nil"/>
            </w:tcBorders>
            <w:shd w:val="clear" w:color="000000" w:fill="FFFFFF"/>
            <w:noWrap/>
            <w:hideMark/>
          </w:tcPr>
          <w:p w14:paraId="191CAFF4" w14:textId="35618A18"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Upper gastrointestinal and </w:t>
            </w:r>
            <w:r w:rsidR="00C61E72" w:rsidRPr="00C76E19">
              <w:rPr>
                <w:rFonts w:ascii="Book Antiqua" w:hAnsi="Book Antiqua"/>
                <w:color w:val="000000"/>
              </w:rPr>
              <w:t>i</w:t>
            </w:r>
            <w:r w:rsidRPr="00C76E19">
              <w:rPr>
                <w:rFonts w:ascii="Book Antiqua" w:hAnsi="Book Antiqua"/>
                <w:color w:val="000000"/>
              </w:rPr>
              <w:t>leum end</w:t>
            </w:r>
          </w:p>
        </w:tc>
        <w:tc>
          <w:tcPr>
            <w:tcW w:w="2063" w:type="dxa"/>
            <w:tcBorders>
              <w:top w:val="nil"/>
              <w:left w:val="nil"/>
              <w:bottom w:val="nil"/>
              <w:right w:val="nil"/>
            </w:tcBorders>
            <w:shd w:val="clear" w:color="000000" w:fill="FFFFFF"/>
            <w:noWrap/>
            <w:hideMark/>
          </w:tcPr>
          <w:p w14:paraId="7C96F589"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4.7%</w:t>
            </w:r>
          </w:p>
        </w:tc>
        <w:tc>
          <w:tcPr>
            <w:tcW w:w="1110" w:type="dxa"/>
            <w:tcBorders>
              <w:top w:val="nil"/>
              <w:left w:val="nil"/>
              <w:bottom w:val="nil"/>
              <w:right w:val="nil"/>
            </w:tcBorders>
            <w:shd w:val="clear" w:color="000000" w:fill="FFFFFF"/>
            <w:noWrap/>
            <w:hideMark/>
          </w:tcPr>
          <w:p w14:paraId="46567710"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7E228909"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0.8%</w:t>
            </w:r>
          </w:p>
        </w:tc>
        <w:tc>
          <w:tcPr>
            <w:tcW w:w="1552" w:type="dxa"/>
            <w:tcBorders>
              <w:top w:val="nil"/>
              <w:left w:val="nil"/>
              <w:bottom w:val="nil"/>
              <w:right w:val="nil"/>
            </w:tcBorders>
            <w:shd w:val="clear" w:color="000000" w:fill="FFFFFF"/>
            <w:noWrap/>
            <w:hideMark/>
          </w:tcPr>
          <w:p w14:paraId="0DF01183"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4DDC9027" w14:textId="6F4C170A"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0.045</w:t>
            </w:r>
            <w:r w:rsidR="00C61E72" w:rsidRPr="00C76E19">
              <w:rPr>
                <w:rFonts w:ascii="Book Antiqua" w:hAnsi="Book Antiqua"/>
                <w:color w:val="000000"/>
                <w:vertAlign w:val="superscript"/>
              </w:rPr>
              <w:t>a</w:t>
            </w:r>
          </w:p>
        </w:tc>
      </w:tr>
      <w:tr w:rsidR="00CA1127" w:rsidRPr="00C76E19" w14:paraId="465823F7" w14:textId="77777777" w:rsidTr="00D05FFF">
        <w:trPr>
          <w:trHeight w:val="298"/>
        </w:trPr>
        <w:tc>
          <w:tcPr>
            <w:tcW w:w="4761" w:type="dxa"/>
            <w:tcBorders>
              <w:top w:val="nil"/>
              <w:left w:val="nil"/>
              <w:right w:val="nil"/>
            </w:tcBorders>
            <w:shd w:val="clear" w:color="000000" w:fill="FFFFFF"/>
            <w:noWrap/>
            <w:hideMark/>
          </w:tcPr>
          <w:p w14:paraId="0D26F40E"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Upper gastrointestinal tract</w:t>
            </w:r>
          </w:p>
        </w:tc>
        <w:tc>
          <w:tcPr>
            <w:tcW w:w="2063" w:type="dxa"/>
            <w:tcBorders>
              <w:top w:val="nil"/>
              <w:left w:val="nil"/>
              <w:right w:val="nil"/>
            </w:tcBorders>
            <w:shd w:val="clear" w:color="000000" w:fill="FFFFFF"/>
            <w:noWrap/>
            <w:hideMark/>
          </w:tcPr>
          <w:p w14:paraId="2A6D7EF3"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0.0%</w:t>
            </w:r>
          </w:p>
        </w:tc>
        <w:tc>
          <w:tcPr>
            <w:tcW w:w="1110" w:type="dxa"/>
            <w:tcBorders>
              <w:top w:val="nil"/>
              <w:left w:val="nil"/>
              <w:right w:val="nil"/>
            </w:tcBorders>
            <w:shd w:val="clear" w:color="000000" w:fill="FFFFFF"/>
            <w:noWrap/>
            <w:hideMark/>
          </w:tcPr>
          <w:p w14:paraId="45ABFD27"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right w:val="nil"/>
            </w:tcBorders>
            <w:shd w:val="clear" w:color="000000" w:fill="FFFFFF"/>
            <w:noWrap/>
            <w:hideMark/>
          </w:tcPr>
          <w:p w14:paraId="721BA8F1"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0.8%</w:t>
            </w:r>
          </w:p>
        </w:tc>
        <w:tc>
          <w:tcPr>
            <w:tcW w:w="1552" w:type="dxa"/>
            <w:tcBorders>
              <w:top w:val="nil"/>
              <w:left w:val="nil"/>
              <w:right w:val="nil"/>
            </w:tcBorders>
            <w:shd w:val="clear" w:color="000000" w:fill="FFFFFF"/>
            <w:noWrap/>
            <w:hideMark/>
          </w:tcPr>
          <w:p w14:paraId="2A2D1558"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right w:val="nil"/>
            </w:tcBorders>
            <w:shd w:val="clear" w:color="000000" w:fill="FFFFFF"/>
            <w:noWrap/>
            <w:hideMark/>
          </w:tcPr>
          <w:p w14:paraId="1E98AB1C"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0.158 </w:t>
            </w:r>
          </w:p>
        </w:tc>
      </w:tr>
      <w:tr w:rsidR="00CA1127" w:rsidRPr="00C76E19" w14:paraId="54193AC3" w14:textId="77777777" w:rsidTr="00D05FFF">
        <w:trPr>
          <w:trHeight w:val="298"/>
        </w:trPr>
        <w:tc>
          <w:tcPr>
            <w:tcW w:w="4761" w:type="dxa"/>
            <w:tcBorders>
              <w:top w:val="nil"/>
              <w:left w:val="nil"/>
              <w:right w:val="nil"/>
            </w:tcBorders>
            <w:shd w:val="clear" w:color="000000" w:fill="FFFFFF"/>
            <w:noWrap/>
            <w:hideMark/>
          </w:tcPr>
          <w:p w14:paraId="3E688A74"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Previous surgery </w:t>
            </w:r>
          </w:p>
        </w:tc>
        <w:tc>
          <w:tcPr>
            <w:tcW w:w="2063" w:type="dxa"/>
            <w:tcBorders>
              <w:top w:val="nil"/>
              <w:left w:val="nil"/>
              <w:right w:val="nil"/>
            </w:tcBorders>
            <w:shd w:val="clear" w:color="000000" w:fill="FFFFFF"/>
            <w:noWrap/>
            <w:hideMark/>
          </w:tcPr>
          <w:p w14:paraId="4B94682B"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29.0%</w:t>
            </w:r>
          </w:p>
        </w:tc>
        <w:tc>
          <w:tcPr>
            <w:tcW w:w="1110" w:type="dxa"/>
            <w:tcBorders>
              <w:top w:val="nil"/>
              <w:left w:val="nil"/>
              <w:right w:val="nil"/>
            </w:tcBorders>
            <w:shd w:val="clear" w:color="000000" w:fill="FFFFFF"/>
            <w:noWrap/>
            <w:hideMark/>
          </w:tcPr>
          <w:p w14:paraId="176D2645"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right w:val="nil"/>
            </w:tcBorders>
            <w:shd w:val="clear" w:color="000000" w:fill="FFFFFF"/>
            <w:noWrap/>
            <w:hideMark/>
          </w:tcPr>
          <w:p w14:paraId="5161E714"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30.0%</w:t>
            </w:r>
          </w:p>
        </w:tc>
        <w:tc>
          <w:tcPr>
            <w:tcW w:w="1552" w:type="dxa"/>
            <w:tcBorders>
              <w:top w:val="nil"/>
              <w:left w:val="nil"/>
              <w:right w:val="nil"/>
            </w:tcBorders>
            <w:shd w:val="clear" w:color="000000" w:fill="FFFFFF"/>
            <w:noWrap/>
            <w:hideMark/>
          </w:tcPr>
          <w:p w14:paraId="33EAC514"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right w:val="nil"/>
            </w:tcBorders>
            <w:shd w:val="clear" w:color="000000" w:fill="FFFFFF"/>
            <w:noWrap/>
            <w:hideMark/>
          </w:tcPr>
          <w:p w14:paraId="50976FCC"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0.831 </w:t>
            </w:r>
          </w:p>
        </w:tc>
      </w:tr>
      <w:tr w:rsidR="00CA1127" w:rsidRPr="00C76E19" w14:paraId="14BBDD61" w14:textId="77777777" w:rsidTr="00D05FFF">
        <w:trPr>
          <w:trHeight w:val="298"/>
        </w:trPr>
        <w:tc>
          <w:tcPr>
            <w:tcW w:w="4761" w:type="dxa"/>
            <w:tcBorders>
              <w:top w:val="nil"/>
              <w:left w:val="nil"/>
              <w:bottom w:val="nil"/>
              <w:right w:val="nil"/>
            </w:tcBorders>
            <w:shd w:val="clear" w:color="000000" w:fill="FFFFFF"/>
            <w:noWrap/>
            <w:hideMark/>
          </w:tcPr>
          <w:p w14:paraId="66F03589"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Previous complication</w:t>
            </w:r>
          </w:p>
        </w:tc>
        <w:tc>
          <w:tcPr>
            <w:tcW w:w="2063" w:type="dxa"/>
            <w:tcBorders>
              <w:top w:val="nil"/>
              <w:left w:val="nil"/>
              <w:bottom w:val="nil"/>
              <w:right w:val="nil"/>
            </w:tcBorders>
            <w:shd w:val="clear" w:color="000000" w:fill="FFFFFF"/>
            <w:noWrap/>
            <w:hideMark/>
          </w:tcPr>
          <w:p w14:paraId="2842BBC9"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110" w:type="dxa"/>
            <w:tcBorders>
              <w:top w:val="nil"/>
              <w:left w:val="nil"/>
              <w:bottom w:val="nil"/>
              <w:right w:val="nil"/>
            </w:tcBorders>
            <w:shd w:val="clear" w:color="000000" w:fill="FFFFFF"/>
            <w:noWrap/>
            <w:hideMark/>
          </w:tcPr>
          <w:p w14:paraId="232AE0E4"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3F02609F"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552" w:type="dxa"/>
            <w:tcBorders>
              <w:top w:val="nil"/>
              <w:left w:val="nil"/>
              <w:bottom w:val="nil"/>
              <w:right w:val="nil"/>
            </w:tcBorders>
            <w:shd w:val="clear" w:color="000000" w:fill="FFFFFF"/>
            <w:noWrap/>
            <w:hideMark/>
          </w:tcPr>
          <w:p w14:paraId="59418CC6"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42C2800A" w14:textId="77777777" w:rsidR="00CA1127" w:rsidRPr="00C76E19" w:rsidRDefault="00CA1127" w:rsidP="00AE2A93">
            <w:pPr>
              <w:snapToGrid w:val="0"/>
              <w:spacing w:line="360" w:lineRule="auto"/>
              <w:jc w:val="both"/>
              <w:rPr>
                <w:rFonts w:ascii="Book Antiqua" w:hAnsi="Book Antiqua"/>
                <w:b/>
                <w:bCs/>
                <w:i/>
                <w:iCs/>
                <w:color w:val="000000"/>
              </w:rPr>
            </w:pPr>
            <w:r w:rsidRPr="00C76E19">
              <w:rPr>
                <w:rFonts w:ascii="Book Antiqua" w:hAnsi="Book Antiqua"/>
                <w:b/>
                <w:bCs/>
                <w:i/>
                <w:iCs/>
                <w:color w:val="000000"/>
              </w:rPr>
              <w:t> </w:t>
            </w:r>
          </w:p>
        </w:tc>
      </w:tr>
      <w:tr w:rsidR="00CA1127" w:rsidRPr="00C76E19" w14:paraId="7E2BDA1D" w14:textId="77777777" w:rsidTr="00D05FFF">
        <w:trPr>
          <w:trHeight w:val="298"/>
        </w:trPr>
        <w:tc>
          <w:tcPr>
            <w:tcW w:w="4761" w:type="dxa"/>
            <w:tcBorders>
              <w:top w:val="nil"/>
              <w:left w:val="nil"/>
              <w:bottom w:val="nil"/>
              <w:right w:val="nil"/>
            </w:tcBorders>
            <w:shd w:val="clear" w:color="000000" w:fill="FFFFFF"/>
            <w:noWrap/>
            <w:hideMark/>
          </w:tcPr>
          <w:p w14:paraId="06289E5F"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Perianal abscess</w:t>
            </w:r>
          </w:p>
        </w:tc>
        <w:tc>
          <w:tcPr>
            <w:tcW w:w="2063" w:type="dxa"/>
            <w:tcBorders>
              <w:top w:val="nil"/>
              <w:left w:val="nil"/>
              <w:bottom w:val="nil"/>
              <w:right w:val="nil"/>
            </w:tcBorders>
            <w:shd w:val="clear" w:color="000000" w:fill="FFFFFF"/>
            <w:noWrap/>
            <w:hideMark/>
          </w:tcPr>
          <w:p w14:paraId="5F50449A"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27.4%</w:t>
            </w:r>
          </w:p>
        </w:tc>
        <w:tc>
          <w:tcPr>
            <w:tcW w:w="1110" w:type="dxa"/>
            <w:tcBorders>
              <w:top w:val="nil"/>
              <w:left w:val="nil"/>
              <w:bottom w:val="nil"/>
              <w:right w:val="nil"/>
            </w:tcBorders>
            <w:shd w:val="clear" w:color="000000" w:fill="FFFFFF"/>
            <w:noWrap/>
            <w:hideMark/>
          </w:tcPr>
          <w:p w14:paraId="2564BA96"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2456E2E3"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13.8%</w:t>
            </w:r>
          </w:p>
        </w:tc>
        <w:tc>
          <w:tcPr>
            <w:tcW w:w="1552" w:type="dxa"/>
            <w:tcBorders>
              <w:top w:val="nil"/>
              <w:left w:val="nil"/>
              <w:bottom w:val="nil"/>
              <w:right w:val="nil"/>
            </w:tcBorders>
            <w:shd w:val="clear" w:color="000000" w:fill="FFFFFF"/>
            <w:noWrap/>
            <w:hideMark/>
          </w:tcPr>
          <w:p w14:paraId="344AE280"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37E01FA4" w14:textId="2F7F3E9E"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0.003</w:t>
            </w:r>
            <w:r w:rsidR="00C61E72" w:rsidRPr="00C76E19">
              <w:rPr>
                <w:rFonts w:ascii="Book Antiqua" w:hAnsi="Book Antiqua"/>
                <w:color w:val="000000"/>
                <w:vertAlign w:val="superscript"/>
              </w:rPr>
              <w:t>b</w:t>
            </w:r>
          </w:p>
        </w:tc>
      </w:tr>
      <w:tr w:rsidR="00CA1127" w:rsidRPr="00C76E19" w14:paraId="6898549C" w14:textId="77777777" w:rsidTr="00D05FFF">
        <w:trPr>
          <w:trHeight w:val="298"/>
        </w:trPr>
        <w:tc>
          <w:tcPr>
            <w:tcW w:w="4761" w:type="dxa"/>
            <w:tcBorders>
              <w:top w:val="nil"/>
              <w:left w:val="nil"/>
              <w:bottom w:val="nil"/>
              <w:right w:val="nil"/>
            </w:tcBorders>
            <w:shd w:val="clear" w:color="000000" w:fill="FFFFFF"/>
            <w:noWrap/>
            <w:hideMark/>
          </w:tcPr>
          <w:p w14:paraId="735B97FF"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Intestinal fistula</w:t>
            </w:r>
          </w:p>
        </w:tc>
        <w:tc>
          <w:tcPr>
            <w:tcW w:w="2063" w:type="dxa"/>
            <w:tcBorders>
              <w:top w:val="nil"/>
              <w:left w:val="nil"/>
              <w:bottom w:val="nil"/>
              <w:right w:val="nil"/>
            </w:tcBorders>
            <w:shd w:val="clear" w:color="000000" w:fill="FFFFFF"/>
            <w:noWrap/>
            <w:hideMark/>
          </w:tcPr>
          <w:p w14:paraId="1BE30F72"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36.3%</w:t>
            </w:r>
          </w:p>
        </w:tc>
        <w:tc>
          <w:tcPr>
            <w:tcW w:w="1110" w:type="dxa"/>
            <w:tcBorders>
              <w:top w:val="nil"/>
              <w:left w:val="nil"/>
              <w:bottom w:val="nil"/>
              <w:right w:val="nil"/>
            </w:tcBorders>
            <w:shd w:val="clear" w:color="000000" w:fill="FFFFFF"/>
            <w:noWrap/>
            <w:hideMark/>
          </w:tcPr>
          <w:p w14:paraId="70D43AFD"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18E7ED0E"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14.6%</w:t>
            </w:r>
          </w:p>
        </w:tc>
        <w:tc>
          <w:tcPr>
            <w:tcW w:w="1552" w:type="dxa"/>
            <w:tcBorders>
              <w:top w:val="nil"/>
              <w:left w:val="nil"/>
              <w:bottom w:val="nil"/>
              <w:right w:val="nil"/>
            </w:tcBorders>
            <w:shd w:val="clear" w:color="000000" w:fill="FFFFFF"/>
            <w:noWrap/>
            <w:hideMark/>
          </w:tcPr>
          <w:p w14:paraId="147DF05B"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3E7A845D" w14:textId="5C36C639"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&lt;</w:t>
            </w:r>
            <w:r w:rsidR="00C61E72" w:rsidRPr="00C76E19">
              <w:rPr>
                <w:rFonts w:ascii="Book Antiqua" w:hAnsi="Book Antiqua"/>
                <w:color w:val="000000"/>
              </w:rPr>
              <w:t xml:space="preserve"> </w:t>
            </w:r>
            <w:r w:rsidRPr="00C76E19">
              <w:rPr>
                <w:rFonts w:ascii="Book Antiqua" w:hAnsi="Book Antiqua"/>
                <w:color w:val="000000"/>
              </w:rPr>
              <w:t>0.001</w:t>
            </w:r>
          </w:p>
        </w:tc>
      </w:tr>
      <w:tr w:rsidR="00CA1127" w:rsidRPr="00C76E19" w14:paraId="1868B89D" w14:textId="77777777" w:rsidTr="00D05FFF">
        <w:trPr>
          <w:trHeight w:val="298"/>
        </w:trPr>
        <w:tc>
          <w:tcPr>
            <w:tcW w:w="4761" w:type="dxa"/>
            <w:tcBorders>
              <w:top w:val="nil"/>
              <w:left w:val="nil"/>
              <w:right w:val="nil"/>
            </w:tcBorders>
            <w:shd w:val="clear" w:color="000000" w:fill="FFFFFF"/>
            <w:noWrap/>
            <w:hideMark/>
          </w:tcPr>
          <w:p w14:paraId="36F2CE66"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Intestinal obstruction</w:t>
            </w:r>
          </w:p>
        </w:tc>
        <w:tc>
          <w:tcPr>
            <w:tcW w:w="2063" w:type="dxa"/>
            <w:tcBorders>
              <w:top w:val="nil"/>
              <w:left w:val="nil"/>
              <w:right w:val="nil"/>
            </w:tcBorders>
            <w:shd w:val="clear" w:color="000000" w:fill="FFFFFF"/>
            <w:noWrap/>
            <w:hideMark/>
          </w:tcPr>
          <w:p w14:paraId="1BE4DDD9"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18.1%</w:t>
            </w:r>
          </w:p>
        </w:tc>
        <w:tc>
          <w:tcPr>
            <w:tcW w:w="1110" w:type="dxa"/>
            <w:tcBorders>
              <w:top w:val="nil"/>
              <w:left w:val="nil"/>
              <w:right w:val="nil"/>
            </w:tcBorders>
            <w:shd w:val="clear" w:color="000000" w:fill="FFFFFF"/>
            <w:noWrap/>
            <w:hideMark/>
          </w:tcPr>
          <w:p w14:paraId="361F898D"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right w:val="nil"/>
            </w:tcBorders>
            <w:shd w:val="clear" w:color="000000" w:fill="FFFFFF"/>
            <w:noWrap/>
            <w:hideMark/>
          </w:tcPr>
          <w:p w14:paraId="72ECB724"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13.1%</w:t>
            </w:r>
          </w:p>
        </w:tc>
        <w:tc>
          <w:tcPr>
            <w:tcW w:w="1552" w:type="dxa"/>
            <w:tcBorders>
              <w:top w:val="nil"/>
              <w:left w:val="nil"/>
              <w:right w:val="nil"/>
            </w:tcBorders>
            <w:shd w:val="clear" w:color="000000" w:fill="FFFFFF"/>
            <w:noWrap/>
            <w:hideMark/>
          </w:tcPr>
          <w:p w14:paraId="7E3AE6DF"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right w:val="nil"/>
            </w:tcBorders>
            <w:shd w:val="clear" w:color="000000" w:fill="FFFFFF"/>
            <w:noWrap/>
            <w:hideMark/>
          </w:tcPr>
          <w:p w14:paraId="34B7F086"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0.203 </w:t>
            </w:r>
          </w:p>
        </w:tc>
      </w:tr>
      <w:tr w:rsidR="00CA1127" w:rsidRPr="00C76E19" w14:paraId="47E72F28" w14:textId="77777777" w:rsidTr="00D05FFF">
        <w:trPr>
          <w:trHeight w:val="298"/>
        </w:trPr>
        <w:tc>
          <w:tcPr>
            <w:tcW w:w="4761" w:type="dxa"/>
            <w:tcBorders>
              <w:top w:val="nil"/>
              <w:left w:val="nil"/>
              <w:bottom w:val="nil"/>
              <w:right w:val="nil"/>
            </w:tcBorders>
            <w:shd w:val="clear" w:color="000000" w:fill="FFFFFF"/>
            <w:noWrap/>
            <w:hideMark/>
          </w:tcPr>
          <w:p w14:paraId="047F240C"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Extra-intestinal manifestation</w:t>
            </w:r>
          </w:p>
        </w:tc>
        <w:tc>
          <w:tcPr>
            <w:tcW w:w="2063" w:type="dxa"/>
            <w:tcBorders>
              <w:top w:val="nil"/>
              <w:left w:val="nil"/>
              <w:bottom w:val="nil"/>
              <w:right w:val="nil"/>
            </w:tcBorders>
            <w:shd w:val="clear" w:color="000000" w:fill="FFFFFF"/>
            <w:noWrap/>
            <w:hideMark/>
          </w:tcPr>
          <w:p w14:paraId="1C969F00"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110" w:type="dxa"/>
            <w:tcBorders>
              <w:top w:val="nil"/>
              <w:left w:val="nil"/>
              <w:bottom w:val="nil"/>
              <w:right w:val="nil"/>
            </w:tcBorders>
            <w:shd w:val="clear" w:color="000000" w:fill="FFFFFF"/>
            <w:noWrap/>
            <w:hideMark/>
          </w:tcPr>
          <w:p w14:paraId="595E9725"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1CD93F9C"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552" w:type="dxa"/>
            <w:tcBorders>
              <w:top w:val="nil"/>
              <w:left w:val="nil"/>
              <w:bottom w:val="nil"/>
              <w:right w:val="nil"/>
            </w:tcBorders>
            <w:shd w:val="clear" w:color="000000" w:fill="FFFFFF"/>
            <w:noWrap/>
            <w:hideMark/>
          </w:tcPr>
          <w:p w14:paraId="5569FCFE"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5E1B7463" w14:textId="77777777" w:rsidR="00CA1127" w:rsidRPr="00C76E19" w:rsidRDefault="00CA1127" w:rsidP="00AE2A93">
            <w:pPr>
              <w:snapToGrid w:val="0"/>
              <w:spacing w:line="360" w:lineRule="auto"/>
              <w:jc w:val="both"/>
              <w:rPr>
                <w:rFonts w:ascii="Book Antiqua" w:hAnsi="Book Antiqua"/>
                <w:b/>
                <w:bCs/>
                <w:i/>
                <w:iCs/>
                <w:color w:val="000000"/>
              </w:rPr>
            </w:pPr>
            <w:r w:rsidRPr="00C76E19">
              <w:rPr>
                <w:rFonts w:ascii="Book Antiqua" w:hAnsi="Book Antiqua"/>
                <w:b/>
                <w:bCs/>
                <w:i/>
                <w:iCs/>
                <w:color w:val="000000"/>
              </w:rPr>
              <w:t> </w:t>
            </w:r>
          </w:p>
        </w:tc>
      </w:tr>
      <w:tr w:rsidR="00CA1127" w:rsidRPr="00C76E19" w14:paraId="64402775" w14:textId="77777777" w:rsidTr="00D05FFF">
        <w:trPr>
          <w:trHeight w:val="298"/>
        </w:trPr>
        <w:tc>
          <w:tcPr>
            <w:tcW w:w="4761" w:type="dxa"/>
            <w:tcBorders>
              <w:top w:val="nil"/>
              <w:left w:val="nil"/>
              <w:bottom w:val="nil"/>
              <w:right w:val="nil"/>
            </w:tcBorders>
            <w:shd w:val="clear" w:color="000000" w:fill="FFFFFF"/>
            <w:noWrap/>
            <w:hideMark/>
          </w:tcPr>
          <w:p w14:paraId="0B08FD82"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Aphthous stomatitis</w:t>
            </w:r>
          </w:p>
        </w:tc>
        <w:tc>
          <w:tcPr>
            <w:tcW w:w="2063" w:type="dxa"/>
            <w:tcBorders>
              <w:top w:val="nil"/>
              <w:left w:val="nil"/>
              <w:bottom w:val="nil"/>
              <w:right w:val="nil"/>
            </w:tcBorders>
            <w:shd w:val="clear" w:color="000000" w:fill="FFFFFF"/>
            <w:noWrap/>
            <w:hideMark/>
          </w:tcPr>
          <w:p w14:paraId="72F20DE2"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8.9%</w:t>
            </w:r>
          </w:p>
        </w:tc>
        <w:tc>
          <w:tcPr>
            <w:tcW w:w="1110" w:type="dxa"/>
            <w:tcBorders>
              <w:top w:val="nil"/>
              <w:left w:val="nil"/>
              <w:bottom w:val="nil"/>
              <w:right w:val="nil"/>
            </w:tcBorders>
            <w:shd w:val="clear" w:color="000000" w:fill="FFFFFF"/>
            <w:noWrap/>
            <w:hideMark/>
          </w:tcPr>
          <w:p w14:paraId="4B0B9701"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16ACDD9A"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3.8%</w:t>
            </w:r>
          </w:p>
        </w:tc>
        <w:tc>
          <w:tcPr>
            <w:tcW w:w="1552" w:type="dxa"/>
            <w:tcBorders>
              <w:top w:val="nil"/>
              <w:left w:val="nil"/>
              <w:bottom w:val="nil"/>
              <w:right w:val="nil"/>
            </w:tcBorders>
            <w:shd w:val="clear" w:color="000000" w:fill="FFFFFF"/>
            <w:noWrap/>
            <w:hideMark/>
          </w:tcPr>
          <w:p w14:paraId="00BE276E"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19FB4935"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0.070 </w:t>
            </w:r>
          </w:p>
        </w:tc>
      </w:tr>
      <w:tr w:rsidR="00CA1127" w:rsidRPr="00C76E19" w14:paraId="272D5BCB" w14:textId="77777777" w:rsidTr="00D05FFF">
        <w:trPr>
          <w:trHeight w:val="298"/>
        </w:trPr>
        <w:tc>
          <w:tcPr>
            <w:tcW w:w="4761" w:type="dxa"/>
            <w:tcBorders>
              <w:top w:val="nil"/>
              <w:left w:val="nil"/>
              <w:right w:val="nil"/>
            </w:tcBorders>
            <w:shd w:val="clear" w:color="000000" w:fill="FFFFFF"/>
            <w:noWrap/>
            <w:hideMark/>
          </w:tcPr>
          <w:p w14:paraId="0C36AD57"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Joint pain </w:t>
            </w:r>
          </w:p>
        </w:tc>
        <w:tc>
          <w:tcPr>
            <w:tcW w:w="2063" w:type="dxa"/>
            <w:tcBorders>
              <w:top w:val="nil"/>
              <w:left w:val="nil"/>
              <w:right w:val="nil"/>
            </w:tcBorders>
            <w:shd w:val="clear" w:color="000000" w:fill="FFFFFF"/>
            <w:noWrap/>
            <w:hideMark/>
          </w:tcPr>
          <w:p w14:paraId="28A4A36C"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3.1%</w:t>
            </w:r>
          </w:p>
        </w:tc>
        <w:tc>
          <w:tcPr>
            <w:tcW w:w="1110" w:type="dxa"/>
            <w:tcBorders>
              <w:top w:val="nil"/>
              <w:left w:val="nil"/>
              <w:right w:val="nil"/>
            </w:tcBorders>
            <w:shd w:val="clear" w:color="000000" w:fill="FFFFFF"/>
            <w:noWrap/>
            <w:hideMark/>
          </w:tcPr>
          <w:p w14:paraId="4F1E1E48"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right w:val="nil"/>
            </w:tcBorders>
            <w:shd w:val="clear" w:color="000000" w:fill="FFFFFF"/>
            <w:noWrap/>
            <w:hideMark/>
          </w:tcPr>
          <w:p w14:paraId="517C84E6"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3.1%</w:t>
            </w:r>
          </w:p>
        </w:tc>
        <w:tc>
          <w:tcPr>
            <w:tcW w:w="1552" w:type="dxa"/>
            <w:tcBorders>
              <w:top w:val="nil"/>
              <w:left w:val="nil"/>
              <w:right w:val="nil"/>
            </w:tcBorders>
            <w:shd w:val="clear" w:color="000000" w:fill="FFFFFF"/>
            <w:noWrap/>
            <w:hideMark/>
          </w:tcPr>
          <w:p w14:paraId="3103561B"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right w:val="nil"/>
            </w:tcBorders>
            <w:shd w:val="clear" w:color="000000" w:fill="FFFFFF"/>
            <w:noWrap/>
            <w:hideMark/>
          </w:tcPr>
          <w:p w14:paraId="680B0885"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0.995 </w:t>
            </w:r>
          </w:p>
        </w:tc>
      </w:tr>
      <w:tr w:rsidR="00CA1127" w:rsidRPr="00C76E19" w14:paraId="01FF9FB4" w14:textId="77777777" w:rsidTr="00D05FFF">
        <w:trPr>
          <w:trHeight w:val="298"/>
        </w:trPr>
        <w:tc>
          <w:tcPr>
            <w:tcW w:w="4761" w:type="dxa"/>
            <w:tcBorders>
              <w:top w:val="nil"/>
              <w:left w:val="nil"/>
              <w:bottom w:val="nil"/>
              <w:right w:val="nil"/>
            </w:tcBorders>
            <w:shd w:val="clear" w:color="000000" w:fill="FFFFFF"/>
            <w:noWrap/>
            <w:hideMark/>
          </w:tcPr>
          <w:p w14:paraId="12273472"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Comorbidities </w:t>
            </w:r>
          </w:p>
        </w:tc>
        <w:tc>
          <w:tcPr>
            <w:tcW w:w="2063" w:type="dxa"/>
            <w:tcBorders>
              <w:top w:val="nil"/>
              <w:left w:val="nil"/>
              <w:bottom w:val="nil"/>
              <w:right w:val="nil"/>
            </w:tcBorders>
            <w:shd w:val="clear" w:color="000000" w:fill="FFFFFF"/>
            <w:noWrap/>
            <w:hideMark/>
          </w:tcPr>
          <w:p w14:paraId="0513A7A6"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110" w:type="dxa"/>
            <w:tcBorders>
              <w:top w:val="nil"/>
              <w:left w:val="nil"/>
              <w:bottom w:val="nil"/>
              <w:right w:val="nil"/>
            </w:tcBorders>
            <w:shd w:val="clear" w:color="000000" w:fill="FFFFFF"/>
            <w:noWrap/>
            <w:hideMark/>
          </w:tcPr>
          <w:p w14:paraId="5E13418D"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23C6AB8C"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552" w:type="dxa"/>
            <w:tcBorders>
              <w:top w:val="nil"/>
              <w:left w:val="nil"/>
              <w:bottom w:val="nil"/>
              <w:right w:val="nil"/>
            </w:tcBorders>
            <w:shd w:val="clear" w:color="000000" w:fill="FFFFFF"/>
            <w:noWrap/>
            <w:hideMark/>
          </w:tcPr>
          <w:p w14:paraId="17AFCDDD"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4E794D02" w14:textId="77777777" w:rsidR="00CA1127" w:rsidRPr="00C76E19" w:rsidRDefault="00CA1127" w:rsidP="00AE2A93">
            <w:pPr>
              <w:snapToGrid w:val="0"/>
              <w:spacing w:line="360" w:lineRule="auto"/>
              <w:jc w:val="both"/>
              <w:rPr>
                <w:rFonts w:ascii="Book Antiqua" w:hAnsi="Book Antiqua"/>
                <w:b/>
                <w:bCs/>
                <w:i/>
                <w:iCs/>
                <w:color w:val="000000"/>
              </w:rPr>
            </w:pPr>
            <w:r w:rsidRPr="00C76E19">
              <w:rPr>
                <w:rFonts w:ascii="Book Antiqua" w:hAnsi="Book Antiqua"/>
                <w:b/>
                <w:bCs/>
                <w:i/>
                <w:iCs/>
                <w:color w:val="000000"/>
              </w:rPr>
              <w:t> </w:t>
            </w:r>
          </w:p>
        </w:tc>
      </w:tr>
      <w:tr w:rsidR="00CA1127" w:rsidRPr="00C76E19" w14:paraId="61C8B847" w14:textId="77777777" w:rsidTr="00D05FFF">
        <w:trPr>
          <w:trHeight w:val="298"/>
        </w:trPr>
        <w:tc>
          <w:tcPr>
            <w:tcW w:w="4761" w:type="dxa"/>
            <w:tcBorders>
              <w:top w:val="nil"/>
              <w:left w:val="nil"/>
              <w:bottom w:val="nil"/>
              <w:right w:val="nil"/>
            </w:tcBorders>
            <w:shd w:val="clear" w:color="000000" w:fill="FFFFFF"/>
            <w:noWrap/>
            <w:hideMark/>
          </w:tcPr>
          <w:p w14:paraId="469E6F7E"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Gallbladder diseases</w:t>
            </w:r>
          </w:p>
        </w:tc>
        <w:tc>
          <w:tcPr>
            <w:tcW w:w="2063" w:type="dxa"/>
            <w:tcBorders>
              <w:top w:val="nil"/>
              <w:left w:val="nil"/>
              <w:bottom w:val="nil"/>
              <w:right w:val="nil"/>
            </w:tcBorders>
            <w:shd w:val="clear" w:color="000000" w:fill="FFFFFF"/>
            <w:noWrap/>
            <w:hideMark/>
          </w:tcPr>
          <w:p w14:paraId="472809F8"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3.9%</w:t>
            </w:r>
          </w:p>
        </w:tc>
        <w:tc>
          <w:tcPr>
            <w:tcW w:w="1110" w:type="dxa"/>
            <w:tcBorders>
              <w:top w:val="nil"/>
              <w:left w:val="nil"/>
              <w:bottom w:val="nil"/>
              <w:right w:val="nil"/>
            </w:tcBorders>
            <w:shd w:val="clear" w:color="000000" w:fill="FFFFFF"/>
            <w:noWrap/>
            <w:hideMark/>
          </w:tcPr>
          <w:p w14:paraId="66134DBA"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0D99C239"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5.4%</w:t>
            </w:r>
          </w:p>
        </w:tc>
        <w:tc>
          <w:tcPr>
            <w:tcW w:w="1552" w:type="dxa"/>
            <w:tcBorders>
              <w:top w:val="nil"/>
              <w:left w:val="nil"/>
              <w:bottom w:val="nil"/>
              <w:right w:val="nil"/>
            </w:tcBorders>
            <w:shd w:val="clear" w:color="000000" w:fill="FFFFFF"/>
            <w:noWrap/>
            <w:hideMark/>
          </w:tcPr>
          <w:p w14:paraId="5EBCBC87"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09996D40"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0.488 </w:t>
            </w:r>
          </w:p>
        </w:tc>
      </w:tr>
      <w:tr w:rsidR="00CA1127" w:rsidRPr="00C76E19" w14:paraId="2A14354F" w14:textId="77777777" w:rsidTr="00D05FFF">
        <w:trPr>
          <w:trHeight w:val="298"/>
        </w:trPr>
        <w:tc>
          <w:tcPr>
            <w:tcW w:w="4761" w:type="dxa"/>
            <w:tcBorders>
              <w:top w:val="nil"/>
              <w:left w:val="nil"/>
              <w:bottom w:val="nil"/>
              <w:right w:val="nil"/>
            </w:tcBorders>
            <w:shd w:val="clear" w:color="000000" w:fill="FFFFFF"/>
            <w:noWrap/>
            <w:hideMark/>
          </w:tcPr>
          <w:p w14:paraId="6C526178"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Chronic hepatitis B</w:t>
            </w:r>
          </w:p>
        </w:tc>
        <w:tc>
          <w:tcPr>
            <w:tcW w:w="2063" w:type="dxa"/>
            <w:tcBorders>
              <w:top w:val="nil"/>
              <w:left w:val="nil"/>
              <w:bottom w:val="nil"/>
              <w:right w:val="nil"/>
            </w:tcBorders>
            <w:shd w:val="clear" w:color="000000" w:fill="FFFFFF"/>
            <w:noWrap/>
            <w:hideMark/>
          </w:tcPr>
          <w:p w14:paraId="2F722517"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3.1%</w:t>
            </w:r>
          </w:p>
        </w:tc>
        <w:tc>
          <w:tcPr>
            <w:tcW w:w="1110" w:type="dxa"/>
            <w:tcBorders>
              <w:top w:val="nil"/>
              <w:left w:val="nil"/>
              <w:bottom w:val="nil"/>
              <w:right w:val="nil"/>
            </w:tcBorders>
            <w:shd w:val="clear" w:color="000000" w:fill="FFFFFF"/>
            <w:noWrap/>
            <w:hideMark/>
          </w:tcPr>
          <w:p w14:paraId="4905BDCB"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7C4EF7CC"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8.5%</w:t>
            </w:r>
          </w:p>
        </w:tc>
        <w:tc>
          <w:tcPr>
            <w:tcW w:w="1552" w:type="dxa"/>
            <w:tcBorders>
              <w:top w:val="nil"/>
              <w:left w:val="nil"/>
              <w:bottom w:val="nil"/>
              <w:right w:val="nil"/>
            </w:tcBorders>
            <w:shd w:val="clear" w:color="000000" w:fill="FFFFFF"/>
            <w:noWrap/>
            <w:hideMark/>
          </w:tcPr>
          <w:p w14:paraId="7C855241"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21B17F47" w14:textId="50F31859"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0.020</w:t>
            </w:r>
            <w:r w:rsidR="00C61E72" w:rsidRPr="00C76E19">
              <w:rPr>
                <w:rFonts w:ascii="Book Antiqua" w:hAnsi="Book Antiqua"/>
                <w:color w:val="000000"/>
                <w:vertAlign w:val="superscript"/>
              </w:rPr>
              <w:t>a</w:t>
            </w:r>
          </w:p>
        </w:tc>
      </w:tr>
      <w:tr w:rsidR="00CA1127" w:rsidRPr="00C76E19" w14:paraId="6C758C55" w14:textId="77777777" w:rsidTr="00D05FFF">
        <w:trPr>
          <w:trHeight w:val="298"/>
        </w:trPr>
        <w:tc>
          <w:tcPr>
            <w:tcW w:w="4761" w:type="dxa"/>
            <w:tcBorders>
              <w:top w:val="nil"/>
              <w:left w:val="nil"/>
              <w:bottom w:val="nil"/>
              <w:right w:val="nil"/>
            </w:tcBorders>
            <w:shd w:val="clear" w:color="000000" w:fill="FFFFFF"/>
            <w:noWrap/>
            <w:hideMark/>
          </w:tcPr>
          <w:p w14:paraId="644DDD75"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Lung nodes </w:t>
            </w:r>
          </w:p>
        </w:tc>
        <w:tc>
          <w:tcPr>
            <w:tcW w:w="2063" w:type="dxa"/>
            <w:tcBorders>
              <w:top w:val="nil"/>
              <w:left w:val="nil"/>
              <w:bottom w:val="nil"/>
              <w:right w:val="nil"/>
            </w:tcBorders>
            <w:shd w:val="clear" w:color="000000" w:fill="FFFFFF"/>
            <w:noWrap/>
            <w:hideMark/>
          </w:tcPr>
          <w:p w14:paraId="1A35AF77"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3.9%</w:t>
            </w:r>
          </w:p>
        </w:tc>
        <w:tc>
          <w:tcPr>
            <w:tcW w:w="1110" w:type="dxa"/>
            <w:tcBorders>
              <w:top w:val="nil"/>
              <w:left w:val="nil"/>
              <w:bottom w:val="nil"/>
              <w:right w:val="nil"/>
            </w:tcBorders>
            <w:shd w:val="clear" w:color="000000" w:fill="FFFFFF"/>
            <w:noWrap/>
            <w:hideMark/>
          </w:tcPr>
          <w:p w14:paraId="18993988"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nil"/>
              <w:right w:val="nil"/>
            </w:tcBorders>
            <w:shd w:val="clear" w:color="000000" w:fill="FFFFFF"/>
            <w:noWrap/>
            <w:hideMark/>
          </w:tcPr>
          <w:p w14:paraId="4940CCF4"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2.3%</w:t>
            </w:r>
          </w:p>
        </w:tc>
        <w:tc>
          <w:tcPr>
            <w:tcW w:w="1552" w:type="dxa"/>
            <w:tcBorders>
              <w:top w:val="nil"/>
              <w:left w:val="nil"/>
              <w:bottom w:val="nil"/>
              <w:right w:val="nil"/>
            </w:tcBorders>
            <w:shd w:val="clear" w:color="000000" w:fill="FFFFFF"/>
            <w:noWrap/>
            <w:hideMark/>
          </w:tcPr>
          <w:p w14:paraId="56038F78"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nil"/>
              <w:right w:val="nil"/>
            </w:tcBorders>
            <w:shd w:val="clear" w:color="000000" w:fill="FFFFFF"/>
            <w:noWrap/>
            <w:hideMark/>
          </w:tcPr>
          <w:p w14:paraId="61A3DED6"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0.421 </w:t>
            </w:r>
          </w:p>
        </w:tc>
      </w:tr>
      <w:tr w:rsidR="00CA1127" w:rsidRPr="00C76E19" w14:paraId="78161B78" w14:textId="77777777" w:rsidTr="00D05FFF">
        <w:trPr>
          <w:trHeight w:val="298"/>
        </w:trPr>
        <w:tc>
          <w:tcPr>
            <w:tcW w:w="4761" w:type="dxa"/>
            <w:tcBorders>
              <w:top w:val="nil"/>
              <w:left w:val="nil"/>
              <w:bottom w:val="single" w:sz="4" w:space="0" w:color="auto"/>
              <w:right w:val="nil"/>
            </w:tcBorders>
            <w:shd w:val="clear" w:color="000000" w:fill="FFFFFF"/>
            <w:noWrap/>
            <w:hideMark/>
          </w:tcPr>
          <w:p w14:paraId="74958A64" w14:textId="77777777" w:rsidR="00CA1127" w:rsidRPr="00C76E19" w:rsidRDefault="00CA1127"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Gastroenteritis</w:t>
            </w:r>
          </w:p>
        </w:tc>
        <w:tc>
          <w:tcPr>
            <w:tcW w:w="2063" w:type="dxa"/>
            <w:tcBorders>
              <w:top w:val="nil"/>
              <w:left w:val="nil"/>
              <w:bottom w:val="single" w:sz="4" w:space="0" w:color="auto"/>
              <w:right w:val="nil"/>
            </w:tcBorders>
            <w:shd w:val="clear" w:color="000000" w:fill="FFFFFF"/>
            <w:noWrap/>
            <w:hideMark/>
          </w:tcPr>
          <w:p w14:paraId="27EB25BA"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1.5%</w:t>
            </w:r>
          </w:p>
        </w:tc>
        <w:tc>
          <w:tcPr>
            <w:tcW w:w="1110" w:type="dxa"/>
            <w:tcBorders>
              <w:top w:val="nil"/>
              <w:left w:val="nil"/>
              <w:bottom w:val="single" w:sz="4" w:space="0" w:color="auto"/>
              <w:right w:val="nil"/>
            </w:tcBorders>
            <w:shd w:val="clear" w:color="000000" w:fill="FFFFFF"/>
            <w:noWrap/>
            <w:hideMark/>
          </w:tcPr>
          <w:p w14:paraId="03130CBE"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2" w:type="dxa"/>
            <w:tcBorders>
              <w:top w:val="nil"/>
              <w:left w:val="nil"/>
              <w:bottom w:val="single" w:sz="4" w:space="0" w:color="auto"/>
              <w:right w:val="nil"/>
            </w:tcBorders>
            <w:shd w:val="clear" w:color="000000" w:fill="FFFFFF"/>
            <w:noWrap/>
            <w:hideMark/>
          </w:tcPr>
          <w:p w14:paraId="0CDC8308"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4.6%</w:t>
            </w:r>
          </w:p>
        </w:tc>
        <w:tc>
          <w:tcPr>
            <w:tcW w:w="1552" w:type="dxa"/>
            <w:tcBorders>
              <w:top w:val="nil"/>
              <w:left w:val="nil"/>
              <w:bottom w:val="single" w:sz="4" w:space="0" w:color="auto"/>
              <w:right w:val="nil"/>
            </w:tcBorders>
            <w:shd w:val="clear" w:color="000000" w:fill="FFFFFF"/>
            <w:noWrap/>
            <w:hideMark/>
          </w:tcPr>
          <w:p w14:paraId="029B919E"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2063" w:type="dxa"/>
            <w:tcBorders>
              <w:top w:val="nil"/>
              <w:left w:val="nil"/>
              <w:bottom w:val="single" w:sz="4" w:space="0" w:color="auto"/>
              <w:right w:val="nil"/>
            </w:tcBorders>
            <w:shd w:val="clear" w:color="000000" w:fill="FFFFFF"/>
            <w:noWrap/>
            <w:hideMark/>
          </w:tcPr>
          <w:p w14:paraId="252E1E5A" w14:textId="77777777" w:rsidR="00CA1127" w:rsidRPr="00C76E19" w:rsidRDefault="00CA1127" w:rsidP="00AE2A93">
            <w:pPr>
              <w:snapToGrid w:val="0"/>
              <w:spacing w:line="360" w:lineRule="auto"/>
              <w:jc w:val="both"/>
              <w:rPr>
                <w:rFonts w:ascii="Book Antiqua" w:hAnsi="Book Antiqua"/>
                <w:color w:val="000000"/>
              </w:rPr>
            </w:pPr>
            <w:r w:rsidRPr="00C76E19">
              <w:rPr>
                <w:rFonts w:ascii="Book Antiqua" w:hAnsi="Book Antiqua"/>
                <w:color w:val="000000"/>
              </w:rPr>
              <w:t xml:space="preserve">0.071 </w:t>
            </w:r>
          </w:p>
        </w:tc>
      </w:tr>
    </w:tbl>
    <w:p w14:paraId="0CCA60A3" w14:textId="5EA34616" w:rsidR="006D4EB8" w:rsidRPr="00C76E19" w:rsidRDefault="00C61E72" w:rsidP="00AE2A93">
      <w:pPr>
        <w:snapToGrid w:val="0"/>
        <w:spacing w:line="360" w:lineRule="auto"/>
        <w:jc w:val="both"/>
        <w:rPr>
          <w:rFonts w:ascii="Book Antiqua" w:eastAsia="Book Antiqua" w:hAnsi="Book Antiqua" w:cs="Book Antiqua"/>
          <w:color w:val="000000"/>
        </w:rPr>
      </w:pPr>
      <w:r w:rsidRPr="00C76E19">
        <w:rPr>
          <w:rFonts w:ascii="Book Antiqua" w:hAnsi="Book Antiqua"/>
          <w:vertAlign w:val="superscript"/>
          <w:lang w:eastAsia="zh-CN"/>
        </w:rPr>
        <w:t>a</w:t>
      </w:r>
      <w:r w:rsidRPr="00C76E19">
        <w:rPr>
          <w:rFonts w:ascii="Book Antiqua" w:hAnsi="Book Antiqua"/>
          <w:i/>
          <w:iCs/>
          <w:lang w:eastAsia="zh-CN"/>
        </w:rPr>
        <w:t>P</w:t>
      </w:r>
      <w:r w:rsidRPr="00C76E19">
        <w:rPr>
          <w:rFonts w:ascii="Book Antiqua" w:hAnsi="Book Antiqua"/>
          <w:lang w:eastAsia="zh-CN"/>
        </w:rPr>
        <w:t xml:space="preserve"> &lt; 0.05, </w:t>
      </w:r>
      <w:r w:rsidRPr="00C76E19">
        <w:rPr>
          <w:rFonts w:ascii="Book Antiqua" w:hAnsi="Book Antiqua"/>
          <w:vertAlign w:val="superscript"/>
          <w:lang w:eastAsia="zh-CN"/>
        </w:rPr>
        <w:t>b</w:t>
      </w:r>
      <w:r w:rsidRPr="00C76E19">
        <w:rPr>
          <w:rFonts w:ascii="Book Antiqua" w:hAnsi="Book Antiqua"/>
          <w:i/>
          <w:iCs/>
          <w:lang w:eastAsia="zh-CN"/>
        </w:rPr>
        <w:t>P</w:t>
      </w:r>
      <w:r w:rsidRPr="00C76E19">
        <w:rPr>
          <w:rFonts w:ascii="Book Antiqua" w:hAnsi="Book Antiqua"/>
          <w:lang w:eastAsia="zh-CN"/>
        </w:rPr>
        <w:t xml:space="preserve"> &lt; 0.01. </w:t>
      </w:r>
      <w:r w:rsidR="00C76E19" w:rsidRPr="00570082">
        <w:rPr>
          <w:rFonts w:ascii="Book Antiqua" w:eastAsia="Book Antiqua" w:hAnsi="Book Antiqua" w:cs="Book Antiqua"/>
          <w:color w:val="000000"/>
        </w:rPr>
        <w:t>BMI: Body mass index</w:t>
      </w:r>
      <w:r w:rsidR="00C76E19">
        <w:rPr>
          <w:rFonts w:ascii="Book Antiqua" w:eastAsia="Book Antiqua" w:hAnsi="Book Antiqua" w:cs="Book Antiqua"/>
          <w:color w:val="000000"/>
        </w:rPr>
        <w:t>;</w:t>
      </w:r>
      <w:r w:rsidR="00C76E19" w:rsidRPr="0042359F">
        <w:rPr>
          <w:rFonts w:ascii="Book Antiqua" w:eastAsia="Book Antiqua" w:hAnsi="Book Antiqua" w:cs="Book Antiqua"/>
          <w:color w:val="000000"/>
        </w:rPr>
        <w:t xml:space="preserve"> CMT: Conventional maintenance therapy; </w:t>
      </w:r>
      <w:r w:rsidRPr="00C76E19">
        <w:rPr>
          <w:rFonts w:ascii="Book Antiqua" w:eastAsia="Book Antiqua" w:hAnsi="Book Antiqua" w:cs="Book Antiqua"/>
          <w:color w:val="000000"/>
        </w:rPr>
        <w:t>IMT: Infliximab maintenance therapy; SD: Standard deviation.</w:t>
      </w:r>
    </w:p>
    <w:p w14:paraId="7C8A2117" w14:textId="38C4A225" w:rsidR="00CA1127" w:rsidRPr="00C76E19" w:rsidRDefault="006D4EB8" w:rsidP="00AE2A93">
      <w:pPr>
        <w:snapToGrid w:val="0"/>
        <w:spacing w:line="360" w:lineRule="auto"/>
        <w:jc w:val="both"/>
        <w:rPr>
          <w:rFonts w:ascii="Book Antiqua" w:eastAsia="Book Antiqua" w:hAnsi="Book Antiqua" w:cs="Book Antiqua"/>
          <w:b/>
          <w:bCs/>
          <w:color w:val="000000"/>
        </w:rPr>
      </w:pPr>
      <w:r w:rsidRPr="00C76E19">
        <w:rPr>
          <w:rFonts w:ascii="Book Antiqua" w:eastAsia="Book Antiqua" w:hAnsi="Book Antiqua" w:cs="Book Antiqua"/>
          <w:color w:val="000000"/>
        </w:rPr>
        <w:br w:type="page"/>
      </w:r>
      <w:r w:rsidRPr="00C76E19">
        <w:rPr>
          <w:rFonts w:ascii="Book Antiqua" w:eastAsia="Book Antiqua" w:hAnsi="Book Antiqua" w:cs="Book Antiqua"/>
          <w:b/>
          <w:bCs/>
          <w:color w:val="000000"/>
        </w:rPr>
        <w:t xml:space="preserve">Table 2 Unadjusted comparisons of the measured clinical outcomes, health resources utilization, and direct medical costs associated with infliximab maintenance therapy and conventional maintenance therapy during </w:t>
      </w:r>
      <w:r w:rsidR="00C53EFC" w:rsidRPr="00C76E19">
        <w:rPr>
          <w:rFonts w:ascii="Book Antiqua" w:eastAsia="Book Antiqua" w:hAnsi="Book Antiqua" w:cs="Book Antiqua"/>
          <w:b/>
          <w:bCs/>
          <w:color w:val="000000"/>
        </w:rPr>
        <w:t>1</w:t>
      </w:r>
      <w:r w:rsidRPr="00C76E19">
        <w:rPr>
          <w:rFonts w:ascii="Book Antiqua" w:eastAsia="Book Antiqua" w:hAnsi="Book Antiqua" w:cs="Book Antiqua"/>
          <w:b/>
          <w:bCs/>
          <w:color w:val="000000"/>
        </w:rPr>
        <w:t>-year observation time</w:t>
      </w:r>
    </w:p>
    <w:tbl>
      <w:tblPr>
        <w:tblW w:w="13430" w:type="dxa"/>
        <w:jc w:val="center"/>
        <w:tblLook w:val="04A0" w:firstRow="1" w:lastRow="0" w:firstColumn="1" w:lastColumn="0" w:noHBand="0" w:noVBand="1"/>
      </w:tblPr>
      <w:tblGrid>
        <w:gridCol w:w="6274"/>
        <w:gridCol w:w="1128"/>
        <w:gridCol w:w="936"/>
        <w:gridCol w:w="1070"/>
        <w:gridCol w:w="1128"/>
        <w:gridCol w:w="936"/>
        <w:gridCol w:w="1070"/>
        <w:gridCol w:w="1037"/>
      </w:tblGrid>
      <w:tr w:rsidR="00BF310C" w:rsidRPr="00C76E19" w14:paraId="4C4E0DC1" w14:textId="77777777" w:rsidTr="0051080B">
        <w:trPr>
          <w:trHeight w:val="300"/>
          <w:jc w:val="center"/>
        </w:trPr>
        <w:tc>
          <w:tcPr>
            <w:tcW w:w="0" w:type="auto"/>
            <w:tcBorders>
              <w:top w:val="single" w:sz="4" w:space="0" w:color="auto"/>
              <w:left w:val="nil"/>
              <w:bottom w:val="single" w:sz="4" w:space="0" w:color="auto"/>
              <w:right w:val="nil"/>
            </w:tcBorders>
            <w:shd w:val="clear" w:color="000000" w:fill="FFFFFF"/>
            <w:noWrap/>
          </w:tcPr>
          <w:p w14:paraId="55C896FB" w14:textId="5FCD105C" w:rsidR="00BF310C" w:rsidRPr="00C76E19" w:rsidRDefault="00BF310C" w:rsidP="00AE2A93">
            <w:pPr>
              <w:snapToGrid w:val="0"/>
              <w:spacing w:line="360" w:lineRule="auto"/>
              <w:jc w:val="both"/>
              <w:rPr>
                <w:rFonts w:ascii="Book Antiqua" w:hAnsi="Book Antiqua"/>
                <w:color w:val="000000"/>
              </w:rPr>
            </w:pPr>
          </w:p>
        </w:tc>
        <w:tc>
          <w:tcPr>
            <w:tcW w:w="0" w:type="auto"/>
            <w:gridSpan w:val="3"/>
            <w:tcBorders>
              <w:top w:val="single" w:sz="4" w:space="0" w:color="auto"/>
              <w:left w:val="nil"/>
              <w:bottom w:val="single" w:sz="4" w:space="0" w:color="auto"/>
              <w:right w:val="nil"/>
            </w:tcBorders>
            <w:shd w:val="clear" w:color="000000" w:fill="FFFFFF"/>
            <w:noWrap/>
            <w:hideMark/>
          </w:tcPr>
          <w:p w14:paraId="0B54FDF2" w14:textId="44C4E13B"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b/>
                <w:bCs/>
                <w:color w:val="000000"/>
              </w:rPr>
              <w:t>IMT</w:t>
            </w:r>
            <w:r w:rsidR="002B5BCF">
              <w:rPr>
                <w:rFonts w:ascii="Book Antiqua" w:hAnsi="Book Antiqua"/>
                <w:b/>
                <w:bCs/>
                <w:color w:val="000000"/>
              </w:rPr>
              <w:t>,</w:t>
            </w:r>
            <w:r w:rsidRPr="002B5BCF">
              <w:rPr>
                <w:rFonts w:ascii="Book Antiqua" w:hAnsi="Book Antiqua"/>
                <w:b/>
                <w:bCs/>
                <w:color w:val="000000"/>
              </w:rPr>
              <w:t xml:space="preserve"> </w:t>
            </w:r>
            <w:r w:rsidRPr="002B5BCF">
              <w:rPr>
                <w:rFonts w:ascii="Book Antiqua" w:hAnsi="Book Antiqua"/>
                <w:b/>
                <w:bCs/>
                <w:i/>
                <w:iCs/>
                <w:color w:val="000000"/>
              </w:rPr>
              <w:t>n</w:t>
            </w:r>
            <w:r w:rsidRPr="002B5BCF">
              <w:rPr>
                <w:rFonts w:ascii="Book Antiqua" w:hAnsi="Book Antiqua"/>
                <w:b/>
                <w:bCs/>
                <w:color w:val="000000"/>
              </w:rPr>
              <w:t xml:space="preserve"> = 295</w:t>
            </w:r>
          </w:p>
        </w:tc>
        <w:tc>
          <w:tcPr>
            <w:tcW w:w="0" w:type="auto"/>
            <w:gridSpan w:val="3"/>
            <w:tcBorders>
              <w:top w:val="single" w:sz="4" w:space="0" w:color="auto"/>
              <w:left w:val="nil"/>
              <w:bottom w:val="single" w:sz="4" w:space="0" w:color="auto"/>
              <w:right w:val="nil"/>
            </w:tcBorders>
            <w:shd w:val="clear" w:color="000000" w:fill="FFFFFF"/>
            <w:noWrap/>
            <w:hideMark/>
          </w:tcPr>
          <w:p w14:paraId="28160DDF" w14:textId="5F6C6212"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b/>
                <w:bCs/>
                <w:color w:val="000000"/>
              </w:rPr>
              <w:t>CMT</w:t>
            </w:r>
            <w:r w:rsidR="002B5BCF">
              <w:rPr>
                <w:rFonts w:ascii="Book Antiqua" w:hAnsi="Book Antiqua"/>
                <w:b/>
                <w:bCs/>
                <w:color w:val="000000"/>
              </w:rPr>
              <w:t>,</w:t>
            </w:r>
            <w:r w:rsidRPr="002B5BCF">
              <w:rPr>
                <w:rFonts w:ascii="Book Antiqua" w:hAnsi="Book Antiqua"/>
                <w:b/>
                <w:bCs/>
                <w:color w:val="000000"/>
              </w:rPr>
              <w:t xml:space="preserve"> </w:t>
            </w:r>
            <w:r w:rsidRPr="002B5BCF">
              <w:rPr>
                <w:rFonts w:ascii="Book Antiqua" w:hAnsi="Book Antiqua"/>
                <w:b/>
                <w:bCs/>
                <w:i/>
                <w:iCs/>
                <w:color w:val="000000"/>
              </w:rPr>
              <w:t>n</w:t>
            </w:r>
            <w:r w:rsidRPr="002B5BCF">
              <w:rPr>
                <w:rFonts w:ascii="Book Antiqua" w:hAnsi="Book Antiqua"/>
                <w:b/>
                <w:bCs/>
                <w:color w:val="000000"/>
              </w:rPr>
              <w:t xml:space="preserve"> = 130</w:t>
            </w:r>
          </w:p>
        </w:tc>
        <w:tc>
          <w:tcPr>
            <w:tcW w:w="0" w:type="auto"/>
            <w:tcBorders>
              <w:top w:val="single" w:sz="4" w:space="0" w:color="auto"/>
              <w:left w:val="nil"/>
              <w:right w:val="nil"/>
            </w:tcBorders>
            <w:shd w:val="clear" w:color="000000" w:fill="FFFFFF"/>
            <w:noWrap/>
            <w:hideMark/>
          </w:tcPr>
          <w:p w14:paraId="711EF947" w14:textId="77777777" w:rsidR="00BF310C" w:rsidRPr="00C76E19" w:rsidRDefault="00BF310C" w:rsidP="00AE2A93">
            <w:pPr>
              <w:snapToGrid w:val="0"/>
              <w:spacing w:line="360" w:lineRule="auto"/>
              <w:jc w:val="both"/>
              <w:rPr>
                <w:rFonts w:ascii="Book Antiqua" w:hAnsi="Book Antiqua"/>
                <w:b/>
                <w:bCs/>
                <w:color w:val="000000"/>
              </w:rPr>
            </w:pPr>
            <w:r w:rsidRPr="00C76E19">
              <w:rPr>
                <w:rFonts w:ascii="Book Antiqua" w:hAnsi="Book Antiqua"/>
                <w:b/>
                <w:bCs/>
                <w:i/>
                <w:iCs/>
                <w:color w:val="000000"/>
              </w:rPr>
              <w:t>P</w:t>
            </w:r>
            <w:r w:rsidRPr="00C76E19">
              <w:rPr>
                <w:rFonts w:ascii="Book Antiqua" w:hAnsi="Book Antiqua"/>
                <w:b/>
                <w:bCs/>
                <w:color w:val="000000"/>
              </w:rPr>
              <w:t xml:space="preserve"> value</w:t>
            </w:r>
          </w:p>
        </w:tc>
      </w:tr>
      <w:tr w:rsidR="00BF310C" w:rsidRPr="00C76E19" w14:paraId="030B24AD" w14:textId="77777777" w:rsidTr="0051080B">
        <w:trPr>
          <w:trHeight w:val="300"/>
          <w:jc w:val="center"/>
        </w:trPr>
        <w:tc>
          <w:tcPr>
            <w:tcW w:w="0" w:type="auto"/>
            <w:tcBorders>
              <w:top w:val="nil"/>
              <w:left w:val="nil"/>
              <w:bottom w:val="single" w:sz="4" w:space="0" w:color="auto"/>
              <w:right w:val="nil"/>
            </w:tcBorders>
            <w:shd w:val="clear" w:color="000000" w:fill="FFFFFF"/>
            <w:noWrap/>
            <w:hideMark/>
          </w:tcPr>
          <w:p w14:paraId="2C9B2875" w14:textId="77777777" w:rsidR="00BF310C" w:rsidRPr="00C76E19" w:rsidRDefault="00BF310C" w:rsidP="00AE2A93">
            <w:pPr>
              <w:snapToGrid w:val="0"/>
              <w:spacing w:line="360" w:lineRule="auto"/>
              <w:jc w:val="both"/>
              <w:rPr>
                <w:rFonts w:ascii="Book Antiqua" w:hAnsi="Book Antiqua"/>
                <w:b/>
                <w:bCs/>
                <w:color w:val="000000"/>
              </w:rPr>
            </w:pPr>
            <w:r w:rsidRPr="00C76E19">
              <w:rPr>
                <w:rFonts w:ascii="Book Antiqua" w:hAnsi="Book Antiqua"/>
                <w:b/>
                <w:bCs/>
                <w:color w:val="000000"/>
              </w:rPr>
              <w:t xml:space="preserve">Outcome measure </w:t>
            </w:r>
          </w:p>
        </w:tc>
        <w:tc>
          <w:tcPr>
            <w:tcW w:w="0" w:type="auto"/>
            <w:tcBorders>
              <w:top w:val="nil"/>
              <w:left w:val="nil"/>
              <w:bottom w:val="single" w:sz="4" w:space="0" w:color="auto"/>
              <w:right w:val="nil"/>
            </w:tcBorders>
            <w:shd w:val="clear" w:color="000000" w:fill="FFFFFF"/>
            <w:noWrap/>
            <w:hideMark/>
          </w:tcPr>
          <w:p w14:paraId="576BD8F5" w14:textId="2E9B0DD0" w:rsidR="00BF310C" w:rsidRPr="00C76E19" w:rsidRDefault="00BF310C" w:rsidP="00AE2A93">
            <w:pPr>
              <w:snapToGrid w:val="0"/>
              <w:spacing w:line="360" w:lineRule="auto"/>
              <w:jc w:val="both"/>
              <w:rPr>
                <w:rFonts w:ascii="Book Antiqua" w:hAnsi="Book Antiqua"/>
                <w:b/>
                <w:bCs/>
                <w:color w:val="000000"/>
              </w:rPr>
            </w:pPr>
            <w:r w:rsidRPr="00C76E19">
              <w:rPr>
                <w:rFonts w:ascii="Book Antiqua" w:hAnsi="Book Antiqua"/>
                <w:b/>
                <w:bCs/>
                <w:color w:val="000000"/>
              </w:rPr>
              <w:t>Mean/%</w:t>
            </w:r>
          </w:p>
        </w:tc>
        <w:tc>
          <w:tcPr>
            <w:tcW w:w="0" w:type="auto"/>
            <w:tcBorders>
              <w:top w:val="nil"/>
              <w:left w:val="nil"/>
              <w:bottom w:val="single" w:sz="4" w:space="0" w:color="auto"/>
              <w:right w:val="nil"/>
            </w:tcBorders>
            <w:shd w:val="clear" w:color="000000" w:fill="FFFFFF"/>
            <w:noWrap/>
            <w:hideMark/>
          </w:tcPr>
          <w:p w14:paraId="5F6F21A5" w14:textId="77777777" w:rsidR="00BF310C" w:rsidRPr="00C76E19" w:rsidRDefault="00BF310C" w:rsidP="00AE2A93">
            <w:pPr>
              <w:snapToGrid w:val="0"/>
              <w:spacing w:line="360" w:lineRule="auto"/>
              <w:jc w:val="both"/>
              <w:rPr>
                <w:rFonts w:ascii="Book Antiqua" w:hAnsi="Book Antiqua"/>
                <w:b/>
                <w:bCs/>
                <w:color w:val="000000"/>
              </w:rPr>
            </w:pPr>
            <w:r w:rsidRPr="00C76E19">
              <w:rPr>
                <w:rFonts w:ascii="Book Antiqua" w:hAnsi="Book Antiqua"/>
                <w:b/>
                <w:bCs/>
                <w:color w:val="000000"/>
              </w:rPr>
              <w:t>SD</w:t>
            </w:r>
          </w:p>
        </w:tc>
        <w:tc>
          <w:tcPr>
            <w:tcW w:w="0" w:type="auto"/>
            <w:tcBorders>
              <w:top w:val="nil"/>
              <w:left w:val="nil"/>
              <w:bottom w:val="single" w:sz="4" w:space="0" w:color="auto"/>
              <w:right w:val="nil"/>
            </w:tcBorders>
            <w:shd w:val="clear" w:color="000000" w:fill="FFFFFF"/>
            <w:noWrap/>
            <w:hideMark/>
          </w:tcPr>
          <w:p w14:paraId="456A8D55" w14:textId="77777777" w:rsidR="00BF310C" w:rsidRPr="00C76E19" w:rsidRDefault="00BF310C" w:rsidP="00AE2A93">
            <w:pPr>
              <w:snapToGrid w:val="0"/>
              <w:spacing w:line="360" w:lineRule="auto"/>
              <w:jc w:val="both"/>
              <w:rPr>
                <w:rFonts w:ascii="Book Antiqua" w:hAnsi="Book Antiqua"/>
                <w:b/>
                <w:bCs/>
                <w:color w:val="000000"/>
              </w:rPr>
            </w:pPr>
            <w:r w:rsidRPr="00C76E19">
              <w:rPr>
                <w:rFonts w:ascii="Book Antiqua" w:hAnsi="Book Antiqua"/>
                <w:b/>
                <w:bCs/>
                <w:color w:val="000000"/>
              </w:rPr>
              <w:t xml:space="preserve">Median </w:t>
            </w:r>
          </w:p>
        </w:tc>
        <w:tc>
          <w:tcPr>
            <w:tcW w:w="0" w:type="auto"/>
            <w:tcBorders>
              <w:top w:val="nil"/>
              <w:left w:val="nil"/>
              <w:bottom w:val="single" w:sz="4" w:space="0" w:color="auto"/>
              <w:right w:val="nil"/>
            </w:tcBorders>
            <w:shd w:val="clear" w:color="000000" w:fill="FFFFFF"/>
            <w:noWrap/>
            <w:hideMark/>
          </w:tcPr>
          <w:p w14:paraId="1FF4DAF0" w14:textId="4A7C3255" w:rsidR="00BF310C" w:rsidRPr="00C76E19" w:rsidRDefault="00BF310C" w:rsidP="00AE2A93">
            <w:pPr>
              <w:snapToGrid w:val="0"/>
              <w:spacing w:line="360" w:lineRule="auto"/>
              <w:jc w:val="both"/>
              <w:rPr>
                <w:rFonts w:ascii="Book Antiqua" w:hAnsi="Book Antiqua"/>
                <w:b/>
                <w:bCs/>
                <w:color w:val="000000"/>
              </w:rPr>
            </w:pPr>
            <w:r w:rsidRPr="00C76E19">
              <w:rPr>
                <w:rFonts w:ascii="Book Antiqua" w:hAnsi="Book Antiqua"/>
                <w:b/>
                <w:bCs/>
                <w:color w:val="000000"/>
              </w:rPr>
              <w:t>Mean/%</w:t>
            </w:r>
          </w:p>
        </w:tc>
        <w:tc>
          <w:tcPr>
            <w:tcW w:w="0" w:type="auto"/>
            <w:tcBorders>
              <w:top w:val="nil"/>
              <w:left w:val="nil"/>
              <w:bottom w:val="single" w:sz="4" w:space="0" w:color="auto"/>
              <w:right w:val="nil"/>
            </w:tcBorders>
            <w:shd w:val="clear" w:color="000000" w:fill="FFFFFF"/>
            <w:noWrap/>
            <w:hideMark/>
          </w:tcPr>
          <w:p w14:paraId="0F7FE62F" w14:textId="77777777" w:rsidR="00BF310C" w:rsidRPr="00C76E19" w:rsidRDefault="00BF310C" w:rsidP="00AE2A93">
            <w:pPr>
              <w:snapToGrid w:val="0"/>
              <w:spacing w:line="360" w:lineRule="auto"/>
              <w:jc w:val="both"/>
              <w:rPr>
                <w:rFonts w:ascii="Book Antiqua" w:hAnsi="Book Antiqua"/>
                <w:b/>
                <w:bCs/>
                <w:color w:val="000000"/>
              </w:rPr>
            </w:pPr>
            <w:r w:rsidRPr="00C76E19">
              <w:rPr>
                <w:rFonts w:ascii="Book Antiqua" w:hAnsi="Book Antiqua"/>
                <w:b/>
                <w:bCs/>
                <w:color w:val="000000"/>
              </w:rPr>
              <w:t>SD</w:t>
            </w:r>
          </w:p>
        </w:tc>
        <w:tc>
          <w:tcPr>
            <w:tcW w:w="0" w:type="auto"/>
            <w:tcBorders>
              <w:top w:val="nil"/>
              <w:left w:val="nil"/>
              <w:bottom w:val="single" w:sz="4" w:space="0" w:color="auto"/>
              <w:right w:val="nil"/>
            </w:tcBorders>
            <w:shd w:val="clear" w:color="000000" w:fill="FFFFFF"/>
            <w:noWrap/>
            <w:hideMark/>
          </w:tcPr>
          <w:p w14:paraId="38AE4702" w14:textId="77777777" w:rsidR="00BF310C" w:rsidRPr="00C76E19" w:rsidRDefault="00BF310C" w:rsidP="00AE2A93">
            <w:pPr>
              <w:snapToGrid w:val="0"/>
              <w:spacing w:line="360" w:lineRule="auto"/>
              <w:jc w:val="both"/>
              <w:rPr>
                <w:rFonts w:ascii="Book Antiqua" w:hAnsi="Book Antiqua"/>
                <w:b/>
                <w:bCs/>
                <w:color w:val="000000"/>
              </w:rPr>
            </w:pPr>
            <w:r w:rsidRPr="00C76E19">
              <w:rPr>
                <w:rFonts w:ascii="Book Antiqua" w:hAnsi="Book Antiqua"/>
                <w:b/>
                <w:bCs/>
                <w:color w:val="000000"/>
              </w:rPr>
              <w:t xml:space="preserve">Median </w:t>
            </w:r>
          </w:p>
        </w:tc>
        <w:tc>
          <w:tcPr>
            <w:tcW w:w="0" w:type="auto"/>
            <w:tcBorders>
              <w:left w:val="nil"/>
              <w:bottom w:val="single" w:sz="4" w:space="0" w:color="000000"/>
              <w:right w:val="nil"/>
            </w:tcBorders>
            <w:shd w:val="clear" w:color="000000" w:fill="FFFFFF"/>
            <w:hideMark/>
          </w:tcPr>
          <w:p w14:paraId="10E6D878" w14:textId="77777777" w:rsidR="00BF310C" w:rsidRPr="00C76E19" w:rsidRDefault="00BF310C" w:rsidP="00AE2A93">
            <w:pPr>
              <w:snapToGrid w:val="0"/>
              <w:spacing w:line="360" w:lineRule="auto"/>
              <w:jc w:val="both"/>
              <w:rPr>
                <w:rFonts w:ascii="Book Antiqua" w:hAnsi="Book Antiqua"/>
                <w:b/>
                <w:bCs/>
                <w:color w:val="000000"/>
              </w:rPr>
            </w:pPr>
          </w:p>
        </w:tc>
      </w:tr>
      <w:tr w:rsidR="00BF310C" w:rsidRPr="00C76E19" w14:paraId="605DA66A" w14:textId="77777777" w:rsidTr="0051080B">
        <w:trPr>
          <w:trHeight w:val="300"/>
          <w:jc w:val="center"/>
        </w:trPr>
        <w:tc>
          <w:tcPr>
            <w:tcW w:w="0" w:type="auto"/>
            <w:tcBorders>
              <w:top w:val="nil"/>
              <w:left w:val="nil"/>
              <w:right w:val="nil"/>
            </w:tcBorders>
            <w:shd w:val="clear" w:color="000000" w:fill="FFFFFF"/>
            <w:noWrap/>
            <w:hideMark/>
          </w:tcPr>
          <w:p w14:paraId="5D8AB359"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 xml:space="preserve">Clinical outcomes </w:t>
            </w:r>
          </w:p>
        </w:tc>
        <w:tc>
          <w:tcPr>
            <w:tcW w:w="0" w:type="auto"/>
            <w:tcBorders>
              <w:top w:val="nil"/>
              <w:left w:val="nil"/>
              <w:right w:val="nil"/>
            </w:tcBorders>
            <w:shd w:val="clear" w:color="000000" w:fill="FFFFFF"/>
            <w:noWrap/>
            <w:hideMark/>
          </w:tcPr>
          <w:p w14:paraId="2D0F4782"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0" w:type="auto"/>
            <w:tcBorders>
              <w:top w:val="nil"/>
              <w:left w:val="nil"/>
              <w:right w:val="nil"/>
            </w:tcBorders>
            <w:shd w:val="clear" w:color="000000" w:fill="FFFFFF"/>
            <w:noWrap/>
            <w:hideMark/>
          </w:tcPr>
          <w:p w14:paraId="3E371F77"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0" w:type="auto"/>
            <w:tcBorders>
              <w:top w:val="nil"/>
              <w:left w:val="nil"/>
              <w:right w:val="nil"/>
            </w:tcBorders>
            <w:shd w:val="clear" w:color="000000" w:fill="FFFFFF"/>
            <w:noWrap/>
            <w:hideMark/>
          </w:tcPr>
          <w:p w14:paraId="63BEFEE1"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0" w:type="auto"/>
            <w:tcBorders>
              <w:top w:val="nil"/>
              <w:left w:val="nil"/>
              <w:right w:val="nil"/>
            </w:tcBorders>
            <w:shd w:val="clear" w:color="000000" w:fill="FFFFFF"/>
            <w:noWrap/>
            <w:hideMark/>
          </w:tcPr>
          <w:p w14:paraId="3DEEA24F"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0" w:type="auto"/>
            <w:tcBorders>
              <w:top w:val="nil"/>
              <w:left w:val="nil"/>
              <w:right w:val="nil"/>
            </w:tcBorders>
            <w:shd w:val="clear" w:color="000000" w:fill="FFFFFF"/>
            <w:noWrap/>
            <w:hideMark/>
          </w:tcPr>
          <w:p w14:paraId="06D598A1"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0" w:type="auto"/>
            <w:tcBorders>
              <w:top w:val="nil"/>
              <w:left w:val="nil"/>
              <w:right w:val="nil"/>
            </w:tcBorders>
            <w:shd w:val="clear" w:color="000000" w:fill="FFFFFF"/>
            <w:noWrap/>
            <w:hideMark/>
          </w:tcPr>
          <w:p w14:paraId="4B4D097E"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0" w:type="auto"/>
            <w:tcBorders>
              <w:top w:val="nil"/>
              <w:left w:val="nil"/>
              <w:right w:val="nil"/>
            </w:tcBorders>
            <w:shd w:val="clear" w:color="000000" w:fill="FFFFFF"/>
            <w:noWrap/>
            <w:hideMark/>
          </w:tcPr>
          <w:p w14:paraId="6571F8AB"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 </w:t>
            </w:r>
          </w:p>
        </w:tc>
      </w:tr>
      <w:tr w:rsidR="00BF310C" w:rsidRPr="00C76E19" w14:paraId="0662957E" w14:textId="77777777" w:rsidTr="0051080B">
        <w:trPr>
          <w:trHeight w:val="300"/>
          <w:jc w:val="center"/>
        </w:trPr>
        <w:tc>
          <w:tcPr>
            <w:tcW w:w="0" w:type="auto"/>
            <w:tcBorders>
              <w:top w:val="nil"/>
              <w:left w:val="nil"/>
              <w:bottom w:val="nil"/>
              <w:right w:val="nil"/>
            </w:tcBorders>
            <w:shd w:val="clear" w:color="000000" w:fill="FFFFFF"/>
            <w:noWrap/>
            <w:hideMark/>
          </w:tcPr>
          <w:p w14:paraId="03C618BD" w14:textId="77777777" w:rsidR="00BF310C" w:rsidRPr="00C76E19" w:rsidRDefault="00BF310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Surgery rate </w:t>
            </w:r>
          </w:p>
        </w:tc>
        <w:tc>
          <w:tcPr>
            <w:tcW w:w="0" w:type="auto"/>
            <w:tcBorders>
              <w:top w:val="nil"/>
              <w:left w:val="nil"/>
              <w:bottom w:val="nil"/>
              <w:right w:val="nil"/>
            </w:tcBorders>
            <w:shd w:val="clear" w:color="000000" w:fill="FFFFFF"/>
            <w:noWrap/>
          </w:tcPr>
          <w:p w14:paraId="61AFB12C"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12.7%</w:t>
            </w:r>
          </w:p>
        </w:tc>
        <w:tc>
          <w:tcPr>
            <w:tcW w:w="0" w:type="auto"/>
            <w:tcBorders>
              <w:top w:val="nil"/>
              <w:left w:val="nil"/>
              <w:bottom w:val="nil"/>
              <w:right w:val="nil"/>
            </w:tcBorders>
            <w:shd w:val="clear" w:color="000000" w:fill="FFFFFF"/>
            <w:noWrap/>
          </w:tcPr>
          <w:p w14:paraId="2C2CCCC3"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4DB81E45"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397D1370"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25.4%</w:t>
            </w:r>
          </w:p>
        </w:tc>
        <w:tc>
          <w:tcPr>
            <w:tcW w:w="0" w:type="auto"/>
            <w:tcBorders>
              <w:top w:val="nil"/>
              <w:left w:val="nil"/>
              <w:bottom w:val="nil"/>
              <w:right w:val="nil"/>
            </w:tcBorders>
            <w:shd w:val="clear" w:color="000000" w:fill="FFFFFF"/>
            <w:noWrap/>
          </w:tcPr>
          <w:p w14:paraId="0E5F7899"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7FA22EF0"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0BEFB795" w14:textId="4C8DFC41"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0.002</w:t>
            </w:r>
            <w:r w:rsidRPr="00C76E19">
              <w:rPr>
                <w:rFonts w:ascii="Book Antiqua" w:hAnsi="Book Antiqua"/>
                <w:color w:val="000000"/>
                <w:vertAlign w:val="superscript"/>
              </w:rPr>
              <w:t>b</w:t>
            </w:r>
          </w:p>
        </w:tc>
      </w:tr>
      <w:tr w:rsidR="00BF310C" w:rsidRPr="00C76E19" w14:paraId="6C979AF5" w14:textId="77777777" w:rsidTr="0051080B">
        <w:trPr>
          <w:trHeight w:val="300"/>
          <w:jc w:val="center"/>
        </w:trPr>
        <w:tc>
          <w:tcPr>
            <w:tcW w:w="0" w:type="auto"/>
            <w:tcBorders>
              <w:top w:val="nil"/>
              <w:left w:val="nil"/>
              <w:bottom w:val="nil"/>
              <w:right w:val="nil"/>
            </w:tcBorders>
            <w:shd w:val="clear" w:color="000000" w:fill="FFFFFF"/>
            <w:noWrap/>
            <w:hideMark/>
          </w:tcPr>
          <w:p w14:paraId="0F0DA565" w14:textId="77777777" w:rsidR="00BF310C" w:rsidRPr="00C76E19" w:rsidRDefault="00BF310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Disease remission rate </w:t>
            </w:r>
          </w:p>
        </w:tc>
        <w:tc>
          <w:tcPr>
            <w:tcW w:w="0" w:type="auto"/>
            <w:tcBorders>
              <w:top w:val="nil"/>
              <w:left w:val="nil"/>
              <w:bottom w:val="nil"/>
              <w:right w:val="nil"/>
            </w:tcBorders>
            <w:shd w:val="clear" w:color="000000" w:fill="FFFFFF"/>
            <w:noWrap/>
          </w:tcPr>
          <w:p w14:paraId="198EC406"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94.6%</w:t>
            </w:r>
          </w:p>
        </w:tc>
        <w:tc>
          <w:tcPr>
            <w:tcW w:w="0" w:type="auto"/>
            <w:tcBorders>
              <w:top w:val="nil"/>
              <w:left w:val="nil"/>
              <w:bottom w:val="nil"/>
              <w:right w:val="nil"/>
            </w:tcBorders>
            <w:shd w:val="clear" w:color="000000" w:fill="FFFFFF"/>
            <w:noWrap/>
          </w:tcPr>
          <w:p w14:paraId="1502D3BA"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28814D3B"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5C83E04E"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86.9%</w:t>
            </w:r>
          </w:p>
        </w:tc>
        <w:tc>
          <w:tcPr>
            <w:tcW w:w="0" w:type="auto"/>
            <w:tcBorders>
              <w:top w:val="nil"/>
              <w:left w:val="nil"/>
              <w:bottom w:val="nil"/>
              <w:right w:val="nil"/>
            </w:tcBorders>
            <w:shd w:val="clear" w:color="000000" w:fill="FFFFFF"/>
            <w:noWrap/>
          </w:tcPr>
          <w:p w14:paraId="4A40F1BE"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3886E4F5"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2A0A6A2A" w14:textId="56F99B23"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0.008</w:t>
            </w:r>
            <w:r w:rsidRPr="00C76E19">
              <w:rPr>
                <w:rFonts w:ascii="Book Antiqua" w:hAnsi="Book Antiqua"/>
                <w:color w:val="000000"/>
                <w:vertAlign w:val="superscript"/>
              </w:rPr>
              <w:t>b</w:t>
            </w:r>
          </w:p>
        </w:tc>
      </w:tr>
      <w:tr w:rsidR="00BF310C" w:rsidRPr="00C76E19" w14:paraId="17F6BC8F" w14:textId="77777777" w:rsidTr="0051080B">
        <w:trPr>
          <w:trHeight w:val="300"/>
          <w:jc w:val="center"/>
        </w:trPr>
        <w:tc>
          <w:tcPr>
            <w:tcW w:w="0" w:type="auto"/>
            <w:tcBorders>
              <w:top w:val="nil"/>
              <w:left w:val="nil"/>
              <w:right w:val="nil"/>
            </w:tcBorders>
            <w:shd w:val="clear" w:color="000000" w:fill="FFFFFF"/>
            <w:noWrap/>
            <w:hideMark/>
          </w:tcPr>
          <w:p w14:paraId="0F2090B5" w14:textId="77777777" w:rsidR="00BF310C" w:rsidRPr="00C76E19" w:rsidRDefault="00BF310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Utility for quality of life </w:t>
            </w:r>
          </w:p>
        </w:tc>
        <w:tc>
          <w:tcPr>
            <w:tcW w:w="0" w:type="auto"/>
            <w:tcBorders>
              <w:top w:val="nil"/>
              <w:left w:val="nil"/>
              <w:right w:val="nil"/>
            </w:tcBorders>
            <w:shd w:val="clear" w:color="000000" w:fill="FFFFFF"/>
            <w:noWrap/>
          </w:tcPr>
          <w:p w14:paraId="6F5C3236"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0.890</w:t>
            </w:r>
          </w:p>
        </w:tc>
        <w:tc>
          <w:tcPr>
            <w:tcW w:w="0" w:type="auto"/>
            <w:tcBorders>
              <w:top w:val="nil"/>
              <w:left w:val="nil"/>
              <w:right w:val="nil"/>
            </w:tcBorders>
            <w:shd w:val="clear" w:color="000000" w:fill="FFFFFF"/>
            <w:noWrap/>
          </w:tcPr>
          <w:p w14:paraId="3EFF463E"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0.080</w:t>
            </w:r>
          </w:p>
        </w:tc>
        <w:tc>
          <w:tcPr>
            <w:tcW w:w="0" w:type="auto"/>
            <w:tcBorders>
              <w:top w:val="nil"/>
              <w:left w:val="nil"/>
              <w:right w:val="nil"/>
            </w:tcBorders>
            <w:shd w:val="clear" w:color="000000" w:fill="FFFFFF"/>
            <w:noWrap/>
          </w:tcPr>
          <w:p w14:paraId="62367F7B"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0.900</w:t>
            </w:r>
          </w:p>
        </w:tc>
        <w:tc>
          <w:tcPr>
            <w:tcW w:w="0" w:type="auto"/>
            <w:tcBorders>
              <w:top w:val="nil"/>
              <w:left w:val="nil"/>
              <w:right w:val="nil"/>
            </w:tcBorders>
            <w:shd w:val="clear" w:color="000000" w:fill="FFFFFF"/>
            <w:noWrap/>
          </w:tcPr>
          <w:p w14:paraId="33CEE473"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0.757</w:t>
            </w:r>
          </w:p>
        </w:tc>
        <w:tc>
          <w:tcPr>
            <w:tcW w:w="0" w:type="auto"/>
            <w:tcBorders>
              <w:top w:val="nil"/>
              <w:left w:val="nil"/>
              <w:right w:val="nil"/>
            </w:tcBorders>
            <w:shd w:val="clear" w:color="000000" w:fill="FFFFFF"/>
            <w:noWrap/>
          </w:tcPr>
          <w:p w14:paraId="231ECC52"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0.093</w:t>
            </w:r>
          </w:p>
        </w:tc>
        <w:tc>
          <w:tcPr>
            <w:tcW w:w="0" w:type="auto"/>
            <w:tcBorders>
              <w:top w:val="nil"/>
              <w:left w:val="nil"/>
              <w:right w:val="nil"/>
            </w:tcBorders>
            <w:shd w:val="clear" w:color="000000" w:fill="FFFFFF"/>
            <w:noWrap/>
          </w:tcPr>
          <w:p w14:paraId="6F9136A2"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0.748</w:t>
            </w:r>
          </w:p>
        </w:tc>
        <w:tc>
          <w:tcPr>
            <w:tcW w:w="0" w:type="auto"/>
            <w:tcBorders>
              <w:top w:val="nil"/>
              <w:left w:val="nil"/>
              <w:right w:val="nil"/>
            </w:tcBorders>
            <w:shd w:val="clear" w:color="000000" w:fill="FFFFFF"/>
            <w:noWrap/>
          </w:tcPr>
          <w:p w14:paraId="30E9E4AE" w14:textId="7DC9A7E4"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&lt; 0.001</w:t>
            </w:r>
          </w:p>
        </w:tc>
      </w:tr>
      <w:tr w:rsidR="00BF310C" w:rsidRPr="00C76E19" w14:paraId="6FD6AC56" w14:textId="77777777" w:rsidTr="0051080B">
        <w:trPr>
          <w:trHeight w:val="300"/>
          <w:jc w:val="center"/>
        </w:trPr>
        <w:tc>
          <w:tcPr>
            <w:tcW w:w="0" w:type="auto"/>
            <w:tcBorders>
              <w:top w:val="nil"/>
              <w:left w:val="nil"/>
              <w:bottom w:val="nil"/>
              <w:right w:val="nil"/>
            </w:tcBorders>
            <w:shd w:val="clear" w:color="000000" w:fill="FFFFFF"/>
            <w:noWrap/>
            <w:hideMark/>
          </w:tcPr>
          <w:p w14:paraId="6FAC6927"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 xml:space="preserve">Newly developed complications </w:t>
            </w:r>
          </w:p>
        </w:tc>
        <w:tc>
          <w:tcPr>
            <w:tcW w:w="0" w:type="auto"/>
            <w:tcBorders>
              <w:top w:val="nil"/>
              <w:left w:val="nil"/>
              <w:bottom w:val="nil"/>
              <w:right w:val="nil"/>
            </w:tcBorders>
            <w:shd w:val="clear" w:color="000000" w:fill="FFFFFF"/>
            <w:noWrap/>
          </w:tcPr>
          <w:p w14:paraId="444AE7A4"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08A55CC4"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4AE48B0B"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51F6B973"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01355676"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76428CA2"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721A23A7" w14:textId="77777777" w:rsidR="00BF310C" w:rsidRPr="00C76E19" w:rsidRDefault="00BF310C" w:rsidP="00AE2A93">
            <w:pPr>
              <w:snapToGrid w:val="0"/>
              <w:spacing w:line="360" w:lineRule="auto"/>
              <w:jc w:val="both"/>
              <w:rPr>
                <w:rFonts w:ascii="Book Antiqua" w:hAnsi="Book Antiqua"/>
                <w:b/>
                <w:bCs/>
                <w:color w:val="000000"/>
              </w:rPr>
            </w:pPr>
          </w:p>
        </w:tc>
      </w:tr>
      <w:tr w:rsidR="00BF310C" w:rsidRPr="00C76E19" w14:paraId="1EA32F4A" w14:textId="77777777" w:rsidTr="0051080B">
        <w:trPr>
          <w:trHeight w:val="300"/>
          <w:jc w:val="center"/>
        </w:trPr>
        <w:tc>
          <w:tcPr>
            <w:tcW w:w="0" w:type="auto"/>
            <w:tcBorders>
              <w:top w:val="nil"/>
              <w:left w:val="nil"/>
              <w:bottom w:val="nil"/>
              <w:right w:val="nil"/>
            </w:tcBorders>
            <w:shd w:val="clear" w:color="000000" w:fill="FFFFFF"/>
            <w:noWrap/>
          </w:tcPr>
          <w:p w14:paraId="199E4406" w14:textId="77777777" w:rsidR="00BF310C" w:rsidRPr="00C76E19" w:rsidRDefault="00BF310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Any complications </w:t>
            </w:r>
          </w:p>
        </w:tc>
        <w:tc>
          <w:tcPr>
            <w:tcW w:w="0" w:type="auto"/>
            <w:tcBorders>
              <w:top w:val="nil"/>
              <w:left w:val="nil"/>
              <w:bottom w:val="nil"/>
              <w:right w:val="nil"/>
            </w:tcBorders>
            <w:shd w:val="clear" w:color="000000" w:fill="FFFFFF"/>
            <w:noWrap/>
          </w:tcPr>
          <w:p w14:paraId="67A4597E"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27.0%</w:t>
            </w:r>
          </w:p>
        </w:tc>
        <w:tc>
          <w:tcPr>
            <w:tcW w:w="0" w:type="auto"/>
            <w:tcBorders>
              <w:top w:val="nil"/>
              <w:left w:val="nil"/>
              <w:bottom w:val="nil"/>
              <w:right w:val="nil"/>
            </w:tcBorders>
            <w:shd w:val="clear" w:color="000000" w:fill="FFFFFF"/>
            <w:noWrap/>
          </w:tcPr>
          <w:p w14:paraId="270A2345"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4AF7E881"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38FB3928"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42.3%</w:t>
            </w:r>
          </w:p>
        </w:tc>
        <w:tc>
          <w:tcPr>
            <w:tcW w:w="0" w:type="auto"/>
            <w:tcBorders>
              <w:top w:val="nil"/>
              <w:left w:val="nil"/>
              <w:bottom w:val="nil"/>
              <w:right w:val="nil"/>
            </w:tcBorders>
            <w:shd w:val="clear" w:color="000000" w:fill="FFFFFF"/>
            <w:noWrap/>
          </w:tcPr>
          <w:p w14:paraId="18CC84C2"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790DB60E"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1E0E1E0A" w14:textId="728B51F6"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0.002</w:t>
            </w:r>
            <w:r w:rsidRPr="00C76E19">
              <w:rPr>
                <w:rFonts w:ascii="Book Antiqua" w:hAnsi="Book Antiqua"/>
                <w:color w:val="000000"/>
                <w:vertAlign w:val="superscript"/>
              </w:rPr>
              <w:t>b</w:t>
            </w:r>
          </w:p>
        </w:tc>
      </w:tr>
      <w:tr w:rsidR="00BF310C" w:rsidRPr="00C76E19" w14:paraId="496CC210" w14:textId="77777777" w:rsidTr="0051080B">
        <w:trPr>
          <w:trHeight w:val="300"/>
          <w:jc w:val="center"/>
        </w:trPr>
        <w:tc>
          <w:tcPr>
            <w:tcW w:w="0" w:type="auto"/>
            <w:tcBorders>
              <w:top w:val="nil"/>
              <w:left w:val="nil"/>
              <w:bottom w:val="nil"/>
              <w:right w:val="nil"/>
            </w:tcBorders>
            <w:shd w:val="clear" w:color="000000" w:fill="FFFFFF"/>
            <w:noWrap/>
            <w:hideMark/>
          </w:tcPr>
          <w:p w14:paraId="7559F28F" w14:textId="77777777" w:rsidR="00BF310C" w:rsidRPr="00C76E19" w:rsidRDefault="00BF310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Anus fistula</w:t>
            </w:r>
          </w:p>
        </w:tc>
        <w:tc>
          <w:tcPr>
            <w:tcW w:w="0" w:type="auto"/>
            <w:tcBorders>
              <w:top w:val="nil"/>
              <w:left w:val="nil"/>
              <w:bottom w:val="nil"/>
              <w:right w:val="nil"/>
            </w:tcBorders>
            <w:shd w:val="clear" w:color="000000" w:fill="FFFFFF"/>
            <w:noWrap/>
          </w:tcPr>
          <w:p w14:paraId="16BB5F7F"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17.4%</w:t>
            </w:r>
          </w:p>
        </w:tc>
        <w:tc>
          <w:tcPr>
            <w:tcW w:w="0" w:type="auto"/>
            <w:tcBorders>
              <w:top w:val="nil"/>
              <w:left w:val="nil"/>
              <w:bottom w:val="nil"/>
              <w:right w:val="nil"/>
            </w:tcBorders>
            <w:shd w:val="clear" w:color="000000" w:fill="FFFFFF"/>
            <w:noWrap/>
          </w:tcPr>
          <w:p w14:paraId="2D4B553E"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3E11F7A7"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5CFDB9E7"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14.6%</w:t>
            </w:r>
          </w:p>
        </w:tc>
        <w:tc>
          <w:tcPr>
            <w:tcW w:w="0" w:type="auto"/>
            <w:tcBorders>
              <w:top w:val="nil"/>
              <w:left w:val="nil"/>
              <w:bottom w:val="nil"/>
              <w:right w:val="nil"/>
            </w:tcBorders>
            <w:shd w:val="clear" w:color="000000" w:fill="FFFFFF"/>
            <w:noWrap/>
          </w:tcPr>
          <w:p w14:paraId="0CD1A950"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62592618"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1117643A"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0.489</w:t>
            </w:r>
          </w:p>
        </w:tc>
      </w:tr>
      <w:tr w:rsidR="00BF310C" w:rsidRPr="00C76E19" w14:paraId="4701080A" w14:textId="77777777" w:rsidTr="0051080B">
        <w:trPr>
          <w:trHeight w:val="300"/>
          <w:jc w:val="center"/>
        </w:trPr>
        <w:tc>
          <w:tcPr>
            <w:tcW w:w="0" w:type="auto"/>
            <w:tcBorders>
              <w:top w:val="nil"/>
              <w:left w:val="nil"/>
              <w:bottom w:val="nil"/>
              <w:right w:val="nil"/>
            </w:tcBorders>
            <w:shd w:val="clear" w:color="000000" w:fill="FFFFFF"/>
            <w:noWrap/>
            <w:hideMark/>
          </w:tcPr>
          <w:p w14:paraId="6C5DB41B" w14:textId="77777777" w:rsidR="00BF310C" w:rsidRPr="00C76E19" w:rsidRDefault="00BF310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Intestinal fistula</w:t>
            </w:r>
          </w:p>
        </w:tc>
        <w:tc>
          <w:tcPr>
            <w:tcW w:w="0" w:type="auto"/>
            <w:tcBorders>
              <w:top w:val="nil"/>
              <w:left w:val="nil"/>
              <w:bottom w:val="nil"/>
              <w:right w:val="nil"/>
            </w:tcBorders>
            <w:shd w:val="clear" w:color="000000" w:fill="FFFFFF"/>
            <w:noWrap/>
          </w:tcPr>
          <w:p w14:paraId="61D356E8"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3.5%</w:t>
            </w:r>
          </w:p>
        </w:tc>
        <w:tc>
          <w:tcPr>
            <w:tcW w:w="0" w:type="auto"/>
            <w:tcBorders>
              <w:top w:val="nil"/>
              <w:left w:val="nil"/>
              <w:bottom w:val="nil"/>
              <w:right w:val="nil"/>
            </w:tcBorders>
            <w:shd w:val="clear" w:color="000000" w:fill="FFFFFF"/>
            <w:noWrap/>
          </w:tcPr>
          <w:p w14:paraId="03BA0017"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11A224DC"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2D6A2189"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4.6%</w:t>
            </w:r>
          </w:p>
        </w:tc>
        <w:tc>
          <w:tcPr>
            <w:tcW w:w="0" w:type="auto"/>
            <w:tcBorders>
              <w:top w:val="nil"/>
              <w:left w:val="nil"/>
              <w:bottom w:val="nil"/>
              <w:right w:val="nil"/>
            </w:tcBorders>
            <w:shd w:val="clear" w:color="000000" w:fill="FFFFFF"/>
            <w:noWrap/>
          </w:tcPr>
          <w:p w14:paraId="5B954E1F"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09E2F4CD"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62D60169"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0.582</w:t>
            </w:r>
          </w:p>
        </w:tc>
      </w:tr>
      <w:tr w:rsidR="00BF310C" w:rsidRPr="00C76E19" w14:paraId="53A8DAEC" w14:textId="77777777" w:rsidTr="0051080B">
        <w:trPr>
          <w:trHeight w:val="300"/>
          <w:jc w:val="center"/>
        </w:trPr>
        <w:tc>
          <w:tcPr>
            <w:tcW w:w="0" w:type="auto"/>
            <w:tcBorders>
              <w:top w:val="nil"/>
              <w:left w:val="nil"/>
              <w:bottom w:val="nil"/>
              <w:right w:val="nil"/>
            </w:tcBorders>
            <w:shd w:val="clear" w:color="000000" w:fill="FFFFFF"/>
            <w:noWrap/>
            <w:hideMark/>
          </w:tcPr>
          <w:p w14:paraId="0D9E3AE2" w14:textId="77777777" w:rsidR="00BF310C" w:rsidRPr="00C76E19" w:rsidRDefault="00BF310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Intestinal obstruction</w:t>
            </w:r>
          </w:p>
        </w:tc>
        <w:tc>
          <w:tcPr>
            <w:tcW w:w="0" w:type="auto"/>
            <w:tcBorders>
              <w:top w:val="nil"/>
              <w:left w:val="nil"/>
              <w:bottom w:val="nil"/>
              <w:right w:val="nil"/>
            </w:tcBorders>
            <w:shd w:val="clear" w:color="000000" w:fill="FFFFFF"/>
            <w:noWrap/>
          </w:tcPr>
          <w:p w14:paraId="0A459C03"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4.2%</w:t>
            </w:r>
          </w:p>
        </w:tc>
        <w:tc>
          <w:tcPr>
            <w:tcW w:w="0" w:type="auto"/>
            <w:tcBorders>
              <w:top w:val="nil"/>
              <w:left w:val="nil"/>
              <w:bottom w:val="nil"/>
              <w:right w:val="nil"/>
            </w:tcBorders>
            <w:shd w:val="clear" w:color="000000" w:fill="FFFFFF"/>
            <w:noWrap/>
          </w:tcPr>
          <w:p w14:paraId="2B7EE380"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3DEA791F"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070A6E43"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12.3%</w:t>
            </w:r>
          </w:p>
        </w:tc>
        <w:tc>
          <w:tcPr>
            <w:tcW w:w="0" w:type="auto"/>
            <w:tcBorders>
              <w:top w:val="nil"/>
              <w:left w:val="nil"/>
              <w:bottom w:val="nil"/>
              <w:right w:val="nil"/>
            </w:tcBorders>
            <w:shd w:val="clear" w:color="000000" w:fill="FFFFFF"/>
            <w:noWrap/>
          </w:tcPr>
          <w:p w14:paraId="3634AF78"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1E3C721A"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0FF20B51" w14:textId="5A2491CB"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0.003</w:t>
            </w:r>
            <w:r w:rsidRPr="00C76E19">
              <w:rPr>
                <w:rFonts w:ascii="Book Antiqua" w:hAnsi="Book Antiqua"/>
                <w:color w:val="000000"/>
                <w:vertAlign w:val="superscript"/>
              </w:rPr>
              <w:t>b</w:t>
            </w:r>
          </w:p>
        </w:tc>
      </w:tr>
      <w:tr w:rsidR="00BF310C" w:rsidRPr="00C76E19" w14:paraId="5B266E5D" w14:textId="77777777" w:rsidTr="0051080B">
        <w:trPr>
          <w:trHeight w:val="300"/>
          <w:jc w:val="center"/>
        </w:trPr>
        <w:tc>
          <w:tcPr>
            <w:tcW w:w="0" w:type="auto"/>
            <w:tcBorders>
              <w:top w:val="nil"/>
              <w:left w:val="nil"/>
              <w:bottom w:val="nil"/>
              <w:right w:val="nil"/>
            </w:tcBorders>
            <w:shd w:val="clear" w:color="000000" w:fill="FFFFFF"/>
            <w:noWrap/>
            <w:hideMark/>
          </w:tcPr>
          <w:p w14:paraId="0FE367EE" w14:textId="77777777" w:rsidR="00BF310C" w:rsidRPr="00C76E19" w:rsidRDefault="00BF310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Perianal abscess</w:t>
            </w:r>
          </w:p>
        </w:tc>
        <w:tc>
          <w:tcPr>
            <w:tcW w:w="0" w:type="auto"/>
            <w:tcBorders>
              <w:top w:val="nil"/>
              <w:left w:val="nil"/>
              <w:bottom w:val="nil"/>
              <w:right w:val="nil"/>
            </w:tcBorders>
            <w:shd w:val="clear" w:color="000000" w:fill="FFFFFF"/>
            <w:noWrap/>
          </w:tcPr>
          <w:p w14:paraId="2216C0EC"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5.8%</w:t>
            </w:r>
          </w:p>
        </w:tc>
        <w:tc>
          <w:tcPr>
            <w:tcW w:w="0" w:type="auto"/>
            <w:tcBorders>
              <w:top w:val="nil"/>
              <w:left w:val="nil"/>
              <w:bottom w:val="nil"/>
              <w:right w:val="nil"/>
            </w:tcBorders>
            <w:shd w:val="clear" w:color="000000" w:fill="FFFFFF"/>
            <w:noWrap/>
          </w:tcPr>
          <w:p w14:paraId="5DF3DEB2"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6FB33F02"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708CE63A"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6.2%</w:t>
            </w:r>
          </w:p>
        </w:tc>
        <w:tc>
          <w:tcPr>
            <w:tcW w:w="0" w:type="auto"/>
            <w:tcBorders>
              <w:top w:val="nil"/>
              <w:left w:val="nil"/>
              <w:bottom w:val="nil"/>
              <w:right w:val="nil"/>
            </w:tcBorders>
            <w:shd w:val="clear" w:color="000000" w:fill="FFFFFF"/>
            <w:noWrap/>
          </w:tcPr>
          <w:p w14:paraId="68692412"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2499C10C"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398FC286"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0.886</w:t>
            </w:r>
          </w:p>
        </w:tc>
      </w:tr>
      <w:tr w:rsidR="00BF310C" w:rsidRPr="00C76E19" w14:paraId="04B0B287" w14:textId="77777777" w:rsidTr="0051080B">
        <w:trPr>
          <w:trHeight w:val="300"/>
          <w:jc w:val="center"/>
        </w:trPr>
        <w:tc>
          <w:tcPr>
            <w:tcW w:w="0" w:type="auto"/>
            <w:tcBorders>
              <w:top w:val="nil"/>
              <w:left w:val="nil"/>
              <w:right w:val="nil"/>
            </w:tcBorders>
            <w:shd w:val="clear" w:color="000000" w:fill="FFFFFF"/>
            <w:noWrap/>
            <w:hideMark/>
          </w:tcPr>
          <w:p w14:paraId="6C64BDE6" w14:textId="77777777" w:rsidR="00BF310C" w:rsidRPr="00C76E19" w:rsidRDefault="00BF310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Bowel perforation</w:t>
            </w:r>
          </w:p>
        </w:tc>
        <w:tc>
          <w:tcPr>
            <w:tcW w:w="0" w:type="auto"/>
            <w:tcBorders>
              <w:top w:val="nil"/>
              <w:left w:val="nil"/>
              <w:right w:val="nil"/>
            </w:tcBorders>
            <w:shd w:val="clear" w:color="000000" w:fill="FFFFFF"/>
            <w:noWrap/>
          </w:tcPr>
          <w:p w14:paraId="6FD611C5"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1.9%</w:t>
            </w:r>
          </w:p>
        </w:tc>
        <w:tc>
          <w:tcPr>
            <w:tcW w:w="0" w:type="auto"/>
            <w:tcBorders>
              <w:top w:val="nil"/>
              <w:left w:val="nil"/>
              <w:right w:val="nil"/>
            </w:tcBorders>
            <w:shd w:val="clear" w:color="000000" w:fill="FFFFFF"/>
            <w:noWrap/>
          </w:tcPr>
          <w:p w14:paraId="02749E18"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right w:val="nil"/>
            </w:tcBorders>
            <w:shd w:val="clear" w:color="000000" w:fill="FFFFFF"/>
            <w:noWrap/>
          </w:tcPr>
          <w:p w14:paraId="4EE1A502"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right w:val="nil"/>
            </w:tcBorders>
            <w:shd w:val="clear" w:color="000000" w:fill="FFFFFF"/>
            <w:noWrap/>
          </w:tcPr>
          <w:p w14:paraId="027DAA62"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3.8%</w:t>
            </w:r>
          </w:p>
        </w:tc>
        <w:tc>
          <w:tcPr>
            <w:tcW w:w="0" w:type="auto"/>
            <w:tcBorders>
              <w:top w:val="nil"/>
              <w:left w:val="nil"/>
              <w:right w:val="nil"/>
            </w:tcBorders>
            <w:shd w:val="clear" w:color="000000" w:fill="FFFFFF"/>
            <w:noWrap/>
          </w:tcPr>
          <w:p w14:paraId="29FE1B30"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right w:val="nil"/>
            </w:tcBorders>
            <w:shd w:val="clear" w:color="000000" w:fill="FFFFFF"/>
            <w:noWrap/>
          </w:tcPr>
          <w:p w14:paraId="1465D304"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right w:val="nil"/>
            </w:tcBorders>
            <w:shd w:val="clear" w:color="000000" w:fill="FFFFFF"/>
            <w:noWrap/>
          </w:tcPr>
          <w:p w14:paraId="215CEB04"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0.260</w:t>
            </w:r>
          </w:p>
        </w:tc>
      </w:tr>
      <w:tr w:rsidR="00BF310C" w:rsidRPr="00C76E19" w14:paraId="63EFFECA" w14:textId="77777777" w:rsidTr="0051080B">
        <w:trPr>
          <w:trHeight w:val="300"/>
          <w:jc w:val="center"/>
        </w:trPr>
        <w:tc>
          <w:tcPr>
            <w:tcW w:w="0" w:type="auto"/>
            <w:tcBorders>
              <w:top w:val="nil"/>
              <w:left w:val="nil"/>
              <w:bottom w:val="nil"/>
              <w:right w:val="nil"/>
            </w:tcBorders>
            <w:shd w:val="clear" w:color="000000" w:fill="FFFFFF"/>
            <w:noWrap/>
            <w:hideMark/>
          </w:tcPr>
          <w:p w14:paraId="09BD8FC1"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 xml:space="preserve">Health resource utilization </w:t>
            </w:r>
          </w:p>
        </w:tc>
        <w:tc>
          <w:tcPr>
            <w:tcW w:w="0" w:type="auto"/>
            <w:tcBorders>
              <w:top w:val="nil"/>
              <w:left w:val="nil"/>
              <w:bottom w:val="nil"/>
              <w:right w:val="nil"/>
            </w:tcBorders>
            <w:shd w:val="clear" w:color="000000" w:fill="FFFFFF"/>
            <w:noWrap/>
          </w:tcPr>
          <w:p w14:paraId="4840A71F"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73581917"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15C7767A"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76901FF3"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1226950E"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6D310397"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0C6398F7" w14:textId="77777777" w:rsidR="00BF310C" w:rsidRPr="00C76E19" w:rsidRDefault="00BF310C" w:rsidP="00AE2A93">
            <w:pPr>
              <w:snapToGrid w:val="0"/>
              <w:spacing w:line="360" w:lineRule="auto"/>
              <w:jc w:val="both"/>
              <w:rPr>
                <w:rFonts w:ascii="Book Antiqua" w:hAnsi="Book Antiqua"/>
                <w:b/>
                <w:bCs/>
                <w:color w:val="000000"/>
              </w:rPr>
            </w:pPr>
          </w:p>
        </w:tc>
      </w:tr>
      <w:tr w:rsidR="00BF310C" w:rsidRPr="00C76E19" w14:paraId="6198580E" w14:textId="77777777" w:rsidTr="0051080B">
        <w:trPr>
          <w:trHeight w:val="300"/>
          <w:jc w:val="center"/>
        </w:trPr>
        <w:tc>
          <w:tcPr>
            <w:tcW w:w="0" w:type="auto"/>
            <w:tcBorders>
              <w:top w:val="nil"/>
              <w:left w:val="nil"/>
              <w:bottom w:val="nil"/>
              <w:right w:val="nil"/>
            </w:tcBorders>
            <w:shd w:val="clear" w:color="000000" w:fill="FFFFFF"/>
            <w:noWrap/>
            <w:hideMark/>
          </w:tcPr>
          <w:p w14:paraId="090E7B08" w14:textId="77777777" w:rsidR="00BF310C" w:rsidRPr="00C76E19" w:rsidRDefault="00BF310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Outpatient clinic visits</w:t>
            </w:r>
          </w:p>
        </w:tc>
        <w:tc>
          <w:tcPr>
            <w:tcW w:w="0" w:type="auto"/>
            <w:tcBorders>
              <w:top w:val="nil"/>
              <w:left w:val="nil"/>
              <w:bottom w:val="nil"/>
              <w:right w:val="nil"/>
            </w:tcBorders>
            <w:shd w:val="clear" w:color="000000" w:fill="FFFFFF"/>
            <w:noWrap/>
          </w:tcPr>
          <w:p w14:paraId="0B9287C0"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1.9</w:t>
            </w:r>
          </w:p>
        </w:tc>
        <w:tc>
          <w:tcPr>
            <w:tcW w:w="0" w:type="auto"/>
            <w:tcBorders>
              <w:top w:val="nil"/>
              <w:left w:val="nil"/>
              <w:bottom w:val="nil"/>
              <w:right w:val="nil"/>
            </w:tcBorders>
            <w:shd w:val="clear" w:color="000000" w:fill="FFFFFF"/>
            <w:noWrap/>
          </w:tcPr>
          <w:p w14:paraId="0F6E79D0"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3.3</w:t>
            </w:r>
          </w:p>
        </w:tc>
        <w:tc>
          <w:tcPr>
            <w:tcW w:w="0" w:type="auto"/>
            <w:tcBorders>
              <w:top w:val="nil"/>
              <w:left w:val="nil"/>
              <w:bottom w:val="nil"/>
              <w:right w:val="nil"/>
            </w:tcBorders>
            <w:shd w:val="clear" w:color="000000" w:fill="FFFFFF"/>
            <w:noWrap/>
          </w:tcPr>
          <w:p w14:paraId="1C43E8B9"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1.0</w:t>
            </w:r>
          </w:p>
        </w:tc>
        <w:tc>
          <w:tcPr>
            <w:tcW w:w="0" w:type="auto"/>
            <w:tcBorders>
              <w:top w:val="nil"/>
              <w:left w:val="nil"/>
              <w:bottom w:val="nil"/>
              <w:right w:val="nil"/>
            </w:tcBorders>
            <w:shd w:val="clear" w:color="000000" w:fill="FFFFFF"/>
            <w:noWrap/>
          </w:tcPr>
          <w:p w14:paraId="6401948C"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3.7</w:t>
            </w:r>
          </w:p>
        </w:tc>
        <w:tc>
          <w:tcPr>
            <w:tcW w:w="0" w:type="auto"/>
            <w:tcBorders>
              <w:top w:val="nil"/>
              <w:left w:val="nil"/>
              <w:bottom w:val="nil"/>
              <w:right w:val="nil"/>
            </w:tcBorders>
            <w:shd w:val="clear" w:color="000000" w:fill="FFFFFF"/>
            <w:noWrap/>
          </w:tcPr>
          <w:p w14:paraId="2BACA7D6"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5.2</w:t>
            </w:r>
          </w:p>
        </w:tc>
        <w:tc>
          <w:tcPr>
            <w:tcW w:w="0" w:type="auto"/>
            <w:tcBorders>
              <w:top w:val="nil"/>
              <w:left w:val="nil"/>
              <w:bottom w:val="nil"/>
              <w:right w:val="nil"/>
            </w:tcBorders>
            <w:shd w:val="clear" w:color="000000" w:fill="FFFFFF"/>
            <w:noWrap/>
          </w:tcPr>
          <w:p w14:paraId="19AF8294"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2.0</w:t>
            </w:r>
          </w:p>
        </w:tc>
        <w:tc>
          <w:tcPr>
            <w:tcW w:w="0" w:type="auto"/>
            <w:tcBorders>
              <w:top w:val="nil"/>
              <w:left w:val="nil"/>
              <w:bottom w:val="nil"/>
              <w:right w:val="nil"/>
            </w:tcBorders>
            <w:shd w:val="clear" w:color="000000" w:fill="FFFFFF"/>
            <w:noWrap/>
          </w:tcPr>
          <w:p w14:paraId="7D312654" w14:textId="53225110"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&lt;</w:t>
            </w:r>
            <w:r w:rsidR="0011453C" w:rsidRPr="00C76E19">
              <w:rPr>
                <w:rFonts w:ascii="Book Antiqua" w:hAnsi="Book Antiqua"/>
                <w:color w:val="000000"/>
              </w:rPr>
              <w:t xml:space="preserve"> </w:t>
            </w:r>
            <w:r w:rsidRPr="00C76E19">
              <w:rPr>
                <w:rFonts w:ascii="Book Antiqua" w:hAnsi="Book Antiqua"/>
                <w:color w:val="000000"/>
              </w:rPr>
              <w:t>0.001</w:t>
            </w:r>
          </w:p>
        </w:tc>
      </w:tr>
      <w:tr w:rsidR="00BF310C" w:rsidRPr="00C76E19" w14:paraId="4E71F096" w14:textId="77777777" w:rsidTr="0051080B">
        <w:trPr>
          <w:trHeight w:val="300"/>
          <w:jc w:val="center"/>
        </w:trPr>
        <w:tc>
          <w:tcPr>
            <w:tcW w:w="0" w:type="auto"/>
            <w:tcBorders>
              <w:top w:val="nil"/>
              <w:left w:val="nil"/>
              <w:bottom w:val="nil"/>
              <w:right w:val="nil"/>
            </w:tcBorders>
            <w:shd w:val="clear" w:color="000000" w:fill="FFFFFF"/>
            <w:noWrap/>
            <w:hideMark/>
          </w:tcPr>
          <w:p w14:paraId="2C76EE86" w14:textId="77777777" w:rsidR="00BF310C" w:rsidRPr="00C76E19" w:rsidRDefault="00BF310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Hospital admissions </w:t>
            </w:r>
          </w:p>
        </w:tc>
        <w:tc>
          <w:tcPr>
            <w:tcW w:w="0" w:type="auto"/>
            <w:tcBorders>
              <w:top w:val="nil"/>
              <w:left w:val="nil"/>
              <w:bottom w:val="nil"/>
              <w:right w:val="nil"/>
            </w:tcBorders>
            <w:shd w:val="clear" w:color="000000" w:fill="FFFFFF"/>
            <w:noWrap/>
          </w:tcPr>
          <w:p w14:paraId="69A9518F"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5.3</w:t>
            </w:r>
          </w:p>
        </w:tc>
        <w:tc>
          <w:tcPr>
            <w:tcW w:w="0" w:type="auto"/>
            <w:tcBorders>
              <w:top w:val="nil"/>
              <w:left w:val="nil"/>
              <w:bottom w:val="nil"/>
              <w:right w:val="nil"/>
            </w:tcBorders>
            <w:shd w:val="clear" w:color="000000" w:fill="FFFFFF"/>
            <w:noWrap/>
          </w:tcPr>
          <w:p w14:paraId="1FAAD4B6"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2.2</w:t>
            </w:r>
          </w:p>
        </w:tc>
        <w:tc>
          <w:tcPr>
            <w:tcW w:w="0" w:type="auto"/>
            <w:tcBorders>
              <w:top w:val="nil"/>
              <w:left w:val="nil"/>
              <w:bottom w:val="nil"/>
              <w:right w:val="nil"/>
            </w:tcBorders>
            <w:shd w:val="clear" w:color="000000" w:fill="FFFFFF"/>
            <w:noWrap/>
          </w:tcPr>
          <w:p w14:paraId="77AF03F5"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6.0</w:t>
            </w:r>
          </w:p>
        </w:tc>
        <w:tc>
          <w:tcPr>
            <w:tcW w:w="0" w:type="auto"/>
            <w:tcBorders>
              <w:top w:val="nil"/>
              <w:left w:val="nil"/>
              <w:bottom w:val="nil"/>
              <w:right w:val="nil"/>
            </w:tcBorders>
            <w:shd w:val="clear" w:color="000000" w:fill="FFFFFF"/>
            <w:noWrap/>
          </w:tcPr>
          <w:p w14:paraId="493C0A00"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1.4</w:t>
            </w:r>
          </w:p>
        </w:tc>
        <w:tc>
          <w:tcPr>
            <w:tcW w:w="0" w:type="auto"/>
            <w:tcBorders>
              <w:top w:val="nil"/>
              <w:left w:val="nil"/>
              <w:bottom w:val="nil"/>
              <w:right w:val="nil"/>
            </w:tcBorders>
            <w:shd w:val="clear" w:color="000000" w:fill="FFFFFF"/>
            <w:noWrap/>
          </w:tcPr>
          <w:p w14:paraId="1F5870AD"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1.0</w:t>
            </w:r>
          </w:p>
        </w:tc>
        <w:tc>
          <w:tcPr>
            <w:tcW w:w="0" w:type="auto"/>
            <w:tcBorders>
              <w:top w:val="nil"/>
              <w:left w:val="nil"/>
              <w:bottom w:val="nil"/>
              <w:right w:val="nil"/>
            </w:tcBorders>
            <w:shd w:val="clear" w:color="000000" w:fill="FFFFFF"/>
            <w:noWrap/>
          </w:tcPr>
          <w:p w14:paraId="1EE76C0D"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1.0</w:t>
            </w:r>
          </w:p>
        </w:tc>
        <w:tc>
          <w:tcPr>
            <w:tcW w:w="0" w:type="auto"/>
            <w:tcBorders>
              <w:top w:val="nil"/>
              <w:left w:val="nil"/>
              <w:bottom w:val="nil"/>
              <w:right w:val="nil"/>
            </w:tcBorders>
            <w:shd w:val="clear" w:color="000000" w:fill="FFFFFF"/>
            <w:noWrap/>
          </w:tcPr>
          <w:p w14:paraId="2F28E1FA" w14:textId="668CBD0F"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&lt;</w:t>
            </w:r>
            <w:r w:rsidR="0011453C" w:rsidRPr="00C76E19">
              <w:rPr>
                <w:rFonts w:ascii="Book Antiqua" w:hAnsi="Book Antiqua"/>
                <w:color w:val="000000"/>
              </w:rPr>
              <w:t xml:space="preserve"> </w:t>
            </w:r>
            <w:r w:rsidRPr="00C76E19">
              <w:rPr>
                <w:rFonts w:ascii="Book Antiqua" w:hAnsi="Book Antiqua"/>
                <w:color w:val="000000"/>
              </w:rPr>
              <w:t>0.001</w:t>
            </w:r>
          </w:p>
        </w:tc>
      </w:tr>
      <w:tr w:rsidR="00BF310C" w:rsidRPr="00C76E19" w14:paraId="4DE769C5" w14:textId="77777777" w:rsidTr="0051080B">
        <w:trPr>
          <w:trHeight w:val="300"/>
          <w:jc w:val="center"/>
        </w:trPr>
        <w:tc>
          <w:tcPr>
            <w:tcW w:w="0" w:type="auto"/>
            <w:tcBorders>
              <w:top w:val="nil"/>
              <w:left w:val="nil"/>
              <w:bottom w:val="nil"/>
              <w:right w:val="nil"/>
            </w:tcBorders>
            <w:shd w:val="clear" w:color="000000" w:fill="FFFFFF"/>
            <w:noWrap/>
            <w:hideMark/>
          </w:tcPr>
          <w:p w14:paraId="04279040" w14:textId="77777777" w:rsidR="00BF310C" w:rsidRPr="00C76E19" w:rsidRDefault="00BF310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Hospital admissions for infliximab administration </w:t>
            </w:r>
          </w:p>
        </w:tc>
        <w:tc>
          <w:tcPr>
            <w:tcW w:w="0" w:type="auto"/>
            <w:tcBorders>
              <w:top w:val="nil"/>
              <w:left w:val="nil"/>
              <w:bottom w:val="nil"/>
              <w:right w:val="nil"/>
            </w:tcBorders>
            <w:shd w:val="clear" w:color="000000" w:fill="FFFFFF"/>
            <w:noWrap/>
          </w:tcPr>
          <w:p w14:paraId="7CD58DFC"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4.4</w:t>
            </w:r>
          </w:p>
        </w:tc>
        <w:tc>
          <w:tcPr>
            <w:tcW w:w="0" w:type="auto"/>
            <w:tcBorders>
              <w:top w:val="nil"/>
              <w:left w:val="nil"/>
              <w:bottom w:val="nil"/>
              <w:right w:val="nil"/>
            </w:tcBorders>
            <w:shd w:val="clear" w:color="000000" w:fill="FFFFFF"/>
            <w:noWrap/>
          </w:tcPr>
          <w:p w14:paraId="27B4F93B"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2.2</w:t>
            </w:r>
          </w:p>
        </w:tc>
        <w:tc>
          <w:tcPr>
            <w:tcW w:w="0" w:type="auto"/>
            <w:tcBorders>
              <w:top w:val="nil"/>
              <w:left w:val="nil"/>
              <w:bottom w:val="nil"/>
              <w:right w:val="nil"/>
            </w:tcBorders>
            <w:shd w:val="clear" w:color="000000" w:fill="FFFFFF"/>
            <w:noWrap/>
          </w:tcPr>
          <w:p w14:paraId="64CA0980"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5.0</w:t>
            </w:r>
          </w:p>
        </w:tc>
        <w:tc>
          <w:tcPr>
            <w:tcW w:w="0" w:type="auto"/>
            <w:tcBorders>
              <w:top w:val="nil"/>
              <w:left w:val="nil"/>
              <w:bottom w:val="nil"/>
              <w:right w:val="nil"/>
            </w:tcBorders>
            <w:shd w:val="clear" w:color="000000" w:fill="FFFFFF"/>
            <w:noWrap/>
          </w:tcPr>
          <w:p w14:paraId="396971D2"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0.0</w:t>
            </w:r>
          </w:p>
        </w:tc>
        <w:tc>
          <w:tcPr>
            <w:tcW w:w="0" w:type="auto"/>
            <w:tcBorders>
              <w:top w:val="nil"/>
              <w:left w:val="nil"/>
              <w:bottom w:val="nil"/>
              <w:right w:val="nil"/>
            </w:tcBorders>
            <w:shd w:val="clear" w:color="000000" w:fill="FFFFFF"/>
            <w:noWrap/>
          </w:tcPr>
          <w:p w14:paraId="1D405D1C"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0.0</w:t>
            </w:r>
          </w:p>
        </w:tc>
        <w:tc>
          <w:tcPr>
            <w:tcW w:w="0" w:type="auto"/>
            <w:tcBorders>
              <w:top w:val="nil"/>
              <w:left w:val="nil"/>
              <w:bottom w:val="nil"/>
              <w:right w:val="nil"/>
            </w:tcBorders>
            <w:shd w:val="clear" w:color="000000" w:fill="FFFFFF"/>
            <w:noWrap/>
          </w:tcPr>
          <w:p w14:paraId="4940AA27"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0.0</w:t>
            </w:r>
          </w:p>
        </w:tc>
        <w:tc>
          <w:tcPr>
            <w:tcW w:w="0" w:type="auto"/>
            <w:tcBorders>
              <w:top w:val="nil"/>
              <w:left w:val="nil"/>
              <w:bottom w:val="nil"/>
              <w:right w:val="nil"/>
            </w:tcBorders>
            <w:shd w:val="clear" w:color="000000" w:fill="FFFFFF"/>
            <w:noWrap/>
          </w:tcPr>
          <w:p w14:paraId="50CC6FBC" w14:textId="403DD805"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&lt;</w:t>
            </w:r>
            <w:r w:rsidR="0011453C" w:rsidRPr="00C76E19">
              <w:rPr>
                <w:rFonts w:ascii="Book Antiqua" w:hAnsi="Book Antiqua"/>
                <w:color w:val="000000"/>
              </w:rPr>
              <w:t xml:space="preserve"> </w:t>
            </w:r>
            <w:r w:rsidRPr="00C76E19">
              <w:rPr>
                <w:rFonts w:ascii="Book Antiqua" w:hAnsi="Book Antiqua"/>
                <w:color w:val="000000"/>
              </w:rPr>
              <w:t>0.001</w:t>
            </w:r>
          </w:p>
        </w:tc>
      </w:tr>
      <w:tr w:rsidR="00BF310C" w:rsidRPr="00C76E19" w14:paraId="5A72428E" w14:textId="77777777" w:rsidTr="0051080B">
        <w:trPr>
          <w:trHeight w:val="300"/>
          <w:jc w:val="center"/>
        </w:trPr>
        <w:tc>
          <w:tcPr>
            <w:tcW w:w="0" w:type="auto"/>
            <w:tcBorders>
              <w:top w:val="nil"/>
              <w:left w:val="nil"/>
              <w:bottom w:val="nil"/>
              <w:right w:val="nil"/>
            </w:tcBorders>
            <w:shd w:val="clear" w:color="000000" w:fill="FFFFFF"/>
            <w:noWrap/>
            <w:hideMark/>
          </w:tcPr>
          <w:p w14:paraId="41D188AD" w14:textId="77777777" w:rsidR="00BF310C" w:rsidRPr="00C76E19" w:rsidRDefault="00BF310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Hospital admissions for active disease management </w:t>
            </w:r>
          </w:p>
        </w:tc>
        <w:tc>
          <w:tcPr>
            <w:tcW w:w="0" w:type="auto"/>
            <w:tcBorders>
              <w:top w:val="nil"/>
              <w:left w:val="nil"/>
              <w:bottom w:val="nil"/>
              <w:right w:val="nil"/>
            </w:tcBorders>
            <w:shd w:val="clear" w:color="000000" w:fill="FFFFFF"/>
            <w:noWrap/>
          </w:tcPr>
          <w:p w14:paraId="1E753415"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0.9</w:t>
            </w:r>
          </w:p>
        </w:tc>
        <w:tc>
          <w:tcPr>
            <w:tcW w:w="0" w:type="auto"/>
            <w:tcBorders>
              <w:top w:val="nil"/>
              <w:left w:val="nil"/>
              <w:bottom w:val="nil"/>
              <w:right w:val="nil"/>
            </w:tcBorders>
            <w:shd w:val="clear" w:color="000000" w:fill="FFFFFF"/>
            <w:noWrap/>
          </w:tcPr>
          <w:p w14:paraId="115BDE4D"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1.0</w:t>
            </w:r>
          </w:p>
        </w:tc>
        <w:tc>
          <w:tcPr>
            <w:tcW w:w="0" w:type="auto"/>
            <w:tcBorders>
              <w:top w:val="nil"/>
              <w:left w:val="nil"/>
              <w:bottom w:val="nil"/>
              <w:right w:val="nil"/>
            </w:tcBorders>
            <w:shd w:val="clear" w:color="000000" w:fill="FFFFFF"/>
            <w:noWrap/>
          </w:tcPr>
          <w:p w14:paraId="0C6BED31"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1.0</w:t>
            </w:r>
          </w:p>
        </w:tc>
        <w:tc>
          <w:tcPr>
            <w:tcW w:w="0" w:type="auto"/>
            <w:tcBorders>
              <w:top w:val="nil"/>
              <w:left w:val="nil"/>
              <w:bottom w:val="nil"/>
              <w:right w:val="nil"/>
            </w:tcBorders>
            <w:shd w:val="clear" w:color="000000" w:fill="FFFFFF"/>
            <w:noWrap/>
          </w:tcPr>
          <w:p w14:paraId="2F04CEF4"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1.4</w:t>
            </w:r>
          </w:p>
        </w:tc>
        <w:tc>
          <w:tcPr>
            <w:tcW w:w="0" w:type="auto"/>
            <w:tcBorders>
              <w:top w:val="nil"/>
              <w:left w:val="nil"/>
              <w:bottom w:val="nil"/>
              <w:right w:val="nil"/>
            </w:tcBorders>
            <w:shd w:val="clear" w:color="000000" w:fill="FFFFFF"/>
            <w:noWrap/>
          </w:tcPr>
          <w:p w14:paraId="66843F34"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1.0</w:t>
            </w:r>
          </w:p>
        </w:tc>
        <w:tc>
          <w:tcPr>
            <w:tcW w:w="0" w:type="auto"/>
            <w:tcBorders>
              <w:top w:val="nil"/>
              <w:left w:val="nil"/>
              <w:bottom w:val="nil"/>
              <w:right w:val="nil"/>
            </w:tcBorders>
            <w:shd w:val="clear" w:color="000000" w:fill="FFFFFF"/>
            <w:noWrap/>
          </w:tcPr>
          <w:p w14:paraId="7A79A28D"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1.0</w:t>
            </w:r>
          </w:p>
        </w:tc>
        <w:tc>
          <w:tcPr>
            <w:tcW w:w="0" w:type="auto"/>
            <w:tcBorders>
              <w:top w:val="nil"/>
              <w:left w:val="nil"/>
              <w:bottom w:val="nil"/>
              <w:right w:val="nil"/>
            </w:tcBorders>
            <w:shd w:val="clear" w:color="000000" w:fill="FFFFFF"/>
            <w:noWrap/>
          </w:tcPr>
          <w:p w14:paraId="275DF44F" w14:textId="5FA6B1B8"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&lt;</w:t>
            </w:r>
            <w:r w:rsidR="0011453C" w:rsidRPr="00C76E19">
              <w:rPr>
                <w:rFonts w:ascii="Book Antiqua" w:hAnsi="Book Antiqua"/>
                <w:color w:val="000000"/>
              </w:rPr>
              <w:t xml:space="preserve"> </w:t>
            </w:r>
            <w:r w:rsidRPr="00C76E19">
              <w:rPr>
                <w:rFonts w:ascii="Book Antiqua" w:hAnsi="Book Antiqua"/>
                <w:color w:val="000000"/>
              </w:rPr>
              <w:t>0.001</w:t>
            </w:r>
          </w:p>
        </w:tc>
      </w:tr>
      <w:tr w:rsidR="00BF310C" w:rsidRPr="00C76E19" w14:paraId="5EA330E3" w14:textId="77777777" w:rsidTr="0051080B">
        <w:trPr>
          <w:trHeight w:val="300"/>
          <w:jc w:val="center"/>
        </w:trPr>
        <w:tc>
          <w:tcPr>
            <w:tcW w:w="0" w:type="auto"/>
            <w:tcBorders>
              <w:top w:val="nil"/>
              <w:left w:val="nil"/>
              <w:bottom w:val="nil"/>
              <w:right w:val="nil"/>
            </w:tcBorders>
            <w:shd w:val="clear" w:color="000000" w:fill="FFFFFF"/>
            <w:noWrap/>
            <w:hideMark/>
          </w:tcPr>
          <w:p w14:paraId="6C7022D7" w14:textId="77777777" w:rsidR="00BF310C" w:rsidRPr="00C76E19" w:rsidRDefault="00BF310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Hospital stay days </w:t>
            </w:r>
          </w:p>
        </w:tc>
        <w:tc>
          <w:tcPr>
            <w:tcW w:w="0" w:type="auto"/>
            <w:tcBorders>
              <w:top w:val="nil"/>
              <w:left w:val="nil"/>
              <w:bottom w:val="nil"/>
              <w:right w:val="nil"/>
            </w:tcBorders>
            <w:shd w:val="clear" w:color="000000" w:fill="FFFFFF"/>
            <w:noWrap/>
          </w:tcPr>
          <w:p w14:paraId="24F58978"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15.2</w:t>
            </w:r>
          </w:p>
        </w:tc>
        <w:tc>
          <w:tcPr>
            <w:tcW w:w="0" w:type="auto"/>
            <w:tcBorders>
              <w:top w:val="nil"/>
              <w:left w:val="nil"/>
              <w:bottom w:val="nil"/>
              <w:right w:val="nil"/>
            </w:tcBorders>
            <w:shd w:val="clear" w:color="000000" w:fill="FFFFFF"/>
            <w:noWrap/>
          </w:tcPr>
          <w:p w14:paraId="7AA781B4"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11.1</w:t>
            </w:r>
          </w:p>
        </w:tc>
        <w:tc>
          <w:tcPr>
            <w:tcW w:w="0" w:type="auto"/>
            <w:tcBorders>
              <w:top w:val="nil"/>
              <w:left w:val="nil"/>
              <w:bottom w:val="nil"/>
              <w:right w:val="nil"/>
            </w:tcBorders>
            <w:shd w:val="clear" w:color="000000" w:fill="FFFFFF"/>
            <w:noWrap/>
          </w:tcPr>
          <w:p w14:paraId="0727D0AD"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14.0</w:t>
            </w:r>
          </w:p>
        </w:tc>
        <w:tc>
          <w:tcPr>
            <w:tcW w:w="0" w:type="auto"/>
            <w:tcBorders>
              <w:top w:val="nil"/>
              <w:left w:val="nil"/>
              <w:bottom w:val="nil"/>
              <w:right w:val="nil"/>
            </w:tcBorders>
            <w:shd w:val="clear" w:color="000000" w:fill="FFFFFF"/>
            <w:noWrap/>
          </w:tcPr>
          <w:p w14:paraId="693794DA"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14.8</w:t>
            </w:r>
          </w:p>
        </w:tc>
        <w:tc>
          <w:tcPr>
            <w:tcW w:w="0" w:type="auto"/>
            <w:tcBorders>
              <w:top w:val="nil"/>
              <w:left w:val="nil"/>
              <w:bottom w:val="nil"/>
              <w:right w:val="nil"/>
            </w:tcBorders>
            <w:shd w:val="clear" w:color="000000" w:fill="FFFFFF"/>
            <w:noWrap/>
          </w:tcPr>
          <w:p w14:paraId="14566C8E"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12.4</w:t>
            </w:r>
          </w:p>
        </w:tc>
        <w:tc>
          <w:tcPr>
            <w:tcW w:w="0" w:type="auto"/>
            <w:tcBorders>
              <w:top w:val="nil"/>
              <w:left w:val="nil"/>
              <w:bottom w:val="nil"/>
              <w:right w:val="nil"/>
            </w:tcBorders>
            <w:shd w:val="clear" w:color="000000" w:fill="FFFFFF"/>
            <w:noWrap/>
          </w:tcPr>
          <w:p w14:paraId="528F32A4"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9.5</w:t>
            </w:r>
          </w:p>
        </w:tc>
        <w:tc>
          <w:tcPr>
            <w:tcW w:w="0" w:type="auto"/>
            <w:tcBorders>
              <w:top w:val="nil"/>
              <w:left w:val="nil"/>
              <w:bottom w:val="nil"/>
              <w:right w:val="nil"/>
            </w:tcBorders>
            <w:shd w:val="clear" w:color="000000" w:fill="FFFFFF"/>
            <w:noWrap/>
          </w:tcPr>
          <w:p w14:paraId="5A969A1D"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0.207</w:t>
            </w:r>
          </w:p>
        </w:tc>
      </w:tr>
      <w:tr w:rsidR="00BF310C" w:rsidRPr="00C76E19" w14:paraId="549925FA" w14:textId="77777777" w:rsidTr="0051080B">
        <w:trPr>
          <w:trHeight w:val="300"/>
          <w:jc w:val="center"/>
        </w:trPr>
        <w:tc>
          <w:tcPr>
            <w:tcW w:w="0" w:type="auto"/>
            <w:tcBorders>
              <w:top w:val="nil"/>
              <w:left w:val="nil"/>
              <w:bottom w:val="nil"/>
              <w:right w:val="nil"/>
            </w:tcBorders>
            <w:shd w:val="clear" w:color="000000" w:fill="FFFFFF"/>
            <w:noWrap/>
            <w:hideMark/>
          </w:tcPr>
          <w:p w14:paraId="359752F3" w14:textId="77777777" w:rsidR="00BF310C" w:rsidRPr="00C76E19" w:rsidRDefault="00BF310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Hospital stay days related to infliximab administration </w:t>
            </w:r>
          </w:p>
        </w:tc>
        <w:tc>
          <w:tcPr>
            <w:tcW w:w="0" w:type="auto"/>
            <w:tcBorders>
              <w:top w:val="nil"/>
              <w:left w:val="nil"/>
              <w:bottom w:val="nil"/>
              <w:right w:val="nil"/>
            </w:tcBorders>
            <w:shd w:val="clear" w:color="000000" w:fill="FFFFFF"/>
            <w:noWrap/>
          </w:tcPr>
          <w:p w14:paraId="09560FFE"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5.7</w:t>
            </w:r>
          </w:p>
        </w:tc>
        <w:tc>
          <w:tcPr>
            <w:tcW w:w="0" w:type="auto"/>
            <w:tcBorders>
              <w:top w:val="nil"/>
              <w:left w:val="nil"/>
              <w:bottom w:val="nil"/>
              <w:right w:val="nil"/>
            </w:tcBorders>
            <w:shd w:val="clear" w:color="000000" w:fill="FFFFFF"/>
            <w:noWrap/>
          </w:tcPr>
          <w:p w14:paraId="45B04356"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3.8</w:t>
            </w:r>
          </w:p>
        </w:tc>
        <w:tc>
          <w:tcPr>
            <w:tcW w:w="0" w:type="auto"/>
            <w:tcBorders>
              <w:top w:val="nil"/>
              <w:left w:val="nil"/>
              <w:bottom w:val="nil"/>
              <w:right w:val="nil"/>
            </w:tcBorders>
            <w:shd w:val="clear" w:color="000000" w:fill="FFFFFF"/>
            <w:noWrap/>
          </w:tcPr>
          <w:p w14:paraId="16141FB3"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6.0</w:t>
            </w:r>
          </w:p>
        </w:tc>
        <w:tc>
          <w:tcPr>
            <w:tcW w:w="0" w:type="auto"/>
            <w:tcBorders>
              <w:top w:val="nil"/>
              <w:left w:val="nil"/>
              <w:bottom w:val="nil"/>
              <w:right w:val="nil"/>
            </w:tcBorders>
            <w:shd w:val="clear" w:color="000000" w:fill="FFFFFF"/>
            <w:noWrap/>
          </w:tcPr>
          <w:p w14:paraId="27B8EF6B"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0.0</w:t>
            </w:r>
          </w:p>
        </w:tc>
        <w:tc>
          <w:tcPr>
            <w:tcW w:w="0" w:type="auto"/>
            <w:tcBorders>
              <w:top w:val="nil"/>
              <w:left w:val="nil"/>
              <w:bottom w:val="nil"/>
              <w:right w:val="nil"/>
            </w:tcBorders>
            <w:shd w:val="clear" w:color="000000" w:fill="FFFFFF"/>
            <w:noWrap/>
          </w:tcPr>
          <w:p w14:paraId="7CC59770"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0.0</w:t>
            </w:r>
          </w:p>
        </w:tc>
        <w:tc>
          <w:tcPr>
            <w:tcW w:w="0" w:type="auto"/>
            <w:tcBorders>
              <w:top w:val="nil"/>
              <w:left w:val="nil"/>
              <w:bottom w:val="nil"/>
              <w:right w:val="nil"/>
            </w:tcBorders>
            <w:shd w:val="clear" w:color="000000" w:fill="FFFFFF"/>
            <w:noWrap/>
          </w:tcPr>
          <w:p w14:paraId="434F8D09"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0.0</w:t>
            </w:r>
          </w:p>
        </w:tc>
        <w:tc>
          <w:tcPr>
            <w:tcW w:w="0" w:type="auto"/>
            <w:tcBorders>
              <w:top w:val="nil"/>
              <w:left w:val="nil"/>
              <w:bottom w:val="nil"/>
              <w:right w:val="nil"/>
            </w:tcBorders>
            <w:shd w:val="clear" w:color="000000" w:fill="FFFFFF"/>
            <w:noWrap/>
          </w:tcPr>
          <w:p w14:paraId="5DE27B18" w14:textId="18FCD57C"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&lt;</w:t>
            </w:r>
            <w:r w:rsidR="0011453C" w:rsidRPr="00C76E19">
              <w:rPr>
                <w:rFonts w:ascii="Book Antiqua" w:hAnsi="Book Antiqua"/>
                <w:color w:val="000000"/>
              </w:rPr>
              <w:t xml:space="preserve"> </w:t>
            </w:r>
            <w:r w:rsidRPr="00C76E19">
              <w:rPr>
                <w:rFonts w:ascii="Book Antiqua" w:hAnsi="Book Antiqua"/>
                <w:color w:val="000000"/>
              </w:rPr>
              <w:t>0.001</w:t>
            </w:r>
          </w:p>
        </w:tc>
      </w:tr>
      <w:tr w:rsidR="00BF310C" w:rsidRPr="00C76E19" w14:paraId="190A4EEE" w14:textId="77777777" w:rsidTr="0051080B">
        <w:trPr>
          <w:trHeight w:val="300"/>
          <w:jc w:val="center"/>
        </w:trPr>
        <w:tc>
          <w:tcPr>
            <w:tcW w:w="0" w:type="auto"/>
            <w:tcBorders>
              <w:top w:val="nil"/>
              <w:left w:val="nil"/>
              <w:right w:val="nil"/>
            </w:tcBorders>
            <w:shd w:val="clear" w:color="000000" w:fill="FFFFFF"/>
            <w:noWrap/>
            <w:hideMark/>
          </w:tcPr>
          <w:p w14:paraId="1252D4FE" w14:textId="14FD976B" w:rsidR="00BF310C" w:rsidRPr="00C76E19" w:rsidRDefault="0011453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H</w:t>
            </w:r>
            <w:r w:rsidR="00BF310C" w:rsidRPr="00C76E19">
              <w:rPr>
                <w:rFonts w:ascii="Book Antiqua" w:hAnsi="Book Antiqua"/>
                <w:color w:val="000000"/>
              </w:rPr>
              <w:t xml:space="preserve">ospital stay days for active disease management </w:t>
            </w:r>
          </w:p>
        </w:tc>
        <w:tc>
          <w:tcPr>
            <w:tcW w:w="0" w:type="auto"/>
            <w:tcBorders>
              <w:top w:val="nil"/>
              <w:left w:val="nil"/>
              <w:right w:val="nil"/>
            </w:tcBorders>
            <w:shd w:val="clear" w:color="000000" w:fill="FFFFFF"/>
            <w:noWrap/>
          </w:tcPr>
          <w:p w14:paraId="0EC1E0B4"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9.5</w:t>
            </w:r>
          </w:p>
        </w:tc>
        <w:tc>
          <w:tcPr>
            <w:tcW w:w="0" w:type="auto"/>
            <w:tcBorders>
              <w:top w:val="nil"/>
              <w:left w:val="nil"/>
              <w:right w:val="nil"/>
            </w:tcBorders>
            <w:shd w:val="clear" w:color="000000" w:fill="FFFFFF"/>
            <w:noWrap/>
          </w:tcPr>
          <w:p w14:paraId="3ED6175B"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11.3</w:t>
            </w:r>
          </w:p>
        </w:tc>
        <w:tc>
          <w:tcPr>
            <w:tcW w:w="0" w:type="auto"/>
            <w:tcBorders>
              <w:top w:val="nil"/>
              <w:left w:val="nil"/>
              <w:right w:val="nil"/>
            </w:tcBorders>
            <w:shd w:val="clear" w:color="000000" w:fill="FFFFFF"/>
            <w:noWrap/>
          </w:tcPr>
          <w:p w14:paraId="364AE037"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9.0</w:t>
            </w:r>
          </w:p>
        </w:tc>
        <w:tc>
          <w:tcPr>
            <w:tcW w:w="0" w:type="auto"/>
            <w:tcBorders>
              <w:top w:val="nil"/>
              <w:left w:val="nil"/>
              <w:right w:val="nil"/>
            </w:tcBorders>
            <w:shd w:val="clear" w:color="000000" w:fill="FFFFFF"/>
            <w:noWrap/>
          </w:tcPr>
          <w:p w14:paraId="1B1EC853"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14.8</w:t>
            </w:r>
          </w:p>
        </w:tc>
        <w:tc>
          <w:tcPr>
            <w:tcW w:w="0" w:type="auto"/>
            <w:tcBorders>
              <w:top w:val="nil"/>
              <w:left w:val="nil"/>
              <w:right w:val="nil"/>
            </w:tcBorders>
            <w:shd w:val="clear" w:color="000000" w:fill="FFFFFF"/>
            <w:noWrap/>
          </w:tcPr>
          <w:p w14:paraId="06F7E99A"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12.4</w:t>
            </w:r>
          </w:p>
        </w:tc>
        <w:tc>
          <w:tcPr>
            <w:tcW w:w="0" w:type="auto"/>
            <w:tcBorders>
              <w:top w:val="nil"/>
              <w:left w:val="nil"/>
              <w:right w:val="nil"/>
            </w:tcBorders>
            <w:shd w:val="clear" w:color="000000" w:fill="FFFFFF"/>
            <w:noWrap/>
          </w:tcPr>
          <w:p w14:paraId="6FC97D6D"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9.5</w:t>
            </w:r>
          </w:p>
        </w:tc>
        <w:tc>
          <w:tcPr>
            <w:tcW w:w="0" w:type="auto"/>
            <w:tcBorders>
              <w:top w:val="nil"/>
              <w:left w:val="nil"/>
              <w:right w:val="nil"/>
            </w:tcBorders>
            <w:shd w:val="clear" w:color="000000" w:fill="FFFFFF"/>
            <w:noWrap/>
          </w:tcPr>
          <w:p w14:paraId="1FDDBF8D" w14:textId="3696B044"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&lt;</w:t>
            </w:r>
            <w:r w:rsidR="0011453C" w:rsidRPr="00C76E19">
              <w:rPr>
                <w:rFonts w:ascii="Book Antiqua" w:hAnsi="Book Antiqua"/>
                <w:color w:val="000000"/>
              </w:rPr>
              <w:t xml:space="preserve"> </w:t>
            </w:r>
            <w:r w:rsidRPr="00C76E19">
              <w:rPr>
                <w:rFonts w:ascii="Book Antiqua" w:hAnsi="Book Antiqua"/>
                <w:color w:val="000000"/>
              </w:rPr>
              <w:t>0.001</w:t>
            </w:r>
          </w:p>
        </w:tc>
      </w:tr>
      <w:tr w:rsidR="00BF310C" w:rsidRPr="00C76E19" w14:paraId="542BB407" w14:textId="77777777" w:rsidTr="0051080B">
        <w:trPr>
          <w:trHeight w:val="300"/>
          <w:jc w:val="center"/>
        </w:trPr>
        <w:tc>
          <w:tcPr>
            <w:tcW w:w="0" w:type="auto"/>
            <w:tcBorders>
              <w:top w:val="nil"/>
              <w:left w:val="nil"/>
              <w:bottom w:val="nil"/>
              <w:right w:val="nil"/>
            </w:tcBorders>
            <w:shd w:val="clear" w:color="000000" w:fill="FFFFFF"/>
            <w:noWrap/>
            <w:hideMark/>
          </w:tcPr>
          <w:p w14:paraId="3B82B79C"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Direct medical costs for outpatient clinic visits</w:t>
            </w:r>
          </w:p>
        </w:tc>
        <w:tc>
          <w:tcPr>
            <w:tcW w:w="0" w:type="auto"/>
            <w:tcBorders>
              <w:top w:val="nil"/>
              <w:left w:val="nil"/>
              <w:bottom w:val="nil"/>
              <w:right w:val="nil"/>
            </w:tcBorders>
            <w:shd w:val="clear" w:color="000000" w:fill="FFFFFF"/>
            <w:noWrap/>
          </w:tcPr>
          <w:p w14:paraId="20CAA986"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19D648F5"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4CB99939"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0A33989D"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78726240"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57301953"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6B486A87" w14:textId="77777777" w:rsidR="00BF310C" w:rsidRPr="00C76E19" w:rsidRDefault="00BF310C" w:rsidP="00AE2A93">
            <w:pPr>
              <w:snapToGrid w:val="0"/>
              <w:spacing w:line="360" w:lineRule="auto"/>
              <w:jc w:val="both"/>
              <w:rPr>
                <w:rFonts w:ascii="Book Antiqua" w:hAnsi="Book Antiqua"/>
                <w:b/>
                <w:bCs/>
                <w:color w:val="000000"/>
              </w:rPr>
            </w:pPr>
          </w:p>
        </w:tc>
      </w:tr>
      <w:tr w:rsidR="00BF310C" w:rsidRPr="00C76E19" w14:paraId="77355122" w14:textId="77777777" w:rsidTr="0051080B">
        <w:trPr>
          <w:trHeight w:val="300"/>
          <w:jc w:val="center"/>
        </w:trPr>
        <w:tc>
          <w:tcPr>
            <w:tcW w:w="0" w:type="auto"/>
            <w:tcBorders>
              <w:top w:val="nil"/>
              <w:left w:val="nil"/>
              <w:bottom w:val="nil"/>
              <w:right w:val="nil"/>
            </w:tcBorders>
            <w:shd w:val="clear" w:color="000000" w:fill="FFFFFF"/>
            <w:noWrap/>
            <w:hideMark/>
          </w:tcPr>
          <w:p w14:paraId="2BA65B78" w14:textId="77777777" w:rsidR="00BF310C" w:rsidRPr="00C76E19" w:rsidRDefault="00BF310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Outpatient costs for drugs </w:t>
            </w:r>
          </w:p>
        </w:tc>
        <w:tc>
          <w:tcPr>
            <w:tcW w:w="0" w:type="auto"/>
            <w:tcBorders>
              <w:top w:val="nil"/>
              <w:left w:val="nil"/>
              <w:bottom w:val="nil"/>
              <w:right w:val="nil"/>
            </w:tcBorders>
            <w:shd w:val="clear" w:color="000000" w:fill="FFFFFF"/>
            <w:noWrap/>
          </w:tcPr>
          <w:p w14:paraId="280FC5CA"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¥710 </w:t>
            </w:r>
          </w:p>
        </w:tc>
        <w:tc>
          <w:tcPr>
            <w:tcW w:w="0" w:type="auto"/>
            <w:tcBorders>
              <w:top w:val="nil"/>
              <w:left w:val="nil"/>
              <w:bottom w:val="nil"/>
              <w:right w:val="nil"/>
            </w:tcBorders>
            <w:shd w:val="clear" w:color="000000" w:fill="FFFFFF"/>
            <w:noWrap/>
          </w:tcPr>
          <w:p w14:paraId="00239CE5"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¥4,268 </w:t>
            </w:r>
          </w:p>
        </w:tc>
        <w:tc>
          <w:tcPr>
            <w:tcW w:w="0" w:type="auto"/>
            <w:tcBorders>
              <w:top w:val="nil"/>
              <w:left w:val="nil"/>
              <w:bottom w:val="nil"/>
              <w:right w:val="nil"/>
            </w:tcBorders>
            <w:shd w:val="clear" w:color="000000" w:fill="FFFFFF"/>
            <w:noWrap/>
          </w:tcPr>
          <w:p w14:paraId="7146ADBE"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¥0 </w:t>
            </w:r>
          </w:p>
        </w:tc>
        <w:tc>
          <w:tcPr>
            <w:tcW w:w="0" w:type="auto"/>
            <w:tcBorders>
              <w:top w:val="nil"/>
              <w:left w:val="nil"/>
              <w:bottom w:val="nil"/>
              <w:right w:val="nil"/>
            </w:tcBorders>
            <w:shd w:val="clear" w:color="000000" w:fill="FFFFFF"/>
            <w:noWrap/>
          </w:tcPr>
          <w:p w14:paraId="509E6EDC"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¥2,342 </w:t>
            </w:r>
          </w:p>
        </w:tc>
        <w:tc>
          <w:tcPr>
            <w:tcW w:w="0" w:type="auto"/>
            <w:tcBorders>
              <w:top w:val="nil"/>
              <w:left w:val="nil"/>
              <w:bottom w:val="nil"/>
              <w:right w:val="nil"/>
            </w:tcBorders>
            <w:shd w:val="clear" w:color="000000" w:fill="FFFFFF"/>
            <w:noWrap/>
          </w:tcPr>
          <w:p w14:paraId="690FD612" w14:textId="4843C836"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¥4698 </w:t>
            </w:r>
          </w:p>
        </w:tc>
        <w:tc>
          <w:tcPr>
            <w:tcW w:w="0" w:type="auto"/>
            <w:tcBorders>
              <w:top w:val="nil"/>
              <w:left w:val="nil"/>
              <w:bottom w:val="nil"/>
              <w:right w:val="nil"/>
            </w:tcBorders>
            <w:shd w:val="clear" w:color="000000" w:fill="FFFFFF"/>
            <w:noWrap/>
          </w:tcPr>
          <w:p w14:paraId="1F945CD0"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¥644 </w:t>
            </w:r>
          </w:p>
        </w:tc>
        <w:tc>
          <w:tcPr>
            <w:tcW w:w="0" w:type="auto"/>
            <w:tcBorders>
              <w:top w:val="nil"/>
              <w:left w:val="nil"/>
              <w:bottom w:val="nil"/>
              <w:right w:val="nil"/>
            </w:tcBorders>
            <w:shd w:val="clear" w:color="000000" w:fill="FFFFFF"/>
            <w:noWrap/>
          </w:tcPr>
          <w:p w14:paraId="19B95D19" w14:textId="0471EB42"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&lt;</w:t>
            </w:r>
            <w:r w:rsidR="0011453C" w:rsidRPr="00C76E19">
              <w:rPr>
                <w:rFonts w:ascii="Book Antiqua" w:hAnsi="Book Antiqua"/>
                <w:color w:val="000000"/>
              </w:rPr>
              <w:t xml:space="preserve"> </w:t>
            </w:r>
            <w:r w:rsidRPr="00C76E19">
              <w:rPr>
                <w:rFonts w:ascii="Book Antiqua" w:hAnsi="Book Antiqua"/>
                <w:color w:val="000000"/>
              </w:rPr>
              <w:t>0.001</w:t>
            </w:r>
          </w:p>
        </w:tc>
      </w:tr>
      <w:tr w:rsidR="00BF310C" w:rsidRPr="00C76E19" w14:paraId="05F436A3" w14:textId="77777777" w:rsidTr="0051080B">
        <w:trPr>
          <w:trHeight w:val="300"/>
          <w:jc w:val="center"/>
        </w:trPr>
        <w:tc>
          <w:tcPr>
            <w:tcW w:w="0" w:type="auto"/>
            <w:tcBorders>
              <w:top w:val="nil"/>
              <w:left w:val="nil"/>
              <w:bottom w:val="nil"/>
              <w:right w:val="nil"/>
            </w:tcBorders>
            <w:shd w:val="clear" w:color="000000" w:fill="FFFFFF"/>
            <w:noWrap/>
            <w:hideMark/>
          </w:tcPr>
          <w:p w14:paraId="53768960" w14:textId="77777777" w:rsidR="00BF310C" w:rsidRPr="00C76E19" w:rsidRDefault="00BF310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Outpatient costs for others </w:t>
            </w:r>
          </w:p>
        </w:tc>
        <w:tc>
          <w:tcPr>
            <w:tcW w:w="0" w:type="auto"/>
            <w:tcBorders>
              <w:top w:val="nil"/>
              <w:left w:val="nil"/>
              <w:bottom w:val="nil"/>
              <w:right w:val="nil"/>
            </w:tcBorders>
            <w:shd w:val="clear" w:color="000000" w:fill="FFFFFF"/>
            <w:noWrap/>
          </w:tcPr>
          <w:p w14:paraId="058103D1"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¥232 </w:t>
            </w:r>
          </w:p>
        </w:tc>
        <w:tc>
          <w:tcPr>
            <w:tcW w:w="0" w:type="auto"/>
            <w:tcBorders>
              <w:top w:val="nil"/>
              <w:left w:val="nil"/>
              <w:bottom w:val="nil"/>
              <w:right w:val="nil"/>
            </w:tcBorders>
            <w:shd w:val="clear" w:color="000000" w:fill="FFFFFF"/>
            <w:noWrap/>
          </w:tcPr>
          <w:p w14:paraId="417C1788"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¥589 </w:t>
            </w:r>
          </w:p>
        </w:tc>
        <w:tc>
          <w:tcPr>
            <w:tcW w:w="0" w:type="auto"/>
            <w:tcBorders>
              <w:top w:val="nil"/>
              <w:left w:val="nil"/>
              <w:bottom w:val="nil"/>
              <w:right w:val="nil"/>
            </w:tcBorders>
            <w:shd w:val="clear" w:color="000000" w:fill="FFFFFF"/>
            <w:noWrap/>
          </w:tcPr>
          <w:p w14:paraId="509F957F"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¥0 </w:t>
            </w:r>
          </w:p>
        </w:tc>
        <w:tc>
          <w:tcPr>
            <w:tcW w:w="0" w:type="auto"/>
            <w:tcBorders>
              <w:top w:val="nil"/>
              <w:left w:val="nil"/>
              <w:bottom w:val="nil"/>
              <w:right w:val="nil"/>
            </w:tcBorders>
            <w:shd w:val="clear" w:color="000000" w:fill="FFFFFF"/>
            <w:noWrap/>
          </w:tcPr>
          <w:p w14:paraId="7A4EE46E"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¥130 </w:t>
            </w:r>
          </w:p>
        </w:tc>
        <w:tc>
          <w:tcPr>
            <w:tcW w:w="0" w:type="auto"/>
            <w:tcBorders>
              <w:top w:val="nil"/>
              <w:left w:val="nil"/>
              <w:bottom w:val="nil"/>
              <w:right w:val="nil"/>
            </w:tcBorders>
            <w:shd w:val="clear" w:color="000000" w:fill="FFFFFF"/>
            <w:noWrap/>
          </w:tcPr>
          <w:p w14:paraId="3F9E40CE"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¥446 </w:t>
            </w:r>
          </w:p>
        </w:tc>
        <w:tc>
          <w:tcPr>
            <w:tcW w:w="0" w:type="auto"/>
            <w:tcBorders>
              <w:top w:val="nil"/>
              <w:left w:val="nil"/>
              <w:bottom w:val="nil"/>
              <w:right w:val="nil"/>
            </w:tcBorders>
            <w:shd w:val="clear" w:color="000000" w:fill="FFFFFF"/>
            <w:noWrap/>
          </w:tcPr>
          <w:p w14:paraId="3528E798"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¥0 </w:t>
            </w:r>
          </w:p>
        </w:tc>
        <w:tc>
          <w:tcPr>
            <w:tcW w:w="0" w:type="auto"/>
            <w:tcBorders>
              <w:top w:val="nil"/>
              <w:left w:val="nil"/>
              <w:bottom w:val="nil"/>
              <w:right w:val="nil"/>
            </w:tcBorders>
            <w:shd w:val="clear" w:color="000000" w:fill="FFFFFF"/>
            <w:noWrap/>
          </w:tcPr>
          <w:p w14:paraId="7D497401" w14:textId="1B2E23C2"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0.008</w:t>
            </w:r>
            <w:r w:rsidR="0011453C" w:rsidRPr="00C76E19">
              <w:rPr>
                <w:rFonts w:ascii="Book Antiqua" w:hAnsi="Book Antiqua"/>
                <w:color w:val="000000"/>
                <w:vertAlign w:val="superscript"/>
              </w:rPr>
              <w:t>b</w:t>
            </w:r>
          </w:p>
        </w:tc>
      </w:tr>
      <w:tr w:rsidR="00BF310C" w:rsidRPr="00C76E19" w14:paraId="747D3E0A" w14:textId="77777777" w:rsidTr="0051080B">
        <w:trPr>
          <w:trHeight w:val="300"/>
          <w:jc w:val="center"/>
        </w:trPr>
        <w:tc>
          <w:tcPr>
            <w:tcW w:w="0" w:type="auto"/>
            <w:tcBorders>
              <w:top w:val="nil"/>
              <w:left w:val="nil"/>
              <w:right w:val="nil"/>
            </w:tcBorders>
            <w:shd w:val="clear" w:color="000000" w:fill="FFFFFF"/>
            <w:noWrap/>
            <w:hideMark/>
          </w:tcPr>
          <w:p w14:paraId="04E0D0D4" w14:textId="2EACA62D" w:rsidR="00BF310C" w:rsidRPr="00C76E19" w:rsidRDefault="00BF310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Total outpatient costs </w:t>
            </w:r>
          </w:p>
        </w:tc>
        <w:tc>
          <w:tcPr>
            <w:tcW w:w="0" w:type="auto"/>
            <w:tcBorders>
              <w:top w:val="nil"/>
              <w:left w:val="nil"/>
              <w:right w:val="nil"/>
            </w:tcBorders>
            <w:shd w:val="clear" w:color="000000" w:fill="FFFFFF"/>
            <w:noWrap/>
          </w:tcPr>
          <w:p w14:paraId="3FB7FEAD"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¥942</w:t>
            </w:r>
          </w:p>
        </w:tc>
        <w:tc>
          <w:tcPr>
            <w:tcW w:w="0" w:type="auto"/>
            <w:tcBorders>
              <w:top w:val="nil"/>
              <w:left w:val="nil"/>
              <w:right w:val="nil"/>
            </w:tcBorders>
            <w:shd w:val="clear" w:color="000000" w:fill="FFFFFF"/>
            <w:noWrap/>
          </w:tcPr>
          <w:p w14:paraId="10B20C64" w14:textId="6B6496AE"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rPr>
              <w:t>¥4371</w:t>
            </w:r>
          </w:p>
        </w:tc>
        <w:tc>
          <w:tcPr>
            <w:tcW w:w="0" w:type="auto"/>
            <w:tcBorders>
              <w:top w:val="nil"/>
              <w:left w:val="nil"/>
              <w:right w:val="nil"/>
            </w:tcBorders>
            <w:shd w:val="clear" w:color="000000" w:fill="FFFFFF"/>
            <w:noWrap/>
          </w:tcPr>
          <w:p w14:paraId="19920E21"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rPr>
              <w:t>¥54</w:t>
            </w:r>
          </w:p>
        </w:tc>
        <w:tc>
          <w:tcPr>
            <w:tcW w:w="0" w:type="auto"/>
            <w:tcBorders>
              <w:top w:val="nil"/>
              <w:left w:val="nil"/>
              <w:right w:val="nil"/>
            </w:tcBorders>
            <w:shd w:val="clear" w:color="000000" w:fill="FFFFFF"/>
            <w:noWrap/>
          </w:tcPr>
          <w:p w14:paraId="6B6FBA39" w14:textId="0CF593F7"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¥2473 </w:t>
            </w:r>
          </w:p>
        </w:tc>
        <w:tc>
          <w:tcPr>
            <w:tcW w:w="0" w:type="auto"/>
            <w:tcBorders>
              <w:top w:val="nil"/>
              <w:left w:val="nil"/>
              <w:right w:val="nil"/>
            </w:tcBorders>
            <w:shd w:val="clear" w:color="000000" w:fill="FFFFFF"/>
            <w:noWrap/>
          </w:tcPr>
          <w:p w14:paraId="38481CE9" w14:textId="443A1CDC"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¥4777 </w:t>
            </w:r>
          </w:p>
        </w:tc>
        <w:tc>
          <w:tcPr>
            <w:tcW w:w="0" w:type="auto"/>
            <w:tcBorders>
              <w:top w:val="nil"/>
              <w:left w:val="nil"/>
              <w:right w:val="nil"/>
            </w:tcBorders>
            <w:shd w:val="clear" w:color="000000" w:fill="FFFFFF"/>
            <w:noWrap/>
          </w:tcPr>
          <w:p w14:paraId="4189E864"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¥810 </w:t>
            </w:r>
          </w:p>
        </w:tc>
        <w:tc>
          <w:tcPr>
            <w:tcW w:w="0" w:type="auto"/>
            <w:tcBorders>
              <w:top w:val="nil"/>
              <w:left w:val="nil"/>
              <w:right w:val="nil"/>
            </w:tcBorders>
            <w:shd w:val="clear" w:color="000000" w:fill="FFFFFF"/>
            <w:noWrap/>
          </w:tcPr>
          <w:p w14:paraId="62A524AF" w14:textId="215AF375"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&lt;</w:t>
            </w:r>
            <w:r w:rsidR="0011453C" w:rsidRPr="00C76E19">
              <w:rPr>
                <w:rFonts w:ascii="Book Antiqua" w:hAnsi="Book Antiqua"/>
                <w:color w:val="000000"/>
              </w:rPr>
              <w:t xml:space="preserve"> </w:t>
            </w:r>
            <w:r w:rsidRPr="00C76E19">
              <w:rPr>
                <w:rFonts w:ascii="Book Antiqua" w:hAnsi="Book Antiqua"/>
                <w:color w:val="000000"/>
              </w:rPr>
              <w:t>0.001</w:t>
            </w:r>
          </w:p>
        </w:tc>
      </w:tr>
      <w:tr w:rsidR="00BF310C" w:rsidRPr="00C76E19" w14:paraId="5BE5132B" w14:textId="77777777" w:rsidTr="0051080B">
        <w:trPr>
          <w:trHeight w:val="300"/>
          <w:jc w:val="center"/>
        </w:trPr>
        <w:tc>
          <w:tcPr>
            <w:tcW w:w="0" w:type="auto"/>
            <w:tcBorders>
              <w:top w:val="nil"/>
              <w:left w:val="nil"/>
              <w:bottom w:val="nil"/>
              <w:right w:val="nil"/>
            </w:tcBorders>
            <w:shd w:val="clear" w:color="000000" w:fill="FFFFFF"/>
            <w:noWrap/>
            <w:hideMark/>
          </w:tcPr>
          <w:p w14:paraId="03C1F821"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 xml:space="preserve">Direct medical costs for hospitalizations </w:t>
            </w:r>
          </w:p>
        </w:tc>
        <w:tc>
          <w:tcPr>
            <w:tcW w:w="0" w:type="auto"/>
            <w:tcBorders>
              <w:top w:val="nil"/>
              <w:left w:val="nil"/>
              <w:bottom w:val="nil"/>
              <w:right w:val="nil"/>
            </w:tcBorders>
            <w:shd w:val="clear" w:color="000000" w:fill="FFFFFF"/>
            <w:noWrap/>
          </w:tcPr>
          <w:p w14:paraId="4358AC15"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3BCE6DE8"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795B33AC"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609EB03E"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42DC1DE1"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11731509" w14:textId="77777777" w:rsidR="00BF310C" w:rsidRPr="00C76E19"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06FABB03" w14:textId="77777777" w:rsidR="00BF310C" w:rsidRPr="00C76E19" w:rsidRDefault="00BF310C" w:rsidP="00AE2A93">
            <w:pPr>
              <w:snapToGrid w:val="0"/>
              <w:spacing w:line="360" w:lineRule="auto"/>
              <w:jc w:val="both"/>
              <w:rPr>
                <w:rFonts w:ascii="Book Antiqua" w:hAnsi="Book Antiqua"/>
                <w:b/>
                <w:bCs/>
                <w:color w:val="000000"/>
              </w:rPr>
            </w:pPr>
          </w:p>
        </w:tc>
      </w:tr>
      <w:tr w:rsidR="00BF310C" w:rsidRPr="00C76E19" w14:paraId="5ACE5309" w14:textId="77777777" w:rsidTr="0051080B">
        <w:trPr>
          <w:trHeight w:val="300"/>
          <w:jc w:val="center"/>
        </w:trPr>
        <w:tc>
          <w:tcPr>
            <w:tcW w:w="0" w:type="auto"/>
            <w:tcBorders>
              <w:top w:val="nil"/>
              <w:left w:val="nil"/>
              <w:bottom w:val="nil"/>
              <w:right w:val="nil"/>
            </w:tcBorders>
            <w:shd w:val="clear" w:color="000000" w:fill="FFFFFF"/>
            <w:noWrap/>
            <w:hideMark/>
          </w:tcPr>
          <w:p w14:paraId="7E1D317C" w14:textId="77777777" w:rsidR="00BF310C" w:rsidRPr="00C76E19" w:rsidRDefault="00BF310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Hospital costs related to infliximab administration </w:t>
            </w:r>
          </w:p>
        </w:tc>
        <w:tc>
          <w:tcPr>
            <w:tcW w:w="0" w:type="auto"/>
            <w:tcBorders>
              <w:top w:val="nil"/>
              <w:left w:val="nil"/>
              <w:bottom w:val="nil"/>
              <w:right w:val="nil"/>
            </w:tcBorders>
            <w:shd w:val="clear" w:color="000000" w:fill="FFFFFF"/>
            <w:noWrap/>
          </w:tcPr>
          <w:p w14:paraId="41004C38"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¥5,305 </w:t>
            </w:r>
          </w:p>
        </w:tc>
        <w:tc>
          <w:tcPr>
            <w:tcW w:w="0" w:type="auto"/>
            <w:tcBorders>
              <w:top w:val="nil"/>
              <w:left w:val="nil"/>
              <w:bottom w:val="nil"/>
              <w:right w:val="nil"/>
            </w:tcBorders>
            <w:shd w:val="clear" w:color="000000" w:fill="FFFFFF"/>
            <w:noWrap/>
          </w:tcPr>
          <w:p w14:paraId="4378E905" w14:textId="6AB01818"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¥7650 </w:t>
            </w:r>
          </w:p>
        </w:tc>
        <w:tc>
          <w:tcPr>
            <w:tcW w:w="0" w:type="auto"/>
            <w:tcBorders>
              <w:top w:val="nil"/>
              <w:left w:val="nil"/>
              <w:bottom w:val="nil"/>
              <w:right w:val="nil"/>
            </w:tcBorders>
            <w:shd w:val="clear" w:color="000000" w:fill="FFFFFF"/>
            <w:noWrap/>
          </w:tcPr>
          <w:p w14:paraId="10903525" w14:textId="6313745F"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¥3577 </w:t>
            </w:r>
          </w:p>
        </w:tc>
        <w:tc>
          <w:tcPr>
            <w:tcW w:w="0" w:type="auto"/>
            <w:tcBorders>
              <w:top w:val="nil"/>
              <w:left w:val="nil"/>
              <w:bottom w:val="nil"/>
              <w:right w:val="nil"/>
            </w:tcBorders>
            <w:shd w:val="clear" w:color="000000" w:fill="FFFFFF"/>
            <w:noWrap/>
          </w:tcPr>
          <w:p w14:paraId="27C13EAB"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¥0 </w:t>
            </w:r>
          </w:p>
        </w:tc>
        <w:tc>
          <w:tcPr>
            <w:tcW w:w="0" w:type="auto"/>
            <w:tcBorders>
              <w:top w:val="nil"/>
              <w:left w:val="nil"/>
              <w:bottom w:val="nil"/>
              <w:right w:val="nil"/>
            </w:tcBorders>
            <w:shd w:val="clear" w:color="000000" w:fill="FFFFFF"/>
            <w:noWrap/>
          </w:tcPr>
          <w:p w14:paraId="3B8DEB21"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¥0 </w:t>
            </w:r>
          </w:p>
        </w:tc>
        <w:tc>
          <w:tcPr>
            <w:tcW w:w="0" w:type="auto"/>
            <w:tcBorders>
              <w:top w:val="nil"/>
              <w:left w:val="nil"/>
              <w:bottom w:val="nil"/>
              <w:right w:val="nil"/>
            </w:tcBorders>
            <w:shd w:val="clear" w:color="000000" w:fill="FFFFFF"/>
            <w:noWrap/>
          </w:tcPr>
          <w:p w14:paraId="4E8235FE"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¥0 </w:t>
            </w:r>
          </w:p>
        </w:tc>
        <w:tc>
          <w:tcPr>
            <w:tcW w:w="0" w:type="auto"/>
            <w:tcBorders>
              <w:top w:val="nil"/>
              <w:left w:val="nil"/>
              <w:bottom w:val="nil"/>
              <w:right w:val="nil"/>
            </w:tcBorders>
            <w:shd w:val="clear" w:color="000000" w:fill="FFFFFF"/>
            <w:noWrap/>
          </w:tcPr>
          <w:p w14:paraId="745E256A" w14:textId="009933B2"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&lt;</w:t>
            </w:r>
            <w:r w:rsidR="0011453C" w:rsidRPr="00C76E19">
              <w:rPr>
                <w:rFonts w:ascii="Book Antiqua" w:hAnsi="Book Antiqua"/>
                <w:color w:val="000000"/>
              </w:rPr>
              <w:t xml:space="preserve"> </w:t>
            </w:r>
            <w:r w:rsidRPr="00C76E19">
              <w:rPr>
                <w:rFonts w:ascii="Book Antiqua" w:hAnsi="Book Antiqua"/>
                <w:color w:val="000000"/>
              </w:rPr>
              <w:t>0.001</w:t>
            </w:r>
          </w:p>
        </w:tc>
      </w:tr>
      <w:tr w:rsidR="00BF310C" w:rsidRPr="00C76E19" w14:paraId="0CE085AF" w14:textId="77777777" w:rsidTr="0051080B">
        <w:trPr>
          <w:trHeight w:val="300"/>
          <w:jc w:val="center"/>
        </w:trPr>
        <w:tc>
          <w:tcPr>
            <w:tcW w:w="0" w:type="auto"/>
            <w:tcBorders>
              <w:top w:val="nil"/>
              <w:left w:val="nil"/>
              <w:bottom w:val="nil"/>
              <w:right w:val="nil"/>
            </w:tcBorders>
            <w:shd w:val="clear" w:color="000000" w:fill="FFFFFF"/>
            <w:noWrap/>
            <w:hideMark/>
          </w:tcPr>
          <w:p w14:paraId="3854601B" w14:textId="77777777" w:rsidR="00BF310C" w:rsidRPr="00C76E19" w:rsidRDefault="00BF310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Drug acquisition costs of infliximab </w:t>
            </w:r>
          </w:p>
        </w:tc>
        <w:tc>
          <w:tcPr>
            <w:tcW w:w="0" w:type="auto"/>
            <w:tcBorders>
              <w:top w:val="nil"/>
              <w:left w:val="nil"/>
              <w:bottom w:val="nil"/>
              <w:right w:val="nil"/>
            </w:tcBorders>
            <w:shd w:val="clear" w:color="000000" w:fill="FFFFFF"/>
            <w:noWrap/>
          </w:tcPr>
          <w:p w14:paraId="17F7AB80" w14:textId="4C57E782"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¥39018 </w:t>
            </w:r>
          </w:p>
        </w:tc>
        <w:tc>
          <w:tcPr>
            <w:tcW w:w="0" w:type="auto"/>
            <w:tcBorders>
              <w:top w:val="nil"/>
              <w:left w:val="nil"/>
              <w:bottom w:val="nil"/>
              <w:right w:val="nil"/>
            </w:tcBorders>
            <w:shd w:val="clear" w:color="000000" w:fill="FFFFFF"/>
            <w:noWrap/>
          </w:tcPr>
          <w:p w14:paraId="137B101D" w14:textId="00994264"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¥9610 </w:t>
            </w:r>
          </w:p>
        </w:tc>
        <w:tc>
          <w:tcPr>
            <w:tcW w:w="0" w:type="auto"/>
            <w:tcBorders>
              <w:top w:val="nil"/>
              <w:left w:val="nil"/>
              <w:bottom w:val="nil"/>
              <w:right w:val="nil"/>
            </w:tcBorders>
            <w:shd w:val="clear" w:color="000000" w:fill="FFFFFF"/>
            <w:noWrap/>
          </w:tcPr>
          <w:p w14:paraId="7325EE5E" w14:textId="7C6459E4"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¥39200 </w:t>
            </w:r>
          </w:p>
        </w:tc>
        <w:tc>
          <w:tcPr>
            <w:tcW w:w="0" w:type="auto"/>
            <w:tcBorders>
              <w:top w:val="nil"/>
              <w:left w:val="nil"/>
              <w:bottom w:val="nil"/>
              <w:right w:val="nil"/>
            </w:tcBorders>
            <w:shd w:val="clear" w:color="000000" w:fill="FFFFFF"/>
            <w:noWrap/>
          </w:tcPr>
          <w:p w14:paraId="709CD984"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¥0 </w:t>
            </w:r>
          </w:p>
        </w:tc>
        <w:tc>
          <w:tcPr>
            <w:tcW w:w="0" w:type="auto"/>
            <w:tcBorders>
              <w:top w:val="nil"/>
              <w:left w:val="nil"/>
              <w:bottom w:val="nil"/>
              <w:right w:val="nil"/>
            </w:tcBorders>
            <w:shd w:val="clear" w:color="000000" w:fill="FFFFFF"/>
            <w:noWrap/>
          </w:tcPr>
          <w:p w14:paraId="4C518135"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¥0 </w:t>
            </w:r>
          </w:p>
        </w:tc>
        <w:tc>
          <w:tcPr>
            <w:tcW w:w="0" w:type="auto"/>
            <w:tcBorders>
              <w:top w:val="nil"/>
              <w:left w:val="nil"/>
              <w:bottom w:val="nil"/>
              <w:right w:val="nil"/>
            </w:tcBorders>
            <w:shd w:val="clear" w:color="000000" w:fill="FFFFFF"/>
            <w:noWrap/>
          </w:tcPr>
          <w:p w14:paraId="6DD6A997"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¥0 </w:t>
            </w:r>
          </w:p>
        </w:tc>
        <w:tc>
          <w:tcPr>
            <w:tcW w:w="0" w:type="auto"/>
            <w:tcBorders>
              <w:top w:val="nil"/>
              <w:left w:val="nil"/>
              <w:bottom w:val="nil"/>
              <w:right w:val="nil"/>
            </w:tcBorders>
            <w:shd w:val="clear" w:color="000000" w:fill="FFFFFF"/>
            <w:noWrap/>
          </w:tcPr>
          <w:p w14:paraId="5F34EFCD" w14:textId="1060ED23"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&lt;</w:t>
            </w:r>
            <w:r w:rsidR="0011453C" w:rsidRPr="00C76E19">
              <w:rPr>
                <w:rFonts w:ascii="Book Antiqua" w:hAnsi="Book Antiqua"/>
                <w:color w:val="000000"/>
              </w:rPr>
              <w:t xml:space="preserve"> </w:t>
            </w:r>
            <w:r w:rsidRPr="00C76E19">
              <w:rPr>
                <w:rFonts w:ascii="Book Antiqua" w:hAnsi="Book Antiqua"/>
                <w:color w:val="000000"/>
              </w:rPr>
              <w:t>0.001</w:t>
            </w:r>
          </w:p>
        </w:tc>
      </w:tr>
      <w:tr w:rsidR="00BF310C" w:rsidRPr="00C76E19" w14:paraId="338BFA3E" w14:textId="77777777" w:rsidTr="0051080B">
        <w:trPr>
          <w:trHeight w:val="300"/>
          <w:jc w:val="center"/>
        </w:trPr>
        <w:tc>
          <w:tcPr>
            <w:tcW w:w="0" w:type="auto"/>
            <w:tcBorders>
              <w:top w:val="nil"/>
              <w:left w:val="nil"/>
              <w:bottom w:val="nil"/>
              <w:right w:val="nil"/>
            </w:tcBorders>
            <w:shd w:val="clear" w:color="000000" w:fill="FFFFFF"/>
            <w:noWrap/>
            <w:hideMark/>
          </w:tcPr>
          <w:p w14:paraId="1C7547DE" w14:textId="77777777" w:rsidR="00BF310C" w:rsidRPr="00C76E19" w:rsidRDefault="00BF310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Hospital costs for active disease management </w:t>
            </w:r>
          </w:p>
        </w:tc>
        <w:tc>
          <w:tcPr>
            <w:tcW w:w="0" w:type="auto"/>
            <w:tcBorders>
              <w:top w:val="nil"/>
              <w:left w:val="nil"/>
              <w:bottom w:val="nil"/>
              <w:right w:val="nil"/>
            </w:tcBorders>
            <w:shd w:val="clear" w:color="000000" w:fill="FFFFFF"/>
            <w:noWrap/>
          </w:tcPr>
          <w:p w14:paraId="5A52D974" w14:textId="63593F77"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¥11041 </w:t>
            </w:r>
          </w:p>
        </w:tc>
        <w:tc>
          <w:tcPr>
            <w:tcW w:w="0" w:type="auto"/>
            <w:tcBorders>
              <w:top w:val="nil"/>
              <w:left w:val="nil"/>
              <w:bottom w:val="nil"/>
              <w:right w:val="nil"/>
            </w:tcBorders>
            <w:shd w:val="clear" w:color="000000" w:fill="FFFFFF"/>
            <w:noWrap/>
          </w:tcPr>
          <w:p w14:paraId="376D0DC2" w14:textId="12949880"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¥17982 </w:t>
            </w:r>
          </w:p>
        </w:tc>
        <w:tc>
          <w:tcPr>
            <w:tcW w:w="0" w:type="auto"/>
            <w:tcBorders>
              <w:top w:val="nil"/>
              <w:left w:val="nil"/>
              <w:bottom w:val="nil"/>
              <w:right w:val="nil"/>
            </w:tcBorders>
            <w:shd w:val="clear" w:color="000000" w:fill="FFFFFF"/>
            <w:noWrap/>
          </w:tcPr>
          <w:p w14:paraId="6DB5A46A" w14:textId="30D989EC"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¥4090 </w:t>
            </w:r>
          </w:p>
        </w:tc>
        <w:tc>
          <w:tcPr>
            <w:tcW w:w="0" w:type="auto"/>
            <w:tcBorders>
              <w:top w:val="nil"/>
              <w:left w:val="nil"/>
              <w:bottom w:val="nil"/>
              <w:right w:val="nil"/>
            </w:tcBorders>
            <w:shd w:val="clear" w:color="000000" w:fill="FFFFFF"/>
            <w:noWrap/>
          </w:tcPr>
          <w:p w14:paraId="55A22FEF" w14:textId="4E697498"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¥24274 </w:t>
            </w:r>
          </w:p>
        </w:tc>
        <w:tc>
          <w:tcPr>
            <w:tcW w:w="0" w:type="auto"/>
            <w:tcBorders>
              <w:top w:val="nil"/>
              <w:left w:val="nil"/>
              <w:bottom w:val="nil"/>
              <w:right w:val="nil"/>
            </w:tcBorders>
            <w:shd w:val="clear" w:color="000000" w:fill="FFFFFF"/>
            <w:noWrap/>
          </w:tcPr>
          <w:p w14:paraId="4A15BB91" w14:textId="37A46A24"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¥29285 </w:t>
            </w:r>
          </w:p>
        </w:tc>
        <w:tc>
          <w:tcPr>
            <w:tcW w:w="0" w:type="auto"/>
            <w:tcBorders>
              <w:top w:val="nil"/>
              <w:left w:val="nil"/>
              <w:bottom w:val="nil"/>
              <w:right w:val="nil"/>
            </w:tcBorders>
            <w:shd w:val="clear" w:color="000000" w:fill="FFFFFF"/>
            <w:noWrap/>
          </w:tcPr>
          <w:p w14:paraId="3EC9780D" w14:textId="4C586052"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¥9321 </w:t>
            </w:r>
          </w:p>
        </w:tc>
        <w:tc>
          <w:tcPr>
            <w:tcW w:w="0" w:type="auto"/>
            <w:tcBorders>
              <w:top w:val="nil"/>
              <w:left w:val="nil"/>
              <w:bottom w:val="nil"/>
              <w:right w:val="nil"/>
            </w:tcBorders>
            <w:shd w:val="clear" w:color="000000" w:fill="FFFFFF"/>
            <w:noWrap/>
          </w:tcPr>
          <w:p w14:paraId="520F6469" w14:textId="7176176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&lt;</w:t>
            </w:r>
            <w:r w:rsidR="0011453C" w:rsidRPr="00C76E19">
              <w:rPr>
                <w:rFonts w:ascii="Book Antiqua" w:hAnsi="Book Antiqua"/>
                <w:color w:val="000000"/>
              </w:rPr>
              <w:t xml:space="preserve"> </w:t>
            </w:r>
            <w:r w:rsidRPr="00C76E19">
              <w:rPr>
                <w:rFonts w:ascii="Book Antiqua" w:hAnsi="Book Antiqua"/>
                <w:color w:val="000000"/>
              </w:rPr>
              <w:t>0.001</w:t>
            </w:r>
          </w:p>
        </w:tc>
      </w:tr>
      <w:tr w:rsidR="00BF310C" w:rsidRPr="00C76E19" w14:paraId="22E7C0E6" w14:textId="77777777" w:rsidTr="0051080B">
        <w:trPr>
          <w:trHeight w:val="300"/>
          <w:jc w:val="center"/>
        </w:trPr>
        <w:tc>
          <w:tcPr>
            <w:tcW w:w="0" w:type="auto"/>
            <w:tcBorders>
              <w:top w:val="nil"/>
              <w:left w:val="nil"/>
              <w:right w:val="nil"/>
            </w:tcBorders>
            <w:shd w:val="clear" w:color="000000" w:fill="FFFFFF"/>
            <w:noWrap/>
            <w:hideMark/>
          </w:tcPr>
          <w:p w14:paraId="1C0BFE28" w14:textId="77777777" w:rsidR="00BF310C" w:rsidRPr="00C76E19" w:rsidRDefault="00BF310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Total hospital costs </w:t>
            </w:r>
          </w:p>
        </w:tc>
        <w:tc>
          <w:tcPr>
            <w:tcW w:w="0" w:type="auto"/>
            <w:tcBorders>
              <w:top w:val="nil"/>
              <w:left w:val="nil"/>
              <w:right w:val="nil"/>
            </w:tcBorders>
            <w:shd w:val="clear" w:color="000000" w:fill="FFFFFF"/>
            <w:noWrap/>
          </w:tcPr>
          <w:p w14:paraId="13221203" w14:textId="71E49EE1"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¥55365 </w:t>
            </w:r>
          </w:p>
        </w:tc>
        <w:tc>
          <w:tcPr>
            <w:tcW w:w="0" w:type="auto"/>
            <w:tcBorders>
              <w:top w:val="nil"/>
              <w:left w:val="nil"/>
              <w:right w:val="nil"/>
            </w:tcBorders>
            <w:shd w:val="clear" w:color="000000" w:fill="FFFFFF"/>
            <w:noWrap/>
          </w:tcPr>
          <w:p w14:paraId="1D19A986" w14:textId="69AB1362"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¥22337 </w:t>
            </w:r>
          </w:p>
        </w:tc>
        <w:tc>
          <w:tcPr>
            <w:tcW w:w="0" w:type="auto"/>
            <w:tcBorders>
              <w:top w:val="nil"/>
              <w:left w:val="nil"/>
              <w:right w:val="nil"/>
            </w:tcBorders>
            <w:shd w:val="clear" w:color="000000" w:fill="FFFFFF"/>
            <w:noWrap/>
          </w:tcPr>
          <w:p w14:paraId="7C894880" w14:textId="248CF396"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¥52155 </w:t>
            </w:r>
          </w:p>
        </w:tc>
        <w:tc>
          <w:tcPr>
            <w:tcW w:w="0" w:type="auto"/>
            <w:tcBorders>
              <w:top w:val="nil"/>
              <w:left w:val="nil"/>
              <w:right w:val="nil"/>
            </w:tcBorders>
            <w:shd w:val="clear" w:color="000000" w:fill="FFFFFF"/>
            <w:noWrap/>
          </w:tcPr>
          <w:p w14:paraId="171C8373" w14:textId="3EAAC06A"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¥24274 </w:t>
            </w:r>
          </w:p>
        </w:tc>
        <w:tc>
          <w:tcPr>
            <w:tcW w:w="0" w:type="auto"/>
            <w:tcBorders>
              <w:top w:val="nil"/>
              <w:left w:val="nil"/>
              <w:right w:val="nil"/>
            </w:tcBorders>
            <w:shd w:val="clear" w:color="000000" w:fill="FFFFFF"/>
            <w:noWrap/>
          </w:tcPr>
          <w:p w14:paraId="3BEB9743" w14:textId="3988B36E"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¥29285 </w:t>
            </w:r>
          </w:p>
        </w:tc>
        <w:tc>
          <w:tcPr>
            <w:tcW w:w="0" w:type="auto"/>
            <w:tcBorders>
              <w:top w:val="nil"/>
              <w:left w:val="nil"/>
              <w:right w:val="nil"/>
            </w:tcBorders>
            <w:shd w:val="clear" w:color="000000" w:fill="FFFFFF"/>
            <w:noWrap/>
          </w:tcPr>
          <w:p w14:paraId="5816BFED" w14:textId="75741010"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¥9321 </w:t>
            </w:r>
          </w:p>
        </w:tc>
        <w:tc>
          <w:tcPr>
            <w:tcW w:w="0" w:type="auto"/>
            <w:tcBorders>
              <w:top w:val="nil"/>
              <w:left w:val="nil"/>
              <w:right w:val="nil"/>
            </w:tcBorders>
            <w:shd w:val="clear" w:color="000000" w:fill="FFFFFF"/>
            <w:noWrap/>
          </w:tcPr>
          <w:p w14:paraId="7BCDD816" w14:textId="5A6CBEE5"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&lt;</w:t>
            </w:r>
            <w:r w:rsidR="0011453C" w:rsidRPr="00C76E19">
              <w:rPr>
                <w:rFonts w:ascii="Book Antiqua" w:hAnsi="Book Antiqua"/>
                <w:color w:val="000000"/>
              </w:rPr>
              <w:t xml:space="preserve"> </w:t>
            </w:r>
            <w:r w:rsidRPr="00C76E19">
              <w:rPr>
                <w:rFonts w:ascii="Book Antiqua" w:hAnsi="Book Antiqua"/>
                <w:color w:val="000000"/>
              </w:rPr>
              <w:t>0.001</w:t>
            </w:r>
          </w:p>
        </w:tc>
      </w:tr>
      <w:tr w:rsidR="00BF310C" w:rsidRPr="00C76E19" w14:paraId="60A58154" w14:textId="77777777" w:rsidTr="0051080B">
        <w:trPr>
          <w:trHeight w:val="300"/>
          <w:jc w:val="center"/>
        </w:trPr>
        <w:tc>
          <w:tcPr>
            <w:tcW w:w="0" w:type="auto"/>
            <w:tcBorders>
              <w:left w:val="nil"/>
              <w:bottom w:val="single" w:sz="4" w:space="0" w:color="auto"/>
              <w:right w:val="nil"/>
            </w:tcBorders>
            <w:shd w:val="clear" w:color="000000" w:fill="FFFFFF"/>
            <w:noWrap/>
            <w:hideMark/>
          </w:tcPr>
          <w:p w14:paraId="2FE0099A" w14:textId="77777777"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 xml:space="preserve">Total direct medical costs </w:t>
            </w:r>
          </w:p>
        </w:tc>
        <w:tc>
          <w:tcPr>
            <w:tcW w:w="0" w:type="auto"/>
            <w:tcBorders>
              <w:left w:val="nil"/>
              <w:bottom w:val="single" w:sz="4" w:space="0" w:color="auto"/>
              <w:right w:val="nil"/>
            </w:tcBorders>
            <w:shd w:val="clear" w:color="000000" w:fill="FFFFFF"/>
            <w:noWrap/>
          </w:tcPr>
          <w:p w14:paraId="40DD2ED0" w14:textId="0FFD7ADF"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¥56307 </w:t>
            </w:r>
          </w:p>
        </w:tc>
        <w:tc>
          <w:tcPr>
            <w:tcW w:w="0" w:type="auto"/>
            <w:tcBorders>
              <w:left w:val="nil"/>
              <w:bottom w:val="single" w:sz="4" w:space="0" w:color="auto"/>
              <w:right w:val="nil"/>
            </w:tcBorders>
            <w:shd w:val="clear" w:color="000000" w:fill="FFFFFF"/>
            <w:noWrap/>
          </w:tcPr>
          <w:p w14:paraId="0059C18D" w14:textId="0C1EADC8"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¥23866 </w:t>
            </w:r>
          </w:p>
        </w:tc>
        <w:tc>
          <w:tcPr>
            <w:tcW w:w="0" w:type="auto"/>
            <w:tcBorders>
              <w:left w:val="nil"/>
              <w:bottom w:val="single" w:sz="4" w:space="0" w:color="auto"/>
              <w:right w:val="nil"/>
            </w:tcBorders>
            <w:shd w:val="clear" w:color="000000" w:fill="FFFFFF"/>
            <w:noWrap/>
          </w:tcPr>
          <w:p w14:paraId="0E62E57D" w14:textId="575FAA8C"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¥52476 </w:t>
            </w:r>
          </w:p>
        </w:tc>
        <w:tc>
          <w:tcPr>
            <w:tcW w:w="0" w:type="auto"/>
            <w:tcBorders>
              <w:left w:val="nil"/>
              <w:bottom w:val="single" w:sz="4" w:space="0" w:color="auto"/>
              <w:right w:val="nil"/>
            </w:tcBorders>
            <w:shd w:val="clear" w:color="000000" w:fill="FFFFFF"/>
            <w:noWrap/>
          </w:tcPr>
          <w:p w14:paraId="4AAD1B9B" w14:textId="7BAA828F"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¥26747 </w:t>
            </w:r>
          </w:p>
        </w:tc>
        <w:tc>
          <w:tcPr>
            <w:tcW w:w="0" w:type="auto"/>
            <w:tcBorders>
              <w:left w:val="nil"/>
              <w:bottom w:val="single" w:sz="4" w:space="0" w:color="auto"/>
              <w:right w:val="nil"/>
            </w:tcBorders>
            <w:shd w:val="clear" w:color="000000" w:fill="FFFFFF"/>
            <w:noWrap/>
          </w:tcPr>
          <w:p w14:paraId="6E08EA3F" w14:textId="6EE8FFCE"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¥30541 </w:t>
            </w:r>
          </w:p>
        </w:tc>
        <w:tc>
          <w:tcPr>
            <w:tcW w:w="0" w:type="auto"/>
            <w:tcBorders>
              <w:left w:val="nil"/>
              <w:bottom w:val="single" w:sz="4" w:space="0" w:color="auto"/>
              <w:right w:val="nil"/>
            </w:tcBorders>
            <w:shd w:val="clear" w:color="000000" w:fill="FFFFFF"/>
            <w:noWrap/>
          </w:tcPr>
          <w:p w14:paraId="670F6D3E" w14:textId="04709AA3" w:rsidR="00BF310C" w:rsidRPr="00C76E19" w:rsidRDefault="00BF310C" w:rsidP="00AE2A93">
            <w:pPr>
              <w:snapToGrid w:val="0"/>
              <w:spacing w:line="360" w:lineRule="auto"/>
              <w:jc w:val="both"/>
              <w:rPr>
                <w:rFonts w:ascii="Book Antiqua" w:hAnsi="Book Antiqua"/>
                <w:color w:val="000000"/>
              </w:rPr>
            </w:pPr>
            <w:r w:rsidRPr="00C76E19">
              <w:rPr>
                <w:rFonts w:ascii="Book Antiqua" w:eastAsia="等线" w:hAnsi="Book Antiqua"/>
                <w:color w:val="000000"/>
              </w:rPr>
              <w:t xml:space="preserve">¥12503 </w:t>
            </w:r>
          </w:p>
        </w:tc>
        <w:tc>
          <w:tcPr>
            <w:tcW w:w="0" w:type="auto"/>
            <w:tcBorders>
              <w:left w:val="nil"/>
              <w:bottom w:val="single" w:sz="4" w:space="0" w:color="auto"/>
              <w:right w:val="nil"/>
            </w:tcBorders>
            <w:shd w:val="clear" w:color="000000" w:fill="FFFFFF"/>
            <w:noWrap/>
          </w:tcPr>
          <w:p w14:paraId="55DED530" w14:textId="18E42BCA" w:rsidR="00BF310C" w:rsidRPr="00C76E19" w:rsidRDefault="00BF310C" w:rsidP="00AE2A93">
            <w:pPr>
              <w:snapToGrid w:val="0"/>
              <w:spacing w:line="360" w:lineRule="auto"/>
              <w:jc w:val="both"/>
              <w:rPr>
                <w:rFonts w:ascii="Book Antiqua" w:hAnsi="Book Antiqua"/>
                <w:color w:val="000000"/>
              </w:rPr>
            </w:pPr>
            <w:r w:rsidRPr="00C76E19">
              <w:rPr>
                <w:rFonts w:ascii="Book Antiqua" w:hAnsi="Book Antiqua"/>
                <w:color w:val="000000"/>
              </w:rPr>
              <w:t>&lt;</w:t>
            </w:r>
            <w:r w:rsidR="0011453C" w:rsidRPr="00C76E19">
              <w:rPr>
                <w:rFonts w:ascii="Book Antiqua" w:hAnsi="Book Antiqua"/>
                <w:color w:val="000000"/>
              </w:rPr>
              <w:t xml:space="preserve"> </w:t>
            </w:r>
            <w:r w:rsidRPr="00C76E19">
              <w:rPr>
                <w:rFonts w:ascii="Book Antiqua" w:hAnsi="Book Antiqua"/>
                <w:color w:val="000000"/>
              </w:rPr>
              <w:t>0.001</w:t>
            </w:r>
          </w:p>
        </w:tc>
      </w:tr>
    </w:tbl>
    <w:p w14:paraId="5FC0F9B8" w14:textId="5BFB2853" w:rsidR="0051080B" w:rsidRPr="00C76E19" w:rsidRDefault="0051080B" w:rsidP="00AE2A93">
      <w:pPr>
        <w:snapToGrid w:val="0"/>
        <w:spacing w:line="360" w:lineRule="auto"/>
        <w:jc w:val="both"/>
        <w:rPr>
          <w:rFonts w:ascii="Book Antiqua" w:eastAsia="Book Antiqua" w:hAnsi="Book Antiqua" w:cs="Book Antiqua"/>
          <w:color w:val="000000"/>
        </w:rPr>
      </w:pPr>
      <w:r w:rsidRPr="00C76E19">
        <w:rPr>
          <w:rFonts w:ascii="Book Antiqua" w:hAnsi="Book Antiqua"/>
          <w:vertAlign w:val="superscript"/>
          <w:lang w:eastAsia="zh-CN"/>
        </w:rPr>
        <w:t>b</w:t>
      </w:r>
      <w:r w:rsidRPr="00C76E19">
        <w:rPr>
          <w:rFonts w:ascii="Book Antiqua" w:hAnsi="Book Antiqua"/>
          <w:i/>
          <w:iCs/>
          <w:lang w:eastAsia="zh-CN"/>
        </w:rPr>
        <w:t>P</w:t>
      </w:r>
      <w:r w:rsidRPr="00C76E19">
        <w:rPr>
          <w:rFonts w:ascii="Book Antiqua" w:hAnsi="Book Antiqua"/>
          <w:lang w:eastAsia="zh-CN"/>
        </w:rPr>
        <w:t xml:space="preserve"> &lt; 0.01. </w:t>
      </w:r>
      <w:r w:rsidR="002B5BCF" w:rsidRPr="00471063">
        <w:rPr>
          <w:rFonts w:ascii="Book Antiqua" w:eastAsia="Book Antiqua" w:hAnsi="Book Antiqua" w:cs="Book Antiqua"/>
          <w:color w:val="000000"/>
        </w:rPr>
        <w:t xml:space="preserve">CMT: Conventional maintenance therapy; </w:t>
      </w:r>
      <w:r w:rsidRPr="002B5BCF">
        <w:rPr>
          <w:rFonts w:ascii="Book Antiqua" w:eastAsia="Book Antiqua" w:hAnsi="Book Antiqua" w:cs="Book Antiqua"/>
          <w:color w:val="000000"/>
        </w:rPr>
        <w:t xml:space="preserve">IMT: Infliximab maintenance therapy; </w:t>
      </w:r>
      <w:r w:rsidRPr="00C76E19">
        <w:rPr>
          <w:rFonts w:ascii="Book Antiqua" w:eastAsia="Book Antiqua" w:hAnsi="Book Antiqua" w:cs="Book Antiqua"/>
          <w:color w:val="000000"/>
        </w:rPr>
        <w:t>SD: Standard deviation.</w:t>
      </w:r>
    </w:p>
    <w:p w14:paraId="2E34FCFE" w14:textId="7E7D0420" w:rsidR="00BF310C" w:rsidRPr="00C76E19" w:rsidRDefault="0051080B" w:rsidP="00AE2A93">
      <w:pPr>
        <w:snapToGrid w:val="0"/>
        <w:spacing w:line="360" w:lineRule="auto"/>
        <w:jc w:val="both"/>
        <w:rPr>
          <w:rFonts w:ascii="Book Antiqua" w:hAnsi="Book Antiqua"/>
          <w:b/>
          <w:bCs/>
          <w:lang w:eastAsia="zh-CN"/>
        </w:rPr>
      </w:pPr>
      <w:r w:rsidRPr="00C76E19">
        <w:rPr>
          <w:rFonts w:ascii="Book Antiqua" w:hAnsi="Book Antiqua"/>
          <w:b/>
          <w:bCs/>
          <w:lang w:eastAsia="zh-CN"/>
        </w:rPr>
        <w:br w:type="page"/>
      </w:r>
      <w:r w:rsidRPr="00C76E19">
        <w:rPr>
          <w:rFonts w:ascii="Book Antiqua" w:hAnsi="Book Antiqua"/>
          <w:b/>
          <w:bCs/>
        </w:rPr>
        <w:t xml:space="preserve">Table 3 Summary of the multivariable regression analyses for clinical outcomes in the included </w:t>
      </w:r>
      <w:r w:rsidRPr="00C76E19">
        <w:rPr>
          <w:rFonts w:ascii="Book Antiqua" w:eastAsia="Book Antiqua" w:hAnsi="Book Antiqua" w:cs="Book Antiqua"/>
          <w:b/>
          <w:bCs/>
          <w:color w:val="000000"/>
        </w:rPr>
        <w:t>moderate to severe Crohn’s disease</w:t>
      </w:r>
      <w:r w:rsidRPr="00C76E19">
        <w:rPr>
          <w:rFonts w:ascii="Book Antiqua" w:hAnsi="Book Antiqua"/>
          <w:b/>
          <w:bCs/>
        </w:rPr>
        <w:t xml:space="preserve"> patients</w:t>
      </w:r>
    </w:p>
    <w:tbl>
      <w:tblPr>
        <w:tblW w:w="5000" w:type="pct"/>
        <w:tblLayout w:type="fixed"/>
        <w:tblLook w:val="04A0" w:firstRow="1" w:lastRow="0" w:firstColumn="1" w:lastColumn="0" w:noHBand="0" w:noVBand="1"/>
      </w:tblPr>
      <w:tblGrid>
        <w:gridCol w:w="1913"/>
        <w:gridCol w:w="338"/>
        <w:gridCol w:w="545"/>
        <w:gridCol w:w="544"/>
        <w:gridCol w:w="544"/>
        <w:gridCol w:w="484"/>
        <w:gridCol w:w="62"/>
        <w:gridCol w:w="546"/>
        <w:gridCol w:w="546"/>
        <w:gridCol w:w="546"/>
        <w:gridCol w:w="546"/>
        <w:gridCol w:w="546"/>
        <w:gridCol w:w="8"/>
        <w:gridCol w:w="538"/>
        <w:gridCol w:w="546"/>
        <w:gridCol w:w="546"/>
        <w:gridCol w:w="546"/>
        <w:gridCol w:w="611"/>
        <w:gridCol w:w="362"/>
        <w:gridCol w:w="921"/>
        <w:gridCol w:w="501"/>
        <w:gridCol w:w="503"/>
        <w:gridCol w:w="618"/>
        <w:gridCol w:w="100"/>
        <w:tblGridChange w:id="4">
          <w:tblGrid>
            <w:gridCol w:w="1913"/>
            <w:gridCol w:w="338"/>
            <w:gridCol w:w="545"/>
            <w:gridCol w:w="544"/>
            <w:gridCol w:w="544"/>
            <w:gridCol w:w="484"/>
            <w:gridCol w:w="62"/>
            <w:gridCol w:w="546"/>
            <w:gridCol w:w="546"/>
            <w:gridCol w:w="546"/>
            <w:gridCol w:w="546"/>
            <w:gridCol w:w="546"/>
            <w:gridCol w:w="8"/>
            <w:gridCol w:w="538"/>
            <w:gridCol w:w="546"/>
            <w:gridCol w:w="546"/>
            <w:gridCol w:w="546"/>
            <w:gridCol w:w="611"/>
            <w:gridCol w:w="362"/>
            <w:gridCol w:w="921"/>
            <w:gridCol w:w="501"/>
            <w:gridCol w:w="503"/>
            <w:gridCol w:w="618"/>
            <w:gridCol w:w="100"/>
          </w:tblGrid>
        </w:tblGridChange>
      </w:tblGrid>
      <w:tr w:rsidR="000C7DB4" w:rsidRPr="00C76E19" w14:paraId="1E16AB13" w14:textId="77777777" w:rsidTr="00573D81">
        <w:tc>
          <w:tcPr>
            <w:tcW w:w="1959" w:type="dxa"/>
            <w:tcBorders>
              <w:top w:val="single" w:sz="4" w:space="0" w:color="auto"/>
              <w:left w:val="nil"/>
              <w:bottom w:val="single" w:sz="4" w:space="0" w:color="auto"/>
              <w:right w:val="nil"/>
            </w:tcBorders>
            <w:shd w:val="clear" w:color="000000" w:fill="FFFFFF"/>
            <w:noWrap/>
            <w:hideMark/>
          </w:tcPr>
          <w:p w14:paraId="4B4C308B"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Outcome type </w:t>
            </w:r>
          </w:p>
        </w:tc>
        <w:tc>
          <w:tcPr>
            <w:tcW w:w="2493" w:type="dxa"/>
            <w:gridSpan w:val="5"/>
            <w:tcBorders>
              <w:top w:val="single" w:sz="4" w:space="0" w:color="auto"/>
              <w:left w:val="nil"/>
              <w:bottom w:val="single" w:sz="4" w:space="0" w:color="auto"/>
              <w:right w:val="nil"/>
            </w:tcBorders>
            <w:shd w:val="clear" w:color="000000" w:fill="FFFFFF"/>
            <w:noWrap/>
            <w:hideMark/>
          </w:tcPr>
          <w:p w14:paraId="249C78B8"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Disease remission </w:t>
            </w:r>
          </w:p>
        </w:tc>
        <w:tc>
          <w:tcPr>
            <w:tcW w:w="2841" w:type="dxa"/>
            <w:gridSpan w:val="7"/>
            <w:tcBorders>
              <w:top w:val="single" w:sz="4" w:space="0" w:color="auto"/>
              <w:left w:val="nil"/>
              <w:bottom w:val="single" w:sz="4" w:space="0" w:color="auto"/>
              <w:right w:val="nil"/>
            </w:tcBorders>
            <w:shd w:val="clear" w:color="000000" w:fill="FFFFFF"/>
            <w:noWrap/>
            <w:hideMark/>
          </w:tcPr>
          <w:p w14:paraId="3F7F56BA"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CD-related surgery </w:t>
            </w:r>
          </w:p>
        </w:tc>
        <w:tc>
          <w:tcPr>
            <w:tcW w:w="2829" w:type="dxa"/>
            <w:gridSpan w:val="5"/>
            <w:tcBorders>
              <w:top w:val="single" w:sz="4" w:space="0" w:color="auto"/>
              <w:left w:val="nil"/>
              <w:bottom w:val="single" w:sz="4" w:space="0" w:color="auto"/>
              <w:right w:val="nil"/>
            </w:tcBorders>
            <w:shd w:val="clear" w:color="000000" w:fill="FFFFFF"/>
            <w:noWrap/>
            <w:hideMark/>
          </w:tcPr>
          <w:p w14:paraId="0C40A409"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CD-related complications </w:t>
            </w:r>
          </w:p>
        </w:tc>
        <w:tc>
          <w:tcPr>
            <w:tcW w:w="3054" w:type="dxa"/>
            <w:gridSpan w:val="6"/>
            <w:tcBorders>
              <w:top w:val="single" w:sz="4" w:space="0" w:color="auto"/>
              <w:left w:val="nil"/>
              <w:bottom w:val="single" w:sz="4" w:space="0" w:color="auto"/>
              <w:right w:val="nil"/>
            </w:tcBorders>
            <w:shd w:val="clear" w:color="000000" w:fill="FFFFFF"/>
            <w:noWrap/>
            <w:hideMark/>
          </w:tcPr>
          <w:p w14:paraId="38F4B027" w14:textId="33E10D31"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Utility</w:t>
            </w:r>
            <w:r w:rsidR="002B5BCF">
              <w:rPr>
                <w:rFonts w:ascii="Book Antiqua" w:hAnsi="Book Antiqua"/>
                <w:b/>
                <w:bCs/>
                <w:color w:val="000000"/>
              </w:rPr>
              <w:t>,</w:t>
            </w:r>
            <w:r w:rsidRPr="00AE2A93">
              <w:rPr>
                <w:rFonts w:ascii="Book Antiqua" w:hAnsi="Book Antiqua"/>
                <w:b/>
                <w:bCs/>
                <w:color w:val="000000"/>
              </w:rPr>
              <w:t xml:space="preserve"> quality of life</w:t>
            </w:r>
          </w:p>
        </w:tc>
      </w:tr>
      <w:tr w:rsidR="000C7DB4" w:rsidRPr="00C76E19" w14:paraId="446F1F4A" w14:textId="77777777" w:rsidTr="00573D81">
        <w:tc>
          <w:tcPr>
            <w:tcW w:w="1959" w:type="dxa"/>
            <w:tcBorders>
              <w:top w:val="nil"/>
              <w:left w:val="nil"/>
              <w:bottom w:val="single" w:sz="4" w:space="0" w:color="auto"/>
              <w:right w:val="nil"/>
            </w:tcBorders>
            <w:shd w:val="clear" w:color="000000" w:fill="FFFFFF"/>
            <w:noWrap/>
            <w:hideMark/>
          </w:tcPr>
          <w:p w14:paraId="66ADC8BF"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Regression analysis method </w:t>
            </w:r>
          </w:p>
        </w:tc>
        <w:tc>
          <w:tcPr>
            <w:tcW w:w="2493" w:type="dxa"/>
            <w:gridSpan w:val="5"/>
            <w:tcBorders>
              <w:top w:val="nil"/>
              <w:left w:val="nil"/>
              <w:bottom w:val="single" w:sz="4" w:space="0" w:color="auto"/>
              <w:right w:val="nil"/>
            </w:tcBorders>
            <w:shd w:val="clear" w:color="000000" w:fill="FFFFFF"/>
            <w:noWrap/>
            <w:hideMark/>
          </w:tcPr>
          <w:p w14:paraId="49E7DE2C"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Logistic regression analysis </w:t>
            </w:r>
          </w:p>
        </w:tc>
        <w:tc>
          <w:tcPr>
            <w:tcW w:w="2841" w:type="dxa"/>
            <w:gridSpan w:val="7"/>
            <w:tcBorders>
              <w:top w:val="nil"/>
              <w:left w:val="nil"/>
              <w:bottom w:val="single" w:sz="4" w:space="0" w:color="auto"/>
              <w:right w:val="nil"/>
            </w:tcBorders>
            <w:shd w:val="clear" w:color="000000" w:fill="FFFFFF"/>
            <w:noWrap/>
            <w:hideMark/>
          </w:tcPr>
          <w:p w14:paraId="2EFB0889"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Logistic regression analysis </w:t>
            </w:r>
          </w:p>
        </w:tc>
        <w:tc>
          <w:tcPr>
            <w:tcW w:w="2829" w:type="dxa"/>
            <w:gridSpan w:val="5"/>
            <w:tcBorders>
              <w:top w:val="nil"/>
              <w:left w:val="nil"/>
              <w:bottom w:val="single" w:sz="4" w:space="0" w:color="auto"/>
              <w:right w:val="nil"/>
            </w:tcBorders>
            <w:shd w:val="clear" w:color="000000" w:fill="FFFFFF"/>
            <w:noWrap/>
            <w:hideMark/>
          </w:tcPr>
          <w:p w14:paraId="1B32D145"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Logistic regression analysis </w:t>
            </w:r>
          </w:p>
        </w:tc>
        <w:tc>
          <w:tcPr>
            <w:tcW w:w="3054" w:type="dxa"/>
            <w:gridSpan w:val="6"/>
            <w:tcBorders>
              <w:top w:val="single" w:sz="4" w:space="0" w:color="auto"/>
              <w:left w:val="nil"/>
              <w:bottom w:val="single" w:sz="4" w:space="0" w:color="auto"/>
              <w:right w:val="nil"/>
            </w:tcBorders>
            <w:shd w:val="clear" w:color="000000" w:fill="FFFFFF"/>
            <w:noWrap/>
            <w:hideMark/>
          </w:tcPr>
          <w:p w14:paraId="2BD9250D"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Beta-binomial regression analysis </w:t>
            </w:r>
          </w:p>
        </w:tc>
      </w:tr>
      <w:tr w:rsidR="00AE2A93" w:rsidRPr="00C76E19" w14:paraId="36A1818F" w14:textId="77777777" w:rsidTr="002B5BCF">
        <w:trPr>
          <w:gridAfter w:val="1"/>
          <w:wAfter w:w="103" w:type="dxa"/>
        </w:trPr>
        <w:tc>
          <w:tcPr>
            <w:tcW w:w="1959" w:type="dxa"/>
            <w:vMerge w:val="restart"/>
            <w:tcBorders>
              <w:top w:val="nil"/>
              <w:left w:val="nil"/>
              <w:bottom w:val="single" w:sz="4" w:space="0" w:color="000000"/>
              <w:right w:val="nil"/>
            </w:tcBorders>
            <w:shd w:val="clear" w:color="000000" w:fill="FFFFFF"/>
            <w:noWrap/>
            <w:hideMark/>
          </w:tcPr>
          <w:p w14:paraId="7610433B"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Independent variables </w:t>
            </w:r>
          </w:p>
        </w:tc>
        <w:tc>
          <w:tcPr>
            <w:tcW w:w="342" w:type="dxa"/>
            <w:vMerge w:val="restart"/>
            <w:tcBorders>
              <w:top w:val="nil"/>
              <w:left w:val="nil"/>
              <w:bottom w:val="single" w:sz="4" w:space="0" w:color="000000"/>
              <w:right w:val="nil"/>
            </w:tcBorders>
            <w:shd w:val="clear" w:color="000000" w:fill="FFFFFF"/>
            <w:noWrap/>
            <w:hideMark/>
          </w:tcPr>
          <w:p w14:paraId="5DB35D92"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Sample size</w:t>
            </w:r>
          </w:p>
        </w:tc>
        <w:tc>
          <w:tcPr>
            <w:tcW w:w="554" w:type="dxa"/>
            <w:vMerge w:val="restart"/>
            <w:tcBorders>
              <w:top w:val="single" w:sz="4" w:space="0" w:color="auto"/>
              <w:left w:val="nil"/>
              <w:bottom w:val="single" w:sz="4" w:space="0" w:color="auto"/>
              <w:right w:val="nil"/>
            </w:tcBorders>
            <w:shd w:val="clear" w:color="000000" w:fill="FFFFFF"/>
            <w:noWrap/>
            <w:hideMark/>
          </w:tcPr>
          <w:p w14:paraId="4519800F"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OR</w:t>
            </w:r>
          </w:p>
        </w:tc>
        <w:tc>
          <w:tcPr>
            <w:tcW w:w="1106" w:type="dxa"/>
            <w:gridSpan w:val="2"/>
            <w:tcBorders>
              <w:top w:val="single" w:sz="4" w:space="0" w:color="auto"/>
              <w:left w:val="nil"/>
              <w:bottom w:val="single" w:sz="4" w:space="0" w:color="auto"/>
              <w:right w:val="nil"/>
            </w:tcBorders>
            <w:shd w:val="clear" w:color="000000" w:fill="FFFFFF"/>
            <w:noWrap/>
            <w:hideMark/>
          </w:tcPr>
          <w:p w14:paraId="7E528701" w14:textId="5BC3E8C4"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95%CI</w:t>
            </w:r>
          </w:p>
        </w:tc>
        <w:tc>
          <w:tcPr>
            <w:tcW w:w="554" w:type="dxa"/>
            <w:gridSpan w:val="2"/>
            <w:vMerge w:val="restart"/>
            <w:tcBorders>
              <w:top w:val="nil"/>
              <w:left w:val="nil"/>
              <w:bottom w:val="single" w:sz="4" w:space="0" w:color="000000"/>
              <w:right w:val="nil"/>
            </w:tcBorders>
            <w:shd w:val="clear" w:color="000000" w:fill="FFFFFF"/>
            <w:noWrap/>
            <w:hideMark/>
          </w:tcPr>
          <w:p w14:paraId="3F121D1C"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i/>
                <w:iCs/>
                <w:color w:val="000000"/>
              </w:rPr>
              <w:t>P</w:t>
            </w:r>
            <w:r w:rsidRPr="00AE2A93">
              <w:rPr>
                <w:rFonts w:ascii="Book Antiqua" w:hAnsi="Book Antiqua"/>
                <w:b/>
                <w:bCs/>
                <w:color w:val="000000"/>
              </w:rPr>
              <w:t xml:space="preserve"> value </w:t>
            </w:r>
          </w:p>
        </w:tc>
        <w:tc>
          <w:tcPr>
            <w:tcW w:w="554" w:type="dxa"/>
            <w:vMerge w:val="restart"/>
            <w:tcBorders>
              <w:top w:val="nil"/>
              <w:left w:val="nil"/>
              <w:bottom w:val="single" w:sz="4" w:space="0" w:color="000000"/>
              <w:right w:val="nil"/>
            </w:tcBorders>
            <w:shd w:val="clear" w:color="000000" w:fill="FFFFFF"/>
            <w:noWrap/>
            <w:hideMark/>
          </w:tcPr>
          <w:p w14:paraId="00D35851"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Sample size</w:t>
            </w:r>
          </w:p>
        </w:tc>
        <w:tc>
          <w:tcPr>
            <w:tcW w:w="554" w:type="dxa"/>
            <w:vMerge w:val="restart"/>
            <w:tcBorders>
              <w:top w:val="single" w:sz="4" w:space="0" w:color="auto"/>
              <w:left w:val="nil"/>
              <w:bottom w:val="single" w:sz="4" w:space="0" w:color="auto"/>
              <w:right w:val="nil"/>
            </w:tcBorders>
            <w:shd w:val="clear" w:color="000000" w:fill="FFFFFF"/>
            <w:noWrap/>
            <w:hideMark/>
          </w:tcPr>
          <w:p w14:paraId="46EFC7DC"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OR</w:t>
            </w:r>
          </w:p>
        </w:tc>
        <w:tc>
          <w:tcPr>
            <w:tcW w:w="1108" w:type="dxa"/>
            <w:gridSpan w:val="2"/>
            <w:tcBorders>
              <w:top w:val="single" w:sz="4" w:space="0" w:color="auto"/>
              <w:left w:val="nil"/>
              <w:bottom w:val="single" w:sz="4" w:space="0" w:color="auto"/>
              <w:right w:val="nil"/>
            </w:tcBorders>
            <w:shd w:val="clear" w:color="000000" w:fill="FFFFFF"/>
            <w:noWrap/>
            <w:hideMark/>
          </w:tcPr>
          <w:p w14:paraId="77D311BF" w14:textId="05C58A7D"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95%CI</w:t>
            </w:r>
          </w:p>
        </w:tc>
        <w:tc>
          <w:tcPr>
            <w:tcW w:w="554" w:type="dxa"/>
            <w:vMerge w:val="restart"/>
            <w:tcBorders>
              <w:top w:val="nil"/>
              <w:left w:val="nil"/>
              <w:bottom w:val="single" w:sz="4" w:space="0" w:color="000000"/>
              <w:right w:val="nil"/>
            </w:tcBorders>
            <w:shd w:val="clear" w:color="000000" w:fill="FFFFFF"/>
            <w:noWrap/>
            <w:hideMark/>
          </w:tcPr>
          <w:p w14:paraId="775CB4FC"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i/>
                <w:iCs/>
                <w:color w:val="000000"/>
              </w:rPr>
              <w:t>P</w:t>
            </w:r>
            <w:r w:rsidRPr="00AE2A93">
              <w:rPr>
                <w:rFonts w:ascii="Book Antiqua" w:hAnsi="Book Antiqua"/>
                <w:b/>
                <w:bCs/>
                <w:color w:val="000000"/>
              </w:rPr>
              <w:t xml:space="preserve"> value </w:t>
            </w:r>
          </w:p>
        </w:tc>
        <w:tc>
          <w:tcPr>
            <w:tcW w:w="554" w:type="dxa"/>
            <w:gridSpan w:val="2"/>
            <w:vMerge w:val="restart"/>
            <w:tcBorders>
              <w:top w:val="nil"/>
              <w:left w:val="nil"/>
              <w:bottom w:val="single" w:sz="4" w:space="0" w:color="000000"/>
              <w:right w:val="nil"/>
            </w:tcBorders>
            <w:shd w:val="clear" w:color="000000" w:fill="FFFFFF"/>
            <w:noWrap/>
            <w:hideMark/>
          </w:tcPr>
          <w:p w14:paraId="77C15EF2"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Sample size</w:t>
            </w:r>
          </w:p>
        </w:tc>
        <w:tc>
          <w:tcPr>
            <w:tcW w:w="554" w:type="dxa"/>
            <w:vMerge w:val="restart"/>
            <w:tcBorders>
              <w:top w:val="single" w:sz="4" w:space="0" w:color="auto"/>
              <w:left w:val="nil"/>
              <w:bottom w:val="single" w:sz="4" w:space="0" w:color="auto"/>
              <w:right w:val="nil"/>
            </w:tcBorders>
            <w:shd w:val="clear" w:color="000000" w:fill="FFFFFF"/>
            <w:noWrap/>
            <w:hideMark/>
          </w:tcPr>
          <w:p w14:paraId="5064628C"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OR</w:t>
            </w:r>
          </w:p>
        </w:tc>
        <w:tc>
          <w:tcPr>
            <w:tcW w:w="1108" w:type="dxa"/>
            <w:gridSpan w:val="2"/>
            <w:tcBorders>
              <w:top w:val="single" w:sz="4" w:space="0" w:color="auto"/>
              <w:left w:val="nil"/>
              <w:bottom w:val="single" w:sz="4" w:space="0" w:color="auto"/>
              <w:right w:val="nil"/>
            </w:tcBorders>
            <w:shd w:val="clear" w:color="000000" w:fill="FFFFFF"/>
            <w:noWrap/>
            <w:hideMark/>
          </w:tcPr>
          <w:p w14:paraId="36257FC8" w14:textId="065E8460"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95%CI</w:t>
            </w:r>
          </w:p>
        </w:tc>
        <w:tc>
          <w:tcPr>
            <w:tcW w:w="621" w:type="dxa"/>
            <w:vMerge w:val="restart"/>
            <w:tcBorders>
              <w:top w:val="nil"/>
              <w:left w:val="nil"/>
              <w:bottom w:val="single" w:sz="4" w:space="0" w:color="000000"/>
              <w:right w:val="nil"/>
            </w:tcBorders>
            <w:shd w:val="clear" w:color="000000" w:fill="FFFFFF"/>
            <w:noWrap/>
            <w:hideMark/>
          </w:tcPr>
          <w:p w14:paraId="57A3FD36"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i/>
                <w:iCs/>
                <w:color w:val="000000"/>
              </w:rPr>
              <w:t>P</w:t>
            </w:r>
            <w:r w:rsidRPr="00AE2A93">
              <w:rPr>
                <w:rFonts w:ascii="Book Antiqua" w:hAnsi="Book Antiqua"/>
                <w:b/>
                <w:bCs/>
                <w:color w:val="000000"/>
              </w:rPr>
              <w:t xml:space="preserve"> value </w:t>
            </w:r>
          </w:p>
        </w:tc>
        <w:tc>
          <w:tcPr>
            <w:tcW w:w="365" w:type="dxa"/>
            <w:vMerge w:val="restart"/>
            <w:tcBorders>
              <w:top w:val="nil"/>
              <w:left w:val="nil"/>
              <w:bottom w:val="single" w:sz="4" w:space="0" w:color="000000"/>
              <w:right w:val="nil"/>
            </w:tcBorders>
            <w:shd w:val="clear" w:color="000000" w:fill="FFFFFF"/>
            <w:noWrap/>
            <w:hideMark/>
          </w:tcPr>
          <w:p w14:paraId="34E4AB54"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Sample size</w:t>
            </w:r>
          </w:p>
        </w:tc>
        <w:tc>
          <w:tcPr>
            <w:tcW w:w="940" w:type="dxa"/>
            <w:vMerge w:val="restart"/>
            <w:tcBorders>
              <w:top w:val="single" w:sz="4" w:space="0" w:color="auto"/>
              <w:left w:val="nil"/>
              <w:bottom w:val="single" w:sz="4" w:space="0" w:color="auto"/>
              <w:right w:val="nil"/>
            </w:tcBorders>
            <w:shd w:val="clear" w:color="000000" w:fill="FFFFFF"/>
            <w:noWrap/>
            <w:hideMark/>
          </w:tcPr>
          <w:p w14:paraId="438D83F7"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Coefficient </w:t>
            </w:r>
          </w:p>
        </w:tc>
        <w:tc>
          <w:tcPr>
            <w:tcW w:w="1018" w:type="dxa"/>
            <w:gridSpan w:val="2"/>
            <w:tcBorders>
              <w:top w:val="single" w:sz="4" w:space="0" w:color="auto"/>
              <w:left w:val="nil"/>
              <w:bottom w:val="single" w:sz="6" w:space="0" w:color="auto"/>
              <w:right w:val="nil"/>
            </w:tcBorders>
            <w:shd w:val="clear" w:color="000000" w:fill="FFFFFF"/>
            <w:noWrap/>
            <w:hideMark/>
          </w:tcPr>
          <w:p w14:paraId="270C7B64" w14:textId="73091BBB"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95%CI</w:t>
            </w:r>
          </w:p>
        </w:tc>
        <w:tc>
          <w:tcPr>
            <w:tcW w:w="628" w:type="dxa"/>
            <w:vMerge w:val="restart"/>
            <w:tcBorders>
              <w:top w:val="nil"/>
              <w:left w:val="nil"/>
              <w:bottom w:val="single" w:sz="4" w:space="0" w:color="000000"/>
              <w:right w:val="nil"/>
            </w:tcBorders>
            <w:shd w:val="clear" w:color="000000" w:fill="FFFFFF"/>
            <w:noWrap/>
            <w:hideMark/>
          </w:tcPr>
          <w:p w14:paraId="24E66AF2" w14:textId="77777777" w:rsidR="00F708F6" w:rsidRPr="00AE2A93" w:rsidRDefault="00F708F6" w:rsidP="00AE2A93">
            <w:pPr>
              <w:snapToGrid w:val="0"/>
              <w:spacing w:line="360" w:lineRule="auto"/>
              <w:jc w:val="both"/>
              <w:rPr>
                <w:rFonts w:ascii="Book Antiqua" w:hAnsi="Book Antiqua"/>
                <w:i/>
                <w:iCs/>
                <w:color w:val="000000"/>
              </w:rPr>
            </w:pPr>
            <w:r w:rsidRPr="00AE2A93">
              <w:rPr>
                <w:rFonts w:ascii="Book Antiqua" w:hAnsi="Book Antiqua"/>
                <w:b/>
                <w:bCs/>
                <w:i/>
                <w:iCs/>
                <w:color w:val="000000"/>
              </w:rPr>
              <w:t>P</w:t>
            </w:r>
            <w:r w:rsidRPr="00AE2A93">
              <w:rPr>
                <w:rFonts w:ascii="Book Antiqua" w:hAnsi="Book Antiqua"/>
                <w:b/>
                <w:bCs/>
                <w:color w:val="000000"/>
              </w:rPr>
              <w:t xml:space="preserve"> value </w:t>
            </w:r>
          </w:p>
        </w:tc>
      </w:tr>
      <w:tr w:rsidR="00AE2A93" w:rsidRPr="00C76E19" w14:paraId="5FC503DB" w14:textId="77777777" w:rsidTr="002B5BCF">
        <w:trPr>
          <w:gridAfter w:val="1"/>
          <w:wAfter w:w="103" w:type="dxa"/>
        </w:trPr>
        <w:tc>
          <w:tcPr>
            <w:tcW w:w="1959" w:type="dxa"/>
            <w:vMerge/>
            <w:tcBorders>
              <w:top w:val="single" w:sz="6" w:space="0" w:color="auto"/>
              <w:left w:val="nil"/>
              <w:bottom w:val="single" w:sz="4" w:space="0" w:color="000000"/>
              <w:right w:val="nil"/>
            </w:tcBorders>
            <w:hideMark/>
          </w:tcPr>
          <w:p w14:paraId="6CF414E7" w14:textId="77777777" w:rsidR="00F708F6" w:rsidRPr="00AE2A93" w:rsidRDefault="00F708F6" w:rsidP="00AE2A93">
            <w:pPr>
              <w:snapToGrid w:val="0"/>
              <w:spacing w:line="360" w:lineRule="auto"/>
              <w:jc w:val="both"/>
              <w:rPr>
                <w:rFonts w:ascii="Book Antiqua" w:hAnsi="Book Antiqua"/>
                <w:b/>
                <w:bCs/>
                <w:color w:val="000000"/>
              </w:rPr>
            </w:pPr>
          </w:p>
        </w:tc>
        <w:tc>
          <w:tcPr>
            <w:tcW w:w="342" w:type="dxa"/>
            <w:vMerge/>
            <w:tcBorders>
              <w:top w:val="single" w:sz="6" w:space="0" w:color="auto"/>
              <w:left w:val="nil"/>
              <w:bottom w:val="single" w:sz="4" w:space="0" w:color="000000"/>
              <w:right w:val="nil"/>
            </w:tcBorders>
            <w:hideMark/>
          </w:tcPr>
          <w:p w14:paraId="3314E0CE" w14:textId="77777777" w:rsidR="00F708F6" w:rsidRPr="00AE2A93" w:rsidRDefault="00F708F6" w:rsidP="00AE2A93">
            <w:pPr>
              <w:snapToGrid w:val="0"/>
              <w:spacing w:line="360" w:lineRule="auto"/>
              <w:jc w:val="both"/>
              <w:rPr>
                <w:rFonts w:ascii="Book Antiqua" w:hAnsi="Book Antiqua"/>
                <w:b/>
                <w:bCs/>
                <w:color w:val="000000"/>
              </w:rPr>
            </w:pPr>
          </w:p>
        </w:tc>
        <w:tc>
          <w:tcPr>
            <w:tcW w:w="554" w:type="dxa"/>
            <w:vMerge/>
            <w:tcBorders>
              <w:top w:val="single" w:sz="6" w:space="0" w:color="auto"/>
              <w:left w:val="nil"/>
              <w:bottom w:val="single" w:sz="4" w:space="0" w:color="auto"/>
              <w:right w:val="nil"/>
            </w:tcBorders>
            <w:hideMark/>
          </w:tcPr>
          <w:p w14:paraId="43011860" w14:textId="77777777" w:rsidR="00F708F6" w:rsidRPr="00AE2A93" w:rsidRDefault="00F708F6" w:rsidP="00AE2A93">
            <w:pPr>
              <w:snapToGrid w:val="0"/>
              <w:spacing w:line="360" w:lineRule="auto"/>
              <w:jc w:val="both"/>
              <w:rPr>
                <w:rFonts w:ascii="Book Antiqua" w:hAnsi="Book Antiqua"/>
                <w:b/>
                <w:bCs/>
                <w:color w:val="000000"/>
              </w:rPr>
            </w:pPr>
          </w:p>
        </w:tc>
        <w:tc>
          <w:tcPr>
            <w:tcW w:w="553" w:type="dxa"/>
            <w:tcBorders>
              <w:top w:val="single" w:sz="6" w:space="0" w:color="auto"/>
              <w:left w:val="nil"/>
              <w:bottom w:val="single" w:sz="4" w:space="0" w:color="auto"/>
              <w:right w:val="nil"/>
            </w:tcBorders>
            <w:shd w:val="clear" w:color="000000" w:fill="FFFFFF"/>
            <w:noWrap/>
            <w:hideMark/>
          </w:tcPr>
          <w:p w14:paraId="1C10F70A"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Lower </w:t>
            </w:r>
          </w:p>
        </w:tc>
        <w:tc>
          <w:tcPr>
            <w:tcW w:w="553" w:type="dxa"/>
            <w:tcBorders>
              <w:top w:val="single" w:sz="6" w:space="0" w:color="auto"/>
              <w:left w:val="nil"/>
              <w:bottom w:val="single" w:sz="4" w:space="0" w:color="auto"/>
              <w:right w:val="nil"/>
            </w:tcBorders>
            <w:shd w:val="clear" w:color="000000" w:fill="FFFFFF"/>
            <w:noWrap/>
            <w:hideMark/>
          </w:tcPr>
          <w:p w14:paraId="51E1FE24"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Upper</w:t>
            </w:r>
          </w:p>
        </w:tc>
        <w:tc>
          <w:tcPr>
            <w:tcW w:w="554" w:type="dxa"/>
            <w:gridSpan w:val="2"/>
            <w:vMerge/>
            <w:tcBorders>
              <w:top w:val="single" w:sz="6" w:space="0" w:color="auto"/>
              <w:left w:val="nil"/>
              <w:bottom w:val="single" w:sz="4" w:space="0" w:color="000000"/>
              <w:right w:val="nil"/>
            </w:tcBorders>
            <w:hideMark/>
          </w:tcPr>
          <w:p w14:paraId="65DF9E2A" w14:textId="77777777" w:rsidR="00F708F6" w:rsidRPr="00AE2A93" w:rsidRDefault="00F708F6" w:rsidP="00AE2A93">
            <w:pPr>
              <w:snapToGrid w:val="0"/>
              <w:spacing w:line="360" w:lineRule="auto"/>
              <w:jc w:val="both"/>
              <w:rPr>
                <w:rFonts w:ascii="Book Antiqua" w:hAnsi="Book Antiqua"/>
                <w:b/>
                <w:bCs/>
                <w:color w:val="000000"/>
              </w:rPr>
            </w:pPr>
          </w:p>
        </w:tc>
        <w:tc>
          <w:tcPr>
            <w:tcW w:w="554" w:type="dxa"/>
            <w:vMerge/>
            <w:tcBorders>
              <w:top w:val="single" w:sz="6" w:space="0" w:color="auto"/>
              <w:left w:val="nil"/>
              <w:bottom w:val="single" w:sz="4" w:space="0" w:color="000000"/>
              <w:right w:val="nil"/>
            </w:tcBorders>
            <w:hideMark/>
          </w:tcPr>
          <w:p w14:paraId="447BCD8A" w14:textId="77777777" w:rsidR="00F708F6" w:rsidRPr="00AE2A93" w:rsidRDefault="00F708F6" w:rsidP="00AE2A93">
            <w:pPr>
              <w:snapToGrid w:val="0"/>
              <w:spacing w:line="360" w:lineRule="auto"/>
              <w:jc w:val="both"/>
              <w:rPr>
                <w:rFonts w:ascii="Book Antiqua" w:hAnsi="Book Antiqua"/>
                <w:b/>
                <w:bCs/>
                <w:color w:val="000000"/>
              </w:rPr>
            </w:pPr>
          </w:p>
        </w:tc>
        <w:tc>
          <w:tcPr>
            <w:tcW w:w="554" w:type="dxa"/>
            <w:vMerge/>
            <w:tcBorders>
              <w:top w:val="single" w:sz="6" w:space="0" w:color="auto"/>
              <w:left w:val="nil"/>
              <w:bottom w:val="single" w:sz="4" w:space="0" w:color="auto"/>
              <w:right w:val="nil"/>
            </w:tcBorders>
            <w:hideMark/>
          </w:tcPr>
          <w:p w14:paraId="5C890085" w14:textId="77777777" w:rsidR="00F708F6" w:rsidRPr="00AE2A93" w:rsidRDefault="00F708F6" w:rsidP="00AE2A93">
            <w:pPr>
              <w:snapToGrid w:val="0"/>
              <w:spacing w:line="360" w:lineRule="auto"/>
              <w:jc w:val="both"/>
              <w:rPr>
                <w:rFonts w:ascii="Book Antiqua" w:hAnsi="Book Antiqua"/>
                <w:b/>
                <w:bCs/>
                <w:color w:val="000000"/>
              </w:rPr>
            </w:pPr>
          </w:p>
        </w:tc>
        <w:tc>
          <w:tcPr>
            <w:tcW w:w="554" w:type="dxa"/>
            <w:tcBorders>
              <w:top w:val="single" w:sz="6" w:space="0" w:color="auto"/>
              <w:left w:val="nil"/>
              <w:bottom w:val="single" w:sz="4" w:space="0" w:color="auto"/>
              <w:right w:val="nil"/>
            </w:tcBorders>
            <w:shd w:val="clear" w:color="000000" w:fill="FFFFFF"/>
            <w:noWrap/>
            <w:hideMark/>
          </w:tcPr>
          <w:p w14:paraId="0EE5E2E8"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Lower </w:t>
            </w:r>
          </w:p>
        </w:tc>
        <w:tc>
          <w:tcPr>
            <w:tcW w:w="554" w:type="dxa"/>
            <w:tcBorders>
              <w:top w:val="single" w:sz="6" w:space="0" w:color="auto"/>
              <w:left w:val="nil"/>
              <w:bottom w:val="single" w:sz="4" w:space="0" w:color="auto"/>
              <w:right w:val="nil"/>
            </w:tcBorders>
            <w:shd w:val="clear" w:color="000000" w:fill="FFFFFF"/>
            <w:noWrap/>
            <w:hideMark/>
          </w:tcPr>
          <w:p w14:paraId="243EAA09"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Upper</w:t>
            </w:r>
          </w:p>
        </w:tc>
        <w:tc>
          <w:tcPr>
            <w:tcW w:w="554" w:type="dxa"/>
            <w:vMerge/>
            <w:tcBorders>
              <w:top w:val="single" w:sz="6" w:space="0" w:color="auto"/>
              <w:left w:val="nil"/>
              <w:bottom w:val="single" w:sz="4" w:space="0" w:color="000000"/>
              <w:right w:val="nil"/>
            </w:tcBorders>
            <w:hideMark/>
          </w:tcPr>
          <w:p w14:paraId="130DE740" w14:textId="77777777" w:rsidR="00F708F6" w:rsidRPr="00AE2A93" w:rsidRDefault="00F708F6" w:rsidP="00AE2A93">
            <w:pPr>
              <w:snapToGrid w:val="0"/>
              <w:spacing w:line="360" w:lineRule="auto"/>
              <w:jc w:val="both"/>
              <w:rPr>
                <w:rFonts w:ascii="Book Antiqua" w:hAnsi="Book Antiqua"/>
                <w:b/>
                <w:bCs/>
                <w:color w:val="000000"/>
              </w:rPr>
            </w:pPr>
          </w:p>
        </w:tc>
        <w:tc>
          <w:tcPr>
            <w:tcW w:w="554" w:type="dxa"/>
            <w:gridSpan w:val="2"/>
            <w:vMerge/>
            <w:tcBorders>
              <w:top w:val="single" w:sz="6" w:space="0" w:color="auto"/>
              <w:left w:val="nil"/>
              <w:bottom w:val="single" w:sz="4" w:space="0" w:color="000000"/>
              <w:right w:val="nil"/>
            </w:tcBorders>
            <w:hideMark/>
          </w:tcPr>
          <w:p w14:paraId="54C12616" w14:textId="77777777" w:rsidR="00F708F6" w:rsidRPr="00AE2A93" w:rsidRDefault="00F708F6" w:rsidP="00AE2A93">
            <w:pPr>
              <w:snapToGrid w:val="0"/>
              <w:spacing w:line="360" w:lineRule="auto"/>
              <w:jc w:val="both"/>
              <w:rPr>
                <w:rFonts w:ascii="Book Antiqua" w:hAnsi="Book Antiqua"/>
                <w:b/>
                <w:bCs/>
                <w:color w:val="000000"/>
              </w:rPr>
            </w:pPr>
          </w:p>
        </w:tc>
        <w:tc>
          <w:tcPr>
            <w:tcW w:w="554" w:type="dxa"/>
            <w:vMerge/>
            <w:tcBorders>
              <w:top w:val="single" w:sz="6" w:space="0" w:color="auto"/>
              <w:left w:val="nil"/>
              <w:bottom w:val="single" w:sz="4" w:space="0" w:color="auto"/>
              <w:right w:val="nil"/>
            </w:tcBorders>
            <w:hideMark/>
          </w:tcPr>
          <w:p w14:paraId="10DEEFA3" w14:textId="77777777" w:rsidR="00F708F6" w:rsidRPr="00AE2A93" w:rsidRDefault="00F708F6" w:rsidP="00AE2A93">
            <w:pPr>
              <w:snapToGrid w:val="0"/>
              <w:spacing w:line="360" w:lineRule="auto"/>
              <w:jc w:val="both"/>
              <w:rPr>
                <w:rFonts w:ascii="Book Antiqua" w:hAnsi="Book Antiqua"/>
                <w:b/>
                <w:bCs/>
                <w:color w:val="000000"/>
              </w:rPr>
            </w:pPr>
          </w:p>
        </w:tc>
        <w:tc>
          <w:tcPr>
            <w:tcW w:w="554" w:type="dxa"/>
            <w:tcBorders>
              <w:top w:val="single" w:sz="6" w:space="0" w:color="auto"/>
              <w:left w:val="nil"/>
              <w:bottom w:val="single" w:sz="4" w:space="0" w:color="auto"/>
              <w:right w:val="nil"/>
            </w:tcBorders>
            <w:shd w:val="clear" w:color="000000" w:fill="FFFFFF"/>
            <w:noWrap/>
            <w:hideMark/>
          </w:tcPr>
          <w:p w14:paraId="539C0B4B"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Lower </w:t>
            </w:r>
          </w:p>
        </w:tc>
        <w:tc>
          <w:tcPr>
            <w:tcW w:w="554" w:type="dxa"/>
            <w:tcBorders>
              <w:top w:val="single" w:sz="6" w:space="0" w:color="auto"/>
              <w:left w:val="nil"/>
              <w:bottom w:val="single" w:sz="4" w:space="0" w:color="auto"/>
              <w:right w:val="nil"/>
            </w:tcBorders>
            <w:shd w:val="clear" w:color="000000" w:fill="FFFFFF"/>
            <w:noWrap/>
            <w:hideMark/>
          </w:tcPr>
          <w:p w14:paraId="246A163D"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Upper</w:t>
            </w:r>
          </w:p>
        </w:tc>
        <w:tc>
          <w:tcPr>
            <w:tcW w:w="621" w:type="dxa"/>
            <w:vMerge/>
            <w:tcBorders>
              <w:top w:val="single" w:sz="6" w:space="0" w:color="auto"/>
              <w:left w:val="nil"/>
              <w:bottom w:val="single" w:sz="4" w:space="0" w:color="000000"/>
              <w:right w:val="nil"/>
            </w:tcBorders>
            <w:hideMark/>
          </w:tcPr>
          <w:p w14:paraId="14E3DB69" w14:textId="77777777" w:rsidR="00F708F6" w:rsidRPr="00AE2A93" w:rsidRDefault="00F708F6" w:rsidP="00AE2A93">
            <w:pPr>
              <w:snapToGrid w:val="0"/>
              <w:spacing w:line="360" w:lineRule="auto"/>
              <w:jc w:val="both"/>
              <w:rPr>
                <w:rFonts w:ascii="Book Antiqua" w:hAnsi="Book Antiqua"/>
                <w:b/>
                <w:bCs/>
                <w:color w:val="000000"/>
              </w:rPr>
            </w:pPr>
          </w:p>
        </w:tc>
        <w:tc>
          <w:tcPr>
            <w:tcW w:w="365" w:type="dxa"/>
            <w:vMerge/>
            <w:tcBorders>
              <w:top w:val="single" w:sz="6" w:space="0" w:color="auto"/>
              <w:left w:val="nil"/>
              <w:bottom w:val="single" w:sz="4" w:space="0" w:color="000000"/>
              <w:right w:val="nil"/>
            </w:tcBorders>
            <w:hideMark/>
          </w:tcPr>
          <w:p w14:paraId="303B7A70" w14:textId="77777777" w:rsidR="00F708F6" w:rsidRPr="00AE2A93" w:rsidRDefault="00F708F6" w:rsidP="00AE2A93">
            <w:pPr>
              <w:snapToGrid w:val="0"/>
              <w:spacing w:line="360" w:lineRule="auto"/>
              <w:jc w:val="both"/>
              <w:rPr>
                <w:rFonts w:ascii="Book Antiqua" w:hAnsi="Book Antiqua"/>
                <w:b/>
                <w:bCs/>
                <w:color w:val="000000"/>
              </w:rPr>
            </w:pPr>
          </w:p>
        </w:tc>
        <w:tc>
          <w:tcPr>
            <w:tcW w:w="940" w:type="dxa"/>
            <w:vMerge/>
            <w:tcBorders>
              <w:top w:val="single" w:sz="6" w:space="0" w:color="auto"/>
              <w:left w:val="nil"/>
              <w:bottom w:val="single" w:sz="4" w:space="0" w:color="auto"/>
              <w:right w:val="nil"/>
            </w:tcBorders>
            <w:hideMark/>
          </w:tcPr>
          <w:p w14:paraId="74D4DF65" w14:textId="77777777" w:rsidR="00F708F6" w:rsidRPr="00AE2A93" w:rsidRDefault="00F708F6" w:rsidP="00AE2A93">
            <w:pPr>
              <w:snapToGrid w:val="0"/>
              <w:spacing w:line="360" w:lineRule="auto"/>
              <w:jc w:val="both"/>
              <w:rPr>
                <w:rFonts w:ascii="Book Antiqua" w:hAnsi="Book Antiqua"/>
                <w:b/>
                <w:bCs/>
                <w:color w:val="000000"/>
              </w:rPr>
            </w:pPr>
          </w:p>
        </w:tc>
        <w:tc>
          <w:tcPr>
            <w:tcW w:w="508" w:type="dxa"/>
            <w:tcBorders>
              <w:top w:val="single" w:sz="6" w:space="0" w:color="auto"/>
              <w:left w:val="nil"/>
              <w:bottom w:val="single" w:sz="4" w:space="0" w:color="auto"/>
              <w:right w:val="nil"/>
            </w:tcBorders>
            <w:shd w:val="clear" w:color="000000" w:fill="FFFFFF"/>
            <w:noWrap/>
            <w:hideMark/>
          </w:tcPr>
          <w:p w14:paraId="258B1530"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Lower </w:t>
            </w:r>
          </w:p>
        </w:tc>
        <w:tc>
          <w:tcPr>
            <w:tcW w:w="510" w:type="dxa"/>
            <w:tcBorders>
              <w:top w:val="single" w:sz="6" w:space="0" w:color="auto"/>
              <w:left w:val="nil"/>
              <w:bottom w:val="single" w:sz="4" w:space="0" w:color="auto"/>
              <w:right w:val="nil"/>
            </w:tcBorders>
            <w:shd w:val="clear" w:color="000000" w:fill="FFFFFF"/>
            <w:noWrap/>
            <w:hideMark/>
          </w:tcPr>
          <w:p w14:paraId="63B890B3" w14:textId="77777777" w:rsidR="00F708F6" w:rsidRPr="00AE2A93" w:rsidRDefault="00F708F6" w:rsidP="00AE2A93">
            <w:pPr>
              <w:snapToGrid w:val="0"/>
              <w:spacing w:line="360" w:lineRule="auto"/>
              <w:jc w:val="both"/>
              <w:rPr>
                <w:rFonts w:ascii="Book Antiqua" w:hAnsi="Book Antiqua"/>
                <w:b/>
                <w:bCs/>
                <w:color w:val="000000"/>
              </w:rPr>
            </w:pPr>
            <w:r w:rsidRPr="00AE2A93">
              <w:rPr>
                <w:rFonts w:ascii="Book Antiqua" w:hAnsi="Book Antiqua"/>
                <w:b/>
                <w:bCs/>
                <w:color w:val="000000"/>
              </w:rPr>
              <w:t>Upper</w:t>
            </w:r>
          </w:p>
        </w:tc>
        <w:tc>
          <w:tcPr>
            <w:tcW w:w="628" w:type="dxa"/>
            <w:vMerge/>
            <w:tcBorders>
              <w:top w:val="nil"/>
              <w:left w:val="nil"/>
              <w:bottom w:val="single" w:sz="4" w:space="0" w:color="000000"/>
              <w:right w:val="nil"/>
            </w:tcBorders>
            <w:hideMark/>
          </w:tcPr>
          <w:p w14:paraId="3A94210F" w14:textId="77777777" w:rsidR="00F708F6" w:rsidRPr="00AE2A93" w:rsidRDefault="00F708F6" w:rsidP="00AE2A93">
            <w:pPr>
              <w:snapToGrid w:val="0"/>
              <w:spacing w:line="360" w:lineRule="auto"/>
              <w:jc w:val="both"/>
              <w:rPr>
                <w:rFonts w:ascii="Book Antiqua" w:hAnsi="Book Antiqua"/>
                <w:color w:val="000000"/>
              </w:rPr>
            </w:pPr>
          </w:p>
        </w:tc>
      </w:tr>
      <w:tr w:rsidR="004B323C" w:rsidRPr="00C76E19" w14:paraId="2195BC91" w14:textId="77777777" w:rsidTr="00573D81">
        <w:trPr>
          <w:gridAfter w:val="1"/>
          <w:wAfter w:w="103" w:type="dxa"/>
        </w:trPr>
        <w:tc>
          <w:tcPr>
            <w:tcW w:w="1959" w:type="dxa"/>
            <w:tcBorders>
              <w:top w:val="nil"/>
              <w:left w:val="nil"/>
              <w:right w:val="nil"/>
            </w:tcBorders>
            <w:shd w:val="clear" w:color="000000" w:fill="FFFFFF"/>
            <w:noWrap/>
            <w:hideMark/>
          </w:tcPr>
          <w:p w14:paraId="2431C65F" w14:textId="006C3781"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IMT</w:t>
            </w:r>
            <w:r w:rsidRPr="00AE2A93">
              <w:rPr>
                <w:rFonts w:ascii="Book Antiqua" w:hAnsi="Book Antiqua"/>
                <w:i/>
                <w:iCs/>
                <w:color w:val="000000"/>
              </w:rPr>
              <w:t xml:space="preserve"> vs</w:t>
            </w:r>
            <w:r w:rsidRPr="00AE2A93">
              <w:rPr>
                <w:rFonts w:ascii="Book Antiqua" w:hAnsi="Book Antiqua"/>
                <w:color w:val="000000"/>
              </w:rPr>
              <w:t xml:space="preserve"> CMT</w:t>
            </w:r>
          </w:p>
        </w:tc>
        <w:tc>
          <w:tcPr>
            <w:tcW w:w="342" w:type="dxa"/>
            <w:tcBorders>
              <w:top w:val="nil"/>
              <w:left w:val="nil"/>
              <w:right w:val="nil"/>
            </w:tcBorders>
            <w:shd w:val="clear" w:color="000000" w:fill="FFFFFF"/>
            <w:noWrap/>
            <w:hideMark/>
          </w:tcPr>
          <w:p w14:paraId="5A19692A"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top w:val="single" w:sz="4" w:space="0" w:color="auto"/>
              <w:left w:val="nil"/>
              <w:right w:val="nil"/>
            </w:tcBorders>
            <w:shd w:val="clear" w:color="000000" w:fill="FFFFFF"/>
            <w:noWrap/>
            <w:hideMark/>
          </w:tcPr>
          <w:p w14:paraId="1BE4525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4.060 </w:t>
            </w:r>
          </w:p>
        </w:tc>
        <w:tc>
          <w:tcPr>
            <w:tcW w:w="553" w:type="dxa"/>
            <w:tcBorders>
              <w:top w:val="nil"/>
              <w:left w:val="nil"/>
              <w:right w:val="nil"/>
            </w:tcBorders>
            <w:shd w:val="clear" w:color="000000" w:fill="FFFFFF"/>
            <w:noWrap/>
            <w:hideMark/>
          </w:tcPr>
          <w:p w14:paraId="2137A48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1.643 </w:t>
            </w:r>
          </w:p>
        </w:tc>
        <w:tc>
          <w:tcPr>
            <w:tcW w:w="553" w:type="dxa"/>
            <w:tcBorders>
              <w:top w:val="nil"/>
              <w:left w:val="nil"/>
              <w:right w:val="nil"/>
            </w:tcBorders>
            <w:shd w:val="clear" w:color="000000" w:fill="FFFFFF"/>
            <w:noWrap/>
            <w:hideMark/>
          </w:tcPr>
          <w:p w14:paraId="6EAFAF79"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10.753 </w:t>
            </w:r>
          </w:p>
        </w:tc>
        <w:tc>
          <w:tcPr>
            <w:tcW w:w="554" w:type="dxa"/>
            <w:gridSpan w:val="2"/>
            <w:tcBorders>
              <w:top w:val="single" w:sz="4" w:space="0" w:color="auto"/>
              <w:left w:val="nil"/>
              <w:right w:val="nil"/>
            </w:tcBorders>
            <w:shd w:val="clear" w:color="000000" w:fill="FFFFFF"/>
            <w:noWrap/>
            <w:hideMark/>
          </w:tcPr>
          <w:p w14:paraId="64EBAC64" w14:textId="6EA3BB1B"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0.003</w:t>
            </w:r>
            <w:r w:rsidR="004B323C" w:rsidRPr="00AE2A93">
              <w:rPr>
                <w:rFonts w:ascii="Book Antiqua" w:hAnsi="Book Antiqua"/>
                <w:color w:val="000000"/>
                <w:vertAlign w:val="superscript"/>
              </w:rPr>
              <w:t>a</w:t>
            </w:r>
            <w:r w:rsidRPr="00AE2A93">
              <w:rPr>
                <w:rFonts w:ascii="Book Antiqua" w:hAnsi="Book Antiqua"/>
                <w:color w:val="000000"/>
              </w:rPr>
              <w:t xml:space="preserve"> </w:t>
            </w:r>
          </w:p>
        </w:tc>
        <w:tc>
          <w:tcPr>
            <w:tcW w:w="554" w:type="dxa"/>
            <w:tcBorders>
              <w:top w:val="nil"/>
              <w:left w:val="nil"/>
              <w:right w:val="nil"/>
            </w:tcBorders>
            <w:shd w:val="clear" w:color="000000" w:fill="FFFFFF"/>
            <w:noWrap/>
            <w:hideMark/>
          </w:tcPr>
          <w:p w14:paraId="2813699A"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top w:val="single" w:sz="4" w:space="0" w:color="auto"/>
              <w:left w:val="nil"/>
              <w:right w:val="nil"/>
            </w:tcBorders>
            <w:shd w:val="clear" w:color="000000" w:fill="FFFFFF"/>
            <w:noWrap/>
            <w:hideMark/>
          </w:tcPr>
          <w:p w14:paraId="0BC6F976"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0.658 </w:t>
            </w:r>
          </w:p>
        </w:tc>
        <w:tc>
          <w:tcPr>
            <w:tcW w:w="554" w:type="dxa"/>
            <w:tcBorders>
              <w:top w:val="nil"/>
              <w:left w:val="nil"/>
              <w:right w:val="nil"/>
            </w:tcBorders>
            <w:shd w:val="clear" w:color="000000" w:fill="FFFFFF"/>
            <w:noWrap/>
            <w:hideMark/>
          </w:tcPr>
          <w:p w14:paraId="6B5CE66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0.349 </w:t>
            </w:r>
          </w:p>
        </w:tc>
        <w:tc>
          <w:tcPr>
            <w:tcW w:w="554" w:type="dxa"/>
            <w:tcBorders>
              <w:top w:val="nil"/>
              <w:left w:val="nil"/>
              <w:right w:val="nil"/>
            </w:tcBorders>
            <w:shd w:val="clear" w:color="000000" w:fill="FFFFFF"/>
            <w:noWrap/>
            <w:hideMark/>
          </w:tcPr>
          <w:p w14:paraId="65FFE2A5"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1.249 </w:t>
            </w:r>
          </w:p>
        </w:tc>
        <w:tc>
          <w:tcPr>
            <w:tcW w:w="554" w:type="dxa"/>
            <w:tcBorders>
              <w:top w:val="nil"/>
              <w:left w:val="nil"/>
              <w:right w:val="nil"/>
            </w:tcBorders>
            <w:shd w:val="clear" w:color="000000" w:fill="FFFFFF"/>
            <w:noWrap/>
            <w:hideMark/>
          </w:tcPr>
          <w:p w14:paraId="24A6BD1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0.196 </w:t>
            </w:r>
          </w:p>
        </w:tc>
        <w:tc>
          <w:tcPr>
            <w:tcW w:w="554" w:type="dxa"/>
            <w:gridSpan w:val="2"/>
            <w:tcBorders>
              <w:top w:val="nil"/>
              <w:left w:val="nil"/>
              <w:right w:val="nil"/>
            </w:tcBorders>
            <w:shd w:val="clear" w:color="000000" w:fill="FFFFFF"/>
            <w:noWrap/>
            <w:hideMark/>
          </w:tcPr>
          <w:p w14:paraId="1B54089A"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top w:val="single" w:sz="4" w:space="0" w:color="auto"/>
              <w:left w:val="nil"/>
              <w:right w:val="nil"/>
            </w:tcBorders>
            <w:shd w:val="clear" w:color="000000" w:fill="FFFFFF"/>
            <w:noWrap/>
            <w:hideMark/>
          </w:tcPr>
          <w:p w14:paraId="01DAC9E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0.527 </w:t>
            </w:r>
          </w:p>
        </w:tc>
        <w:tc>
          <w:tcPr>
            <w:tcW w:w="554" w:type="dxa"/>
            <w:tcBorders>
              <w:top w:val="nil"/>
              <w:left w:val="nil"/>
              <w:right w:val="nil"/>
            </w:tcBorders>
            <w:shd w:val="clear" w:color="000000" w:fill="FFFFFF"/>
            <w:noWrap/>
            <w:hideMark/>
          </w:tcPr>
          <w:p w14:paraId="417F464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0.323 </w:t>
            </w:r>
          </w:p>
        </w:tc>
        <w:tc>
          <w:tcPr>
            <w:tcW w:w="554" w:type="dxa"/>
            <w:tcBorders>
              <w:top w:val="nil"/>
              <w:left w:val="nil"/>
              <w:right w:val="nil"/>
            </w:tcBorders>
            <w:shd w:val="clear" w:color="000000" w:fill="FFFFFF"/>
            <w:noWrap/>
            <w:hideMark/>
          </w:tcPr>
          <w:p w14:paraId="4AB7081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0.858 </w:t>
            </w:r>
          </w:p>
        </w:tc>
        <w:tc>
          <w:tcPr>
            <w:tcW w:w="621" w:type="dxa"/>
            <w:tcBorders>
              <w:top w:val="single" w:sz="4" w:space="0" w:color="auto"/>
              <w:left w:val="nil"/>
              <w:right w:val="nil"/>
            </w:tcBorders>
            <w:shd w:val="clear" w:color="000000" w:fill="FFFFFF"/>
            <w:noWrap/>
            <w:hideMark/>
          </w:tcPr>
          <w:p w14:paraId="6ABDB749" w14:textId="777B9C53"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0.010</w:t>
            </w:r>
            <w:r w:rsidR="004B323C" w:rsidRPr="00AE2A93">
              <w:rPr>
                <w:rFonts w:ascii="Book Antiqua" w:hAnsi="Book Antiqua"/>
                <w:color w:val="000000"/>
                <w:vertAlign w:val="superscript"/>
              </w:rPr>
              <w:t>a</w:t>
            </w:r>
            <w:r w:rsidRPr="00AE2A93">
              <w:rPr>
                <w:rFonts w:ascii="Book Antiqua" w:hAnsi="Book Antiqua"/>
                <w:color w:val="000000"/>
              </w:rPr>
              <w:t xml:space="preserve"> </w:t>
            </w:r>
          </w:p>
        </w:tc>
        <w:tc>
          <w:tcPr>
            <w:tcW w:w="365" w:type="dxa"/>
            <w:tcBorders>
              <w:top w:val="nil"/>
              <w:left w:val="nil"/>
              <w:right w:val="nil"/>
            </w:tcBorders>
            <w:shd w:val="clear" w:color="000000" w:fill="FFFFFF"/>
            <w:noWrap/>
            <w:hideMark/>
          </w:tcPr>
          <w:p w14:paraId="687EEA65"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940" w:type="dxa"/>
            <w:tcBorders>
              <w:top w:val="single" w:sz="4" w:space="0" w:color="auto"/>
              <w:left w:val="nil"/>
              <w:right w:val="nil"/>
            </w:tcBorders>
            <w:shd w:val="clear" w:color="000000" w:fill="FFFFFF"/>
            <w:noWrap/>
            <w:hideMark/>
          </w:tcPr>
          <w:p w14:paraId="67F30E9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0.822 </w:t>
            </w:r>
          </w:p>
        </w:tc>
        <w:tc>
          <w:tcPr>
            <w:tcW w:w="508" w:type="dxa"/>
            <w:tcBorders>
              <w:top w:val="nil"/>
              <w:left w:val="nil"/>
              <w:right w:val="nil"/>
            </w:tcBorders>
            <w:shd w:val="clear" w:color="000000" w:fill="FFFFFF"/>
            <w:noWrap/>
            <w:hideMark/>
          </w:tcPr>
          <w:p w14:paraId="72829D66"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0.218 </w:t>
            </w:r>
          </w:p>
        </w:tc>
        <w:tc>
          <w:tcPr>
            <w:tcW w:w="510" w:type="dxa"/>
            <w:tcBorders>
              <w:top w:val="nil"/>
              <w:left w:val="nil"/>
              <w:right w:val="nil"/>
            </w:tcBorders>
            <w:shd w:val="clear" w:color="000000" w:fill="FFFFFF"/>
            <w:noWrap/>
            <w:hideMark/>
          </w:tcPr>
          <w:p w14:paraId="17DD524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1.426 </w:t>
            </w:r>
          </w:p>
        </w:tc>
        <w:tc>
          <w:tcPr>
            <w:tcW w:w="628" w:type="dxa"/>
            <w:tcBorders>
              <w:top w:val="single" w:sz="4" w:space="0" w:color="auto"/>
              <w:left w:val="nil"/>
              <w:right w:val="nil"/>
            </w:tcBorders>
            <w:shd w:val="clear" w:color="000000" w:fill="FFFFFF"/>
            <w:noWrap/>
            <w:hideMark/>
          </w:tcPr>
          <w:p w14:paraId="20A97FBA" w14:textId="5C2920A0"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0.008</w:t>
            </w:r>
            <w:r w:rsidR="004B323C" w:rsidRPr="00AE2A93">
              <w:rPr>
                <w:rFonts w:ascii="Book Antiqua" w:hAnsi="Book Antiqua"/>
                <w:color w:val="000000"/>
                <w:vertAlign w:val="superscript"/>
              </w:rPr>
              <w:t>a</w:t>
            </w:r>
            <w:r w:rsidRPr="00AE2A93">
              <w:rPr>
                <w:rFonts w:ascii="Book Antiqua" w:hAnsi="Book Antiqua"/>
                <w:color w:val="000000"/>
              </w:rPr>
              <w:t xml:space="preserve"> </w:t>
            </w:r>
          </w:p>
        </w:tc>
      </w:tr>
      <w:tr w:rsidR="004B323C" w:rsidRPr="00C76E19" w14:paraId="2F4FD2B0" w14:textId="77777777" w:rsidTr="00573D81">
        <w:trPr>
          <w:gridAfter w:val="1"/>
          <w:wAfter w:w="103" w:type="dxa"/>
        </w:trPr>
        <w:tc>
          <w:tcPr>
            <w:tcW w:w="1959" w:type="dxa"/>
            <w:tcBorders>
              <w:top w:val="nil"/>
              <w:left w:val="nil"/>
              <w:bottom w:val="nil"/>
              <w:right w:val="nil"/>
            </w:tcBorders>
            <w:shd w:val="clear" w:color="000000" w:fill="FFFFFF"/>
            <w:noWrap/>
            <w:hideMark/>
          </w:tcPr>
          <w:p w14:paraId="086FD0C9"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Demographics </w:t>
            </w:r>
          </w:p>
        </w:tc>
        <w:tc>
          <w:tcPr>
            <w:tcW w:w="342" w:type="dxa"/>
            <w:tcBorders>
              <w:top w:val="nil"/>
              <w:left w:val="nil"/>
              <w:bottom w:val="nil"/>
              <w:right w:val="nil"/>
            </w:tcBorders>
            <w:shd w:val="clear" w:color="000000" w:fill="FFFFFF"/>
            <w:noWrap/>
            <w:hideMark/>
          </w:tcPr>
          <w:p w14:paraId="2F266B7A"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6FF5F39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498F0AF9"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0FA4DCE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gridSpan w:val="2"/>
            <w:tcBorders>
              <w:top w:val="nil"/>
              <w:left w:val="nil"/>
              <w:bottom w:val="nil"/>
              <w:right w:val="nil"/>
            </w:tcBorders>
            <w:shd w:val="clear" w:color="000000" w:fill="FFFFFF"/>
            <w:noWrap/>
            <w:hideMark/>
          </w:tcPr>
          <w:p w14:paraId="42BC7492"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tcBorders>
              <w:top w:val="nil"/>
              <w:left w:val="nil"/>
              <w:bottom w:val="nil"/>
              <w:right w:val="nil"/>
            </w:tcBorders>
            <w:shd w:val="clear" w:color="000000" w:fill="FFFFFF"/>
            <w:noWrap/>
            <w:hideMark/>
          </w:tcPr>
          <w:p w14:paraId="32D2261A"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430C70A9"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4F4AEC9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08635DF6"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67185891"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gridSpan w:val="2"/>
            <w:tcBorders>
              <w:top w:val="nil"/>
              <w:left w:val="nil"/>
              <w:bottom w:val="nil"/>
              <w:right w:val="nil"/>
            </w:tcBorders>
            <w:shd w:val="clear" w:color="000000" w:fill="FFFFFF"/>
            <w:noWrap/>
            <w:hideMark/>
          </w:tcPr>
          <w:p w14:paraId="2FC2875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54CE695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0DAD42C6"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4AE7509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1" w:type="dxa"/>
            <w:tcBorders>
              <w:top w:val="nil"/>
              <w:left w:val="nil"/>
              <w:bottom w:val="nil"/>
              <w:right w:val="nil"/>
            </w:tcBorders>
            <w:shd w:val="clear" w:color="000000" w:fill="FFFFFF"/>
            <w:noWrap/>
            <w:hideMark/>
          </w:tcPr>
          <w:p w14:paraId="270A8BB7"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365" w:type="dxa"/>
            <w:tcBorders>
              <w:top w:val="nil"/>
              <w:left w:val="nil"/>
              <w:bottom w:val="nil"/>
              <w:right w:val="nil"/>
            </w:tcBorders>
            <w:shd w:val="clear" w:color="000000" w:fill="FFFFFF"/>
            <w:noWrap/>
            <w:hideMark/>
          </w:tcPr>
          <w:p w14:paraId="161642B5"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940" w:type="dxa"/>
            <w:tcBorders>
              <w:top w:val="nil"/>
              <w:left w:val="nil"/>
              <w:bottom w:val="nil"/>
              <w:right w:val="nil"/>
            </w:tcBorders>
            <w:shd w:val="clear" w:color="000000" w:fill="FFFFFF"/>
            <w:noWrap/>
            <w:hideMark/>
          </w:tcPr>
          <w:p w14:paraId="6F09DF0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08" w:type="dxa"/>
            <w:tcBorders>
              <w:top w:val="nil"/>
              <w:left w:val="nil"/>
              <w:bottom w:val="nil"/>
              <w:right w:val="nil"/>
            </w:tcBorders>
            <w:shd w:val="clear" w:color="000000" w:fill="FFFFFF"/>
            <w:noWrap/>
            <w:hideMark/>
          </w:tcPr>
          <w:p w14:paraId="68BF435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10" w:type="dxa"/>
            <w:tcBorders>
              <w:top w:val="nil"/>
              <w:left w:val="nil"/>
              <w:bottom w:val="nil"/>
              <w:right w:val="nil"/>
            </w:tcBorders>
            <w:shd w:val="clear" w:color="000000" w:fill="FFFFFF"/>
            <w:noWrap/>
            <w:hideMark/>
          </w:tcPr>
          <w:p w14:paraId="0C86B12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8" w:type="dxa"/>
            <w:tcBorders>
              <w:top w:val="nil"/>
              <w:left w:val="nil"/>
              <w:bottom w:val="nil"/>
              <w:right w:val="nil"/>
            </w:tcBorders>
            <w:shd w:val="clear" w:color="000000" w:fill="FFFFFF"/>
            <w:noWrap/>
            <w:hideMark/>
          </w:tcPr>
          <w:p w14:paraId="2647E603"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4B323C" w:rsidRPr="00C76E19" w14:paraId="616687DF" w14:textId="77777777" w:rsidTr="00573D81">
        <w:trPr>
          <w:gridAfter w:val="1"/>
          <w:wAfter w:w="103" w:type="dxa"/>
        </w:trPr>
        <w:tc>
          <w:tcPr>
            <w:tcW w:w="1959" w:type="dxa"/>
            <w:tcBorders>
              <w:top w:val="nil"/>
              <w:left w:val="nil"/>
              <w:bottom w:val="nil"/>
              <w:right w:val="nil"/>
            </w:tcBorders>
            <w:shd w:val="clear" w:color="000000" w:fill="FFFFFF"/>
            <w:noWrap/>
            <w:hideMark/>
          </w:tcPr>
          <w:p w14:paraId="24527C5C" w14:textId="77777777" w:rsidR="00F708F6" w:rsidRPr="00AE2A93" w:rsidRDefault="00F708F6"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 xml:space="preserve">Male gender </w:t>
            </w:r>
          </w:p>
        </w:tc>
        <w:tc>
          <w:tcPr>
            <w:tcW w:w="342" w:type="dxa"/>
            <w:tcBorders>
              <w:top w:val="nil"/>
              <w:left w:val="nil"/>
              <w:bottom w:val="nil"/>
              <w:right w:val="nil"/>
            </w:tcBorders>
            <w:shd w:val="clear" w:color="000000" w:fill="FFFFFF"/>
            <w:noWrap/>
            <w:hideMark/>
          </w:tcPr>
          <w:p w14:paraId="5525FBF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2D3F426A"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6EE3ABA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2F3C388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gridSpan w:val="2"/>
            <w:tcBorders>
              <w:top w:val="nil"/>
              <w:left w:val="nil"/>
              <w:bottom w:val="nil"/>
              <w:right w:val="nil"/>
            </w:tcBorders>
            <w:shd w:val="clear" w:color="000000" w:fill="FFFFFF"/>
            <w:noWrap/>
            <w:hideMark/>
          </w:tcPr>
          <w:p w14:paraId="34504777"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tcBorders>
              <w:top w:val="nil"/>
              <w:left w:val="nil"/>
              <w:bottom w:val="nil"/>
              <w:right w:val="nil"/>
            </w:tcBorders>
            <w:shd w:val="clear" w:color="000000" w:fill="FFFFFF"/>
            <w:noWrap/>
            <w:hideMark/>
          </w:tcPr>
          <w:p w14:paraId="50A8187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5BC011F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727EA83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0008449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583CED9C"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gridSpan w:val="2"/>
            <w:tcBorders>
              <w:top w:val="nil"/>
              <w:left w:val="nil"/>
              <w:bottom w:val="nil"/>
              <w:right w:val="nil"/>
            </w:tcBorders>
            <w:shd w:val="clear" w:color="000000" w:fill="FFFFFF"/>
            <w:noWrap/>
            <w:hideMark/>
          </w:tcPr>
          <w:p w14:paraId="71329FA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top w:val="nil"/>
              <w:left w:val="nil"/>
              <w:bottom w:val="nil"/>
              <w:right w:val="nil"/>
            </w:tcBorders>
            <w:shd w:val="clear" w:color="000000" w:fill="FFFFFF"/>
            <w:noWrap/>
            <w:hideMark/>
          </w:tcPr>
          <w:p w14:paraId="3E24A23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1.111 </w:t>
            </w:r>
          </w:p>
        </w:tc>
        <w:tc>
          <w:tcPr>
            <w:tcW w:w="554" w:type="dxa"/>
            <w:tcBorders>
              <w:top w:val="nil"/>
              <w:left w:val="nil"/>
              <w:bottom w:val="nil"/>
              <w:right w:val="nil"/>
            </w:tcBorders>
            <w:shd w:val="clear" w:color="000000" w:fill="FFFFFF"/>
            <w:noWrap/>
            <w:hideMark/>
          </w:tcPr>
          <w:p w14:paraId="1E6EEC79"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0.675 </w:t>
            </w:r>
          </w:p>
        </w:tc>
        <w:tc>
          <w:tcPr>
            <w:tcW w:w="554" w:type="dxa"/>
            <w:tcBorders>
              <w:top w:val="nil"/>
              <w:left w:val="nil"/>
              <w:bottom w:val="nil"/>
              <w:right w:val="nil"/>
            </w:tcBorders>
            <w:shd w:val="clear" w:color="000000" w:fill="FFFFFF"/>
            <w:noWrap/>
            <w:hideMark/>
          </w:tcPr>
          <w:p w14:paraId="20729A0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1.844 </w:t>
            </w:r>
          </w:p>
        </w:tc>
        <w:tc>
          <w:tcPr>
            <w:tcW w:w="621" w:type="dxa"/>
            <w:tcBorders>
              <w:top w:val="nil"/>
              <w:left w:val="nil"/>
              <w:bottom w:val="nil"/>
              <w:right w:val="nil"/>
            </w:tcBorders>
            <w:shd w:val="clear" w:color="000000" w:fill="FFFFFF"/>
            <w:noWrap/>
            <w:hideMark/>
          </w:tcPr>
          <w:p w14:paraId="678CB21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0.681 </w:t>
            </w:r>
          </w:p>
        </w:tc>
        <w:tc>
          <w:tcPr>
            <w:tcW w:w="365" w:type="dxa"/>
            <w:tcBorders>
              <w:top w:val="nil"/>
              <w:left w:val="nil"/>
              <w:bottom w:val="nil"/>
              <w:right w:val="nil"/>
            </w:tcBorders>
            <w:shd w:val="clear" w:color="000000" w:fill="FFFFFF"/>
            <w:noWrap/>
            <w:hideMark/>
          </w:tcPr>
          <w:p w14:paraId="07CDD21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940" w:type="dxa"/>
            <w:tcBorders>
              <w:top w:val="nil"/>
              <w:left w:val="nil"/>
              <w:bottom w:val="nil"/>
              <w:right w:val="nil"/>
            </w:tcBorders>
            <w:shd w:val="clear" w:color="000000" w:fill="FFFFFF"/>
            <w:noWrap/>
            <w:hideMark/>
          </w:tcPr>
          <w:p w14:paraId="7E0172C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-0.008 </w:t>
            </w:r>
          </w:p>
        </w:tc>
        <w:tc>
          <w:tcPr>
            <w:tcW w:w="508" w:type="dxa"/>
            <w:tcBorders>
              <w:top w:val="nil"/>
              <w:left w:val="nil"/>
              <w:bottom w:val="nil"/>
              <w:right w:val="nil"/>
            </w:tcBorders>
            <w:shd w:val="clear" w:color="000000" w:fill="FFFFFF"/>
            <w:noWrap/>
            <w:hideMark/>
          </w:tcPr>
          <w:p w14:paraId="189C2B0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-0.622 </w:t>
            </w:r>
          </w:p>
        </w:tc>
        <w:tc>
          <w:tcPr>
            <w:tcW w:w="510" w:type="dxa"/>
            <w:tcBorders>
              <w:top w:val="nil"/>
              <w:left w:val="nil"/>
              <w:bottom w:val="nil"/>
              <w:right w:val="nil"/>
            </w:tcBorders>
            <w:shd w:val="clear" w:color="000000" w:fill="FFFFFF"/>
            <w:noWrap/>
            <w:hideMark/>
          </w:tcPr>
          <w:p w14:paraId="3A2ABDE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0.607 </w:t>
            </w:r>
          </w:p>
        </w:tc>
        <w:tc>
          <w:tcPr>
            <w:tcW w:w="628" w:type="dxa"/>
            <w:tcBorders>
              <w:top w:val="nil"/>
              <w:left w:val="nil"/>
              <w:bottom w:val="nil"/>
              <w:right w:val="nil"/>
            </w:tcBorders>
            <w:shd w:val="clear" w:color="000000" w:fill="FFFFFF"/>
            <w:noWrap/>
            <w:hideMark/>
          </w:tcPr>
          <w:p w14:paraId="14C4EA8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0.980 </w:t>
            </w:r>
          </w:p>
        </w:tc>
      </w:tr>
      <w:tr w:rsidR="004B323C" w:rsidRPr="00C76E19" w14:paraId="047C8891" w14:textId="77777777" w:rsidTr="00573D81">
        <w:trPr>
          <w:gridAfter w:val="1"/>
          <w:wAfter w:w="103" w:type="dxa"/>
        </w:trPr>
        <w:tc>
          <w:tcPr>
            <w:tcW w:w="1959" w:type="dxa"/>
            <w:tcBorders>
              <w:top w:val="nil"/>
              <w:left w:val="nil"/>
              <w:right w:val="nil"/>
            </w:tcBorders>
            <w:shd w:val="clear" w:color="000000" w:fill="FFFFFF"/>
            <w:noWrap/>
            <w:hideMark/>
          </w:tcPr>
          <w:p w14:paraId="35776AC0" w14:textId="62CD2E24" w:rsidR="00F708F6" w:rsidRPr="00AE2A93" w:rsidRDefault="00F708F6"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 xml:space="preserve">Age </w:t>
            </w:r>
            <w:r w:rsidR="002B5BCF">
              <w:rPr>
                <w:rFonts w:ascii="Book Antiqua" w:hAnsi="Book Antiqua"/>
                <w:color w:val="000000"/>
              </w:rPr>
              <w:t xml:space="preserve">in </w:t>
            </w:r>
            <w:proofErr w:type="spellStart"/>
            <w:r w:rsidRPr="00AE2A93">
              <w:rPr>
                <w:rFonts w:ascii="Book Antiqua" w:hAnsi="Book Antiqua"/>
                <w:color w:val="000000"/>
              </w:rPr>
              <w:t>yr</w:t>
            </w:r>
            <w:proofErr w:type="spellEnd"/>
          </w:p>
        </w:tc>
        <w:tc>
          <w:tcPr>
            <w:tcW w:w="342" w:type="dxa"/>
            <w:tcBorders>
              <w:top w:val="nil"/>
              <w:left w:val="nil"/>
              <w:right w:val="nil"/>
            </w:tcBorders>
            <w:shd w:val="clear" w:color="000000" w:fill="FFFFFF"/>
            <w:noWrap/>
            <w:hideMark/>
          </w:tcPr>
          <w:p w14:paraId="60DAAFC9"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top w:val="nil"/>
              <w:left w:val="nil"/>
              <w:right w:val="nil"/>
            </w:tcBorders>
            <w:shd w:val="clear" w:color="000000" w:fill="FFFFFF"/>
            <w:noWrap/>
            <w:hideMark/>
          </w:tcPr>
          <w:p w14:paraId="409693A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0.951 </w:t>
            </w:r>
          </w:p>
        </w:tc>
        <w:tc>
          <w:tcPr>
            <w:tcW w:w="553" w:type="dxa"/>
            <w:tcBorders>
              <w:top w:val="nil"/>
              <w:left w:val="nil"/>
              <w:right w:val="nil"/>
            </w:tcBorders>
            <w:shd w:val="clear" w:color="000000" w:fill="FFFFFF"/>
            <w:noWrap/>
            <w:hideMark/>
          </w:tcPr>
          <w:p w14:paraId="6BAB3B2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0.918 </w:t>
            </w:r>
          </w:p>
        </w:tc>
        <w:tc>
          <w:tcPr>
            <w:tcW w:w="553" w:type="dxa"/>
            <w:tcBorders>
              <w:top w:val="nil"/>
              <w:left w:val="nil"/>
              <w:right w:val="nil"/>
            </w:tcBorders>
            <w:shd w:val="clear" w:color="000000" w:fill="FFFFFF"/>
            <w:noWrap/>
            <w:hideMark/>
          </w:tcPr>
          <w:p w14:paraId="2308CD3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0.986 </w:t>
            </w:r>
          </w:p>
        </w:tc>
        <w:tc>
          <w:tcPr>
            <w:tcW w:w="554" w:type="dxa"/>
            <w:gridSpan w:val="2"/>
            <w:tcBorders>
              <w:top w:val="nil"/>
              <w:left w:val="nil"/>
              <w:right w:val="nil"/>
            </w:tcBorders>
            <w:shd w:val="clear" w:color="000000" w:fill="FFFFFF"/>
            <w:noWrap/>
            <w:hideMark/>
          </w:tcPr>
          <w:p w14:paraId="23B66C10" w14:textId="3228235A"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0.005</w:t>
            </w:r>
          </w:p>
        </w:tc>
        <w:tc>
          <w:tcPr>
            <w:tcW w:w="554" w:type="dxa"/>
            <w:tcBorders>
              <w:top w:val="nil"/>
              <w:left w:val="nil"/>
              <w:right w:val="nil"/>
            </w:tcBorders>
            <w:shd w:val="clear" w:color="000000" w:fill="FFFFFF"/>
            <w:noWrap/>
            <w:hideMark/>
          </w:tcPr>
          <w:p w14:paraId="7ACA97D5"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top w:val="nil"/>
              <w:left w:val="nil"/>
              <w:right w:val="nil"/>
            </w:tcBorders>
            <w:shd w:val="clear" w:color="000000" w:fill="FFFFFF"/>
            <w:noWrap/>
            <w:hideMark/>
          </w:tcPr>
          <w:p w14:paraId="492FD0F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1.027 </w:t>
            </w:r>
          </w:p>
        </w:tc>
        <w:tc>
          <w:tcPr>
            <w:tcW w:w="554" w:type="dxa"/>
            <w:tcBorders>
              <w:top w:val="nil"/>
              <w:left w:val="nil"/>
              <w:right w:val="nil"/>
            </w:tcBorders>
            <w:shd w:val="clear" w:color="000000" w:fill="FFFFFF"/>
            <w:noWrap/>
            <w:hideMark/>
          </w:tcPr>
          <w:p w14:paraId="4A71A1F9"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1.002 </w:t>
            </w:r>
          </w:p>
        </w:tc>
        <w:tc>
          <w:tcPr>
            <w:tcW w:w="554" w:type="dxa"/>
            <w:tcBorders>
              <w:top w:val="nil"/>
              <w:left w:val="nil"/>
              <w:right w:val="nil"/>
            </w:tcBorders>
            <w:shd w:val="clear" w:color="000000" w:fill="FFFFFF"/>
            <w:noWrap/>
            <w:hideMark/>
          </w:tcPr>
          <w:p w14:paraId="045FB769"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1.052 </w:t>
            </w:r>
          </w:p>
        </w:tc>
        <w:tc>
          <w:tcPr>
            <w:tcW w:w="554" w:type="dxa"/>
            <w:tcBorders>
              <w:top w:val="nil"/>
              <w:left w:val="nil"/>
              <w:right w:val="nil"/>
            </w:tcBorders>
            <w:shd w:val="clear" w:color="000000" w:fill="FFFFFF"/>
            <w:noWrap/>
            <w:hideMark/>
          </w:tcPr>
          <w:p w14:paraId="670BE479" w14:textId="48E0F58F"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0.035</w:t>
            </w:r>
            <w:r w:rsidR="004B323C" w:rsidRPr="00AE2A93">
              <w:rPr>
                <w:rFonts w:ascii="Book Antiqua" w:hAnsi="Book Antiqua"/>
                <w:color w:val="000000"/>
                <w:vertAlign w:val="superscript"/>
              </w:rPr>
              <w:t>a</w:t>
            </w:r>
            <w:r w:rsidRPr="00AE2A93">
              <w:rPr>
                <w:rFonts w:ascii="Book Antiqua" w:hAnsi="Book Antiqua"/>
                <w:color w:val="000000"/>
              </w:rPr>
              <w:t xml:space="preserve"> </w:t>
            </w:r>
          </w:p>
        </w:tc>
        <w:tc>
          <w:tcPr>
            <w:tcW w:w="554" w:type="dxa"/>
            <w:gridSpan w:val="2"/>
            <w:tcBorders>
              <w:top w:val="nil"/>
              <w:left w:val="nil"/>
              <w:right w:val="nil"/>
            </w:tcBorders>
            <w:shd w:val="clear" w:color="000000" w:fill="FFFFFF"/>
            <w:noWrap/>
            <w:hideMark/>
          </w:tcPr>
          <w:p w14:paraId="5F7A3BA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top w:val="nil"/>
              <w:left w:val="nil"/>
              <w:right w:val="nil"/>
            </w:tcBorders>
            <w:shd w:val="clear" w:color="000000" w:fill="FFFFFF"/>
            <w:noWrap/>
            <w:hideMark/>
          </w:tcPr>
          <w:p w14:paraId="6F50581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0.990 </w:t>
            </w:r>
          </w:p>
        </w:tc>
        <w:tc>
          <w:tcPr>
            <w:tcW w:w="554" w:type="dxa"/>
            <w:tcBorders>
              <w:top w:val="nil"/>
              <w:left w:val="nil"/>
              <w:right w:val="nil"/>
            </w:tcBorders>
            <w:shd w:val="clear" w:color="000000" w:fill="FFFFFF"/>
            <w:noWrap/>
            <w:hideMark/>
          </w:tcPr>
          <w:p w14:paraId="784FD73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0.968 </w:t>
            </w:r>
          </w:p>
        </w:tc>
        <w:tc>
          <w:tcPr>
            <w:tcW w:w="554" w:type="dxa"/>
            <w:tcBorders>
              <w:top w:val="nil"/>
              <w:left w:val="nil"/>
              <w:right w:val="nil"/>
            </w:tcBorders>
            <w:shd w:val="clear" w:color="000000" w:fill="FFFFFF"/>
            <w:noWrap/>
            <w:hideMark/>
          </w:tcPr>
          <w:p w14:paraId="2A017FF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1.011 </w:t>
            </w:r>
          </w:p>
        </w:tc>
        <w:tc>
          <w:tcPr>
            <w:tcW w:w="621" w:type="dxa"/>
            <w:tcBorders>
              <w:top w:val="nil"/>
              <w:left w:val="nil"/>
              <w:right w:val="nil"/>
            </w:tcBorders>
            <w:shd w:val="clear" w:color="000000" w:fill="FFFFFF"/>
            <w:noWrap/>
            <w:hideMark/>
          </w:tcPr>
          <w:p w14:paraId="1696750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0.351 </w:t>
            </w:r>
          </w:p>
        </w:tc>
        <w:tc>
          <w:tcPr>
            <w:tcW w:w="365" w:type="dxa"/>
            <w:tcBorders>
              <w:top w:val="nil"/>
              <w:left w:val="nil"/>
              <w:right w:val="nil"/>
            </w:tcBorders>
            <w:shd w:val="clear" w:color="000000" w:fill="FFFFFF"/>
            <w:noWrap/>
            <w:hideMark/>
          </w:tcPr>
          <w:p w14:paraId="4097991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940" w:type="dxa"/>
            <w:tcBorders>
              <w:top w:val="nil"/>
              <w:left w:val="nil"/>
              <w:right w:val="nil"/>
            </w:tcBorders>
            <w:shd w:val="clear" w:color="000000" w:fill="FFFFFF"/>
            <w:noWrap/>
            <w:hideMark/>
          </w:tcPr>
          <w:p w14:paraId="12D8F4E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-0.016 </w:t>
            </w:r>
          </w:p>
        </w:tc>
        <w:tc>
          <w:tcPr>
            <w:tcW w:w="508" w:type="dxa"/>
            <w:tcBorders>
              <w:top w:val="nil"/>
              <w:left w:val="nil"/>
              <w:right w:val="nil"/>
            </w:tcBorders>
            <w:shd w:val="clear" w:color="000000" w:fill="FFFFFF"/>
            <w:noWrap/>
            <w:hideMark/>
          </w:tcPr>
          <w:p w14:paraId="28380AD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-0.041 </w:t>
            </w:r>
          </w:p>
        </w:tc>
        <w:tc>
          <w:tcPr>
            <w:tcW w:w="510" w:type="dxa"/>
            <w:tcBorders>
              <w:top w:val="nil"/>
              <w:left w:val="nil"/>
              <w:right w:val="nil"/>
            </w:tcBorders>
            <w:shd w:val="clear" w:color="000000" w:fill="FFFFFF"/>
            <w:noWrap/>
            <w:hideMark/>
          </w:tcPr>
          <w:p w14:paraId="0904106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0.010 </w:t>
            </w:r>
          </w:p>
        </w:tc>
        <w:tc>
          <w:tcPr>
            <w:tcW w:w="628" w:type="dxa"/>
            <w:tcBorders>
              <w:top w:val="nil"/>
              <w:left w:val="nil"/>
              <w:right w:val="nil"/>
            </w:tcBorders>
            <w:shd w:val="clear" w:color="000000" w:fill="FFFFFF"/>
            <w:noWrap/>
            <w:hideMark/>
          </w:tcPr>
          <w:p w14:paraId="7BF516E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0.223 </w:t>
            </w:r>
          </w:p>
        </w:tc>
      </w:tr>
      <w:tr w:rsidR="004B323C" w:rsidRPr="00C76E19" w14:paraId="649100A0" w14:textId="77777777" w:rsidTr="00573D81">
        <w:trPr>
          <w:gridAfter w:val="1"/>
          <w:wAfter w:w="103" w:type="dxa"/>
        </w:trPr>
        <w:tc>
          <w:tcPr>
            <w:tcW w:w="1959" w:type="dxa"/>
            <w:tcBorders>
              <w:top w:val="nil"/>
              <w:left w:val="nil"/>
              <w:bottom w:val="nil"/>
              <w:right w:val="nil"/>
            </w:tcBorders>
            <w:shd w:val="clear" w:color="000000" w:fill="FFFFFF"/>
            <w:noWrap/>
            <w:hideMark/>
          </w:tcPr>
          <w:p w14:paraId="388FE4D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BMI</w:t>
            </w:r>
          </w:p>
        </w:tc>
        <w:tc>
          <w:tcPr>
            <w:tcW w:w="342" w:type="dxa"/>
            <w:tcBorders>
              <w:top w:val="nil"/>
              <w:left w:val="nil"/>
              <w:bottom w:val="nil"/>
              <w:right w:val="nil"/>
            </w:tcBorders>
            <w:shd w:val="clear" w:color="000000" w:fill="FFFFFF"/>
            <w:noWrap/>
            <w:hideMark/>
          </w:tcPr>
          <w:p w14:paraId="67E08F1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2CDD4A1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4070D0D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43098D1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gridSpan w:val="2"/>
            <w:tcBorders>
              <w:top w:val="nil"/>
              <w:left w:val="nil"/>
              <w:bottom w:val="nil"/>
              <w:right w:val="nil"/>
            </w:tcBorders>
            <w:shd w:val="clear" w:color="000000" w:fill="FFFFFF"/>
            <w:noWrap/>
            <w:hideMark/>
          </w:tcPr>
          <w:p w14:paraId="6075BCC2"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tcBorders>
              <w:top w:val="nil"/>
              <w:left w:val="nil"/>
              <w:bottom w:val="nil"/>
              <w:right w:val="nil"/>
            </w:tcBorders>
            <w:shd w:val="clear" w:color="000000" w:fill="FFFFFF"/>
            <w:noWrap/>
            <w:hideMark/>
          </w:tcPr>
          <w:p w14:paraId="23C2919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7A58D72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3D43BA75"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6A54DD9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54C4CCF4"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gridSpan w:val="2"/>
            <w:tcBorders>
              <w:top w:val="nil"/>
              <w:left w:val="nil"/>
              <w:bottom w:val="nil"/>
              <w:right w:val="nil"/>
            </w:tcBorders>
            <w:shd w:val="clear" w:color="000000" w:fill="FFFFFF"/>
            <w:noWrap/>
            <w:hideMark/>
          </w:tcPr>
          <w:p w14:paraId="62A383A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35FF725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23D356E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7DBA35E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1" w:type="dxa"/>
            <w:tcBorders>
              <w:top w:val="nil"/>
              <w:left w:val="nil"/>
              <w:bottom w:val="nil"/>
              <w:right w:val="nil"/>
            </w:tcBorders>
            <w:shd w:val="clear" w:color="000000" w:fill="FFFFFF"/>
            <w:noWrap/>
            <w:hideMark/>
          </w:tcPr>
          <w:p w14:paraId="6BB20800"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365" w:type="dxa"/>
            <w:tcBorders>
              <w:top w:val="nil"/>
              <w:left w:val="nil"/>
              <w:bottom w:val="nil"/>
              <w:right w:val="nil"/>
            </w:tcBorders>
            <w:shd w:val="clear" w:color="000000" w:fill="FFFFFF"/>
            <w:noWrap/>
            <w:hideMark/>
          </w:tcPr>
          <w:p w14:paraId="4F73133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940" w:type="dxa"/>
            <w:tcBorders>
              <w:top w:val="nil"/>
              <w:left w:val="nil"/>
              <w:bottom w:val="nil"/>
              <w:right w:val="nil"/>
            </w:tcBorders>
            <w:shd w:val="clear" w:color="000000" w:fill="FFFFFF"/>
            <w:noWrap/>
            <w:hideMark/>
          </w:tcPr>
          <w:p w14:paraId="0CB438F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08" w:type="dxa"/>
            <w:tcBorders>
              <w:top w:val="nil"/>
              <w:left w:val="nil"/>
              <w:bottom w:val="nil"/>
              <w:right w:val="nil"/>
            </w:tcBorders>
            <w:shd w:val="clear" w:color="000000" w:fill="FFFFFF"/>
            <w:noWrap/>
            <w:hideMark/>
          </w:tcPr>
          <w:p w14:paraId="78F9058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10" w:type="dxa"/>
            <w:tcBorders>
              <w:top w:val="nil"/>
              <w:left w:val="nil"/>
              <w:bottom w:val="nil"/>
              <w:right w:val="nil"/>
            </w:tcBorders>
            <w:shd w:val="clear" w:color="000000" w:fill="FFFFFF"/>
            <w:noWrap/>
            <w:hideMark/>
          </w:tcPr>
          <w:p w14:paraId="04554085"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8" w:type="dxa"/>
            <w:tcBorders>
              <w:top w:val="nil"/>
              <w:left w:val="nil"/>
              <w:bottom w:val="nil"/>
              <w:right w:val="nil"/>
            </w:tcBorders>
            <w:shd w:val="clear" w:color="000000" w:fill="FFFFFF"/>
            <w:noWrap/>
            <w:hideMark/>
          </w:tcPr>
          <w:p w14:paraId="5598DE32"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4B323C" w:rsidRPr="00C76E19" w14:paraId="649B3E57" w14:textId="77777777" w:rsidTr="00573D81">
        <w:trPr>
          <w:gridAfter w:val="1"/>
          <w:wAfter w:w="103" w:type="dxa"/>
        </w:trPr>
        <w:tc>
          <w:tcPr>
            <w:tcW w:w="1959" w:type="dxa"/>
            <w:tcBorders>
              <w:top w:val="nil"/>
              <w:left w:val="nil"/>
              <w:bottom w:val="nil"/>
              <w:right w:val="nil"/>
            </w:tcBorders>
            <w:shd w:val="clear" w:color="000000" w:fill="FFFFFF"/>
            <w:noWrap/>
            <w:hideMark/>
          </w:tcPr>
          <w:p w14:paraId="29D1D983" w14:textId="2E3D679E" w:rsidR="00F708F6" w:rsidRPr="00AE2A93" w:rsidRDefault="00F708F6"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&lt;</w:t>
            </w:r>
            <w:r w:rsidR="004B323C" w:rsidRPr="00AE2A93">
              <w:rPr>
                <w:rFonts w:ascii="Book Antiqua" w:hAnsi="Book Antiqua"/>
                <w:color w:val="000000"/>
              </w:rPr>
              <w:t xml:space="preserve"> </w:t>
            </w:r>
            <w:r w:rsidRPr="00AE2A93">
              <w:rPr>
                <w:rFonts w:ascii="Book Antiqua" w:hAnsi="Book Antiqua"/>
                <w:color w:val="000000"/>
              </w:rPr>
              <w:t>18.5</w:t>
            </w:r>
          </w:p>
        </w:tc>
        <w:tc>
          <w:tcPr>
            <w:tcW w:w="342" w:type="dxa"/>
            <w:tcBorders>
              <w:top w:val="nil"/>
              <w:left w:val="nil"/>
              <w:bottom w:val="nil"/>
              <w:right w:val="nil"/>
            </w:tcBorders>
            <w:shd w:val="clear" w:color="000000" w:fill="FFFFFF"/>
            <w:noWrap/>
            <w:hideMark/>
          </w:tcPr>
          <w:p w14:paraId="6DB4F0B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5183868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3DCBDD9A"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5101358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gridSpan w:val="2"/>
            <w:tcBorders>
              <w:top w:val="nil"/>
              <w:left w:val="nil"/>
              <w:bottom w:val="nil"/>
              <w:right w:val="nil"/>
            </w:tcBorders>
            <w:shd w:val="clear" w:color="000000" w:fill="FFFFFF"/>
            <w:noWrap/>
            <w:hideMark/>
          </w:tcPr>
          <w:p w14:paraId="366EB0E4"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tcBorders>
              <w:top w:val="nil"/>
              <w:left w:val="nil"/>
              <w:bottom w:val="nil"/>
              <w:right w:val="nil"/>
            </w:tcBorders>
            <w:shd w:val="clear" w:color="000000" w:fill="FFFFFF"/>
            <w:noWrap/>
            <w:hideMark/>
          </w:tcPr>
          <w:p w14:paraId="399A021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top w:val="nil"/>
              <w:left w:val="nil"/>
              <w:bottom w:val="nil"/>
              <w:right w:val="nil"/>
            </w:tcBorders>
            <w:shd w:val="clear" w:color="000000" w:fill="FFFFFF"/>
            <w:noWrap/>
            <w:hideMark/>
          </w:tcPr>
          <w:p w14:paraId="644E9A85"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1.936 </w:t>
            </w:r>
          </w:p>
        </w:tc>
        <w:tc>
          <w:tcPr>
            <w:tcW w:w="554" w:type="dxa"/>
            <w:tcBorders>
              <w:top w:val="nil"/>
              <w:left w:val="nil"/>
              <w:bottom w:val="nil"/>
              <w:right w:val="nil"/>
            </w:tcBorders>
            <w:shd w:val="clear" w:color="000000" w:fill="FFFFFF"/>
            <w:noWrap/>
            <w:hideMark/>
          </w:tcPr>
          <w:p w14:paraId="368AD7A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0.682 </w:t>
            </w:r>
          </w:p>
        </w:tc>
        <w:tc>
          <w:tcPr>
            <w:tcW w:w="554" w:type="dxa"/>
            <w:tcBorders>
              <w:top w:val="nil"/>
              <w:left w:val="nil"/>
              <w:bottom w:val="nil"/>
              <w:right w:val="nil"/>
            </w:tcBorders>
            <w:shd w:val="clear" w:color="000000" w:fill="FFFFFF"/>
            <w:noWrap/>
            <w:hideMark/>
          </w:tcPr>
          <w:p w14:paraId="0780EF4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6.535 </w:t>
            </w:r>
          </w:p>
        </w:tc>
        <w:tc>
          <w:tcPr>
            <w:tcW w:w="554" w:type="dxa"/>
            <w:tcBorders>
              <w:top w:val="nil"/>
              <w:left w:val="nil"/>
              <w:bottom w:val="nil"/>
              <w:right w:val="nil"/>
            </w:tcBorders>
            <w:shd w:val="clear" w:color="000000" w:fill="FFFFFF"/>
            <w:noWrap/>
            <w:hideMark/>
          </w:tcPr>
          <w:p w14:paraId="7867373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0.244 </w:t>
            </w:r>
          </w:p>
        </w:tc>
        <w:tc>
          <w:tcPr>
            <w:tcW w:w="554" w:type="dxa"/>
            <w:gridSpan w:val="2"/>
            <w:tcBorders>
              <w:top w:val="nil"/>
              <w:left w:val="nil"/>
              <w:bottom w:val="nil"/>
              <w:right w:val="nil"/>
            </w:tcBorders>
            <w:shd w:val="clear" w:color="000000" w:fill="FFFFFF"/>
            <w:noWrap/>
            <w:hideMark/>
          </w:tcPr>
          <w:p w14:paraId="4507D8E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591864EA"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17E446C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2B7C8EC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1" w:type="dxa"/>
            <w:tcBorders>
              <w:top w:val="nil"/>
              <w:left w:val="nil"/>
              <w:bottom w:val="nil"/>
              <w:right w:val="nil"/>
            </w:tcBorders>
            <w:shd w:val="clear" w:color="000000" w:fill="FFFFFF"/>
            <w:noWrap/>
            <w:hideMark/>
          </w:tcPr>
          <w:p w14:paraId="647EF2A9"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365" w:type="dxa"/>
            <w:tcBorders>
              <w:top w:val="nil"/>
              <w:left w:val="nil"/>
              <w:bottom w:val="nil"/>
              <w:right w:val="nil"/>
            </w:tcBorders>
            <w:shd w:val="clear" w:color="000000" w:fill="FFFFFF"/>
            <w:noWrap/>
            <w:hideMark/>
          </w:tcPr>
          <w:p w14:paraId="552E19F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940" w:type="dxa"/>
            <w:tcBorders>
              <w:top w:val="nil"/>
              <w:left w:val="nil"/>
              <w:bottom w:val="nil"/>
              <w:right w:val="nil"/>
            </w:tcBorders>
            <w:shd w:val="clear" w:color="000000" w:fill="FFFFFF"/>
            <w:noWrap/>
            <w:hideMark/>
          </w:tcPr>
          <w:p w14:paraId="64A7340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08" w:type="dxa"/>
            <w:tcBorders>
              <w:top w:val="nil"/>
              <w:left w:val="nil"/>
              <w:bottom w:val="nil"/>
              <w:right w:val="nil"/>
            </w:tcBorders>
            <w:shd w:val="clear" w:color="000000" w:fill="FFFFFF"/>
            <w:noWrap/>
            <w:hideMark/>
          </w:tcPr>
          <w:p w14:paraId="7D84EBA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10" w:type="dxa"/>
            <w:tcBorders>
              <w:top w:val="nil"/>
              <w:left w:val="nil"/>
              <w:bottom w:val="nil"/>
              <w:right w:val="nil"/>
            </w:tcBorders>
            <w:shd w:val="clear" w:color="000000" w:fill="FFFFFF"/>
            <w:noWrap/>
            <w:hideMark/>
          </w:tcPr>
          <w:p w14:paraId="6F524FF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8" w:type="dxa"/>
            <w:tcBorders>
              <w:top w:val="nil"/>
              <w:left w:val="nil"/>
              <w:bottom w:val="nil"/>
              <w:right w:val="nil"/>
            </w:tcBorders>
            <w:shd w:val="clear" w:color="000000" w:fill="FFFFFF"/>
            <w:noWrap/>
            <w:hideMark/>
          </w:tcPr>
          <w:p w14:paraId="43D1D9BF"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4B323C" w:rsidRPr="00C76E19" w14:paraId="0D1A0480" w14:textId="77777777" w:rsidTr="00573D81">
        <w:trPr>
          <w:gridAfter w:val="1"/>
          <w:wAfter w:w="103" w:type="dxa"/>
        </w:trPr>
        <w:tc>
          <w:tcPr>
            <w:tcW w:w="1959" w:type="dxa"/>
            <w:tcBorders>
              <w:top w:val="nil"/>
              <w:left w:val="nil"/>
              <w:right w:val="nil"/>
            </w:tcBorders>
            <w:shd w:val="clear" w:color="000000" w:fill="FFFFFF"/>
            <w:noWrap/>
            <w:hideMark/>
          </w:tcPr>
          <w:p w14:paraId="32B37429" w14:textId="5F300522" w:rsidR="00F708F6" w:rsidRPr="00AE2A93" w:rsidRDefault="00F708F6"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18.5</w:t>
            </w:r>
            <w:r w:rsidR="004B323C" w:rsidRPr="00AE2A93">
              <w:rPr>
                <w:rFonts w:ascii="Book Antiqua" w:eastAsia="宋体" w:hAnsi="Book Antiqua"/>
                <w:color w:val="000000"/>
                <w:lang w:eastAsia="zh-CN"/>
              </w:rPr>
              <w:t>-</w:t>
            </w:r>
            <w:r w:rsidRPr="00AE2A93">
              <w:rPr>
                <w:rFonts w:ascii="Book Antiqua" w:hAnsi="Book Antiqua"/>
                <w:color w:val="000000"/>
              </w:rPr>
              <w:t>23.9</w:t>
            </w:r>
          </w:p>
        </w:tc>
        <w:tc>
          <w:tcPr>
            <w:tcW w:w="342" w:type="dxa"/>
            <w:tcBorders>
              <w:top w:val="nil"/>
              <w:left w:val="nil"/>
              <w:right w:val="nil"/>
            </w:tcBorders>
            <w:shd w:val="clear" w:color="000000" w:fill="FFFFFF"/>
            <w:noWrap/>
            <w:hideMark/>
          </w:tcPr>
          <w:p w14:paraId="18EEA7C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right w:val="nil"/>
            </w:tcBorders>
            <w:shd w:val="clear" w:color="000000" w:fill="FFFFFF"/>
            <w:noWrap/>
            <w:hideMark/>
          </w:tcPr>
          <w:p w14:paraId="16A627D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right w:val="nil"/>
            </w:tcBorders>
            <w:shd w:val="clear" w:color="000000" w:fill="FFFFFF"/>
            <w:noWrap/>
            <w:hideMark/>
          </w:tcPr>
          <w:p w14:paraId="7F52908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right w:val="nil"/>
            </w:tcBorders>
            <w:shd w:val="clear" w:color="000000" w:fill="FFFFFF"/>
            <w:noWrap/>
            <w:hideMark/>
          </w:tcPr>
          <w:p w14:paraId="1D7FAB2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gridSpan w:val="2"/>
            <w:tcBorders>
              <w:top w:val="nil"/>
              <w:left w:val="nil"/>
              <w:right w:val="nil"/>
            </w:tcBorders>
            <w:shd w:val="clear" w:color="000000" w:fill="FFFFFF"/>
            <w:noWrap/>
            <w:hideMark/>
          </w:tcPr>
          <w:p w14:paraId="45D64A8A"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tcBorders>
              <w:top w:val="nil"/>
              <w:left w:val="nil"/>
              <w:right w:val="nil"/>
            </w:tcBorders>
            <w:shd w:val="clear" w:color="000000" w:fill="FFFFFF"/>
            <w:noWrap/>
            <w:hideMark/>
          </w:tcPr>
          <w:p w14:paraId="32A50C1A"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top w:val="nil"/>
              <w:left w:val="nil"/>
              <w:right w:val="nil"/>
            </w:tcBorders>
            <w:shd w:val="clear" w:color="000000" w:fill="FFFFFF"/>
            <w:noWrap/>
            <w:hideMark/>
          </w:tcPr>
          <w:p w14:paraId="00CE098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0.826 </w:t>
            </w:r>
          </w:p>
        </w:tc>
        <w:tc>
          <w:tcPr>
            <w:tcW w:w="554" w:type="dxa"/>
            <w:tcBorders>
              <w:top w:val="nil"/>
              <w:left w:val="nil"/>
              <w:right w:val="nil"/>
            </w:tcBorders>
            <w:shd w:val="clear" w:color="000000" w:fill="FFFFFF"/>
            <w:noWrap/>
            <w:hideMark/>
          </w:tcPr>
          <w:p w14:paraId="7B504FD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0.292 </w:t>
            </w:r>
          </w:p>
        </w:tc>
        <w:tc>
          <w:tcPr>
            <w:tcW w:w="554" w:type="dxa"/>
            <w:tcBorders>
              <w:top w:val="nil"/>
              <w:left w:val="nil"/>
              <w:right w:val="nil"/>
            </w:tcBorders>
            <w:shd w:val="clear" w:color="000000" w:fill="FFFFFF"/>
            <w:noWrap/>
            <w:hideMark/>
          </w:tcPr>
          <w:p w14:paraId="5313D61A"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2.755 </w:t>
            </w:r>
          </w:p>
        </w:tc>
        <w:tc>
          <w:tcPr>
            <w:tcW w:w="554" w:type="dxa"/>
            <w:tcBorders>
              <w:top w:val="nil"/>
              <w:left w:val="nil"/>
              <w:right w:val="nil"/>
            </w:tcBorders>
            <w:shd w:val="clear" w:color="000000" w:fill="FFFFFF"/>
            <w:noWrap/>
            <w:hideMark/>
          </w:tcPr>
          <w:p w14:paraId="3B09978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0.733 </w:t>
            </w:r>
          </w:p>
        </w:tc>
        <w:tc>
          <w:tcPr>
            <w:tcW w:w="554" w:type="dxa"/>
            <w:gridSpan w:val="2"/>
            <w:tcBorders>
              <w:top w:val="nil"/>
              <w:left w:val="nil"/>
              <w:right w:val="nil"/>
            </w:tcBorders>
            <w:shd w:val="clear" w:color="000000" w:fill="FFFFFF"/>
            <w:noWrap/>
            <w:hideMark/>
          </w:tcPr>
          <w:p w14:paraId="5C8295E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right w:val="nil"/>
            </w:tcBorders>
            <w:shd w:val="clear" w:color="000000" w:fill="FFFFFF"/>
            <w:noWrap/>
            <w:hideMark/>
          </w:tcPr>
          <w:p w14:paraId="18BE5D1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right w:val="nil"/>
            </w:tcBorders>
            <w:shd w:val="clear" w:color="000000" w:fill="FFFFFF"/>
            <w:noWrap/>
            <w:hideMark/>
          </w:tcPr>
          <w:p w14:paraId="5A05495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right w:val="nil"/>
            </w:tcBorders>
            <w:shd w:val="clear" w:color="000000" w:fill="FFFFFF"/>
            <w:noWrap/>
            <w:hideMark/>
          </w:tcPr>
          <w:p w14:paraId="17DA70B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1" w:type="dxa"/>
            <w:tcBorders>
              <w:top w:val="nil"/>
              <w:left w:val="nil"/>
              <w:right w:val="nil"/>
            </w:tcBorders>
            <w:shd w:val="clear" w:color="000000" w:fill="FFFFFF"/>
            <w:noWrap/>
            <w:hideMark/>
          </w:tcPr>
          <w:p w14:paraId="32239AA3"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365" w:type="dxa"/>
            <w:tcBorders>
              <w:top w:val="nil"/>
              <w:left w:val="nil"/>
              <w:right w:val="nil"/>
            </w:tcBorders>
            <w:shd w:val="clear" w:color="000000" w:fill="FFFFFF"/>
            <w:noWrap/>
            <w:hideMark/>
          </w:tcPr>
          <w:p w14:paraId="0D81977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940" w:type="dxa"/>
            <w:tcBorders>
              <w:top w:val="nil"/>
              <w:left w:val="nil"/>
              <w:right w:val="nil"/>
            </w:tcBorders>
            <w:shd w:val="clear" w:color="000000" w:fill="FFFFFF"/>
            <w:noWrap/>
            <w:hideMark/>
          </w:tcPr>
          <w:p w14:paraId="3F9D27D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08" w:type="dxa"/>
            <w:tcBorders>
              <w:top w:val="nil"/>
              <w:left w:val="nil"/>
              <w:right w:val="nil"/>
            </w:tcBorders>
            <w:shd w:val="clear" w:color="000000" w:fill="FFFFFF"/>
            <w:noWrap/>
            <w:hideMark/>
          </w:tcPr>
          <w:p w14:paraId="0B0F55D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10" w:type="dxa"/>
            <w:tcBorders>
              <w:top w:val="nil"/>
              <w:left w:val="nil"/>
              <w:right w:val="nil"/>
            </w:tcBorders>
            <w:shd w:val="clear" w:color="000000" w:fill="FFFFFF"/>
            <w:noWrap/>
            <w:hideMark/>
          </w:tcPr>
          <w:p w14:paraId="665D5CB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8" w:type="dxa"/>
            <w:tcBorders>
              <w:top w:val="nil"/>
              <w:left w:val="nil"/>
              <w:right w:val="nil"/>
            </w:tcBorders>
            <w:shd w:val="clear" w:color="000000" w:fill="FFFFFF"/>
            <w:noWrap/>
            <w:hideMark/>
          </w:tcPr>
          <w:p w14:paraId="26BBC8FB"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4B323C" w:rsidRPr="00C76E19" w14:paraId="412C1405" w14:textId="77777777" w:rsidTr="00573D81">
        <w:trPr>
          <w:gridAfter w:val="1"/>
          <w:wAfter w:w="103" w:type="dxa"/>
        </w:trPr>
        <w:tc>
          <w:tcPr>
            <w:tcW w:w="1959" w:type="dxa"/>
            <w:tcBorders>
              <w:top w:val="nil"/>
              <w:left w:val="nil"/>
              <w:bottom w:val="nil"/>
              <w:right w:val="nil"/>
            </w:tcBorders>
            <w:shd w:val="clear" w:color="000000" w:fill="FFFFFF"/>
            <w:noWrap/>
            <w:hideMark/>
          </w:tcPr>
          <w:p w14:paraId="3A2B68A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Residence area </w:t>
            </w:r>
          </w:p>
        </w:tc>
        <w:tc>
          <w:tcPr>
            <w:tcW w:w="342" w:type="dxa"/>
            <w:tcBorders>
              <w:top w:val="nil"/>
              <w:left w:val="nil"/>
              <w:bottom w:val="nil"/>
              <w:right w:val="nil"/>
            </w:tcBorders>
            <w:shd w:val="clear" w:color="000000" w:fill="FFFFFF"/>
            <w:noWrap/>
            <w:hideMark/>
          </w:tcPr>
          <w:p w14:paraId="4A579EF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1E793BF9"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2BFE90A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6001392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gridSpan w:val="2"/>
            <w:tcBorders>
              <w:top w:val="nil"/>
              <w:left w:val="nil"/>
              <w:bottom w:val="nil"/>
              <w:right w:val="nil"/>
            </w:tcBorders>
            <w:shd w:val="clear" w:color="000000" w:fill="FFFFFF"/>
            <w:noWrap/>
            <w:hideMark/>
          </w:tcPr>
          <w:p w14:paraId="29FA741F"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tcBorders>
              <w:top w:val="nil"/>
              <w:left w:val="nil"/>
              <w:bottom w:val="nil"/>
              <w:right w:val="nil"/>
            </w:tcBorders>
            <w:shd w:val="clear" w:color="000000" w:fill="FFFFFF"/>
            <w:noWrap/>
            <w:hideMark/>
          </w:tcPr>
          <w:p w14:paraId="701C4A4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085BA22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3E676EF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2119665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66787C5C"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gridSpan w:val="2"/>
            <w:tcBorders>
              <w:top w:val="nil"/>
              <w:left w:val="nil"/>
              <w:bottom w:val="nil"/>
              <w:right w:val="nil"/>
            </w:tcBorders>
            <w:shd w:val="clear" w:color="000000" w:fill="FFFFFF"/>
            <w:noWrap/>
            <w:hideMark/>
          </w:tcPr>
          <w:p w14:paraId="57432AA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46C8DAC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227D08E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31CAC016"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1" w:type="dxa"/>
            <w:tcBorders>
              <w:top w:val="nil"/>
              <w:left w:val="nil"/>
              <w:bottom w:val="nil"/>
              <w:right w:val="nil"/>
            </w:tcBorders>
            <w:shd w:val="clear" w:color="000000" w:fill="FFFFFF"/>
            <w:noWrap/>
            <w:hideMark/>
          </w:tcPr>
          <w:p w14:paraId="4A37DABE"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365" w:type="dxa"/>
            <w:tcBorders>
              <w:top w:val="nil"/>
              <w:left w:val="nil"/>
              <w:bottom w:val="nil"/>
              <w:right w:val="nil"/>
            </w:tcBorders>
            <w:shd w:val="clear" w:color="000000" w:fill="FFFFFF"/>
            <w:noWrap/>
            <w:hideMark/>
          </w:tcPr>
          <w:p w14:paraId="429C0A4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940" w:type="dxa"/>
            <w:tcBorders>
              <w:top w:val="nil"/>
              <w:left w:val="nil"/>
              <w:bottom w:val="nil"/>
              <w:right w:val="nil"/>
            </w:tcBorders>
            <w:shd w:val="clear" w:color="000000" w:fill="FFFFFF"/>
            <w:noWrap/>
            <w:hideMark/>
          </w:tcPr>
          <w:p w14:paraId="7743C2B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08" w:type="dxa"/>
            <w:tcBorders>
              <w:top w:val="nil"/>
              <w:left w:val="nil"/>
              <w:bottom w:val="nil"/>
              <w:right w:val="nil"/>
            </w:tcBorders>
            <w:shd w:val="clear" w:color="000000" w:fill="FFFFFF"/>
            <w:noWrap/>
            <w:hideMark/>
          </w:tcPr>
          <w:p w14:paraId="7D9321FA"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10" w:type="dxa"/>
            <w:tcBorders>
              <w:top w:val="nil"/>
              <w:left w:val="nil"/>
              <w:bottom w:val="nil"/>
              <w:right w:val="nil"/>
            </w:tcBorders>
            <w:shd w:val="clear" w:color="000000" w:fill="FFFFFF"/>
            <w:noWrap/>
            <w:hideMark/>
          </w:tcPr>
          <w:p w14:paraId="108B791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8" w:type="dxa"/>
            <w:tcBorders>
              <w:top w:val="nil"/>
              <w:left w:val="nil"/>
              <w:bottom w:val="nil"/>
              <w:right w:val="nil"/>
            </w:tcBorders>
            <w:shd w:val="clear" w:color="000000" w:fill="FFFFFF"/>
            <w:noWrap/>
            <w:hideMark/>
          </w:tcPr>
          <w:p w14:paraId="51B25322"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4B323C" w:rsidRPr="00C76E19" w14:paraId="50315DA7" w14:textId="77777777" w:rsidTr="00573D81">
        <w:trPr>
          <w:gridAfter w:val="1"/>
          <w:wAfter w:w="103" w:type="dxa"/>
        </w:trPr>
        <w:tc>
          <w:tcPr>
            <w:tcW w:w="1959" w:type="dxa"/>
            <w:tcBorders>
              <w:top w:val="nil"/>
              <w:left w:val="nil"/>
              <w:right w:val="nil"/>
            </w:tcBorders>
            <w:shd w:val="clear" w:color="000000" w:fill="FFFFFF"/>
            <w:noWrap/>
            <w:hideMark/>
          </w:tcPr>
          <w:p w14:paraId="5308E765" w14:textId="77777777" w:rsidR="00F708F6" w:rsidRPr="00AE2A93" w:rsidRDefault="00F708F6"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 xml:space="preserve">Urban city </w:t>
            </w:r>
          </w:p>
        </w:tc>
        <w:tc>
          <w:tcPr>
            <w:tcW w:w="342" w:type="dxa"/>
            <w:tcBorders>
              <w:top w:val="nil"/>
              <w:left w:val="nil"/>
              <w:right w:val="nil"/>
            </w:tcBorders>
            <w:shd w:val="clear" w:color="000000" w:fill="FFFFFF"/>
            <w:noWrap/>
            <w:hideMark/>
          </w:tcPr>
          <w:p w14:paraId="3B89639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right w:val="nil"/>
            </w:tcBorders>
            <w:shd w:val="clear" w:color="000000" w:fill="FFFFFF"/>
            <w:noWrap/>
            <w:hideMark/>
          </w:tcPr>
          <w:p w14:paraId="20BD8A3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right w:val="nil"/>
            </w:tcBorders>
            <w:shd w:val="clear" w:color="000000" w:fill="FFFFFF"/>
            <w:noWrap/>
            <w:hideMark/>
          </w:tcPr>
          <w:p w14:paraId="226D3AD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right w:val="nil"/>
            </w:tcBorders>
            <w:shd w:val="clear" w:color="000000" w:fill="FFFFFF"/>
            <w:noWrap/>
            <w:hideMark/>
          </w:tcPr>
          <w:p w14:paraId="5376835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gridSpan w:val="2"/>
            <w:tcBorders>
              <w:top w:val="nil"/>
              <w:left w:val="nil"/>
              <w:right w:val="nil"/>
            </w:tcBorders>
            <w:shd w:val="clear" w:color="000000" w:fill="FFFFFF"/>
            <w:noWrap/>
            <w:hideMark/>
          </w:tcPr>
          <w:p w14:paraId="049AC1BC"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tcBorders>
              <w:top w:val="nil"/>
              <w:left w:val="nil"/>
              <w:right w:val="nil"/>
            </w:tcBorders>
            <w:shd w:val="clear" w:color="000000" w:fill="FFFFFF"/>
            <w:noWrap/>
            <w:hideMark/>
          </w:tcPr>
          <w:p w14:paraId="68389CC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top w:val="nil"/>
              <w:left w:val="nil"/>
              <w:right w:val="nil"/>
            </w:tcBorders>
            <w:shd w:val="clear" w:color="000000" w:fill="FFFFFF"/>
            <w:noWrap/>
            <w:hideMark/>
          </w:tcPr>
          <w:p w14:paraId="5EE4258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0.521 </w:t>
            </w:r>
          </w:p>
        </w:tc>
        <w:tc>
          <w:tcPr>
            <w:tcW w:w="554" w:type="dxa"/>
            <w:tcBorders>
              <w:top w:val="nil"/>
              <w:left w:val="nil"/>
              <w:right w:val="nil"/>
            </w:tcBorders>
            <w:shd w:val="clear" w:color="000000" w:fill="FFFFFF"/>
            <w:noWrap/>
            <w:hideMark/>
          </w:tcPr>
          <w:p w14:paraId="717FDF8A"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0.246 </w:t>
            </w:r>
          </w:p>
        </w:tc>
        <w:tc>
          <w:tcPr>
            <w:tcW w:w="554" w:type="dxa"/>
            <w:tcBorders>
              <w:top w:val="nil"/>
              <w:left w:val="nil"/>
              <w:right w:val="nil"/>
            </w:tcBorders>
            <w:shd w:val="clear" w:color="000000" w:fill="FFFFFF"/>
            <w:noWrap/>
            <w:hideMark/>
          </w:tcPr>
          <w:p w14:paraId="51AF9FE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1.035 </w:t>
            </w:r>
          </w:p>
        </w:tc>
        <w:tc>
          <w:tcPr>
            <w:tcW w:w="554" w:type="dxa"/>
            <w:tcBorders>
              <w:top w:val="nil"/>
              <w:left w:val="nil"/>
              <w:right w:val="nil"/>
            </w:tcBorders>
            <w:shd w:val="clear" w:color="000000" w:fill="FFFFFF"/>
            <w:noWrap/>
            <w:hideMark/>
          </w:tcPr>
          <w:p w14:paraId="5995403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0.073 </w:t>
            </w:r>
          </w:p>
        </w:tc>
        <w:tc>
          <w:tcPr>
            <w:tcW w:w="554" w:type="dxa"/>
            <w:gridSpan w:val="2"/>
            <w:tcBorders>
              <w:top w:val="nil"/>
              <w:left w:val="nil"/>
              <w:right w:val="nil"/>
            </w:tcBorders>
            <w:shd w:val="clear" w:color="000000" w:fill="FFFFFF"/>
            <w:noWrap/>
            <w:hideMark/>
          </w:tcPr>
          <w:p w14:paraId="3F20B6D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right w:val="nil"/>
            </w:tcBorders>
            <w:shd w:val="clear" w:color="000000" w:fill="FFFFFF"/>
            <w:noWrap/>
            <w:hideMark/>
          </w:tcPr>
          <w:p w14:paraId="65124B56"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right w:val="nil"/>
            </w:tcBorders>
            <w:shd w:val="clear" w:color="000000" w:fill="FFFFFF"/>
            <w:noWrap/>
            <w:hideMark/>
          </w:tcPr>
          <w:p w14:paraId="09E1132A"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right w:val="nil"/>
            </w:tcBorders>
            <w:shd w:val="clear" w:color="000000" w:fill="FFFFFF"/>
            <w:noWrap/>
            <w:hideMark/>
          </w:tcPr>
          <w:p w14:paraId="1AA8DB79"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1" w:type="dxa"/>
            <w:tcBorders>
              <w:top w:val="nil"/>
              <w:left w:val="nil"/>
              <w:right w:val="nil"/>
            </w:tcBorders>
            <w:shd w:val="clear" w:color="000000" w:fill="FFFFFF"/>
            <w:noWrap/>
            <w:hideMark/>
          </w:tcPr>
          <w:p w14:paraId="5AF860AF"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365" w:type="dxa"/>
            <w:tcBorders>
              <w:top w:val="nil"/>
              <w:left w:val="nil"/>
              <w:right w:val="nil"/>
            </w:tcBorders>
            <w:shd w:val="clear" w:color="000000" w:fill="FFFFFF"/>
            <w:noWrap/>
            <w:hideMark/>
          </w:tcPr>
          <w:p w14:paraId="3511AC7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940" w:type="dxa"/>
            <w:tcBorders>
              <w:top w:val="nil"/>
              <w:left w:val="nil"/>
              <w:right w:val="nil"/>
            </w:tcBorders>
            <w:shd w:val="clear" w:color="000000" w:fill="FFFFFF"/>
            <w:noWrap/>
            <w:hideMark/>
          </w:tcPr>
          <w:p w14:paraId="02133FA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08" w:type="dxa"/>
            <w:tcBorders>
              <w:top w:val="nil"/>
              <w:left w:val="nil"/>
              <w:right w:val="nil"/>
            </w:tcBorders>
            <w:shd w:val="clear" w:color="000000" w:fill="FFFFFF"/>
            <w:noWrap/>
            <w:hideMark/>
          </w:tcPr>
          <w:p w14:paraId="377CE5D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10" w:type="dxa"/>
            <w:tcBorders>
              <w:top w:val="nil"/>
              <w:left w:val="nil"/>
              <w:right w:val="nil"/>
            </w:tcBorders>
            <w:shd w:val="clear" w:color="000000" w:fill="FFFFFF"/>
            <w:noWrap/>
            <w:hideMark/>
          </w:tcPr>
          <w:p w14:paraId="4D8B627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8" w:type="dxa"/>
            <w:tcBorders>
              <w:top w:val="nil"/>
              <w:left w:val="nil"/>
              <w:right w:val="nil"/>
            </w:tcBorders>
            <w:shd w:val="clear" w:color="000000" w:fill="FFFFFF"/>
            <w:noWrap/>
            <w:hideMark/>
          </w:tcPr>
          <w:p w14:paraId="774C965D"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4B323C" w:rsidRPr="00C76E19" w14:paraId="704003C4" w14:textId="77777777" w:rsidTr="00573D81">
        <w:trPr>
          <w:gridAfter w:val="1"/>
          <w:wAfter w:w="103" w:type="dxa"/>
        </w:trPr>
        <w:tc>
          <w:tcPr>
            <w:tcW w:w="1959" w:type="dxa"/>
            <w:tcBorders>
              <w:top w:val="nil"/>
              <w:left w:val="nil"/>
              <w:bottom w:val="nil"/>
              <w:right w:val="nil"/>
            </w:tcBorders>
            <w:shd w:val="clear" w:color="000000" w:fill="FFFFFF"/>
            <w:noWrap/>
            <w:hideMark/>
          </w:tcPr>
          <w:p w14:paraId="10E2B0DA"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Insurance plan </w:t>
            </w:r>
          </w:p>
        </w:tc>
        <w:tc>
          <w:tcPr>
            <w:tcW w:w="342" w:type="dxa"/>
            <w:tcBorders>
              <w:top w:val="nil"/>
              <w:left w:val="nil"/>
              <w:bottom w:val="nil"/>
              <w:right w:val="nil"/>
            </w:tcBorders>
            <w:shd w:val="clear" w:color="000000" w:fill="FFFFFF"/>
            <w:noWrap/>
            <w:hideMark/>
          </w:tcPr>
          <w:p w14:paraId="27E3273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5064CF0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466671F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632FF73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gridSpan w:val="2"/>
            <w:tcBorders>
              <w:top w:val="nil"/>
              <w:left w:val="nil"/>
              <w:bottom w:val="nil"/>
              <w:right w:val="nil"/>
            </w:tcBorders>
            <w:shd w:val="clear" w:color="000000" w:fill="FFFFFF"/>
            <w:noWrap/>
            <w:hideMark/>
          </w:tcPr>
          <w:p w14:paraId="422AC514"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tcBorders>
              <w:top w:val="nil"/>
              <w:left w:val="nil"/>
              <w:bottom w:val="nil"/>
              <w:right w:val="nil"/>
            </w:tcBorders>
            <w:shd w:val="clear" w:color="000000" w:fill="FFFFFF"/>
            <w:noWrap/>
            <w:hideMark/>
          </w:tcPr>
          <w:p w14:paraId="4B5F075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17AA8FD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055C29A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3BB5E42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4BFD62E9"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gridSpan w:val="2"/>
            <w:tcBorders>
              <w:top w:val="nil"/>
              <w:left w:val="nil"/>
              <w:bottom w:val="nil"/>
              <w:right w:val="nil"/>
            </w:tcBorders>
            <w:shd w:val="clear" w:color="000000" w:fill="FFFFFF"/>
            <w:noWrap/>
            <w:hideMark/>
          </w:tcPr>
          <w:p w14:paraId="6C84453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296045E5"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6D661FD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01E10135"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1" w:type="dxa"/>
            <w:tcBorders>
              <w:top w:val="nil"/>
              <w:left w:val="nil"/>
              <w:bottom w:val="nil"/>
              <w:right w:val="nil"/>
            </w:tcBorders>
            <w:shd w:val="clear" w:color="000000" w:fill="FFFFFF"/>
            <w:noWrap/>
            <w:hideMark/>
          </w:tcPr>
          <w:p w14:paraId="2FF8106B"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365" w:type="dxa"/>
            <w:tcBorders>
              <w:top w:val="nil"/>
              <w:left w:val="nil"/>
              <w:bottom w:val="nil"/>
              <w:right w:val="nil"/>
            </w:tcBorders>
            <w:shd w:val="clear" w:color="000000" w:fill="FFFFFF"/>
            <w:noWrap/>
            <w:hideMark/>
          </w:tcPr>
          <w:p w14:paraId="78432145"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940" w:type="dxa"/>
            <w:tcBorders>
              <w:top w:val="nil"/>
              <w:left w:val="nil"/>
              <w:bottom w:val="nil"/>
              <w:right w:val="nil"/>
            </w:tcBorders>
            <w:shd w:val="clear" w:color="000000" w:fill="FFFFFF"/>
            <w:noWrap/>
            <w:hideMark/>
          </w:tcPr>
          <w:p w14:paraId="42603C4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08" w:type="dxa"/>
            <w:tcBorders>
              <w:top w:val="nil"/>
              <w:left w:val="nil"/>
              <w:bottom w:val="nil"/>
              <w:right w:val="nil"/>
            </w:tcBorders>
            <w:shd w:val="clear" w:color="000000" w:fill="FFFFFF"/>
            <w:noWrap/>
            <w:hideMark/>
          </w:tcPr>
          <w:p w14:paraId="00F5D63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10" w:type="dxa"/>
            <w:tcBorders>
              <w:top w:val="nil"/>
              <w:left w:val="nil"/>
              <w:bottom w:val="nil"/>
              <w:right w:val="nil"/>
            </w:tcBorders>
            <w:shd w:val="clear" w:color="000000" w:fill="FFFFFF"/>
            <w:noWrap/>
            <w:hideMark/>
          </w:tcPr>
          <w:p w14:paraId="72272AE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8" w:type="dxa"/>
            <w:tcBorders>
              <w:top w:val="nil"/>
              <w:left w:val="nil"/>
              <w:bottom w:val="nil"/>
              <w:right w:val="nil"/>
            </w:tcBorders>
            <w:shd w:val="clear" w:color="000000" w:fill="FFFFFF"/>
            <w:noWrap/>
            <w:hideMark/>
          </w:tcPr>
          <w:p w14:paraId="63A5F1F4"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4B323C" w:rsidRPr="00C76E19" w14:paraId="525E7490" w14:textId="77777777" w:rsidTr="00573D81">
        <w:trPr>
          <w:gridAfter w:val="1"/>
          <w:wAfter w:w="103" w:type="dxa"/>
        </w:trPr>
        <w:tc>
          <w:tcPr>
            <w:tcW w:w="1959" w:type="dxa"/>
            <w:tcBorders>
              <w:top w:val="nil"/>
              <w:left w:val="nil"/>
              <w:bottom w:val="nil"/>
              <w:right w:val="nil"/>
            </w:tcBorders>
            <w:shd w:val="clear" w:color="000000" w:fill="FFFFFF"/>
            <w:noWrap/>
            <w:hideMark/>
          </w:tcPr>
          <w:p w14:paraId="62DD6625" w14:textId="77777777" w:rsidR="00F708F6" w:rsidRPr="00AE2A93" w:rsidRDefault="00F708F6"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 xml:space="preserve">Farmar </w:t>
            </w:r>
          </w:p>
        </w:tc>
        <w:tc>
          <w:tcPr>
            <w:tcW w:w="342" w:type="dxa"/>
            <w:tcBorders>
              <w:top w:val="nil"/>
              <w:left w:val="nil"/>
              <w:bottom w:val="nil"/>
              <w:right w:val="nil"/>
            </w:tcBorders>
            <w:shd w:val="clear" w:color="000000" w:fill="FFFFFF"/>
            <w:noWrap/>
            <w:hideMark/>
          </w:tcPr>
          <w:p w14:paraId="5C0F49F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top w:val="nil"/>
              <w:left w:val="nil"/>
              <w:bottom w:val="nil"/>
              <w:right w:val="nil"/>
            </w:tcBorders>
            <w:shd w:val="clear" w:color="000000" w:fill="FFFFFF"/>
            <w:noWrap/>
            <w:hideMark/>
          </w:tcPr>
          <w:p w14:paraId="5196A369"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0.384 </w:t>
            </w:r>
          </w:p>
        </w:tc>
        <w:tc>
          <w:tcPr>
            <w:tcW w:w="553" w:type="dxa"/>
            <w:tcBorders>
              <w:top w:val="nil"/>
              <w:left w:val="nil"/>
              <w:bottom w:val="nil"/>
              <w:right w:val="nil"/>
            </w:tcBorders>
            <w:shd w:val="clear" w:color="000000" w:fill="FFFFFF"/>
            <w:noWrap/>
            <w:hideMark/>
          </w:tcPr>
          <w:p w14:paraId="1B07E2F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0.098 </w:t>
            </w:r>
          </w:p>
        </w:tc>
        <w:tc>
          <w:tcPr>
            <w:tcW w:w="553" w:type="dxa"/>
            <w:tcBorders>
              <w:top w:val="nil"/>
              <w:left w:val="nil"/>
              <w:bottom w:val="nil"/>
              <w:right w:val="nil"/>
            </w:tcBorders>
            <w:shd w:val="clear" w:color="000000" w:fill="FFFFFF"/>
            <w:noWrap/>
            <w:hideMark/>
          </w:tcPr>
          <w:p w14:paraId="1899EB5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1.634 </w:t>
            </w:r>
          </w:p>
        </w:tc>
        <w:tc>
          <w:tcPr>
            <w:tcW w:w="554" w:type="dxa"/>
            <w:gridSpan w:val="2"/>
            <w:tcBorders>
              <w:top w:val="nil"/>
              <w:left w:val="nil"/>
              <w:bottom w:val="nil"/>
              <w:right w:val="nil"/>
            </w:tcBorders>
            <w:shd w:val="clear" w:color="000000" w:fill="FFFFFF"/>
            <w:noWrap/>
            <w:hideMark/>
          </w:tcPr>
          <w:p w14:paraId="63E5BCB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0.178 </w:t>
            </w:r>
          </w:p>
        </w:tc>
        <w:tc>
          <w:tcPr>
            <w:tcW w:w="554" w:type="dxa"/>
            <w:tcBorders>
              <w:top w:val="nil"/>
              <w:left w:val="nil"/>
              <w:bottom w:val="nil"/>
              <w:right w:val="nil"/>
            </w:tcBorders>
            <w:shd w:val="clear" w:color="000000" w:fill="FFFFFF"/>
            <w:noWrap/>
            <w:hideMark/>
          </w:tcPr>
          <w:p w14:paraId="28C28B8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4A705DE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53CEBA1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3CC6AC8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2CD651AD"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gridSpan w:val="2"/>
            <w:tcBorders>
              <w:top w:val="nil"/>
              <w:left w:val="nil"/>
              <w:bottom w:val="nil"/>
              <w:right w:val="nil"/>
            </w:tcBorders>
            <w:shd w:val="clear" w:color="000000" w:fill="FFFFFF"/>
            <w:noWrap/>
            <w:hideMark/>
          </w:tcPr>
          <w:p w14:paraId="11CE710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37D1B9B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03CF25A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3CE3848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1" w:type="dxa"/>
            <w:tcBorders>
              <w:top w:val="nil"/>
              <w:left w:val="nil"/>
              <w:bottom w:val="nil"/>
              <w:right w:val="nil"/>
            </w:tcBorders>
            <w:shd w:val="clear" w:color="000000" w:fill="FFFFFF"/>
            <w:noWrap/>
            <w:hideMark/>
          </w:tcPr>
          <w:p w14:paraId="7F5F1BBB"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365" w:type="dxa"/>
            <w:tcBorders>
              <w:top w:val="nil"/>
              <w:left w:val="nil"/>
              <w:bottom w:val="nil"/>
              <w:right w:val="nil"/>
            </w:tcBorders>
            <w:shd w:val="clear" w:color="000000" w:fill="FFFFFF"/>
            <w:noWrap/>
            <w:hideMark/>
          </w:tcPr>
          <w:p w14:paraId="6CDD387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940" w:type="dxa"/>
            <w:tcBorders>
              <w:top w:val="nil"/>
              <w:left w:val="nil"/>
              <w:bottom w:val="nil"/>
              <w:right w:val="nil"/>
            </w:tcBorders>
            <w:shd w:val="clear" w:color="000000" w:fill="FFFFFF"/>
            <w:noWrap/>
            <w:hideMark/>
          </w:tcPr>
          <w:p w14:paraId="7DCB463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08" w:type="dxa"/>
            <w:tcBorders>
              <w:top w:val="nil"/>
              <w:left w:val="nil"/>
              <w:bottom w:val="nil"/>
              <w:right w:val="nil"/>
            </w:tcBorders>
            <w:shd w:val="clear" w:color="000000" w:fill="FFFFFF"/>
            <w:noWrap/>
            <w:hideMark/>
          </w:tcPr>
          <w:p w14:paraId="7A511C2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10" w:type="dxa"/>
            <w:tcBorders>
              <w:top w:val="nil"/>
              <w:left w:val="nil"/>
              <w:bottom w:val="nil"/>
              <w:right w:val="nil"/>
            </w:tcBorders>
            <w:shd w:val="clear" w:color="000000" w:fill="FFFFFF"/>
            <w:noWrap/>
            <w:hideMark/>
          </w:tcPr>
          <w:p w14:paraId="14B2916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8" w:type="dxa"/>
            <w:tcBorders>
              <w:top w:val="nil"/>
              <w:left w:val="nil"/>
              <w:bottom w:val="nil"/>
              <w:right w:val="nil"/>
            </w:tcBorders>
            <w:shd w:val="clear" w:color="000000" w:fill="FFFFFF"/>
            <w:noWrap/>
            <w:hideMark/>
          </w:tcPr>
          <w:p w14:paraId="21804EDF"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4B323C" w:rsidRPr="00C76E19" w14:paraId="5EB6179B" w14:textId="77777777" w:rsidTr="00573D81">
        <w:trPr>
          <w:gridAfter w:val="1"/>
          <w:wAfter w:w="103" w:type="dxa"/>
        </w:trPr>
        <w:tc>
          <w:tcPr>
            <w:tcW w:w="1959" w:type="dxa"/>
            <w:tcBorders>
              <w:top w:val="nil"/>
              <w:left w:val="nil"/>
              <w:right w:val="nil"/>
            </w:tcBorders>
            <w:shd w:val="clear" w:color="000000" w:fill="FFFFFF"/>
            <w:noWrap/>
            <w:hideMark/>
          </w:tcPr>
          <w:p w14:paraId="0CAA90F5" w14:textId="77777777" w:rsidR="00F708F6" w:rsidRPr="00AE2A93" w:rsidRDefault="00F708F6"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 xml:space="preserve">Other plans </w:t>
            </w:r>
          </w:p>
        </w:tc>
        <w:tc>
          <w:tcPr>
            <w:tcW w:w="342" w:type="dxa"/>
            <w:tcBorders>
              <w:top w:val="nil"/>
              <w:left w:val="nil"/>
              <w:right w:val="nil"/>
            </w:tcBorders>
            <w:shd w:val="clear" w:color="000000" w:fill="FFFFFF"/>
            <w:noWrap/>
            <w:hideMark/>
          </w:tcPr>
          <w:p w14:paraId="1F5A7A3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right w:val="nil"/>
            </w:tcBorders>
            <w:shd w:val="clear" w:color="000000" w:fill="FFFFFF"/>
            <w:noWrap/>
            <w:hideMark/>
          </w:tcPr>
          <w:p w14:paraId="6D108B1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right w:val="nil"/>
            </w:tcBorders>
            <w:shd w:val="clear" w:color="000000" w:fill="FFFFFF"/>
            <w:noWrap/>
            <w:hideMark/>
          </w:tcPr>
          <w:p w14:paraId="2EB5DBA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right w:val="nil"/>
            </w:tcBorders>
            <w:shd w:val="clear" w:color="000000" w:fill="FFFFFF"/>
            <w:noWrap/>
            <w:hideMark/>
          </w:tcPr>
          <w:p w14:paraId="11B7B8A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gridSpan w:val="2"/>
            <w:tcBorders>
              <w:top w:val="nil"/>
              <w:left w:val="nil"/>
              <w:right w:val="nil"/>
            </w:tcBorders>
            <w:shd w:val="clear" w:color="000000" w:fill="FFFFFF"/>
            <w:noWrap/>
            <w:hideMark/>
          </w:tcPr>
          <w:p w14:paraId="5034DB74"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tcBorders>
              <w:top w:val="nil"/>
              <w:left w:val="nil"/>
              <w:right w:val="nil"/>
            </w:tcBorders>
            <w:shd w:val="clear" w:color="000000" w:fill="FFFFFF"/>
            <w:noWrap/>
            <w:hideMark/>
          </w:tcPr>
          <w:p w14:paraId="56AE8A6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top w:val="nil"/>
              <w:left w:val="nil"/>
              <w:right w:val="nil"/>
            </w:tcBorders>
            <w:shd w:val="clear" w:color="000000" w:fill="FFFFFF"/>
            <w:noWrap/>
            <w:hideMark/>
          </w:tcPr>
          <w:p w14:paraId="00FFE97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2.578 </w:t>
            </w:r>
          </w:p>
        </w:tc>
        <w:tc>
          <w:tcPr>
            <w:tcW w:w="554" w:type="dxa"/>
            <w:tcBorders>
              <w:top w:val="nil"/>
              <w:left w:val="nil"/>
              <w:right w:val="nil"/>
            </w:tcBorders>
            <w:shd w:val="clear" w:color="000000" w:fill="FFFFFF"/>
            <w:noWrap/>
            <w:hideMark/>
          </w:tcPr>
          <w:p w14:paraId="74ACF4A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1.034 </w:t>
            </w:r>
          </w:p>
        </w:tc>
        <w:tc>
          <w:tcPr>
            <w:tcW w:w="554" w:type="dxa"/>
            <w:tcBorders>
              <w:top w:val="nil"/>
              <w:left w:val="nil"/>
              <w:right w:val="nil"/>
            </w:tcBorders>
            <w:shd w:val="clear" w:color="000000" w:fill="FFFFFF"/>
            <w:noWrap/>
            <w:hideMark/>
          </w:tcPr>
          <w:p w14:paraId="2A32131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6.247 </w:t>
            </w:r>
          </w:p>
        </w:tc>
        <w:tc>
          <w:tcPr>
            <w:tcW w:w="554" w:type="dxa"/>
            <w:tcBorders>
              <w:top w:val="nil"/>
              <w:left w:val="nil"/>
              <w:right w:val="nil"/>
            </w:tcBorders>
            <w:shd w:val="clear" w:color="000000" w:fill="FFFFFF"/>
            <w:noWrap/>
            <w:hideMark/>
          </w:tcPr>
          <w:p w14:paraId="5E12504F" w14:textId="0DE21952"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0.038</w:t>
            </w:r>
            <w:r w:rsidR="004B323C" w:rsidRPr="00AE2A93">
              <w:rPr>
                <w:rFonts w:ascii="Book Antiqua" w:hAnsi="Book Antiqua"/>
                <w:color w:val="000000"/>
                <w:vertAlign w:val="superscript"/>
              </w:rPr>
              <w:t>a</w:t>
            </w:r>
            <w:r w:rsidRPr="00AE2A93">
              <w:rPr>
                <w:rFonts w:ascii="Book Antiqua" w:hAnsi="Book Antiqua"/>
                <w:color w:val="000000"/>
              </w:rPr>
              <w:t xml:space="preserve"> </w:t>
            </w:r>
          </w:p>
        </w:tc>
        <w:tc>
          <w:tcPr>
            <w:tcW w:w="554" w:type="dxa"/>
            <w:gridSpan w:val="2"/>
            <w:tcBorders>
              <w:top w:val="nil"/>
              <w:left w:val="nil"/>
              <w:right w:val="nil"/>
            </w:tcBorders>
            <w:shd w:val="clear" w:color="000000" w:fill="FFFFFF"/>
            <w:noWrap/>
            <w:hideMark/>
          </w:tcPr>
          <w:p w14:paraId="33252C3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right w:val="nil"/>
            </w:tcBorders>
            <w:shd w:val="clear" w:color="000000" w:fill="FFFFFF"/>
            <w:noWrap/>
            <w:hideMark/>
          </w:tcPr>
          <w:p w14:paraId="341DA5A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right w:val="nil"/>
            </w:tcBorders>
            <w:shd w:val="clear" w:color="000000" w:fill="FFFFFF"/>
            <w:noWrap/>
            <w:hideMark/>
          </w:tcPr>
          <w:p w14:paraId="7069AF1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right w:val="nil"/>
            </w:tcBorders>
            <w:shd w:val="clear" w:color="000000" w:fill="FFFFFF"/>
            <w:noWrap/>
            <w:hideMark/>
          </w:tcPr>
          <w:p w14:paraId="216E1B7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1" w:type="dxa"/>
            <w:tcBorders>
              <w:top w:val="nil"/>
              <w:left w:val="nil"/>
              <w:right w:val="nil"/>
            </w:tcBorders>
            <w:shd w:val="clear" w:color="000000" w:fill="FFFFFF"/>
            <w:noWrap/>
            <w:hideMark/>
          </w:tcPr>
          <w:p w14:paraId="182124B6"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365" w:type="dxa"/>
            <w:tcBorders>
              <w:top w:val="nil"/>
              <w:left w:val="nil"/>
              <w:right w:val="nil"/>
            </w:tcBorders>
            <w:shd w:val="clear" w:color="000000" w:fill="FFFFFF"/>
            <w:noWrap/>
            <w:hideMark/>
          </w:tcPr>
          <w:p w14:paraId="3190BFD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940" w:type="dxa"/>
            <w:tcBorders>
              <w:top w:val="nil"/>
              <w:left w:val="nil"/>
              <w:right w:val="nil"/>
            </w:tcBorders>
            <w:shd w:val="clear" w:color="000000" w:fill="FFFFFF"/>
            <w:noWrap/>
            <w:hideMark/>
          </w:tcPr>
          <w:p w14:paraId="191C84E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08" w:type="dxa"/>
            <w:tcBorders>
              <w:top w:val="nil"/>
              <w:left w:val="nil"/>
              <w:right w:val="nil"/>
            </w:tcBorders>
            <w:shd w:val="clear" w:color="000000" w:fill="FFFFFF"/>
            <w:noWrap/>
            <w:hideMark/>
          </w:tcPr>
          <w:p w14:paraId="76237E09"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10" w:type="dxa"/>
            <w:tcBorders>
              <w:top w:val="nil"/>
              <w:left w:val="nil"/>
              <w:right w:val="nil"/>
            </w:tcBorders>
            <w:shd w:val="clear" w:color="000000" w:fill="FFFFFF"/>
            <w:noWrap/>
            <w:hideMark/>
          </w:tcPr>
          <w:p w14:paraId="4AA7239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8" w:type="dxa"/>
            <w:tcBorders>
              <w:top w:val="nil"/>
              <w:left w:val="nil"/>
              <w:right w:val="nil"/>
            </w:tcBorders>
            <w:shd w:val="clear" w:color="000000" w:fill="FFFFFF"/>
            <w:noWrap/>
            <w:hideMark/>
          </w:tcPr>
          <w:p w14:paraId="090D4FAB"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4B323C" w:rsidRPr="00C76E19" w14:paraId="77E5DA30" w14:textId="77777777" w:rsidTr="00573D81">
        <w:trPr>
          <w:gridAfter w:val="1"/>
          <w:wAfter w:w="103" w:type="dxa"/>
        </w:trPr>
        <w:tc>
          <w:tcPr>
            <w:tcW w:w="1959" w:type="dxa"/>
            <w:tcBorders>
              <w:top w:val="nil"/>
              <w:left w:val="nil"/>
              <w:bottom w:val="nil"/>
              <w:right w:val="nil"/>
            </w:tcBorders>
            <w:shd w:val="clear" w:color="000000" w:fill="FFFFFF"/>
            <w:noWrap/>
            <w:hideMark/>
          </w:tcPr>
          <w:p w14:paraId="0AB46FE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Disease site at diagnosis </w:t>
            </w:r>
          </w:p>
        </w:tc>
        <w:tc>
          <w:tcPr>
            <w:tcW w:w="342" w:type="dxa"/>
            <w:tcBorders>
              <w:top w:val="nil"/>
              <w:left w:val="nil"/>
              <w:bottom w:val="nil"/>
              <w:right w:val="nil"/>
            </w:tcBorders>
            <w:shd w:val="clear" w:color="000000" w:fill="FFFFFF"/>
            <w:noWrap/>
            <w:hideMark/>
          </w:tcPr>
          <w:p w14:paraId="6DA9029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07D6396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4063C09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4DDF1FF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gridSpan w:val="2"/>
            <w:tcBorders>
              <w:top w:val="nil"/>
              <w:left w:val="nil"/>
              <w:bottom w:val="nil"/>
              <w:right w:val="nil"/>
            </w:tcBorders>
            <w:shd w:val="clear" w:color="000000" w:fill="FFFFFF"/>
            <w:noWrap/>
            <w:hideMark/>
          </w:tcPr>
          <w:p w14:paraId="03DB1849"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tcBorders>
              <w:top w:val="nil"/>
              <w:left w:val="nil"/>
              <w:bottom w:val="nil"/>
              <w:right w:val="nil"/>
            </w:tcBorders>
            <w:shd w:val="clear" w:color="000000" w:fill="FFFFFF"/>
            <w:noWrap/>
            <w:hideMark/>
          </w:tcPr>
          <w:p w14:paraId="2665640A"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1ABBACC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2CE0EDC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4C0F5CD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046A5524"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gridSpan w:val="2"/>
            <w:tcBorders>
              <w:top w:val="nil"/>
              <w:left w:val="nil"/>
              <w:bottom w:val="nil"/>
              <w:right w:val="nil"/>
            </w:tcBorders>
            <w:shd w:val="clear" w:color="000000" w:fill="FFFFFF"/>
            <w:noWrap/>
            <w:hideMark/>
          </w:tcPr>
          <w:p w14:paraId="06260FD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7D3B87B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6FD38AE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21844B3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1" w:type="dxa"/>
            <w:tcBorders>
              <w:top w:val="nil"/>
              <w:left w:val="nil"/>
              <w:bottom w:val="nil"/>
              <w:right w:val="nil"/>
            </w:tcBorders>
            <w:shd w:val="clear" w:color="000000" w:fill="FFFFFF"/>
            <w:noWrap/>
            <w:hideMark/>
          </w:tcPr>
          <w:p w14:paraId="6B4700C1"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365" w:type="dxa"/>
            <w:tcBorders>
              <w:top w:val="nil"/>
              <w:left w:val="nil"/>
              <w:bottom w:val="nil"/>
              <w:right w:val="nil"/>
            </w:tcBorders>
            <w:shd w:val="clear" w:color="000000" w:fill="FFFFFF"/>
            <w:noWrap/>
            <w:hideMark/>
          </w:tcPr>
          <w:p w14:paraId="56A7E1E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940" w:type="dxa"/>
            <w:tcBorders>
              <w:top w:val="nil"/>
              <w:left w:val="nil"/>
              <w:bottom w:val="nil"/>
              <w:right w:val="nil"/>
            </w:tcBorders>
            <w:shd w:val="clear" w:color="000000" w:fill="FFFFFF"/>
            <w:noWrap/>
            <w:hideMark/>
          </w:tcPr>
          <w:p w14:paraId="0193495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08" w:type="dxa"/>
            <w:tcBorders>
              <w:top w:val="nil"/>
              <w:left w:val="nil"/>
              <w:bottom w:val="nil"/>
              <w:right w:val="nil"/>
            </w:tcBorders>
            <w:shd w:val="clear" w:color="000000" w:fill="FFFFFF"/>
            <w:noWrap/>
            <w:hideMark/>
          </w:tcPr>
          <w:p w14:paraId="0A708AC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10" w:type="dxa"/>
            <w:tcBorders>
              <w:top w:val="nil"/>
              <w:left w:val="nil"/>
              <w:bottom w:val="nil"/>
              <w:right w:val="nil"/>
            </w:tcBorders>
            <w:shd w:val="clear" w:color="000000" w:fill="FFFFFF"/>
            <w:noWrap/>
            <w:hideMark/>
          </w:tcPr>
          <w:p w14:paraId="1A89EDA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8" w:type="dxa"/>
            <w:tcBorders>
              <w:top w:val="nil"/>
              <w:left w:val="nil"/>
              <w:bottom w:val="nil"/>
              <w:right w:val="nil"/>
            </w:tcBorders>
            <w:shd w:val="clear" w:color="000000" w:fill="FFFFFF"/>
            <w:noWrap/>
            <w:hideMark/>
          </w:tcPr>
          <w:p w14:paraId="386E3B4D"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4B323C" w:rsidRPr="00C76E19" w14:paraId="4C5FA91E" w14:textId="77777777" w:rsidTr="00573D81">
        <w:trPr>
          <w:gridAfter w:val="1"/>
          <w:wAfter w:w="103" w:type="dxa"/>
        </w:trPr>
        <w:tc>
          <w:tcPr>
            <w:tcW w:w="1959" w:type="dxa"/>
            <w:tcBorders>
              <w:top w:val="nil"/>
              <w:left w:val="nil"/>
              <w:bottom w:val="nil"/>
              <w:right w:val="nil"/>
            </w:tcBorders>
            <w:shd w:val="clear" w:color="000000" w:fill="FFFFFF"/>
            <w:noWrap/>
            <w:hideMark/>
          </w:tcPr>
          <w:p w14:paraId="47F06A75" w14:textId="77777777" w:rsidR="00F708F6" w:rsidRPr="00AE2A93" w:rsidRDefault="00F708F6"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Terminal ileum</w:t>
            </w:r>
          </w:p>
        </w:tc>
        <w:tc>
          <w:tcPr>
            <w:tcW w:w="342" w:type="dxa"/>
            <w:tcBorders>
              <w:top w:val="nil"/>
              <w:left w:val="nil"/>
              <w:bottom w:val="nil"/>
              <w:right w:val="nil"/>
            </w:tcBorders>
            <w:shd w:val="clear" w:color="000000" w:fill="FFFFFF"/>
            <w:noWrap/>
            <w:hideMark/>
          </w:tcPr>
          <w:p w14:paraId="098C406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6490A42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1BF7925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03B4EED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gridSpan w:val="2"/>
            <w:tcBorders>
              <w:top w:val="nil"/>
              <w:left w:val="nil"/>
              <w:bottom w:val="nil"/>
              <w:right w:val="nil"/>
            </w:tcBorders>
            <w:shd w:val="clear" w:color="000000" w:fill="FFFFFF"/>
            <w:noWrap/>
            <w:hideMark/>
          </w:tcPr>
          <w:p w14:paraId="4F3B7789"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tcBorders>
              <w:top w:val="nil"/>
              <w:left w:val="nil"/>
              <w:bottom w:val="nil"/>
              <w:right w:val="nil"/>
            </w:tcBorders>
            <w:shd w:val="clear" w:color="000000" w:fill="FFFFFF"/>
            <w:noWrap/>
            <w:hideMark/>
          </w:tcPr>
          <w:p w14:paraId="50415DD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top w:val="nil"/>
              <w:left w:val="nil"/>
              <w:bottom w:val="nil"/>
              <w:right w:val="nil"/>
            </w:tcBorders>
            <w:shd w:val="clear" w:color="000000" w:fill="FFFFFF"/>
            <w:noWrap/>
            <w:hideMark/>
          </w:tcPr>
          <w:p w14:paraId="76B956E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1.350 </w:t>
            </w:r>
          </w:p>
        </w:tc>
        <w:tc>
          <w:tcPr>
            <w:tcW w:w="554" w:type="dxa"/>
            <w:tcBorders>
              <w:top w:val="nil"/>
              <w:left w:val="nil"/>
              <w:bottom w:val="nil"/>
              <w:right w:val="nil"/>
            </w:tcBorders>
            <w:shd w:val="clear" w:color="000000" w:fill="FFFFFF"/>
            <w:noWrap/>
            <w:hideMark/>
          </w:tcPr>
          <w:p w14:paraId="3F486B75"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0.612 </w:t>
            </w:r>
          </w:p>
        </w:tc>
        <w:tc>
          <w:tcPr>
            <w:tcW w:w="554" w:type="dxa"/>
            <w:tcBorders>
              <w:top w:val="nil"/>
              <w:left w:val="nil"/>
              <w:bottom w:val="nil"/>
              <w:right w:val="nil"/>
            </w:tcBorders>
            <w:shd w:val="clear" w:color="000000" w:fill="FFFFFF"/>
            <w:noWrap/>
            <w:hideMark/>
          </w:tcPr>
          <w:p w14:paraId="584F4B8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3.042 </w:t>
            </w:r>
          </w:p>
        </w:tc>
        <w:tc>
          <w:tcPr>
            <w:tcW w:w="554" w:type="dxa"/>
            <w:tcBorders>
              <w:top w:val="nil"/>
              <w:left w:val="nil"/>
              <w:bottom w:val="nil"/>
              <w:right w:val="nil"/>
            </w:tcBorders>
            <w:shd w:val="clear" w:color="000000" w:fill="FFFFFF"/>
            <w:noWrap/>
            <w:hideMark/>
          </w:tcPr>
          <w:p w14:paraId="75118D0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0.460 </w:t>
            </w:r>
          </w:p>
        </w:tc>
        <w:tc>
          <w:tcPr>
            <w:tcW w:w="554" w:type="dxa"/>
            <w:gridSpan w:val="2"/>
            <w:tcBorders>
              <w:top w:val="nil"/>
              <w:left w:val="nil"/>
              <w:bottom w:val="nil"/>
              <w:right w:val="nil"/>
            </w:tcBorders>
            <w:shd w:val="clear" w:color="000000" w:fill="FFFFFF"/>
            <w:noWrap/>
            <w:hideMark/>
          </w:tcPr>
          <w:p w14:paraId="36D8DDF9"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top w:val="nil"/>
              <w:left w:val="nil"/>
              <w:bottom w:val="nil"/>
              <w:right w:val="nil"/>
            </w:tcBorders>
            <w:shd w:val="clear" w:color="000000" w:fill="FFFFFF"/>
            <w:noWrap/>
            <w:hideMark/>
          </w:tcPr>
          <w:p w14:paraId="38C85999"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1.246 </w:t>
            </w:r>
          </w:p>
        </w:tc>
        <w:tc>
          <w:tcPr>
            <w:tcW w:w="554" w:type="dxa"/>
            <w:tcBorders>
              <w:top w:val="nil"/>
              <w:left w:val="nil"/>
              <w:bottom w:val="nil"/>
              <w:right w:val="nil"/>
            </w:tcBorders>
            <w:shd w:val="clear" w:color="000000" w:fill="FFFFFF"/>
            <w:noWrap/>
            <w:hideMark/>
          </w:tcPr>
          <w:p w14:paraId="792208A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0.732 </w:t>
            </w:r>
          </w:p>
        </w:tc>
        <w:tc>
          <w:tcPr>
            <w:tcW w:w="554" w:type="dxa"/>
            <w:tcBorders>
              <w:top w:val="nil"/>
              <w:left w:val="nil"/>
              <w:bottom w:val="nil"/>
              <w:right w:val="nil"/>
            </w:tcBorders>
            <w:shd w:val="clear" w:color="000000" w:fill="FFFFFF"/>
            <w:noWrap/>
            <w:hideMark/>
          </w:tcPr>
          <w:p w14:paraId="29B24F0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2.104 </w:t>
            </w:r>
          </w:p>
        </w:tc>
        <w:tc>
          <w:tcPr>
            <w:tcW w:w="621" w:type="dxa"/>
            <w:tcBorders>
              <w:top w:val="nil"/>
              <w:left w:val="nil"/>
              <w:bottom w:val="nil"/>
              <w:right w:val="nil"/>
            </w:tcBorders>
            <w:shd w:val="clear" w:color="000000" w:fill="FFFFFF"/>
            <w:noWrap/>
            <w:hideMark/>
          </w:tcPr>
          <w:p w14:paraId="388F66B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0.414 </w:t>
            </w:r>
          </w:p>
        </w:tc>
        <w:tc>
          <w:tcPr>
            <w:tcW w:w="365" w:type="dxa"/>
            <w:tcBorders>
              <w:top w:val="nil"/>
              <w:left w:val="nil"/>
              <w:bottom w:val="nil"/>
              <w:right w:val="nil"/>
            </w:tcBorders>
            <w:shd w:val="clear" w:color="000000" w:fill="FFFFFF"/>
            <w:noWrap/>
            <w:hideMark/>
          </w:tcPr>
          <w:p w14:paraId="28CBB13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940" w:type="dxa"/>
            <w:tcBorders>
              <w:top w:val="nil"/>
              <w:left w:val="nil"/>
              <w:bottom w:val="nil"/>
              <w:right w:val="nil"/>
            </w:tcBorders>
            <w:shd w:val="clear" w:color="000000" w:fill="FFFFFF"/>
            <w:noWrap/>
            <w:hideMark/>
          </w:tcPr>
          <w:p w14:paraId="295B362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-0.227 </w:t>
            </w:r>
          </w:p>
        </w:tc>
        <w:tc>
          <w:tcPr>
            <w:tcW w:w="508" w:type="dxa"/>
            <w:tcBorders>
              <w:top w:val="nil"/>
              <w:left w:val="nil"/>
              <w:bottom w:val="nil"/>
              <w:right w:val="nil"/>
            </w:tcBorders>
            <w:shd w:val="clear" w:color="000000" w:fill="FFFFFF"/>
            <w:noWrap/>
            <w:hideMark/>
          </w:tcPr>
          <w:p w14:paraId="2B39F4A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-0.847 </w:t>
            </w:r>
          </w:p>
        </w:tc>
        <w:tc>
          <w:tcPr>
            <w:tcW w:w="510" w:type="dxa"/>
            <w:tcBorders>
              <w:top w:val="nil"/>
              <w:left w:val="nil"/>
              <w:bottom w:val="nil"/>
              <w:right w:val="nil"/>
            </w:tcBorders>
            <w:shd w:val="clear" w:color="000000" w:fill="FFFFFF"/>
            <w:noWrap/>
            <w:hideMark/>
          </w:tcPr>
          <w:p w14:paraId="696A724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0.392 </w:t>
            </w:r>
          </w:p>
        </w:tc>
        <w:tc>
          <w:tcPr>
            <w:tcW w:w="628" w:type="dxa"/>
            <w:tcBorders>
              <w:top w:val="nil"/>
              <w:left w:val="nil"/>
              <w:bottom w:val="nil"/>
              <w:right w:val="nil"/>
            </w:tcBorders>
            <w:shd w:val="clear" w:color="000000" w:fill="FFFFFF"/>
            <w:noWrap/>
            <w:hideMark/>
          </w:tcPr>
          <w:p w14:paraId="33AE9A3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0.472 </w:t>
            </w:r>
          </w:p>
        </w:tc>
      </w:tr>
      <w:tr w:rsidR="004B323C" w:rsidRPr="00C76E19" w14:paraId="31E70509" w14:textId="77777777" w:rsidTr="00573D81">
        <w:trPr>
          <w:gridAfter w:val="1"/>
          <w:wAfter w:w="103" w:type="dxa"/>
        </w:trPr>
        <w:tc>
          <w:tcPr>
            <w:tcW w:w="1959" w:type="dxa"/>
            <w:tcBorders>
              <w:top w:val="nil"/>
              <w:left w:val="nil"/>
              <w:right w:val="nil"/>
            </w:tcBorders>
            <w:shd w:val="clear" w:color="000000" w:fill="FFFFFF"/>
            <w:noWrap/>
            <w:hideMark/>
          </w:tcPr>
          <w:p w14:paraId="0CE7BC04" w14:textId="77777777" w:rsidR="00F708F6" w:rsidRPr="00AE2A93" w:rsidRDefault="00F708F6"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Colon</w:t>
            </w:r>
          </w:p>
        </w:tc>
        <w:tc>
          <w:tcPr>
            <w:tcW w:w="342" w:type="dxa"/>
            <w:tcBorders>
              <w:top w:val="nil"/>
              <w:left w:val="nil"/>
              <w:right w:val="nil"/>
            </w:tcBorders>
            <w:shd w:val="clear" w:color="000000" w:fill="FFFFFF"/>
            <w:noWrap/>
            <w:hideMark/>
          </w:tcPr>
          <w:p w14:paraId="678C8BC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right w:val="nil"/>
            </w:tcBorders>
            <w:shd w:val="clear" w:color="000000" w:fill="FFFFFF"/>
            <w:noWrap/>
            <w:hideMark/>
          </w:tcPr>
          <w:p w14:paraId="15DB63A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right w:val="nil"/>
            </w:tcBorders>
            <w:shd w:val="clear" w:color="000000" w:fill="FFFFFF"/>
            <w:noWrap/>
            <w:hideMark/>
          </w:tcPr>
          <w:p w14:paraId="1C89E78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right w:val="nil"/>
            </w:tcBorders>
            <w:shd w:val="clear" w:color="000000" w:fill="FFFFFF"/>
            <w:noWrap/>
            <w:hideMark/>
          </w:tcPr>
          <w:p w14:paraId="7183662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gridSpan w:val="2"/>
            <w:tcBorders>
              <w:top w:val="nil"/>
              <w:left w:val="nil"/>
              <w:right w:val="nil"/>
            </w:tcBorders>
            <w:shd w:val="clear" w:color="000000" w:fill="FFFFFF"/>
            <w:noWrap/>
            <w:hideMark/>
          </w:tcPr>
          <w:p w14:paraId="58F1DC26"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tcBorders>
              <w:top w:val="nil"/>
              <w:left w:val="nil"/>
              <w:right w:val="nil"/>
            </w:tcBorders>
            <w:shd w:val="clear" w:color="000000" w:fill="FFFFFF"/>
            <w:noWrap/>
            <w:hideMark/>
          </w:tcPr>
          <w:p w14:paraId="3D42AAA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top w:val="nil"/>
              <w:left w:val="nil"/>
              <w:right w:val="nil"/>
            </w:tcBorders>
            <w:shd w:val="clear" w:color="000000" w:fill="FFFFFF"/>
            <w:noWrap/>
            <w:hideMark/>
          </w:tcPr>
          <w:p w14:paraId="419AA6C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0.812 </w:t>
            </w:r>
          </w:p>
        </w:tc>
        <w:tc>
          <w:tcPr>
            <w:tcW w:w="554" w:type="dxa"/>
            <w:tcBorders>
              <w:top w:val="nil"/>
              <w:left w:val="nil"/>
              <w:right w:val="nil"/>
            </w:tcBorders>
            <w:shd w:val="clear" w:color="000000" w:fill="FFFFFF"/>
            <w:noWrap/>
            <w:hideMark/>
          </w:tcPr>
          <w:p w14:paraId="64FE259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0.385 </w:t>
            </w:r>
          </w:p>
        </w:tc>
        <w:tc>
          <w:tcPr>
            <w:tcW w:w="554" w:type="dxa"/>
            <w:tcBorders>
              <w:top w:val="nil"/>
              <w:left w:val="nil"/>
              <w:right w:val="nil"/>
            </w:tcBorders>
            <w:shd w:val="clear" w:color="000000" w:fill="FFFFFF"/>
            <w:noWrap/>
            <w:hideMark/>
          </w:tcPr>
          <w:p w14:paraId="04F6171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1.762 </w:t>
            </w:r>
          </w:p>
        </w:tc>
        <w:tc>
          <w:tcPr>
            <w:tcW w:w="554" w:type="dxa"/>
            <w:tcBorders>
              <w:top w:val="nil"/>
              <w:left w:val="nil"/>
              <w:right w:val="nil"/>
            </w:tcBorders>
            <w:shd w:val="clear" w:color="000000" w:fill="FFFFFF"/>
            <w:noWrap/>
            <w:hideMark/>
          </w:tcPr>
          <w:p w14:paraId="6FE1588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0.590 </w:t>
            </w:r>
          </w:p>
        </w:tc>
        <w:tc>
          <w:tcPr>
            <w:tcW w:w="554" w:type="dxa"/>
            <w:gridSpan w:val="2"/>
            <w:tcBorders>
              <w:top w:val="nil"/>
              <w:left w:val="nil"/>
              <w:right w:val="nil"/>
            </w:tcBorders>
            <w:shd w:val="clear" w:color="000000" w:fill="FFFFFF"/>
            <w:noWrap/>
            <w:hideMark/>
          </w:tcPr>
          <w:p w14:paraId="5E02D06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top w:val="nil"/>
              <w:left w:val="nil"/>
              <w:right w:val="nil"/>
            </w:tcBorders>
            <w:shd w:val="clear" w:color="000000" w:fill="FFFFFF"/>
            <w:noWrap/>
            <w:hideMark/>
          </w:tcPr>
          <w:p w14:paraId="2D01FF66"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1.581 </w:t>
            </w:r>
          </w:p>
        </w:tc>
        <w:tc>
          <w:tcPr>
            <w:tcW w:w="554" w:type="dxa"/>
            <w:tcBorders>
              <w:top w:val="nil"/>
              <w:left w:val="nil"/>
              <w:right w:val="nil"/>
            </w:tcBorders>
            <w:shd w:val="clear" w:color="000000" w:fill="FFFFFF"/>
            <w:noWrap/>
            <w:hideMark/>
          </w:tcPr>
          <w:p w14:paraId="40AFA8D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0.756 </w:t>
            </w:r>
          </w:p>
        </w:tc>
        <w:tc>
          <w:tcPr>
            <w:tcW w:w="554" w:type="dxa"/>
            <w:tcBorders>
              <w:top w:val="nil"/>
              <w:left w:val="nil"/>
              <w:right w:val="nil"/>
            </w:tcBorders>
            <w:shd w:val="clear" w:color="000000" w:fill="FFFFFF"/>
            <w:noWrap/>
            <w:hideMark/>
          </w:tcPr>
          <w:p w14:paraId="2DEC660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3.247 </w:t>
            </w:r>
          </w:p>
        </w:tc>
        <w:tc>
          <w:tcPr>
            <w:tcW w:w="621" w:type="dxa"/>
            <w:tcBorders>
              <w:top w:val="nil"/>
              <w:left w:val="nil"/>
              <w:right w:val="nil"/>
            </w:tcBorders>
            <w:shd w:val="clear" w:color="000000" w:fill="FFFFFF"/>
            <w:noWrap/>
            <w:hideMark/>
          </w:tcPr>
          <w:p w14:paraId="6113811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0.216 </w:t>
            </w:r>
          </w:p>
        </w:tc>
        <w:tc>
          <w:tcPr>
            <w:tcW w:w="365" w:type="dxa"/>
            <w:tcBorders>
              <w:top w:val="nil"/>
              <w:left w:val="nil"/>
              <w:right w:val="nil"/>
            </w:tcBorders>
            <w:shd w:val="clear" w:color="000000" w:fill="FFFFFF"/>
            <w:noWrap/>
            <w:hideMark/>
          </w:tcPr>
          <w:p w14:paraId="43CD967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940" w:type="dxa"/>
            <w:tcBorders>
              <w:top w:val="nil"/>
              <w:left w:val="nil"/>
              <w:right w:val="nil"/>
            </w:tcBorders>
            <w:shd w:val="clear" w:color="000000" w:fill="FFFFFF"/>
            <w:noWrap/>
            <w:hideMark/>
          </w:tcPr>
          <w:p w14:paraId="4112EE4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08" w:type="dxa"/>
            <w:tcBorders>
              <w:top w:val="nil"/>
              <w:left w:val="nil"/>
              <w:right w:val="nil"/>
            </w:tcBorders>
            <w:shd w:val="clear" w:color="000000" w:fill="FFFFFF"/>
            <w:noWrap/>
            <w:hideMark/>
          </w:tcPr>
          <w:p w14:paraId="0E4D2FA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10" w:type="dxa"/>
            <w:tcBorders>
              <w:top w:val="nil"/>
              <w:left w:val="nil"/>
              <w:right w:val="nil"/>
            </w:tcBorders>
            <w:shd w:val="clear" w:color="000000" w:fill="FFFFFF"/>
            <w:noWrap/>
            <w:hideMark/>
          </w:tcPr>
          <w:p w14:paraId="422AFE0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8" w:type="dxa"/>
            <w:tcBorders>
              <w:top w:val="nil"/>
              <w:left w:val="nil"/>
              <w:right w:val="nil"/>
            </w:tcBorders>
            <w:shd w:val="clear" w:color="000000" w:fill="FFFFFF"/>
            <w:noWrap/>
            <w:hideMark/>
          </w:tcPr>
          <w:p w14:paraId="066027E4"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4B323C" w:rsidRPr="00C76E19" w14:paraId="2886C898" w14:textId="77777777" w:rsidTr="00573D81">
        <w:trPr>
          <w:gridAfter w:val="1"/>
          <w:wAfter w:w="103" w:type="dxa"/>
        </w:trPr>
        <w:tc>
          <w:tcPr>
            <w:tcW w:w="1959" w:type="dxa"/>
            <w:tcBorders>
              <w:top w:val="nil"/>
              <w:left w:val="nil"/>
              <w:bottom w:val="nil"/>
              <w:right w:val="nil"/>
            </w:tcBorders>
            <w:shd w:val="clear" w:color="000000" w:fill="FFFFFF"/>
            <w:noWrap/>
            <w:hideMark/>
          </w:tcPr>
          <w:p w14:paraId="06B8EE6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History of CD-related complications </w:t>
            </w:r>
          </w:p>
        </w:tc>
        <w:tc>
          <w:tcPr>
            <w:tcW w:w="342" w:type="dxa"/>
            <w:tcBorders>
              <w:top w:val="nil"/>
              <w:left w:val="nil"/>
              <w:bottom w:val="nil"/>
              <w:right w:val="nil"/>
            </w:tcBorders>
            <w:shd w:val="clear" w:color="000000" w:fill="FFFFFF"/>
            <w:noWrap/>
            <w:hideMark/>
          </w:tcPr>
          <w:p w14:paraId="66417E9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79A1556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3D56D46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471FF219"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gridSpan w:val="2"/>
            <w:tcBorders>
              <w:top w:val="nil"/>
              <w:left w:val="nil"/>
              <w:bottom w:val="nil"/>
              <w:right w:val="nil"/>
            </w:tcBorders>
            <w:shd w:val="clear" w:color="000000" w:fill="FFFFFF"/>
            <w:noWrap/>
            <w:hideMark/>
          </w:tcPr>
          <w:p w14:paraId="2F979222"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tcBorders>
              <w:top w:val="nil"/>
              <w:left w:val="nil"/>
              <w:bottom w:val="nil"/>
              <w:right w:val="nil"/>
            </w:tcBorders>
            <w:shd w:val="clear" w:color="000000" w:fill="FFFFFF"/>
            <w:noWrap/>
            <w:hideMark/>
          </w:tcPr>
          <w:p w14:paraId="4B5C8BFA"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3872C35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25BDED4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0244878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1A0EF0A6"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gridSpan w:val="2"/>
            <w:tcBorders>
              <w:top w:val="nil"/>
              <w:left w:val="nil"/>
              <w:bottom w:val="nil"/>
              <w:right w:val="nil"/>
            </w:tcBorders>
            <w:shd w:val="clear" w:color="000000" w:fill="FFFFFF"/>
            <w:noWrap/>
            <w:hideMark/>
          </w:tcPr>
          <w:p w14:paraId="1C818AD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30B6FEB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7756925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4F37ED1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1" w:type="dxa"/>
            <w:tcBorders>
              <w:top w:val="nil"/>
              <w:left w:val="nil"/>
              <w:bottom w:val="nil"/>
              <w:right w:val="nil"/>
            </w:tcBorders>
            <w:shd w:val="clear" w:color="000000" w:fill="FFFFFF"/>
            <w:noWrap/>
            <w:hideMark/>
          </w:tcPr>
          <w:p w14:paraId="2F905AA9"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365" w:type="dxa"/>
            <w:tcBorders>
              <w:top w:val="nil"/>
              <w:left w:val="nil"/>
              <w:bottom w:val="nil"/>
              <w:right w:val="nil"/>
            </w:tcBorders>
            <w:shd w:val="clear" w:color="000000" w:fill="FFFFFF"/>
            <w:noWrap/>
            <w:hideMark/>
          </w:tcPr>
          <w:p w14:paraId="3281FCF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940" w:type="dxa"/>
            <w:tcBorders>
              <w:top w:val="nil"/>
              <w:left w:val="nil"/>
              <w:bottom w:val="nil"/>
              <w:right w:val="nil"/>
            </w:tcBorders>
            <w:shd w:val="clear" w:color="000000" w:fill="FFFFFF"/>
            <w:noWrap/>
            <w:hideMark/>
          </w:tcPr>
          <w:p w14:paraId="3FD19DD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08" w:type="dxa"/>
            <w:tcBorders>
              <w:top w:val="nil"/>
              <w:left w:val="nil"/>
              <w:bottom w:val="nil"/>
              <w:right w:val="nil"/>
            </w:tcBorders>
            <w:shd w:val="clear" w:color="000000" w:fill="FFFFFF"/>
            <w:noWrap/>
            <w:hideMark/>
          </w:tcPr>
          <w:p w14:paraId="67A11759"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10" w:type="dxa"/>
            <w:tcBorders>
              <w:top w:val="nil"/>
              <w:left w:val="nil"/>
              <w:bottom w:val="nil"/>
              <w:right w:val="nil"/>
            </w:tcBorders>
            <w:shd w:val="clear" w:color="000000" w:fill="FFFFFF"/>
            <w:noWrap/>
            <w:hideMark/>
          </w:tcPr>
          <w:p w14:paraId="2A098DC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8" w:type="dxa"/>
            <w:tcBorders>
              <w:top w:val="nil"/>
              <w:left w:val="nil"/>
              <w:bottom w:val="nil"/>
              <w:right w:val="nil"/>
            </w:tcBorders>
            <w:shd w:val="clear" w:color="000000" w:fill="FFFFFF"/>
            <w:noWrap/>
            <w:hideMark/>
          </w:tcPr>
          <w:p w14:paraId="4B918421"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4B323C" w:rsidRPr="00C76E19" w14:paraId="53B47DBF" w14:textId="77777777" w:rsidTr="00573D81">
        <w:trPr>
          <w:gridAfter w:val="1"/>
          <w:wAfter w:w="103" w:type="dxa"/>
        </w:trPr>
        <w:tc>
          <w:tcPr>
            <w:tcW w:w="1959" w:type="dxa"/>
            <w:tcBorders>
              <w:top w:val="nil"/>
              <w:left w:val="nil"/>
              <w:bottom w:val="nil"/>
              <w:right w:val="nil"/>
            </w:tcBorders>
            <w:shd w:val="clear" w:color="000000" w:fill="FFFFFF"/>
            <w:noWrap/>
            <w:hideMark/>
          </w:tcPr>
          <w:p w14:paraId="55CA4A8E" w14:textId="77777777" w:rsidR="00F708F6" w:rsidRPr="00AE2A93" w:rsidRDefault="00F708F6"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Intestinal fistula</w:t>
            </w:r>
          </w:p>
        </w:tc>
        <w:tc>
          <w:tcPr>
            <w:tcW w:w="342" w:type="dxa"/>
            <w:tcBorders>
              <w:top w:val="nil"/>
              <w:left w:val="nil"/>
              <w:bottom w:val="nil"/>
              <w:right w:val="nil"/>
            </w:tcBorders>
            <w:shd w:val="clear" w:color="000000" w:fill="FFFFFF"/>
            <w:noWrap/>
            <w:hideMark/>
          </w:tcPr>
          <w:p w14:paraId="74494276"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top w:val="nil"/>
              <w:left w:val="nil"/>
              <w:bottom w:val="nil"/>
              <w:right w:val="nil"/>
            </w:tcBorders>
            <w:shd w:val="clear" w:color="000000" w:fill="FFFFFF"/>
            <w:noWrap/>
            <w:hideMark/>
          </w:tcPr>
          <w:p w14:paraId="3987A4F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0.307 </w:t>
            </w:r>
          </w:p>
        </w:tc>
        <w:tc>
          <w:tcPr>
            <w:tcW w:w="553" w:type="dxa"/>
            <w:tcBorders>
              <w:top w:val="nil"/>
              <w:left w:val="nil"/>
              <w:bottom w:val="nil"/>
              <w:right w:val="nil"/>
            </w:tcBorders>
            <w:shd w:val="clear" w:color="000000" w:fill="FFFFFF"/>
            <w:noWrap/>
            <w:hideMark/>
          </w:tcPr>
          <w:p w14:paraId="23CFD05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0.098 </w:t>
            </w:r>
          </w:p>
        </w:tc>
        <w:tc>
          <w:tcPr>
            <w:tcW w:w="553" w:type="dxa"/>
            <w:tcBorders>
              <w:top w:val="nil"/>
              <w:left w:val="nil"/>
              <w:bottom w:val="nil"/>
              <w:right w:val="nil"/>
            </w:tcBorders>
            <w:shd w:val="clear" w:color="000000" w:fill="FFFFFF"/>
            <w:noWrap/>
            <w:hideMark/>
          </w:tcPr>
          <w:p w14:paraId="7677D60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0.976 </w:t>
            </w:r>
          </w:p>
        </w:tc>
        <w:tc>
          <w:tcPr>
            <w:tcW w:w="554" w:type="dxa"/>
            <w:gridSpan w:val="2"/>
            <w:tcBorders>
              <w:top w:val="nil"/>
              <w:left w:val="nil"/>
              <w:bottom w:val="nil"/>
              <w:right w:val="nil"/>
            </w:tcBorders>
            <w:shd w:val="clear" w:color="000000" w:fill="FFFFFF"/>
            <w:noWrap/>
            <w:hideMark/>
          </w:tcPr>
          <w:p w14:paraId="6E5A5DCC" w14:textId="659876D9"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0.042</w:t>
            </w:r>
            <w:r w:rsidR="004B323C" w:rsidRPr="00AE2A93">
              <w:rPr>
                <w:rFonts w:ascii="Book Antiqua" w:hAnsi="Book Antiqua"/>
                <w:color w:val="000000"/>
                <w:vertAlign w:val="superscript"/>
              </w:rPr>
              <w:t>a</w:t>
            </w:r>
            <w:r w:rsidRPr="00AE2A93">
              <w:rPr>
                <w:rFonts w:ascii="Book Antiqua" w:hAnsi="Book Antiqua"/>
                <w:color w:val="000000"/>
              </w:rPr>
              <w:t xml:space="preserve"> </w:t>
            </w:r>
          </w:p>
        </w:tc>
        <w:tc>
          <w:tcPr>
            <w:tcW w:w="554" w:type="dxa"/>
            <w:tcBorders>
              <w:top w:val="nil"/>
              <w:left w:val="nil"/>
              <w:bottom w:val="nil"/>
              <w:right w:val="nil"/>
            </w:tcBorders>
            <w:shd w:val="clear" w:color="000000" w:fill="FFFFFF"/>
            <w:noWrap/>
            <w:hideMark/>
          </w:tcPr>
          <w:p w14:paraId="2E6332C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2E9F2C45"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2B722D35"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563D116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7FD2BE97"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gridSpan w:val="2"/>
            <w:tcBorders>
              <w:top w:val="nil"/>
              <w:left w:val="nil"/>
              <w:bottom w:val="nil"/>
              <w:right w:val="nil"/>
            </w:tcBorders>
            <w:shd w:val="clear" w:color="000000" w:fill="FFFFFF"/>
            <w:noWrap/>
            <w:hideMark/>
          </w:tcPr>
          <w:p w14:paraId="741FAD9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7E52F36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4F50EBA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6E6DE7F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1" w:type="dxa"/>
            <w:tcBorders>
              <w:top w:val="nil"/>
              <w:left w:val="nil"/>
              <w:bottom w:val="nil"/>
              <w:right w:val="nil"/>
            </w:tcBorders>
            <w:shd w:val="clear" w:color="000000" w:fill="FFFFFF"/>
            <w:noWrap/>
            <w:hideMark/>
          </w:tcPr>
          <w:p w14:paraId="09680D2D"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365" w:type="dxa"/>
            <w:tcBorders>
              <w:top w:val="nil"/>
              <w:left w:val="nil"/>
              <w:bottom w:val="nil"/>
              <w:right w:val="nil"/>
            </w:tcBorders>
            <w:shd w:val="clear" w:color="000000" w:fill="FFFFFF"/>
            <w:noWrap/>
            <w:hideMark/>
          </w:tcPr>
          <w:p w14:paraId="3E3910B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940" w:type="dxa"/>
            <w:tcBorders>
              <w:top w:val="nil"/>
              <w:left w:val="nil"/>
              <w:bottom w:val="nil"/>
              <w:right w:val="nil"/>
            </w:tcBorders>
            <w:shd w:val="clear" w:color="000000" w:fill="FFFFFF"/>
            <w:noWrap/>
            <w:hideMark/>
          </w:tcPr>
          <w:p w14:paraId="2E427F4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08" w:type="dxa"/>
            <w:tcBorders>
              <w:top w:val="nil"/>
              <w:left w:val="nil"/>
              <w:bottom w:val="nil"/>
              <w:right w:val="nil"/>
            </w:tcBorders>
            <w:shd w:val="clear" w:color="000000" w:fill="FFFFFF"/>
            <w:noWrap/>
            <w:hideMark/>
          </w:tcPr>
          <w:p w14:paraId="48191E2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10" w:type="dxa"/>
            <w:tcBorders>
              <w:top w:val="nil"/>
              <w:left w:val="nil"/>
              <w:bottom w:val="nil"/>
              <w:right w:val="nil"/>
            </w:tcBorders>
            <w:shd w:val="clear" w:color="000000" w:fill="FFFFFF"/>
            <w:noWrap/>
            <w:hideMark/>
          </w:tcPr>
          <w:p w14:paraId="06A7B9A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8" w:type="dxa"/>
            <w:tcBorders>
              <w:top w:val="nil"/>
              <w:left w:val="nil"/>
              <w:bottom w:val="nil"/>
              <w:right w:val="nil"/>
            </w:tcBorders>
            <w:shd w:val="clear" w:color="000000" w:fill="FFFFFF"/>
            <w:noWrap/>
            <w:hideMark/>
          </w:tcPr>
          <w:p w14:paraId="6B8B226C"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4B323C" w:rsidRPr="00C76E19" w14:paraId="7C3E5E5E" w14:textId="77777777" w:rsidTr="00573D81">
        <w:trPr>
          <w:gridAfter w:val="1"/>
          <w:wAfter w:w="103" w:type="dxa"/>
        </w:trPr>
        <w:tc>
          <w:tcPr>
            <w:tcW w:w="1959" w:type="dxa"/>
            <w:tcBorders>
              <w:top w:val="nil"/>
              <w:left w:val="nil"/>
              <w:bottom w:val="nil"/>
              <w:right w:val="nil"/>
            </w:tcBorders>
            <w:shd w:val="clear" w:color="000000" w:fill="FFFFFF"/>
            <w:noWrap/>
            <w:hideMark/>
          </w:tcPr>
          <w:p w14:paraId="4E48F39C" w14:textId="2D4FCF3E" w:rsidR="00F708F6" w:rsidRPr="00AE2A93" w:rsidRDefault="004B323C"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I</w:t>
            </w:r>
            <w:r w:rsidR="00F708F6" w:rsidRPr="00AE2A93">
              <w:rPr>
                <w:rFonts w:ascii="Book Antiqua" w:hAnsi="Book Antiqua"/>
                <w:color w:val="222222"/>
              </w:rPr>
              <w:t>ntestinal obstruction</w:t>
            </w:r>
          </w:p>
        </w:tc>
        <w:tc>
          <w:tcPr>
            <w:tcW w:w="342" w:type="dxa"/>
            <w:tcBorders>
              <w:top w:val="nil"/>
              <w:left w:val="nil"/>
              <w:bottom w:val="nil"/>
              <w:right w:val="nil"/>
            </w:tcBorders>
            <w:shd w:val="clear" w:color="000000" w:fill="FFFFFF"/>
            <w:noWrap/>
            <w:hideMark/>
          </w:tcPr>
          <w:p w14:paraId="7728F50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top w:val="nil"/>
              <w:left w:val="nil"/>
              <w:bottom w:val="nil"/>
              <w:right w:val="nil"/>
            </w:tcBorders>
            <w:shd w:val="clear" w:color="000000" w:fill="FFFFFF"/>
            <w:noWrap/>
            <w:hideMark/>
          </w:tcPr>
          <w:p w14:paraId="794DA5C6"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0.831 </w:t>
            </w:r>
          </w:p>
        </w:tc>
        <w:tc>
          <w:tcPr>
            <w:tcW w:w="553" w:type="dxa"/>
            <w:tcBorders>
              <w:top w:val="nil"/>
              <w:left w:val="nil"/>
              <w:bottom w:val="nil"/>
              <w:right w:val="nil"/>
            </w:tcBorders>
            <w:shd w:val="clear" w:color="000000" w:fill="FFFFFF"/>
            <w:noWrap/>
            <w:hideMark/>
          </w:tcPr>
          <w:p w14:paraId="32DD83A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0.322 </w:t>
            </w:r>
          </w:p>
        </w:tc>
        <w:tc>
          <w:tcPr>
            <w:tcW w:w="553" w:type="dxa"/>
            <w:tcBorders>
              <w:top w:val="nil"/>
              <w:left w:val="nil"/>
              <w:bottom w:val="nil"/>
              <w:right w:val="nil"/>
            </w:tcBorders>
            <w:shd w:val="clear" w:color="000000" w:fill="FFFFFF"/>
            <w:noWrap/>
            <w:hideMark/>
          </w:tcPr>
          <w:p w14:paraId="77109F1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2.293 </w:t>
            </w:r>
          </w:p>
        </w:tc>
        <w:tc>
          <w:tcPr>
            <w:tcW w:w="554" w:type="dxa"/>
            <w:gridSpan w:val="2"/>
            <w:tcBorders>
              <w:top w:val="nil"/>
              <w:left w:val="nil"/>
              <w:bottom w:val="nil"/>
              <w:right w:val="nil"/>
            </w:tcBorders>
            <w:shd w:val="clear" w:color="000000" w:fill="FFFFFF"/>
            <w:noWrap/>
            <w:hideMark/>
          </w:tcPr>
          <w:p w14:paraId="53B3439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0.709 </w:t>
            </w:r>
          </w:p>
        </w:tc>
        <w:tc>
          <w:tcPr>
            <w:tcW w:w="554" w:type="dxa"/>
            <w:tcBorders>
              <w:top w:val="nil"/>
              <w:left w:val="nil"/>
              <w:bottom w:val="nil"/>
              <w:right w:val="nil"/>
            </w:tcBorders>
            <w:shd w:val="clear" w:color="000000" w:fill="FFFFFF"/>
            <w:noWrap/>
            <w:hideMark/>
          </w:tcPr>
          <w:p w14:paraId="6C6E4BF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5E64347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453CAF7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4423341A"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1592B02D"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gridSpan w:val="2"/>
            <w:tcBorders>
              <w:top w:val="nil"/>
              <w:left w:val="nil"/>
              <w:bottom w:val="nil"/>
              <w:right w:val="nil"/>
            </w:tcBorders>
            <w:shd w:val="clear" w:color="000000" w:fill="FFFFFF"/>
            <w:noWrap/>
            <w:hideMark/>
          </w:tcPr>
          <w:p w14:paraId="6049CB6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0A0C56E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166EAFC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2F59AF7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1" w:type="dxa"/>
            <w:tcBorders>
              <w:top w:val="nil"/>
              <w:left w:val="nil"/>
              <w:bottom w:val="nil"/>
              <w:right w:val="nil"/>
            </w:tcBorders>
            <w:shd w:val="clear" w:color="000000" w:fill="FFFFFF"/>
            <w:noWrap/>
            <w:hideMark/>
          </w:tcPr>
          <w:p w14:paraId="1EAE64F2"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365" w:type="dxa"/>
            <w:tcBorders>
              <w:top w:val="nil"/>
              <w:left w:val="nil"/>
              <w:bottom w:val="nil"/>
              <w:right w:val="nil"/>
            </w:tcBorders>
            <w:shd w:val="clear" w:color="000000" w:fill="FFFFFF"/>
            <w:noWrap/>
            <w:hideMark/>
          </w:tcPr>
          <w:p w14:paraId="32D4729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940" w:type="dxa"/>
            <w:tcBorders>
              <w:top w:val="nil"/>
              <w:left w:val="nil"/>
              <w:bottom w:val="nil"/>
              <w:right w:val="nil"/>
            </w:tcBorders>
            <w:shd w:val="clear" w:color="000000" w:fill="FFFFFF"/>
            <w:noWrap/>
            <w:hideMark/>
          </w:tcPr>
          <w:p w14:paraId="1B3BC91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08" w:type="dxa"/>
            <w:tcBorders>
              <w:top w:val="nil"/>
              <w:left w:val="nil"/>
              <w:bottom w:val="nil"/>
              <w:right w:val="nil"/>
            </w:tcBorders>
            <w:shd w:val="clear" w:color="000000" w:fill="FFFFFF"/>
            <w:noWrap/>
            <w:hideMark/>
          </w:tcPr>
          <w:p w14:paraId="5F9E5BD5"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10" w:type="dxa"/>
            <w:tcBorders>
              <w:top w:val="nil"/>
              <w:left w:val="nil"/>
              <w:bottom w:val="nil"/>
              <w:right w:val="nil"/>
            </w:tcBorders>
            <w:shd w:val="clear" w:color="000000" w:fill="FFFFFF"/>
            <w:noWrap/>
            <w:hideMark/>
          </w:tcPr>
          <w:p w14:paraId="5935EA7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8" w:type="dxa"/>
            <w:tcBorders>
              <w:top w:val="nil"/>
              <w:left w:val="nil"/>
              <w:bottom w:val="nil"/>
              <w:right w:val="nil"/>
            </w:tcBorders>
            <w:shd w:val="clear" w:color="000000" w:fill="FFFFFF"/>
            <w:noWrap/>
            <w:hideMark/>
          </w:tcPr>
          <w:p w14:paraId="0470F39C"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4B323C" w:rsidRPr="00C76E19" w14:paraId="2027B6FB" w14:textId="77777777" w:rsidTr="00573D81">
        <w:trPr>
          <w:gridAfter w:val="1"/>
          <w:wAfter w:w="103" w:type="dxa"/>
        </w:trPr>
        <w:tc>
          <w:tcPr>
            <w:tcW w:w="1959" w:type="dxa"/>
            <w:tcBorders>
              <w:top w:val="nil"/>
              <w:left w:val="nil"/>
              <w:bottom w:val="nil"/>
              <w:right w:val="nil"/>
            </w:tcBorders>
            <w:shd w:val="clear" w:color="000000" w:fill="FFFFFF"/>
            <w:noWrap/>
            <w:hideMark/>
          </w:tcPr>
          <w:p w14:paraId="7FB72CE9" w14:textId="77777777" w:rsidR="00F708F6" w:rsidRPr="00AE2A93" w:rsidRDefault="00F708F6"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Extraintestinal abscess</w:t>
            </w:r>
          </w:p>
        </w:tc>
        <w:tc>
          <w:tcPr>
            <w:tcW w:w="342" w:type="dxa"/>
            <w:tcBorders>
              <w:top w:val="nil"/>
              <w:left w:val="nil"/>
              <w:bottom w:val="nil"/>
              <w:right w:val="nil"/>
            </w:tcBorders>
            <w:shd w:val="clear" w:color="000000" w:fill="FFFFFF"/>
            <w:noWrap/>
            <w:hideMark/>
          </w:tcPr>
          <w:p w14:paraId="70C10C0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38F6795A"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629A364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51203D2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gridSpan w:val="2"/>
            <w:tcBorders>
              <w:top w:val="nil"/>
              <w:left w:val="nil"/>
              <w:bottom w:val="nil"/>
              <w:right w:val="nil"/>
            </w:tcBorders>
            <w:shd w:val="clear" w:color="000000" w:fill="FFFFFF"/>
            <w:noWrap/>
            <w:hideMark/>
          </w:tcPr>
          <w:p w14:paraId="5CD7877E"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tcBorders>
              <w:top w:val="nil"/>
              <w:left w:val="nil"/>
              <w:bottom w:val="nil"/>
              <w:right w:val="nil"/>
            </w:tcBorders>
            <w:shd w:val="clear" w:color="000000" w:fill="FFFFFF"/>
            <w:noWrap/>
            <w:hideMark/>
          </w:tcPr>
          <w:p w14:paraId="67E12BC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top w:val="nil"/>
              <w:left w:val="nil"/>
              <w:bottom w:val="nil"/>
              <w:right w:val="nil"/>
            </w:tcBorders>
            <w:shd w:val="clear" w:color="000000" w:fill="FFFFFF"/>
            <w:noWrap/>
            <w:hideMark/>
          </w:tcPr>
          <w:p w14:paraId="4458456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5.766 </w:t>
            </w:r>
          </w:p>
        </w:tc>
        <w:tc>
          <w:tcPr>
            <w:tcW w:w="554" w:type="dxa"/>
            <w:tcBorders>
              <w:top w:val="nil"/>
              <w:left w:val="nil"/>
              <w:bottom w:val="nil"/>
              <w:right w:val="nil"/>
            </w:tcBorders>
            <w:shd w:val="clear" w:color="000000" w:fill="FFFFFF"/>
            <w:noWrap/>
            <w:hideMark/>
          </w:tcPr>
          <w:p w14:paraId="096B8CC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1.277 </w:t>
            </w:r>
          </w:p>
        </w:tc>
        <w:tc>
          <w:tcPr>
            <w:tcW w:w="554" w:type="dxa"/>
            <w:tcBorders>
              <w:top w:val="nil"/>
              <w:left w:val="nil"/>
              <w:bottom w:val="nil"/>
              <w:right w:val="nil"/>
            </w:tcBorders>
            <w:shd w:val="clear" w:color="000000" w:fill="FFFFFF"/>
            <w:noWrap/>
            <w:hideMark/>
          </w:tcPr>
          <w:p w14:paraId="7E03D07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25.741 </w:t>
            </w:r>
          </w:p>
        </w:tc>
        <w:tc>
          <w:tcPr>
            <w:tcW w:w="554" w:type="dxa"/>
            <w:tcBorders>
              <w:top w:val="nil"/>
              <w:left w:val="nil"/>
              <w:bottom w:val="nil"/>
              <w:right w:val="nil"/>
            </w:tcBorders>
            <w:shd w:val="clear" w:color="000000" w:fill="FFFFFF"/>
            <w:noWrap/>
            <w:hideMark/>
          </w:tcPr>
          <w:p w14:paraId="7361EF00" w14:textId="2FF4D2BE"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0.020</w:t>
            </w:r>
            <w:r w:rsidR="00573D81" w:rsidRPr="00AE2A93">
              <w:rPr>
                <w:rFonts w:ascii="Book Antiqua" w:hAnsi="Book Antiqua"/>
                <w:color w:val="000000"/>
                <w:vertAlign w:val="superscript"/>
              </w:rPr>
              <w:t>a</w:t>
            </w:r>
            <w:r w:rsidRPr="00AE2A93">
              <w:rPr>
                <w:rFonts w:ascii="Book Antiqua" w:hAnsi="Book Antiqua"/>
                <w:color w:val="000000"/>
                <w:vertAlign w:val="superscript"/>
              </w:rPr>
              <w:t xml:space="preserve"> </w:t>
            </w:r>
          </w:p>
        </w:tc>
        <w:tc>
          <w:tcPr>
            <w:tcW w:w="554" w:type="dxa"/>
            <w:gridSpan w:val="2"/>
            <w:tcBorders>
              <w:top w:val="nil"/>
              <w:left w:val="nil"/>
              <w:bottom w:val="nil"/>
              <w:right w:val="nil"/>
            </w:tcBorders>
            <w:shd w:val="clear" w:color="000000" w:fill="FFFFFF"/>
            <w:noWrap/>
            <w:hideMark/>
          </w:tcPr>
          <w:p w14:paraId="0F03733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12686CD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4B231AE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1CCB609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1" w:type="dxa"/>
            <w:tcBorders>
              <w:top w:val="nil"/>
              <w:left w:val="nil"/>
              <w:bottom w:val="nil"/>
              <w:right w:val="nil"/>
            </w:tcBorders>
            <w:shd w:val="clear" w:color="000000" w:fill="FFFFFF"/>
            <w:noWrap/>
            <w:hideMark/>
          </w:tcPr>
          <w:p w14:paraId="414455F2"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365" w:type="dxa"/>
            <w:tcBorders>
              <w:top w:val="nil"/>
              <w:left w:val="nil"/>
              <w:bottom w:val="nil"/>
              <w:right w:val="nil"/>
            </w:tcBorders>
            <w:shd w:val="clear" w:color="000000" w:fill="FFFFFF"/>
            <w:noWrap/>
            <w:hideMark/>
          </w:tcPr>
          <w:p w14:paraId="60DCB91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940" w:type="dxa"/>
            <w:tcBorders>
              <w:top w:val="nil"/>
              <w:left w:val="nil"/>
              <w:bottom w:val="nil"/>
              <w:right w:val="nil"/>
            </w:tcBorders>
            <w:shd w:val="clear" w:color="000000" w:fill="FFFFFF"/>
            <w:noWrap/>
            <w:hideMark/>
          </w:tcPr>
          <w:p w14:paraId="0EB6CF8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08" w:type="dxa"/>
            <w:tcBorders>
              <w:top w:val="nil"/>
              <w:left w:val="nil"/>
              <w:bottom w:val="nil"/>
              <w:right w:val="nil"/>
            </w:tcBorders>
            <w:shd w:val="clear" w:color="000000" w:fill="FFFFFF"/>
            <w:noWrap/>
            <w:hideMark/>
          </w:tcPr>
          <w:p w14:paraId="16442BC9"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10" w:type="dxa"/>
            <w:tcBorders>
              <w:top w:val="nil"/>
              <w:left w:val="nil"/>
              <w:bottom w:val="nil"/>
              <w:right w:val="nil"/>
            </w:tcBorders>
            <w:shd w:val="clear" w:color="000000" w:fill="FFFFFF"/>
            <w:noWrap/>
            <w:hideMark/>
          </w:tcPr>
          <w:p w14:paraId="50508B45"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8" w:type="dxa"/>
            <w:tcBorders>
              <w:top w:val="nil"/>
              <w:left w:val="nil"/>
              <w:bottom w:val="nil"/>
              <w:right w:val="nil"/>
            </w:tcBorders>
            <w:shd w:val="clear" w:color="000000" w:fill="FFFFFF"/>
            <w:noWrap/>
            <w:hideMark/>
          </w:tcPr>
          <w:p w14:paraId="3CFBBA52"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4B323C" w:rsidRPr="00C76E19" w14:paraId="20A44387" w14:textId="77777777" w:rsidTr="00573D81">
        <w:trPr>
          <w:gridAfter w:val="1"/>
          <w:wAfter w:w="103" w:type="dxa"/>
        </w:trPr>
        <w:tc>
          <w:tcPr>
            <w:tcW w:w="1959" w:type="dxa"/>
            <w:tcBorders>
              <w:top w:val="nil"/>
              <w:left w:val="nil"/>
              <w:bottom w:val="nil"/>
              <w:right w:val="nil"/>
            </w:tcBorders>
            <w:shd w:val="clear" w:color="000000" w:fill="FFFFFF"/>
            <w:noWrap/>
            <w:hideMark/>
          </w:tcPr>
          <w:p w14:paraId="2EA370D5" w14:textId="77777777" w:rsidR="00F708F6" w:rsidRPr="00AE2A93" w:rsidRDefault="00F708F6"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Anal fistula</w:t>
            </w:r>
          </w:p>
        </w:tc>
        <w:tc>
          <w:tcPr>
            <w:tcW w:w="342" w:type="dxa"/>
            <w:tcBorders>
              <w:top w:val="nil"/>
              <w:left w:val="nil"/>
              <w:bottom w:val="nil"/>
              <w:right w:val="nil"/>
            </w:tcBorders>
            <w:shd w:val="clear" w:color="000000" w:fill="FFFFFF"/>
            <w:noWrap/>
            <w:hideMark/>
          </w:tcPr>
          <w:p w14:paraId="77EA336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6EC282C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37200B7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6363F7B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gridSpan w:val="2"/>
            <w:tcBorders>
              <w:top w:val="nil"/>
              <w:left w:val="nil"/>
              <w:bottom w:val="nil"/>
              <w:right w:val="nil"/>
            </w:tcBorders>
            <w:shd w:val="clear" w:color="000000" w:fill="FFFFFF"/>
            <w:noWrap/>
            <w:hideMark/>
          </w:tcPr>
          <w:p w14:paraId="0D2234FE"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tcBorders>
              <w:top w:val="nil"/>
              <w:left w:val="nil"/>
              <w:bottom w:val="nil"/>
              <w:right w:val="nil"/>
            </w:tcBorders>
            <w:shd w:val="clear" w:color="000000" w:fill="FFFFFF"/>
            <w:noWrap/>
            <w:hideMark/>
          </w:tcPr>
          <w:p w14:paraId="6466246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top w:val="nil"/>
              <w:left w:val="nil"/>
              <w:bottom w:val="nil"/>
              <w:right w:val="nil"/>
            </w:tcBorders>
            <w:shd w:val="clear" w:color="000000" w:fill="FFFFFF"/>
            <w:noWrap/>
            <w:hideMark/>
          </w:tcPr>
          <w:p w14:paraId="3D8FF96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0.747 </w:t>
            </w:r>
          </w:p>
        </w:tc>
        <w:tc>
          <w:tcPr>
            <w:tcW w:w="554" w:type="dxa"/>
            <w:tcBorders>
              <w:top w:val="nil"/>
              <w:left w:val="nil"/>
              <w:bottom w:val="nil"/>
              <w:right w:val="nil"/>
            </w:tcBorders>
            <w:shd w:val="clear" w:color="000000" w:fill="FFFFFF"/>
            <w:noWrap/>
            <w:hideMark/>
          </w:tcPr>
          <w:p w14:paraId="575FF12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0.350 </w:t>
            </w:r>
          </w:p>
        </w:tc>
        <w:tc>
          <w:tcPr>
            <w:tcW w:w="554" w:type="dxa"/>
            <w:tcBorders>
              <w:top w:val="nil"/>
              <w:left w:val="nil"/>
              <w:bottom w:val="nil"/>
              <w:right w:val="nil"/>
            </w:tcBorders>
            <w:shd w:val="clear" w:color="000000" w:fill="FFFFFF"/>
            <w:noWrap/>
            <w:hideMark/>
          </w:tcPr>
          <w:p w14:paraId="16B283D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1.509 </w:t>
            </w:r>
          </w:p>
        </w:tc>
        <w:tc>
          <w:tcPr>
            <w:tcW w:w="554" w:type="dxa"/>
            <w:tcBorders>
              <w:top w:val="nil"/>
              <w:left w:val="nil"/>
              <w:bottom w:val="nil"/>
              <w:right w:val="nil"/>
            </w:tcBorders>
            <w:shd w:val="clear" w:color="000000" w:fill="FFFFFF"/>
            <w:noWrap/>
            <w:hideMark/>
          </w:tcPr>
          <w:p w14:paraId="5978847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0.431 </w:t>
            </w:r>
          </w:p>
        </w:tc>
        <w:tc>
          <w:tcPr>
            <w:tcW w:w="554" w:type="dxa"/>
            <w:gridSpan w:val="2"/>
            <w:tcBorders>
              <w:top w:val="nil"/>
              <w:left w:val="nil"/>
              <w:bottom w:val="nil"/>
              <w:right w:val="nil"/>
            </w:tcBorders>
            <w:shd w:val="clear" w:color="000000" w:fill="FFFFFF"/>
            <w:noWrap/>
            <w:hideMark/>
          </w:tcPr>
          <w:p w14:paraId="28E66C2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2ACF05B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631BA54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36A1A16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1" w:type="dxa"/>
            <w:tcBorders>
              <w:top w:val="nil"/>
              <w:left w:val="nil"/>
              <w:bottom w:val="nil"/>
              <w:right w:val="nil"/>
            </w:tcBorders>
            <w:shd w:val="clear" w:color="000000" w:fill="FFFFFF"/>
            <w:noWrap/>
            <w:hideMark/>
          </w:tcPr>
          <w:p w14:paraId="71B93D10"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365" w:type="dxa"/>
            <w:tcBorders>
              <w:top w:val="nil"/>
              <w:left w:val="nil"/>
              <w:bottom w:val="nil"/>
              <w:right w:val="nil"/>
            </w:tcBorders>
            <w:shd w:val="clear" w:color="000000" w:fill="FFFFFF"/>
            <w:noWrap/>
            <w:hideMark/>
          </w:tcPr>
          <w:p w14:paraId="43AE92F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940" w:type="dxa"/>
            <w:tcBorders>
              <w:top w:val="nil"/>
              <w:left w:val="nil"/>
              <w:bottom w:val="nil"/>
              <w:right w:val="nil"/>
            </w:tcBorders>
            <w:shd w:val="clear" w:color="000000" w:fill="FFFFFF"/>
            <w:noWrap/>
            <w:hideMark/>
          </w:tcPr>
          <w:p w14:paraId="1B48E77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0.142 </w:t>
            </w:r>
          </w:p>
        </w:tc>
        <w:tc>
          <w:tcPr>
            <w:tcW w:w="508" w:type="dxa"/>
            <w:tcBorders>
              <w:top w:val="nil"/>
              <w:left w:val="nil"/>
              <w:bottom w:val="nil"/>
              <w:right w:val="nil"/>
            </w:tcBorders>
            <w:shd w:val="clear" w:color="000000" w:fill="FFFFFF"/>
            <w:noWrap/>
            <w:hideMark/>
          </w:tcPr>
          <w:p w14:paraId="56E5BDD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-0.546 </w:t>
            </w:r>
          </w:p>
        </w:tc>
        <w:tc>
          <w:tcPr>
            <w:tcW w:w="510" w:type="dxa"/>
            <w:tcBorders>
              <w:top w:val="nil"/>
              <w:left w:val="nil"/>
              <w:bottom w:val="nil"/>
              <w:right w:val="nil"/>
            </w:tcBorders>
            <w:shd w:val="clear" w:color="000000" w:fill="FFFFFF"/>
            <w:noWrap/>
            <w:hideMark/>
          </w:tcPr>
          <w:p w14:paraId="46B0BE9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0.829 </w:t>
            </w:r>
          </w:p>
        </w:tc>
        <w:tc>
          <w:tcPr>
            <w:tcW w:w="628" w:type="dxa"/>
            <w:tcBorders>
              <w:top w:val="nil"/>
              <w:left w:val="nil"/>
              <w:bottom w:val="nil"/>
              <w:right w:val="nil"/>
            </w:tcBorders>
            <w:shd w:val="clear" w:color="000000" w:fill="FFFFFF"/>
            <w:noWrap/>
            <w:hideMark/>
          </w:tcPr>
          <w:p w14:paraId="058D814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0.687 </w:t>
            </w:r>
          </w:p>
        </w:tc>
      </w:tr>
      <w:tr w:rsidR="004B323C" w:rsidRPr="00C76E19" w14:paraId="19C568C5" w14:textId="77777777" w:rsidTr="00573D81">
        <w:trPr>
          <w:gridAfter w:val="1"/>
          <w:wAfter w:w="103" w:type="dxa"/>
        </w:trPr>
        <w:tc>
          <w:tcPr>
            <w:tcW w:w="1959" w:type="dxa"/>
            <w:tcBorders>
              <w:top w:val="nil"/>
              <w:left w:val="nil"/>
              <w:right w:val="nil"/>
            </w:tcBorders>
            <w:shd w:val="clear" w:color="000000" w:fill="FFFFFF"/>
            <w:noWrap/>
            <w:hideMark/>
          </w:tcPr>
          <w:p w14:paraId="58BF4C43" w14:textId="77777777" w:rsidR="00F708F6" w:rsidRPr="00AE2A93" w:rsidRDefault="00F708F6"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Joint pain</w:t>
            </w:r>
          </w:p>
        </w:tc>
        <w:tc>
          <w:tcPr>
            <w:tcW w:w="342" w:type="dxa"/>
            <w:tcBorders>
              <w:top w:val="nil"/>
              <w:left w:val="nil"/>
              <w:right w:val="nil"/>
            </w:tcBorders>
            <w:shd w:val="clear" w:color="000000" w:fill="FFFFFF"/>
            <w:noWrap/>
            <w:hideMark/>
          </w:tcPr>
          <w:p w14:paraId="76518D75"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top w:val="nil"/>
              <w:left w:val="nil"/>
              <w:right w:val="nil"/>
            </w:tcBorders>
            <w:shd w:val="clear" w:color="000000" w:fill="FFFFFF"/>
            <w:noWrap/>
            <w:hideMark/>
          </w:tcPr>
          <w:p w14:paraId="31ACB17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0.318 </w:t>
            </w:r>
          </w:p>
        </w:tc>
        <w:tc>
          <w:tcPr>
            <w:tcW w:w="553" w:type="dxa"/>
            <w:tcBorders>
              <w:top w:val="nil"/>
              <w:left w:val="nil"/>
              <w:right w:val="nil"/>
            </w:tcBorders>
            <w:shd w:val="clear" w:color="000000" w:fill="FFFFFF"/>
            <w:noWrap/>
            <w:hideMark/>
          </w:tcPr>
          <w:p w14:paraId="49204AA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0.059 </w:t>
            </w:r>
          </w:p>
        </w:tc>
        <w:tc>
          <w:tcPr>
            <w:tcW w:w="553" w:type="dxa"/>
            <w:tcBorders>
              <w:top w:val="nil"/>
              <w:left w:val="nil"/>
              <w:right w:val="nil"/>
            </w:tcBorders>
            <w:shd w:val="clear" w:color="000000" w:fill="FFFFFF"/>
            <w:noWrap/>
            <w:hideMark/>
          </w:tcPr>
          <w:p w14:paraId="76DC427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1.866 </w:t>
            </w:r>
          </w:p>
        </w:tc>
        <w:tc>
          <w:tcPr>
            <w:tcW w:w="554" w:type="dxa"/>
            <w:gridSpan w:val="2"/>
            <w:tcBorders>
              <w:top w:val="nil"/>
              <w:left w:val="nil"/>
              <w:right w:val="nil"/>
            </w:tcBorders>
            <w:shd w:val="clear" w:color="000000" w:fill="FFFFFF"/>
            <w:noWrap/>
            <w:hideMark/>
          </w:tcPr>
          <w:p w14:paraId="7AEE43EA"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0.187 </w:t>
            </w:r>
          </w:p>
        </w:tc>
        <w:tc>
          <w:tcPr>
            <w:tcW w:w="554" w:type="dxa"/>
            <w:tcBorders>
              <w:top w:val="nil"/>
              <w:left w:val="nil"/>
              <w:right w:val="nil"/>
            </w:tcBorders>
            <w:shd w:val="clear" w:color="000000" w:fill="FFFFFF"/>
            <w:noWrap/>
            <w:hideMark/>
          </w:tcPr>
          <w:p w14:paraId="05280D9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right w:val="nil"/>
            </w:tcBorders>
            <w:shd w:val="clear" w:color="000000" w:fill="FFFFFF"/>
            <w:noWrap/>
            <w:hideMark/>
          </w:tcPr>
          <w:p w14:paraId="6C9CF0FA"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right w:val="nil"/>
            </w:tcBorders>
            <w:shd w:val="clear" w:color="000000" w:fill="FFFFFF"/>
            <w:noWrap/>
            <w:hideMark/>
          </w:tcPr>
          <w:p w14:paraId="5BD5925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right w:val="nil"/>
            </w:tcBorders>
            <w:shd w:val="clear" w:color="000000" w:fill="FFFFFF"/>
            <w:noWrap/>
            <w:hideMark/>
          </w:tcPr>
          <w:p w14:paraId="2B5C069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right w:val="nil"/>
            </w:tcBorders>
            <w:shd w:val="clear" w:color="000000" w:fill="FFFFFF"/>
            <w:noWrap/>
            <w:hideMark/>
          </w:tcPr>
          <w:p w14:paraId="0476D4A3"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gridSpan w:val="2"/>
            <w:tcBorders>
              <w:top w:val="nil"/>
              <w:left w:val="nil"/>
              <w:right w:val="nil"/>
            </w:tcBorders>
            <w:shd w:val="clear" w:color="000000" w:fill="FFFFFF"/>
            <w:noWrap/>
            <w:hideMark/>
          </w:tcPr>
          <w:p w14:paraId="619932F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right w:val="nil"/>
            </w:tcBorders>
            <w:shd w:val="clear" w:color="000000" w:fill="FFFFFF"/>
            <w:noWrap/>
            <w:hideMark/>
          </w:tcPr>
          <w:p w14:paraId="4D44B2C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right w:val="nil"/>
            </w:tcBorders>
            <w:shd w:val="clear" w:color="000000" w:fill="FFFFFF"/>
            <w:noWrap/>
            <w:hideMark/>
          </w:tcPr>
          <w:p w14:paraId="5F8A501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right w:val="nil"/>
            </w:tcBorders>
            <w:shd w:val="clear" w:color="000000" w:fill="FFFFFF"/>
            <w:noWrap/>
            <w:hideMark/>
          </w:tcPr>
          <w:p w14:paraId="58300C46"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1" w:type="dxa"/>
            <w:tcBorders>
              <w:top w:val="nil"/>
              <w:left w:val="nil"/>
              <w:right w:val="nil"/>
            </w:tcBorders>
            <w:shd w:val="clear" w:color="000000" w:fill="FFFFFF"/>
            <w:noWrap/>
            <w:hideMark/>
          </w:tcPr>
          <w:p w14:paraId="4653CBEC"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365" w:type="dxa"/>
            <w:tcBorders>
              <w:top w:val="nil"/>
              <w:left w:val="nil"/>
              <w:right w:val="nil"/>
            </w:tcBorders>
            <w:shd w:val="clear" w:color="000000" w:fill="FFFFFF"/>
            <w:noWrap/>
            <w:hideMark/>
          </w:tcPr>
          <w:p w14:paraId="2ADF551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940" w:type="dxa"/>
            <w:tcBorders>
              <w:top w:val="nil"/>
              <w:left w:val="nil"/>
              <w:right w:val="nil"/>
            </w:tcBorders>
            <w:shd w:val="clear" w:color="000000" w:fill="FFFFFF"/>
            <w:noWrap/>
            <w:hideMark/>
          </w:tcPr>
          <w:p w14:paraId="54CFB6A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08" w:type="dxa"/>
            <w:tcBorders>
              <w:top w:val="nil"/>
              <w:left w:val="nil"/>
              <w:right w:val="nil"/>
            </w:tcBorders>
            <w:shd w:val="clear" w:color="000000" w:fill="FFFFFF"/>
            <w:noWrap/>
            <w:hideMark/>
          </w:tcPr>
          <w:p w14:paraId="3F9F356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10" w:type="dxa"/>
            <w:tcBorders>
              <w:top w:val="nil"/>
              <w:left w:val="nil"/>
              <w:right w:val="nil"/>
            </w:tcBorders>
            <w:shd w:val="clear" w:color="000000" w:fill="FFFFFF"/>
            <w:noWrap/>
            <w:hideMark/>
          </w:tcPr>
          <w:p w14:paraId="59D1941A"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8" w:type="dxa"/>
            <w:tcBorders>
              <w:top w:val="nil"/>
              <w:left w:val="nil"/>
              <w:right w:val="nil"/>
            </w:tcBorders>
            <w:shd w:val="clear" w:color="000000" w:fill="FFFFFF"/>
            <w:noWrap/>
            <w:hideMark/>
          </w:tcPr>
          <w:p w14:paraId="582B8CCD"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4B323C" w:rsidRPr="00C76E19" w14:paraId="6B506CA4" w14:textId="77777777" w:rsidTr="00573D81">
        <w:trPr>
          <w:gridAfter w:val="1"/>
          <w:wAfter w:w="103" w:type="dxa"/>
        </w:trPr>
        <w:tc>
          <w:tcPr>
            <w:tcW w:w="1959" w:type="dxa"/>
            <w:tcBorders>
              <w:left w:val="nil"/>
              <w:right w:val="nil"/>
            </w:tcBorders>
            <w:shd w:val="clear" w:color="000000" w:fill="FFFFFF"/>
            <w:noWrap/>
            <w:hideMark/>
          </w:tcPr>
          <w:p w14:paraId="45510E4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History of CD-related surgery </w:t>
            </w:r>
          </w:p>
        </w:tc>
        <w:tc>
          <w:tcPr>
            <w:tcW w:w="342" w:type="dxa"/>
            <w:tcBorders>
              <w:left w:val="nil"/>
              <w:right w:val="nil"/>
            </w:tcBorders>
            <w:shd w:val="clear" w:color="000000" w:fill="FFFFFF"/>
            <w:noWrap/>
            <w:hideMark/>
          </w:tcPr>
          <w:p w14:paraId="4D17B42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left w:val="nil"/>
              <w:right w:val="nil"/>
            </w:tcBorders>
            <w:shd w:val="clear" w:color="000000" w:fill="FFFFFF"/>
            <w:noWrap/>
            <w:hideMark/>
          </w:tcPr>
          <w:p w14:paraId="21674CB5"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0.158 </w:t>
            </w:r>
          </w:p>
        </w:tc>
        <w:tc>
          <w:tcPr>
            <w:tcW w:w="553" w:type="dxa"/>
            <w:tcBorders>
              <w:left w:val="nil"/>
              <w:right w:val="nil"/>
            </w:tcBorders>
            <w:shd w:val="clear" w:color="000000" w:fill="FFFFFF"/>
            <w:noWrap/>
            <w:hideMark/>
          </w:tcPr>
          <w:p w14:paraId="12F67DF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0.056 </w:t>
            </w:r>
          </w:p>
        </w:tc>
        <w:tc>
          <w:tcPr>
            <w:tcW w:w="553" w:type="dxa"/>
            <w:tcBorders>
              <w:left w:val="nil"/>
              <w:right w:val="nil"/>
            </w:tcBorders>
            <w:shd w:val="clear" w:color="000000" w:fill="FFFFFF"/>
            <w:noWrap/>
            <w:hideMark/>
          </w:tcPr>
          <w:p w14:paraId="154C42A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0.407 </w:t>
            </w:r>
          </w:p>
        </w:tc>
        <w:tc>
          <w:tcPr>
            <w:tcW w:w="554" w:type="dxa"/>
            <w:gridSpan w:val="2"/>
            <w:tcBorders>
              <w:left w:val="nil"/>
              <w:right w:val="nil"/>
            </w:tcBorders>
            <w:shd w:val="clear" w:color="000000" w:fill="FFFFFF"/>
            <w:noWrap/>
            <w:hideMark/>
          </w:tcPr>
          <w:p w14:paraId="29A4EDA9"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0.000 </w:t>
            </w:r>
          </w:p>
        </w:tc>
        <w:tc>
          <w:tcPr>
            <w:tcW w:w="554" w:type="dxa"/>
            <w:tcBorders>
              <w:left w:val="nil"/>
              <w:right w:val="nil"/>
            </w:tcBorders>
            <w:shd w:val="clear" w:color="000000" w:fill="FFFFFF"/>
            <w:noWrap/>
            <w:hideMark/>
          </w:tcPr>
          <w:p w14:paraId="68EB968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left w:val="nil"/>
              <w:right w:val="nil"/>
            </w:tcBorders>
            <w:shd w:val="clear" w:color="000000" w:fill="FFFFFF"/>
            <w:noWrap/>
            <w:hideMark/>
          </w:tcPr>
          <w:p w14:paraId="30FBBF3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left w:val="nil"/>
              <w:right w:val="nil"/>
            </w:tcBorders>
            <w:shd w:val="clear" w:color="000000" w:fill="FFFFFF"/>
            <w:noWrap/>
            <w:hideMark/>
          </w:tcPr>
          <w:p w14:paraId="44E2B36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left w:val="nil"/>
              <w:right w:val="nil"/>
            </w:tcBorders>
            <w:shd w:val="clear" w:color="000000" w:fill="FFFFFF"/>
            <w:noWrap/>
            <w:hideMark/>
          </w:tcPr>
          <w:p w14:paraId="480A9419"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left w:val="nil"/>
              <w:right w:val="nil"/>
            </w:tcBorders>
            <w:shd w:val="clear" w:color="000000" w:fill="FFFFFF"/>
            <w:noWrap/>
            <w:hideMark/>
          </w:tcPr>
          <w:p w14:paraId="58E056B3"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gridSpan w:val="2"/>
            <w:tcBorders>
              <w:left w:val="nil"/>
              <w:right w:val="nil"/>
            </w:tcBorders>
            <w:shd w:val="clear" w:color="000000" w:fill="FFFFFF"/>
            <w:noWrap/>
            <w:hideMark/>
          </w:tcPr>
          <w:p w14:paraId="71D7693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left w:val="nil"/>
              <w:right w:val="nil"/>
            </w:tcBorders>
            <w:shd w:val="clear" w:color="000000" w:fill="FFFFFF"/>
            <w:noWrap/>
            <w:hideMark/>
          </w:tcPr>
          <w:p w14:paraId="6FED6B6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0.488 </w:t>
            </w:r>
          </w:p>
        </w:tc>
        <w:tc>
          <w:tcPr>
            <w:tcW w:w="554" w:type="dxa"/>
            <w:tcBorders>
              <w:left w:val="nil"/>
              <w:right w:val="nil"/>
            </w:tcBorders>
            <w:shd w:val="clear" w:color="000000" w:fill="FFFFFF"/>
            <w:noWrap/>
            <w:hideMark/>
          </w:tcPr>
          <w:p w14:paraId="023D4BD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0.282 </w:t>
            </w:r>
          </w:p>
        </w:tc>
        <w:tc>
          <w:tcPr>
            <w:tcW w:w="554" w:type="dxa"/>
            <w:tcBorders>
              <w:left w:val="nil"/>
              <w:right w:val="nil"/>
            </w:tcBorders>
            <w:shd w:val="clear" w:color="000000" w:fill="FFFFFF"/>
            <w:noWrap/>
            <w:hideMark/>
          </w:tcPr>
          <w:p w14:paraId="04927A3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0.824 </w:t>
            </w:r>
          </w:p>
        </w:tc>
        <w:tc>
          <w:tcPr>
            <w:tcW w:w="621" w:type="dxa"/>
            <w:tcBorders>
              <w:left w:val="nil"/>
              <w:right w:val="nil"/>
            </w:tcBorders>
            <w:shd w:val="clear" w:color="000000" w:fill="FFFFFF"/>
            <w:noWrap/>
            <w:hideMark/>
          </w:tcPr>
          <w:p w14:paraId="0266D83E" w14:textId="24F082AD"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0.009</w:t>
            </w:r>
            <w:r w:rsidR="00573D81" w:rsidRPr="00AE2A93">
              <w:rPr>
                <w:rFonts w:ascii="Book Antiqua" w:hAnsi="Book Antiqua"/>
                <w:color w:val="000000"/>
                <w:vertAlign w:val="superscript"/>
              </w:rPr>
              <w:t>b</w:t>
            </w:r>
            <w:r w:rsidRPr="00AE2A93">
              <w:rPr>
                <w:rFonts w:ascii="Book Antiqua" w:hAnsi="Book Antiqua"/>
                <w:color w:val="000000"/>
              </w:rPr>
              <w:t xml:space="preserve"> </w:t>
            </w:r>
          </w:p>
        </w:tc>
        <w:tc>
          <w:tcPr>
            <w:tcW w:w="365" w:type="dxa"/>
            <w:tcBorders>
              <w:left w:val="nil"/>
              <w:right w:val="nil"/>
            </w:tcBorders>
            <w:shd w:val="clear" w:color="000000" w:fill="FFFFFF"/>
            <w:noWrap/>
            <w:hideMark/>
          </w:tcPr>
          <w:p w14:paraId="2AD9178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940" w:type="dxa"/>
            <w:tcBorders>
              <w:left w:val="nil"/>
              <w:right w:val="nil"/>
            </w:tcBorders>
            <w:shd w:val="clear" w:color="000000" w:fill="FFFFFF"/>
            <w:noWrap/>
            <w:hideMark/>
          </w:tcPr>
          <w:p w14:paraId="6567E8E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-0.304 </w:t>
            </w:r>
          </w:p>
        </w:tc>
        <w:tc>
          <w:tcPr>
            <w:tcW w:w="508" w:type="dxa"/>
            <w:tcBorders>
              <w:left w:val="nil"/>
              <w:right w:val="nil"/>
            </w:tcBorders>
            <w:shd w:val="clear" w:color="000000" w:fill="FFFFFF"/>
            <w:noWrap/>
            <w:hideMark/>
          </w:tcPr>
          <w:p w14:paraId="5E600BB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-0.908 </w:t>
            </w:r>
          </w:p>
        </w:tc>
        <w:tc>
          <w:tcPr>
            <w:tcW w:w="510" w:type="dxa"/>
            <w:tcBorders>
              <w:left w:val="nil"/>
              <w:right w:val="nil"/>
            </w:tcBorders>
            <w:shd w:val="clear" w:color="000000" w:fill="FFFFFF"/>
            <w:noWrap/>
            <w:hideMark/>
          </w:tcPr>
          <w:p w14:paraId="25AD4A3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0.299 </w:t>
            </w:r>
          </w:p>
        </w:tc>
        <w:tc>
          <w:tcPr>
            <w:tcW w:w="628" w:type="dxa"/>
            <w:tcBorders>
              <w:left w:val="nil"/>
              <w:right w:val="nil"/>
            </w:tcBorders>
            <w:shd w:val="clear" w:color="000000" w:fill="FFFFFF"/>
            <w:noWrap/>
            <w:hideMark/>
          </w:tcPr>
          <w:p w14:paraId="0405BDD6"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0.323 </w:t>
            </w:r>
          </w:p>
        </w:tc>
      </w:tr>
      <w:tr w:rsidR="004B323C" w:rsidRPr="00C76E19" w14:paraId="6BBDF3C8" w14:textId="77777777" w:rsidTr="00573D81">
        <w:trPr>
          <w:gridAfter w:val="1"/>
          <w:wAfter w:w="103" w:type="dxa"/>
        </w:trPr>
        <w:tc>
          <w:tcPr>
            <w:tcW w:w="1959" w:type="dxa"/>
            <w:tcBorders>
              <w:top w:val="nil"/>
              <w:left w:val="nil"/>
              <w:bottom w:val="nil"/>
              <w:right w:val="nil"/>
            </w:tcBorders>
            <w:shd w:val="clear" w:color="000000" w:fill="FFFFFF"/>
            <w:noWrap/>
            <w:hideMark/>
          </w:tcPr>
          <w:p w14:paraId="0764CEB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Comorbidities </w:t>
            </w:r>
          </w:p>
        </w:tc>
        <w:tc>
          <w:tcPr>
            <w:tcW w:w="342" w:type="dxa"/>
            <w:tcBorders>
              <w:top w:val="nil"/>
              <w:left w:val="nil"/>
              <w:bottom w:val="nil"/>
              <w:right w:val="nil"/>
            </w:tcBorders>
            <w:shd w:val="clear" w:color="000000" w:fill="FFFFFF"/>
            <w:noWrap/>
            <w:hideMark/>
          </w:tcPr>
          <w:p w14:paraId="77C36E4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1F6B919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7CBBF216"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51433FB6"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gridSpan w:val="2"/>
            <w:tcBorders>
              <w:top w:val="nil"/>
              <w:left w:val="nil"/>
              <w:bottom w:val="nil"/>
              <w:right w:val="nil"/>
            </w:tcBorders>
            <w:shd w:val="clear" w:color="000000" w:fill="FFFFFF"/>
            <w:noWrap/>
            <w:hideMark/>
          </w:tcPr>
          <w:p w14:paraId="1BEFFD90"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tcBorders>
              <w:top w:val="nil"/>
              <w:left w:val="nil"/>
              <w:bottom w:val="nil"/>
              <w:right w:val="nil"/>
            </w:tcBorders>
            <w:shd w:val="clear" w:color="000000" w:fill="FFFFFF"/>
            <w:noWrap/>
            <w:hideMark/>
          </w:tcPr>
          <w:p w14:paraId="7172F81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62A523C9"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745AB926"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577DCC8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101D5734"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gridSpan w:val="2"/>
            <w:tcBorders>
              <w:top w:val="nil"/>
              <w:left w:val="nil"/>
              <w:bottom w:val="nil"/>
              <w:right w:val="nil"/>
            </w:tcBorders>
            <w:shd w:val="clear" w:color="000000" w:fill="FFFFFF"/>
            <w:noWrap/>
            <w:hideMark/>
          </w:tcPr>
          <w:p w14:paraId="37148AD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2A1F5C7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102BB6A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7809C6BA"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1" w:type="dxa"/>
            <w:tcBorders>
              <w:top w:val="nil"/>
              <w:left w:val="nil"/>
              <w:bottom w:val="nil"/>
              <w:right w:val="nil"/>
            </w:tcBorders>
            <w:shd w:val="clear" w:color="000000" w:fill="FFFFFF"/>
            <w:noWrap/>
            <w:hideMark/>
          </w:tcPr>
          <w:p w14:paraId="2A19CD06"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365" w:type="dxa"/>
            <w:tcBorders>
              <w:top w:val="nil"/>
              <w:left w:val="nil"/>
              <w:bottom w:val="nil"/>
              <w:right w:val="nil"/>
            </w:tcBorders>
            <w:shd w:val="clear" w:color="000000" w:fill="FFFFFF"/>
            <w:noWrap/>
            <w:hideMark/>
          </w:tcPr>
          <w:p w14:paraId="06FF084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940" w:type="dxa"/>
            <w:tcBorders>
              <w:top w:val="nil"/>
              <w:left w:val="nil"/>
              <w:bottom w:val="nil"/>
              <w:right w:val="nil"/>
            </w:tcBorders>
            <w:shd w:val="clear" w:color="000000" w:fill="FFFFFF"/>
            <w:noWrap/>
            <w:hideMark/>
          </w:tcPr>
          <w:p w14:paraId="00EE3856"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08" w:type="dxa"/>
            <w:tcBorders>
              <w:top w:val="nil"/>
              <w:left w:val="nil"/>
              <w:bottom w:val="nil"/>
              <w:right w:val="nil"/>
            </w:tcBorders>
            <w:shd w:val="clear" w:color="000000" w:fill="FFFFFF"/>
            <w:noWrap/>
            <w:hideMark/>
          </w:tcPr>
          <w:p w14:paraId="4DF3DDD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10" w:type="dxa"/>
            <w:tcBorders>
              <w:top w:val="nil"/>
              <w:left w:val="nil"/>
              <w:bottom w:val="nil"/>
              <w:right w:val="nil"/>
            </w:tcBorders>
            <w:shd w:val="clear" w:color="000000" w:fill="FFFFFF"/>
            <w:noWrap/>
            <w:hideMark/>
          </w:tcPr>
          <w:p w14:paraId="1F93179E"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8" w:type="dxa"/>
            <w:tcBorders>
              <w:top w:val="nil"/>
              <w:left w:val="nil"/>
              <w:bottom w:val="nil"/>
              <w:right w:val="nil"/>
            </w:tcBorders>
            <w:shd w:val="clear" w:color="000000" w:fill="FFFFFF"/>
            <w:noWrap/>
            <w:hideMark/>
          </w:tcPr>
          <w:p w14:paraId="68FDCD68"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4B323C" w:rsidRPr="00C76E19" w14:paraId="7EE6C6A3" w14:textId="77777777" w:rsidTr="00573D81">
        <w:trPr>
          <w:gridAfter w:val="1"/>
          <w:wAfter w:w="103" w:type="dxa"/>
        </w:trPr>
        <w:tc>
          <w:tcPr>
            <w:tcW w:w="1959" w:type="dxa"/>
            <w:tcBorders>
              <w:top w:val="nil"/>
              <w:left w:val="nil"/>
              <w:bottom w:val="nil"/>
              <w:right w:val="nil"/>
            </w:tcBorders>
            <w:shd w:val="clear" w:color="000000" w:fill="FFFFFF"/>
            <w:noWrap/>
            <w:hideMark/>
          </w:tcPr>
          <w:p w14:paraId="713E3A29" w14:textId="77777777" w:rsidR="00F708F6" w:rsidRPr="00AE2A93" w:rsidRDefault="00F708F6"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Gallbladder disease</w:t>
            </w:r>
          </w:p>
        </w:tc>
        <w:tc>
          <w:tcPr>
            <w:tcW w:w="342" w:type="dxa"/>
            <w:tcBorders>
              <w:top w:val="nil"/>
              <w:left w:val="nil"/>
              <w:bottom w:val="nil"/>
              <w:right w:val="nil"/>
            </w:tcBorders>
            <w:shd w:val="clear" w:color="000000" w:fill="FFFFFF"/>
            <w:noWrap/>
            <w:hideMark/>
          </w:tcPr>
          <w:p w14:paraId="69198CD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143DD55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232D9F3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nil"/>
              <w:right w:val="nil"/>
            </w:tcBorders>
            <w:shd w:val="clear" w:color="000000" w:fill="FFFFFF"/>
            <w:noWrap/>
            <w:hideMark/>
          </w:tcPr>
          <w:p w14:paraId="2842584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gridSpan w:val="2"/>
            <w:tcBorders>
              <w:top w:val="nil"/>
              <w:left w:val="nil"/>
              <w:bottom w:val="nil"/>
              <w:right w:val="nil"/>
            </w:tcBorders>
            <w:shd w:val="clear" w:color="000000" w:fill="FFFFFF"/>
            <w:noWrap/>
            <w:hideMark/>
          </w:tcPr>
          <w:p w14:paraId="14406379"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tcBorders>
              <w:top w:val="nil"/>
              <w:left w:val="nil"/>
              <w:bottom w:val="nil"/>
              <w:right w:val="nil"/>
            </w:tcBorders>
            <w:shd w:val="clear" w:color="000000" w:fill="FFFFFF"/>
            <w:noWrap/>
            <w:hideMark/>
          </w:tcPr>
          <w:p w14:paraId="5685052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4822C1D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787342C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78D68950"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nil"/>
              <w:right w:val="nil"/>
            </w:tcBorders>
            <w:shd w:val="clear" w:color="000000" w:fill="FFFFFF"/>
            <w:noWrap/>
            <w:hideMark/>
          </w:tcPr>
          <w:p w14:paraId="595EAFFB"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gridSpan w:val="2"/>
            <w:tcBorders>
              <w:top w:val="nil"/>
              <w:left w:val="nil"/>
              <w:bottom w:val="nil"/>
              <w:right w:val="nil"/>
            </w:tcBorders>
            <w:shd w:val="clear" w:color="000000" w:fill="FFFFFF"/>
            <w:noWrap/>
            <w:hideMark/>
          </w:tcPr>
          <w:p w14:paraId="20493AD1"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top w:val="nil"/>
              <w:left w:val="nil"/>
              <w:bottom w:val="nil"/>
              <w:right w:val="nil"/>
            </w:tcBorders>
            <w:shd w:val="clear" w:color="000000" w:fill="FFFFFF"/>
            <w:noWrap/>
            <w:hideMark/>
          </w:tcPr>
          <w:p w14:paraId="34621F5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3.812 </w:t>
            </w:r>
          </w:p>
        </w:tc>
        <w:tc>
          <w:tcPr>
            <w:tcW w:w="554" w:type="dxa"/>
            <w:tcBorders>
              <w:top w:val="nil"/>
              <w:left w:val="nil"/>
              <w:bottom w:val="nil"/>
              <w:right w:val="nil"/>
            </w:tcBorders>
            <w:shd w:val="clear" w:color="000000" w:fill="FFFFFF"/>
            <w:noWrap/>
            <w:hideMark/>
          </w:tcPr>
          <w:p w14:paraId="33594E6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1.343 </w:t>
            </w:r>
          </w:p>
        </w:tc>
        <w:tc>
          <w:tcPr>
            <w:tcW w:w="554" w:type="dxa"/>
            <w:tcBorders>
              <w:top w:val="nil"/>
              <w:left w:val="nil"/>
              <w:bottom w:val="nil"/>
              <w:right w:val="nil"/>
            </w:tcBorders>
            <w:shd w:val="clear" w:color="000000" w:fill="FFFFFF"/>
            <w:noWrap/>
            <w:hideMark/>
          </w:tcPr>
          <w:p w14:paraId="0420D029"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11.494 </w:t>
            </w:r>
          </w:p>
        </w:tc>
        <w:tc>
          <w:tcPr>
            <w:tcW w:w="621" w:type="dxa"/>
            <w:tcBorders>
              <w:top w:val="nil"/>
              <w:left w:val="nil"/>
              <w:bottom w:val="nil"/>
              <w:right w:val="nil"/>
            </w:tcBorders>
            <w:shd w:val="clear" w:color="000000" w:fill="FFFFFF"/>
            <w:noWrap/>
            <w:hideMark/>
          </w:tcPr>
          <w:p w14:paraId="79DE5E1A" w14:textId="5FCD9664"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0.013</w:t>
            </w:r>
            <w:r w:rsidR="00573D81" w:rsidRPr="00AE2A93">
              <w:rPr>
                <w:rFonts w:ascii="Book Antiqua" w:hAnsi="Book Antiqua"/>
                <w:color w:val="000000"/>
                <w:vertAlign w:val="superscript"/>
              </w:rPr>
              <w:t>a</w:t>
            </w:r>
            <w:r w:rsidRPr="00AE2A93">
              <w:rPr>
                <w:rFonts w:ascii="Book Antiqua" w:hAnsi="Book Antiqua"/>
                <w:color w:val="000000"/>
              </w:rPr>
              <w:t xml:space="preserve"> </w:t>
            </w:r>
          </w:p>
        </w:tc>
        <w:tc>
          <w:tcPr>
            <w:tcW w:w="365" w:type="dxa"/>
            <w:tcBorders>
              <w:top w:val="nil"/>
              <w:left w:val="nil"/>
              <w:bottom w:val="nil"/>
              <w:right w:val="nil"/>
            </w:tcBorders>
            <w:shd w:val="clear" w:color="000000" w:fill="FFFFFF"/>
            <w:noWrap/>
            <w:hideMark/>
          </w:tcPr>
          <w:p w14:paraId="6EB4F78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940" w:type="dxa"/>
            <w:tcBorders>
              <w:top w:val="nil"/>
              <w:left w:val="nil"/>
              <w:bottom w:val="nil"/>
              <w:right w:val="nil"/>
            </w:tcBorders>
            <w:shd w:val="clear" w:color="000000" w:fill="FFFFFF"/>
            <w:noWrap/>
            <w:hideMark/>
          </w:tcPr>
          <w:p w14:paraId="2F88718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08" w:type="dxa"/>
            <w:tcBorders>
              <w:top w:val="nil"/>
              <w:left w:val="nil"/>
              <w:bottom w:val="nil"/>
              <w:right w:val="nil"/>
            </w:tcBorders>
            <w:shd w:val="clear" w:color="000000" w:fill="FFFFFF"/>
            <w:noWrap/>
            <w:hideMark/>
          </w:tcPr>
          <w:p w14:paraId="2078E599"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10" w:type="dxa"/>
            <w:tcBorders>
              <w:top w:val="nil"/>
              <w:left w:val="nil"/>
              <w:bottom w:val="nil"/>
              <w:right w:val="nil"/>
            </w:tcBorders>
            <w:shd w:val="clear" w:color="000000" w:fill="FFFFFF"/>
            <w:noWrap/>
            <w:hideMark/>
          </w:tcPr>
          <w:p w14:paraId="590CDAF9"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8" w:type="dxa"/>
            <w:tcBorders>
              <w:top w:val="nil"/>
              <w:left w:val="nil"/>
              <w:bottom w:val="nil"/>
              <w:right w:val="nil"/>
            </w:tcBorders>
            <w:shd w:val="clear" w:color="000000" w:fill="FFFFFF"/>
            <w:noWrap/>
            <w:hideMark/>
          </w:tcPr>
          <w:p w14:paraId="5D396BBB"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4B323C" w:rsidRPr="00C76E19" w14:paraId="0FE5EC77" w14:textId="77777777" w:rsidTr="00573D81">
        <w:trPr>
          <w:gridAfter w:val="1"/>
          <w:wAfter w:w="103" w:type="dxa"/>
        </w:trPr>
        <w:tc>
          <w:tcPr>
            <w:tcW w:w="1959" w:type="dxa"/>
            <w:tcBorders>
              <w:top w:val="nil"/>
              <w:left w:val="nil"/>
              <w:bottom w:val="single" w:sz="4" w:space="0" w:color="auto"/>
              <w:right w:val="nil"/>
            </w:tcBorders>
            <w:shd w:val="clear" w:color="000000" w:fill="FFFFFF"/>
            <w:noWrap/>
            <w:hideMark/>
          </w:tcPr>
          <w:p w14:paraId="765F5605" w14:textId="77777777" w:rsidR="00F708F6" w:rsidRPr="00AE2A93" w:rsidRDefault="00F708F6"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Kidney disease</w:t>
            </w:r>
          </w:p>
        </w:tc>
        <w:tc>
          <w:tcPr>
            <w:tcW w:w="342" w:type="dxa"/>
            <w:tcBorders>
              <w:top w:val="nil"/>
              <w:left w:val="nil"/>
              <w:bottom w:val="single" w:sz="4" w:space="0" w:color="auto"/>
              <w:right w:val="nil"/>
            </w:tcBorders>
            <w:shd w:val="clear" w:color="000000" w:fill="FFFFFF"/>
            <w:noWrap/>
            <w:hideMark/>
          </w:tcPr>
          <w:p w14:paraId="753B6AB3"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single" w:sz="4" w:space="0" w:color="auto"/>
              <w:right w:val="nil"/>
            </w:tcBorders>
            <w:shd w:val="clear" w:color="000000" w:fill="FFFFFF"/>
            <w:noWrap/>
            <w:hideMark/>
          </w:tcPr>
          <w:p w14:paraId="037957DB"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single" w:sz="4" w:space="0" w:color="auto"/>
              <w:right w:val="nil"/>
            </w:tcBorders>
            <w:shd w:val="clear" w:color="000000" w:fill="FFFFFF"/>
            <w:noWrap/>
            <w:hideMark/>
          </w:tcPr>
          <w:p w14:paraId="612C25BA"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3" w:type="dxa"/>
            <w:tcBorders>
              <w:top w:val="nil"/>
              <w:left w:val="nil"/>
              <w:bottom w:val="single" w:sz="4" w:space="0" w:color="auto"/>
              <w:right w:val="nil"/>
            </w:tcBorders>
            <w:shd w:val="clear" w:color="000000" w:fill="FFFFFF"/>
            <w:noWrap/>
            <w:hideMark/>
          </w:tcPr>
          <w:p w14:paraId="75B0411C"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gridSpan w:val="2"/>
            <w:tcBorders>
              <w:top w:val="nil"/>
              <w:left w:val="nil"/>
              <w:bottom w:val="single" w:sz="4" w:space="0" w:color="auto"/>
              <w:right w:val="nil"/>
            </w:tcBorders>
            <w:shd w:val="clear" w:color="000000" w:fill="FFFFFF"/>
            <w:noWrap/>
            <w:hideMark/>
          </w:tcPr>
          <w:p w14:paraId="05BEC8A2"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554" w:type="dxa"/>
            <w:tcBorders>
              <w:top w:val="nil"/>
              <w:left w:val="nil"/>
              <w:bottom w:val="single" w:sz="4" w:space="0" w:color="auto"/>
              <w:right w:val="nil"/>
            </w:tcBorders>
            <w:shd w:val="clear" w:color="000000" w:fill="FFFFFF"/>
            <w:noWrap/>
            <w:hideMark/>
          </w:tcPr>
          <w:p w14:paraId="0BA0E4F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554" w:type="dxa"/>
            <w:tcBorders>
              <w:top w:val="nil"/>
              <w:left w:val="nil"/>
              <w:bottom w:val="single" w:sz="4" w:space="0" w:color="auto"/>
              <w:right w:val="nil"/>
            </w:tcBorders>
            <w:shd w:val="clear" w:color="000000" w:fill="FFFFFF"/>
            <w:noWrap/>
            <w:hideMark/>
          </w:tcPr>
          <w:p w14:paraId="367C801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5.015 </w:t>
            </w:r>
          </w:p>
        </w:tc>
        <w:tc>
          <w:tcPr>
            <w:tcW w:w="554" w:type="dxa"/>
            <w:tcBorders>
              <w:top w:val="nil"/>
              <w:left w:val="nil"/>
              <w:bottom w:val="single" w:sz="4" w:space="0" w:color="auto"/>
              <w:right w:val="nil"/>
            </w:tcBorders>
            <w:shd w:val="clear" w:color="000000" w:fill="FFFFFF"/>
            <w:noWrap/>
            <w:hideMark/>
          </w:tcPr>
          <w:p w14:paraId="614BEC0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0.826 </w:t>
            </w:r>
          </w:p>
        </w:tc>
        <w:tc>
          <w:tcPr>
            <w:tcW w:w="554" w:type="dxa"/>
            <w:tcBorders>
              <w:top w:val="nil"/>
              <w:left w:val="nil"/>
              <w:bottom w:val="single" w:sz="4" w:space="0" w:color="auto"/>
              <w:right w:val="nil"/>
            </w:tcBorders>
            <w:shd w:val="clear" w:color="000000" w:fill="FFFFFF"/>
            <w:noWrap/>
            <w:hideMark/>
          </w:tcPr>
          <w:p w14:paraId="38ABDEF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31.142 </w:t>
            </w:r>
          </w:p>
        </w:tc>
        <w:tc>
          <w:tcPr>
            <w:tcW w:w="554" w:type="dxa"/>
            <w:tcBorders>
              <w:top w:val="nil"/>
              <w:left w:val="nil"/>
              <w:bottom w:val="single" w:sz="4" w:space="0" w:color="auto"/>
              <w:right w:val="nil"/>
            </w:tcBorders>
            <w:shd w:val="clear" w:color="000000" w:fill="FFFFFF"/>
            <w:noWrap/>
            <w:hideMark/>
          </w:tcPr>
          <w:p w14:paraId="349518D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xml:space="preserve">0.070 </w:t>
            </w:r>
          </w:p>
        </w:tc>
        <w:tc>
          <w:tcPr>
            <w:tcW w:w="554" w:type="dxa"/>
            <w:gridSpan w:val="2"/>
            <w:tcBorders>
              <w:top w:val="nil"/>
              <w:left w:val="nil"/>
              <w:bottom w:val="single" w:sz="4" w:space="0" w:color="auto"/>
              <w:right w:val="nil"/>
            </w:tcBorders>
            <w:shd w:val="clear" w:color="000000" w:fill="FFFFFF"/>
            <w:noWrap/>
            <w:hideMark/>
          </w:tcPr>
          <w:p w14:paraId="1D9CA03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single" w:sz="4" w:space="0" w:color="auto"/>
              <w:right w:val="nil"/>
            </w:tcBorders>
            <w:shd w:val="clear" w:color="000000" w:fill="FFFFFF"/>
            <w:noWrap/>
            <w:hideMark/>
          </w:tcPr>
          <w:p w14:paraId="1CBABCB7"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single" w:sz="4" w:space="0" w:color="auto"/>
              <w:right w:val="nil"/>
            </w:tcBorders>
            <w:shd w:val="clear" w:color="000000" w:fill="FFFFFF"/>
            <w:noWrap/>
            <w:hideMark/>
          </w:tcPr>
          <w:p w14:paraId="42E67972"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54" w:type="dxa"/>
            <w:tcBorders>
              <w:top w:val="nil"/>
              <w:left w:val="nil"/>
              <w:bottom w:val="single" w:sz="4" w:space="0" w:color="auto"/>
              <w:right w:val="nil"/>
            </w:tcBorders>
            <w:shd w:val="clear" w:color="000000" w:fill="FFFFFF"/>
            <w:noWrap/>
            <w:hideMark/>
          </w:tcPr>
          <w:p w14:paraId="1ECDD066"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1" w:type="dxa"/>
            <w:tcBorders>
              <w:top w:val="nil"/>
              <w:left w:val="nil"/>
              <w:bottom w:val="single" w:sz="4" w:space="0" w:color="auto"/>
              <w:right w:val="nil"/>
            </w:tcBorders>
            <w:shd w:val="clear" w:color="000000" w:fill="FFFFFF"/>
            <w:noWrap/>
            <w:hideMark/>
          </w:tcPr>
          <w:p w14:paraId="58C0A58E"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365" w:type="dxa"/>
            <w:tcBorders>
              <w:top w:val="nil"/>
              <w:left w:val="nil"/>
              <w:bottom w:val="single" w:sz="4" w:space="0" w:color="auto"/>
              <w:right w:val="nil"/>
            </w:tcBorders>
            <w:shd w:val="clear" w:color="000000" w:fill="FFFFFF"/>
            <w:noWrap/>
            <w:hideMark/>
          </w:tcPr>
          <w:p w14:paraId="0E197324"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940" w:type="dxa"/>
            <w:tcBorders>
              <w:top w:val="nil"/>
              <w:left w:val="nil"/>
              <w:bottom w:val="single" w:sz="4" w:space="0" w:color="auto"/>
              <w:right w:val="nil"/>
            </w:tcBorders>
            <w:shd w:val="clear" w:color="000000" w:fill="FFFFFF"/>
            <w:noWrap/>
            <w:hideMark/>
          </w:tcPr>
          <w:p w14:paraId="0162DE0F"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08" w:type="dxa"/>
            <w:tcBorders>
              <w:top w:val="nil"/>
              <w:left w:val="nil"/>
              <w:bottom w:val="single" w:sz="4" w:space="0" w:color="auto"/>
              <w:right w:val="nil"/>
            </w:tcBorders>
            <w:shd w:val="clear" w:color="000000" w:fill="FFFFFF"/>
            <w:noWrap/>
            <w:hideMark/>
          </w:tcPr>
          <w:p w14:paraId="48ED9ED8"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10" w:type="dxa"/>
            <w:tcBorders>
              <w:top w:val="nil"/>
              <w:left w:val="nil"/>
              <w:bottom w:val="single" w:sz="4" w:space="0" w:color="auto"/>
              <w:right w:val="nil"/>
            </w:tcBorders>
            <w:shd w:val="clear" w:color="000000" w:fill="FFFFFF"/>
            <w:noWrap/>
            <w:hideMark/>
          </w:tcPr>
          <w:p w14:paraId="5EF3A38D" w14:textId="77777777" w:rsidR="00F708F6" w:rsidRPr="00AE2A93" w:rsidRDefault="00F708F6"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28" w:type="dxa"/>
            <w:tcBorders>
              <w:top w:val="nil"/>
              <w:left w:val="nil"/>
              <w:bottom w:val="single" w:sz="4" w:space="0" w:color="auto"/>
              <w:right w:val="nil"/>
            </w:tcBorders>
            <w:shd w:val="clear" w:color="000000" w:fill="FFFFFF"/>
            <w:noWrap/>
            <w:hideMark/>
          </w:tcPr>
          <w:p w14:paraId="43D650C8" w14:textId="77777777" w:rsidR="00F708F6" w:rsidRPr="00AE2A93" w:rsidRDefault="00F708F6"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bl>
    <w:p w14:paraId="21CAFCCB" w14:textId="7119F894" w:rsidR="00573D81" w:rsidRPr="002B5BCF" w:rsidRDefault="00573D81" w:rsidP="00AE2A93">
      <w:pPr>
        <w:snapToGrid w:val="0"/>
        <w:spacing w:line="360" w:lineRule="auto"/>
        <w:jc w:val="both"/>
        <w:rPr>
          <w:rFonts w:ascii="Book Antiqua" w:eastAsia="Book Antiqua" w:hAnsi="Book Antiqua" w:cs="Book Antiqua"/>
          <w:color w:val="000000"/>
        </w:rPr>
      </w:pPr>
      <w:r w:rsidRPr="00C76E19">
        <w:rPr>
          <w:rFonts w:ascii="Book Antiqua" w:hAnsi="Book Antiqua"/>
          <w:vertAlign w:val="superscript"/>
          <w:lang w:eastAsia="zh-CN"/>
        </w:rPr>
        <w:t>a</w:t>
      </w:r>
      <w:r w:rsidRPr="00C76E19">
        <w:rPr>
          <w:rFonts w:ascii="Book Antiqua" w:hAnsi="Book Antiqua"/>
          <w:i/>
          <w:iCs/>
          <w:lang w:eastAsia="zh-CN"/>
        </w:rPr>
        <w:t>P</w:t>
      </w:r>
      <w:r w:rsidRPr="002B5BCF">
        <w:rPr>
          <w:rFonts w:ascii="Book Antiqua" w:hAnsi="Book Antiqua"/>
          <w:lang w:eastAsia="zh-CN"/>
        </w:rPr>
        <w:t xml:space="preserve"> &lt; 0.05, </w:t>
      </w:r>
      <w:r w:rsidRPr="002B5BCF">
        <w:rPr>
          <w:rFonts w:ascii="Book Antiqua" w:hAnsi="Book Antiqua"/>
          <w:vertAlign w:val="superscript"/>
          <w:lang w:eastAsia="zh-CN"/>
        </w:rPr>
        <w:t>b</w:t>
      </w:r>
      <w:r w:rsidRPr="002B5BCF">
        <w:rPr>
          <w:rFonts w:ascii="Book Antiqua" w:hAnsi="Book Antiqua"/>
          <w:i/>
          <w:iCs/>
          <w:lang w:eastAsia="zh-CN"/>
        </w:rPr>
        <w:t>P</w:t>
      </w:r>
      <w:r w:rsidRPr="002B5BCF">
        <w:rPr>
          <w:rFonts w:ascii="Book Antiqua" w:hAnsi="Book Antiqua"/>
          <w:lang w:eastAsia="zh-CN"/>
        </w:rPr>
        <w:t xml:space="preserve"> &lt; 0.01. </w:t>
      </w:r>
      <w:r w:rsidR="002B5BCF" w:rsidRPr="00D37A3B">
        <w:rPr>
          <w:rFonts w:ascii="Book Antiqua" w:eastAsia="Book Antiqua" w:hAnsi="Book Antiqua" w:cs="Book Antiqua"/>
          <w:color w:val="000000"/>
        </w:rPr>
        <w:t>BMI: Body mass index</w:t>
      </w:r>
      <w:r w:rsidR="002B5BCF">
        <w:rPr>
          <w:rFonts w:ascii="Book Antiqua" w:eastAsia="Book Antiqua" w:hAnsi="Book Antiqua" w:cs="Book Antiqua"/>
          <w:color w:val="000000"/>
        </w:rPr>
        <w:t>;</w:t>
      </w:r>
      <w:r w:rsidR="002B5BCF" w:rsidRPr="002B5BCF">
        <w:rPr>
          <w:rFonts w:ascii="Book Antiqua" w:hAnsi="Book Antiqua"/>
          <w:lang w:eastAsia="zh-CN"/>
        </w:rPr>
        <w:t xml:space="preserve"> </w:t>
      </w:r>
      <w:r w:rsidRPr="002B5BCF">
        <w:rPr>
          <w:rFonts w:ascii="Book Antiqua" w:hAnsi="Book Antiqua"/>
          <w:lang w:eastAsia="zh-CN"/>
        </w:rPr>
        <w:t xml:space="preserve">CD: Crohn’s disease; </w:t>
      </w:r>
      <w:r w:rsidR="002B5BCF" w:rsidRPr="002B3C1E">
        <w:rPr>
          <w:rFonts w:ascii="Book Antiqua" w:eastAsia="Book Antiqua" w:hAnsi="Book Antiqua" w:cs="Book Antiqua"/>
          <w:color w:val="000000"/>
        </w:rPr>
        <w:t xml:space="preserve">CI: Confidence interval; </w:t>
      </w:r>
      <w:r w:rsidR="002B5BCF" w:rsidRPr="00B503B9">
        <w:rPr>
          <w:rFonts w:ascii="Book Antiqua" w:eastAsia="Book Antiqua" w:hAnsi="Book Antiqua" w:cs="Book Antiqua"/>
          <w:color w:val="000000"/>
        </w:rPr>
        <w:t xml:space="preserve">CMT: Conventional maintenance therapy; </w:t>
      </w:r>
      <w:r w:rsidRPr="00C76E19">
        <w:rPr>
          <w:rFonts w:ascii="Book Antiqua" w:eastAsia="Book Antiqua" w:hAnsi="Book Antiqua" w:cs="Book Antiqua"/>
          <w:color w:val="000000"/>
        </w:rPr>
        <w:t xml:space="preserve">IMT: Infliximab maintenance therapy; </w:t>
      </w:r>
      <w:r w:rsidR="002B5BCF" w:rsidRPr="002B5BCF">
        <w:rPr>
          <w:rFonts w:ascii="Book Antiqua" w:hAnsi="Book Antiqua"/>
          <w:lang w:eastAsia="zh-CN"/>
        </w:rPr>
        <w:t>OR:</w:t>
      </w:r>
      <w:r w:rsidR="00A23AA9">
        <w:rPr>
          <w:rFonts w:ascii="Book Antiqua" w:hAnsi="Book Antiqua"/>
          <w:lang w:eastAsia="zh-CN"/>
        </w:rPr>
        <w:t xml:space="preserve"> </w:t>
      </w:r>
      <w:r w:rsidR="002B5BCF" w:rsidRPr="002814CA">
        <w:rPr>
          <w:rFonts w:ascii="Book Antiqua" w:eastAsia="Book Antiqua" w:hAnsi="Book Antiqua" w:cs="Book Antiqua"/>
          <w:color w:val="000000"/>
        </w:rPr>
        <w:t>Odds ratio;</w:t>
      </w:r>
      <w:r w:rsidR="002B5BCF">
        <w:rPr>
          <w:rFonts w:ascii="Book Antiqua" w:eastAsia="Book Antiqua" w:hAnsi="Book Antiqua" w:cs="Book Antiqua"/>
          <w:color w:val="000000"/>
        </w:rPr>
        <w:t xml:space="preserve"> </w:t>
      </w:r>
      <w:r w:rsidRPr="002B5BCF">
        <w:rPr>
          <w:rFonts w:ascii="Book Antiqua" w:eastAsia="Book Antiqua" w:hAnsi="Book Antiqua" w:cs="Book Antiqua"/>
          <w:color w:val="000000"/>
        </w:rPr>
        <w:t>SD: Standard deviation</w:t>
      </w:r>
      <w:r w:rsidRPr="00C76E19">
        <w:rPr>
          <w:rFonts w:ascii="Book Antiqua" w:eastAsia="Book Antiqua" w:hAnsi="Book Antiqua" w:cs="Book Antiqua"/>
          <w:color w:val="000000"/>
        </w:rPr>
        <w:t>.</w:t>
      </w:r>
      <w:r w:rsidR="002B5BCF" w:rsidRPr="002B5BCF">
        <w:rPr>
          <w:rFonts w:ascii="Book Antiqua" w:hAnsi="Book Antiqua"/>
          <w:lang w:eastAsia="zh-CN"/>
        </w:rPr>
        <w:t xml:space="preserve"> </w:t>
      </w:r>
    </w:p>
    <w:p w14:paraId="55DE3F54" w14:textId="4E7E1861" w:rsidR="00FC7152" w:rsidRPr="00A23AA9" w:rsidRDefault="00FC7152" w:rsidP="00AE2A93">
      <w:pPr>
        <w:snapToGrid w:val="0"/>
        <w:spacing w:line="360" w:lineRule="auto"/>
        <w:jc w:val="both"/>
        <w:rPr>
          <w:rFonts w:ascii="Book Antiqua" w:hAnsi="Book Antiqua"/>
          <w:b/>
          <w:bCs/>
          <w:lang w:eastAsia="zh-CN"/>
        </w:rPr>
      </w:pPr>
    </w:p>
    <w:p w14:paraId="1A29BE81" w14:textId="365E9F19" w:rsidR="0051080B" w:rsidRPr="00C76E19" w:rsidRDefault="00FC7152" w:rsidP="00AE2A93">
      <w:pPr>
        <w:snapToGrid w:val="0"/>
        <w:spacing w:line="360" w:lineRule="auto"/>
        <w:jc w:val="both"/>
        <w:rPr>
          <w:rFonts w:ascii="Book Antiqua" w:hAnsi="Book Antiqua"/>
          <w:b/>
          <w:bCs/>
          <w:lang w:eastAsia="zh-CN"/>
        </w:rPr>
      </w:pPr>
      <w:r w:rsidRPr="00C76E19">
        <w:rPr>
          <w:rFonts w:ascii="Book Antiqua" w:hAnsi="Book Antiqua"/>
          <w:b/>
          <w:bCs/>
          <w:lang w:eastAsia="zh-CN"/>
        </w:rPr>
        <w:br w:type="page"/>
      </w:r>
      <w:r w:rsidR="00501715" w:rsidRPr="00C76E19">
        <w:rPr>
          <w:rFonts w:ascii="Book Antiqua" w:hAnsi="Book Antiqua"/>
          <w:b/>
          <w:bCs/>
          <w:lang w:eastAsia="zh-CN"/>
        </w:rPr>
        <w:t>Table 4 Summary of the multivariable regression analyses for health resources utilization in the included moderate to severe Crohn’s disease patients</w:t>
      </w:r>
    </w:p>
    <w:tbl>
      <w:tblPr>
        <w:tblW w:w="5000" w:type="pct"/>
        <w:tblLayout w:type="fixed"/>
        <w:tblLook w:val="04A0" w:firstRow="1" w:lastRow="0" w:firstColumn="1" w:lastColumn="0" w:noHBand="0" w:noVBand="1"/>
      </w:tblPr>
      <w:tblGrid>
        <w:gridCol w:w="2262"/>
        <w:gridCol w:w="894"/>
        <w:gridCol w:w="851"/>
        <w:gridCol w:w="588"/>
        <w:gridCol w:w="584"/>
        <w:gridCol w:w="639"/>
        <w:gridCol w:w="894"/>
        <w:gridCol w:w="851"/>
        <w:gridCol w:w="588"/>
        <w:gridCol w:w="572"/>
        <w:gridCol w:w="639"/>
        <w:gridCol w:w="894"/>
        <w:gridCol w:w="851"/>
        <w:gridCol w:w="607"/>
        <w:gridCol w:w="607"/>
        <w:gridCol w:w="639"/>
      </w:tblGrid>
      <w:tr w:rsidR="00501715" w:rsidRPr="00C76E19" w14:paraId="6F8BA863" w14:textId="77777777" w:rsidTr="00BE2966">
        <w:trPr>
          <w:trHeight w:val="320"/>
        </w:trPr>
        <w:tc>
          <w:tcPr>
            <w:tcW w:w="2311" w:type="dxa"/>
            <w:tcBorders>
              <w:top w:val="single" w:sz="4" w:space="0" w:color="auto"/>
              <w:left w:val="nil"/>
              <w:bottom w:val="single" w:sz="4" w:space="0" w:color="auto"/>
              <w:right w:val="nil"/>
            </w:tcBorders>
            <w:shd w:val="clear" w:color="000000" w:fill="FFFFFF"/>
            <w:noWrap/>
            <w:hideMark/>
          </w:tcPr>
          <w:p w14:paraId="233EEEBB"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Outcome type </w:t>
            </w:r>
          </w:p>
        </w:tc>
        <w:tc>
          <w:tcPr>
            <w:tcW w:w="3613" w:type="dxa"/>
            <w:gridSpan w:val="5"/>
            <w:tcBorders>
              <w:top w:val="single" w:sz="4" w:space="0" w:color="auto"/>
              <w:left w:val="nil"/>
              <w:bottom w:val="single" w:sz="4" w:space="0" w:color="auto"/>
              <w:right w:val="nil"/>
            </w:tcBorders>
            <w:shd w:val="clear" w:color="000000" w:fill="FFFFFF"/>
            <w:noWrap/>
            <w:hideMark/>
          </w:tcPr>
          <w:p w14:paraId="3296F729"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Outpatient visits </w:t>
            </w:r>
          </w:p>
        </w:tc>
        <w:tc>
          <w:tcPr>
            <w:tcW w:w="3598" w:type="dxa"/>
            <w:gridSpan w:val="5"/>
            <w:tcBorders>
              <w:top w:val="single" w:sz="4" w:space="0" w:color="auto"/>
              <w:left w:val="nil"/>
              <w:bottom w:val="single" w:sz="4" w:space="0" w:color="auto"/>
              <w:right w:val="nil"/>
            </w:tcBorders>
            <w:shd w:val="clear" w:color="000000" w:fill="FFFFFF"/>
            <w:noWrap/>
            <w:hideMark/>
          </w:tcPr>
          <w:p w14:paraId="3575D7B3"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Hospital admissions related to active disease </w:t>
            </w:r>
          </w:p>
        </w:tc>
        <w:tc>
          <w:tcPr>
            <w:tcW w:w="3654" w:type="dxa"/>
            <w:gridSpan w:val="5"/>
            <w:tcBorders>
              <w:top w:val="single" w:sz="4" w:space="0" w:color="auto"/>
              <w:left w:val="nil"/>
              <w:bottom w:val="single" w:sz="4" w:space="0" w:color="auto"/>
              <w:right w:val="nil"/>
            </w:tcBorders>
            <w:shd w:val="clear" w:color="000000" w:fill="FFFFFF"/>
            <w:noWrap/>
            <w:hideMark/>
          </w:tcPr>
          <w:p w14:paraId="3B7AC2B0"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Hospital stay length related to active disease </w:t>
            </w:r>
          </w:p>
        </w:tc>
      </w:tr>
      <w:tr w:rsidR="00501715" w:rsidRPr="00C76E19" w14:paraId="25472F53" w14:textId="77777777" w:rsidTr="00BE2966">
        <w:trPr>
          <w:trHeight w:val="320"/>
        </w:trPr>
        <w:tc>
          <w:tcPr>
            <w:tcW w:w="2311" w:type="dxa"/>
            <w:tcBorders>
              <w:top w:val="nil"/>
              <w:left w:val="nil"/>
              <w:bottom w:val="single" w:sz="4" w:space="0" w:color="auto"/>
              <w:right w:val="nil"/>
            </w:tcBorders>
            <w:shd w:val="clear" w:color="000000" w:fill="FFFFFF"/>
            <w:noWrap/>
            <w:hideMark/>
          </w:tcPr>
          <w:p w14:paraId="5BC7BE9F"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Regression analysis method </w:t>
            </w:r>
          </w:p>
        </w:tc>
        <w:tc>
          <w:tcPr>
            <w:tcW w:w="3613" w:type="dxa"/>
            <w:gridSpan w:val="5"/>
            <w:tcBorders>
              <w:top w:val="nil"/>
              <w:left w:val="nil"/>
              <w:bottom w:val="single" w:sz="4" w:space="0" w:color="auto"/>
              <w:right w:val="nil"/>
            </w:tcBorders>
            <w:shd w:val="clear" w:color="000000" w:fill="FFFFFF"/>
            <w:noWrap/>
            <w:hideMark/>
          </w:tcPr>
          <w:p w14:paraId="7BDA6EDC"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Poisson regression analysis </w:t>
            </w:r>
          </w:p>
        </w:tc>
        <w:tc>
          <w:tcPr>
            <w:tcW w:w="3598" w:type="dxa"/>
            <w:gridSpan w:val="5"/>
            <w:tcBorders>
              <w:top w:val="nil"/>
              <w:left w:val="nil"/>
              <w:bottom w:val="single" w:sz="4" w:space="0" w:color="auto"/>
              <w:right w:val="nil"/>
            </w:tcBorders>
            <w:shd w:val="clear" w:color="000000" w:fill="FFFFFF"/>
            <w:noWrap/>
            <w:hideMark/>
          </w:tcPr>
          <w:p w14:paraId="5EDE2F4E"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Poisson regression analysis </w:t>
            </w:r>
          </w:p>
        </w:tc>
        <w:tc>
          <w:tcPr>
            <w:tcW w:w="3654" w:type="dxa"/>
            <w:gridSpan w:val="5"/>
            <w:tcBorders>
              <w:top w:val="nil"/>
              <w:left w:val="nil"/>
              <w:bottom w:val="single" w:sz="4" w:space="0" w:color="auto"/>
              <w:right w:val="nil"/>
            </w:tcBorders>
            <w:shd w:val="clear" w:color="000000" w:fill="FFFFFF"/>
            <w:noWrap/>
            <w:hideMark/>
          </w:tcPr>
          <w:p w14:paraId="2FC4A052"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Linear regression analysis </w:t>
            </w:r>
          </w:p>
        </w:tc>
      </w:tr>
      <w:tr w:rsidR="00501715" w:rsidRPr="00C76E19" w14:paraId="3F36D5F1" w14:textId="77777777" w:rsidTr="00BE2966">
        <w:trPr>
          <w:trHeight w:val="345"/>
        </w:trPr>
        <w:tc>
          <w:tcPr>
            <w:tcW w:w="2311" w:type="dxa"/>
            <w:vMerge w:val="restart"/>
            <w:tcBorders>
              <w:top w:val="nil"/>
              <w:left w:val="nil"/>
              <w:bottom w:val="single" w:sz="4" w:space="0" w:color="000000"/>
              <w:right w:val="nil"/>
            </w:tcBorders>
            <w:shd w:val="clear" w:color="000000" w:fill="FFFFFF"/>
            <w:noWrap/>
            <w:hideMark/>
          </w:tcPr>
          <w:p w14:paraId="36EF4C35"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Independent variables </w:t>
            </w:r>
          </w:p>
        </w:tc>
        <w:tc>
          <w:tcPr>
            <w:tcW w:w="910" w:type="dxa"/>
            <w:vMerge w:val="restart"/>
            <w:tcBorders>
              <w:top w:val="nil"/>
              <w:left w:val="nil"/>
              <w:bottom w:val="single" w:sz="4" w:space="0" w:color="000000"/>
              <w:right w:val="nil"/>
            </w:tcBorders>
            <w:shd w:val="clear" w:color="000000" w:fill="FFFFFF"/>
            <w:noWrap/>
            <w:hideMark/>
          </w:tcPr>
          <w:p w14:paraId="6A2CF968"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Sample size</w:t>
            </w:r>
          </w:p>
        </w:tc>
        <w:tc>
          <w:tcPr>
            <w:tcW w:w="866" w:type="dxa"/>
            <w:vMerge w:val="restart"/>
            <w:tcBorders>
              <w:top w:val="single" w:sz="4" w:space="0" w:color="auto"/>
              <w:left w:val="nil"/>
              <w:bottom w:val="single" w:sz="4" w:space="0" w:color="auto"/>
              <w:right w:val="nil"/>
            </w:tcBorders>
            <w:shd w:val="clear" w:color="000000" w:fill="FFFFFF"/>
            <w:noWrap/>
            <w:hideMark/>
          </w:tcPr>
          <w:p w14:paraId="5A69091C"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Coefficient </w:t>
            </w:r>
          </w:p>
        </w:tc>
        <w:tc>
          <w:tcPr>
            <w:tcW w:w="1189" w:type="dxa"/>
            <w:gridSpan w:val="2"/>
            <w:tcBorders>
              <w:top w:val="single" w:sz="4" w:space="0" w:color="auto"/>
              <w:left w:val="nil"/>
              <w:bottom w:val="single" w:sz="4" w:space="0" w:color="auto"/>
              <w:right w:val="nil"/>
            </w:tcBorders>
            <w:shd w:val="clear" w:color="000000" w:fill="FFFFFF"/>
            <w:noWrap/>
            <w:hideMark/>
          </w:tcPr>
          <w:p w14:paraId="0A8F5A75" w14:textId="0C623A82"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95%CI</w:t>
            </w:r>
          </w:p>
        </w:tc>
        <w:tc>
          <w:tcPr>
            <w:tcW w:w="648" w:type="dxa"/>
            <w:vMerge w:val="restart"/>
            <w:tcBorders>
              <w:top w:val="nil"/>
              <w:left w:val="nil"/>
              <w:bottom w:val="single" w:sz="4" w:space="0" w:color="000000"/>
              <w:right w:val="nil"/>
            </w:tcBorders>
            <w:shd w:val="clear" w:color="000000" w:fill="FFFFFF"/>
            <w:noWrap/>
            <w:hideMark/>
          </w:tcPr>
          <w:p w14:paraId="388DE178"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i/>
                <w:iCs/>
                <w:color w:val="000000"/>
              </w:rPr>
              <w:t xml:space="preserve">P </w:t>
            </w:r>
            <w:r w:rsidRPr="00AE2A93">
              <w:rPr>
                <w:rFonts w:ascii="Book Antiqua" w:hAnsi="Book Antiqua"/>
                <w:b/>
                <w:bCs/>
                <w:color w:val="000000"/>
              </w:rPr>
              <w:t xml:space="preserve">value </w:t>
            </w:r>
          </w:p>
        </w:tc>
        <w:tc>
          <w:tcPr>
            <w:tcW w:w="909" w:type="dxa"/>
            <w:vMerge w:val="restart"/>
            <w:tcBorders>
              <w:top w:val="nil"/>
              <w:left w:val="nil"/>
              <w:bottom w:val="single" w:sz="4" w:space="0" w:color="000000"/>
              <w:right w:val="nil"/>
            </w:tcBorders>
            <w:shd w:val="clear" w:color="000000" w:fill="FFFFFF"/>
            <w:noWrap/>
            <w:hideMark/>
          </w:tcPr>
          <w:p w14:paraId="0B4CA236"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Sample size</w:t>
            </w:r>
          </w:p>
        </w:tc>
        <w:tc>
          <w:tcPr>
            <w:tcW w:w="865" w:type="dxa"/>
            <w:vMerge w:val="restart"/>
            <w:tcBorders>
              <w:top w:val="single" w:sz="4" w:space="0" w:color="auto"/>
              <w:left w:val="nil"/>
              <w:bottom w:val="single" w:sz="4" w:space="0" w:color="auto"/>
              <w:right w:val="nil"/>
            </w:tcBorders>
            <w:shd w:val="clear" w:color="000000" w:fill="FFFFFF"/>
            <w:noWrap/>
            <w:hideMark/>
          </w:tcPr>
          <w:p w14:paraId="15F7A7A5"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Coefficient </w:t>
            </w:r>
          </w:p>
        </w:tc>
        <w:tc>
          <w:tcPr>
            <w:tcW w:w="1176" w:type="dxa"/>
            <w:gridSpan w:val="2"/>
            <w:tcBorders>
              <w:top w:val="single" w:sz="4" w:space="0" w:color="auto"/>
              <w:left w:val="nil"/>
              <w:bottom w:val="single" w:sz="4" w:space="0" w:color="auto"/>
              <w:right w:val="nil"/>
            </w:tcBorders>
            <w:shd w:val="clear" w:color="000000" w:fill="FFFFFF"/>
            <w:noWrap/>
            <w:hideMark/>
          </w:tcPr>
          <w:p w14:paraId="58E716FE" w14:textId="2F6B40B4"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95%CI</w:t>
            </w:r>
          </w:p>
        </w:tc>
        <w:tc>
          <w:tcPr>
            <w:tcW w:w="648" w:type="dxa"/>
            <w:vMerge w:val="restart"/>
            <w:tcBorders>
              <w:top w:val="nil"/>
              <w:left w:val="nil"/>
              <w:bottom w:val="single" w:sz="4" w:space="0" w:color="000000"/>
              <w:right w:val="nil"/>
            </w:tcBorders>
            <w:shd w:val="clear" w:color="000000" w:fill="FFFFFF"/>
            <w:noWrap/>
            <w:hideMark/>
          </w:tcPr>
          <w:p w14:paraId="3469F500"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i/>
                <w:iCs/>
                <w:color w:val="000000"/>
              </w:rPr>
              <w:t xml:space="preserve">P </w:t>
            </w:r>
            <w:r w:rsidRPr="00AE2A93">
              <w:rPr>
                <w:rFonts w:ascii="Book Antiqua" w:hAnsi="Book Antiqua"/>
                <w:b/>
                <w:bCs/>
                <w:color w:val="000000"/>
              </w:rPr>
              <w:t xml:space="preserve">value </w:t>
            </w:r>
          </w:p>
        </w:tc>
        <w:tc>
          <w:tcPr>
            <w:tcW w:w="909" w:type="dxa"/>
            <w:vMerge w:val="restart"/>
            <w:tcBorders>
              <w:top w:val="nil"/>
              <w:left w:val="nil"/>
              <w:bottom w:val="single" w:sz="4" w:space="0" w:color="000000"/>
              <w:right w:val="nil"/>
            </w:tcBorders>
            <w:shd w:val="clear" w:color="000000" w:fill="FFFFFF"/>
            <w:noWrap/>
            <w:hideMark/>
          </w:tcPr>
          <w:p w14:paraId="034B59D7"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Sample size</w:t>
            </w:r>
          </w:p>
        </w:tc>
        <w:tc>
          <w:tcPr>
            <w:tcW w:w="865" w:type="dxa"/>
            <w:vMerge w:val="restart"/>
            <w:tcBorders>
              <w:top w:val="single" w:sz="4" w:space="0" w:color="auto"/>
              <w:left w:val="nil"/>
              <w:bottom w:val="single" w:sz="4" w:space="0" w:color="auto"/>
              <w:right w:val="nil"/>
            </w:tcBorders>
            <w:shd w:val="clear" w:color="000000" w:fill="FFFFFF"/>
            <w:noWrap/>
            <w:hideMark/>
          </w:tcPr>
          <w:p w14:paraId="7CC24F0A"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Coefficient </w:t>
            </w:r>
          </w:p>
        </w:tc>
        <w:tc>
          <w:tcPr>
            <w:tcW w:w="1232" w:type="dxa"/>
            <w:gridSpan w:val="2"/>
            <w:tcBorders>
              <w:top w:val="single" w:sz="4" w:space="0" w:color="auto"/>
              <w:left w:val="nil"/>
              <w:bottom w:val="single" w:sz="4" w:space="0" w:color="auto"/>
              <w:right w:val="nil"/>
            </w:tcBorders>
            <w:shd w:val="clear" w:color="000000" w:fill="FFFFFF"/>
            <w:noWrap/>
            <w:hideMark/>
          </w:tcPr>
          <w:p w14:paraId="455F2CD8" w14:textId="409E0B10"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95%CI</w:t>
            </w:r>
          </w:p>
        </w:tc>
        <w:tc>
          <w:tcPr>
            <w:tcW w:w="648" w:type="dxa"/>
            <w:vMerge w:val="restart"/>
            <w:tcBorders>
              <w:top w:val="nil"/>
              <w:left w:val="nil"/>
              <w:bottom w:val="single" w:sz="4" w:space="0" w:color="000000"/>
              <w:right w:val="nil"/>
            </w:tcBorders>
            <w:shd w:val="clear" w:color="000000" w:fill="FFFFFF"/>
            <w:noWrap/>
            <w:hideMark/>
          </w:tcPr>
          <w:p w14:paraId="6F482EC3"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i/>
                <w:iCs/>
                <w:color w:val="000000"/>
              </w:rPr>
              <w:t>P</w:t>
            </w:r>
            <w:r w:rsidRPr="00AE2A93">
              <w:rPr>
                <w:rFonts w:ascii="Book Antiqua" w:hAnsi="Book Antiqua"/>
                <w:b/>
                <w:bCs/>
                <w:color w:val="000000"/>
              </w:rPr>
              <w:t xml:space="preserve"> value </w:t>
            </w:r>
          </w:p>
        </w:tc>
      </w:tr>
      <w:tr w:rsidR="00501715" w:rsidRPr="00C76E19" w14:paraId="2709D9CD" w14:textId="77777777" w:rsidTr="00BE2966">
        <w:trPr>
          <w:trHeight w:val="320"/>
        </w:trPr>
        <w:tc>
          <w:tcPr>
            <w:tcW w:w="2311" w:type="dxa"/>
            <w:vMerge/>
            <w:tcBorders>
              <w:top w:val="nil"/>
              <w:left w:val="nil"/>
              <w:bottom w:val="single" w:sz="4" w:space="0" w:color="000000"/>
              <w:right w:val="nil"/>
            </w:tcBorders>
            <w:hideMark/>
          </w:tcPr>
          <w:p w14:paraId="35BA55FE" w14:textId="77777777" w:rsidR="00501715" w:rsidRPr="00AE2A93" w:rsidRDefault="00501715" w:rsidP="00AE2A93">
            <w:pPr>
              <w:snapToGrid w:val="0"/>
              <w:spacing w:line="360" w:lineRule="auto"/>
              <w:jc w:val="both"/>
              <w:rPr>
                <w:rFonts w:ascii="Book Antiqua" w:hAnsi="Book Antiqua"/>
                <w:b/>
                <w:bCs/>
                <w:color w:val="000000"/>
              </w:rPr>
            </w:pPr>
          </w:p>
        </w:tc>
        <w:tc>
          <w:tcPr>
            <w:tcW w:w="910" w:type="dxa"/>
            <w:vMerge/>
            <w:tcBorders>
              <w:top w:val="nil"/>
              <w:left w:val="nil"/>
              <w:bottom w:val="single" w:sz="4" w:space="0" w:color="000000"/>
              <w:right w:val="nil"/>
            </w:tcBorders>
            <w:hideMark/>
          </w:tcPr>
          <w:p w14:paraId="416BC888" w14:textId="77777777" w:rsidR="00501715" w:rsidRPr="00AE2A93" w:rsidRDefault="00501715" w:rsidP="00AE2A93">
            <w:pPr>
              <w:snapToGrid w:val="0"/>
              <w:spacing w:line="360" w:lineRule="auto"/>
              <w:jc w:val="both"/>
              <w:rPr>
                <w:rFonts w:ascii="Book Antiqua" w:hAnsi="Book Antiqua"/>
                <w:b/>
                <w:bCs/>
                <w:color w:val="000000"/>
              </w:rPr>
            </w:pPr>
          </w:p>
        </w:tc>
        <w:tc>
          <w:tcPr>
            <w:tcW w:w="866" w:type="dxa"/>
            <w:vMerge/>
            <w:tcBorders>
              <w:top w:val="single" w:sz="4" w:space="0" w:color="auto"/>
              <w:left w:val="nil"/>
              <w:bottom w:val="single" w:sz="4" w:space="0" w:color="auto"/>
              <w:right w:val="nil"/>
            </w:tcBorders>
            <w:hideMark/>
          </w:tcPr>
          <w:p w14:paraId="5EF8DC93" w14:textId="77777777" w:rsidR="00501715" w:rsidRPr="00AE2A93" w:rsidRDefault="00501715" w:rsidP="00AE2A93">
            <w:pPr>
              <w:snapToGrid w:val="0"/>
              <w:spacing w:line="360" w:lineRule="auto"/>
              <w:jc w:val="both"/>
              <w:rPr>
                <w:rFonts w:ascii="Book Antiqua" w:hAnsi="Book Antiqua"/>
                <w:b/>
                <w:bCs/>
                <w:color w:val="000000"/>
              </w:rPr>
            </w:pPr>
          </w:p>
        </w:tc>
        <w:tc>
          <w:tcPr>
            <w:tcW w:w="597" w:type="dxa"/>
            <w:tcBorders>
              <w:top w:val="nil"/>
              <w:left w:val="nil"/>
              <w:bottom w:val="single" w:sz="4" w:space="0" w:color="auto"/>
              <w:right w:val="nil"/>
            </w:tcBorders>
            <w:shd w:val="clear" w:color="000000" w:fill="FFFFFF"/>
            <w:noWrap/>
            <w:hideMark/>
          </w:tcPr>
          <w:p w14:paraId="0C32E512"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Lower </w:t>
            </w:r>
          </w:p>
        </w:tc>
        <w:tc>
          <w:tcPr>
            <w:tcW w:w="592" w:type="dxa"/>
            <w:tcBorders>
              <w:top w:val="nil"/>
              <w:left w:val="nil"/>
              <w:bottom w:val="single" w:sz="4" w:space="0" w:color="auto"/>
              <w:right w:val="nil"/>
            </w:tcBorders>
            <w:shd w:val="clear" w:color="000000" w:fill="FFFFFF"/>
            <w:noWrap/>
            <w:hideMark/>
          </w:tcPr>
          <w:p w14:paraId="178AAC13"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Upper</w:t>
            </w:r>
          </w:p>
        </w:tc>
        <w:tc>
          <w:tcPr>
            <w:tcW w:w="648" w:type="dxa"/>
            <w:vMerge/>
            <w:tcBorders>
              <w:top w:val="nil"/>
              <w:left w:val="nil"/>
              <w:bottom w:val="single" w:sz="4" w:space="0" w:color="000000"/>
              <w:right w:val="nil"/>
            </w:tcBorders>
            <w:hideMark/>
          </w:tcPr>
          <w:p w14:paraId="3DF801C9" w14:textId="77777777" w:rsidR="00501715" w:rsidRPr="00AE2A93" w:rsidRDefault="00501715" w:rsidP="00AE2A93">
            <w:pPr>
              <w:snapToGrid w:val="0"/>
              <w:spacing w:line="360" w:lineRule="auto"/>
              <w:jc w:val="both"/>
              <w:rPr>
                <w:rFonts w:ascii="Book Antiqua" w:hAnsi="Book Antiqua"/>
                <w:b/>
                <w:bCs/>
                <w:color w:val="000000"/>
              </w:rPr>
            </w:pPr>
          </w:p>
        </w:tc>
        <w:tc>
          <w:tcPr>
            <w:tcW w:w="909" w:type="dxa"/>
            <w:vMerge/>
            <w:tcBorders>
              <w:top w:val="nil"/>
              <w:left w:val="nil"/>
              <w:bottom w:val="single" w:sz="4" w:space="0" w:color="000000"/>
              <w:right w:val="nil"/>
            </w:tcBorders>
            <w:hideMark/>
          </w:tcPr>
          <w:p w14:paraId="58ED57A8" w14:textId="77777777" w:rsidR="00501715" w:rsidRPr="00AE2A93" w:rsidRDefault="00501715" w:rsidP="00AE2A93">
            <w:pPr>
              <w:snapToGrid w:val="0"/>
              <w:spacing w:line="360" w:lineRule="auto"/>
              <w:jc w:val="both"/>
              <w:rPr>
                <w:rFonts w:ascii="Book Antiqua" w:hAnsi="Book Antiqua"/>
                <w:b/>
                <w:bCs/>
                <w:color w:val="000000"/>
              </w:rPr>
            </w:pPr>
          </w:p>
        </w:tc>
        <w:tc>
          <w:tcPr>
            <w:tcW w:w="865" w:type="dxa"/>
            <w:vMerge/>
            <w:tcBorders>
              <w:top w:val="single" w:sz="4" w:space="0" w:color="auto"/>
              <w:left w:val="nil"/>
              <w:bottom w:val="single" w:sz="4" w:space="0" w:color="auto"/>
              <w:right w:val="nil"/>
            </w:tcBorders>
            <w:hideMark/>
          </w:tcPr>
          <w:p w14:paraId="24489BBA" w14:textId="77777777" w:rsidR="00501715" w:rsidRPr="00AE2A93" w:rsidRDefault="00501715" w:rsidP="00AE2A93">
            <w:pPr>
              <w:snapToGrid w:val="0"/>
              <w:spacing w:line="360" w:lineRule="auto"/>
              <w:jc w:val="both"/>
              <w:rPr>
                <w:rFonts w:ascii="Book Antiqua" w:hAnsi="Book Antiqua"/>
                <w:b/>
                <w:bCs/>
                <w:color w:val="000000"/>
              </w:rPr>
            </w:pPr>
          </w:p>
        </w:tc>
        <w:tc>
          <w:tcPr>
            <w:tcW w:w="596" w:type="dxa"/>
            <w:tcBorders>
              <w:top w:val="nil"/>
              <w:left w:val="nil"/>
              <w:bottom w:val="single" w:sz="4" w:space="0" w:color="auto"/>
              <w:right w:val="nil"/>
            </w:tcBorders>
            <w:shd w:val="clear" w:color="000000" w:fill="FFFFFF"/>
            <w:noWrap/>
            <w:hideMark/>
          </w:tcPr>
          <w:p w14:paraId="108B044B"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Lower </w:t>
            </w:r>
          </w:p>
        </w:tc>
        <w:tc>
          <w:tcPr>
            <w:tcW w:w="580" w:type="dxa"/>
            <w:tcBorders>
              <w:top w:val="nil"/>
              <w:left w:val="nil"/>
              <w:bottom w:val="single" w:sz="4" w:space="0" w:color="auto"/>
              <w:right w:val="nil"/>
            </w:tcBorders>
            <w:shd w:val="clear" w:color="000000" w:fill="FFFFFF"/>
            <w:noWrap/>
            <w:hideMark/>
          </w:tcPr>
          <w:p w14:paraId="40305CEE"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Upper</w:t>
            </w:r>
          </w:p>
        </w:tc>
        <w:tc>
          <w:tcPr>
            <w:tcW w:w="648" w:type="dxa"/>
            <w:vMerge/>
            <w:tcBorders>
              <w:top w:val="nil"/>
              <w:left w:val="nil"/>
              <w:bottom w:val="single" w:sz="4" w:space="0" w:color="000000"/>
              <w:right w:val="nil"/>
            </w:tcBorders>
            <w:hideMark/>
          </w:tcPr>
          <w:p w14:paraId="1A69EC55" w14:textId="77777777" w:rsidR="00501715" w:rsidRPr="00AE2A93" w:rsidRDefault="00501715" w:rsidP="00AE2A93">
            <w:pPr>
              <w:snapToGrid w:val="0"/>
              <w:spacing w:line="360" w:lineRule="auto"/>
              <w:jc w:val="both"/>
              <w:rPr>
                <w:rFonts w:ascii="Book Antiqua" w:hAnsi="Book Antiqua"/>
                <w:b/>
                <w:bCs/>
                <w:color w:val="000000"/>
              </w:rPr>
            </w:pPr>
          </w:p>
        </w:tc>
        <w:tc>
          <w:tcPr>
            <w:tcW w:w="909" w:type="dxa"/>
            <w:vMerge/>
            <w:tcBorders>
              <w:top w:val="nil"/>
              <w:left w:val="nil"/>
              <w:bottom w:val="single" w:sz="4" w:space="0" w:color="000000"/>
              <w:right w:val="nil"/>
            </w:tcBorders>
            <w:hideMark/>
          </w:tcPr>
          <w:p w14:paraId="3F4A2620" w14:textId="77777777" w:rsidR="00501715" w:rsidRPr="00AE2A93" w:rsidRDefault="00501715" w:rsidP="00AE2A93">
            <w:pPr>
              <w:snapToGrid w:val="0"/>
              <w:spacing w:line="360" w:lineRule="auto"/>
              <w:jc w:val="both"/>
              <w:rPr>
                <w:rFonts w:ascii="Book Antiqua" w:hAnsi="Book Antiqua"/>
                <w:b/>
                <w:bCs/>
                <w:color w:val="000000"/>
              </w:rPr>
            </w:pPr>
          </w:p>
        </w:tc>
        <w:tc>
          <w:tcPr>
            <w:tcW w:w="865" w:type="dxa"/>
            <w:vMerge/>
            <w:tcBorders>
              <w:top w:val="single" w:sz="4" w:space="0" w:color="auto"/>
              <w:left w:val="nil"/>
              <w:bottom w:val="single" w:sz="4" w:space="0" w:color="auto"/>
              <w:right w:val="nil"/>
            </w:tcBorders>
            <w:hideMark/>
          </w:tcPr>
          <w:p w14:paraId="1AA57A5C" w14:textId="77777777" w:rsidR="00501715" w:rsidRPr="00AE2A93" w:rsidRDefault="00501715" w:rsidP="00AE2A93">
            <w:pPr>
              <w:snapToGrid w:val="0"/>
              <w:spacing w:line="360" w:lineRule="auto"/>
              <w:jc w:val="both"/>
              <w:rPr>
                <w:rFonts w:ascii="Book Antiqua" w:hAnsi="Book Antiqua"/>
                <w:b/>
                <w:bCs/>
                <w:color w:val="000000"/>
              </w:rPr>
            </w:pPr>
          </w:p>
        </w:tc>
        <w:tc>
          <w:tcPr>
            <w:tcW w:w="616" w:type="dxa"/>
            <w:tcBorders>
              <w:top w:val="nil"/>
              <w:left w:val="nil"/>
              <w:bottom w:val="single" w:sz="4" w:space="0" w:color="auto"/>
              <w:right w:val="nil"/>
            </w:tcBorders>
            <w:shd w:val="clear" w:color="000000" w:fill="FFFFFF"/>
            <w:noWrap/>
            <w:hideMark/>
          </w:tcPr>
          <w:p w14:paraId="5953E201"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Lower </w:t>
            </w:r>
          </w:p>
        </w:tc>
        <w:tc>
          <w:tcPr>
            <w:tcW w:w="616" w:type="dxa"/>
            <w:tcBorders>
              <w:top w:val="nil"/>
              <w:left w:val="nil"/>
              <w:bottom w:val="single" w:sz="4" w:space="0" w:color="auto"/>
              <w:right w:val="nil"/>
            </w:tcBorders>
            <w:shd w:val="clear" w:color="000000" w:fill="FFFFFF"/>
            <w:noWrap/>
            <w:hideMark/>
          </w:tcPr>
          <w:p w14:paraId="02121E41" w14:textId="77777777" w:rsidR="00501715" w:rsidRPr="00AE2A93" w:rsidRDefault="00501715" w:rsidP="00AE2A93">
            <w:pPr>
              <w:snapToGrid w:val="0"/>
              <w:spacing w:line="360" w:lineRule="auto"/>
              <w:jc w:val="both"/>
              <w:rPr>
                <w:rFonts w:ascii="Book Antiqua" w:hAnsi="Book Antiqua"/>
                <w:b/>
                <w:bCs/>
                <w:color w:val="000000"/>
              </w:rPr>
            </w:pPr>
            <w:r w:rsidRPr="00AE2A93">
              <w:rPr>
                <w:rFonts w:ascii="Book Antiqua" w:hAnsi="Book Antiqua"/>
                <w:b/>
                <w:bCs/>
                <w:color w:val="000000"/>
              </w:rPr>
              <w:t>Upper</w:t>
            </w:r>
          </w:p>
        </w:tc>
        <w:tc>
          <w:tcPr>
            <w:tcW w:w="648" w:type="dxa"/>
            <w:vMerge/>
            <w:tcBorders>
              <w:top w:val="nil"/>
              <w:left w:val="nil"/>
              <w:bottom w:val="single" w:sz="4" w:space="0" w:color="000000"/>
              <w:right w:val="nil"/>
            </w:tcBorders>
            <w:hideMark/>
          </w:tcPr>
          <w:p w14:paraId="0C1F4795" w14:textId="77777777" w:rsidR="00501715" w:rsidRPr="00AE2A93" w:rsidRDefault="00501715" w:rsidP="00AE2A93">
            <w:pPr>
              <w:snapToGrid w:val="0"/>
              <w:spacing w:line="360" w:lineRule="auto"/>
              <w:jc w:val="both"/>
              <w:rPr>
                <w:rFonts w:ascii="Book Antiqua" w:hAnsi="Book Antiqua"/>
                <w:color w:val="000000"/>
              </w:rPr>
            </w:pPr>
          </w:p>
        </w:tc>
      </w:tr>
      <w:tr w:rsidR="00501715" w:rsidRPr="00C76E19" w14:paraId="2FC23019" w14:textId="77777777" w:rsidTr="00383B79">
        <w:trPr>
          <w:trHeight w:val="320"/>
        </w:trPr>
        <w:tc>
          <w:tcPr>
            <w:tcW w:w="2311" w:type="dxa"/>
            <w:tcBorders>
              <w:top w:val="nil"/>
              <w:left w:val="nil"/>
              <w:right w:val="nil"/>
            </w:tcBorders>
            <w:shd w:val="clear" w:color="000000" w:fill="FFFFFF"/>
            <w:noWrap/>
            <w:hideMark/>
          </w:tcPr>
          <w:p w14:paraId="3FF5608F" w14:textId="708904FC"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IMT </w:t>
            </w:r>
            <w:r w:rsidRPr="00AE2A93">
              <w:rPr>
                <w:rFonts w:ascii="Book Antiqua" w:hAnsi="Book Antiqua"/>
                <w:i/>
                <w:iCs/>
                <w:color w:val="000000"/>
              </w:rPr>
              <w:t>vs</w:t>
            </w:r>
            <w:r w:rsidRPr="00AE2A93">
              <w:rPr>
                <w:rFonts w:ascii="Book Antiqua" w:hAnsi="Book Antiqua"/>
                <w:color w:val="000000"/>
              </w:rPr>
              <w:t xml:space="preserve"> CMT</w:t>
            </w:r>
          </w:p>
        </w:tc>
        <w:tc>
          <w:tcPr>
            <w:tcW w:w="910" w:type="dxa"/>
            <w:tcBorders>
              <w:top w:val="nil"/>
              <w:left w:val="nil"/>
              <w:right w:val="nil"/>
            </w:tcBorders>
            <w:shd w:val="clear" w:color="000000" w:fill="FFFFFF"/>
            <w:noWrap/>
            <w:hideMark/>
          </w:tcPr>
          <w:p w14:paraId="786BC3D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238</w:t>
            </w:r>
          </w:p>
        </w:tc>
        <w:tc>
          <w:tcPr>
            <w:tcW w:w="866" w:type="dxa"/>
            <w:tcBorders>
              <w:top w:val="single" w:sz="4" w:space="0" w:color="auto"/>
              <w:left w:val="nil"/>
              <w:right w:val="nil"/>
            </w:tcBorders>
            <w:shd w:val="clear" w:color="000000" w:fill="FFFFFF"/>
            <w:noWrap/>
            <w:hideMark/>
          </w:tcPr>
          <w:p w14:paraId="59454F2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-0.564 </w:t>
            </w:r>
          </w:p>
        </w:tc>
        <w:tc>
          <w:tcPr>
            <w:tcW w:w="597" w:type="dxa"/>
            <w:tcBorders>
              <w:top w:val="nil"/>
              <w:left w:val="nil"/>
              <w:right w:val="nil"/>
            </w:tcBorders>
            <w:shd w:val="clear" w:color="000000" w:fill="FFFFFF"/>
            <w:noWrap/>
            <w:hideMark/>
          </w:tcPr>
          <w:p w14:paraId="52FA2D4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-0.703 </w:t>
            </w:r>
          </w:p>
        </w:tc>
        <w:tc>
          <w:tcPr>
            <w:tcW w:w="592" w:type="dxa"/>
            <w:tcBorders>
              <w:top w:val="nil"/>
              <w:left w:val="nil"/>
              <w:right w:val="nil"/>
            </w:tcBorders>
            <w:shd w:val="clear" w:color="000000" w:fill="FFFFFF"/>
            <w:noWrap/>
            <w:hideMark/>
          </w:tcPr>
          <w:p w14:paraId="62A72F9D"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-0.425 </w:t>
            </w:r>
          </w:p>
        </w:tc>
        <w:tc>
          <w:tcPr>
            <w:tcW w:w="648" w:type="dxa"/>
            <w:tcBorders>
              <w:top w:val="single" w:sz="4" w:space="0" w:color="auto"/>
              <w:left w:val="nil"/>
              <w:right w:val="nil"/>
            </w:tcBorders>
            <w:shd w:val="clear" w:color="000000" w:fill="FFFFFF"/>
            <w:noWrap/>
            <w:hideMark/>
          </w:tcPr>
          <w:p w14:paraId="42DA96C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0.000 </w:t>
            </w:r>
          </w:p>
        </w:tc>
        <w:tc>
          <w:tcPr>
            <w:tcW w:w="909" w:type="dxa"/>
            <w:tcBorders>
              <w:top w:val="nil"/>
              <w:left w:val="nil"/>
              <w:right w:val="nil"/>
            </w:tcBorders>
            <w:shd w:val="clear" w:color="000000" w:fill="FFFFFF"/>
            <w:noWrap/>
            <w:hideMark/>
          </w:tcPr>
          <w:p w14:paraId="2B32A8CD"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291</w:t>
            </w:r>
          </w:p>
        </w:tc>
        <w:tc>
          <w:tcPr>
            <w:tcW w:w="865" w:type="dxa"/>
            <w:tcBorders>
              <w:top w:val="single" w:sz="4" w:space="0" w:color="auto"/>
              <w:left w:val="nil"/>
              <w:right w:val="nil"/>
            </w:tcBorders>
            <w:shd w:val="clear" w:color="000000" w:fill="FFFFFF"/>
            <w:noWrap/>
            <w:hideMark/>
          </w:tcPr>
          <w:p w14:paraId="51827D7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-0.074 </w:t>
            </w:r>
          </w:p>
        </w:tc>
        <w:tc>
          <w:tcPr>
            <w:tcW w:w="596" w:type="dxa"/>
            <w:tcBorders>
              <w:top w:val="nil"/>
              <w:left w:val="nil"/>
              <w:right w:val="nil"/>
            </w:tcBorders>
            <w:shd w:val="clear" w:color="000000" w:fill="FFFFFF"/>
            <w:noWrap/>
            <w:hideMark/>
          </w:tcPr>
          <w:p w14:paraId="1614128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-0.276 </w:t>
            </w:r>
          </w:p>
        </w:tc>
        <w:tc>
          <w:tcPr>
            <w:tcW w:w="580" w:type="dxa"/>
            <w:tcBorders>
              <w:top w:val="nil"/>
              <w:left w:val="nil"/>
              <w:right w:val="nil"/>
            </w:tcBorders>
            <w:shd w:val="clear" w:color="000000" w:fill="FFFFFF"/>
            <w:noWrap/>
            <w:hideMark/>
          </w:tcPr>
          <w:p w14:paraId="1B1785C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0.128 </w:t>
            </w:r>
          </w:p>
        </w:tc>
        <w:tc>
          <w:tcPr>
            <w:tcW w:w="648" w:type="dxa"/>
            <w:tcBorders>
              <w:top w:val="nil"/>
              <w:left w:val="nil"/>
              <w:right w:val="nil"/>
            </w:tcBorders>
            <w:shd w:val="clear" w:color="000000" w:fill="FFFFFF"/>
            <w:noWrap/>
            <w:hideMark/>
          </w:tcPr>
          <w:p w14:paraId="7074211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0.470 </w:t>
            </w:r>
          </w:p>
        </w:tc>
        <w:tc>
          <w:tcPr>
            <w:tcW w:w="909" w:type="dxa"/>
            <w:tcBorders>
              <w:top w:val="nil"/>
              <w:left w:val="nil"/>
              <w:right w:val="nil"/>
            </w:tcBorders>
            <w:shd w:val="clear" w:color="000000" w:fill="FFFFFF"/>
            <w:noWrap/>
            <w:hideMark/>
          </w:tcPr>
          <w:p w14:paraId="0D2CF23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865" w:type="dxa"/>
            <w:tcBorders>
              <w:top w:val="single" w:sz="4" w:space="0" w:color="auto"/>
              <w:left w:val="nil"/>
              <w:right w:val="nil"/>
            </w:tcBorders>
            <w:shd w:val="clear" w:color="000000" w:fill="FFFFFF"/>
            <w:noWrap/>
            <w:hideMark/>
          </w:tcPr>
          <w:p w14:paraId="1055DE5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-4.725 </w:t>
            </w:r>
          </w:p>
        </w:tc>
        <w:tc>
          <w:tcPr>
            <w:tcW w:w="616" w:type="dxa"/>
            <w:tcBorders>
              <w:top w:val="nil"/>
              <w:left w:val="nil"/>
              <w:right w:val="nil"/>
            </w:tcBorders>
            <w:shd w:val="clear" w:color="000000" w:fill="FFFFFF"/>
            <w:noWrap/>
            <w:hideMark/>
          </w:tcPr>
          <w:p w14:paraId="493F4A5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-7.112 </w:t>
            </w:r>
          </w:p>
        </w:tc>
        <w:tc>
          <w:tcPr>
            <w:tcW w:w="616" w:type="dxa"/>
            <w:tcBorders>
              <w:top w:val="nil"/>
              <w:left w:val="nil"/>
              <w:right w:val="nil"/>
            </w:tcBorders>
            <w:shd w:val="clear" w:color="000000" w:fill="FFFFFF"/>
            <w:noWrap/>
            <w:hideMark/>
          </w:tcPr>
          <w:p w14:paraId="1C1458F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-2.337 </w:t>
            </w:r>
          </w:p>
        </w:tc>
        <w:tc>
          <w:tcPr>
            <w:tcW w:w="648" w:type="dxa"/>
            <w:tcBorders>
              <w:top w:val="single" w:sz="4" w:space="0" w:color="auto"/>
              <w:left w:val="nil"/>
              <w:right w:val="nil"/>
            </w:tcBorders>
            <w:shd w:val="clear" w:color="000000" w:fill="FFFFFF"/>
            <w:noWrap/>
            <w:hideMark/>
          </w:tcPr>
          <w:p w14:paraId="53A6597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0.000 </w:t>
            </w:r>
          </w:p>
        </w:tc>
      </w:tr>
      <w:tr w:rsidR="00501715" w:rsidRPr="00C76E19" w14:paraId="3B88475B" w14:textId="77777777" w:rsidTr="00BE2966">
        <w:trPr>
          <w:trHeight w:val="320"/>
        </w:trPr>
        <w:tc>
          <w:tcPr>
            <w:tcW w:w="2311" w:type="dxa"/>
            <w:tcBorders>
              <w:top w:val="nil"/>
              <w:left w:val="nil"/>
              <w:bottom w:val="nil"/>
              <w:right w:val="nil"/>
            </w:tcBorders>
            <w:shd w:val="clear" w:color="000000" w:fill="FFFFFF"/>
            <w:noWrap/>
            <w:hideMark/>
          </w:tcPr>
          <w:p w14:paraId="47BC061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BMI</w:t>
            </w:r>
          </w:p>
        </w:tc>
        <w:tc>
          <w:tcPr>
            <w:tcW w:w="910" w:type="dxa"/>
            <w:tcBorders>
              <w:top w:val="nil"/>
              <w:left w:val="nil"/>
              <w:bottom w:val="nil"/>
              <w:right w:val="nil"/>
            </w:tcBorders>
            <w:shd w:val="clear" w:color="000000" w:fill="FFFFFF"/>
            <w:noWrap/>
            <w:hideMark/>
          </w:tcPr>
          <w:p w14:paraId="100E935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6" w:type="dxa"/>
            <w:tcBorders>
              <w:top w:val="nil"/>
              <w:left w:val="nil"/>
              <w:bottom w:val="nil"/>
              <w:right w:val="nil"/>
            </w:tcBorders>
            <w:shd w:val="clear" w:color="000000" w:fill="FFFFFF"/>
            <w:noWrap/>
            <w:hideMark/>
          </w:tcPr>
          <w:p w14:paraId="1A37990C"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7" w:type="dxa"/>
            <w:tcBorders>
              <w:top w:val="nil"/>
              <w:left w:val="nil"/>
              <w:bottom w:val="nil"/>
              <w:right w:val="nil"/>
            </w:tcBorders>
            <w:shd w:val="clear" w:color="000000" w:fill="FFFFFF"/>
            <w:noWrap/>
            <w:hideMark/>
          </w:tcPr>
          <w:p w14:paraId="61F7216C"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2" w:type="dxa"/>
            <w:tcBorders>
              <w:top w:val="nil"/>
              <w:left w:val="nil"/>
              <w:bottom w:val="nil"/>
              <w:right w:val="nil"/>
            </w:tcBorders>
            <w:shd w:val="clear" w:color="000000" w:fill="FFFFFF"/>
            <w:noWrap/>
            <w:hideMark/>
          </w:tcPr>
          <w:p w14:paraId="60CA11B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43156487"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73BBC16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04F74F6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1EAE0B3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15F227C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05ED10D5"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33C6106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506F3B7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5649497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5493BF5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431FF1B3"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269FDC25" w14:textId="77777777" w:rsidTr="00BE2966">
        <w:trPr>
          <w:trHeight w:val="320"/>
        </w:trPr>
        <w:tc>
          <w:tcPr>
            <w:tcW w:w="2311" w:type="dxa"/>
            <w:tcBorders>
              <w:top w:val="nil"/>
              <w:left w:val="nil"/>
              <w:bottom w:val="nil"/>
              <w:right w:val="nil"/>
            </w:tcBorders>
            <w:shd w:val="clear" w:color="000000" w:fill="FFFFFF"/>
            <w:noWrap/>
            <w:hideMark/>
          </w:tcPr>
          <w:p w14:paraId="7626340A" w14:textId="31F99F44" w:rsidR="00501715" w:rsidRPr="00AE2A93" w:rsidRDefault="00501715"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&lt; 18.5</w:t>
            </w:r>
          </w:p>
        </w:tc>
        <w:tc>
          <w:tcPr>
            <w:tcW w:w="910" w:type="dxa"/>
            <w:tcBorders>
              <w:top w:val="nil"/>
              <w:left w:val="nil"/>
              <w:bottom w:val="nil"/>
              <w:right w:val="nil"/>
            </w:tcBorders>
            <w:shd w:val="clear" w:color="000000" w:fill="FFFFFF"/>
            <w:noWrap/>
            <w:hideMark/>
          </w:tcPr>
          <w:p w14:paraId="0E0A049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6" w:type="dxa"/>
            <w:tcBorders>
              <w:top w:val="nil"/>
              <w:left w:val="nil"/>
              <w:bottom w:val="nil"/>
              <w:right w:val="nil"/>
            </w:tcBorders>
            <w:shd w:val="clear" w:color="000000" w:fill="FFFFFF"/>
            <w:noWrap/>
            <w:hideMark/>
          </w:tcPr>
          <w:p w14:paraId="315E7AE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7" w:type="dxa"/>
            <w:tcBorders>
              <w:top w:val="nil"/>
              <w:left w:val="nil"/>
              <w:bottom w:val="nil"/>
              <w:right w:val="nil"/>
            </w:tcBorders>
            <w:shd w:val="clear" w:color="000000" w:fill="FFFFFF"/>
            <w:noWrap/>
            <w:hideMark/>
          </w:tcPr>
          <w:p w14:paraId="109EDC2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2" w:type="dxa"/>
            <w:tcBorders>
              <w:top w:val="nil"/>
              <w:left w:val="nil"/>
              <w:bottom w:val="nil"/>
              <w:right w:val="nil"/>
            </w:tcBorders>
            <w:shd w:val="clear" w:color="000000" w:fill="FFFFFF"/>
            <w:noWrap/>
            <w:hideMark/>
          </w:tcPr>
          <w:p w14:paraId="39704F8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24A8EBCE"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475BDD5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291</w:t>
            </w:r>
          </w:p>
        </w:tc>
        <w:tc>
          <w:tcPr>
            <w:tcW w:w="865" w:type="dxa"/>
            <w:tcBorders>
              <w:top w:val="nil"/>
              <w:left w:val="nil"/>
              <w:bottom w:val="nil"/>
              <w:right w:val="nil"/>
            </w:tcBorders>
            <w:shd w:val="clear" w:color="000000" w:fill="FFFFFF"/>
            <w:noWrap/>
            <w:hideMark/>
          </w:tcPr>
          <w:p w14:paraId="2A47491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0.244 </w:t>
            </w:r>
          </w:p>
        </w:tc>
        <w:tc>
          <w:tcPr>
            <w:tcW w:w="596" w:type="dxa"/>
            <w:tcBorders>
              <w:top w:val="nil"/>
              <w:left w:val="nil"/>
              <w:bottom w:val="nil"/>
              <w:right w:val="nil"/>
            </w:tcBorders>
            <w:shd w:val="clear" w:color="000000" w:fill="FFFFFF"/>
            <w:noWrap/>
            <w:hideMark/>
          </w:tcPr>
          <w:p w14:paraId="0BCAF1B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-0.122 </w:t>
            </w:r>
          </w:p>
        </w:tc>
        <w:tc>
          <w:tcPr>
            <w:tcW w:w="580" w:type="dxa"/>
            <w:tcBorders>
              <w:top w:val="nil"/>
              <w:left w:val="nil"/>
              <w:bottom w:val="nil"/>
              <w:right w:val="nil"/>
            </w:tcBorders>
            <w:shd w:val="clear" w:color="000000" w:fill="FFFFFF"/>
            <w:noWrap/>
            <w:hideMark/>
          </w:tcPr>
          <w:p w14:paraId="03A69E9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0.643 </w:t>
            </w:r>
          </w:p>
        </w:tc>
        <w:tc>
          <w:tcPr>
            <w:tcW w:w="648" w:type="dxa"/>
            <w:tcBorders>
              <w:top w:val="nil"/>
              <w:left w:val="nil"/>
              <w:bottom w:val="nil"/>
              <w:right w:val="nil"/>
            </w:tcBorders>
            <w:shd w:val="clear" w:color="000000" w:fill="FFFFFF"/>
            <w:noWrap/>
            <w:hideMark/>
          </w:tcPr>
          <w:p w14:paraId="2A1FD74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0.209 </w:t>
            </w:r>
          </w:p>
        </w:tc>
        <w:tc>
          <w:tcPr>
            <w:tcW w:w="909" w:type="dxa"/>
            <w:tcBorders>
              <w:top w:val="nil"/>
              <w:left w:val="nil"/>
              <w:bottom w:val="nil"/>
              <w:right w:val="nil"/>
            </w:tcBorders>
            <w:shd w:val="clear" w:color="000000" w:fill="FFFFFF"/>
            <w:noWrap/>
            <w:hideMark/>
          </w:tcPr>
          <w:p w14:paraId="75F7A8CD"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865" w:type="dxa"/>
            <w:tcBorders>
              <w:top w:val="nil"/>
              <w:left w:val="nil"/>
              <w:bottom w:val="nil"/>
              <w:right w:val="nil"/>
            </w:tcBorders>
            <w:shd w:val="clear" w:color="000000" w:fill="FFFFFF"/>
            <w:noWrap/>
            <w:hideMark/>
          </w:tcPr>
          <w:p w14:paraId="3913BA6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5.510 </w:t>
            </w:r>
          </w:p>
        </w:tc>
        <w:tc>
          <w:tcPr>
            <w:tcW w:w="616" w:type="dxa"/>
            <w:tcBorders>
              <w:top w:val="nil"/>
              <w:left w:val="nil"/>
              <w:bottom w:val="nil"/>
              <w:right w:val="nil"/>
            </w:tcBorders>
            <w:shd w:val="clear" w:color="000000" w:fill="FFFFFF"/>
            <w:noWrap/>
            <w:hideMark/>
          </w:tcPr>
          <w:p w14:paraId="44E2097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1.587 </w:t>
            </w:r>
          </w:p>
        </w:tc>
        <w:tc>
          <w:tcPr>
            <w:tcW w:w="616" w:type="dxa"/>
            <w:tcBorders>
              <w:top w:val="nil"/>
              <w:left w:val="nil"/>
              <w:bottom w:val="nil"/>
              <w:right w:val="nil"/>
            </w:tcBorders>
            <w:shd w:val="clear" w:color="000000" w:fill="FFFFFF"/>
            <w:noWrap/>
            <w:hideMark/>
          </w:tcPr>
          <w:p w14:paraId="2E91AEC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9.433 </w:t>
            </w:r>
          </w:p>
        </w:tc>
        <w:tc>
          <w:tcPr>
            <w:tcW w:w="648" w:type="dxa"/>
            <w:tcBorders>
              <w:top w:val="nil"/>
              <w:left w:val="nil"/>
              <w:bottom w:val="nil"/>
              <w:right w:val="nil"/>
            </w:tcBorders>
            <w:shd w:val="clear" w:color="000000" w:fill="FFFFFF"/>
            <w:noWrap/>
            <w:hideMark/>
          </w:tcPr>
          <w:p w14:paraId="25EA3FD7" w14:textId="15CA207F"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0.006</w:t>
            </w:r>
            <w:r w:rsidRPr="00AE2A93">
              <w:rPr>
                <w:rFonts w:ascii="Book Antiqua" w:hAnsi="Book Antiqua"/>
                <w:color w:val="000000"/>
                <w:vertAlign w:val="superscript"/>
              </w:rPr>
              <w:t>b</w:t>
            </w:r>
            <w:r w:rsidRPr="00AE2A93">
              <w:rPr>
                <w:rFonts w:ascii="Book Antiqua" w:hAnsi="Book Antiqua"/>
                <w:color w:val="000000"/>
              </w:rPr>
              <w:t xml:space="preserve"> </w:t>
            </w:r>
          </w:p>
        </w:tc>
      </w:tr>
      <w:tr w:rsidR="00501715" w:rsidRPr="00C76E19" w14:paraId="74DAECA3" w14:textId="77777777" w:rsidTr="00383B79">
        <w:trPr>
          <w:trHeight w:val="320"/>
        </w:trPr>
        <w:tc>
          <w:tcPr>
            <w:tcW w:w="2311" w:type="dxa"/>
            <w:tcBorders>
              <w:top w:val="nil"/>
              <w:left w:val="nil"/>
              <w:right w:val="nil"/>
            </w:tcBorders>
            <w:shd w:val="clear" w:color="000000" w:fill="FFFFFF"/>
            <w:noWrap/>
            <w:hideMark/>
          </w:tcPr>
          <w:p w14:paraId="5DCD4464" w14:textId="7368C7E9" w:rsidR="00501715" w:rsidRPr="00AE2A93" w:rsidRDefault="00501715"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18.5</w:t>
            </w:r>
            <w:r w:rsidRPr="00AE2A93">
              <w:rPr>
                <w:rFonts w:ascii="Book Antiqua" w:eastAsia="宋体" w:hAnsi="Book Antiqua"/>
                <w:color w:val="000000"/>
                <w:lang w:eastAsia="zh-CN"/>
              </w:rPr>
              <w:t>-</w:t>
            </w:r>
            <w:r w:rsidRPr="00AE2A93">
              <w:rPr>
                <w:rFonts w:ascii="Book Antiqua" w:hAnsi="Book Antiqua"/>
                <w:color w:val="000000"/>
              </w:rPr>
              <w:t>23.9</w:t>
            </w:r>
          </w:p>
        </w:tc>
        <w:tc>
          <w:tcPr>
            <w:tcW w:w="910" w:type="dxa"/>
            <w:tcBorders>
              <w:top w:val="nil"/>
              <w:left w:val="nil"/>
              <w:right w:val="nil"/>
            </w:tcBorders>
            <w:shd w:val="clear" w:color="000000" w:fill="FFFFFF"/>
            <w:noWrap/>
            <w:hideMark/>
          </w:tcPr>
          <w:p w14:paraId="6996EF0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6" w:type="dxa"/>
            <w:tcBorders>
              <w:top w:val="nil"/>
              <w:left w:val="nil"/>
              <w:right w:val="nil"/>
            </w:tcBorders>
            <w:shd w:val="clear" w:color="000000" w:fill="FFFFFF"/>
            <w:noWrap/>
            <w:hideMark/>
          </w:tcPr>
          <w:p w14:paraId="5E5C20C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7" w:type="dxa"/>
            <w:tcBorders>
              <w:top w:val="nil"/>
              <w:left w:val="nil"/>
              <w:right w:val="nil"/>
            </w:tcBorders>
            <w:shd w:val="clear" w:color="000000" w:fill="FFFFFF"/>
            <w:noWrap/>
            <w:hideMark/>
          </w:tcPr>
          <w:p w14:paraId="0F615DB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2" w:type="dxa"/>
            <w:tcBorders>
              <w:top w:val="nil"/>
              <w:left w:val="nil"/>
              <w:right w:val="nil"/>
            </w:tcBorders>
            <w:shd w:val="clear" w:color="000000" w:fill="FFFFFF"/>
            <w:noWrap/>
            <w:hideMark/>
          </w:tcPr>
          <w:p w14:paraId="2554E18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right w:val="nil"/>
            </w:tcBorders>
            <w:shd w:val="clear" w:color="000000" w:fill="FFFFFF"/>
            <w:noWrap/>
            <w:hideMark/>
          </w:tcPr>
          <w:p w14:paraId="445D3D7B"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right w:val="nil"/>
            </w:tcBorders>
            <w:shd w:val="clear" w:color="000000" w:fill="FFFFFF"/>
            <w:noWrap/>
            <w:hideMark/>
          </w:tcPr>
          <w:p w14:paraId="1E412C5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291</w:t>
            </w:r>
          </w:p>
        </w:tc>
        <w:tc>
          <w:tcPr>
            <w:tcW w:w="865" w:type="dxa"/>
            <w:tcBorders>
              <w:top w:val="nil"/>
              <w:left w:val="nil"/>
              <w:right w:val="nil"/>
            </w:tcBorders>
            <w:shd w:val="clear" w:color="000000" w:fill="FFFFFF"/>
            <w:noWrap/>
            <w:hideMark/>
          </w:tcPr>
          <w:p w14:paraId="454DC83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-0.020 </w:t>
            </w:r>
          </w:p>
        </w:tc>
        <w:tc>
          <w:tcPr>
            <w:tcW w:w="596" w:type="dxa"/>
            <w:tcBorders>
              <w:top w:val="nil"/>
              <w:left w:val="nil"/>
              <w:right w:val="nil"/>
            </w:tcBorders>
            <w:shd w:val="clear" w:color="000000" w:fill="FFFFFF"/>
            <w:noWrap/>
            <w:hideMark/>
          </w:tcPr>
          <w:p w14:paraId="5405AC1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-0.382 </w:t>
            </w:r>
          </w:p>
        </w:tc>
        <w:tc>
          <w:tcPr>
            <w:tcW w:w="580" w:type="dxa"/>
            <w:tcBorders>
              <w:top w:val="nil"/>
              <w:left w:val="nil"/>
              <w:right w:val="nil"/>
            </w:tcBorders>
            <w:shd w:val="clear" w:color="000000" w:fill="FFFFFF"/>
            <w:noWrap/>
            <w:hideMark/>
          </w:tcPr>
          <w:p w14:paraId="78A788E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0.375 </w:t>
            </w:r>
          </w:p>
        </w:tc>
        <w:tc>
          <w:tcPr>
            <w:tcW w:w="648" w:type="dxa"/>
            <w:tcBorders>
              <w:top w:val="nil"/>
              <w:left w:val="nil"/>
              <w:right w:val="nil"/>
            </w:tcBorders>
            <w:shd w:val="clear" w:color="000000" w:fill="FFFFFF"/>
            <w:noWrap/>
            <w:hideMark/>
          </w:tcPr>
          <w:p w14:paraId="4E3B051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0.917 </w:t>
            </w:r>
          </w:p>
        </w:tc>
        <w:tc>
          <w:tcPr>
            <w:tcW w:w="909" w:type="dxa"/>
            <w:tcBorders>
              <w:top w:val="nil"/>
              <w:left w:val="nil"/>
              <w:right w:val="nil"/>
            </w:tcBorders>
            <w:shd w:val="clear" w:color="000000" w:fill="FFFFFF"/>
            <w:noWrap/>
            <w:hideMark/>
          </w:tcPr>
          <w:p w14:paraId="3C2F591C"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865" w:type="dxa"/>
            <w:tcBorders>
              <w:top w:val="nil"/>
              <w:left w:val="nil"/>
              <w:right w:val="nil"/>
            </w:tcBorders>
            <w:shd w:val="clear" w:color="000000" w:fill="FFFFFF"/>
            <w:noWrap/>
            <w:hideMark/>
          </w:tcPr>
          <w:p w14:paraId="7F7A649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-0.759 </w:t>
            </w:r>
          </w:p>
        </w:tc>
        <w:tc>
          <w:tcPr>
            <w:tcW w:w="616" w:type="dxa"/>
            <w:tcBorders>
              <w:top w:val="nil"/>
              <w:left w:val="nil"/>
              <w:right w:val="nil"/>
            </w:tcBorders>
            <w:shd w:val="clear" w:color="000000" w:fill="FFFFFF"/>
            <w:noWrap/>
            <w:hideMark/>
          </w:tcPr>
          <w:p w14:paraId="15727B8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-4.449 </w:t>
            </w:r>
          </w:p>
        </w:tc>
        <w:tc>
          <w:tcPr>
            <w:tcW w:w="616" w:type="dxa"/>
            <w:tcBorders>
              <w:top w:val="nil"/>
              <w:left w:val="nil"/>
              <w:right w:val="nil"/>
            </w:tcBorders>
            <w:shd w:val="clear" w:color="000000" w:fill="FFFFFF"/>
            <w:noWrap/>
            <w:hideMark/>
          </w:tcPr>
          <w:p w14:paraId="63FACA2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2.932 </w:t>
            </w:r>
          </w:p>
        </w:tc>
        <w:tc>
          <w:tcPr>
            <w:tcW w:w="648" w:type="dxa"/>
            <w:tcBorders>
              <w:top w:val="nil"/>
              <w:left w:val="nil"/>
              <w:right w:val="nil"/>
            </w:tcBorders>
            <w:shd w:val="clear" w:color="000000" w:fill="FFFFFF"/>
            <w:noWrap/>
            <w:hideMark/>
          </w:tcPr>
          <w:p w14:paraId="2729422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0.686 </w:t>
            </w:r>
          </w:p>
        </w:tc>
      </w:tr>
      <w:tr w:rsidR="00501715" w:rsidRPr="00C76E19" w14:paraId="7D87607F" w14:textId="77777777" w:rsidTr="00BE2966">
        <w:trPr>
          <w:trHeight w:val="320"/>
        </w:trPr>
        <w:tc>
          <w:tcPr>
            <w:tcW w:w="2311" w:type="dxa"/>
            <w:tcBorders>
              <w:top w:val="nil"/>
              <w:left w:val="nil"/>
              <w:bottom w:val="nil"/>
              <w:right w:val="nil"/>
            </w:tcBorders>
            <w:shd w:val="clear" w:color="000000" w:fill="FFFFFF"/>
            <w:noWrap/>
            <w:hideMark/>
          </w:tcPr>
          <w:p w14:paraId="0DB524B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Lifestyles </w:t>
            </w:r>
          </w:p>
        </w:tc>
        <w:tc>
          <w:tcPr>
            <w:tcW w:w="910" w:type="dxa"/>
            <w:tcBorders>
              <w:top w:val="nil"/>
              <w:left w:val="nil"/>
              <w:bottom w:val="nil"/>
              <w:right w:val="nil"/>
            </w:tcBorders>
            <w:shd w:val="clear" w:color="000000" w:fill="FFFFFF"/>
            <w:noWrap/>
            <w:hideMark/>
          </w:tcPr>
          <w:p w14:paraId="7E35EB8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6" w:type="dxa"/>
            <w:tcBorders>
              <w:top w:val="nil"/>
              <w:left w:val="nil"/>
              <w:bottom w:val="nil"/>
              <w:right w:val="nil"/>
            </w:tcBorders>
            <w:shd w:val="clear" w:color="000000" w:fill="FFFFFF"/>
            <w:noWrap/>
            <w:hideMark/>
          </w:tcPr>
          <w:p w14:paraId="759A3DE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7" w:type="dxa"/>
            <w:tcBorders>
              <w:top w:val="nil"/>
              <w:left w:val="nil"/>
              <w:bottom w:val="nil"/>
              <w:right w:val="nil"/>
            </w:tcBorders>
            <w:shd w:val="clear" w:color="000000" w:fill="FFFFFF"/>
            <w:noWrap/>
            <w:hideMark/>
          </w:tcPr>
          <w:p w14:paraId="39451A3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2" w:type="dxa"/>
            <w:tcBorders>
              <w:top w:val="nil"/>
              <w:left w:val="nil"/>
              <w:bottom w:val="nil"/>
              <w:right w:val="nil"/>
            </w:tcBorders>
            <w:shd w:val="clear" w:color="000000" w:fill="FFFFFF"/>
            <w:noWrap/>
            <w:hideMark/>
          </w:tcPr>
          <w:p w14:paraId="2B0A6C7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49F0FB6F"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11FFF89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23EFB40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3DD988B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5D5DD19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733E0E74"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3299BDE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4F18107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693C066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3ECFB76D"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41BCA80A"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6D53A4A9" w14:textId="77777777" w:rsidTr="00383B79">
        <w:trPr>
          <w:trHeight w:val="320"/>
        </w:trPr>
        <w:tc>
          <w:tcPr>
            <w:tcW w:w="2311" w:type="dxa"/>
            <w:tcBorders>
              <w:top w:val="nil"/>
              <w:left w:val="nil"/>
              <w:right w:val="nil"/>
            </w:tcBorders>
            <w:shd w:val="clear" w:color="000000" w:fill="FFFFFF"/>
            <w:noWrap/>
            <w:hideMark/>
          </w:tcPr>
          <w:p w14:paraId="4D8DD24F" w14:textId="77777777" w:rsidR="00501715" w:rsidRPr="00AE2A93" w:rsidRDefault="00501715"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 xml:space="preserve">Smoker </w:t>
            </w:r>
          </w:p>
        </w:tc>
        <w:tc>
          <w:tcPr>
            <w:tcW w:w="910" w:type="dxa"/>
            <w:tcBorders>
              <w:top w:val="nil"/>
              <w:left w:val="nil"/>
              <w:right w:val="nil"/>
            </w:tcBorders>
            <w:shd w:val="clear" w:color="000000" w:fill="FFFFFF"/>
            <w:noWrap/>
            <w:hideMark/>
          </w:tcPr>
          <w:p w14:paraId="4E9EF87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238</w:t>
            </w:r>
          </w:p>
        </w:tc>
        <w:tc>
          <w:tcPr>
            <w:tcW w:w="866" w:type="dxa"/>
            <w:tcBorders>
              <w:top w:val="nil"/>
              <w:left w:val="nil"/>
              <w:right w:val="nil"/>
            </w:tcBorders>
            <w:shd w:val="clear" w:color="000000" w:fill="FFFFFF"/>
            <w:noWrap/>
            <w:hideMark/>
          </w:tcPr>
          <w:p w14:paraId="43ADF29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0.073 </w:t>
            </w:r>
          </w:p>
        </w:tc>
        <w:tc>
          <w:tcPr>
            <w:tcW w:w="597" w:type="dxa"/>
            <w:tcBorders>
              <w:top w:val="nil"/>
              <w:left w:val="nil"/>
              <w:right w:val="nil"/>
            </w:tcBorders>
            <w:shd w:val="clear" w:color="000000" w:fill="FFFFFF"/>
            <w:noWrap/>
            <w:hideMark/>
          </w:tcPr>
          <w:p w14:paraId="033FBDFC"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-0.231 </w:t>
            </w:r>
          </w:p>
        </w:tc>
        <w:tc>
          <w:tcPr>
            <w:tcW w:w="592" w:type="dxa"/>
            <w:tcBorders>
              <w:top w:val="nil"/>
              <w:left w:val="nil"/>
              <w:right w:val="nil"/>
            </w:tcBorders>
            <w:shd w:val="clear" w:color="000000" w:fill="FFFFFF"/>
            <w:noWrap/>
            <w:hideMark/>
          </w:tcPr>
          <w:p w14:paraId="3F68121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0.355 </w:t>
            </w:r>
          </w:p>
        </w:tc>
        <w:tc>
          <w:tcPr>
            <w:tcW w:w="648" w:type="dxa"/>
            <w:tcBorders>
              <w:top w:val="nil"/>
              <w:left w:val="nil"/>
              <w:right w:val="nil"/>
            </w:tcBorders>
            <w:shd w:val="clear" w:color="000000" w:fill="FFFFFF"/>
            <w:noWrap/>
            <w:hideMark/>
          </w:tcPr>
          <w:p w14:paraId="168AAFE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0.623 </w:t>
            </w:r>
          </w:p>
        </w:tc>
        <w:tc>
          <w:tcPr>
            <w:tcW w:w="909" w:type="dxa"/>
            <w:tcBorders>
              <w:top w:val="nil"/>
              <w:left w:val="nil"/>
              <w:right w:val="nil"/>
            </w:tcBorders>
            <w:shd w:val="clear" w:color="000000" w:fill="FFFFFF"/>
            <w:noWrap/>
            <w:hideMark/>
          </w:tcPr>
          <w:p w14:paraId="372CBE4D"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right w:val="nil"/>
            </w:tcBorders>
            <w:shd w:val="clear" w:color="000000" w:fill="FFFFFF"/>
            <w:noWrap/>
            <w:hideMark/>
          </w:tcPr>
          <w:p w14:paraId="4A8D5F6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right w:val="nil"/>
            </w:tcBorders>
            <w:shd w:val="clear" w:color="000000" w:fill="FFFFFF"/>
            <w:noWrap/>
            <w:hideMark/>
          </w:tcPr>
          <w:p w14:paraId="2C91943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right w:val="nil"/>
            </w:tcBorders>
            <w:shd w:val="clear" w:color="000000" w:fill="FFFFFF"/>
            <w:noWrap/>
            <w:hideMark/>
          </w:tcPr>
          <w:p w14:paraId="67EFB26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right w:val="nil"/>
            </w:tcBorders>
            <w:shd w:val="clear" w:color="000000" w:fill="FFFFFF"/>
            <w:noWrap/>
            <w:hideMark/>
          </w:tcPr>
          <w:p w14:paraId="719B407A"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right w:val="nil"/>
            </w:tcBorders>
            <w:shd w:val="clear" w:color="000000" w:fill="FFFFFF"/>
            <w:noWrap/>
            <w:hideMark/>
          </w:tcPr>
          <w:p w14:paraId="27D5569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right w:val="nil"/>
            </w:tcBorders>
            <w:shd w:val="clear" w:color="000000" w:fill="FFFFFF"/>
            <w:noWrap/>
            <w:hideMark/>
          </w:tcPr>
          <w:p w14:paraId="3E67082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right w:val="nil"/>
            </w:tcBorders>
            <w:shd w:val="clear" w:color="000000" w:fill="FFFFFF"/>
            <w:noWrap/>
            <w:hideMark/>
          </w:tcPr>
          <w:p w14:paraId="11B1070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right w:val="nil"/>
            </w:tcBorders>
            <w:shd w:val="clear" w:color="000000" w:fill="FFFFFF"/>
            <w:noWrap/>
            <w:hideMark/>
          </w:tcPr>
          <w:p w14:paraId="4F67743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right w:val="nil"/>
            </w:tcBorders>
            <w:shd w:val="clear" w:color="000000" w:fill="FFFFFF"/>
            <w:noWrap/>
            <w:hideMark/>
          </w:tcPr>
          <w:p w14:paraId="4EE2C95C"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7D7FA479" w14:textId="77777777" w:rsidTr="00BE2966">
        <w:trPr>
          <w:trHeight w:val="320"/>
        </w:trPr>
        <w:tc>
          <w:tcPr>
            <w:tcW w:w="2311" w:type="dxa"/>
            <w:tcBorders>
              <w:top w:val="nil"/>
              <w:left w:val="nil"/>
              <w:bottom w:val="nil"/>
              <w:right w:val="nil"/>
            </w:tcBorders>
            <w:shd w:val="clear" w:color="000000" w:fill="FFFFFF"/>
            <w:noWrap/>
            <w:hideMark/>
          </w:tcPr>
          <w:p w14:paraId="3CE0EA3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Residence area </w:t>
            </w:r>
          </w:p>
        </w:tc>
        <w:tc>
          <w:tcPr>
            <w:tcW w:w="910" w:type="dxa"/>
            <w:tcBorders>
              <w:top w:val="nil"/>
              <w:left w:val="nil"/>
              <w:bottom w:val="nil"/>
              <w:right w:val="nil"/>
            </w:tcBorders>
            <w:shd w:val="clear" w:color="000000" w:fill="FFFFFF"/>
            <w:noWrap/>
            <w:hideMark/>
          </w:tcPr>
          <w:p w14:paraId="575603ED"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6" w:type="dxa"/>
            <w:tcBorders>
              <w:top w:val="nil"/>
              <w:left w:val="nil"/>
              <w:bottom w:val="nil"/>
              <w:right w:val="nil"/>
            </w:tcBorders>
            <w:shd w:val="clear" w:color="000000" w:fill="FFFFFF"/>
            <w:noWrap/>
            <w:hideMark/>
          </w:tcPr>
          <w:p w14:paraId="19E18E1D"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7" w:type="dxa"/>
            <w:tcBorders>
              <w:top w:val="nil"/>
              <w:left w:val="nil"/>
              <w:bottom w:val="nil"/>
              <w:right w:val="nil"/>
            </w:tcBorders>
            <w:shd w:val="clear" w:color="000000" w:fill="FFFFFF"/>
            <w:noWrap/>
            <w:hideMark/>
          </w:tcPr>
          <w:p w14:paraId="7D15C16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2" w:type="dxa"/>
            <w:tcBorders>
              <w:top w:val="nil"/>
              <w:left w:val="nil"/>
              <w:bottom w:val="nil"/>
              <w:right w:val="nil"/>
            </w:tcBorders>
            <w:shd w:val="clear" w:color="000000" w:fill="FFFFFF"/>
            <w:noWrap/>
            <w:hideMark/>
          </w:tcPr>
          <w:p w14:paraId="46A9889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70E9487D"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4493B1A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7112F7C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7FB8A29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6943AE6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6486EDB3"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3D0DE48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590512C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32ADCF7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50FD793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271F795D"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37AB2E31" w14:textId="77777777" w:rsidTr="00383B79">
        <w:trPr>
          <w:trHeight w:val="320"/>
        </w:trPr>
        <w:tc>
          <w:tcPr>
            <w:tcW w:w="2311" w:type="dxa"/>
            <w:tcBorders>
              <w:top w:val="nil"/>
              <w:left w:val="nil"/>
              <w:right w:val="nil"/>
            </w:tcBorders>
            <w:shd w:val="clear" w:color="000000" w:fill="FFFFFF"/>
            <w:noWrap/>
            <w:hideMark/>
          </w:tcPr>
          <w:p w14:paraId="24D59EEF" w14:textId="77777777" w:rsidR="00501715" w:rsidRPr="00AE2A93" w:rsidRDefault="00501715"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 xml:space="preserve">Urban city </w:t>
            </w:r>
          </w:p>
        </w:tc>
        <w:tc>
          <w:tcPr>
            <w:tcW w:w="910" w:type="dxa"/>
            <w:tcBorders>
              <w:top w:val="nil"/>
              <w:left w:val="nil"/>
              <w:right w:val="nil"/>
            </w:tcBorders>
            <w:shd w:val="clear" w:color="000000" w:fill="FFFFFF"/>
            <w:noWrap/>
            <w:hideMark/>
          </w:tcPr>
          <w:p w14:paraId="5D4008FC"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238</w:t>
            </w:r>
          </w:p>
        </w:tc>
        <w:tc>
          <w:tcPr>
            <w:tcW w:w="866" w:type="dxa"/>
            <w:tcBorders>
              <w:top w:val="nil"/>
              <w:left w:val="nil"/>
              <w:right w:val="nil"/>
            </w:tcBorders>
            <w:shd w:val="clear" w:color="000000" w:fill="FFFFFF"/>
            <w:noWrap/>
            <w:hideMark/>
          </w:tcPr>
          <w:p w14:paraId="7CA5875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0.693 </w:t>
            </w:r>
          </w:p>
        </w:tc>
        <w:tc>
          <w:tcPr>
            <w:tcW w:w="597" w:type="dxa"/>
            <w:tcBorders>
              <w:top w:val="nil"/>
              <w:left w:val="nil"/>
              <w:right w:val="nil"/>
            </w:tcBorders>
            <w:shd w:val="clear" w:color="000000" w:fill="FFFFFF"/>
            <w:noWrap/>
            <w:hideMark/>
          </w:tcPr>
          <w:p w14:paraId="7545B54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0.558 </w:t>
            </w:r>
          </w:p>
        </w:tc>
        <w:tc>
          <w:tcPr>
            <w:tcW w:w="592" w:type="dxa"/>
            <w:tcBorders>
              <w:top w:val="nil"/>
              <w:left w:val="nil"/>
              <w:right w:val="nil"/>
            </w:tcBorders>
            <w:shd w:val="clear" w:color="000000" w:fill="FFFFFF"/>
            <w:noWrap/>
            <w:hideMark/>
          </w:tcPr>
          <w:p w14:paraId="0E481FC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0.830 </w:t>
            </w:r>
          </w:p>
        </w:tc>
        <w:tc>
          <w:tcPr>
            <w:tcW w:w="648" w:type="dxa"/>
            <w:tcBorders>
              <w:top w:val="nil"/>
              <w:left w:val="nil"/>
              <w:right w:val="nil"/>
            </w:tcBorders>
            <w:shd w:val="clear" w:color="000000" w:fill="FFFFFF"/>
            <w:noWrap/>
            <w:hideMark/>
          </w:tcPr>
          <w:p w14:paraId="7FF753E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0.000 </w:t>
            </w:r>
          </w:p>
        </w:tc>
        <w:tc>
          <w:tcPr>
            <w:tcW w:w="909" w:type="dxa"/>
            <w:tcBorders>
              <w:top w:val="nil"/>
              <w:left w:val="nil"/>
              <w:right w:val="nil"/>
            </w:tcBorders>
            <w:shd w:val="clear" w:color="000000" w:fill="FFFFFF"/>
            <w:noWrap/>
            <w:hideMark/>
          </w:tcPr>
          <w:p w14:paraId="65805B4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right w:val="nil"/>
            </w:tcBorders>
            <w:shd w:val="clear" w:color="000000" w:fill="FFFFFF"/>
            <w:noWrap/>
            <w:hideMark/>
          </w:tcPr>
          <w:p w14:paraId="083A12E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right w:val="nil"/>
            </w:tcBorders>
            <w:shd w:val="clear" w:color="000000" w:fill="FFFFFF"/>
            <w:noWrap/>
            <w:hideMark/>
          </w:tcPr>
          <w:p w14:paraId="36F2E6A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right w:val="nil"/>
            </w:tcBorders>
            <w:shd w:val="clear" w:color="000000" w:fill="FFFFFF"/>
            <w:noWrap/>
            <w:hideMark/>
          </w:tcPr>
          <w:p w14:paraId="1F8869B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right w:val="nil"/>
            </w:tcBorders>
            <w:shd w:val="clear" w:color="000000" w:fill="FFFFFF"/>
            <w:noWrap/>
            <w:hideMark/>
          </w:tcPr>
          <w:p w14:paraId="4F4D7145"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right w:val="nil"/>
            </w:tcBorders>
            <w:shd w:val="clear" w:color="000000" w:fill="FFFFFF"/>
            <w:noWrap/>
            <w:hideMark/>
          </w:tcPr>
          <w:p w14:paraId="21D46C0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right w:val="nil"/>
            </w:tcBorders>
            <w:shd w:val="clear" w:color="000000" w:fill="FFFFFF"/>
            <w:noWrap/>
            <w:hideMark/>
          </w:tcPr>
          <w:p w14:paraId="6D40A91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right w:val="nil"/>
            </w:tcBorders>
            <w:shd w:val="clear" w:color="000000" w:fill="FFFFFF"/>
            <w:noWrap/>
            <w:hideMark/>
          </w:tcPr>
          <w:p w14:paraId="64A30CA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right w:val="nil"/>
            </w:tcBorders>
            <w:shd w:val="clear" w:color="000000" w:fill="FFFFFF"/>
            <w:noWrap/>
            <w:hideMark/>
          </w:tcPr>
          <w:p w14:paraId="5E2938E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right w:val="nil"/>
            </w:tcBorders>
            <w:shd w:val="clear" w:color="000000" w:fill="FFFFFF"/>
            <w:noWrap/>
            <w:hideMark/>
          </w:tcPr>
          <w:p w14:paraId="6E791F1B"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10DAEB4B" w14:textId="77777777" w:rsidTr="00BE2966">
        <w:trPr>
          <w:trHeight w:val="320"/>
        </w:trPr>
        <w:tc>
          <w:tcPr>
            <w:tcW w:w="2311" w:type="dxa"/>
            <w:tcBorders>
              <w:top w:val="nil"/>
              <w:left w:val="nil"/>
              <w:bottom w:val="nil"/>
              <w:right w:val="nil"/>
            </w:tcBorders>
            <w:shd w:val="clear" w:color="000000" w:fill="FFFFFF"/>
            <w:noWrap/>
            <w:hideMark/>
          </w:tcPr>
          <w:p w14:paraId="3D17F07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Insurance plan </w:t>
            </w:r>
          </w:p>
        </w:tc>
        <w:tc>
          <w:tcPr>
            <w:tcW w:w="910" w:type="dxa"/>
            <w:tcBorders>
              <w:top w:val="nil"/>
              <w:left w:val="nil"/>
              <w:bottom w:val="nil"/>
              <w:right w:val="nil"/>
            </w:tcBorders>
            <w:shd w:val="clear" w:color="000000" w:fill="FFFFFF"/>
            <w:noWrap/>
            <w:hideMark/>
          </w:tcPr>
          <w:p w14:paraId="53AEAD2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6" w:type="dxa"/>
            <w:tcBorders>
              <w:top w:val="nil"/>
              <w:left w:val="nil"/>
              <w:bottom w:val="nil"/>
              <w:right w:val="nil"/>
            </w:tcBorders>
            <w:shd w:val="clear" w:color="000000" w:fill="FFFFFF"/>
            <w:noWrap/>
            <w:hideMark/>
          </w:tcPr>
          <w:p w14:paraId="6F34AEC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7" w:type="dxa"/>
            <w:tcBorders>
              <w:top w:val="nil"/>
              <w:left w:val="nil"/>
              <w:bottom w:val="nil"/>
              <w:right w:val="nil"/>
            </w:tcBorders>
            <w:shd w:val="clear" w:color="000000" w:fill="FFFFFF"/>
            <w:noWrap/>
            <w:hideMark/>
          </w:tcPr>
          <w:p w14:paraId="5322797C"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2" w:type="dxa"/>
            <w:tcBorders>
              <w:top w:val="nil"/>
              <w:left w:val="nil"/>
              <w:bottom w:val="nil"/>
              <w:right w:val="nil"/>
            </w:tcBorders>
            <w:shd w:val="clear" w:color="000000" w:fill="FFFFFF"/>
            <w:noWrap/>
            <w:hideMark/>
          </w:tcPr>
          <w:p w14:paraId="6C9B7EDC"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245E9E95"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76AF0FC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34FCE0A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6442D8F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7389FFA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1020880D"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43287EC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03935E8D"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479EEFA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375DE9B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28DBBC7E"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03A762F4" w14:textId="77777777" w:rsidTr="00BE2966">
        <w:trPr>
          <w:trHeight w:val="320"/>
        </w:trPr>
        <w:tc>
          <w:tcPr>
            <w:tcW w:w="2311" w:type="dxa"/>
            <w:tcBorders>
              <w:top w:val="nil"/>
              <w:left w:val="nil"/>
              <w:bottom w:val="nil"/>
              <w:right w:val="nil"/>
            </w:tcBorders>
            <w:shd w:val="clear" w:color="000000" w:fill="FFFFFF"/>
            <w:noWrap/>
            <w:hideMark/>
          </w:tcPr>
          <w:p w14:paraId="39815498" w14:textId="77777777" w:rsidR="00501715" w:rsidRPr="00AE2A93" w:rsidRDefault="00501715"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 xml:space="preserve">Urban workers </w:t>
            </w:r>
          </w:p>
        </w:tc>
        <w:tc>
          <w:tcPr>
            <w:tcW w:w="910" w:type="dxa"/>
            <w:tcBorders>
              <w:top w:val="nil"/>
              <w:left w:val="nil"/>
              <w:bottom w:val="nil"/>
              <w:right w:val="nil"/>
            </w:tcBorders>
            <w:shd w:val="clear" w:color="000000" w:fill="FFFFFF"/>
            <w:noWrap/>
            <w:hideMark/>
          </w:tcPr>
          <w:p w14:paraId="747082B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238</w:t>
            </w:r>
          </w:p>
        </w:tc>
        <w:tc>
          <w:tcPr>
            <w:tcW w:w="866" w:type="dxa"/>
            <w:tcBorders>
              <w:top w:val="nil"/>
              <w:left w:val="nil"/>
              <w:bottom w:val="nil"/>
              <w:right w:val="nil"/>
            </w:tcBorders>
            <w:shd w:val="clear" w:color="000000" w:fill="FFFFFF"/>
            <w:noWrap/>
            <w:hideMark/>
          </w:tcPr>
          <w:p w14:paraId="1B539C3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-0.070 </w:t>
            </w:r>
          </w:p>
        </w:tc>
        <w:tc>
          <w:tcPr>
            <w:tcW w:w="597" w:type="dxa"/>
            <w:tcBorders>
              <w:top w:val="nil"/>
              <w:left w:val="nil"/>
              <w:bottom w:val="nil"/>
              <w:right w:val="nil"/>
            </w:tcBorders>
            <w:shd w:val="clear" w:color="000000" w:fill="FFFFFF"/>
            <w:noWrap/>
            <w:hideMark/>
          </w:tcPr>
          <w:p w14:paraId="719BEB6D"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-0.230 </w:t>
            </w:r>
          </w:p>
        </w:tc>
        <w:tc>
          <w:tcPr>
            <w:tcW w:w="592" w:type="dxa"/>
            <w:tcBorders>
              <w:top w:val="nil"/>
              <w:left w:val="nil"/>
              <w:bottom w:val="nil"/>
              <w:right w:val="nil"/>
            </w:tcBorders>
            <w:shd w:val="clear" w:color="000000" w:fill="FFFFFF"/>
            <w:noWrap/>
            <w:hideMark/>
          </w:tcPr>
          <w:p w14:paraId="05A3967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0.092 </w:t>
            </w:r>
          </w:p>
        </w:tc>
        <w:tc>
          <w:tcPr>
            <w:tcW w:w="648" w:type="dxa"/>
            <w:tcBorders>
              <w:top w:val="nil"/>
              <w:left w:val="nil"/>
              <w:bottom w:val="nil"/>
              <w:right w:val="nil"/>
            </w:tcBorders>
            <w:shd w:val="clear" w:color="000000" w:fill="FFFFFF"/>
            <w:noWrap/>
            <w:hideMark/>
          </w:tcPr>
          <w:p w14:paraId="6FCFC2A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0.392 </w:t>
            </w:r>
          </w:p>
        </w:tc>
        <w:tc>
          <w:tcPr>
            <w:tcW w:w="909" w:type="dxa"/>
            <w:tcBorders>
              <w:top w:val="nil"/>
              <w:left w:val="nil"/>
              <w:bottom w:val="nil"/>
              <w:right w:val="nil"/>
            </w:tcBorders>
            <w:shd w:val="clear" w:color="000000" w:fill="FFFFFF"/>
            <w:noWrap/>
            <w:hideMark/>
          </w:tcPr>
          <w:p w14:paraId="1D68DD6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5B030CC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1F0D8C3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65C867ED"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5447E269"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121F242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4FBA2D3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3465F41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4652176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5657DC33"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07053993" w14:textId="77777777" w:rsidTr="00383B79">
        <w:trPr>
          <w:trHeight w:val="320"/>
        </w:trPr>
        <w:tc>
          <w:tcPr>
            <w:tcW w:w="2311" w:type="dxa"/>
            <w:tcBorders>
              <w:top w:val="nil"/>
              <w:left w:val="nil"/>
              <w:right w:val="nil"/>
            </w:tcBorders>
            <w:shd w:val="clear" w:color="000000" w:fill="FFFFFF"/>
            <w:noWrap/>
            <w:hideMark/>
          </w:tcPr>
          <w:p w14:paraId="478BD6A0" w14:textId="77777777" w:rsidR="00501715" w:rsidRPr="00AE2A93" w:rsidRDefault="00501715"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 xml:space="preserve">Urban residents </w:t>
            </w:r>
          </w:p>
        </w:tc>
        <w:tc>
          <w:tcPr>
            <w:tcW w:w="910" w:type="dxa"/>
            <w:tcBorders>
              <w:top w:val="nil"/>
              <w:left w:val="nil"/>
              <w:right w:val="nil"/>
            </w:tcBorders>
            <w:shd w:val="clear" w:color="000000" w:fill="FFFFFF"/>
            <w:noWrap/>
            <w:hideMark/>
          </w:tcPr>
          <w:p w14:paraId="5BCE964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238</w:t>
            </w:r>
          </w:p>
        </w:tc>
        <w:tc>
          <w:tcPr>
            <w:tcW w:w="866" w:type="dxa"/>
            <w:tcBorders>
              <w:top w:val="nil"/>
              <w:left w:val="nil"/>
              <w:right w:val="nil"/>
            </w:tcBorders>
            <w:shd w:val="clear" w:color="000000" w:fill="FFFFFF"/>
            <w:noWrap/>
            <w:hideMark/>
          </w:tcPr>
          <w:p w14:paraId="1F6887A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-0.442 </w:t>
            </w:r>
          </w:p>
        </w:tc>
        <w:tc>
          <w:tcPr>
            <w:tcW w:w="597" w:type="dxa"/>
            <w:tcBorders>
              <w:top w:val="nil"/>
              <w:left w:val="nil"/>
              <w:right w:val="nil"/>
            </w:tcBorders>
            <w:shd w:val="clear" w:color="000000" w:fill="FFFFFF"/>
            <w:noWrap/>
            <w:hideMark/>
          </w:tcPr>
          <w:p w14:paraId="082845D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-0.696 </w:t>
            </w:r>
          </w:p>
        </w:tc>
        <w:tc>
          <w:tcPr>
            <w:tcW w:w="592" w:type="dxa"/>
            <w:tcBorders>
              <w:top w:val="nil"/>
              <w:left w:val="nil"/>
              <w:right w:val="nil"/>
            </w:tcBorders>
            <w:shd w:val="clear" w:color="000000" w:fill="FFFFFF"/>
            <w:noWrap/>
            <w:hideMark/>
          </w:tcPr>
          <w:p w14:paraId="0C0C29D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-0.196 </w:t>
            </w:r>
          </w:p>
        </w:tc>
        <w:tc>
          <w:tcPr>
            <w:tcW w:w="648" w:type="dxa"/>
            <w:tcBorders>
              <w:top w:val="nil"/>
              <w:left w:val="nil"/>
              <w:right w:val="nil"/>
            </w:tcBorders>
            <w:shd w:val="clear" w:color="000000" w:fill="FFFFFF"/>
            <w:noWrap/>
            <w:hideMark/>
          </w:tcPr>
          <w:p w14:paraId="49ADE3B0" w14:textId="644B519E"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0.001</w:t>
            </w:r>
            <w:r w:rsidR="00BE2966" w:rsidRPr="00AE2A93">
              <w:rPr>
                <w:rFonts w:ascii="Book Antiqua" w:hAnsi="Book Antiqua"/>
                <w:color w:val="000000"/>
                <w:vertAlign w:val="superscript"/>
              </w:rPr>
              <w:t>b</w:t>
            </w:r>
            <w:r w:rsidRPr="00AE2A93">
              <w:rPr>
                <w:rFonts w:ascii="Book Antiqua" w:hAnsi="Book Antiqua"/>
                <w:color w:val="000000"/>
              </w:rPr>
              <w:t xml:space="preserve"> </w:t>
            </w:r>
          </w:p>
        </w:tc>
        <w:tc>
          <w:tcPr>
            <w:tcW w:w="909" w:type="dxa"/>
            <w:tcBorders>
              <w:top w:val="nil"/>
              <w:left w:val="nil"/>
              <w:right w:val="nil"/>
            </w:tcBorders>
            <w:shd w:val="clear" w:color="000000" w:fill="FFFFFF"/>
            <w:noWrap/>
            <w:hideMark/>
          </w:tcPr>
          <w:p w14:paraId="6299CCF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right w:val="nil"/>
            </w:tcBorders>
            <w:shd w:val="clear" w:color="000000" w:fill="FFFFFF"/>
            <w:noWrap/>
            <w:hideMark/>
          </w:tcPr>
          <w:p w14:paraId="41599A3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right w:val="nil"/>
            </w:tcBorders>
            <w:shd w:val="clear" w:color="000000" w:fill="FFFFFF"/>
            <w:noWrap/>
            <w:hideMark/>
          </w:tcPr>
          <w:p w14:paraId="257E127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right w:val="nil"/>
            </w:tcBorders>
            <w:shd w:val="clear" w:color="000000" w:fill="FFFFFF"/>
            <w:noWrap/>
            <w:hideMark/>
          </w:tcPr>
          <w:p w14:paraId="7096201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right w:val="nil"/>
            </w:tcBorders>
            <w:shd w:val="clear" w:color="000000" w:fill="FFFFFF"/>
            <w:noWrap/>
            <w:hideMark/>
          </w:tcPr>
          <w:p w14:paraId="4A59DE2F"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right w:val="nil"/>
            </w:tcBorders>
            <w:shd w:val="clear" w:color="000000" w:fill="FFFFFF"/>
            <w:noWrap/>
            <w:hideMark/>
          </w:tcPr>
          <w:p w14:paraId="3FAE909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right w:val="nil"/>
            </w:tcBorders>
            <w:shd w:val="clear" w:color="000000" w:fill="FFFFFF"/>
            <w:noWrap/>
            <w:hideMark/>
          </w:tcPr>
          <w:p w14:paraId="26ED52D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right w:val="nil"/>
            </w:tcBorders>
            <w:shd w:val="clear" w:color="000000" w:fill="FFFFFF"/>
            <w:noWrap/>
            <w:hideMark/>
          </w:tcPr>
          <w:p w14:paraId="798EAF4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right w:val="nil"/>
            </w:tcBorders>
            <w:shd w:val="clear" w:color="000000" w:fill="FFFFFF"/>
            <w:noWrap/>
            <w:hideMark/>
          </w:tcPr>
          <w:p w14:paraId="71E64B9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right w:val="nil"/>
            </w:tcBorders>
            <w:shd w:val="clear" w:color="000000" w:fill="FFFFFF"/>
            <w:noWrap/>
            <w:hideMark/>
          </w:tcPr>
          <w:p w14:paraId="2AEDFCBA"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6DF2933E" w14:textId="77777777" w:rsidTr="00BE2966">
        <w:trPr>
          <w:trHeight w:val="320"/>
        </w:trPr>
        <w:tc>
          <w:tcPr>
            <w:tcW w:w="2311" w:type="dxa"/>
            <w:tcBorders>
              <w:top w:val="nil"/>
              <w:left w:val="nil"/>
              <w:bottom w:val="nil"/>
              <w:right w:val="nil"/>
            </w:tcBorders>
            <w:shd w:val="clear" w:color="000000" w:fill="FFFFFF"/>
            <w:noWrap/>
            <w:hideMark/>
          </w:tcPr>
          <w:p w14:paraId="6E7E733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Disease site at diagnosis </w:t>
            </w:r>
          </w:p>
        </w:tc>
        <w:tc>
          <w:tcPr>
            <w:tcW w:w="910" w:type="dxa"/>
            <w:tcBorders>
              <w:top w:val="nil"/>
              <w:left w:val="nil"/>
              <w:bottom w:val="nil"/>
              <w:right w:val="nil"/>
            </w:tcBorders>
            <w:shd w:val="clear" w:color="000000" w:fill="FFFFFF"/>
            <w:noWrap/>
            <w:hideMark/>
          </w:tcPr>
          <w:p w14:paraId="51BD71E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6" w:type="dxa"/>
            <w:tcBorders>
              <w:top w:val="nil"/>
              <w:left w:val="nil"/>
              <w:bottom w:val="nil"/>
              <w:right w:val="nil"/>
            </w:tcBorders>
            <w:shd w:val="clear" w:color="000000" w:fill="FFFFFF"/>
            <w:noWrap/>
            <w:hideMark/>
          </w:tcPr>
          <w:p w14:paraId="6BC6D74C"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7" w:type="dxa"/>
            <w:tcBorders>
              <w:top w:val="nil"/>
              <w:left w:val="nil"/>
              <w:bottom w:val="nil"/>
              <w:right w:val="nil"/>
            </w:tcBorders>
            <w:shd w:val="clear" w:color="000000" w:fill="FFFFFF"/>
            <w:noWrap/>
            <w:hideMark/>
          </w:tcPr>
          <w:p w14:paraId="463E638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2" w:type="dxa"/>
            <w:tcBorders>
              <w:top w:val="nil"/>
              <w:left w:val="nil"/>
              <w:bottom w:val="nil"/>
              <w:right w:val="nil"/>
            </w:tcBorders>
            <w:shd w:val="clear" w:color="000000" w:fill="FFFFFF"/>
            <w:noWrap/>
            <w:hideMark/>
          </w:tcPr>
          <w:p w14:paraId="627D726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0199FDDC"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76F99C6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60F1DC7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39A4B18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7E3A72A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234CA9B7"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54433D7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329956E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3FA75B2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1261618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3CE66662"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1929C3A4" w14:textId="77777777" w:rsidTr="00BE2966">
        <w:trPr>
          <w:trHeight w:val="320"/>
        </w:trPr>
        <w:tc>
          <w:tcPr>
            <w:tcW w:w="2311" w:type="dxa"/>
            <w:tcBorders>
              <w:top w:val="nil"/>
              <w:left w:val="nil"/>
              <w:bottom w:val="nil"/>
              <w:right w:val="nil"/>
            </w:tcBorders>
            <w:shd w:val="clear" w:color="000000" w:fill="FFFFFF"/>
            <w:noWrap/>
            <w:hideMark/>
          </w:tcPr>
          <w:p w14:paraId="0E07A2F8" w14:textId="77777777" w:rsidR="00501715" w:rsidRPr="00AE2A93" w:rsidRDefault="00501715"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Terminal ileum</w:t>
            </w:r>
          </w:p>
        </w:tc>
        <w:tc>
          <w:tcPr>
            <w:tcW w:w="910" w:type="dxa"/>
            <w:tcBorders>
              <w:top w:val="nil"/>
              <w:left w:val="nil"/>
              <w:bottom w:val="nil"/>
              <w:right w:val="nil"/>
            </w:tcBorders>
            <w:shd w:val="clear" w:color="000000" w:fill="FFFFFF"/>
            <w:noWrap/>
            <w:hideMark/>
          </w:tcPr>
          <w:p w14:paraId="1E31224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238</w:t>
            </w:r>
          </w:p>
        </w:tc>
        <w:tc>
          <w:tcPr>
            <w:tcW w:w="866" w:type="dxa"/>
            <w:tcBorders>
              <w:top w:val="nil"/>
              <w:left w:val="nil"/>
              <w:bottom w:val="nil"/>
              <w:right w:val="nil"/>
            </w:tcBorders>
            <w:shd w:val="clear" w:color="000000" w:fill="FFFFFF"/>
            <w:noWrap/>
            <w:hideMark/>
          </w:tcPr>
          <w:p w14:paraId="5DFC485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0.113 </w:t>
            </w:r>
          </w:p>
        </w:tc>
        <w:tc>
          <w:tcPr>
            <w:tcW w:w="597" w:type="dxa"/>
            <w:tcBorders>
              <w:top w:val="nil"/>
              <w:left w:val="nil"/>
              <w:bottom w:val="nil"/>
              <w:right w:val="nil"/>
            </w:tcBorders>
            <w:shd w:val="clear" w:color="000000" w:fill="FFFFFF"/>
            <w:noWrap/>
            <w:hideMark/>
          </w:tcPr>
          <w:p w14:paraId="32712ACC"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-0.086 </w:t>
            </w:r>
          </w:p>
        </w:tc>
        <w:tc>
          <w:tcPr>
            <w:tcW w:w="592" w:type="dxa"/>
            <w:tcBorders>
              <w:top w:val="nil"/>
              <w:left w:val="nil"/>
              <w:bottom w:val="nil"/>
              <w:right w:val="nil"/>
            </w:tcBorders>
            <w:shd w:val="clear" w:color="000000" w:fill="FFFFFF"/>
            <w:noWrap/>
            <w:hideMark/>
          </w:tcPr>
          <w:p w14:paraId="3A83961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0.314 </w:t>
            </w:r>
          </w:p>
        </w:tc>
        <w:tc>
          <w:tcPr>
            <w:tcW w:w="648" w:type="dxa"/>
            <w:tcBorders>
              <w:top w:val="nil"/>
              <w:left w:val="nil"/>
              <w:bottom w:val="nil"/>
              <w:right w:val="nil"/>
            </w:tcBorders>
            <w:shd w:val="clear" w:color="000000" w:fill="FFFFFF"/>
            <w:noWrap/>
            <w:hideMark/>
          </w:tcPr>
          <w:p w14:paraId="6522FE1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0.268 </w:t>
            </w:r>
          </w:p>
        </w:tc>
        <w:tc>
          <w:tcPr>
            <w:tcW w:w="909" w:type="dxa"/>
            <w:tcBorders>
              <w:top w:val="nil"/>
              <w:left w:val="nil"/>
              <w:bottom w:val="nil"/>
              <w:right w:val="nil"/>
            </w:tcBorders>
            <w:shd w:val="clear" w:color="000000" w:fill="FFFFFF"/>
            <w:noWrap/>
            <w:hideMark/>
          </w:tcPr>
          <w:p w14:paraId="0522D8D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24E68FB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3C2556B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7F7CC3D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7072A1CA"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6F614CF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865" w:type="dxa"/>
            <w:tcBorders>
              <w:top w:val="nil"/>
              <w:left w:val="nil"/>
              <w:bottom w:val="nil"/>
              <w:right w:val="nil"/>
            </w:tcBorders>
            <w:shd w:val="clear" w:color="000000" w:fill="FFFFFF"/>
            <w:noWrap/>
            <w:hideMark/>
          </w:tcPr>
          <w:p w14:paraId="02D2704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-2.100 </w:t>
            </w:r>
          </w:p>
        </w:tc>
        <w:tc>
          <w:tcPr>
            <w:tcW w:w="616" w:type="dxa"/>
            <w:tcBorders>
              <w:top w:val="nil"/>
              <w:left w:val="nil"/>
              <w:bottom w:val="nil"/>
              <w:right w:val="nil"/>
            </w:tcBorders>
            <w:shd w:val="clear" w:color="000000" w:fill="FFFFFF"/>
            <w:noWrap/>
            <w:hideMark/>
          </w:tcPr>
          <w:p w14:paraId="5E2A37D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-5.085 </w:t>
            </w:r>
          </w:p>
        </w:tc>
        <w:tc>
          <w:tcPr>
            <w:tcW w:w="616" w:type="dxa"/>
            <w:tcBorders>
              <w:top w:val="nil"/>
              <w:left w:val="nil"/>
              <w:bottom w:val="nil"/>
              <w:right w:val="nil"/>
            </w:tcBorders>
            <w:shd w:val="clear" w:color="000000" w:fill="FFFFFF"/>
            <w:noWrap/>
            <w:hideMark/>
          </w:tcPr>
          <w:p w14:paraId="14AC5FF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0.884 </w:t>
            </w:r>
          </w:p>
        </w:tc>
        <w:tc>
          <w:tcPr>
            <w:tcW w:w="648" w:type="dxa"/>
            <w:tcBorders>
              <w:top w:val="nil"/>
              <w:left w:val="nil"/>
              <w:bottom w:val="nil"/>
              <w:right w:val="nil"/>
            </w:tcBorders>
            <w:shd w:val="clear" w:color="000000" w:fill="FFFFFF"/>
            <w:noWrap/>
            <w:hideMark/>
          </w:tcPr>
          <w:p w14:paraId="33E9533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0.167 </w:t>
            </w:r>
          </w:p>
        </w:tc>
      </w:tr>
      <w:tr w:rsidR="00501715" w:rsidRPr="00C76E19" w14:paraId="05237918" w14:textId="77777777" w:rsidTr="00BE2966">
        <w:trPr>
          <w:trHeight w:val="320"/>
        </w:trPr>
        <w:tc>
          <w:tcPr>
            <w:tcW w:w="2311" w:type="dxa"/>
            <w:tcBorders>
              <w:top w:val="nil"/>
              <w:left w:val="nil"/>
              <w:bottom w:val="nil"/>
              <w:right w:val="nil"/>
            </w:tcBorders>
            <w:shd w:val="clear" w:color="000000" w:fill="FFFFFF"/>
            <w:noWrap/>
            <w:hideMark/>
          </w:tcPr>
          <w:p w14:paraId="72432492" w14:textId="77777777" w:rsidR="00501715" w:rsidRPr="00AE2A93" w:rsidRDefault="00501715"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Colon</w:t>
            </w:r>
          </w:p>
        </w:tc>
        <w:tc>
          <w:tcPr>
            <w:tcW w:w="910" w:type="dxa"/>
            <w:tcBorders>
              <w:top w:val="nil"/>
              <w:left w:val="nil"/>
              <w:bottom w:val="nil"/>
              <w:right w:val="nil"/>
            </w:tcBorders>
            <w:shd w:val="clear" w:color="000000" w:fill="FFFFFF"/>
            <w:noWrap/>
            <w:hideMark/>
          </w:tcPr>
          <w:p w14:paraId="31E7151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6" w:type="dxa"/>
            <w:tcBorders>
              <w:top w:val="nil"/>
              <w:left w:val="nil"/>
              <w:bottom w:val="nil"/>
              <w:right w:val="nil"/>
            </w:tcBorders>
            <w:shd w:val="clear" w:color="000000" w:fill="FFFFFF"/>
            <w:noWrap/>
            <w:hideMark/>
          </w:tcPr>
          <w:p w14:paraId="09221D0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7" w:type="dxa"/>
            <w:tcBorders>
              <w:top w:val="nil"/>
              <w:left w:val="nil"/>
              <w:bottom w:val="nil"/>
              <w:right w:val="nil"/>
            </w:tcBorders>
            <w:shd w:val="clear" w:color="000000" w:fill="FFFFFF"/>
            <w:noWrap/>
            <w:hideMark/>
          </w:tcPr>
          <w:p w14:paraId="7CC07C6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2" w:type="dxa"/>
            <w:tcBorders>
              <w:top w:val="nil"/>
              <w:left w:val="nil"/>
              <w:bottom w:val="nil"/>
              <w:right w:val="nil"/>
            </w:tcBorders>
            <w:shd w:val="clear" w:color="000000" w:fill="FFFFFF"/>
            <w:noWrap/>
            <w:hideMark/>
          </w:tcPr>
          <w:p w14:paraId="7F71FDC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532153CB"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34D4EDC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67B2EE5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566E73E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6660EE6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2FA7F4C9"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51712C0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7DB2BD8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4D1D5AE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7A3523C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63A9D37E"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5EA2AF1B" w14:textId="77777777" w:rsidTr="00BE2966">
        <w:trPr>
          <w:trHeight w:val="320"/>
        </w:trPr>
        <w:tc>
          <w:tcPr>
            <w:tcW w:w="2311" w:type="dxa"/>
            <w:tcBorders>
              <w:top w:val="nil"/>
              <w:left w:val="nil"/>
              <w:bottom w:val="nil"/>
              <w:right w:val="nil"/>
            </w:tcBorders>
            <w:shd w:val="clear" w:color="000000" w:fill="FFFFFF"/>
            <w:noWrap/>
            <w:hideMark/>
          </w:tcPr>
          <w:p w14:paraId="3CE94BE9" w14:textId="77777777" w:rsidR="00501715" w:rsidRPr="00AE2A93" w:rsidRDefault="00501715"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Ileocolon</w:t>
            </w:r>
          </w:p>
        </w:tc>
        <w:tc>
          <w:tcPr>
            <w:tcW w:w="910" w:type="dxa"/>
            <w:tcBorders>
              <w:top w:val="nil"/>
              <w:left w:val="nil"/>
              <w:bottom w:val="nil"/>
              <w:right w:val="nil"/>
            </w:tcBorders>
            <w:shd w:val="clear" w:color="000000" w:fill="FFFFFF"/>
            <w:noWrap/>
            <w:hideMark/>
          </w:tcPr>
          <w:p w14:paraId="5715F44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238</w:t>
            </w:r>
          </w:p>
        </w:tc>
        <w:tc>
          <w:tcPr>
            <w:tcW w:w="866" w:type="dxa"/>
            <w:tcBorders>
              <w:top w:val="nil"/>
              <w:left w:val="nil"/>
              <w:bottom w:val="nil"/>
              <w:right w:val="nil"/>
            </w:tcBorders>
            <w:shd w:val="clear" w:color="000000" w:fill="FFFFFF"/>
            <w:noWrap/>
            <w:hideMark/>
          </w:tcPr>
          <w:p w14:paraId="004967E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0.128 </w:t>
            </w:r>
          </w:p>
        </w:tc>
        <w:tc>
          <w:tcPr>
            <w:tcW w:w="597" w:type="dxa"/>
            <w:tcBorders>
              <w:top w:val="nil"/>
              <w:left w:val="nil"/>
              <w:bottom w:val="nil"/>
              <w:right w:val="nil"/>
            </w:tcBorders>
            <w:shd w:val="clear" w:color="000000" w:fill="FFFFFF"/>
            <w:noWrap/>
            <w:hideMark/>
          </w:tcPr>
          <w:p w14:paraId="1B245C3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-0.057 </w:t>
            </w:r>
          </w:p>
        </w:tc>
        <w:tc>
          <w:tcPr>
            <w:tcW w:w="592" w:type="dxa"/>
            <w:tcBorders>
              <w:top w:val="nil"/>
              <w:left w:val="nil"/>
              <w:bottom w:val="nil"/>
              <w:right w:val="nil"/>
            </w:tcBorders>
            <w:shd w:val="clear" w:color="000000" w:fill="FFFFFF"/>
            <w:noWrap/>
            <w:hideMark/>
          </w:tcPr>
          <w:p w14:paraId="5CF28C8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0.317 </w:t>
            </w:r>
          </w:p>
        </w:tc>
        <w:tc>
          <w:tcPr>
            <w:tcW w:w="648" w:type="dxa"/>
            <w:tcBorders>
              <w:top w:val="nil"/>
              <w:left w:val="nil"/>
              <w:bottom w:val="nil"/>
              <w:right w:val="nil"/>
            </w:tcBorders>
            <w:shd w:val="clear" w:color="000000" w:fill="FFFFFF"/>
            <w:noWrap/>
            <w:hideMark/>
          </w:tcPr>
          <w:p w14:paraId="6005605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0.179 </w:t>
            </w:r>
          </w:p>
        </w:tc>
        <w:tc>
          <w:tcPr>
            <w:tcW w:w="909" w:type="dxa"/>
            <w:tcBorders>
              <w:top w:val="nil"/>
              <w:left w:val="nil"/>
              <w:bottom w:val="nil"/>
              <w:right w:val="nil"/>
            </w:tcBorders>
            <w:shd w:val="clear" w:color="000000" w:fill="FFFFFF"/>
            <w:noWrap/>
            <w:hideMark/>
          </w:tcPr>
          <w:p w14:paraId="4F5FA13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22B928E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34620E6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30CFC7B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2E2D445F"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5D98628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865" w:type="dxa"/>
            <w:tcBorders>
              <w:top w:val="nil"/>
              <w:left w:val="nil"/>
              <w:bottom w:val="nil"/>
              <w:right w:val="nil"/>
            </w:tcBorders>
            <w:shd w:val="clear" w:color="000000" w:fill="FFFFFF"/>
            <w:noWrap/>
            <w:hideMark/>
          </w:tcPr>
          <w:p w14:paraId="3A0961F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-2.505 </w:t>
            </w:r>
          </w:p>
        </w:tc>
        <w:tc>
          <w:tcPr>
            <w:tcW w:w="616" w:type="dxa"/>
            <w:tcBorders>
              <w:top w:val="nil"/>
              <w:left w:val="nil"/>
              <w:bottom w:val="nil"/>
              <w:right w:val="nil"/>
            </w:tcBorders>
            <w:shd w:val="clear" w:color="000000" w:fill="FFFFFF"/>
            <w:noWrap/>
            <w:hideMark/>
          </w:tcPr>
          <w:p w14:paraId="14FFF0B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-5.099 </w:t>
            </w:r>
          </w:p>
        </w:tc>
        <w:tc>
          <w:tcPr>
            <w:tcW w:w="616" w:type="dxa"/>
            <w:tcBorders>
              <w:top w:val="nil"/>
              <w:left w:val="nil"/>
              <w:bottom w:val="nil"/>
              <w:right w:val="nil"/>
            </w:tcBorders>
            <w:shd w:val="clear" w:color="000000" w:fill="FFFFFF"/>
            <w:noWrap/>
            <w:hideMark/>
          </w:tcPr>
          <w:p w14:paraId="39C14D0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0.089 </w:t>
            </w:r>
          </w:p>
        </w:tc>
        <w:tc>
          <w:tcPr>
            <w:tcW w:w="648" w:type="dxa"/>
            <w:tcBorders>
              <w:top w:val="nil"/>
              <w:left w:val="nil"/>
              <w:bottom w:val="nil"/>
              <w:right w:val="nil"/>
            </w:tcBorders>
            <w:shd w:val="clear" w:color="000000" w:fill="FFFFFF"/>
            <w:noWrap/>
            <w:hideMark/>
          </w:tcPr>
          <w:p w14:paraId="47B3FAA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0.058 </w:t>
            </w:r>
          </w:p>
        </w:tc>
      </w:tr>
      <w:tr w:rsidR="00501715" w:rsidRPr="00C76E19" w14:paraId="4431982B" w14:textId="77777777" w:rsidTr="00BE2966">
        <w:trPr>
          <w:trHeight w:val="320"/>
        </w:trPr>
        <w:tc>
          <w:tcPr>
            <w:tcW w:w="2311" w:type="dxa"/>
            <w:tcBorders>
              <w:top w:val="nil"/>
              <w:left w:val="nil"/>
              <w:bottom w:val="nil"/>
              <w:right w:val="nil"/>
            </w:tcBorders>
            <w:shd w:val="clear" w:color="000000" w:fill="FFFFFF"/>
            <w:noWrap/>
            <w:hideMark/>
          </w:tcPr>
          <w:p w14:paraId="222476A0" w14:textId="77777777" w:rsidR="00501715" w:rsidRPr="00AE2A93" w:rsidRDefault="00501715"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End ileum + upper digestive tract</w:t>
            </w:r>
          </w:p>
        </w:tc>
        <w:tc>
          <w:tcPr>
            <w:tcW w:w="910" w:type="dxa"/>
            <w:tcBorders>
              <w:top w:val="nil"/>
              <w:left w:val="nil"/>
              <w:bottom w:val="nil"/>
              <w:right w:val="nil"/>
            </w:tcBorders>
            <w:shd w:val="clear" w:color="000000" w:fill="FFFFFF"/>
            <w:noWrap/>
            <w:hideMark/>
          </w:tcPr>
          <w:p w14:paraId="7174A0F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6" w:type="dxa"/>
            <w:tcBorders>
              <w:top w:val="nil"/>
              <w:left w:val="nil"/>
              <w:bottom w:val="nil"/>
              <w:right w:val="nil"/>
            </w:tcBorders>
            <w:shd w:val="clear" w:color="000000" w:fill="FFFFFF"/>
            <w:noWrap/>
            <w:hideMark/>
          </w:tcPr>
          <w:p w14:paraId="225153F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7" w:type="dxa"/>
            <w:tcBorders>
              <w:top w:val="nil"/>
              <w:left w:val="nil"/>
              <w:bottom w:val="nil"/>
              <w:right w:val="nil"/>
            </w:tcBorders>
            <w:shd w:val="clear" w:color="000000" w:fill="FFFFFF"/>
            <w:noWrap/>
            <w:hideMark/>
          </w:tcPr>
          <w:p w14:paraId="25100CC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2" w:type="dxa"/>
            <w:tcBorders>
              <w:top w:val="nil"/>
              <w:left w:val="nil"/>
              <w:bottom w:val="nil"/>
              <w:right w:val="nil"/>
            </w:tcBorders>
            <w:shd w:val="clear" w:color="000000" w:fill="FFFFFF"/>
            <w:noWrap/>
            <w:hideMark/>
          </w:tcPr>
          <w:p w14:paraId="73C69EB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25C367FD"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430706D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291</w:t>
            </w:r>
          </w:p>
        </w:tc>
        <w:tc>
          <w:tcPr>
            <w:tcW w:w="865" w:type="dxa"/>
            <w:tcBorders>
              <w:top w:val="nil"/>
              <w:left w:val="nil"/>
              <w:bottom w:val="nil"/>
              <w:right w:val="nil"/>
            </w:tcBorders>
            <w:shd w:val="clear" w:color="000000" w:fill="FFFFFF"/>
            <w:noWrap/>
            <w:hideMark/>
          </w:tcPr>
          <w:p w14:paraId="7F9E5A2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0.222 </w:t>
            </w:r>
          </w:p>
        </w:tc>
        <w:tc>
          <w:tcPr>
            <w:tcW w:w="596" w:type="dxa"/>
            <w:tcBorders>
              <w:top w:val="nil"/>
              <w:left w:val="nil"/>
              <w:bottom w:val="nil"/>
              <w:right w:val="nil"/>
            </w:tcBorders>
            <w:shd w:val="clear" w:color="000000" w:fill="FFFFFF"/>
            <w:noWrap/>
            <w:hideMark/>
          </w:tcPr>
          <w:p w14:paraId="78F60B5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-0.359 </w:t>
            </w:r>
          </w:p>
        </w:tc>
        <w:tc>
          <w:tcPr>
            <w:tcW w:w="580" w:type="dxa"/>
            <w:tcBorders>
              <w:top w:val="nil"/>
              <w:left w:val="nil"/>
              <w:bottom w:val="nil"/>
              <w:right w:val="nil"/>
            </w:tcBorders>
            <w:shd w:val="clear" w:color="000000" w:fill="FFFFFF"/>
            <w:noWrap/>
            <w:hideMark/>
          </w:tcPr>
          <w:p w14:paraId="121D319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0.731 </w:t>
            </w:r>
          </w:p>
        </w:tc>
        <w:tc>
          <w:tcPr>
            <w:tcW w:w="648" w:type="dxa"/>
            <w:tcBorders>
              <w:top w:val="nil"/>
              <w:left w:val="nil"/>
              <w:bottom w:val="nil"/>
              <w:right w:val="nil"/>
            </w:tcBorders>
            <w:shd w:val="clear" w:color="000000" w:fill="FFFFFF"/>
            <w:noWrap/>
            <w:hideMark/>
          </w:tcPr>
          <w:p w14:paraId="0505326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0.421 </w:t>
            </w:r>
          </w:p>
        </w:tc>
        <w:tc>
          <w:tcPr>
            <w:tcW w:w="909" w:type="dxa"/>
            <w:tcBorders>
              <w:top w:val="nil"/>
              <w:left w:val="nil"/>
              <w:bottom w:val="nil"/>
              <w:right w:val="nil"/>
            </w:tcBorders>
            <w:shd w:val="clear" w:color="000000" w:fill="FFFFFF"/>
            <w:noWrap/>
            <w:hideMark/>
          </w:tcPr>
          <w:p w14:paraId="0C64C33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10A0ED2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08B65CB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570F9BC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0CD78C64"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5A2F9D27" w14:textId="77777777" w:rsidTr="00383B79">
        <w:trPr>
          <w:trHeight w:val="320"/>
        </w:trPr>
        <w:tc>
          <w:tcPr>
            <w:tcW w:w="2311" w:type="dxa"/>
            <w:tcBorders>
              <w:top w:val="nil"/>
              <w:left w:val="nil"/>
              <w:right w:val="nil"/>
            </w:tcBorders>
            <w:shd w:val="clear" w:color="000000" w:fill="FFFFFF"/>
            <w:noWrap/>
            <w:hideMark/>
          </w:tcPr>
          <w:p w14:paraId="3DA77A2B" w14:textId="77777777" w:rsidR="00501715" w:rsidRPr="00AE2A93" w:rsidRDefault="00501715"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Ileocolon + upper digestive tract</w:t>
            </w:r>
          </w:p>
        </w:tc>
        <w:tc>
          <w:tcPr>
            <w:tcW w:w="910" w:type="dxa"/>
            <w:tcBorders>
              <w:top w:val="nil"/>
              <w:left w:val="nil"/>
              <w:right w:val="nil"/>
            </w:tcBorders>
            <w:shd w:val="clear" w:color="000000" w:fill="FFFFFF"/>
            <w:noWrap/>
            <w:hideMark/>
          </w:tcPr>
          <w:p w14:paraId="5FD2CA4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238</w:t>
            </w:r>
          </w:p>
        </w:tc>
        <w:tc>
          <w:tcPr>
            <w:tcW w:w="866" w:type="dxa"/>
            <w:tcBorders>
              <w:top w:val="nil"/>
              <w:left w:val="nil"/>
              <w:right w:val="nil"/>
            </w:tcBorders>
            <w:shd w:val="clear" w:color="000000" w:fill="FFFFFF"/>
            <w:noWrap/>
            <w:hideMark/>
          </w:tcPr>
          <w:p w14:paraId="34A6E8D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0.502 </w:t>
            </w:r>
          </w:p>
        </w:tc>
        <w:tc>
          <w:tcPr>
            <w:tcW w:w="597" w:type="dxa"/>
            <w:tcBorders>
              <w:top w:val="nil"/>
              <w:left w:val="nil"/>
              <w:right w:val="nil"/>
            </w:tcBorders>
            <w:shd w:val="clear" w:color="000000" w:fill="FFFFFF"/>
            <w:noWrap/>
            <w:hideMark/>
          </w:tcPr>
          <w:p w14:paraId="023FAB9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0.162 </w:t>
            </w:r>
          </w:p>
        </w:tc>
        <w:tc>
          <w:tcPr>
            <w:tcW w:w="592" w:type="dxa"/>
            <w:tcBorders>
              <w:top w:val="nil"/>
              <w:left w:val="nil"/>
              <w:right w:val="nil"/>
            </w:tcBorders>
            <w:shd w:val="clear" w:color="000000" w:fill="FFFFFF"/>
            <w:noWrap/>
            <w:hideMark/>
          </w:tcPr>
          <w:p w14:paraId="5FA79D9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0.825 </w:t>
            </w:r>
          </w:p>
        </w:tc>
        <w:tc>
          <w:tcPr>
            <w:tcW w:w="648" w:type="dxa"/>
            <w:tcBorders>
              <w:top w:val="nil"/>
              <w:left w:val="nil"/>
              <w:right w:val="nil"/>
            </w:tcBorders>
            <w:shd w:val="clear" w:color="000000" w:fill="FFFFFF"/>
            <w:noWrap/>
            <w:hideMark/>
          </w:tcPr>
          <w:p w14:paraId="3C56B2B5" w14:textId="3A8623E5"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0.003</w:t>
            </w:r>
            <w:r w:rsidR="00BE2966" w:rsidRPr="00AE2A93">
              <w:rPr>
                <w:rFonts w:ascii="Book Antiqua" w:hAnsi="Book Antiqua"/>
                <w:color w:val="000000"/>
                <w:vertAlign w:val="superscript"/>
              </w:rPr>
              <w:t>b</w:t>
            </w:r>
            <w:r w:rsidRPr="00AE2A93">
              <w:rPr>
                <w:rFonts w:ascii="Book Antiqua" w:hAnsi="Book Antiqua"/>
                <w:color w:val="000000"/>
              </w:rPr>
              <w:t xml:space="preserve"> </w:t>
            </w:r>
          </w:p>
        </w:tc>
        <w:tc>
          <w:tcPr>
            <w:tcW w:w="909" w:type="dxa"/>
            <w:tcBorders>
              <w:top w:val="nil"/>
              <w:left w:val="nil"/>
              <w:right w:val="nil"/>
            </w:tcBorders>
            <w:shd w:val="clear" w:color="000000" w:fill="FFFFFF"/>
            <w:noWrap/>
            <w:hideMark/>
          </w:tcPr>
          <w:p w14:paraId="16C493C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291</w:t>
            </w:r>
          </w:p>
        </w:tc>
        <w:tc>
          <w:tcPr>
            <w:tcW w:w="865" w:type="dxa"/>
            <w:tcBorders>
              <w:top w:val="nil"/>
              <w:left w:val="nil"/>
              <w:right w:val="nil"/>
            </w:tcBorders>
            <w:shd w:val="clear" w:color="000000" w:fill="FFFFFF"/>
            <w:noWrap/>
            <w:hideMark/>
          </w:tcPr>
          <w:p w14:paraId="0E65CE8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0.253 </w:t>
            </w:r>
          </w:p>
        </w:tc>
        <w:tc>
          <w:tcPr>
            <w:tcW w:w="596" w:type="dxa"/>
            <w:tcBorders>
              <w:top w:val="nil"/>
              <w:left w:val="nil"/>
              <w:right w:val="nil"/>
            </w:tcBorders>
            <w:shd w:val="clear" w:color="000000" w:fill="FFFFFF"/>
            <w:noWrap/>
            <w:hideMark/>
          </w:tcPr>
          <w:p w14:paraId="72AFC77C"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-0.218 </w:t>
            </w:r>
          </w:p>
        </w:tc>
        <w:tc>
          <w:tcPr>
            <w:tcW w:w="580" w:type="dxa"/>
            <w:tcBorders>
              <w:top w:val="nil"/>
              <w:left w:val="nil"/>
              <w:right w:val="nil"/>
            </w:tcBorders>
            <w:shd w:val="clear" w:color="000000" w:fill="FFFFFF"/>
            <w:noWrap/>
            <w:hideMark/>
          </w:tcPr>
          <w:p w14:paraId="5C84C8B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0.670 </w:t>
            </w:r>
          </w:p>
        </w:tc>
        <w:tc>
          <w:tcPr>
            <w:tcW w:w="648" w:type="dxa"/>
            <w:tcBorders>
              <w:top w:val="nil"/>
              <w:left w:val="nil"/>
              <w:right w:val="nil"/>
            </w:tcBorders>
            <w:shd w:val="clear" w:color="000000" w:fill="FFFFFF"/>
            <w:noWrap/>
            <w:hideMark/>
          </w:tcPr>
          <w:p w14:paraId="6D15319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0.263 </w:t>
            </w:r>
          </w:p>
        </w:tc>
        <w:tc>
          <w:tcPr>
            <w:tcW w:w="909" w:type="dxa"/>
            <w:tcBorders>
              <w:top w:val="nil"/>
              <w:left w:val="nil"/>
              <w:right w:val="nil"/>
            </w:tcBorders>
            <w:shd w:val="clear" w:color="000000" w:fill="FFFFFF"/>
            <w:noWrap/>
            <w:hideMark/>
          </w:tcPr>
          <w:p w14:paraId="2B63A71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right w:val="nil"/>
            </w:tcBorders>
            <w:shd w:val="clear" w:color="000000" w:fill="FFFFFF"/>
            <w:noWrap/>
            <w:hideMark/>
          </w:tcPr>
          <w:p w14:paraId="290D494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right w:val="nil"/>
            </w:tcBorders>
            <w:shd w:val="clear" w:color="000000" w:fill="FFFFFF"/>
            <w:noWrap/>
            <w:hideMark/>
          </w:tcPr>
          <w:p w14:paraId="7DC156F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right w:val="nil"/>
            </w:tcBorders>
            <w:shd w:val="clear" w:color="000000" w:fill="FFFFFF"/>
            <w:noWrap/>
            <w:hideMark/>
          </w:tcPr>
          <w:p w14:paraId="7D3380E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right w:val="nil"/>
            </w:tcBorders>
            <w:shd w:val="clear" w:color="000000" w:fill="FFFFFF"/>
            <w:noWrap/>
            <w:hideMark/>
          </w:tcPr>
          <w:p w14:paraId="3BE4F8F5"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32FBC4E6" w14:textId="77777777" w:rsidTr="00BE2966">
        <w:trPr>
          <w:trHeight w:val="320"/>
        </w:trPr>
        <w:tc>
          <w:tcPr>
            <w:tcW w:w="2311" w:type="dxa"/>
            <w:tcBorders>
              <w:top w:val="nil"/>
              <w:left w:val="nil"/>
              <w:bottom w:val="nil"/>
              <w:right w:val="nil"/>
            </w:tcBorders>
            <w:shd w:val="clear" w:color="000000" w:fill="FFFFFF"/>
            <w:noWrap/>
            <w:hideMark/>
          </w:tcPr>
          <w:p w14:paraId="6FACCC5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History of CD-related complications </w:t>
            </w:r>
          </w:p>
        </w:tc>
        <w:tc>
          <w:tcPr>
            <w:tcW w:w="910" w:type="dxa"/>
            <w:tcBorders>
              <w:top w:val="nil"/>
              <w:left w:val="nil"/>
              <w:bottom w:val="nil"/>
              <w:right w:val="nil"/>
            </w:tcBorders>
            <w:shd w:val="clear" w:color="000000" w:fill="FFFFFF"/>
            <w:noWrap/>
            <w:hideMark/>
          </w:tcPr>
          <w:p w14:paraId="463F897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6" w:type="dxa"/>
            <w:tcBorders>
              <w:top w:val="nil"/>
              <w:left w:val="nil"/>
              <w:bottom w:val="nil"/>
              <w:right w:val="nil"/>
            </w:tcBorders>
            <w:shd w:val="clear" w:color="000000" w:fill="FFFFFF"/>
            <w:noWrap/>
            <w:hideMark/>
          </w:tcPr>
          <w:p w14:paraId="0E893D7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7" w:type="dxa"/>
            <w:tcBorders>
              <w:top w:val="nil"/>
              <w:left w:val="nil"/>
              <w:bottom w:val="nil"/>
              <w:right w:val="nil"/>
            </w:tcBorders>
            <w:shd w:val="clear" w:color="000000" w:fill="FFFFFF"/>
            <w:noWrap/>
            <w:hideMark/>
          </w:tcPr>
          <w:p w14:paraId="4207267D"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2" w:type="dxa"/>
            <w:tcBorders>
              <w:top w:val="nil"/>
              <w:left w:val="nil"/>
              <w:bottom w:val="nil"/>
              <w:right w:val="nil"/>
            </w:tcBorders>
            <w:shd w:val="clear" w:color="000000" w:fill="FFFFFF"/>
            <w:noWrap/>
            <w:hideMark/>
          </w:tcPr>
          <w:p w14:paraId="275C6EB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20102C23"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0EE11AE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6CD0CD6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2164D3F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3423913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53864AC3"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26924FD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560EC96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1051080D"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0FAEA4D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39F62525"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6BC9D29A" w14:textId="77777777" w:rsidTr="00BE2966">
        <w:trPr>
          <w:trHeight w:val="320"/>
        </w:trPr>
        <w:tc>
          <w:tcPr>
            <w:tcW w:w="2311" w:type="dxa"/>
            <w:tcBorders>
              <w:top w:val="nil"/>
              <w:left w:val="nil"/>
              <w:bottom w:val="nil"/>
              <w:right w:val="nil"/>
            </w:tcBorders>
            <w:shd w:val="clear" w:color="000000" w:fill="FFFFFF"/>
            <w:noWrap/>
            <w:hideMark/>
          </w:tcPr>
          <w:p w14:paraId="7FBD77D4" w14:textId="77777777" w:rsidR="00501715" w:rsidRPr="00AE2A93" w:rsidRDefault="00501715"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Pyloric obstruction</w:t>
            </w:r>
          </w:p>
        </w:tc>
        <w:tc>
          <w:tcPr>
            <w:tcW w:w="910" w:type="dxa"/>
            <w:tcBorders>
              <w:top w:val="nil"/>
              <w:left w:val="nil"/>
              <w:bottom w:val="nil"/>
              <w:right w:val="nil"/>
            </w:tcBorders>
            <w:shd w:val="clear" w:color="000000" w:fill="FFFFFF"/>
            <w:noWrap/>
            <w:hideMark/>
          </w:tcPr>
          <w:p w14:paraId="4067FD4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238</w:t>
            </w:r>
          </w:p>
        </w:tc>
        <w:tc>
          <w:tcPr>
            <w:tcW w:w="866" w:type="dxa"/>
            <w:tcBorders>
              <w:top w:val="nil"/>
              <w:left w:val="nil"/>
              <w:bottom w:val="nil"/>
              <w:right w:val="nil"/>
            </w:tcBorders>
            <w:shd w:val="clear" w:color="000000" w:fill="FFFFFF"/>
            <w:noWrap/>
            <w:hideMark/>
          </w:tcPr>
          <w:p w14:paraId="706BA1A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-0.247 </w:t>
            </w:r>
          </w:p>
        </w:tc>
        <w:tc>
          <w:tcPr>
            <w:tcW w:w="597" w:type="dxa"/>
            <w:tcBorders>
              <w:top w:val="nil"/>
              <w:left w:val="nil"/>
              <w:bottom w:val="nil"/>
              <w:right w:val="nil"/>
            </w:tcBorders>
            <w:shd w:val="clear" w:color="000000" w:fill="FFFFFF"/>
            <w:noWrap/>
            <w:hideMark/>
          </w:tcPr>
          <w:p w14:paraId="6C251A8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-1.698 </w:t>
            </w:r>
          </w:p>
        </w:tc>
        <w:tc>
          <w:tcPr>
            <w:tcW w:w="592" w:type="dxa"/>
            <w:tcBorders>
              <w:top w:val="nil"/>
              <w:left w:val="nil"/>
              <w:bottom w:val="nil"/>
              <w:right w:val="nil"/>
            </w:tcBorders>
            <w:shd w:val="clear" w:color="000000" w:fill="FFFFFF"/>
            <w:noWrap/>
            <w:hideMark/>
          </w:tcPr>
          <w:p w14:paraId="6677499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0.815 </w:t>
            </w:r>
          </w:p>
        </w:tc>
        <w:tc>
          <w:tcPr>
            <w:tcW w:w="648" w:type="dxa"/>
            <w:tcBorders>
              <w:top w:val="nil"/>
              <w:left w:val="nil"/>
              <w:bottom w:val="nil"/>
              <w:right w:val="nil"/>
            </w:tcBorders>
            <w:shd w:val="clear" w:color="000000" w:fill="FFFFFF"/>
            <w:noWrap/>
            <w:hideMark/>
          </w:tcPr>
          <w:p w14:paraId="094F07A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0.690 </w:t>
            </w:r>
          </w:p>
        </w:tc>
        <w:tc>
          <w:tcPr>
            <w:tcW w:w="909" w:type="dxa"/>
            <w:tcBorders>
              <w:top w:val="nil"/>
              <w:left w:val="nil"/>
              <w:bottom w:val="nil"/>
              <w:right w:val="nil"/>
            </w:tcBorders>
            <w:shd w:val="clear" w:color="000000" w:fill="FFFFFF"/>
            <w:noWrap/>
            <w:hideMark/>
          </w:tcPr>
          <w:p w14:paraId="6097920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291</w:t>
            </w:r>
          </w:p>
        </w:tc>
        <w:tc>
          <w:tcPr>
            <w:tcW w:w="865" w:type="dxa"/>
            <w:tcBorders>
              <w:top w:val="nil"/>
              <w:left w:val="nil"/>
              <w:bottom w:val="nil"/>
              <w:right w:val="nil"/>
            </w:tcBorders>
            <w:shd w:val="clear" w:color="000000" w:fill="FFFFFF"/>
            <w:noWrap/>
            <w:hideMark/>
          </w:tcPr>
          <w:p w14:paraId="31CA7F9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0.819 </w:t>
            </w:r>
          </w:p>
        </w:tc>
        <w:tc>
          <w:tcPr>
            <w:tcW w:w="596" w:type="dxa"/>
            <w:tcBorders>
              <w:top w:val="nil"/>
              <w:left w:val="nil"/>
              <w:bottom w:val="nil"/>
              <w:right w:val="nil"/>
            </w:tcBorders>
            <w:shd w:val="clear" w:color="000000" w:fill="FFFFFF"/>
            <w:noWrap/>
            <w:hideMark/>
          </w:tcPr>
          <w:p w14:paraId="408CDA2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0.080 </w:t>
            </w:r>
          </w:p>
        </w:tc>
        <w:tc>
          <w:tcPr>
            <w:tcW w:w="580" w:type="dxa"/>
            <w:tcBorders>
              <w:top w:val="nil"/>
              <w:left w:val="nil"/>
              <w:bottom w:val="nil"/>
              <w:right w:val="nil"/>
            </w:tcBorders>
            <w:shd w:val="clear" w:color="000000" w:fill="FFFFFF"/>
            <w:noWrap/>
            <w:hideMark/>
          </w:tcPr>
          <w:p w14:paraId="769918E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1.450 </w:t>
            </w:r>
          </w:p>
        </w:tc>
        <w:tc>
          <w:tcPr>
            <w:tcW w:w="648" w:type="dxa"/>
            <w:tcBorders>
              <w:top w:val="nil"/>
              <w:left w:val="nil"/>
              <w:bottom w:val="nil"/>
              <w:right w:val="nil"/>
            </w:tcBorders>
            <w:shd w:val="clear" w:color="000000" w:fill="FFFFFF"/>
            <w:noWrap/>
            <w:hideMark/>
          </w:tcPr>
          <w:p w14:paraId="6A5C3100" w14:textId="4ACF9878"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0.018</w:t>
            </w:r>
            <w:r w:rsidR="00BE2966" w:rsidRPr="00AE2A93">
              <w:rPr>
                <w:rFonts w:ascii="Book Antiqua" w:hAnsi="Book Antiqua"/>
                <w:color w:val="000000"/>
                <w:vertAlign w:val="superscript"/>
              </w:rPr>
              <w:t>a</w:t>
            </w:r>
            <w:r w:rsidRPr="00AE2A93">
              <w:rPr>
                <w:rFonts w:ascii="Book Antiqua" w:hAnsi="Book Antiqua"/>
                <w:color w:val="000000"/>
              </w:rPr>
              <w:t xml:space="preserve"> </w:t>
            </w:r>
          </w:p>
        </w:tc>
        <w:tc>
          <w:tcPr>
            <w:tcW w:w="909" w:type="dxa"/>
            <w:tcBorders>
              <w:top w:val="nil"/>
              <w:left w:val="nil"/>
              <w:bottom w:val="nil"/>
              <w:right w:val="nil"/>
            </w:tcBorders>
            <w:shd w:val="clear" w:color="000000" w:fill="FFFFFF"/>
            <w:noWrap/>
            <w:hideMark/>
          </w:tcPr>
          <w:p w14:paraId="79D3C9C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4CF1F30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79050B8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519794B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3F319264"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613C3F30" w14:textId="77777777" w:rsidTr="00BE2966">
        <w:trPr>
          <w:trHeight w:val="320"/>
        </w:trPr>
        <w:tc>
          <w:tcPr>
            <w:tcW w:w="2311" w:type="dxa"/>
            <w:tcBorders>
              <w:top w:val="nil"/>
              <w:left w:val="nil"/>
              <w:bottom w:val="nil"/>
              <w:right w:val="nil"/>
            </w:tcBorders>
            <w:shd w:val="clear" w:color="000000" w:fill="FFFFFF"/>
            <w:noWrap/>
            <w:hideMark/>
          </w:tcPr>
          <w:p w14:paraId="38A15AB4" w14:textId="77777777" w:rsidR="00501715" w:rsidRPr="00AE2A93" w:rsidRDefault="00501715"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Intestinal fistula</w:t>
            </w:r>
          </w:p>
        </w:tc>
        <w:tc>
          <w:tcPr>
            <w:tcW w:w="910" w:type="dxa"/>
            <w:tcBorders>
              <w:top w:val="nil"/>
              <w:left w:val="nil"/>
              <w:bottom w:val="nil"/>
              <w:right w:val="nil"/>
            </w:tcBorders>
            <w:shd w:val="clear" w:color="000000" w:fill="FFFFFF"/>
            <w:noWrap/>
            <w:hideMark/>
          </w:tcPr>
          <w:p w14:paraId="031912F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238</w:t>
            </w:r>
          </w:p>
        </w:tc>
        <w:tc>
          <w:tcPr>
            <w:tcW w:w="866" w:type="dxa"/>
            <w:tcBorders>
              <w:top w:val="nil"/>
              <w:left w:val="nil"/>
              <w:bottom w:val="nil"/>
              <w:right w:val="nil"/>
            </w:tcBorders>
            <w:shd w:val="clear" w:color="000000" w:fill="FFFFFF"/>
            <w:noWrap/>
            <w:hideMark/>
          </w:tcPr>
          <w:p w14:paraId="73F8D7D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0.028 </w:t>
            </w:r>
          </w:p>
        </w:tc>
        <w:tc>
          <w:tcPr>
            <w:tcW w:w="597" w:type="dxa"/>
            <w:tcBorders>
              <w:top w:val="nil"/>
              <w:left w:val="nil"/>
              <w:bottom w:val="nil"/>
              <w:right w:val="nil"/>
            </w:tcBorders>
            <w:shd w:val="clear" w:color="000000" w:fill="FFFFFF"/>
            <w:noWrap/>
            <w:hideMark/>
          </w:tcPr>
          <w:p w14:paraId="2C7DD5C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-0.272 </w:t>
            </w:r>
          </w:p>
        </w:tc>
        <w:tc>
          <w:tcPr>
            <w:tcW w:w="592" w:type="dxa"/>
            <w:tcBorders>
              <w:top w:val="nil"/>
              <w:left w:val="nil"/>
              <w:bottom w:val="nil"/>
              <w:right w:val="nil"/>
            </w:tcBorders>
            <w:shd w:val="clear" w:color="000000" w:fill="FFFFFF"/>
            <w:noWrap/>
            <w:hideMark/>
          </w:tcPr>
          <w:p w14:paraId="727E654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0.312 </w:t>
            </w:r>
          </w:p>
        </w:tc>
        <w:tc>
          <w:tcPr>
            <w:tcW w:w="648" w:type="dxa"/>
            <w:tcBorders>
              <w:top w:val="nil"/>
              <w:left w:val="nil"/>
              <w:bottom w:val="nil"/>
              <w:right w:val="nil"/>
            </w:tcBorders>
            <w:shd w:val="clear" w:color="000000" w:fill="FFFFFF"/>
            <w:noWrap/>
            <w:hideMark/>
          </w:tcPr>
          <w:p w14:paraId="7600C4B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0.850 </w:t>
            </w:r>
          </w:p>
        </w:tc>
        <w:tc>
          <w:tcPr>
            <w:tcW w:w="909" w:type="dxa"/>
            <w:tcBorders>
              <w:top w:val="nil"/>
              <w:left w:val="nil"/>
              <w:bottom w:val="nil"/>
              <w:right w:val="nil"/>
            </w:tcBorders>
            <w:shd w:val="clear" w:color="000000" w:fill="FFFFFF"/>
            <w:noWrap/>
            <w:hideMark/>
          </w:tcPr>
          <w:p w14:paraId="643906E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7AC9EE8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2FD1B15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1A8D959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44B0E87F"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532D2F8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078675E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4C665A3D"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0DA0B3E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69223AF2"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220C03E6" w14:textId="77777777" w:rsidTr="00BE2966">
        <w:trPr>
          <w:trHeight w:val="320"/>
        </w:trPr>
        <w:tc>
          <w:tcPr>
            <w:tcW w:w="2311" w:type="dxa"/>
            <w:tcBorders>
              <w:top w:val="nil"/>
              <w:left w:val="nil"/>
              <w:bottom w:val="nil"/>
              <w:right w:val="nil"/>
            </w:tcBorders>
            <w:shd w:val="clear" w:color="000000" w:fill="FFFFFF"/>
            <w:noWrap/>
            <w:hideMark/>
          </w:tcPr>
          <w:p w14:paraId="5F50F624" w14:textId="0B0D348F" w:rsidR="00501715" w:rsidRPr="00AE2A93" w:rsidRDefault="00BE2966"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I</w:t>
            </w:r>
            <w:r w:rsidR="00501715" w:rsidRPr="00AE2A93">
              <w:rPr>
                <w:rFonts w:ascii="Book Antiqua" w:hAnsi="Book Antiqua"/>
                <w:color w:val="222222"/>
              </w:rPr>
              <w:t>ntestinal obstruction</w:t>
            </w:r>
          </w:p>
        </w:tc>
        <w:tc>
          <w:tcPr>
            <w:tcW w:w="910" w:type="dxa"/>
            <w:tcBorders>
              <w:top w:val="nil"/>
              <w:left w:val="nil"/>
              <w:bottom w:val="nil"/>
              <w:right w:val="nil"/>
            </w:tcBorders>
            <w:shd w:val="clear" w:color="000000" w:fill="FFFFFF"/>
            <w:noWrap/>
            <w:hideMark/>
          </w:tcPr>
          <w:p w14:paraId="4D9DBD6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238</w:t>
            </w:r>
          </w:p>
        </w:tc>
        <w:tc>
          <w:tcPr>
            <w:tcW w:w="866" w:type="dxa"/>
            <w:tcBorders>
              <w:top w:val="nil"/>
              <w:left w:val="nil"/>
              <w:bottom w:val="nil"/>
              <w:right w:val="nil"/>
            </w:tcBorders>
            <w:shd w:val="clear" w:color="000000" w:fill="FFFFFF"/>
            <w:noWrap/>
            <w:hideMark/>
          </w:tcPr>
          <w:p w14:paraId="377821E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0.372 </w:t>
            </w:r>
          </w:p>
        </w:tc>
        <w:tc>
          <w:tcPr>
            <w:tcW w:w="597" w:type="dxa"/>
            <w:tcBorders>
              <w:top w:val="nil"/>
              <w:left w:val="nil"/>
              <w:bottom w:val="nil"/>
              <w:right w:val="nil"/>
            </w:tcBorders>
            <w:shd w:val="clear" w:color="000000" w:fill="FFFFFF"/>
            <w:noWrap/>
            <w:hideMark/>
          </w:tcPr>
          <w:p w14:paraId="16B9CD6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0.183 </w:t>
            </w:r>
          </w:p>
        </w:tc>
        <w:tc>
          <w:tcPr>
            <w:tcW w:w="592" w:type="dxa"/>
            <w:tcBorders>
              <w:top w:val="nil"/>
              <w:left w:val="nil"/>
              <w:bottom w:val="nil"/>
              <w:right w:val="nil"/>
            </w:tcBorders>
            <w:shd w:val="clear" w:color="000000" w:fill="FFFFFF"/>
            <w:noWrap/>
            <w:hideMark/>
          </w:tcPr>
          <w:p w14:paraId="71098F2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0.555 </w:t>
            </w:r>
          </w:p>
        </w:tc>
        <w:tc>
          <w:tcPr>
            <w:tcW w:w="648" w:type="dxa"/>
            <w:tcBorders>
              <w:top w:val="nil"/>
              <w:left w:val="nil"/>
              <w:bottom w:val="nil"/>
              <w:right w:val="nil"/>
            </w:tcBorders>
            <w:shd w:val="clear" w:color="000000" w:fill="FFFFFF"/>
            <w:noWrap/>
            <w:hideMark/>
          </w:tcPr>
          <w:p w14:paraId="16C5C7D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0.000 </w:t>
            </w:r>
          </w:p>
        </w:tc>
        <w:tc>
          <w:tcPr>
            <w:tcW w:w="909" w:type="dxa"/>
            <w:tcBorders>
              <w:top w:val="nil"/>
              <w:left w:val="nil"/>
              <w:bottom w:val="nil"/>
              <w:right w:val="nil"/>
            </w:tcBorders>
            <w:shd w:val="clear" w:color="000000" w:fill="FFFFFF"/>
            <w:noWrap/>
            <w:hideMark/>
          </w:tcPr>
          <w:p w14:paraId="1639EC9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4736B2ED"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187B05E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429EB75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5DECCD43"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6000A2AC"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136D7FB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6AC98A8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50D3A72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62C105E5"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362EE435" w14:textId="77777777" w:rsidTr="00BE2966">
        <w:trPr>
          <w:trHeight w:val="320"/>
        </w:trPr>
        <w:tc>
          <w:tcPr>
            <w:tcW w:w="2311" w:type="dxa"/>
            <w:tcBorders>
              <w:top w:val="nil"/>
              <w:left w:val="nil"/>
              <w:bottom w:val="nil"/>
              <w:right w:val="nil"/>
            </w:tcBorders>
            <w:shd w:val="clear" w:color="000000" w:fill="FFFFFF"/>
            <w:noWrap/>
            <w:hideMark/>
          </w:tcPr>
          <w:p w14:paraId="41FE6300" w14:textId="77777777" w:rsidR="00501715" w:rsidRPr="00AE2A93" w:rsidRDefault="00501715"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Extraintestinal abscess</w:t>
            </w:r>
          </w:p>
        </w:tc>
        <w:tc>
          <w:tcPr>
            <w:tcW w:w="910" w:type="dxa"/>
            <w:tcBorders>
              <w:top w:val="nil"/>
              <w:left w:val="nil"/>
              <w:bottom w:val="nil"/>
              <w:right w:val="nil"/>
            </w:tcBorders>
            <w:shd w:val="clear" w:color="000000" w:fill="FFFFFF"/>
            <w:noWrap/>
            <w:hideMark/>
          </w:tcPr>
          <w:p w14:paraId="36EB999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6" w:type="dxa"/>
            <w:tcBorders>
              <w:top w:val="nil"/>
              <w:left w:val="nil"/>
              <w:bottom w:val="nil"/>
              <w:right w:val="nil"/>
            </w:tcBorders>
            <w:shd w:val="clear" w:color="000000" w:fill="FFFFFF"/>
            <w:noWrap/>
            <w:hideMark/>
          </w:tcPr>
          <w:p w14:paraId="076FF54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7" w:type="dxa"/>
            <w:tcBorders>
              <w:top w:val="nil"/>
              <w:left w:val="nil"/>
              <w:bottom w:val="nil"/>
              <w:right w:val="nil"/>
            </w:tcBorders>
            <w:shd w:val="clear" w:color="000000" w:fill="FFFFFF"/>
            <w:noWrap/>
            <w:hideMark/>
          </w:tcPr>
          <w:p w14:paraId="6D203EFC"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2" w:type="dxa"/>
            <w:tcBorders>
              <w:top w:val="nil"/>
              <w:left w:val="nil"/>
              <w:bottom w:val="nil"/>
              <w:right w:val="nil"/>
            </w:tcBorders>
            <w:shd w:val="clear" w:color="000000" w:fill="FFFFFF"/>
            <w:noWrap/>
            <w:hideMark/>
          </w:tcPr>
          <w:p w14:paraId="091D463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431C0280"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139AF2D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3A623A1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655BF32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138BF4BD"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7B38BAC4"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2B1ACD1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865" w:type="dxa"/>
            <w:tcBorders>
              <w:top w:val="nil"/>
              <w:left w:val="nil"/>
              <w:bottom w:val="nil"/>
              <w:right w:val="nil"/>
            </w:tcBorders>
            <w:shd w:val="clear" w:color="000000" w:fill="FFFFFF"/>
            <w:noWrap/>
            <w:hideMark/>
          </w:tcPr>
          <w:p w14:paraId="3E3A734C"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11.363 </w:t>
            </w:r>
          </w:p>
        </w:tc>
        <w:tc>
          <w:tcPr>
            <w:tcW w:w="616" w:type="dxa"/>
            <w:tcBorders>
              <w:top w:val="nil"/>
              <w:left w:val="nil"/>
              <w:bottom w:val="nil"/>
              <w:right w:val="nil"/>
            </w:tcBorders>
            <w:shd w:val="clear" w:color="000000" w:fill="FFFFFF"/>
            <w:noWrap/>
            <w:hideMark/>
          </w:tcPr>
          <w:p w14:paraId="63660E3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4.696 </w:t>
            </w:r>
          </w:p>
        </w:tc>
        <w:tc>
          <w:tcPr>
            <w:tcW w:w="616" w:type="dxa"/>
            <w:tcBorders>
              <w:top w:val="nil"/>
              <w:left w:val="nil"/>
              <w:bottom w:val="nil"/>
              <w:right w:val="nil"/>
            </w:tcBorders>
            <w:shd w:val="clear" w:color="000000" w:fill="FFFFFF"/>
            <w:noWrap/>
            <w:hideMark/>
          </w:tcPr>
          <w:p w14:paraId="5D3B30A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18.030 </w:t>
            </w:r>
          </w:p>
        </w:tc>
        <w:tc>
          <w:tcPr>
            <w:tcW w:w="648" w:type="dxa"/>
            <w:tcBorders>
              <w:top w:val="nil"/>
              <w:left w:val="nil"/>
              <w:bottom w:val="nil"/>
              <w:right w:val="nil"/>
            </w:tcBorders>
            <w:shd w:val="clear" w:color="000000" w:fill="FFFFFF"/>
            <w:noWrap/>
            <w:hideMark/>
          </w:tcPr>
          <w:p w14:paraId="42C5B7F4" w14:textId="2819DF31"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0.001</w:t>
            </w:r>
            <w:r w:rsidR="00BE2966" w:rsidRPr="00AE2A93">
              <w:rPr>
                <w:rFonts w:ascii="Book Antiqua" w:hAnsi="Book Antiqua"/>
                <w:color w:val="000000"/>
                <w:vertAlign w:val="superscript"/>
              </w:rPr>
              <w:t>b</w:t>
            </w:r>
            <w:r w:rsidRPr="00AE2A93">
              <w:rPr>
                <w:rFonts w:ascii="Book Antiqua" w:hAnsi="Book Antiqua"/>
                <w:color w:val="000000"/>
                <w:vertAlign w:val="superscript"/>
              </w:rPr>
              <w:t xml:space="preserve"> </w:t>
            </w:r>
          </w:p>
        </w:tc>
      </w:tr>
      <w:tr w:rsidR="00501715" w:rsidRPr="00C76E19" w14:paraId="16FDA90F" w14:textId="77777777" w:rsidTr="00BE2966">
        <w:trPr>
          <w:trHeight w:val="320"/>
        </w:trPr>
        <w:tc>
          <w:tcPr>
            <w:tcW w:w="2311" w:type="dxa"/>
            <w:tcBorders>
              <w:top w:val="nil"/>
              <w:left w:val="nil"/>
              <w:bottom w:val="nil"/>
              <w:right w:val="nil"/>
            </w:tcBorders>
            <w:shd w:val="clear" w:color="000000" w:fill="FFFFFF"/>
            <w:noWrap/>
            <w:hideMark/>
          </w:tcPr>
          <w:p w14:paraId="3FF5938E" w14:textId="77777777" w:rsidR="00501715" w:rsidRPr="00AE2A93" w:rsidRDefault="00501715"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Anal fistula</w:t>
            </w:r>
          </w:p>
        </w:tc>
        <w:tc>
          <w:tcPr>
            <w:tcW w:w="910" w:type="dxa"/>
            <w:tcBorders>
              <w:top w:val="nil"/>
              <w:left w:val="nil"/>
              <w:bottom w:val="nil"/>
              <w:right w:val="nil"/>
            </w:tcBorders>
            <w:shd w:val="clear" w:color="000000" w:fill="FFFFFF"/>
            <w:noWrap/>
            <w:hideMark/>
          </w:tcPr>
          <w:p w14:paraId="5D1C4A7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6" w:type="dxa"/>
            <w:tcBorders>
              <w:top w:val="nil"/>
              <w:left w:val="nil"/>
              <w:bottom w:val="nil"/>
              <w:right w:val="nil"/>
            </w:tcBorders>
            <w:shd w:val="clear" w:color="000000" w:fill="FFFFFF"/>
            <w:noWrap/>
            <w:hideMark/>
          </w:tcPr>
          <w:p w14:paraId="21619EA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7" w:type="dxa"/>
            <w:tcBorders>
              <w:top w:val="nil"/>
              <w:left w:val="nil"/>
              <w:bottom w:val="nil"/>
              <w:right w:val="nil"/>
            </w:tcBorders>
            <w:shd w:val="clear" w:color="000000" w:fill="FFFFFF"/>
            <w:noWrap/>
            <w:hideMark/>
          </w:tcPr>
          <w:p w14:paraId="390F79C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2" w:type="dxa"/>
            <w:tcBorders>
              <w:top w:val="nil"/>
              <w:left w:val="nil"/>
              <w:bottom w:val="nil"/>
              <w:right w:val="nil"/>
            </w:tcBorders>
            <w:shd w:val="clear" w:color="000000" w:fill="FFFFFF"/>
            <w:noWrap/>
            <w:hideMark/>
          </w:tcPr>
          <w:p w14:paraId="21C09C3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7535D5A6"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47C1C8BC"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291</w:t>
            </w:r>
          </w:p>
        </w:tc>
        <w:tc>
          <w:tcPr>
            <w:tcW w:w="865" w:type="dxa"/>
            <w:tcBorders>
              <w:top w:val="nil"/>
              <w:left w:val="nil"/>
              <w:bottom w:val="nil"/>
              <w:right w:val="nil"/>
            </w:tcBorders>
            <w:shd w:val="clear" w:color="000000" w:fill="FFFFFF"/>
            <w:noWrap/>
            <w:hideMark/>
          </w:tcPr>
          <w:p w14:paraId="703EAEF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0.241 </w:t>
            </w:r>
          </w:p>
        </w:tc>
        <w:tc>
          <w:tcPr>
            <w:tcW w:w="596" w:type="dxa"/>
            <w:tcBorders>
              <w:top w:val="nil"/>
              <w:left w:val="nil"/>
              <w:bottom w:val="nil"/>
              <w:right w:val="nil"/>
            </w:tcBorders>
            <w:shd w:val="clear" w:color="000000" w:fill="FFFFFF"/>
            <w:noWrap/>
            <w:hideMark/>
          </w:tcPr>
          <w:p w14:paraId="2FCAE4F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0.007 </w:t>
            </w:r>
          </w:p>
        </w:tc>
        <w:tc>
          <w:tcPr>
            <w:tcW w:w="580" w:type="dxa"/>
            <w:tcBorders>
              <w:top w:val="nil"/>
              <w:left w:val="nil"/>
              <w:bottom w:val="nil"/>
              <w:right w:val="nil"/>
            </w:tcBorders>
            <w:shd w:val="clear" w:color="000000" w:fill="FFFFFF"/>
            <w:noWrap/>
            <w:hideMark/>
          </w:tcPr>
          <w:p w14:paraId="15BEAA3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0.468 </w:t>
            </w:r>
          </w:p>
        </w:tc>
        <w:tc>
          <w:tcPr>
            <w:tcW w:w="648" w:type="dxa"/>
            <w:tcBorders>
              <w:top w:val="nil"/>
              <w:left w:val="nil"/>
              <w:bottom w:val="nil"/>
              <w:right w:val="nil"/>
            </w:tcBorders>
            <w:shd w:val="clear" w:color="000000" w:fill="FFFFFF"/>
            <w:noWrap/>
            <w:hideMark/>
          </w:tcPr>
          <w:p w14:paraId="4E954C62" w14:textId="03941C11"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0.040</w:t>
            </w:r>
            <w:r w:rsidR="00BE2966" w:rsidRPr="00AE2A93">
              <w:rPr>
                <w:rFonts w:ascii="Book Antiqua" w:hAnsi="Book Antiqua"/>
                <w:color w:val="000000"/>
                <w:vertAlign w:val="superscript"/>
              </w:rPr>
              <w:t>a</w:t>
            </w:r>
            <w:r w:rsidRPr="00AE2A93">
              <w:rPr>
                <w:rFonts w:ascii="Book Antiqua" w:hAnsi="Book Antiqua"/>
                <w:color w:val="000000"/>
              </w:rPr>
              <w:t xml:space="preserve"> </w:t>
            </w:r>
          </w:p>
        </w:tc>
        <w:tc>
          <w:tcPr>
            <w:tcW w:w="909" w:type="dxa"/>
            <w:tcBorders>
              <w:top w:val="nil"/>
              <w:left w:val="nil"/>
              <w:bottom w:val="nil"/>
              <w:right w:val="nil"/>
            </w:tcBorders>
            <w:shd w:val="clear" w:color="000000" w:fill="FFFFFF"/>
            <w:noWrap/>
            <w:hideMark/>
          </w:tcPr>
          <w:p w14:paraId="2DC00F9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865" w:type="dxa"/>
            <w:tcBorders>
              <w:top w:val="nil"/>
              <w:left w:val="nil"/>
              <w:bottom w:val="nil"/>
              <w:right w:val="nil"/>
            </w:tcBorders>
            <w:shd w:val="clear" w:color="000000" w:fill="FFFFFF"/>
            <w:noWrap/>
            <w:hideMark/>
          </w:tcPr>
          <w:p w14:paraId="3C2292B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-0.316 </w:t>
            </w:r>
          </w:p>
        </w:tc>
        <w:tc>
          <w:tcPr>
            <w:tcW w:w="616" w:type="dxa"/>
            <w:tcBorders>
              <w:top w:val="nil"/>
              <w:left w:val="nil"/>
              <w:bottom w:val="nil"/>
              <w:right w:val="nil"/>
            </w:tcBorders>
            <w:shd w:val="clear" w:color="000000" w:fill="FFFFFF"/>
            <w:noWrap/>
            <w:hideMark/>
          </w:tcPr>
          <w:p w14:paraId="1563F45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-2.710 </w:t>
            </w:r>
          </w:p>
        </w:tc>
        <w:tc>
          <w:tcPr>
            <w:tcW w:w="616" w:type="dxa"/>
            <w:tcBorders>
              <w:top w:val="nil"/>
              <w:left w:val="nil"/>
              <w:bottom w:val="nil"/>
              <w:right w:val="nil"/>
            </w:tcBorders>
            <w:shd w:val="clear" w:color="000000" w:fill="FFFFFF"/>
            <w:noWrap/>
            <w:hideMark/>
          </w:tcPr>
          <w:p w14:paraId="36A1705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2.078 </w:t>
            </w:r>
          </w:p>
        </w:tc>
        <w:tc>
          <w:tcPr>
            <w:tcW w:w="648" w:type="dxa"/>
            <w:tcBorders>
              <w:top w:val="nil"/>
              <w:left w:val="nil"/>
              <w:bottom w:val="nil"/>
              <w:right w:val="nil"/>
            </w:tcBorders>
            <w:shd w:val="clear" w:color="000000" w:fill="FFFFFF"/>
            <w:noWrap/>
            <w:hideMark/>
          </w:tcPr>
          <w:p w14:paraId="6A6099E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0.795 </w:t>
            </w:r>
          </w:p>
        </w:tc>
      </w:tr>
      <w:tr w:rsidR="00501715" w:rsidRPr="00C76E19" w14:paraId="0F0E55AD" w14:textId="77777777" w:rsidTr="00383B79">
        <w:trPr>
          <w:trHeight w:val="320"/>
        </w:trPr>
        <w:tc>
          <w:tcPr>
            <w:tcW w:w="2311" w:type="dxa"/>
            <w:tcBorders>
              <w:top w:val="nil"/>
              <w:left w:val="nil"/>
              <w:right w:val="nil"/>
            </w:tcBorders>
            <w:shd w:val="clear" w:color="000000" w:fill="FFFFFF"/>
            <w:noWrap/>
            <w:hideMark/>
          </w:tcPr>
          <w:p w14:paraId="1C4B7261" w14:textId="77777777" w:rsidR="00501715" w:rsidRPr="00AE2A93" w:rsidRDefault="00501715"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Perianal abscess</w:t>
            </w:r>
          </w:p>
        </w:tc>
        <w:tc>
          <w:tcPr>
            <w:tcW w:w="910" w:type="dxa"/>
            <w:tcBorders>
              <w:top w:val="nil"/>
              <w:left w:val="nil"/>
              <w:right w:val="nil"/>
            </w:tcBorders>
            <w:shd w:val="clear" w:color="000000" w:fill="FFFFFF"/>
            <w:noWrap/>
            <w:hideMark/>
          </w:tcPr>
          <w:p w14:paraId="5A206B8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6" w:type="dxa"/>
            <w:tcBorders>
              <w:top w:val="nil"/>
              <w:left w:val="nil"/>
              <w:right w:val="nil"/>
            </w:tcBorders>
            <w:shd w:val="clear" w:color="000000" w:fill="FFFFFF"/>
            <w:noWrap/>
            <w:hideMark/>
          </w:tcPr>
          <w:p w14:paraId="28C9894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7" w:type="dxa"/>
            <w:tcBorders>
              <w:top w:val="nil"/>
              <w:left w:val="nil"/>
              <w:right w:val="nil"/>
            </w:tcBorders>
            <w:shd w:val="clear" w:color="000000" w:fill="FFFFFF"/>
            <w:noWrap/>
            <w:hideMark/>
          </w:tcPr>
          <w:p w14:paraId="56A38EC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2" w:type="dxa"/>
            <w:tcBorders>
              <w:top w:val="nil"/>
              <w:left w:val="nil"/>
              <w:right w:val="nil"/>
            </w:tcBorders>
            <w:shd w:val="clear" w:color="000000" w:fill="FFFFFF"/>
            <w:noWrap/>
            <w:hideMark/>
          </w:tcPr>
          <w:p w14:paraId="5BAA48E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right w:val="nil"/>
            </w:tcBorders>
            <w:shd w:val="clear" w:color="000000" w:fill="FFFFFF"/>
            <w:noWrap/>
            <w:hideMark/>
          </w:tcPr>
          <w:p w14:paraId="2EBBBE7B"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right w:val="nil"/>
            </w:tcBorders>
            <w:shd w:val="clear" w:color="000000" w:fill="FFFFFF"/>
            <w:noWrap/>
            <w:hideMark/>
          </w:tcPr>
          <w:p w14:paraId="249ACD5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291</w:t>
            </w:r>
          </w:p>
        </w:tc>
        <w:tc>
          <w:tcPr>
            <w:tcW w:w="865" w:type="dxa"/>
            <w:tcBorders>
              <w:top w:val="nil"/>
              <w:left w:val="nil"/>
              <w:right w:val="nil"/>
            </w:tcBorders>
            <w:shd w:val="clear" w:color="000000" w:fill="FFFFFF"/>
            <w:noWrap/>
            <w:hideMark/>
          </w:tcPr>
          <w:p w14:paraId="61C55D9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0.150 </w:t>
            </w:r>
          </w:p>
        </w:tc>
        <w:tc>
          <w:tcPr>
            <w:tcW w:w="596" w:type="dxa"/>
            <w:tcBorders>
              <w:top w:val="nil"/>
              <w:left w:val="nil"/>
              <w:right w:val="nil"/>
            </w:tcBorders>
            <w:shd w:val="clear" w:color="000000" w:fill="FFFFFF"/>
            <w:noWrap/>
            <w:hideMark/>
          </w:tcPr>
          <w:p w14:paraId="6BA4973D"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-0.091 </w:t>
            </w:r>
          </w:p>
        </w:tc>
        <w:tc>
          <w:tcPr>
            <w:tcW w:w="580" w:type="dxa"/>
            <w:tcBorders>
              <w:top w:val="nil"/>
              <w:left w:val="nil"/>
              <w:right w:val="nil"/>
            </w:tcBorders>
            <w:shd w:val="clear" w:color="000000" w:fill="FFFFFF"/>
            <w:noWrap/>
            <w:hideMark/>
          </w:tcPr>
          <w:p w14:paraId="244AE52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0.383 </w:t>
            </w:r>
          </w:p>
        </w:tc>
        <w:tc>
          <w:tcPr>
            <w:tcW w:w="648" w:type="dxa"/>
            <w:tcBorders>
              <w:top w:val="nil"/>
              <w:left w:val="nil"/>
              <w:right w:val="nil"/>
            </w:tcBorders>
            <w:shd w:val="clear" w:color="000000" w:fill="FFFFFF"/>
            <w:noWrap/>
            <w:hideMark/>
          </w:tcPr>
          <w:p w14:paraId="684551C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0.214 </w:t>
            </w:r>
          </w:p>
        </w:tc>
        <w:tc>
          <w:tcPr>
            <w:tcW w:w="909" w:type="dxa"/>
            <w:tcBorders>
              <w:top w:val="nil"/>
              <w:left w:val="nil"/>
              <w:right w:val="nil"/>
            </w:tcBorders>
            <w:shd w:val="clear" w:color="000000" w:fill="FFFFFF"/>
            <w:noWrap/>
            <w:hideMark/>
          </w:tcPr>
          <w:p w14:paraId="64BCA35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right w:val="nil"/>
            </w:tcBorders>
            <w:shd w:val="clear" w:color="000000" w:fill="FFFFFF"/>
            <w:noWrap/>
            <w:hideMark/>
          </w:tcPr>
          <w:p w14:paraId="33D311A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right w:val="nil"/>
            </w:tcBorders>
            <w:shd w:val="clear" w:color="000000" w:fill="FFFFFF"/>
            <w:noWrap/>
            <w:hideMark/>
          </w:tcPr>
          <w:p w14:paraId="435A083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right w:val="nil"/>
            </w:tcBorders>
            <w:shd w:val="clear" w:color="000000" w:fill="FFFFFF"/>
            <w:noWrap/>
            <w:hideMark/>
          </w:tcPr>
          <w:p w14:paraId="6FFA152C"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right w:val="nil"/>
            </w:tcBorders>
            <w:shd w:val="clear" w:color="000000" w:fill="FFFFFF"/>
            <w:noWrap/>
            <w:hideMark/>
          </w:tcPr>
          <w:p w14:paraId="680B281A"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7DF84E07" w14:textId="77777777" w:rsidTr="00BE2966">
        <w:trPr>
          <w:trHeight w:val="320"/>
        </w:trPr>
        <w:tc>
          <w:tcPr>
            <w:tcW w:w="2311" w:type="dxa"/>
            <w:tcBorders>
              <w:top w:val="nil"/>
              <w:left w:val="nil"/>
              <w:bottom w:val="nil"/>
              <w:right w:val="nil"/>
            </w:tcBorders>
            <w:shd w:val="clear" w:color="000000" w:fill="FFFFFF"/>
            <w:noWrap/>
            <w:hideMark/>
          </w:tcPr>
          <w:p w14:paraId="33F9745D" w14:textId="77777777" w:rsidR="00501715" w:rsidRPr="00AE2A93" w:rsidRDefault="00501715" w:rsidP="00AE2A93">
            <w:pPr>
              <w:snapToGrid w:val="0"/>
              <w:spacing w:line="360" w:lineRule="auto"/>
              <w:jc w:val="both"/>
              <w:rPr>
                <w:rFonts w:ascii="Book Antiqua" w:hAnsi="Book Antiqua"/>
                <w:color w:val="222222"/>
              </w:rPr>
            </w:pPr>
            <w:r w:rsidRPr="00AE2A93">
              <w:rPr>
                <w:rFonts w:ascii="Book Antiqua" w:hAnsi="Book Antiqua"/>
                <w:color w:val="222222"/>
              </w:rPr>
              <w:t>Extraintestinal manifestations</w:t>
            </w:r>
          </w:p>
        </w:tc>
        <w:tc>
          <w:tcPr>
            <w:tcW w:w="910" w:type="dxa"/>
            <w:tcBorders>
              <w:top w:val="nil"/>
              <w:left w:val="nil"/>
              <w:bottom w:val="nil"/>
              <w:right w:val="nil"/>
            </w:tcBorders>
            <w:shd w:val="clear" w:color="000000" w:fill="FFFFFF"/>
            <w:noWrap/>
            <w:hideMark/>
          </w:tcPr>
          <w:p w14:paraId="133DBDB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6" w:type="dxa"/>
            <w:tcBorders>
              <w:top w:val="nil"/>
              <w:left w:val="nil"/>
              <w:bottom w:val="nil"/>
              <w:right w:val="nil"/>
            </w:tcBorders>
            <w:shd w:val="clear" w:color="000000" w:fill="FFFFFF"/>
            <w:noWrap/>
            <w:hideMark/>
          </w:tcPr>
          <w:p w14:paraId="42A34BE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7" w:type="dxa"/>
            <w:tcBorders>
              <w:top w:val="nil"/>
              <w:left w:val="nil"/>
              <w:bottom w:val="nil"/>
              <w:right w:val="nil"/>
            </w:tcBorders>
            <w:shd w:val="clear" w:color="000000" w:fill="FFFFFF"/>
            <w:noWrap/>
            <w:hideMark/>
          </w:tcPr>
          <w:p w14:paraId="0DA3A88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2" w:type="dxa"/>
            <w:tcBorders>
              <w:top w:val="nil"/>
              <w:left w:val="nil"/>
              <w:bottom w:val="nil"/>
              <w:right w:val="nil"/>
            </w:tcBorders>
            <w:shd w:val="clear" w:color="000000" w:fill="FFFFFF"/>
            <w:noWrap/>
            <w:hideMark/>
          </w:tcPr>
          <w:p w14:paraId="5A84DAB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35C7ADF8"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1F64B8F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7618F66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36B0E3D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3B21B20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16B6B6B8"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77A3A77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5C5B807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3D5CADD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27863C6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63C7AB02"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34C604E6" w14:textId="77777777" w:rsidTr="00BE2966">
        <w:trPr>
          <w:trHeight w:val="320"/>
        </w:trPr>
        <w:tc>
          <w:tcPr>
            <w:tcW w:w="2311" w:type="dxa"/>
            <w:tcBorders>
              <w:top w:val="nil"/>
              <w:left w:val="nil"/>
              <w:bottom w:val="nil"/>
              <w:right w:val="nil"/>
            </w:tcBorders>
            <w:shd w:val="clear" w:color="000000" w:fill="FFFFFF"/>
            <w:noWrap/>
            <w:hideMark/>
          </w:tcPr>
          <w:p w14:paraId="39D66EBC" w14:textId="77777777" w:rsidR="00501715" w:rsidRPr="00AE2A93" w:rsidRDefault="00501715"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Joint pain</w:t>
            </w:r>
          </w:p>
        </w:tc>
        <w:tc>
          <w:tcPr>
            <w:tcW w:w="910" w:type="dxa"/>
            <w:tcBorders>
              <w:top w:val="nil"/>
              <w:left w:val="nil"/>
              <w:bottom w:val="nil"/>
              <w:right w:val="nil"/>
            </w:tcBorders>
            <w:shd w:val="clear" w:color="000000" w:fill="FFFFFF"/>
            <w:noWrap/>
            <w:hideMark/>
          </w:tcPr>
          <w:p w14:paraId="614E709D"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238</w:t>
            </w:r>
          </w:p>
        </w:tc>
        <w:tc>
          <w:tcPr>
            <w:tcW w:w="866" w:type="dxa"/>
            <w:tcBorders>
              <w:top w:val="nil"/>
              <w:left w:val="nil"/>
              <w:bottom w:val="nil"/>
              <w:right w:val="nil"/>
            </w:tcBorders>
            <w:shd w:val="clear" w:color="000000" w:fill="FFFFFF"/>
            <w:noWrap/>
            <w:hideMark/>
          </w:tcPr>
          <w:p w14:paraId="1943200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-0.438 </w:t>
            </w:r>
          </w:p>
        </w:tc>
        <w:tc>
          <w:tcPr>
            <w:tcW w:w="597" w:type="dxa"/>
            <w:tcBorders>
              <w:top w:val="nil"/>
              <w:left w:val="nil"/>
              <w:bottom w:val="nil"/>
              <w:right w:val="nil"/>
            </w:tcBorders>
            <w:shd w:val="clear" w:color="000000" w:fill="FFFFFF"/>
            <w:noWrap/>
            <w:hideMark/>
          </w:tcPr>
          <w:p w14:paraId="3F2FD8EC"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-0.919 </w:t>
            </w:r>
          </w:p>
        </w:tc>
        <w:tc>
          <w:tcPr>
            <w:tcW w:w="592" w:type="dxa"/>
            <w:tcBorders>
              <w:top w:val="nil"/>
              <w:left w:val="nil"/>
              <w:bottom w:val="nil"/>
              <w:right w:val="nil"/>
            </w:tcBorders>
            <w:shd w:val="clear" w:color="000000" w:fill="FFFFFF"/>
            <w:noWrap/>
            <w:hideMark/>
          </w:tcPr>
          <w:p w14:paraId="29A1BAA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-0.013 </w:t>
            </w:r>
          </w:p>
        </w:tc>
        <w:tc>
          <w:tcPr>
            <w:tcW w:w="648" w:type="dxa"/>
            <w:tcBorders>
              <w:top w:val="nil"/>
              <w:left w:val="nil"/>
              <w:bottom w:val="nil"/>
              <w:right w:val="nil"/>
            </w:tcBorders>
            <w:shd w:val="clear" w:color="000000" w:fill="FFFFFF"/>
            <w:noWrap/>
            <w:hideMark/>
          </w:tcPr>
          <w:p w14:paraId="3C82D8E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0.057 </w:t>
            </w:r>
          </w:p>
        </w:tc>
        <w:tc>
          <w:tcPr>
            <w:tcW w:w="909" w:type="dxa"/>
            <w:tcBorders>
              <w:top w:val="nil"/>
              <w:left w:val="nil"/>
              <w:bottom w:val="nil"/>
              <w:right w:val="nil"/>
            </w:tcBorders>
            <w:shd w:val="clear" w:color="000000" w:fill="FFFFFF"/>
            <w:noWrap/>
            <w:hideMark/>
          </w:tcPr>
          <w:p w14:paraId="79C7DF7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03D54D5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2904394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22152CC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2162E685"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24D5D41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3A36885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59185EF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17003E3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7F608472"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79154DCA" w14:textId="77777777" w:rsidTr="00BE2966">
        <w:trPr>
          <w:trHeight w:val="320"/>
        </w:trPr>
        <w:tc>
          <w:tcPr>
            <w:tcW w:w="2311" w:type="dxa"/>
            <w:tcBorders>
              <w:top w:val="nil"/>
              <w:left w:val="nil"/>
              <w:bottom w:val="nil"/>
              <w:right w:val="nil"/>
            </w:tcBorders>
            <w:shd w:val="clear" w:color="000000" w:fill="FFFFFF"/>
            <w:noWrap/>
            <w:hideMark/>
          </w:tcPr>
          <w:p w14:paraId="2BB6AC38" w14:textId="77777777" w:rsidR="00501715" w:rsidRPr="00AE2A93" w:rsidRDefault="00501715"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Mouth ulcers</w:t>
            </w:r>
          </w:p>
        </w:tc>
        <w:tc>
          <w:tcPr>
            <w:tcW w:w="910" w:type="dxa"/>
            <w:tcBorders>
              <w:top w:val="nil"/>
              <w:left w:val="nil"/>
              <w:bottom w:val="nil"/>
              <w:right w:val="nil"/>
            </w:tcBorders>
            <w:shd w:val="clear" w:color="000000" w:fill="FFFFFF"/>
            <w:noWrap/>
            <w:hideMark/>
          </w:tcPr>
          <w:p w14:paraId="7DFC6D2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238</w:t>
            </w:r>
          </w:p>
        </w:tc>
        <w:tc>
          <w:tcPr>
            <w:tcW w:w="866" w:type="dxa"/>
            <w:tcBorders>
              <w:top w:val="nil"/>
              <w:left w:val="nil"/>
              <w:bottom w:val="nil"/>
              <w:right w:val="nil"/>
            </w:tcBorders>
            <w:shd w:val="clear" w:color="000000" w:fill="FFFFFF"/>
            <w:noWrap/>
            <w:hideMark/>
          </w:tcPr>
          <w:p w14:paraId="57F50EF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-0.465 </w:t>
            </w:r>
          </w:p>
        </w:tc>
        <w:tc>
          <w:tcPr>
            <w:tcW w:w="597" w:type="dxa"/>
            <w:tcBorders>
              <w:top w:val="nil"/>
              <w:left w:val="nil"/>
              <w:bottom w:val="nil"/>
              <w:right w:val="nil"/>
            </w:tcBorders>
            <w:shd w:val="clear" w:color="000000" w:fill="FFFFFF"/>
            <w:noWrap/>
            <w:hideMark/>
          </w:tcPr>
          <w:p w14:paraId="6F4B2B5C"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-0.936 </w:t>
            </w:r>
          </w:p>
        </w:tc>
        <w:tc>
          <w:tcPr>
            <w:tcW w:w="592" w:type="dxa"/>
            <w:tcBorders>
              <w:top w:val="nil"/>
              <w:left w:val="nil"/>
              <w:bottom w:val="nil"/>
              <w:right w:val="nil"/>
            </w:tcBorders>
            <w:shd w:val="clear" w:color="000000" w:fill="FFFFFF"/>
            <w:noWrap/>
            <w:hideMark/>
          </w:tcPr>
          <w:p w14:paraId="31CB534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-0.053 </w:t>
            </w:r>
          </w:p>
        </w:tc>
        <w:tc>
          <w:tcPr>
            <w:tcW w:w="648" w:type="dxa"/>
            <w:tcBorders>
              <w:top w:val="nil"/>
              <w:left w:val="nil"/>
              <w:bottom w:val="nil"/>
              <w:right w:val="nil"/>
            </w:tcBorders>
            <w:shd w:val="clear" w:color="000000" w:fill="FFFFFF"/>
            <w:noWrap/>
            <w:hideMark/>
          </w:tcPr>
          <w:p w14:paraId="604658CE" w14:textId="1EA8D849"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0.038</w:t>
            </w:r>
            <w:r w:rsidR="00BE2966" w:rsidRPr="00AE2A93">
              <w:rPr>
                <w:rFonts w:ascii="Book Antiqua" w:hAnsi="Book Antiqua"/>
                <w:color w:val="000000"/>
                <w:vertAlign w:val="superscript"/>
              </w:rPr>
              <w:t>a</w:t>
            </w:r>
            <w:r w:rsidRPr="00AE2A93">
              <w:rPr>
                <w:rFonts w:ascii="Book Antiqua" w:hAnsi="Book Antiqua"/>
                <w:color w:val="000000"/>
              </w:rPr>
              <w:t xml:space="preserve"> </w:t>
            </w:r>
          </w:p>
        </w:tc>
        <w:tc>
          <w:tcPr>
            <w:tcW w:w="909" w:type="dxa"/>
            <w:tcBorders>
              <w:top w:val="nil"/>
              <w:left w:val="nil"/>
              <w:bottom w:val="nil"/>
              <w:right w:val="nil"/>
            </w:tcBorders>
            <w:shd w:val="clear" w:color="000000" w:fill="FFFFFF"/>
            <w:noWrap/>
            <w:hideMark/>
          </w:tcPr>
          <w:p w14:paraId="255AD0B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2805F59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07AA838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3384D9A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0A9F1FC2"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207692E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7FEE96A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7F16BD1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26600FC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4E499CE8"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70D1B0C0" w14:textId="77777777" w:rsidTr="00383B79">
        <w:trPr>
          <w:trHeight w:val="320"/>
        </w:trPr>
        <w:tc>
          <w:tcPr>
            <w:tcW w:w="2311" w:type="dxa"/>
            <w:tcBorders>
              <w:top w:val="nil"/>
              <w:left w:val="nil"/>
              <w:right w:val="nil"/>
            </w:tcBorders>
            <w:shd w:val="clear" w:color="000000" w:fill="FFFFFF"/>
            <w:noWrap/>
            <w:hideMark/>
          </w:tcPr>
          <w:p w14:paraId="41563299" w14:textId="77777777" w:rsidR="00501715" w:rsidRPr="00AE2A93" w:rsidRDefault="00501715"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 xml:space="preserve">History of CD-related surgery </w:t>
            </w:r>
          </w:p>
        </w:tc>
        <w:tc>
          <w:tcPr>
            <w:tcW w:w="910" w:type="dxa"/>
            <w:tcBorders>
              <w:top w:val="nil"/>
              <w:left w:val="nil"/>
              <w:right w:val="nil"/>
            </w:tcBorders>
            <w:shd w:val="clear" w:color="000000" w:fill="FFFFFF"/>
            <w:noWrap/>
            <w:hideMark/>
          </w:tcPr>
          <w:p w14:paraId="3771765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238</w:t>
            </w:r>
          </w:p>
        </w:tc>
        <w:tc>
          <w:tcPr>
            <w:tcW w:w="866" w:type="dxa"/>
            <w:tcBorders>
              <w:top w:val="nil"/>
              <w:left w:val="nil"/>
              <w:right w:val="nil"/>
            </w:tcBorders>
            <w:shd w:val="clear" w:color="000000" w:fill="FFFFFF"/>
            <w:noWrap/>
            <w:hideMark/>
          </w:tcPr>
          <w:p w14:paraId="16D52B4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-0.117 </w:t>
            </w:r>
          </w:p>
        </w:tc>
        <w:tc>
          <w:tcPr>
            <w:tcW w:w="597" w:type="dxa"/>
            <w:tcBorders>
              <w:top w:val="nil"/>
              <w:left w:val="nil"/>
              <w:right w:val="nil"/>
            </w:tcBorders>
            <w:shd w:val="clear" w:color="000000" w:fill="FFFFFF"/>
            <w:noWrap/>
            <w:hideMark/>
          </w:tcPr>
          <w:p w14:paraId="0AEA874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-0.291 </w:t>
            </w:r>
          </w:p>
        </w:tc>
        <w:tc>
          <w:tcPr>
            <w:tcW w:w="592" w:type="dxa"/>
            <w:tcBorders>
              <w:top w:val="nil"/>
              <w:left w:val="nil"/>
              <w:right w:val="nil"/>
            </w:tcBorders>
            <w:shd w:val="clear" w:color="000000" w:fill="FFFFFF"/>
            <w:noWrap/>
            <w:hideMark/>
          </w:tcPr>
          <w:p w14:paraId="6253AC7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0.054 </w:t>
            </w:r>
          </w:p>
        </w:tc>
        <w:tc>
          <w:tcPr>
            <w:tcW w:w="648" w:type="dxa"/>
            <w:tcBorders>
              <w:top w:val="nil"/>
              <w:left w:val="nil"/>
              <w:right w:val="nil"/>
            </w:tcBorders>
            <w:shd w:val="clear" w:color="000000" w:fill="FFFFFF"/>
            <w:noWrap/>
            <w:hideMark/>
          </w:tcPr>
          <w:p w14:paraId="3F0D3C7C"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0.184 </w:t>
            </w:r>
          </w:p>
        </w:tc>
        <w:tc>
          <w:tcPr>
            <w:tcW w:w="909" w:type="dxa"/>
            <w:tcBorders>
              <w:top w:val="nil"/>
              <w:left w:val="nil"/>
              <w:right w:val="nil"/>
            </w:tcBorders>
            <w:shd w:val="clear" w:color="000000" w:fill="FFFFFF"/>
            <w:noWrap/>
            <w:hideMark/>
          </w:tcPr>
          <w:p w14:paraId="2848030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right w:val="nil"/>
            </w:tcBorders>
            <w:shd w:val="clear" w:color="000000" w:fill="FFFFFF"/>
            <w:noWrap/>
            <w:hideMark/>
          </w:tcPr>
          <w:p w14:paraId="6DA956F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right w:val="nil"/>
            </w:tcBorders>
            <w:shd w:val="clear" w:color="000000" w:fill="FFFFFF"/>
            <w:noWrap/>
            <w:hideMark/>
          </w:tcPr>
          <w:p w14:paraId="147B4F9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right w:val="nil"/>
            </w:tcBorders>
            <w:shd w:val="clear" w:color="000000" w:fill="FFFFFF"/>
            <w:noWrap/>
            <w:hideMark/>
          </w:tcPr>
          <w:p w14:paraId="59A98E3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right w:val="nil"/>
            </w:tcBorders>
            <w:shd w:val="clear" w:color="000000" w:fill="FFFFFF"/>
            <w:noWrap/>
            <w:hideMark/>
          </w:tcPr>
          <w:p w14:paraId="58C130C3"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right w:val="nil"/>
            </w:tcBorders>
            <w:shd w:val="clear" w:color="000000" w:fill="FFFFFF"/>
            <w:noWrap/>
            <w:hideMark/>
          </w:tcPr>
          <w:p w14:paraId="5BD7B53D"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right w:val="nil"/>
            </w:tcBorders>
            <w:shd w:val="clear" w:color="000000" w:fill="FFFFFF"/>
            <w:noWrap/>
            <w:hideMark/>
          </w:tcPr>
          <w:p w14:paraId="7D50CE4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right w:val="nil"/>
            </w:tcBorders>
            <w:shd w:val="clear" w:color="000000" w:fill="FFFFFF"/>
            <w:noWrap/>
            <w:hideMark/>
          </w:tcPr>
          <w:p w14:paraId="20069A4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right w:val="nil"/>
            </w:tcBorders>
            <w:shd w:val="clear" w:color="000000" w:fill="FFFFFF"/>
            <w:noWrap/>
            <w:hideMark/>
          </w:tcPr>
          <w:p w14:paraId="3859E5B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right w:val="nil"/>
            </w:tcBorders>
            <w:shd w:val="clear" w:color="000000" w:fill="FFFFFF"/>
            <w:noWrap/>
            <w:hideMark/>
          </w:tcPr>
          <w:p w14:paraId="6BCE9FB4"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1A58B761" w14:textId="77777777" w:rsidTr="00BE2966">
        <w:trPr>
          <w:trHeight w:val="320"/>
        </w:trPr>
        <w:tc>
          <w:tcPr>
            <w:tcW w:w="2311" w:type="dxa"/>
            <w:tcBorders>
              <w:top w:val="nil"/>
              <w:left w:val="nil"/>
              <w:bottom w:val="nil"/>
              <w:right w:val="nil"/>
            </w:tcBorders>
            <w:shd w:val="clear" w:color="000000" w:fill="FFFFFF"/>
            <w:noWrap/>
            <w:hideMark/>
          </w:tcPr>
          <w:p w14:paraId="3776B96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Comorbidities </w:t>
            </w:r>
          </w:p>
        </w:tc>
        <w:tc>
          <w:tcPr>
            <w:tcW w:w="910" w:type="dxa"/>
            <w:tcBorders>
              <w:top w:val="nil"/>
              <w:left w:val="nil"/>
              <w:bottom w:val="nil"/>
              <w:right w:val="nil"/>
            </w:tcBorders>
            <w:shd w:val="clear" w:color="000000" w:fill="FFFFFF"/>
            <w:noWrap/>
            <w:hideMark/>
          </w:tcPr>
          <w:p w14:paraId="78270A1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6" w:type="dxa"/>
            <w:tcBorders>
              <w:top w:val="nil"/>
              <w:left w:val="nil"/>
              <w:bottom w:val="nil"/>
              <w:right w:val="nil"/>
            </w:tcBorders>
            <w:shd w:val="clear" w:color="000000" w:fill="FFFFFF"/>
            <w:noWrap/>
            <w:hideMark/>
          </w:tcPr>
          <w:p w14:paraId="0CBA74F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7" w:type="dxa"/>
            <w:tcBorders>
              <w:top w:val="nil"/>
              <w:left w:val="nil"/>
              <w:bottom w:val="nil"/>
              <w:right w:val="nil"/>
            </w:tcBorders>
            <w:shd w:val="clear" w:color="000000" w:fill="FFFFFF"/>
            <w:noWrap/>
            <w:hideMark/>
          </w:tcPr>
          <w:p w14:paraId="6825D72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2" w:type="dxa"/>
            <w:tcBorders>
              <w:top w:val="nil"/>
              <w:left w:val="nil"/>
              <w:bottom w:val="nil"/>
              <w:right w:val="nil"/>
            </w:tcBorders>
            <w:shd w:val="clear" w:color="000000" w:fill="FFFFFF"/>
            <w:noWrap/>
            <w:hideMark/>
          </w:tcPr>
          <w:p w14:paraId="0EBC18E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61147464"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75A12A0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42D6B42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41C8F81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55E209E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5BA2DFAC"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48E0BC3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70A279E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242A810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0DA4F71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0CA7BF0B"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63780CBD" w14:textId="77777777" w:rsidTr="00BE2966">
        <w:trPr>
          <w:trHeight w:val="320"/>
        </w:trPr>
        <w:tc>
          <w:tcPr>
            <w:tcW w:w="2311" w:type="dxa"/>
            <w:tcBorders>
              <w:top w:val="nil"/>
              <w:left w:val="nil"/>
              <w:bottom w:val="nil"/>
              <w:right w:val="nil"/>
            </w:tcBorders>
            <w:shd w:val="clear" w:color="000000" w:fill="FFFFFF"/>
            <w:noWrap/>
            <w:hideMark/>
          </w:tcPr>
          <w:p w14:paraId="587FC86C" w14:textId="77777777" w:rsidR="00501715" w:rsidRPr="00AE2A93" w:rsidRDefault="00501715"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HP infection</w:t>
            </w:r>
          </w:p>
        </w:tc>
        <w:tc>
          <w:tcPr>
            <w:tcW w:w="910" w:type="dxa"/>
            <w:tcBorders>
              <w:top w:val="nil"/>
              <w:left w:val="nil"/>
              <w:bottom w:val="nil"/>
              <w:right w:val="nil"/>
            </w:tcBorders>
            <w:shd w:val="clear" w:color="000000" w:fill="FFFFFF"/>
            <w:noWrap/>
            <w:hideMark/>
          </w:tcPr>
          <w:p w14:paraId="03FF876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238</w:t>
            </w:r>
          </w:p>
        </w:tc>
        <w:tc>
          <w:tcPr>
            <w:tcW w:w="866" w:type="dxa"/>
            <w:tcBorders>
              <w:top w:val="nil"/>
              <w:left w:val="nil"/>
              <w:bottom w:val="nil"/>
              <w:right w:val="nil"/>
            </w:tcBorders>
            <w:shd w:val="clear" w:color="000000" w:fill="FFFFFF"/>
            <w:noWrap/>
            <w:hideMark/>
          </w:tcPr>
          <w:p w14:paraId="7CF9B58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1.168 </w:t>
            </w:r>
          </w:p>
        </w:tc>
        <w:tc>
          <w:tcPr>
            <w:tcW w:w="597" w:type="dxa"/>
            <w:tcBorders>
              <w:top w:val="nil"/>
              <w:left w:val="nil"/>
              <w:bottom w:val="nil"/>
              <w:right w:val="nil"/>
            </w:tcBorders>
            <w:shd w:val="clear" w:color="000000" w:fill="FFFFFF"/>
            <w:noWrap/>
            <w:hideMark/>
          </w:tcPr>
          <w:p w14:paraId="12B70B9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0.588 </w:t>
            </w:r>
          </w:p>
        </w:tc>
        <w:tc>
          <w:tcPr>
            <w:tcW w:w="592" w:type="dxa"/>
            <w:tcBorders>
              <w:top w:val="nil"/>
              <w:left w:val="nil"/>
              <w:bottom w:val="nil"/>
              <w:right w:val="nil"/>
            </w:tcBorders>
            <w:shd w:val="clear" w:color="000000" w:fill="FFFFFF"/>
            <w:noWrap/>
            <w:hideMark/>
          </w:tcPr>
          <w:p w14:paraId="13435A4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1.672 </w:t>
            </w:r>
          </w:p>
        </w:tc>
        <w:tc>
          <w:tcPr>
            <w:tcW w:w="648" w:type="dxa"/>
            <w:tcBorders>
              <w:top w:val="nil"/>
              <w:left w:val="nil"/>
              <w:bottom w:val="nil"/>
              <w:right w:val="nil"/>
            </w:tcBorders>
            <w:shd w:val="clear" w:color="000000" w:fill="FFFFFF"/>
            <w:noWrap/>
            <w:hideMark/>
          </w:tcPr>
          <w:p w14:paraId="19EAE36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0.000 </w:t>
            </w:r>
          </w:p>
        </w:tc>
        <w:tc>
          <w:tcPr>
            <w:tcW w:w="909" w:type="dxa"/>
            <w:tcBorders>
              <w:top w:val="nil"/>
              <w:left w:val="nil"/>
              <w:bottom w:val="nil"/>
              <w:right w:val="nil"/>
            </w:tcBorders>
            <w:shd w:val="clear" w:color="000000" w:fill="FFFFFF"/>
            <w:noWrap/>
            <w:hideMark/>
          </w:tcPr>
          <w:p w14:paraId="6FCAE24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55571B8D"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09C8C9C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76F11A0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1A7F5BE0"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160D382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1430241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15E5136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1025D46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16520434"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23B5CB3B" w14:textId="77777777" w:rsidTr="00BE2966">
        <w:trPr>
          <w:trHeight w:val="320"/>
        </w:trPr>
        <w:tc>
          <w:tcPr>
            <w:tcW w:w="2311" w:type="dxa"/>
            <w:tcBorders>
              <w:top w:val="nil"/>
              <w:left w:val="nil"/>
              <w:bottom w:val="nil"/>
              <w:right w:val="nil"/>
            </w:tcBorders>
            <w:shd w:val="clear" w:color="000000" w:fill="FFFFFF"/>
            <w:noWrap/>
            <w:hideMark/>
          </w:tcPr>
          <w:p w14:paraId="0F8DA44D" w14:textId="685A158D" w:rsidR="00501715" w:rsidRPr="00AE2A93" w:rsidRDefault="00BE2966"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R</w:t>
            </w:r>
            <w:r w:rsidR="00501715" w:rsidRPr="00AE2A93">
              <w:rPr>
                <w:rFonts w:ascii="Book Antiqua" w:hAnsi="Book Antiqua"/>
                <w:color w:val="222222"/>
              </w:rPr>
              <w:t>hinitis</w:t>
            </w:r>
          </w:p>
        </w:tc>
        <w:tc>
          <w:tcPr>
            <w:tcW w:w="910" w:type="dxa"/>
            <w:tcBorders>
              <w:top w:val="nil"/>
              <w:left w:val="nil"/>
              <w:bottom w:val="nil"/>
              <w:right w:val="nil"/>
            </w:tcBorders>
            <w:shd w:val="clear" w:color="000000" w:fill="FFFFFF"/>
            <w:noWrap/>
            <w:hideMark/>
          </w:tcPr>
          <w:p w14:paraId="2FE45D1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238</w:t>
            </w:r>
          </w:p>
        </w:tc>
        <w:tc>
          <w:tcPr>
            <w:tcW w:w="866" w:type="dxa"/>
            <w:tcBorders>
              <w:top w:val="nil"/>
              <w:left w:val="nil"/>
              <w:bottom w:val="nil"/>
              <w:right w:val="nil"/>
            </w:tcBorders>
            <w:shd w:val="clear" w:color="000000" w:fill="FFFFFF"/>
            <w:noWrap/>
            <w:hideMark/>
          </w:tcPr>
          <w:p w14:paraId="66D449F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1.439 </w:t>
            </w:r>
          </w:p>
        </w:tc>
        <w:tc>
          <w:tcPr>
            <w:tcW w:w="597" w:type="dxa"/>
            <w:tcBorders>
              <w:top w:val="nil"/>
              <w:left w:val="nil"/>
              <w:bottom w:val="nil"/>
              <w:right w:val="nil"/>
            </w:tcBorders>
            <w:shd w:val="clear" w:color="000000" w:fill="FFFFFF"/>
            <w:noWrap/>
            <w:hideMark/>
          </w:tcPr>
          <w:p w14:paraId="792595C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0.221 </w:t>
            </w:r>
          </w:p>
        </w:tc>
        <w:tc>
          <w:tcPr>
            <w:tcW w:w="592" w:type="dxa"/>
            <w:tcBorders>
              <w:top w:val="nil"/>
              <w:left w:val="nil"/>
              <w:bottom w:val="nil"/>
              <w:right w:val="nil"/>
            </w:tcBorders>
            <w:shd w:val="clear" w:color="000000" w:fill="FFFFFF"/>
            <w:noWrap/>
            <w:hideMark/>
          </w:tcPr>
          <w:p w14:paraId="31F04E2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2.966 </w:t>
            </w:r>
          </w:p>
        </w:tc>
        <w:tc>
          <w:tcPr>
            <w:tcW w:w="648" w:type="dxa"/>
            <w:tcBorders>
              <w:top w:val="nil"/>
              <w:left w:val="nil"/>
              <w:bottom w:val="nil"/>
              <w:right w:val="nil"/>
            </w:tcBorders>
            <w:shd w:val="clear" w:color="000000" w:fill="FFFFFF"/>
            <w:noWrap/>
            <w:hideMark/>
          </w:tcPr>
          <w:p w14:paraId="6AF34466" w14:textId="21686F7F"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0.034</w:t>
            </w:r>
            <w:r w:rsidR="00BE2966" w:rsidRPr="00AE2A93">
              <w:rPr>
                <w:rFonts w:ascii="Book Antiqua" w:hAnsi="Book Antiqua"/>
                <w:color w:val="000000"/>
                <w:vertAlign w:val="superscript"/>
              </w:rPr>
              <w:t>a</w:t>
            </w:r>
          </w:p>
        </w:tc>
        <w:tc>
          <w:tcPr>
            <w:tcW w:w="909" w:type="dxa"/>
            <w:tcBorders>
              <w:top w:val="nil"/>
              <w:left w:val="nil"/>
              <w:bottom w:val="nil"/>
              <w:right w:val="nil"/>
            </w:tcBorders>
            <w:shd w:val="clear" w:color="000000" w:fill="FFFFFF"/>
            <w:noWrap/>
            <w:hideMark/>
          </w:tcPr>
          <w:p w14:paraId="70BEB45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5F18771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489CB9E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3F943D3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34FC40B7"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0813AD7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75F2BAA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7BEF34E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22CDE14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4F484CC4"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2799AA74" w14:textId="77777777" w:rsidTr="00BE2966">
        <w:trPr>
          <w:trHeight w:val="320"/>
        </w:trPr>
        <w:tc>
          <w:tcPr>
            <w:tcW w:w="2311" w:type="dxa"/>
            <w:tcBorders>
              <w:top w:val="nil"/>
              <w:left w:val="nil"/>
              <w:bottom w:val="nil"/>
              <w:right w:val="nil"/>
            </w:tcBorders>
            <w:shd w:val="clear" w:color="000000" w:fill="FFFFFF"/>
            <w:noWrap/>
            <w:hideMark/>
          </w:tcPr>
          <w:p w14:paraId="1042499D" w14:textId="77777777" w:rsidR="00501715" w:rsidRPr="00AE2A93" w:rsidRDefault="00501715"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Gallbladder disease</w:t>
            </w:r>
          </w:p>
        </w:tc>
        <w:tc>
          <w:tcPr>
            <w:tcW w:w="910" w:type="dxa"/>
            <w:tcBorders>
              <w:top w:val="nil"/>
              <w:left w:val="nil"/>
              <w:bottom w:val="nil"/>
              <w:right w:val="nil"/>
            </w:tcBorders>
            <w:shd w:val="clear" w:color="000000" w:fill="FFFFFF"/>
            <w:noWrap/>
            <w:hideMark/>
          </w:tcPr>
          <w:p w14:paraId="014C077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238</w:t>
            </w:r>
          </w:p>
        </w:tc>
        <w:tc>
          <w:tcPr>
            <w:tcW w:w="866" w:type="dxa"/>
            <w:tcBorders>
              <w:top w:val="nil"/>
              <w:left w:val="nil"/>
              <w:bottom w:val="nil"/>
              <w:right w:val="nil"/>
            </w:tcBorders>
            <w:shd w:val="clear" w:color="000000" w:fill="FFFFFF"/>
            <w:noWrap/>
            <w:hideMark/>
          </w:tcPr>
          <w:p w14:paraId="5CC6891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-0.233 </w:t>
            </w:r>
          </w:p>
        </w:tc>
        <w:tc>
          <w:tcPr>
            <w:tcW w:w="597" w:type="dxa"/>
            <w:tcBorders>
              <w:top w:val="nil"/>
              <w:left w:val="nil"/>
              <w:bottom w:val="nil"/>
              <w:right w:val="nil"/>
            </w:tcBorders>
            <w:shd w:val="clear" w:color="000000" w:fill="FFFFFF"/>
            <w:noWrap/>
            <w:hideMark/>
          </w:tcPr>
          <w:p w14:paraId="478607A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-0.640 </w:t>
            </w:r>
          </w:p>
        </w:tc>
        <w:tc>
          <w:tcPr>
            <w:tcW w:w="592" w:type="dxa"/>
            <w:tcBorders>
              <w:top w:val="nil"/>
              <w:left w:val="nil"/>
              <w:bottom w:val="nil"/>
              <w:right w:val="nil"/>
            </w:tcBorders>
            <w:shd w:val="clear" w:color="000000" w:fill="FFFFFF"/>
            <w:noWrap/>
            <w:hideMark/>
          </w:tcPr>
          <w:p w14:paraId="7BE178B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0.133 </w:t>
            </w:r>
          </w:p>
        </w:tc>
        <w:tc>
          <w:tcPr>
            <w:tcW w:w="648" w:type="dxa"/>
            <w:tcBorders>
              <w:top w:val="nil"/>
              <w:left w:val="nil"/>
              <w:bottom w:val="nil"/>
              <w:right w:val="nil"/>
            </w:tcBorders>
            <w:shd w:val="clear" w:color="000000" w:fill="FFFFFF"/>
            <w:noWrap/>
            <w:hideMark/>
          </w:tcPr>
          <w:p w14:paraId="13E13B3C"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0.235 </w:t>
            </w:r>
          </w:p>
        </w:tc>
        <w:tc>
          <w:tcPr>
            <w:tcW w:w="909" w:type="dxa"/>
            <w:tcBorders>
              <w:top w:val="nil"/>
              <w:left w:val="nil"/>
              <w:bottom w:val="nil"/>
              <w:right w:val="nil"/>
            </w:tcBorders>
            <w:shd w:val="clear" w:color="000000" w:fill="FFFFFF"/>
            <w:noWrap/>
            <w:hideMark/>
          </w:tcPr>
          <w:p w14:paraId="13C76D8D"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64C2888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15FC4F6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0B7EEA4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1EEE60B0"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2F96883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3CF4E60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1A293C9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3B05259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4F811F46"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77A84FB6" w14:textId="77777777" w:rsidTr="00BE2966">
        <w:trPr>
          <w:trHeight w:val="320"/>
        </w:trPr>
        <w:tc>
          <w:tcPr>
            <w:tcW w:w="2311" w:type="dxa"/>
            <w:tcBorders>
              <w:top w:val="nil"/>
              <w:left w:val="nil"/>
              <w:bottom w:val="nil"/>
              <w:right w:val="nil"/>
            </w:tcBorders>
            <w:shd w:val="clear" w:color="000000" w:fill="FFFFFF"/>
            <w:noWrap/>
            <w:hideMark/>
          </w:tcPr>
          <w:p w14:paraId="4D2CFECE" w14:textId="79D21D28" w:rsidR="00501715" w:rsidRPr="00AE2A93" w:rsidRDefault="00BE2966"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T</w:t>
            </w:r>
            <w:r w:rsidR="00501715" w:rsidRPr="00AE2A93">
              <w:rPr>
                <w:rFonts w:ascii="Book Antiqua" w:hAnsi="Book Antiqua"/>
                <w:color w:val="222222"/>
              </w:rPr>
              <w:t>uberculosis</w:t>
            </w:r>
          </w:p>
        </w:tc>
        <w:tc>
          <w:tcPr>
            <w:tcW w:w="910" w:type="dxa"/>
            <w:tcBorders>
              <w:top w:val="nil"/>
              <w:left w:val="nil"/>
              <w:bottom w:val="nil"/>
              <w:right w:val="nil"/>
            </w:tcBorders>
            <w:shd w:val="clear" w:color="000000" w:fill="FFFFFF"/>
            <w:noWrap/>
            <w:hideMark/>
          </w:tcPr>
          <w:p w14:paraId="4A08E6AD"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6" w:type="dxa"/>
            <w:tcBorders>
              <w:top w:val="nil"/>
              <w:left w:val="nil"/>
              <w:bottom w:val="nil"/>
              <w:right w:val="nil"/>
            </w:tcBorders>
            <w:shd w:val="clear" w:color="000000" w:fill="FFFFFF"/>
            <w:noWrap/>
            <w:hideMark/>
          </w:tcPr>
          <w:p w14:paraId="52864A5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7" w:type="dxa"/>
            <w:tcBorders>
              <w:top w:val="nil"/>
              <w:left w:val="nil"/>
              <w:bottom w:val="nil"/>
              <w:right w:val="nil"/>
            </w:tcBorders>
            <w:shd w:val="clear" w:color="000000" w:fill="FFFFFF"/>
            <w:noWrap/>
            <w:hideMark/>
          </w:tcPr>
          <w:p w14:paraId="04DF077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2" w:type="dxa"/>
            <w:tcBorders>
              <w:top w:val="nil"/>
              <w:left w:val="nil"/>
              <w:bottom w:val="nil"/>
              <w:right w:val="nil"/>
            </w:tcBorders>
            <w:shd w:val="clear" w:color="000000" w:fill="FFFFFF"/>
            <w:noWrap/>
            <w:hideMark/>
          </w:tcPr>
          <w:p w14:paraId="7B2DE62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2AE3270F"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226F4A9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228D8BE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2B3CD8DD"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585855C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4FDE7AD2"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08F224D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865" w:type="dxa"/>
            <w:tcBorders>
              <w:top w:val="nil"/>
              <w:left w:val="nil"/>
              <w:bottom w:val="nil"/>
              <w:right w:val="nil"/>
            </w:tcBorders>
            <w:shd w:val="clear" w:color="000000" w:fill="FFFFFF"/>
            <w:noWrap/>
            <w:hideMark/>
          </w:tcPr>
          <w:p w14:paraId="4C7C96F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6.773 </w:t>
            </w:r>
          </w:p>
        </w:tc>
        <w:tc>
          <w:tcPr>
            <w:tcW w:w="616" w:type="dxa"/>
            <w:tcBorders>
              <w:top w:val="nil"/>
              <w:left w:val="nil"/>
              <w:bottom w:val="nil"/>
              <w:right w:val="nil"/>
            </w:tcBorders>
            <w:shd w:val="clear" w:color="000000" w:fill="FFFFFF"/>
            <w:noWrap/>
            <w:hideMark/>
          </w:tcPr>
          <w:p w14:paraId="62B7439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-2.555 </w:t>
            </w:r>
          </w:p>
        </w:tc>
        <w:tc>
          <w:tcPr>
            <w:tcW w:w="616" w:type="dxa"/>
            <w:tcBorders>
              <w:top w:val="nil"/>
              <w:left w:val="nil"/>
              <w:bottom w:val="nil"/>
              <w:right w:val="nil"/>
            </w:tcBorders>
            <w:shd w:val="clear" w:color="000000" w:fill="FFFFFF"/>
            <w:noWrap/>
            <w:hideMark/>
          </w:tcPr>
          <w:p w14:paraId="2BA7C50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16.100 </w:t>
            </w:r>
          </w:p>
        </w:tc>
        <w:tc>
          <w:tcPr>
            <w:tcW w:w="648" w:type="dxa"/>
            <w:tcBorders>
              <w:top w:val="nil"/>
              <w:left w:val="nil"/>
              <w:bottom w:val="nil"/>
              <w:right w:val="nil"/>
            </w:tcBorders>
            <w:shd w:val="clear" w:color="000000" w:fill="FFFFFF"/>
            <w:noWrap/>
            <w:hideMark/>
          </w:tcPr>
          <w:p w14:paraId="5E3D7B1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0.154 </w:t>
            </w:r>
          </w:p>
        </w:tc>
      </w:tr>
      <w:tr w:rsidR="00501715" w:rsidRPr="00C76E19" w14:paraId="3581CD86" w14:textId="77777777" w:rsidTr="00BE2966">
        <w:trPr>
          <w:trHeight w:val="320"/>
        </w:trPr>
        <w:tc>
          <w:tcPr>
            <w:tcW w:w="2311" w:type="dxa"/>
            <w:tcBorders>
              <w:top w:val="nil"/>
              <w:left w:val="nil"/>
              <w:bottom w:val="nil"/>
              <w:right w:val="nil"/>
            </w:tcBorders>
            <w:shd w:val="clear" w:color="000000" w:fill="FFFFFF"/>
            <w:noWrap/>
            <w:hideMark/>
          </w:tcPr>
          <w:p w14:paraId="0F06ECF6" w14:textId="2DF1168F" w:rsidR="00501715" w:rsidRPr="00AE2A93" w:rsidRDefault="00BE2966"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P</w:t>
            </w:r>
            <w:r w:rsidR="00501715" w:rsidRPr="00AE2A93">
              <w:rPr>
                <w:rFonts w:ascii="Book Antiqua" w:hAnsi="Book Antiqua"/>
                <w:color w:val="222222"/>
              </w:rPr>
              <w:t>eritonitis</w:t>
            </w:r>
          </w:p>
        </w:tc>
        <w:tc>
          <w:tcPr>
            <w:tcW w:w="910" w:type="dxa"/>
            <w:tcBorders>
              <w:top w:val="nil"/>
              <w:left w:val="nil"/>
              <w:bottom w:val="nil"/>
              <w:right w:val="nil"/>
            </w:tcBorders>
            <w:shd w:val="clear" w:color="000000" w:fill="FFFFFF"/>
            <w:noWrap/>
            <w:hideMark/>
          </w:tcPr>
          <w:p w14:paraId="7783A92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238</w:t>
            </w:r>
          </w:p>
        </w:tc>
        <w:tc>
          <w:tcPr>
            <w:tcW w:w="866" w:type="dxa"/>
            <w:tcBorders>
              <w:top w:val="nil"/>
              <w:left w:val="nil"/>
              <w:bottom w:val="nil"/>
              <w:right w:val="nil"/>
            </w:tcBorders>
            <w:shd w:val="clear" w:color="000000" w:fill="FFFFFF"/>
            <w:noWrap/>
            <w:hideMark/>
          </w:tcPr>
          <w:p w14:paraId="10FD8D1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1.986 </w:t>
            </w:r>
          </w:p>
        </w:tc>
        <w:tc>
          <w:tcPr>
            <w:tcW w:w="597" w:type="dxa"/>
            <w:tcBorders>
              <w:top w:val="nil"/>
              <w:left w:val="nil"/>
              <w:bottom w:val="nil"/>
              <w:right w:val="nil"/>
            </w:tcBorders>
            <w:shd w:val="clear" w:color="000000" w:fill="FFFFFF"/>
            <w:noWrap/>
            <w:hideMark/>
          </w:tcPr>
          <w:p w14:paraId="6A1AADA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1.438 </w:t>
            </w:r>
          </w:p>
        </w:tc>
        <w:tc>
          <w:tcPr>
            <w:tcW w:w="592" w:type="dxa"/>
            <w:tcBorders>
              <w:top w:val="nil"/>
              <w:left w:val="nil"/>
              <w:bottom w:val="nil"/>
              <w:right w:val="nil"/>
            </w:tcBorders>
            <w:shd w:val="clear" w:color="000000" w:fill="FFFFFF"/>
            <w:noWrap/>
            <w:hideMark/>
          </w:tcPr>
          <w:p w14:paraId="1C84DB0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2.471 </w:t>
            </w:r>
          </w:p>
        </w:tc>
        <w:tc>
          <w:tcPr>
            <w:tcW w:w="648" w:type="dxa"/>
            <w:tcBorders>
              <w:top w:val="nil"/>
              <w:left w:val="nil"/>
              <w:bottom w:val="nil"/>
              <w:right w:val="nil"/>
            </w:tcBorders>
            <w:shd w:val="clear" w:color="000000" w:fill="FFFFFF"/>
            <w:noWrap/>
            <w:hideMark/>
          </w:tcPr>
          <w:p w14:paraId="2FD2681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0.000 </w:t>
            </w:r>
          </w:p>
        </w:tc>
        <w:tc>
          <w:tcPr>
            <w:tcW w:w="909" w:type="dxa"/>
            <w:tcBorders>
              <w:top w:val="nil"/>
              <w:left w:val="nil"/>
              <w:bottom w:val="nil"/>
              <w:right w:val="nil"/>
            </w:tcBorders>
            <w:shd w:val="clear" w:color="000000" w:fill="FFFFFF"/>
            <w:noWrap/>
            <w:hideMark/>
          </w:tcPr>
          <w:p w14:paraId="561875C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291</w:t>
            </w:r>
          </w:p>
        </w:tc>
        <w:tc>
          <w:tcPr>
            <w:tcW w:w="865" w:type="dxa"/>
            <w:tcBorders>
              <w:top w:val="nil"/>
              <w:left w:val="nil"/>
              <w:bottom w:val="nil"/>
              <w:right w:val="nil"/>
            </w:tcBorders>
            <w:shd w:val="clear" w:color="000000" w:fill="FFFFFF"/>
            <w:noWrap/>
            <w:hideMark/>
          </w:tcPr>
          <w:p w14:paraId="036B1DC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0.872 </w:t>
            </w:r>
          </w:p>
        </w:tc>
        <w:tc>
          <w:tcPr>
            <w:tcW w:w="596" w:type="dxa"/>
            <w:tcBorders>
              <w:top w:val="nil"/>
              <w:left w:val="nil"/>
              <w:bottom w:val="nil"/>
              <w:right w:val="nil"/>
            </w:tcBorders>
            <w:shd w:val="clear" w:color="000000" w:fill="FFFFFF"/>
            <w:noWrap/>
            <w:hideMark/>
          </w:tcPr>
          <w:p w14:paraId="3F61FD8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-0.321 </w:t>
            </w:r>
          </w:p>
        </w:tc>
        <w:tc>
          <w:tcPr>
            <w:tcW w:w="580" w:type="dxa"/>
            <w:tcBorders>
              <w:top w:val="nil"/>
              <w:left w:val="nil"/>
              <w:bottom w:val="nil"/>
              <w:right w:val="nil"/>
            </w:tcBorders>
            <w:shd w:val="clear" w:color="000000" w:fill="FFFFFF"/>
            <w:noWrap/>
            <w:hideMark/>
          </w:tcPr>
          <w:p w14:paraId="2D484AFC"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1.759 </w:t>
            </w:r>
          </w:p>
        </w:tc>
        <w:tc>
          <w:tcPr>
            <w:tcW w:w="648" w:type="dxa"/>
            <w:tcBorders>
              <w:top w:val="nil"/>
              <w:left w:val="nil"/>
              <w:bottom w:val="nil"/>
              <w:right w:val="nil"/>
            </w:tcBorders>
            <w:shd w:val="clear" w:color="000000" w:fill="FFFFFF"/>
            <w:noWrap/>
            <w:hideMark/>
          </w:tcPr>
          <w:p w14:paraId="497173B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0.091 </w:t>
            </w:r>
          </w:p>
        </w:tc>
        <w:tc>
          <w:tcPr>
            <w:tcW w:w="909" w:type="dxa"/>
            <w:tcBorders>
              <w:top w:val="nil"/>
              <w:left w:val="nil"/>
              <w:bottom w:val="nil"/>
              <w:right w:val="nil"/>
            </w:tcBorders>
            <w:shd w:val="clear" w:color="000000" w:fill="FFFFFF"/>
            <w:noWrap/>
            <w:hideMark/>
          </w:tcPr>
          <w:p w14:paraId="11F221A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865" w:type="dxa"/>
            <w:tcBorders>
              <w:top w:val="nil"/>
              <w:left w:val="nil"/>
              <w:bottom w:val="nil"/>
              <w:right w:val="nil"/>
            </w:tcBorders>
            <w:shd w:val="clear" w:color="000000" w:fill="FFFFFF"/>
            <w:noWrap/>
            <w:hideMark/>
          </w:tcPr>
          <w:p w14:paraId="110230E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53.048 </w:t>
            </w:r>
          </w:p>
        </w:tc>
        <w:tc>
          <w:tcPr>
            <w:tcW w:w="616" w:type="dxa"/>
            <w:tcBorders>
              <w:top w:val="nil"/>
              <w:left w:val="nil"/>
              <w:bottom w:val="nil"/>
              <w:right w:val="nil"/>
            </w:tcBorders>
            <w:shd w:val="clear" w:color="000000" w:fill="FFFFFF"/>
            <w:noWrap/>
            <w:hideMark/>
          </w:tcPr>
          <w:p w14:paraId="1C1AE5F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32.426 </w:t>
            </w:r>
          </w:p>
        </w:tc>
        <w:tc>
          <w:tcPr>
            <w:tcW w:w="616" w:type="dxa"/>
            <w:tcBorders>
              <w:top w:val="nil"/>
              <w:left w:val="nil"/>
              <w:bottom w:val="nil"/>
              <w:right w:val="nil"/>
            </w:tcBorders>
            <w:shd w:val="clear" w:color="000000" w:fill="FFFFFF"/>
            <w:noWrap/>
            <w:hideMark/>
          </w:tcPr>
          <w:p w14:paraId="4EF4D24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73.671 </w:t>
            </w:r>
          </w:p>
        </w:tc>
        <w:tc>
          <w:tcPr>
            <w:tcW w:w="648" w:type="dxa"/>
            <w:tcBorders>
              <w:top w:val="nil"/>
              <w:left w:val="nil"/>
              <w:bottom w:val="nil"/>
              <w:right w:val="nil"/>
            </w:tcBorders>
            <w:shd w:val="clear" w:color="000000" w:fill="FFFFFF"/>
            <w:noWrap/>
            <w:hideMark/>
          </w:tcPr>
          <w:p w14:paraId="2132D0D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0.000 </w:t>
            </w:r>
          </w:p>
        </w:tc>
      </w:tr>
      <w:tr w:rsidR="00501715" w:rsidRPr="00C76E19" w14:paraId="2ABD3E4F" w14:textId="77777777" w:rsidTr="00BE2966">
        <w:trPr>
          <w:trHeight w:val="320"/>
        </w:trPr>
        <w:tc>
          <w:tcPr>
            <w:tcW w:w="2311" w:type="dxa"/>
            <w:tcBorders>
              <w:top w:val="nil"/>
              <w:left w:val="nil"/>
              <w:bottom w:val="nil"/>
              <w:right w:val="nil"/>
            </w:tcBorders>
            <w:shd w:val="clear" w:color="000000" w:fill="FFFFFF"/>
            <w:noWrap/>
            <w:hideMark/>
          </w:tcPr>
          <w:p w14:paraId="4FB66139" w14:textId="77777777" w:rsidR="00501715" w:rsidRPr="00AE2A93" w:rsidRDefault="00501715"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Abdominal abscess</w:t>
            </w:r>
          </w:p>
        </w:tc>
        <w:tc>
          <w:tcPr>
            <w:tcW w:w="910" w:type="dxa"/>
            <w:tcBorders>
              <w:top w:val="nil"/>
              <w:left w:val="nil"/>
              <w:bottom w:val="nil"/>
              <w:right w:val="nil"/>
            </w:tcBorders>
            <w:shd w:val="clear" w:color="000000" w:fill="FFFFFF"/>
            <w:noWrap/>
            <w:hideMark/>
          </w:tcPr>
          <w:p w14:paraId="163EAA4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238</w:t>
            </w:r>
          </w:p>
        </w:tc>
        <w:tc>
          <w:tcPr>
            <w:tcW w:w="866" w:type="dxa"/>
            <w:tcBorders>
              <w:top w:val="nil"/>
              <w:left w:val="nil"/>
              <w:bottom w:val="nil"/>
              <w:right w:val="nil"/>
            </w:tcBorders>
            <w:shd w:val="clear" w:color="000000" w:fill="FFFFFF"/>
            <w:noWrap/>
            <w:hideMark/>
          </w:tcPr>
          <w:p w14:paraId="7D1782FD"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NA</w:t>
            </w:r>
          </w:p>
        </w:tc>
        <w:tc>
          <w:tcPr>
            <w:tcW w:w="597" w:type="dxa"/>
            <w:tcBorders>
              <w:top w:val="nil"/>
              <w:left w:val="nil"/>
              <w:bottom w:val="nil"/>
              <w:right w:val="nil"/>
            </w:tcBorders>
            <w:shd w:val="clear" w:color="000000" w:fill="FFFFFF"/>
            <w:noWrap/>
            <w:hideMark/>
          </w:tcPr>
          <w:p w14:paraId="0A09274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NA</w:t>
            </w:r>
          </w:p>
        </w:tc>
        <w:tc>
          <w:tcPr>
            <w:tcW w:w="592" w:type="dxa"/>
            <w:tcBorders>
              <w:top w:val="nil"/>
              <w:left w:val="nil"/>
              <w:bottom w:val="nil"/>
              <w:right w:val="nil"/>
            </w:tcBorders>
            <w:shd w:val="clear" w:color="000000" w:fill="FFFFFF"/>
            <w:noWrap/>
            <w:hideMark/>
          </w:tcPr>
          <w:p w14:paraId="1C33F8D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NA</w:t>
            </w:r>
          </w:p>
        </w:tc>
        <w:tc>
          <w:tcPr>
            <w:tcW w:w="648" w:type="dxa"/>
            <w:tcBorders>
              <w:top w:val="nil"/>
              <w:left w:val="nil"/>
              <w:bottom w:val="nil"/>
              <w:right w:val="nil"/>
            </w:tcBorders>
            <w:shd w:val="clear" w:color="000000" w:fill="FFFFFF"/>
            <w:noWrap/>
            <w:hideMark/>
          </w:tcPr>
          <w:p w14:paraId="10DE8FED" w14:textId="7F5F79DC"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N</w:t>
            </w:r>
            <w:r w:rsidR="00BE2966" w:rsidRPr="00AE2A93">
              <w:rPr>
                <w:rFonts w:ascii="Book Antiqua" w:hAnsi="Book Antiqua"/>
                <w:color w:val="000000"/>
              </w:rPr>
              <w:t>S</w:t>
            </w:r>
          </w:p>
        </w:tc>
        <w:tc>
          <w:tcPr>
            <w:tcW w:w="909" w:type="dxa"/>
            <w:tcBorders>
              <w:top w:val="nil"/>
              <w:left w:val="nil"/>
              <w:bottom w:val="nil"/>
              <w:right w:val="nil"/>
            </w:tcBorders>
            <w:shd w:val="clear" w:color="000000" w:fill="FFFFFF"/>
            <w:noWrap/>
            <w:hideMark/>
          </w:tcPr>
          <w:p w14:paraId="63221B1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291</w:t>
            </w:r>
          </w:p>
        </w:tc>
        <w:tc>
          <w:tcPr>
            <w:tcW w:w="865" w:type="dxa"/>
            <w:tcBorders>
              <w:top w:val="nil"/>
              <w:left w:val="nil"/>
              <w:bottom w:val="nil"/>
              <w:right w:val="nil"/>
            </w:tcBorders>
            <w:shd w:val="clear" w:color="000000" w:fill="FFFFFF"/>
            <w:noWrap/>
            <w:hideMark/>
          </w:tcPr>
          <w:p w14:paraId="2E75814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NA</w:t>
            </w:r>
          </w:p>
        </w:tc>
        <w:tc>
          <w:tcPr>
            <w:tcW w:w="596" w:type="dxa"/>
            <w:tcBorders>
              <w:top w:val="nil"/>
              <w:left w:val="nil"/>
              <w:bottom w:val="nil"/>
              <w:right w:val="nil"/>
            </w:tcBorders>
            <w:shd w:val="clear" w:color="000000" w:fill="FFFFFF"/>
            <w:noWrap/>
            <w:hideMark/>
          </w:tcPr>
          <w:p w14:paraId="6CEDE87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NA</w:t>
            </w:r>
          </w:p>
        </w:tc>
        <w:tc>
          <w:tcPr>
            <w:tcW w:w="580" w:type="dxa"/>
            <w:tcBorders>
              <w:top w:val="nil"/>
              <w:left w:val="nil"/>
              <w:bottom w:val="nil"/>
              <w:right w:val="nil"/>
            </w:tcBorders>
            <w:shd w:val="clear" w:color="000000" w:fill="FFFFFF"/>
            <w:noWrap/>
            <w:hideMark/>
          </w:tcPr>
          <w:p w14:paraId="7DFC35B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NA</w:t>
            </w:r>
          </w:p>
        </w:tc>
        <w:tc>
          <w:tcPr>
            <w:tcW w:w="648" w:type="dxa"/>
            <w:tcBorders>
              <w:top w:val="nil"/>
              <w:left w:val="nil"/>
              <w:bottom w:val="nil"/>
              <w:right w:val="nil"/>
            </w:tcBorders>
            <w:shd w:val="clear" w:color="000000" w:fill="FFFFFF"/>
            <w:noWrap/>
            <w:hideMark/>
          </w:tcPr>
          <w:p w14:paraId="4FA5532B" w14:textId="196F4A6B"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N</w:t>
            </w:r>
            <w:r w:rsidR="00BE2966" w:rsidRPr="00AE2A93">
              <w:rPr>
                <w:rFonts w:ascii="Book Antiqua" w:hAnsi="Book Antiqua"/>
                <w:color w:val="000000"/>
              </w:rPr>
              <w:t>S</w:t>
            </w:r>
          </w:p>
        </w:tc>
        <w:tc>
          <w:tcPr>
            <w:tcW w:w="909" w:type="dxa"/>
            <w:tcBorders>
              <w:top w:val="nil"/>
              <w:left w:val="nil"/>
              <w:bottom w:val="nil"/>
              <w:right w:val="nil"/>
            </w:tcBorders>
            <w:shd w:val="clear" w:color="000000" w:fill="FFFFFF"/>
            <w:noWrap/>
            <w:hideMark/>
          </w:tcPr>
          <w:p w14:paraId="5474523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865" w:type="dxa"/>
            <w:tcBorders>
              <w:top w:val="nil"/>
              <w:left w:val="nil"/>
              <w:bottom w:val="nil"/>
              <w:right w:val="nil"/>
            </w:tcBorders>
            <w:shd w:val="clear" w:color="000000" w:fill="FFFFFF"/>
            <w:noWrap/>
            <w:hideMark/>
          </w:tcPr>
          <w:p w14:paraId="0D834CF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NA</w:t>
            </w:r>
          </w:p>
        </w:tc>
        <w:tc>
          <w:tcPr>
            <w:tcW w:w="616" w:type="dxa"/>
            <w:tcBorders>
              <w:top w:val="nil"/>
              <w:left w:val="nil"/>
              <w:bottom w:val="nil"/>
              <w:right w:val="nil"/>
            </w:tcBorders>
            <w:shd w:val="clear" w:color="000000" w:fill="FFFFFF"/>
            <w:noWrap/>
            <w:hideMark/>
          </w:tcPr>
          <w:p w14:paraId="012C8E0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NA</w:t>
            </w:r>
          </w:p>
        </w:tc>
        <w:tc>
          <w:tcPr>
            <w:tcW w:w="616" w:type="dxa"/>
            <w:tcBorders>
              <w:top w:val="nil"/>
              <w:left w:val="nil"/>
              <w:bottom w:val="nil"/>
              <w:right w:val="nil"/>
            </w:tcBorders>
            <w:shd w:val="clear" w:color="000000" w:fill="FFFFFF"/>
            <w:noWrap/>
            <w:hideMark/>
          </w:tcPr>
          <w:p w14:paraId="2551646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NA</w:t>
            </w:r>
          </w:p>
        </w:tc>
        <w:tc>
          <w:tcPr>
            <w:tcW w:w="648" w:type="dxa"/>
            <w:tcBorders>
              <w:top w:val="nil"/>
              <w:left w:val="nil"/>
              <w:bottom w:val="nil"/>
              <w:right w:val="nil"/>
            </w:tcBorders>
            <w:shd w:val="clear" w:color="000000" w:fill="FFFFFF"/>
            <w:noWrap/>
            <w:hideMark/>
          </w:tcPr>
          <w:p w14:paraId="3E85B6A9" w14:textId="14D69B92"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N</w:t>
            </w:r>
            <w:r w:rsidR="00BE2966" w:rsidRPr="00AE2A93">
              <w:rPr>
                <w:rFonts w:ascii="Book Antiqua" w:hAnsi="Book Antiqua"/>
                <w:color w:val="000000"/>
              </w:rPr>
              <w:t>S</w:t>
            </w:r>
          </w:p>
        </w:tc>
      </w:tr>
      <w:tr w:rsidR="00501715" w:rsidRPr="00C76E19" w14:paraId="2BD3AA7B" w14:textId="77777777" w:rsidTr="00BE2966">
        <w:trPr>
          <w:trHeight w:val="320"/>
        </w:trPr>
        <w:tc>
          <w:tcPr>
            <w:tcW w:w="2311" w:type="dxa"/>
            <w:tcBorders>
              <w:top w:val="nil"/>
              <w:left w:val="nil"/>
              <w:bottom w:val="nil"/>
              <w:right w:val="nil"/>
            </w:tcBorders>
            <w:shd w:val="clear" w:color="000000" w:fill="FFFFFF"/>
            <w:noWrap/>
            <w:hideMark/>
          </w:tcPr>
          <w:p w14:paraId="390C34D1" w14:textId="77777777" w:rsidR="00501715" w:rsidRPr="00AE2A93" w:rsidRDefault="00501715" w:rsidP="00AE2A93">
            <w:pPr>
              <w:snapToGrid w:val="0"/>
              <w:spacing w:line="360" w:lineRule="auto"/>
              <w:jc w:val="both"/>
              <w:rPr>
                <w:rFonts w:ascii="Book Antiqua" w:hAnsi="Book Antiqua"/>
                <w:color w:val="222222"/>
              </w:rPr>
            </w:pPr>
            <w:r w:rsidRPr="00AE2A93">
              <w:rPr>
                <w:rFonts w:ascii="Book Antiqua" w:hAnsi="Book Antiqua"/>
                <w:color w:val="222222"/>
              </w:rPr>
              <w:t>fracture</w:t>
            </w:r>
          </w:p>
        </w:tc>
        <w:tc>
          <w:tcPr>
            <w:tcW w:w="910" w:type="dxa"/>
            <w:tcBorders>
              <w:top w:val="nil"/>
              <w:left w:val="nil"/>
              <w:bottom w:val="nil"/>
              <w:right w:val="nil"/>
            </w:tcBorders>
            <w:shd w:val="clear" w:color="000000" w:fill="FFFFFF"/>
            <w:noWrap/>
            <w:hideMark/>
          </w:tcPr>
          <w:p w14:paraId="0B0B01E1"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6" w:type="dxa"/>
            <w:tcBorders>
              <w:top w:val="nil"/>
              <w:left w:val="nil"/>
              <w:bottom w:val="nil"/>
              <w:right w:val="nil"/>
            </w:tcBorders>
            <w:shd w:val="clear" w:color="000000" w:fill="FFFFFF"/>
            <w:noWrap/>
            <w:hideMark/>
          </w:tcPr>
          <w:p w14:paraId="4053C7E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7" w:type="dxa"/>
            <w:tcBorders>
              <w:top w:val="nil"/>
              <w:left w:val="nil"/>
              <w:bottom w:val="nil"/>
              <w:right w:val="nil"/>
            </w:tcBorders>
            <w:shd w:val="clear" w:color="000000" w:fill="FFFFFF"/>
            <w:noWrap/>
            <w:hideMark/>
          </w:tcPr>
          <w:p w14:paraId="6929382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2" w:type="dxa"/>
            <w:tcBorders>
              <w:top w:val="nil"/>
              <w:left w:val="nil"/>
              <w:bottom w:val="nil"/>
              <w:right w:val="nil"/>
            </w:tcBorders>
            <w:shd w:val="clear" w:color="000000" w:fill="FFFFFF"/>
            <w:noWrap/>
            <w:hideMark/>
          </w:tcPr>
          <w:p w14:paraId="6D5CB37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185EDBDE"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5CBDA84C"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291</w:t>
            </w:r>
          </w:p>
        </w:tc>
        <w:tc>
          <w:tcPr>
            <w:tcW w:w="865" w:type="dxa"/>
            <w:tcBorders>
              <w:top w:val="nil"/>
              <w:left w:val="nil"/>
              <w:bottom w:val="nil"/>
              <w:right w:val="nil"/>
            </w:tcBorders>
            <w:shd w:val="clear" w:color="000000" w:fill="FFFFFF"/>
            <w:noWrap/>
            <w:hideMark/>
          </w:tcPr>
          <w:p w14:paraId="72EE44F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1.213 </w:t>
            </w:r>
          </w:p>
        </w:tc>
        <w:tc>
          <w:tcPr>
            <w:tcW w:w="596" w:type="dxa"/>
            <w:tcBorders>
              <w:top w:val="nil"/>
              <w:left w:val="nil"/>
              <w:bottom w:val="nil"/>
              <w:right w:val="nil"/>
            </w:tcBorders>
            <w:shd w:val="clear" w:color="000000" w:fill="FFFFFF"/>
            <w:noWrap/>
            <w:hideMark/>
          </w:tcPr>
          <w:p w14:paraId="39D9DF3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0.030 </w:t>
            </w:r>
          </w:p>
        </w:tc>
        <w:tc>
          <w:tcPr>
            <w:tcW w:w="580" w:type="dxa"/>
            <w:tcBorders>
              <w:top w:val="nil"/>
              <w:left w:val="nil"/>
              <w:bottom w:val="nil"/>
              <w:right w:val="nil"/>
            </w:tcBorders>
            <w:shd w:val="clear" w:color="000000" w:fill="FFFFFF"/>
            <w:noWrap/>
            <w:hideMark/>
          </w:tcPr>
          <w:p w14:paraId="76557FD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2.080 </w:t>
            </w:r>
          </w:p>
        </w:tc>
        <w:tc>
          <w:tcPr>
            <w:tcW w:w="648" w:type="dxa"/>
            <w:tcBorders>
              <w:top w:val="nil"/>
              <w:left w:val="nil"/>
              <w:bottom w:val="nil"/>
              <w:right w:val="nil"/>
            </w:tcBorders>
            <w:shd w:val="clear" w:color="000000" w:fill="FFFFFF"/>
            <w:noWrap/>
            <w:hideMark/>
          </w:tcPr>
          <w:p w14:paraId="49158DA1" w14:textId="68D8957A"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0.017</w:t>
            </w:r>
            <w:r w:rsidR="00BE2966" w:rsidRPr="00AE2A93">
              <w:rPr>
                <w:rFonts w:ascii="Book Antiqua" w:hAnsi="Book Antiqua"/>
                <w:color w:val="000000"/>
                <w:vertAlign w:val="superscript"/>
              </w:rPr>
              <w:t>a</w:t>
            </w:r>
            <w:r w:rsidRPr="00AE2A93">
              <w:rPr>
                <w:rFonts w:ascii="Book Antiqua" w:hAnsi="Book Antiqua"/>
                <w:color w:val="000000"/>
              </w:rPr>
              <w:t xml:space="preserve"> </w:t>
            </w:r>
          </w:p>
        </w:tc>
        <w:tc>
          <w:tcPr>
            <w:tcW w:w="909" w:type="dxa"/>
            <w:tcBorders>
              <w:top w:val="nil"/>
              <w:left w:val="nil"/>
              <w:bottom w:val="nil"/>
              <w:right w:val="nil"/>
            </w:tcBorders>
            <w:shd w:val="clear" w:color="000000" w:fill="FFFFFF"/>
            <w:noWrap/>
            <w:hideMark/>
          </w:tcPr>
          <w:p w14:paraId="73BCE2C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3054935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37A4EFC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4D8FA59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1ACFAAAF"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4956E41C" w14:textId="77777777" w:rsidTr="00BE2966">
        <w:trPr>
          <w:trHeight w:val="320"/>
        </w:trPr>
        <w:tc>
          <w:tcPr>
            <w:tcW w:w="2311" w:type="dxa"/>
            <w:tcBorders>
              <w:top w:val="nil"/>
              <w:left w:val="nil"/>
              <w:bottom w:val="nil"/>
              <w:right w:val="nil"/>
            </w:tcBorders>
            <w:shd w:val="clear" w:color="000000" w:fill="FFFFFF"/>
            <w:noWrap/>
            <w:hideMark/>
          </w:tcPr>
          <w:p w14:paraId="723FFF48" w14:textId="77777777" w:rsidR="00501715" w:rsidRPr="00AE2A93" w:rsidRDefault="00501715"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Osteoporosis</w:t>
            </w:r>
          </w:p>
        </w:tc>
        <w:tc>
          <w:tcPr>
            <w:tcW w:w="910" w:type="dxa"/>
            <w:tcBorders>
              <w:top w:val="nil"/>
              <w:left w:val="nil"/>
              <w:bottom w:val="nil"/>
              <w:right w:val="nil"/>
            </w:tcBorders>
            <w:shd w:val="clear" w:color="000000" w:fill="FFFFFF"/>
            <w:noWrap/>
            <w:hideMark/>
          </w:tcPr>
          <w:p w14:paraId="6C5A9EB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238</w:t>
            </w:r>
          </w:p>
        </w:tc>
        <w:tc>
          <w:tcPr>
            <w:tcW w:w="866" w:type="dxa"/>
            <w:tcBorders>
              <w:top w:val="nil"/>
              <w:left w:val="nil"/>
              <w:bottom w:val="nil"/>
              <w:right w:val="nil"/>
            </w:tcBorders>
            <w:shd w:val="clear" w:color="000000" w:fill="FFFFFF"/>
            <w:noWrap/>
            <w:hideMark/>
          </w:tcPr>
          <w:p w14:paraId="6B88E71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-0.159 </w:t>
            </w:r>
          </w:p>
        </w:tc>
        <w:tc>
          <w:tcPr>
            <w:tcW w:w="597" w:type="dxa"/>
            <w:tcBorders>
              <w:top w:val="nil"/>
              <w:left w:val="nil"/>
              <w:bottom w:val="nil"/>
              <w:right w:val="nil"/>
            </w:tcBorders>
            <w:shd w:val="clear" w:color="000000" w:fill="FFFFFF"/>
            <w:noWrap/>
            <w:hideMark/>
          </w:tcPr>
          <w:p w14:paraId="7E16582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-1.626 </w:t>
            </w:r>
          </w:p>
        </w:tc>
        <w:tc>
          <w:tcPr>
            <w:tcW w:w="592" w:type="dxa"/>
            <w:tcBorders>
              <w:top w:val="nil"/>
              <w:left w:val="nil"/>
              <w:bottom w:val="nil"/>
              <w:right w:val="nil"/>
            </w:tcBorders>
            <w:shd w:val="clear" w:color="000000" w:fill="FFFFFF"/>
            <w:noWrap/>
            <w:hideMark/>
          </w:tcPr>
          <w:p w14:paraId="3A41120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0.945 </w:t>
            </w:r>
          </w:p>
        </w:tc>
        <w:tc>
          <w:tcPr>
            <w:tcW w:w="648" w:type="dxa"/>
            <w:tcBorders>
              <w:top w:val="nil"/>
              <w:left w:val="nil"/>
              <w:bottom w:val="nil"/>
              <w:right w:val="nil"/>
            </w:tcBorders>
            <w:shd w:val="clear" w:color="000000" w:fill="FFFFFF"/>
            <w:noWrap/>
            <w:hideMark/>
          </w:tcPr>
          <w:p w14:paraId="6D5CACF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0.802 </w:t>
            </w:r>
          </w:p>
        </w:tc>
        <w:tc>
          <w:tcPr>
            <w:tcW w:w="909" w:type="dxa"/>
            <w:tcBorders>
              <w:top w:val="nil"/>
              <w:left w:val="nil"/>
              <w:bottom w:val="nil"/>
              <w:right w:val="nil"/>
            </w:tcBorders>
            <w:shd w:val="clear" w:color="000000" w:fill="FFFFFF"/>
            <w:noWrap/>
            <w:hideMark/>
          </w:tcPr>
          <w:p w14:paraId="05F1612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1827AC7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450F3E2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74CFFC23"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6A08BDBA"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407A718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3461108B"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0AC4848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301E102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0C5F9153"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119D568C" w14:textId="77777777" w:rsidTr="00BE2966">
        <w:trPr>
          <w:trHeight w:val="320"/>
        </w:trPr>
        <w:tc>
          <w:tcPr>
            <w:tcW w:w="2311" w:type="dxa"/>
            <w:tcBorders>
              <w:top w:val="nil"/>
              <w:left w:val="nil"/>
              <w:bottom w:val="nil"/>
              <w:right w:val="nil"/>
            </w:tcBorders>
            <w:shd w:val="clear" w:color="000000" w:fill="FFFFFF"/>
            <w:noWrap/>
            <w:hideMark/>
          </w:tcPr>
          <w:p w14:paraId="2579E08A" w14:textId="77777777" w:rsidR="00501715" w:rsidRPr="00AE2A93" w:rsidRDefault="00501715"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Muscle atrophy</w:t>
            </w:r>
          </w:p>
        </w:tc>
        <w:tc>
          <w:tcPr>
            <w:tcW w:w="910" w:type="dxa"/>
            <w:tcBorders>
              <w:top w:val="nil"/>
              <w:left w:val="nil"/>
              <w:bottom w:val="nil"/>
              <w:right w:val="nil"/>
            </w:tcBorders>
            <w:shd w:val="clear" w:color="000000" w:fill="FFFFFF"/>
            <w:noWrap/>
            <w:hideMark/>
          </w:tcPr>
          <w:p w14:paraId="3A3B49C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6" w:type="dxa"/>
            <w:tcBorders>
              <w:top w:val="nil"/>
              <w:left w:val="nil"/>
              <w:bottom w:val="nil"/>
              <w:right w:val="nil"/>
            </w:tcBorders>
            <w:shd w:val="clear" w:color="000000" w:fill="FFFFFF"/>
            <w:noWrap/>
            <w:hideMark/>
          </w:tcPr>
          <w:p w14:paraId="0F8B400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7" w:type="dxa"/>
            <w:tcBorders>
              <w:top w:val="nil"/>
              <w:left w:val="nil"/>
              <w:bottom w:val="nil"/>
              <w:right w:val="nil"/>
            </w:tcBorders>
            <w:shd w:val="clear" w:color="000000" w:fill="FFFFFF"/>
            <w:noWrap/>
            <w:hideMark/>
          </w:tcPr>
          <w:p w14:paraId="6C23038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2" w:type="dxa"/>
            <w:tcBorders>
              <w:top w:val="nil"/>
              <w:left w:val="nil"/>
              <w:bottom w:val="nil"/>
              <w:right w:val="nil"/>
            </w:tcBorders>
            <w:shd w:val="clear" w:color="000000" w:fill="FFFFFF"/>
            <w:noWrap/>
            <w:hideMark/>
          </w:tcPr>
          <w:p w14:paraId="164A855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43E94E44"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1F87344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20ECE2E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3ACA903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080B59F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3686ECE3"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6F725D3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389</w:t>
            </w:r>
          </w:p>
        </w:tc>
        <w:tc>
          <w:tcPr>
            <w:tcW w:w="865" w:type="dxa"/>
            <w:tcBorders>
              <w:top w:val="nil"/>
              <w:left w:val="nil"/>
              <w:bottom w:val="nil"/>
              <w:right w:val="nil"/>
            </w:tcBorders>
            <w:shd w:val="clear" w:color="000000" w:fill="FFFFFF"/>
            <w:noWrap/>
            <w:hideMark/>
          </w:tcPr>
          <w:p w14:paraId="116DEBF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45.956 </w:t>
            </w:r>
          </w:p>
        </w:tc>
        <w:tc>
          <w:tcPr>
            <w:tcW w:w="616" w:type="dxa"/>
            <w:tcBorders>
              <w:top w:val="nil"/>
              <w:left w:val="nil"/>
              <w:bottom w:val="nil"/>
              <w:right w:val="nil"/>
            </w:tcBorders>
            <w:shd w:val="clear" w:color="000000" w:fill="FFFFFF"/>
            <w:noWrap/>
            <w:hideMark/>
          </w:tcPr>
          <w:p w14:paraId="4101D0AC"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23.426 </w:t>
            </w:r>
          </w:p>
        </w:tc>
        <w:tc>
          <w:tcPr>
            <w:tcW w:w="616" w:type="dxa"/>
            <w:tcBorders>
              <w:top w:val="nil"/>
              <w:left w:val="nil"/>
              <w:bottom w:val="nil"/>
              <w:right w:val="nil"/>
            </w:tcBorders>
            <w:shd w:val="clear" w:color="000000" w:fill="FFFFFF"/>
            <w:noWrap/>
            <w:hideMark/>
          </w:tcPr>
          <w:p w14:paraId="7DAF38F0"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68.486 </w:t>
            </w:r>
          </w:p>
        </w:tc>
        <w:tc>
          <w:tcPr>
            <w:tcW w:w="648" w:type="dxa"/>
            <w:tcBorders>
              <w:top w:val="nil"/>
              <w:left w:val="nil"/>
              <w:bottom w:val="nil"/>
              <w:right w:val="nil"/>
            </w:tcBorders>
            <w:shd w:val="clear" w:color="000000" w:fill="FFFFFF"/>
            <w:noWrap/>
            <w:hideMark/>
          </w:tcPr>
          <w:p w14:paraId="462842F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0.000 </w:t>
            </w:r>
          </w:p>
        </w:tc>
      </w:tr>
      <w:tr w:rsidR="00501715" w:rsidRPr="00C76E19" w14:paraId="217DCE90" w14:textId="77777777" w:rsidTr="00BE2966">
        <w:trPr>
          <w:trHeight w:val="320"/>
        </w:trPr>
        <w:tc>
          <w:tcPr>
            <w:tcW w:w="2311" w:type="dxa"/>
            <w:tcBorders>
              <w:top w:val="nil"/>
              <w:left w:val="nil"/>
              <w:bottom w:val="nil"/>
              <w:right w:val="nil"/>
            </w:tcBorders>
            <w:shd w:val="clear" w:color="000000" w:fill="FFFFFF"/>
            <w:noWrap/>
            <w:hideMark/>
          </w:tcPr>
          <w:p w14:paraId="5C0DEC69" w14:textId="77777777" w:rsidR="00501715" w:rsidRPr="00AE2A93" w:rsidRDefault="00501715"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Arrhythmia</w:t>
            </w:r>
          </w:p>
        </w:tc>
        <w:tc>
          <w:tcPr>
            <w:tcW w:w="910" w:type="dxa"/>
            <w:tcBorders>
              <w:top w:val="nil"/>
              <w:left w:val="nil"/>
              <w:bottom w:val="nil"/>
              <w:right w:val="nil"/>
            </w:tcBorders>
            <w:shd w:val="clear" w:color="000000" w:fill="FFFFFF"/>
            <w:noWrap/>
            <w:hideMark/>
          </w:tcPr>
          <w:p w14:paraId="2E29B24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238</w:t>
            </w:r>
          </w:p>
        </w:tc>
        <w:tc>
          <w:tcPr>
            <w:tcW w:w="866" w:type="dxa"/>
            <w:tcBorders>
              <w:top w:val="nil"/>
              <w:left w:val="nil"/>
              <w:bottom w:val="nil"/>
              <w:right w:val="nil"/>
            </w:tcBorders>
            <w:shd w:val="clear" w:color="000000" w:fill="FFFFFF"/>
            <w:noWrap/>
            <w:hideMark/>
          </w:tcPr>
          <w:p w14:paraId="10A92B8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-1.109 </w:t>
            </w:r>
          </w:p>
        </w:tc>
        <w:tc>
          <w:tcPr>
            <w:tcW w:w="597" w:type="dxa"/>
            <w:tcBorders>
              <w:top w:val="nil"/>
              <w:left w:val="nil"/>
              <w:bottom w:val="nil"/>
              <w:right w:val="nil"/>
            </w:tcBorders>
            <w:shd w:val="clear" w:color="000000" w:fill="FFFFFF"/>
            <w:noWrap/>
            <w:hideMark/>
          </w:tcPr>
          <w:p w14:paraId="44F7BCCC"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-2.919 </w:t>
            </w:r>
          </w:p>
        </w:tc>
        <w:tc>
          <w:tcPr>
            <w:tcW w:w="592" w:type="dxa"/>
            <w:tcBorders>
              <w:top w:val="nil"/>
              <w:left w:val="nil"/>
              <w:bottom w:val="nil"/>
              <w:right w:val="nil"/>
            </w:tcBorders>
            <w:shd w:val="clear" w:color="000000" w:fill="FFFFFF"/>
            <w:noWrap/>
            <w:hideMark/>
          </w:tcPr>
          <w:p w14:paraId="6F12C76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0.055 </w:t>
            </w:r>
          </w:p>
        </w:tc>
        <w:tc>
          <w:tcPr>
            <w:tcW w:w="648" w:type="dxa"/>
            <w:tcBorders>
              <w:top w:val="nil"/>
              <w:left w:val="nil"/>
              <w:bottom w:val="nil"/>
              <w:right w:val="nil"/>
            </w:tcBorders>
            <w:shd w:val="clear" w:color="000000" w:fill="FFFFFF"/>
            <w:noWrap/>
            <w:hideMark/>
          </w:tcPr>
          <w:p w14:paraId="3E77DC4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0.123 </w:t>
            </w:r>
          </w:p>
        </w:tc>
        <w:tc>
          <w:tcPr>
            <w:tcW w:w="909" w:type="dxa"/>
            <w:tcBorders>
              <w:top w:val="nil"/>
              <w:left w:val="nil"/>
              <w:bottom w:val="nil"/>
              <w:right w:val="nil"/>
            </w:tcBorders>
            <w:shd w:val="clear" w:color="000000" w:fill="FFFFFF"/>
            <w:noWrap/>
            <w:hideMark/>
          </w:tcPr>
          <w:p w14:paraId="49F2351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6BEC8F18"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nil"/>
              <w:right w:val="nil"/>
            </w:tcBorders>
            <w:shd w:val="clear" w:color="000000" w:fill="FFFFFF"/>
            <w:noWrap/>
            <w:hideMark/>
          </w:tcPr>
          <w:p w14:paraId="6D3A8BB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nil"/>
              <w:right w:val="nil"/>
            </w:tcBorders>
            <w:shd w:val="clear" w:color="000000" w:fill="FFFFFF"/>
            <w:noWrap/>
            <w:hideMark/>
          </w:tcPr>
          <w:p w14:paraId="7A0E0ECA"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085A6794"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4953420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nil"/>
              <w:right w:val="nil"/>
            </w:tcBorders>
            <w:shd w:val="clear" w:color="000000" w:fill="FFFFFF"/>
            <w:noWrap/>
            <w:hideMark/>
          </w:tcPr>
          <w:p w14:paraId="1A18BFD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4285596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nil"/>
              <w:right w:val="nil"/>
            </w:tcBorders>
            <w:shd w:val="clear" w:color="000000" w:fill="FFFFFF"/>
            <w:noWrap/>
            <w:hideMark/>
          </w:tcPr>
          <w:p w14:paraId="10C38F46"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nil"/>
              <w:right w:val="nil"/>
            </w:tcBorders>
            <w:shd w:val="clear" w:color="000000" w:fill="FFFFFF"/>
            <w:noWrap/>
            <w:hideMark/>
          </w:tcPr>
          <w:p w14:paraId="395C3584"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501715" w:rsidRPr="00C76E19" w14:paraId="1E1AAD8F" w14:textId="77777777" w:rsidTr="00BE2966">
        <w:trPr>
          <w:trHeight w:val="320"/>
        </w:trPr>
        <w:tc>
          <w:tcPr>
            <w:tcW w:w="2311" w:type="dxa"/>
            <w:tcBorders>
              <w:top w:val="nil"/>
              <w:left w:val="nil"/>
              <w:bottom w:val="single" w:sz="4" w:space="0" w:color="auto"/>
              <w:right w:val="nil"/>
            </w:tcBorders>
            <w:shd w:val="clear" w:color="000000" w:fill="FFFFFF"/>
            <w:noWrap/>
            <w:hideMark/>
          </w:tcPr>
          <w:p w14:paraId="726A3A55" w14:textId="77777777" w:rsidR="00501715" w:rsidRPr="00AE2A93" w:rsidRDefault="00501715"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Hepatitis B virus carriers</w:t>
            </w:r>
          </w:p>
        </w:tc>
        <w:tc>
          <w:tcPr>
            <w:tcW w:w="910" w:type="dxa"/>
            <w:tcBorders>
              <w:top w:val="nil"/>
              <w:left w:val="nil"/>
              <w:bottom w:val="single" w:sz="4" w:space="0" w:color="auto"/>
              <w:right w:val="nil"/>
            </w:tcBorders>
            <w:shd w:val="clear" w:color="000000" w:fill="FFFFFF"/>
            <w:noWrap/>
            <w:hideMark/>
          </w:tcPr>
          <w:p w14:paraId="14DCB7F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238</w:t>
            </w:r>
          </w:p>
        </w:tc>
        <w:tc>
          <w:tcPr>
            <w:tcW w:w="866" w:type="dxa"/>
            <w:tcBorders>
              <w:top w:val="nil"/>
              <w:left w:val="nil"/>
              <w:bottom w:val="single" w:sz="4" w:space="0" w:color="auto"/>
              <w:right w:val="nil"/>
            </w:tcBorders>
            <w:shd w:val="clear" w:color="000000" w:fill="FFFFFF"/>
            <w:noWrap/>
            <w:hideMark/>
          </w:tcPr>
          <w:p w14:paraId="728A2E7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-0.358 </w:t>
            </w:r>
          </w:p>
        </w:tc>
        <w:tc>
          <w:tcPr>
            <w:tcW w:w="597" w:type="dxa"/>
            <w:tcBorders>
              <w:top w:val="nil"/>
              <w:left w:val="nil"/>
              <w:bottom w:val="single" w:sz="4" w:space="0" w:color="auto"/>
              <w:right w:val="nil"/>
            </w:tcBorders>
            <w:shd w:val="clear" w:color="000000" w:fill="FFFFFF"/>
            <w:noWrap/>
            <w:hideMark/>
          </w:tcPr>
          <w:p w14:paraId="3A253365"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-1.062 </w:t>
            </w:r>
          </w:p>
        </w:tc>
        <w:tc>
          <w:tcPr>
            <w:tcW w:w="592" w:type="dxa"/>
            <w:tcBorders>
              <w:top w:val="nil"/>
              <w:left w:val="nil"/>
              <w:bottom w:val="single" w:sz="4" w:space="0" w:color="auto"/>
              <w:right w:val="nil"/>
            </w:tcBorders>
            <w:shd w:val="clear" w:color="000000" w:fill="FFFFFF"/>
            <w:noWrap/>
            <w:hideMark/>
          </w:tcPr>
          <w:p w14:paraId="40316AF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0.235 </w:t>
            </w:r>
          </w:p>
        </w:tc>
        <w:tc>
          <w:tcPr>
            <w:tcW w:w="648" w:type="dxa"/>
            <w:tcBorders>
              <w:top w:val="nil"/>
              <w:left w:val="nil"/>
              <w:bottom w:val="single" w:sz="4" w:space="0" w:color="auto"/>
              <w:right w:val="nil"/>
            </w:tcBorders>
            <w:shd w:val="clear" w:color="000000" w:fill="FFFFFF"/>
            <w:noWrap/>
            <w:hideMark/>
          </w:tcPr>
          <w:p w14:paraId="42E0F47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xml:space="preserve">0.275 </w:t>
            </w:r>
          </w:p>
        </w:tc>
        <w:tc>
          <w:tcPr>
            <w:tcW w:w="909" w:type="dxa"/>
            <w:tcBorders>
              <w:top w:val="nil"/>
              <w:left w:val="nil"/>
              <w:bottom w:val="single" w:sz="4" w:space="0" w:color="auto"/>
              <w:right w:val="nil"/>
            </w:tcBorders>
            <w:shd w:val="clear" w:color="000000" w:fill="FFFFFF"/>
            <w:noWrap/>
            <w:hideMark/>
          </w:tcPr>
          <w:p w14:paraId="55384ABF"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single" w:sz="4" w:space="0" w:color="auto"/>
              <w:right w:val="nil"/>
            </w:tcBorders>
            <w:shd w:val="clear" w:color="000000" w:fill="FFFFFF"/>
            <w:noWrap/>
            <w:hideMark/>
          </w:tcPr>
          <w:p w14:paraId="6B9877B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96" w:type="dxa"/>
            <w:tcBorders>
              <w:top w:val="nil"/>
              <w:left w:val="nil"/>
              <w:bottom w:val="single" w:sz="4" w:space="0" w:color="auto"/>
              <w:right w:val="nil"/>
            </w:tcBorders>
            <w:shd w:val="clear" w:color="000000" w:fill="FFFFFF"/>
            <w:noWrap/>
            <w:hideMark/>
          </w:tcPr>
          <w:p w14:paraId="5334E099"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80" w:type="dxa"/>
            <w:tcBorders>
              <w:top w:val="nil"/>
              <w:left w:val="nil"/>
              <w:bottom w:val="single" w:sz="4" w:space="0" w:color="auto"/>
              <w:right w:val="nil"/>
            </w:tcBorders>
            <w:shd w:val="clear" w:color="000000" w:fill="FFFFFF"/>
            <w:noWrap/>
            <w:hideMark/>
          </w:tcPr>
          <w:p w14:paraId="2E992E0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single" w:sz="4" w:space="0" w:color="auto"/>
              <w:right w:val="nil"/>
            </w:tcBorders>
            <w:shd w:val="clear" w:color="000000" w:fill="FFFFFF"/>
            <w:noWrap/>
            <w:hideMark/>
          </w:tcPr>
          <w:p w14:paraId="45872087"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909" w:type="dxa"/>
            <w:tcBorders>
              <w:top w:val="nil"/>
              <w:left w:val="nil"/>
              <w:bottom w:val="single" w:sz="4" w:space="0" w:color="auto"/>
              <w:right w:val="nil"/>
            </w:tcBorders>
            <w:shd w:val="clear" w:color="000000" w:fill="FFFFFF"/>
            <w:noWrap/>
            <w:hideMark/>
          </w:tcPr>
          <w:p w14:paraId="1636F28E"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65" w:type="dxa"/>
            <w:tcBorders>
              <w:top w:val="nil"/>
              <w:left w:val="nil"/>
              <w:bottom w:val="single" w:sz="4" w:space="0" w:color="auto"/>
              <w:right w:val="nil"/>
            </w:tcBorders>
            <w:shd w:val="clear" w:color="000000" w:fill="FFFFFF"/>
            <w:noWrap/>
            <w:hideMark/>
          </w:tcPr>
          <w:p w14:paraId="5503FA57"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single" w:sz="4" w:space="0" w:color="auto"/>
              <w:right w:val="nil"/>
            </w:tcBorders>
            <w:shd w:val="clear" w:color="000000" w:fill="FFFFFF"/>
            <w:noWrap/>
            <w:hideMark/>
          </w:tcPr>
          <w:p w14:paraId="14A7C3C2"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6" w:type="dxa"/>
            <w:tcBorders>
              <w:top w:val="nil"/>
              <w:left w:val="nil"/>
              <w:bottom w:val="single" w:sz="4" w:space="0" w:color="auto"/>
              <w:right w:val="nil"/>
            </w:tcBorders>
            <w:shd w:val="clear" w:color="000000" w:fill="FFFFFF"/>
            <w:noWrap/>
            <w:hideMark/>
          </w:tcPr>
          <w:p w14:paraId="030DAF64" w14:textId="77777777" w:rsidR="00501715" w:rsidRPr="00AE2A93" w:rsidRDefault="00501715"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48" w:type="dxa"/>
            <w:tcBorders>
              <w:top w:val="nil"/>
              <w:left w:val="nil"/>
              <w:bottom w:val="single" w:sz="4" w:space="0" w:color="auto"/>
              <w:right w:val="nil"/>
            </w:tcBorders>
            <w:shd w:val="clear" w:color="000000" w:fill="FFFFFF"/>
            <w:noWrap/>
            <w:hideMark/>
          </w:tcPr>
          <w:p w14:paraId="3F0E2E80" w14:textId="77777777" w:rsidR="00501715" w:rsidRPr="00AE2A93" w:rsidRDefault="00501715"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bl>
    <w:p w14:paraId="1F5401D0" w14:textId="0A1B3E35" w:rsidR="00BE2966" w:rsidRPr="00C76E19" w:rsidRDefault="00BE2966" w:rsidP="00AE2A93">
      <w:pPr>
        <w:snapToGrid w:val="0"/>
        <w:spacing w:line="360" w:lineRule="auto"/>
        <w:jc w:val="both"/>
        <w:rPr>
          <w:rFonts w:ascii="Book Antiqua" w:eastAsia="Book Antiqua" w:hAnsi="Book Antiqua" w:cs="Book Antiqua"/>
          <w:color w:val="000000"/>
        </w:rPr>
      </w:pPr>
      <w:r w:rsidRPr="00C76E19">
        <w:rPr>
          <w:rFonts w:ascii="Book Antiqua" w:hAnsi="Book Antiqua"/>
          <w:vertAlign w:val="superscript"/>
          <w:lang w:eastAsia="zh-CN"/>
        </w:rPr>
        <w:t>a</w:t>
      </w:r>
      <w:r w:rsidRPr="00C76E19">
        <w:rPr>
          <w:rFonts w:ascii="Book Antiqua" w:hAnsi="Book Antiqua"/>
          <w:i/>
          <w:iCs/>
          <w:lang w:eastAsia="zh-CN"/>
        </w:rPr>
        <w:t>P</w:t>
      </w:r>
      <w:r w:rsidRPr="002B5BCF">
        <w:rPr>
          <w:rFonts w:ascii="Book Antiqua" w:hAnsi="Book Antiqua"/>
          <w:lang w:eastAsia="zh-CN"/>
        </w:rPr>
        <w:t xml:space="preserve"> &lt; 0.05, </w:t>
      </w:r>
      <w:r w:rsidRPr="002B5BCF">
        <w:rPr>
          <w:rFonts w:ascii="Book Antiqua" w:hAnsi="Book Antiqua"/>
          <w:vertAlign w:val="superscript"/>
          <w:lang w:eastAsia="zh-CN"/>
        </w:rPr>
        <w:t>b</w:t>
      </w:r>
      <w:r w:rsidRPr="002B5BCF">
        <w:rPr>
          <w:rFonts w:ascii="Book Antiqua" w:hAnsi="Book Antiqua"/>
          <w:i/>
          <w:iCs/>
          <w:lang w:eastAsia="zh-CN"/>
        </w:rPr>
        <w:t>P</w:t>
      </w:r>
      <w:r w:rsidRPr="002B5BCF">
        <w:rPr>
          <w:rFonts w:ascii="Book Antiqua" w:hAnsi="Book Antiqua"/>
          <w:lang w:eastAsia="zh-CN"/>
        </w:rPr>
        <w:t xml:space="preserve"> &lt; 0.01. </w:t>
      </w:r>
      <w:r w:rsidR="002B5BCF" w:rsidRPr="008D7E58">
        <w:rPr>
          <w:rFonts w:ascii="Book Antiqua" w:eastAsia="Book Antiqua" w:hAnsi="Book Antiqua" w:cs="Book Antiqua"/>
          <w:color w:val="000000"/>
        </w:rPr>
        <w:t xml:space="preserve">BMI: Body mass index; </w:t>
      </w:r>
      <w:r w:rsidRPr="002B5BCF">
        <w:rPr>
          <w:rFonts w:ascii="Book Antiqua" w:hAnsi="Book Antiqua"/>
          <w:lang w:eastAsia="zh-CN"/>
        </w:rPr>
        <w:t>CD: Crohn’s disease;</w:t>
      </w:r>
      <w:r w:rsidRPr="00A23AA9">
        <w:rPr>
          <w:rFonts w:ascii="Book Antiqua" w:eastAsia="Book Antiqua" w:hAnsi="Book Antiqua" w:cs="Book Antiqua"/>
          <w:color w:val="000000"/>
        </w:rPr>
        <w:t xml:space="preserve"> CI: Confidence interval; </w:t>
      </w:r>
      <w:r w:rsidR="002B5BCF" w:rsidRPr="000A6805">
        <w:rPr>
          <w:rFonts w:ascii="Book Antiqua" w:eastAsia="Book Antiqua" w:hAnsi="Book Antiqua" w:cs="Book Antiqua"/>
          <w:color w:val="000000"/>
        </w:rPr>
        <w:t xml:space="preserve">CMT: Conventional maintenance therapy; </w:t>
      </w:r>
      <w:r w:rsidRPr="002B5BCF">
        <w:rPr>
          <w:rFonts w:ascii="Book Antiqua" w:eastAsia="Book Antiqua" w:hAnsi="Book Antiqua" w:cs="Book Antiqua"/>
          <w:color w:val="000000"/>
        </w:rPr>
        <w:t xml:space="preserve">IMT: Infliximab maintenance therapy; </w:t>
      </w:r>
      <w:r w:rsidRPr="00C76E19">
        <w:rPr>
          <w:rFonts w:ascii="Book Antiqua" w:eastAsia="宋体" w:hAnsi="Book Antiqua"/>
        </w:rPr>
        <w:t xml:space="preserve">NA: </w:t>
      </w:r>
      <w:bookmarkStart w:id="5" w:name="_Hlk47968679"/>
      <w:r w:rsidRPr="00C76E19">
        <w:rPr>
          <w:rFonts w:ascii="Book Antiqua" w:eastAsia="宋体" w:hAnsi="Book Antiqua"/>
        </w:rPr>
        <w:t>Not available;</w:t>
      </w:r>
      <w:bookmarkEnd w:id="5"/>
      <w:r w:rsidRPr="00C76E19">
        <w:rPr>
          <w:rFonts w:ascii="Book Antiqua" w:eastAsia="宋体" w:hAnsi="Book Antiqua"/>
        </w:rPr>
        <w:t xml:space="preserve"> NS: Not significant.</w:t>
      </w:r>
    </w:p>
    <w:p w14:paraId="670A5BD8" w14:textId="04382216" w:rsidR="00501715" w:rsidRPr="00C76E19" w:rsidRDefault="00383B79" w:rsidP="00AE2A93">
      <w:pPr>
        <w:snapToGrid w:val="0"/>
        <w:spacing w:line="360" w:lineRule="auto"/>
        <w:jc w:val="both"/>
        <w:rPr>
          <w:rFonts w:ascii="Book Antiqua" w:hAnsi="Book Antiqua"/>
          <w:b/>
          <w:bCs/>
          <w:lang w:eastAsia="zh-CN"/>
        </w:rPr>
      </w:pPr>
      <w:r w:rsidRPr="00C76E19">
        <w:rPr>
          <w:rFonts w:ascii="Book Antiqua" w:hAnsi="Book Antiqua"/>
          <w:b/>
          <w:bCs/>
          <w:lang w:eastAsia="zh-CN"/>
        </w:rPr>
        <w:br w:type="page"/>
        <w:t>Table 5 Summary of the multivariable regression analyses for direct medical costs in the included moderate to severe Crohn’s disease patients</w:t>
      </w:r>
    </w:p>
    <w:tbl>
      <w:tblPr>
        <w:tblW w:w="4612" w:type="pct"/>
        <w:tblLayout w:type="fixed"/>
        <w:tblLook w:val="04A0" w:firstRow="1" w:lastRow="0" w:firstColumn="1" w:lastColumn="0" w:noHBand="0" w:noVBand="1"/>
      </w:tblPr>
      <w:tblGrid>
        <w:gridCol w:w="1901"/>
        <w:gridCol w:w="834"/>
        <w:gridCol w:w="788"/>
        <w:gridCol w:w="560"/>
        <w:gridCol w:w="559"/>
        <w:gridCol w:w="610"/>
        <w:gridCol w:w="834"/>
        <w:gridCol w:w="788"/>
        <w:gridCol w:w="560"/>
        <w:gridCol w:w="559"/>
        <w:gridCol w:w="610"/>
        <w:gridCol w:w="834"/>
        <w:gridCol w:w="788"/>
        <w:gridCol w:w="560"/>
        <w:gridCol w:w="559"/>
        <w:gridCol w:w="610"/>
      </w:tblGrid>
      <w:tr w:rsidR="00136423" w:rsidRPr="00C76E19" w14:paraId="358DFAF5" w14:textId="77777777" w:rsidTr="005368E5">
        <w:trPr>
          <w:trHeight w:val="320"/>
        </w:trPr>
        <w:tc>
          <w:tcPr>
            <w:tcW w:w="1942" w:type="dxa"/>
            <w:tcBorders>
              <w:top w:val="single" w:sz="4" w:space="0" w:color="auto"/>
              <w:left w:val="nil"/>
              <w:bottom w:val="single" w:sz="4" w:space="0" w:color="auto"/>
              <w:right w:val="nil"/>
            </w:tcBorders>
            <w:shd w:val="clear" w:color="000000" w:fill="FFFFFF"/>
            <w:noWrap/>
            <w:hideMark/>
          </w:tcPr>
          <w:p w14:paraId="6A97C191"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Outcome type </w:t>
            </w:r>
          </w:p>
        </w:tc>
        <w:tc>
          <w:tcPr>
            <w:tcW w:w="3404" w:type="dxa"/>
            <w:gridSpan w:val="5"/>
            <w:tcBorders>
              <w:top w:val="single" w:sz="4" w:space="0" w:color="auto"/>
              <w:left w:val="nil"/>
              <w:bottom w:val="single" w:sz="4" w:space="0" w:color="auto"/>
              <w:right w:val="nil"/>
            </w:tcBorders>
            <w:shd w:val="clear" w:color="000000" w:fill="FFFFFF"/>
            <w:noWrap/>
            <w:hideMark/>
          </w:tcPr>
          <w:p w14:paraId="54319F22"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Outpatient medical costs </w:t>
            </w:r>
          </w:p>
        </w:tc>
        <w:tc>
          <w:tcPr>
            <w:tcW w:w="3404" w:type="dxa"/>
            <w:gridSpan w:val="5"/>
            <w:tcBorders>
              <w:top w:val="single" w:sz="4" w:space="0" w:color="auto"/>
              <w:left w:val="nil"/>
              <w:bottom w:val="single" w:sz="4" w:space="0" w:color="auto"/>
              <w:right w:val="nil"/>
            </w:tcBorders>
            <w:shd w:val="clear" w:color="000000" w:fill="FFFFFF"/>
            <w:noWrap/>
            <w:hideMark/>
          </w:tcPr>
          <w:p w14:paraId="7825F2BF"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Hospital costs related to active disease </w:t>
            </w:r>
          </w:p>
        </w:tc>
        <w:tc>
          <w:tcPr>
            <w:tcW w:w="3404" w:type="dxa"/>
            <w:gridSpan w:val="5"/>
            <w:tcBorders>
              <w:top w:val="single" w:sz="4" w:space="0" w:color="auto"/>
              <w:left w:val="nil"/>
              <w:bottom w:val="single" w:sz="4" w:space="0" w:color="auto"/>
              <w:right w:val="nil"/>
            </w:tcBorders>
            <w:shd w:val="clear" w:color="000000" w:fill="FFFFFF"/>
            <w:noWrap/>
            <w:hideMark/>
          </w:tcPr>
          <w:p w14:paraId="0D8800A9"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Total medical costs </w:t>
            </w:r>
          </w:p>
        </w:tc>
      </w:tr>
      <w:tr w:rsidR="00136423" w:rsidRPr="00C76E19" w14:paraId="7CDD17F8" w14:textId="77777777" w:rsidTr="005368E5">
        <w:trPr>
          <w:trHeight w:val="320"/>
        </w:trPr>
        <w:tc>
          <w:tcPr>
            <w:tcW w:w="1942" w:type="dxa"/>
            <w:tcBorders>
              <w:top w:val="nil"/>
              <w:left w:val="nil"/>
              <w:bottom w:val="single" w:sz="4" w:space="0" w:color="auto"/>
              <w:right w:val="nil"/>
            </w:tcBorders>
            <w:shd w:val="clear" w:color="000000" w:fill="FFFFFF"/>
            <w:noWrap/>
            <w:hideMark/>
          </w:tcPr>
          <w:p w14:paraId="22E15F40"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Regression analysis method </w:t>
            </w:r>
          </w:p>
        </w:tc>
        <w:tc>
          <w:tcPr>
            <w:tcW w:w="3404" w:type="dxa"/>
            <w:gridSpan w:val="5"/>
            <w:tcBorders>
              <w:top w:val="single" w:sz="4" w:space="0" w:color="auto"/>
              <w:left w:val="nil"/>
              <w:bottom w:val="single" w:sz="4" w:space="0" w:color="auto"/>
              <w:right w:val="nil"/>
            </w:tcBorders>
            <w:shd w:val="clear" w:color="000000" w:fill="FFFFFF"/>
            <w:noWrap/>
            <w:hideMark/>
          </w:tcPr>
          <w:p w14:paraId="1385E017"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Generalized linear regression analysis </w:t>
            </w:r>
          </w:p>
        </w:tc>
        <w:tc>
          <w:tcPr>
            <w:tcW w:w="3404" w:type="dxa"/>
            <w:gridSpan w:val="5"/>
            <w:tcBorders>
              <w:top w:val="nil"/>
              <w:left w:val="nil"/>
              <w:bottom w:val="single" w:sz="4" w:space="0" w:color="auto"/>
              <w:right w:val="nil"/>
            </w:tcBorders>
            <w:shd w:val="clear" w:color="000000" w:fill="FFFFFF"/>
            <w:noWrap/>
            <w:hideMark/>
          </w:tcPr>
          <w:p w14:paraId="203E8B77"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Generalized linear regression analysis </w:t>
            </w:r>
          </w:p>
        </w:tc>
        <w:tc>
          <w:tcPr>
            <w:tcW w:w="3404" w:type="dxa"/>
            <w:gridSpan w:val="5"/>
            <w:tcBorders>
              <w:top w:val="nil"/>
              <w:left w:val="nil"/>
              <w:bottom w:val="single" w:sz="4" w:space="0" w:color="auto"/>
              <w:right w:val="nil"/>
            </w:tcBorders>
            <w:shd w:val="clear" w:color="000000" w:fill="FFFFFF"/>
            <w:noWrap/>
            <w:hideMark/>
          </w:tcPr>
          <w:p w14:paraId="34FD84D1"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Generalized linear regression analysis </w:t>
            </w:r>
          </w:p>
        </w:tc>
      </w:tr>
      <w:tr w:rsidR="00136423" w:rsidRPr="00C76E19" w14:paraId="143669B4" w14:textId="77777777" w:rsidTr="005368E5">
        <w:trPr>
          <w:trHeight w:val="345"/>
        </w:trPr>
        <w:tc>
          <w:tcPr>
            <w:tcW w:w="1942" w:type="dxa"/>
            <w:vMerge w:val="restart"/>
            <w:tcBorders>
              <w:top w:val="nil"/>
              <w:left w:val="nil"/>
              <w:bottom w:val="single" w:sz="4" w:space="0" w:color="000000"/>
              <w:right w:val="nil"/>
            </w:tcBorders>
            <w:shd w:val="clear" w:color="000000" w:fill="FFFFFF"/>
            <w:noWrap/>
            <w:hideMark/>
          </w:tcPr>
          <w:p w14:paraId="48ED8153"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Independent variables </w:t>
            </w:r>
          </w:p>
        </w:tc>
        <w:tc>
          <w:tcPr>
            <w:tcW w:w="849" w:type="dxa"/>
            <w:vMerge w:val="restart"/>
            <w:tcBorders>
              <w:top w:val="nil"/>
              <w:left w:val="nil"/>
              <w:bottom w:val="single" w:sz="4" w:space="0" w:color="000000"/>
              <w:right w:val="nil"/>
            </w:tcBorders>
            <w:shd w:val="clear" w:color="000000" w:fill="FFFFFF"/>
            <w:noWrap/>
            <w:hideMark/>
          </w:tcPr>
          <w:p w14:paraId="6E586F1E"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Sample size</w:t>
            </w:r>
          </w:p>
        </w:tc>
        <w:tc>
          <w:tcPr>
            <w:tcW w:w="801" w:type="dxa"/>
            <w:vMerge w:val="restart"/>
            <w:tcBorders>
              <w:top w:val="single" w:sz="4" w:space="0" w:color="auto"/>
              <w:left w:val="nil"/>
              <w:bottom w:val="single" w:sz="4" w:space="0" w:color="auto"/>
              <w:right w:val="nil"/>
            </w:tcBorders>
            <w:shd w:val="clear" w:color="000000" w:fill="FFFFFF"/>
            <w:noWrap/>
            <w:hideMark/>
          </w:tcPr>
          <w:p w14:paraId="51ABBF98"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Coefficient </w:t>
            </w:r>
          </w:p>
        </w:tc>
        <w:tc>
          <w:tcPr>
            <w:tcW w:w="1135" w:type="dxa"/>
            <w:gridSpan w:val="2"/>
            <w:tcBorders>
              <w:top w:val="single" w:sz="4" w:space="0" w:color="auto"/>
              <w:left w:val="nil"/>
              <w:bottom w:val="single" w:sz="4" w:space="0" w:color="auto"/>
              <w:right w:val="nil"/>
            </w:tcBorders>
            <w:shd w:val="clear" w:color="000000" w:fill="FFFFFF"/>
            <w:noWrap/>
            <w:hideMark/>
          </w:tcPr>
          <w:p w14:paraId="44E20110" w14:textId="522E1F1D"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95%CI</w:t>
            </w:r>
          </w:p>
        </w:tc>
        <w:tc>
          <w:tcPr>
            <w:tcW w:w="619" w:type="dxa"/>
            <w:vMerge w:val="restart"/>
            <w:tcBorders>
              <w:top w:val="nil"/>
              <w:left w:val="nil"/>
              <w:bottom w:val="single" w:sz="4" w:space="0" w:color="000000"/>
              <w:right w:val="nil"/>
            </w:tcBorders>
            <w:shd w:val="clear" w:color="000000" w:fill="FFFFFF"/>
            <w:noWrap/>
            <w:hideMark/>
          </w:tcPr>
          <w:p w14:paraId="2D4F8A4C"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i/>
                <w:iCs/>
                <w:color w:val="000000"/>
              </w:rPr>
              <w:t>P</w:t>
            </w:r>
            <w:r w:rsidRPr="00AE2A93">
              <w:rPr>
                <w:rFonts w:ascii="Book Antiqua" w:hAnsi="Book Antiqua"/>
                <w:b/>
                <w:bCs/>
                <w:color w:val="000000"/>
              </w:rPr>
              <w:t xml:space="preserve"> value </w:t>
            </w:r>
          </w:p>
        </w:tc>
        <w:tc>
          <w:tcPr>
            <w:tcW w:w="849" w:type="dxa"/>
            <w:vMerge w:val="restart"/>
            <w:tcBorders>
              <w:top w:val="nil"/>
              <w:left w:val="nil"/>
              <w:bottom w:val="single" w:sz="4" w:space="0" w:color="000000"/>
              <w:right w:val="nil"/>
            </w:tcBorders>
            <w:shd w:val="clear" w:color="000000" w:fill="FFFFFF"/>
            <w:noWrap/>
            <w:hideMark/>
          </w:tcPr>
          <w:p w14:paraId="4A337FC8"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Sample size</w:t>
            </w:r>
          </w:p>
        </w:tc>
        <w:tc>
          <w:tcPr>
            <w:tcW w:w="801" w:type="dxa"/>
            <w:vMerge w:val="restart"/>
            <w:tcBorders>
              <w:top w:val="single" w:sz="4" w:space="0" w:color="auto"/>
              <w:left w:val="nil"/>
              <w:bottom w:val="single" w:sz="4" w:space="0" w:color="auto"/>
              <w:right w:val="nil"/>
            </w:tcBorders>
            <w:shd w:val="clear" w:color="000000" w:fill="FFFFFF"/>
            <w:noWrap/>
            <w:hideMark/>
          </w:tcPr>
          <w:p w14:paraId="34BA012F"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Coefficient </w:t>
            </w:r>
          </w:p>
        </w:tc>
        <w:tc>
          <w:tcPr>
            <w:tcW w:w="1135" w:type="dxa"/>
            <w:gridSpan w:val="2"/>
            <w:tcBorders>
              <w:top w:val="single" w:sz="4" w:space="0" w:color="auto"/>
              <w:left w:val="nil"/>
              <w:bottom w:val="single" w:sz="4" w:space="0" w:color="auto"/>
              <w:right w:val="nil"/>
            </w:tcBorders>
            <w:shd w:val="clear" w:color="000000" w:fill="FFFFFF"/>
            <w:noWrap/>
            <w:hideMark/>
          </w:tcPr>
          <w:p w14:paraId="5ECC46A2" w14:textId="4E6C8DA6"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95%CI</w:t>
            </w:r>
          </w:p>
        </w:tc>
        <w:tc>
          <w:tcPr>
            <w:tcW w:w="619" w:type="dxa"/>
            <w:vMerge w:val="restart"/>
            <w:tcBorders>
              <w:top w:val="nil"/>
              <w:left w:val="nil"/>
              <w:bottom w:val="single" w:sz="4" w:space="0" w:color="000000"/>
              <w:right w:val="nil"/>
            </w:tcBorders>
            <w:shd w:val="clear" w:color="000000" w:fill="FFFFFF"/>
            <w:noWrap/>
            <w:hideMark/>
          </w:tcPr>
          <w:p w14:paraId="5DBE9788"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i/>
                <w:iCs/>
                <w:color w:val="000000"/>
              </w:rPr>
              <w:t xml:space="preserve">P </w:t>
            </w:r>
            <w:r w:rsidRPr="00AE2A93">
              <w:rPr>
                <w:rFonts w:ascii="Book Antiqua" w:hAnsi="Book Antiqua"/>
                <w:b/>
                <w:bCs/>
                <w:color w:val="000000"/>
              </w:rPr>
              <w:t xml:space="preserve">value </w:t>
            </w:r>
          </w:p>
        </w:tc>
        <w:tc>
          <w:tcPr>
            <w:tcW w:w="849" w:type="dxa"/>
            <w:vMerge w:val="restart"/>
            <w:tcBorders>
              <w:top w:val="nil"/>
              <w:left w:val="nil"/>
              <w:bottom w:val="single" w:sz="4" w:space="0" w:color="000000"/>
              <w:right w:val="nil"/>
            </w:tcBorders>
            <w:shd w:val="clear" w:color="000000" w:fill="FFFFFF"/>
            <w:noWrap/>
            <w:hideMark/>
          </w:tcPr>
          <w:p w14:paraId="5F4F11F1"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Sample size</w:t>
            </w:r>
          </w:p>
        </w:tc>
        <w:tc>
          <w:tcPr>
            <w:tcW w:w="801" w:type="dxa"/>
            <w:vMerge w:val="restart"/>
            <w:tcBorders>
              <w:top w:val="single" w:sz="4" w:space="0" w:color="auto"/>
              <w:left w:val="nil"/>
              <w:bottom w:val="single" w:sz="4" w:space="0" w:color="auto"/>
              <w:right w:val="nil"/>
            </w:tcBorders>
            <w:shd w:val="clear" w:color="000000" w:fill="FFFFFF"/>
            <w:noWrap/>
            <w:hideMark/>
          </w:tcPr>
          <w:p w14:paraId="7770450E"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Coefficient </w:t>
            </w:r>
          </w:p>
        </w:tc>
        <w:tc>
          <w:tcPr>
            <w:tcW w:w="1135" w:type="dxa"/>
            <w:gridSpan w:val="2"/>
            <w:tcBorders>
              <w:top w:val="single" w:sz="4" w:space="0" w:color="auto"/>
              <w:left w:val="nil"/>
              <w:bottom w:val="single" w:sz="4" w:space="0" w:color="auto"/>
              <w:right w:val="nil"/>
            </w:tcBorders>
            <w:shd w:val="clear" w:color="000000" w:fill="FFFFFF"/>
            <w:noWrap/>
            <w:hideMark/>
          </w:tcPr>
          <w:p w14:paraId="2916299E" w14:textId="35830BA5"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95%CI</w:t>
            </w:r>
          </w:p>
        </w:tc>
        <w:tc>
          <w:tcPr>
            <w:tcW w:w="619" w:type="dxa"/>
            <w:vMerge w:val="restart"/>
            <w:tcBorders>
              <w:top w:val="nil"/>
              <w:left w:val="nil"/>
              <w:bottom w:val="single" w:sz="4" w:space="0" w:color="000000"/>
              <w:right w:val="nil"/>
            </w:tcBorders>
            <w:shd w:val="clear" w:color="000000" w:fill="FFFFFF"/>
            <w:noWrap/>
            <w:hideMark/>
          </w:tcPr>
          <w:p w14:paraId="52474BDE"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i/>
                <w:iCs/>
                <w:color w:val="000000"/>
              </w:rPr>
              <w:t xml:space="preserve">P </w:t>
            </w:r>
            <w:r w:rsidRPr="00AE2A93">
              <w:rPr>
                <w:rFonts w:ascii="Book Antiqua" w:hAnsi="Book Antiqua"/>
                <w:b/>
                <w:bCs/>
                <w:color w:val="000000"/>
              </w:rPr>
              <w:t xml:space="preserve">value </w:t>
            </w:r>
          </w:p>
        </w:tc>
      </w:tr>
      <w:tr w:rsidR="00136423" w:rsidRPr="00C76E19" w14:paraId="034E2127" w14:textId="77777777" w:rsidTr="005368E5">
        <w:trPr>
          <w:trHeight w:val="320"/>
        </w:trPr>
        <w:tc>
          <w:tcPr>
            <w:tcW w:w="1942" w:type="dxa"/>
            <w:vMerge/>
            <w:tcBorders>
              <w:top w:val="nil"/>
              <w:left w:val="nil"/>
              <w:bottom w:val="single" w:sz="4" w:space="0" w:color="000000"/>
              <w:right w:val="nil"/>
            </w:tcBorders>
            <w:hideMark/>
          </w:tcPr>
          <w:p w14:paraId="0681E101" w14:textId="77777777" w:rsidR="00136423" w:rsidRPr="00AE2A93" w:rsidRDefault="00136423" w:rsidP="00AE2A93">
            <w:pPr>
              <w:snapToGrid w:val="0"/>
              <w:spacing w:line="360" w:lineRule="auto"/>
              <w:jc w:val="both"/>
              <w:rPr>
                <w:rFonts w:ascii="Book Antiqua" w:hAnsi="Book Antiqua"/>
                <w:b/>
                <w:bCs/>
                <w:color w:val="000000"/>
              </w:rPr>
            </w:pPr>
          </w:p>
        </w:tc>
        <w:tc>
          <w:tcPr>
            <w:tcW w:w="849" w:type="dxa"/>
            <w:vMerge/>
            <w:tcBorders>
              <w:top w:val="nil"/>
              <w:left w:val="nil"/>
              <w:bottom w:val="single" w:sz="4" w:space="0" w:color="000000"/>
              <w:right w:val="nil"/>
            </w:tcBorders>
            <w:hideMark/>
          </w:tcPr>
          <w:p w14:paraId="5EDD0DE5" w14:textId="77777777" w:rsidR="00136423" w:rsidRPr="00AE2A93" w:rsidRDefault="00136423" w:rsidP="00AE2A93">
            <w:pPr>
              <w:snapToGrid w:val="0"/>
              <w:spacing w:line="360" w:lineRule="auto"/>
              <w:jc w:val="both"/>
              <w:rPr>
                <w:rFonts w:ascii="Book Antiqua" w:hAnsi="Book Antiqua"/>
                <w:b/>
                <w:bCs/>
                <w:color w:val="000000"/>
              </w:rPr>
            </w:pPr>
          </w:p>
        </w:tc>
        <w:tc>
          <w:tcPr>
            <w:tcW w:w="801" w:type="dxa"/>
            <w:vMerge/>
            <w:tcBorders>
              <w:top w:val="single" w:sz="4" w:space="0" w:color="auto"/>
              <w:left w:val="nil"/>
              <w:bottom w:val="single" w:sz="4" w:space="0" w:color="auto"/>
              <w:right w:val="nil"/>
            </w:tcBorders>
            <w:hideMark/>
          </w:tcPr>
          <w:p w14:paraId="616AE77A" w14:textId="77777777" w:rsidR="00136423" w:rsidRPr="00AE2A93" w:rsidRDefault="00136423" w:rsidP="00AE2A93">
            <w:pPr>
              <w:snapToGrid w:val="0"/>
              <w:spacing w:line="360" w:lineRule="auto"/>
              <w:jc w:val="both"/>
              <w:rPr>
                <w:rFonts w:ascii="Book Antiqua" w:hAnsi="Book Antiqua"/>
                <w:b/>
                <w:bCs/>
                <w:color w:val="000000"/>
              </w:rPr>
            </w:pPr>
          </w:p>
        </w:tc>
        <w:tc>
          <w:tcPr>
            <w:tcW w:w="568" w:type="dxa"/>
            <w:tcBorders>
              <w:top w:val="nil"/>
              <w:left w:val="nil"/>
              <w:bottom w:val="single" w:sz="4" w:space="0" w:color="auto"/>
              <w:right w:val="nil"/>
            </w:tcBorders>
            <w:shd w:val="clear" w:color="000000" w:fill="FFFFFF"/>
            <w:noWrap/>
            <w:hideMark/>
          </w:tcPr>
          <w:p w14:paraId="5D3F12A1"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Lower </w:t>
            </w:r>
          </w:p>
        </w:tc>
        <w:tc>
          <w:tcPr>
            <w:tcW w:w="567" w:type="dxa"/>
            <w:tcBorders>
              <w:top w:val="nil"/>
              <w:left w:val="nil"/>
              <w:bottom w:val="single" w:sz="4" w:space="0" w:color="auto"/>
              <w:right w:val="nil"/>
            </w:tcBorders>
            <w:shd w:val="clear" w:color="000000" w:fill="FFFFFF"/>
            <w:noWrap/>
            <w:hideMark/>
          </w:tcPr>
          <w:p w14:paraId="57BA8620"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Upper</w:t>
            </w:r>
          </w:p>
        </w:tc>
        <w:tc>
          <w:tcPr>
            <w:tcW w:w="619" w:type="dxa"/>
            <w:vMerge/>
            <w:tcBorders>
              <w:top w:val="nil"/>
              <w:left w:val="nil"/>
              <w:bottom w:val="single" w:sz="4" w:space="0" w:color="000000"/>
              <w:right w:val="nil"/>
            </w:tcBorders>
            <w:hideMark/>
          </w:tcPr>
          <w:p w14:paraId="29B85916" w14:textId="77777777" w:rsidR="00136423" w:rsidRPr="00AE2A93" w:rsidRDefault="00136423" w:rsidP="00AE2A93">
            <w:pPr>
              <w:snapToGrid w:val="0"/>
              <w:spacing w:line="360" w:lineRule="auto"/>
              <w:jc w:val="both"/>
              <w:rPr>
                <w:rFonts w:ascii="Book Antiqua" w:hAnsi="Book Antiqua"/>
                <w:b/>
                <w:bCs/>
                <w:color w:val="000000"/>
              </w:rPr>
            </w:pPr>
          </w:p>
        </w:tc>
        <w:tc>
          <w:tcPr>
            <w:tcW w:w="849" w:type="dxa"/>
            <w:vMerge/>
            <w:tcBorders>
              <w:top w:val="nil"/>
              <w:left w:val="nil"/>
              <w:bottom w:val="single" w:sz="4" w:space="0" w:color="000000"/>
              <w:right w:val="nil"/>
            </w:tcBorders>
            <w:hideMark/>
          </w:tcPr>
          <w:p w14:paraId="1496F61C" w14:textId="77777777" w:rsidR="00136423" w:rsidRPr="00AE2A93" w:rsidRDefault="00136423" w:rsidP="00AE2A93">
            <w:pPr>
              <w:snapToGrid w:val="0"/>
              <w:spacing w:line="360" w:lineRule="auto"/>
              <w:jc w:val="both"/>
              <w:rPr>
                <w:rFonts w:ascii="Book Antiqua" w:hAnsi="Book Antiqua"/>
                <w:b/>
                <w:bCs/>
                <w:color w:val="000000"/>
              </w:rPr>
            </w:pPr>
          </w:p>
        </w:tc>
        <w:tc>
          <w:tcPr>
            <w:tcW w:w="801" w:type="dxa"/>
            <w:vMerge/>
            <w:tcBorders>
              <w:top w:val="single" w:sz="4" w:space="0" w:color="auto"/>
              <w:left w:val="nil"/>
              <w:bottom w:val="single" w:sz="4" w:space="0" w:color="auto"/>
              <w:right w:val="nil"/>
            </w:tcBorders>
            <w:hideMark/>
          </w:tcPr>
          <w:p w14:paraId="7E6C5421" w14:textId="77777777" w:rsidR="00136423" w:rsidRPr="00AE2A93" w:rsidRDefault="00136423" w:rsidP="00AE2A93">
            <w:pPr>
              <w:snapToGrid w:val="0"/>
              <w:spacing w:line="360" w:lineRule="auto"/>
              <w:jc w:val="both"/>
              <w:rPr>
                <w:rFonts w:ascii="Book Antiqua" w:hAnsi="Book Antiqua"/>
                <w:b/>
                <w:bCs/>
                <w:color w:val="000000"/>
              </w:rPr>
            </w:pPr>
          </w:p>
        </w:tc>
        <w:tc>
          <w:tcPr>
            <w:tcW w:w="568" w:type="dxa"/>
            <w:tcBorders>
              <w:top w:val="nil"/>
              <w:left w:val="nil"/>
              <w:bottom w:val="single" w:sz="4" w:space="0" w:color="auto"/>
              <w:right w:val="nil"/>
            </w:tcBorders>
            <w:shd w:val="clear" w:color="000000" w:fill="FFFFFF"/>
            <w:noWrap/>
            <w:hideMark/>
          </w:tcPr>
          <w:p w14:paraId="1CE46C87"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Lower </w:t>
            </w:r>
          </w:p>
        </w:tc>
        <w:tc>
          <w:tcPr>
            <w:tcW w:w="567" w:type="dxa"/>
            <w:tcBorders>
              <w:top w:val="nil"/>
              <w:left w:val="nil"/>
              <w:bottom w:val="single" w:sz="4" w:space="0" w:color="auto"/>
              <w:right w:val="nil"/>
            </w:tcBorders>
            <w:shd w:val="clear" w:color="000000" w:fill="FFFFFF"/>
            <w:noWrap/>
            <w:hideMark/>
          </w:tcPr>
          <w:p w14:paraId="0224384F"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Upper</w:t>
            </w:r>
          </w:p>
        </w:tc>
        <w:tc>
          <w:tcPr>
            <w:tcW w:w="619" w:type="dxa"/>
            <w:vMerge/>
            <w:tcBorders>
              <w:top w:val="nil"/>
              <w:left w:val="nil"/>
              <w:bottom w:val="single" w:sz="4" w:space="0" w:color="000000"/>
              <w:right w:val="nil"/>
            </w:tcBorders>
            <w:hideMark/>
          </w:tcPr>
          <w:p w14:paraId="4290EA31" w14:textId="77777777" w:rsidR="00136423" w:rsidRPr="00AE2A93" w:rsidRDefault="00136423" w:rsidP="00AE2A93">
            <w:pPr>
              <w:snapToGrid w:val="0"/>
              <w:spacing w:line="360" w:lineRule="auto"/>
              <w:jc w:val="both"/>
              <w:rPr>
                <w:rFonts w:ascii="Book Antiqua" w:hAnsi="Book Antiqua"/>
                <w:b/>
                <w:bCs/>
                <w:color w:val="000000"/>
              </w:rPr>
            </w:pPr>
          </w:p>
        </w:tc>
        <w:tc>
          <w:tcPr>
            <w:tcW w:w="849" w:type="dxa"/>
            <w:vMerge/>
            <w:tcBorders>
              <w:top w:val="nil"/>
              <w:left w:val="nil"/>
              <w:bottom w:val="single" w:sz="4" w:space="0" w:color="000000"/>
              <w:right w:val="nil"/>
            </w:tcBorders>
            <w:hideMark/>
          </w:tcPr>
          <w:p w14:paraId="4892B482" w14:textId="77777777" w:rsidR="00136423" w:rsidRPr="00AE2A93" w:rsidRDefault="00136423" w:rsidP="00AE2A93">
            <w:pPr>
              <w:snapToGrid w:val="0"/>
              <w:spacing w:line="360" w:lineRule="auto"/>
              <w:jc w:val="both"/>
              <w:rPr>
                <w:rFonts w:ascii="Book Antiqua" w:hAnsi="Book Antiqua"/>
                <w:b/>
                <w:bCs/>
                <w:color w:val="000000"/>
              </w:rPr>
            </w:pPr>
          </w:p>
        </w:tc>
        <w:tc>
          <w:tcPr>
            <w:tcW w:w="801" w:type="dxa"/>
            <w:vMerge/>
            <w:tcBorders>
              <w:top w:val="single" w:sz="4" w:space="0" w:color="auto"/>
              <w:left w:val="nil"/>
              <w:bottom w:val="single" w:sz="4" w:space="0" w:color="auto"/>
              <w:right w:val="nil"/>
            </w:tcBorders>
            <w:hideMark/>
          </w:tcPr>
          <w:p w14:paraId="3F23CC79" w14:textId="77777777" w:rsidR="00136423" w:rsidRPr="00AE2A93" w:rsidRDefault="00136423" w:rsidP="00AE2A93">
            <w:pPr>
              <w:snapToGrid w:val="0"/>
              <w:spacing w:line="360" w:lineRule="auto"/>
              <w:jc w:val="both"/>
              <w:rPr>
                <w:rFonts w:ascii="Book Antiqua" w:hAnsi="Book Antiqua"/>
                <w:b/>
                <w:bCs/>
                <w:color w:val="000000"/>
              </w:rPr>
            </w:pPr>
          </w:p>
        </w:tc>
        <w:tc>
          <w:tcPr>
            <w:tcW w:w="568" w:type="dxa"/>
            <w:tcBorders>
              <w:top w:val="nil"/>
              <w:left w:val="nil"/>
              <w:bottom w:val="single" w:sz="4" w:space="0" w:color="auto"/>
              <w:right w:val="nil"/>
            </w:tcBorders>
            <w:shd w:val="clear" w:color="000000" w:fill="FFFFFF"/>
            <w:noWrap/>
            <w:hideMark/>
          </w:tcPr>
          <w:p w14:paraId="5B68115A"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 xml:space="preserve">Lower </w:t>
            </w:r>
          </w:p>
        </w:tc>
        <w:tc>
          <w:tcPr>
            <w:tcW w:w="567" w:type="dxa"/>
            <w:tcBorders>
              <w:top w:val="nil"/>
              <w:left w:val="nil"/>
              <w:bottom w:val="single" w:sz="4" w:space="0" w:color="auto"/>
              <w:right w:val="nil"/>
            </w:tcBorders>
            <w:shd w:val="clear" w:color="000000" w:fill="FFFFFF"/>
            <w:noWrap/>
            <w:hideMark/>
          </w:tcPr>
          <w:p w14:paraId="426E89E7" w14:textId="77777777" w:rsidR="00136423" w:rsidRPr="00AE2A93" w:rsidRDefault="00136423" w:rsidP="00AE2A93">
            <w:pPr>
              <w:snapToGrid w:val="0"/>
              <w:spacing w:line="360" w:lineRule="auto"/>
              <w:jc w:val="both"/>
              <w:rPr>
                <w:rFonts w:ascii="Book Antiqua" w:hAnsi="Book Antiqua"/>
                <w:b/>
                <w:bCs/>
                <w:color w:val="000000"/>
              </w:rPr>
            </w:pPr>
            <w:r w:rsidRPr="00AE2A93">
              <w:rPr>
                <w:rFonts w:ascii="Book Antiqua" w:hAnsi="Book Antiqua"/>
                <w:b/>
                <w:bCs/>
                <w:color w:val="000000"/>
              </w:rPr>
              <w:t>Upper</w:t>
            </w:r>
          </w:p>
        </w:tc>
        <w:tc>
          <w:tcPr>
            <w:tcW w:w="619" w:type="dxa"/>
            <w:vMerge/>
            <w:tcBorders>
              <w:top w:val="nil"/>
              <w:left w:val="nil"/>
              <w:bottom w:val="single" w:sz="4" w:space="0" w:color="000000"/>
              <w:right w:val="nil"/>
            </w:tcBorders>
            <w:hideMark/>
          </w:tcPr>
          <w:p w14:paraId="25AD4573" w14:textId="77777777" w:rsidR="00136423" w:rsidRPr="00AE2A93" w:rsidRDefault="00136423" w:rsidP="00AE2A93">
            <w:pPr>
              <w:snapToGrid w:val="0"/>
              <w:spacing w:line="360" w:lineRule="auto"/>
              <w:jc w:val="both"/>
              <w:rPr>
                <w:rFonts w:ascii="Book Antiqua" w:hAnsi="Book Antiqua"/>
                <w:b/>
                <w:bCs/>
                <w:color w:val="000000"/>
              </w:rPr>
            </w:pPr>
          </w:p>
        </w:tc>
      </w:tr>
      <w:tr w:rsidR="00136423" w:rsidRPr="00C76E19" w14:paraId="4423DB4D" w14:textId="77777777" w:rsidTr="005368E5">
        <w:trPr>
          <w:trHeight w:val="320"/>
        </w:trPr>
        <w:tc>
          <w:tcPr>
            <w:tcW w:w="1942" w:type="dxa"/>
            <w:tcBorders>
              <w:top w:val="nil"/>
              <w:left w:val="nil"/>
              <w:right w:val="nil"/>
            </w:tcBorders>
            <w:shd w:val="clear" w:color="000000" w:fill="FFFFFF"/>
            <w:noWrap/>
            <w:hideMark/>
          </w:tcPr>
          <w:p w14:paraId="675A7682" w14:textId="58F94A8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IMT </w:t>
            </w:r>
            <w:r w:rsidRPr="00AE2A93">
              <w:rPr>
                <w:rFonts w:ascii="Book Antiqua" w:hAnsi="Book Antiqua"/>
                <w:i/>
                <w:iCs/>
                <w:color w:val="000000"/>
              </w:rPr>
              <w:t>vs</w:t>
            </w:r>
            <w:r w:rsidRPr="00AE2A93">
              <w:rPr>
                <w:rFonts w:ascii="Book Antiqua" w:hAnsi="Book Antiqua"/>
                <w:color w:val="000000"/>
              </w:rPr>
              <w:t xml:space="preserve"> CMT</w:t>
            </w:r>
          </w:p>
        </w:tc>
        <w:tc>
          <w:tcPr>
            <w:tcW w:w="849" w:type="dxa"/>
            <w:tcBorders>
              <w:top w:val="nil"/>
              <w:left w:val="nil"/>
              <w:right w:val="nil"/>
            </w:tcBorders>
            <w:shd w:val="clear" w:color="000000" w:fill="FFFFFF"/>
            <w:noWrap/>
            <w:hideMark/>
          </w:tcPr>
          <w:p w14:paraId="5700760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237</w:t>
            </w:r>
          </w:p>
        </w:tc>
        <w:tc>
          <w:tcPr>
            <w:tcW w:w="801" w:type="dxa"/>
            <w:tcBorders>
              <w:top w:val="single" w:sz="4" w:space="0" w:color="auto"/>
              <w:left w:val="nil"/>
              <w:right w:val="nil"/>
            </w:tcBorders>
            <w:shd w:val="clear" w:color="000000" w:fill="FFFFFF"/>
            <w:noWrap/>
            <w:hideMark/>
          </w:tcPr>
          <w:p w14:paraId="47BDA58B"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-1.248 </w:t>
            </w:r>
          </w:p>
        </w:tc>
        <w:tc>
          <w:tcPr>
            <w:tcW w:w="568" w:type="dxa"/>
            <w:tcBorders>
              <w:top w:val="nil"/>
              <w:left w:val="nil"/>
              <w:right w:val="nil"/>
            </w:tcBorders>
            <w:shd w:val="clear" w:color="000000" w:fill="FFFFFF"/>
            <w:noWrap/>
            <w:hideMark/>
          </w:tcPr>
          <w:p w14:paraId="518490A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-1.651 </w:t>
            </w:r>
          </w:p>
        </w:tc>
        <w:tc>
          <w:tcPr>
            <w:tcW w:w="567" w:type="dxa"/>
            <w:tcBorders>
              <w:top w:val="nil"/>
              <w:left w:val="nil"/>
              <w:right w:val="nil"/>
            </w:tcBorders>
            <w:shd w:val="clear" w:color="000000" w:fill="FFFFFF"/>
            <w:noWrap/>
            <w:hideMark/>
          </w:tcPr>
          <w:p w14:paraId="65AE114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-0.850 </w:t>
            </w:r>
          </w:p>
        </w:tc>
        <w:tc>
          <w:tcPr>
            <w:tcW w:w="619" w:type="dxa"/>
            <w:tcBorders>
              <w:top w:val="single" w:sz="4" w:space="0" w:color="auto"/>
              <w:left w:val="nil"/>
              <w:right w:val="nil"/>
            </w:tcBorders>
            <w:shd w:val="clear" w:color="000000" w:fill="FFFFFF"/>
            <w:noWrap/>
            <w:hideMark/>
          </w:tcPr>
          <w:p w14:paraId="61D912D3" w14:textId="508147B8"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&lt;</w:t>
            </w:r>
            <w:r w:rsidR="005368E5" w:rsidRPr="00AE2A93">
              <w:rPr>
                <w:rFonts w:ascii="Book Antiqua" w:hAnsi="Book Antiqua"/>
                <w:color w:val="000000"/>
              </w:rPr>
              <w:t xml:space="preserve"> </w:t>
            </w:r>
            <w:r w:rsidRPr="00AE2A93">
              <w:rPr>
                <w:rFonts w:ascii="Book Antiqua" w:hAnsi="Book Antiqua"/>
                <w:color w:val="000000"/>
              </w:rPr>
              <w:t xml:space="preserve">0.001 </w:t>
            </w:r>
          </w:p>
        </w:tc>
        <w:tc>
          <w:tcPr>
            <w:tcW w:w="849" w:type="dxa"/>
            <w:tcBorders>
              <w:top w:val="nil"/>
              <w:left w:val="nil"/>
              <w:right w:val="nil"/>
            </w:tcBorders>
            <w:shd w:val="clear" w:color="000000" w:fill="FFFFFF"/>
            <w:noWrap/>
            <w:hideMark/>
          </w:tcPr>
          <w:p w14:paraId="1C51199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293</w:t>
            </w:r>
          </w:p>
        </w:tc>
        <w:tc>
          <w:tcPr>
            <w:tcW w:w="801" w:type="dxa"/>
            <w:tcBorders>
              <w:top w:val="single" w:sz="4" w:space="0" w:color="auto"/>
              <w:left w:val="nil"/>
              <w:right w:val="nil"/>
            </w:tcBorders>
            <w:shd w:val="clear" w:color="000000" w:fill="FFFFFF"/>
            <w:noWrap/>
            <w:hideMark/>
          </w:tcPr>
          <w:p w14:paraId="6E4F65F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-0.117 </w:t>
            </w:r>
          </w:p>
        </w:tc>
        <w:tc>
          <w:tcPr>
            <w:tcW w:w="568" w:type="dxa"/>
            <w:tcBorders>
              <w:top w:val="nil"/>
              <w:left w:val="nil"/>
              <w:right w:val="nil"/>
            </w:tcBorders>
            <w:shd w:val="clear" w:color="000000" w:fill="FFFFFF"/>
            <w:noWrap/>
            <w:hideMark/>
          </w:tcPr>
          <w:p w14:paraId="7707595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-0.387 </w:t>
            </w:r>
          </w:p>
        </w:tc>
        <w:tc>
          <w:tcPr>
            <w:tcW w:w="567" w:type="dxa"/>
            <w:tcBorders>
              <w:top w:val="nil"/>
              <w:left w:val="nil"/>
              <w:right w:val="nil"/>
            </w:tcBorders>
            <w:shd w:val="clear" w:color="000000" w:fill="FFFFFF"/>
            <w:noWrap/>
            <w:hideMark/>
          </w:tcPr>
          <w:p w14:paraId="6FFC649B"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0.150 </w:t>
            </w:r>
          </w:p>
        </w:tc>
        <w:tc>
          <w:tcPr>
            <w:tcW w:w="619" w:type="dxa"/>
            <w:tcBorders>
              <w:top w:val="nil"/>
              <w:left w:val="nil"/>
              <w:right w:val="nil"/>
            </w:tcBorders>
            <w:shd w:val="clear" w:color="000000" w:fill="FFFFFF"/>
            <w:noWrap/>
            <w:hideMark/>
          </w:tcPr>
          <w:p w14:paraId="40AC791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0.384 </w:t>
            </w:r>
          </w:p>
        </w:tc>
        <w:tc>
          <w:tcPr>
            <w:tcW w:w="849" w:type="dxa"/>
            <w:tcBorders>
              <w:top w:val="nil"/>
              <w:left w:val="nil"/>
              <w:right w:val="nil"/>
            </w:tcBorders>
            <w:shd w:val="clear" w:color="000000" w:fill="FFFFFF"/>
            <w:noWrap/>
            <w:hideMark/>
          </w:tcPr>
          <w:p w14:paraId="329CBBD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342</w:t>
            </w:r>
          </w:p>
        </w:tc>
        <w:tc>
          <w:tcPr>
            <w:tcW w:w="801" w:type="dxa"/>
            <w:tcBorders>
              <w:top w:val="single" w:sz="4" w:space="0" w:color="auto"/>
              <w:left w:val="nil"/>
              <w:right w:val="nil"/>
            </w:tcBorders>
            <w:shd w:val="clear" w:color="000000" w:fill="FFFFFF"/>
            <w:noWrap/>
            <w:hideMark/>
          </w:tcPr>
          <w:p w14:paraId="41E02C0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-0.378 </w:t>
            </w:r>
          </w:p>
        </w:tc>
        <w:tc>
          <w:tcPr>
            <w:tcW w:w="568" w:type="dxa"/>
            <w:tcBorders>
              <w:top w:val="nil"/>
              <w:left w:val="nil"/>
              <w:right w:val="nil"/>
            </w:tcBorders>
            <w:shd w:val="clear" w:color="000000" w:fill="FFFFFF"/>
            <w:noWrap/>
            <w:hideMark/>
          </w:tcPr>
          <w:p w14:paraId="50071151"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-0.659 </w:t>
            </w:r>
          </w:p>
        </w:tc>
        <w:tc>
          <w:tcPr>
            <w:tcW w:w="567" w:type="dxa"/>
            <w:tcBorders>
              <w:top w:val="nil"/>
              <w:left w:val="nil"/>
              <w:right w:val="nil"/>
            </w:tcBorders>
            <w:shd w:val="clear" w:color="000000" w:fill="FFFFFF"/>
            <w:noWrap/>
            <w:hideMark/>
          </w:tcPr>
          <w:p w14:paraId="3A303069"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-0.101 </w:t>
            </w:r>
          </w:p>
        </w:tc>
        <w:tc>
          <w:tcPr>
            <w:tcW w:w="619" w:type="dxa"/>
            <w:tcBorders>
              <w:top w:val="single" w:sz="4" w:space="0" w:color="auto"/>
              <w:left w:val="nil"/>
              <w:right w:val="nil"/>
            </w:tcBorders>
            <w:shd w:val="clear" w:color="000000" w:fill="FFFFFF"/>
            <w:noWrap/>
            <w:hideMark/>
          </w:tcPr>
          <w:p w14:paraId="65BDF9C5" w14:textId="2464906C"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0.008</w:t>
            </w:r>
            <w:r w:rsidR="005368E5" w:rsidRPr="00AE2A93">
              <w:rPr>
                <w:rFonts w:ascii="Book Antiqua" w:hAnsi="Book Antiqua"/>
                <w:color w:val="000000"/>
                <w:vertAlign w:val="superscript"/>
              </w:rPr>
              <w:t>b</w:t>
            </w:r>
            <w:r w:rsidRPr="00AE2A93">
              <w:rPr>
                <w:rFonts w:ascii="Book Antiqua" w:hAnsi="Book Antiqua"/>
                <w:color w:val="000000"/>
              </w:rPr>
              <w:t xml:space="preserve"> </w:t>
            </w:r>
          </w:p>
        </w:tc>
      </w:tr>
      <w:tr w:rsidR="00136423" w:rsidRPr="00C76E19" w14:paraId="5F436E8E" w14:textId="77777777" w:rsidTr="005368E5">
        <w:trPr>
          <w:trHeight w:val="320"/>
        </w:trPr>
        <w:tc>
          <w:tcPr>
            <w:tcW w:w="1942" w:type="dxa"/>
            <w:tcBorders>
              <w:top w:val="nil"/>
              <w:left w:val="nil"/>
              <w:bottom w:val="nil"/>
              <w:right w:val="nil"/>
            </w:tcBorders>
            <w:shd w:val="clear" w:color="000000" w:fill="FFFFFF"/>
            <w:noWrap/>
            <w:hideMark/>
          </w:tcPr>
          <w:p w14:paraId="2EA0DF8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BMI</w:t>
            </w:r>
          </w:p>
        </w:tc>
        <w:tc>
          <w:tcPr>
            <w:tcW w:w="849" w:type="dxa"/>
            <w:tcBorders>
              <w:top w:val="nil"/>
              <w:left w:val="nil"/>
              <w:bottom w:val="nil"/>
              <w:right w:val="nil"/>
            </w:tcBorders>
            <w:shd w:val="clear" w:color="000000" w:fill="FFFFFF"/>
            <w:noWrap/>
            <w:hideMark/>
          </w:tcPr>
          <w:p w14:paraId="0ED7F58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0DF404A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6564549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550ED6D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3555AF3B"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5E281E0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4415F79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19C778E1"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1475053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6856C329"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3A5AB92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457DC69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0537616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38A04CC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78AEA6D7"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136423" w:rsidRPr="00C76E19" w14:paraId="5DFB9E50" w14:textId="77777777" w:rsidTr="005368E5">
        <w:trPr>
          <w:trHeight w:val="320"/>
        </w:trPr>
        <w:tc>
          <w:tcPr>
            <w:tcW w:w="1942" w:type="dxa"/>
            <w:tcBorders>
              <w:top w:val="nil"/>
              <w:left w:val="nil"/>
              <w:bottom w:val="nil"/>
              <w:right w:val="nil"/>
            </w:tcBorders>
            <w:shd w:val="clear" w:color="000000" w:fill="FFFFFF"/>
            <w:noWrap/>
            <w:hideMark/>
          </w:tcPr>
          <w:p w14:paraId="38F51F85" w14:textId="299D19E2" w:rsidR="00136423" w:rsidRPr="00AE2A93" w:rsidRDefault="00136423"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&lt;</w:t>
            </w:r>
            <w:r w:rsidR="005368E5" w:rsidRPr="00AE2A93">
              <w:rPr>
                <w:rFonts w:ascii="Book Antiqua" w:hAnsi="Book Antiqua"/>
                <w:color w:val="000000"/>
              </w:rPr>
              <w:t xml:space="preserve"> </w:t>
            </w:r>
            <w:r w:rsidRPr="00AE2A93">
              <w:rPr>
                <w:rFonts w:ascii="Book Antiqua" w:hAnsi="Book Antiqua"/>
                <w:color w:val="000000"/>
              </w:rPr>
              <w:t>18.5</w:t>
            </w:r>
          </w:p>
        </w:tc>
        <w:tc>
          <w:tcPr>
            <w:tcW w:w="849" w:type="dxa"/>
            <w:tcBorders>
              <w:top w:val="nil"/>
              <w:left w:val="nil"/>
              <w:bottom w:val="nil"/>
              <w:right w:val="nil"/>
            </w:tcBorders>
            <w:shd w:val="clear" w:color="000000" w:fill="FFFFFF"/>
            <w:noWrap/>
            <w:hideMark/>
          </w:tcPr>
          <w:p w14:paraId="3C4CAEA1"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64D42589"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39B0EAD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532CF29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7E62B00A"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7CDCC05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293</w:t>
            </w:r>
          </w:p>
        </w:tc>
        <w:tc>
          <w:tcPr>
            <w:tcW w:w="801" w:type="dxa"/>
            <w:tcBorders>
              <w:top w:val="nil"/>
              <w:left w:val="nil"/>
              <w:bottom w:val="nil"/>
              <w:right w:val="nil"/>
            </w:tcBorders>
            <w:shd w:val="clear" w:color="000000" w:fill="FFFFFF"/>
            <w:noWrap/>
            <w:hideMark/>
          </w:tcPr>
          <w:p w14:paraId="3BCACA1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0.753 </w:t>
            </w:r>
          </w:p>
        </w:tc>
        <w:tc>
          <w:tcPr>
            <w:tcW w:w="568" w:type="dxa"/>
            <w:tcBorders>
              <w:top w:val="nil"/>
              <w:left w:val="nil"/>
              <w:bottom w:val="nil"/>
              <w:right w:val="nil"/>
            </w:tcBorders>
            <w:shd w:val="clear" w:color="000000" w:fill="FFFFFF"/>
            <w:noWrap/>
            <w:hideMark/>
          </w:tcPr>
          <w:p w14:paraId="6DB7356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0.240 </w:t>
            </w:r>
          </w:p>
        </w:tc>
        <w:tc>
          <w:tcPr>
            <w:tcW w:w="567" w:type="dxa"/>
            <w:tcBorders>
              <w:top w:val="nil"/>
              <w:left w:val="nil"/>
              <w:bottom w:val="nil"/>
              <w:right w:val="nil"/>
            </w:tcBorders>
            <w:shd w:val="clear" w:color="000000" w:fill="FFFFFF"/>
            <w:noWrap/>
            <w:hideMark/>
          </w:tcPr>
          <w:p w14:paraId="2888D65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1.225 </w:t>
            </w:r>
          </w:p>
        </w:tc>
        <w:tc>
          <w:tcPr>
            <w:tcW w:w="619" w:type="dxa"/>
            <w:tcBorders>
              <w:top w:val="nil"/>
              <w:left w:val="nil"/>
              <w:bottom w:val="nil"/>
              <w:right w:val="nil"/>
            </w:tcBorders>
            <w:shd w:val="clear" w:color="000000" w:fill="FFFFFF"/>
            <w:noWrap/>
            <w:hideMark/>
          </w:tcPr>
          <w:p w14:paraId="24927489" w14:textId="001586A1"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0.003</w:t>
            </w:r>
            <w:r w:rsidR="005368E5" w:rsidRPr="00AE2A93">
              <w:rPr>
                <w:rFonts w:ascii="Book Antiqua" w:hAnsi="Book Antiqua"/>
                <w:color w:val="000000"/>
                <w:vertAlign w:val="superscript"/>
              </w:rPr>
              <w:t>b</w:t>
            </w:r>
            <w:r w:rsidRPr="00AE2A93">
              <w:rPr>
                <w:rFonts w:ascii="Book Antiqua" w:hAnsi="Book Antiqua"/>
                <w:color w:val="000000"/>
              </w:rPr>
              <w:t xml:space="preserve"> </w:t>
            </w:r>
          </w:p>
        </w:tc>
        <w:tc>
          <w:tcPr>
            <w:tcW w:w="849" w:type="dxa"/>
            <w:tcBorders>
              <w:top w:val="nil"/>
              <w:left w:val="nil"/>
              <w:bottom w:val="nil"/>
              <w:right w:val="nil"/>
            </w:tcBorders>
            <w:shd w:val="clear" w:color="000000" w:fill="FFFFFF"/>
            <w:noWrap/>
            <w:hideMark/>
          </w:tcPr>
          <w:p w14:paraId="4960507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342</w:t>
            </w:r>
          </w:p>
        </w:tc>
        <w:tc>
          <w:tcPr>
            <w:tcW w:w="801" w:type="dxa"/>
            <w:tcBorders>
              <w:top w:val="nil"/>
              <w:left w:val="nil"/>
              <w:bottom w:val="nil"/>
              <w:right w:val="nil"/>
            </w:tcBorders>
            <w:shd w:val="clear" w:color="000000" w:fill="FFFFFF"/>
            <w:noWrap/>
            <w:hideMark/>
          </w:tcPr>
          <w:p w14:paraId="0EFC448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0.513 </w:t>
            </w:r>
          </w:p>
        </w:tc>
        <w:tc>
          <w:tcPr>
            <w:tcW w:w="568" w:type="dxa"/>
            <w:tcBorders>
              <w:top w:val="nil"/>
              <w:left w:val="nil"/>
              <w:bottom w:val="nil"/>
              <w:right w:val="nil"/>
            </w:tcBorders>
            <w:shd w:val="clear" w:color="000000" w:fill="FFFFFF"/>
            <w:noWrap/>
            <w:hideMark/>
          </w:tcPr>
          <w:p w14:paraId="7EDD60E1"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0.013 </w:t>
            </w:r>
          </w:p>
        </w:tc>
        <w:tc>
          <w:tcPr>
            <w:tcW w:w="567" w:type="dxa"/>
            <w:tcBorders>
              <w:top w:val="nil"/>
              <w:left w:val="nil"/>
              <w:bottom w:val="nil"/>
              <w:right w:val="nil"/>
            </w:tcBorders>
            <w:shd w:val="clear" w:color="000000" w:fill="FFFFFF"/>
            <w:noWrap/>
            <w:hideMark/>
          </w:tcPr>
          <w:p w14:paraId="0DDA8B4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0.972 </w:t>
            </w:r>
          </w:p>
        </w:tc>
        <w:tc>
          <w:tcPr>
            <w:tcW w:w="619" w:type="dxa"/>
            <w:tcBorders>
              <w:top w:val="nil"/>
              <w:left w:val="nil"/>
              <w:bottom w:val="nil"/>
              <w:right w:val="nil"/>
            </w:tcBorders>
            <w:shd w:val="clear" w:color="000000" w:fill="FFFFFF"/>
            <w:noWrap/>
            <w:hideMark/>
          </w:tcPr>
          <w:p w14:paraId="141E003B" w14:textId="54DA6F62"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0.035</w:t>
            </w:r>
            <w:r w:rsidR="005368E5" w:rsidRPr="00AE2A93">
              <w:rPr>
                <w:rFonts w:ascii="Book Antiqua" w:hAnsi="Book Antiqua"/>
                <w:color w:val="000000"/>
                <w:vertAlign w:val="superscript"/>
              </w:rPr>
              <w:t>a</w:t>
            </w:r>
            <w:r w:rsidRPr="00AE2A93">
              <w:rPr>
                <w:rFonts w:ascii="Book Antiqua" w:hAnsi="Book Antiqua"/>
                <w:color w:val="000000"/>
              </w:rPr>
              <w:t xml:space="preserve"> </w:t>
            </w:r>
          </w:p>
        </w:tc>
      </w:tr>
      <w:tr w:rsidR="00136423" w:rsidRPr="00C76E19" w14:paraId="75B5496D" w14:textId="77777777" w:rsidTr="005368E5">
        <w:trPr>
          <w:trHeight w:val="320"/>
        </w:trPr>
        <w:tc>
          <w:tcPr>
            <w:tcW w:w="1942" w:type="dxa"/>
            <w:tcBorders>
              <w:top w:val="nil"/>
              <w:left w:val="nil"/>
              <w:right w:val="nil"/>
            </w:tcBorders>
            <w:shd w:val="clear" w:color="000000" w:fill="FFFFFF"/>
            <w:noWrap/>
            <w:hideMark/>
          </w:tcPr>
          <w:p w14:paraId="18F55CD3" w14:textId="1E5A0F9C" w:rsidR="00136423" w:rsidRPr="00AE2A93" w:rsidRDefault="00136423"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18.5</w:t>
            </w:r>
            <w:r w:rsidR="005368E5" w:rsidRPr="00AE2A93">
              <w:rPr>
                <w:rFonts w:ascii="Book Antiqua" w:eastAsia="宋体" w:hAnsi="Book Antiqua"/>
                <w:color w:val="000000"/>
                <w:lang w:eastAsia="zh-CN"/>
              </w:rPr>
              <w:t>-</w:t>
            </w:r>
            <w:r w:rsidRPr="00AE2A93">
              <w:rPr>
                <w:rFonts w:ascii="Book Antiqua" w:hAnsi="Book Antiqua"/>
                <w:color w:val="000000"/>
              </w:rPr>
              <w:t>23.9</w:t>
            </w:r>
          </w:p>
        </w:tc>
        <w:tc>
          <w:tcPr>
            <w:tcW w:w="849" w:type="dxa"/>
            <w:tcBorders>
              <w:top w:val="nil"/>
              <w:left w:val="nil"/>
              <w:right w:val="nil"/>
            </w:tcBorders>
            <w:shd w:val="clear" w:color="000000" w:fill="FFFFFF"/>
            <w:noWrap/>
            <w:hideMark/>
          </w:tcPr>
          <w:p w14:paraId="6DEE5A7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right w:val="nil"/>
            </w:tcBorders>
            <w:shd w:val="clear" w:color="000000" w:fill="FFFFFF"/>
            <w:noWrap/>
            <w:hideMark/>
          </w:tcPr>
          <w:p w14:paraId="6C125BA1"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right w:val="nil"/>
            </w:tcBorders>
            <w:shd w:val="clear" w:color="000000" w:fill="FFFFFF"/>
            <w:noWrap/>
            <w:hideMark/>
          </w:tcPr>
          <w:p w14:paraId="175210D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right w:val="nil"/>
            </w:tcBorders>
            <w:shd w:val="clear" w:color="000000" w:fill="FFFFFF"/>
            <w:noWrap/>
            <w:hideMark/>
          </w:tcPr>
          <w:p w14:paraId="425C205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right w:val="nil"/>
            </w:tcBorders>
            <w:shd w:val="clear" w:color="000000" w:fill="FFFFFF"/>
            <w:noWrap/>
            <w:hideMark/>
          </w:tcPr>
          <w:p w14:paraId="635120C3"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right w:val="nil"/>
            </w:tcBorders>
            <w:shd w:val="clear" w:color="000000" w:fill="FFFFFF"/>
            <w:noWrap/>
            <w:hideMark/>
          </w:tcPr>
          <w:p w14:paraId="7AAF296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293</w:t>
            </w:r>
          </w:p>
        </w:tc>
        <w:tc>
          <w:tcPr>
            <w:tcW w:w="801" w:type="dxa"/>
            <w:tcBorders>
              <w:top w:val="nil"/>
              <w:left w:val="nil"/>
              <w:right w:val="nil"/>
            </w:tcBorders>
            <w:shd w:val="clear" w:color="000000" w:fill="FFFFFF"/>
            <w:noWrap/>
            <w:hideMark/>
          </w:tcPr>
          <w:p w14:paraId="2CD341C9"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0.214 </w:t>
            </w:r>
          </w:p>
        </w:tc>
        <w:tc>
          <w:tcPr>
            <w:tcW w:w="568" w:type="dxa"/>
            <w:tcBorders>
              <w:top w:val="nil"/>
              <w:left w:val="nil"/>
              <w:right w:val="nil"/>
            </w:tcBorders>
            <w:shd w:val="clear" w:color="000000" w:fill="FFFFFF"/>
            <w:noWrap/>
            <w:hideMark/>
          </w:tcPr>
          <w:p w14:paraId="3F8F83E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-0.276 </w:t>
            </w:r>
          </w:p>
        </w:tc>
        <w:tc>
          <w:tcPr>
            <w:tcW w:w="567" w:type="dxa"/>
            <w:tcBorders>
              <w:top w:val="nil"/>
              <w:left w:val="nil"/>
              <w:right w:val="nil"/>
            </w:tcBorders>
            <w:shd w:val="clear" w:color="000000" w:fill="FFFFFF"/>
            <w:noWrap/>
            <w:hideMark/>
          </w:tcPr>
          <w:p w14:paraId="7FC309A1"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0.657 </w:t>
            </w:r>
          </w:p>
        </w:tc>
        <w:tc>
          <w:tcPr>
            <w:tcW w:w="619" w:type="dxa"/>
            <w:tcBorders>
              <w:top w:val="nil"/>
              <w:left w:val="nil"/>
              <w:right w:val="nil"/>
            </w:tcBorders>
            <w:shd w:val="clear" w:color="000000" w:fill="FFFFFF"/>
            <w:noWrap/>
            <w:hideMark/>
          </w:tcPr>
          <w:p w14:paraId="78555CD9"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0.367 </w:t>
            </w:r>
          </w:p>
        </w:tc>
        <w:tc>
          <w:tcPr>
            <w:tcW w:w="849" w:type="dxa"/>
            <w:tcBorders>
              <w:top w:val="nil"/>
              <w:left w:val="nil"/>
              <w:right w:val="nil"/>
            </w:tcBorders>
            <w:shd w:val="clear" w:color="000000" w:fill="FFFFFF"/>
            <w:noWrap/>
            <w:hideMark/>
          </w:tcPr>
          <w:p w14:paraId="5C9222B1"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342</w:t>
            </w:r>
          </w:p>
        </w:tc>
        <w:tc>
          <w:tcPr>
            <w:tcW w:w="801" w:type="dxa"/>
            <w:tcBorders>
              <w:top w:val="nil"/>
              <w:left w:val="nil"/>
              <w:right w:val="nil"/>
            </w:tcBorders>
            <w:shd w:val="clear" w:color="000000" w:fill="FFFFFF"/>
            <w:noWrap/>
            <w:hideMark/>
          </w:tcPr>
          <w:p w14:paraId="6D49D1F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-0.002 </w:t>
            </w:r>
          </w:p>
        </w:tc>
        <w:tc>
          <w:tcPr>
            <w:tcW w:w="568" w:type="dxa"/>
            <w:tcBorders>
              <w:top w:val="nil"/>
              <w:left w:val="nil"/>
              <w:right w:val="nil"/>
            </w:tcBorders>
            <w:shd w:val="clear" w:color="000000" w:fill="FFFFFF"/>
            <w:noWrap/>
            <w:hideMark/>
          </w:tcPr>
          <w:p w14:paraId="4408DFA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-0.486 </w:t>
            </w:r>
          </w:p>
        </w:tc>
        <w:tc>
          <w:tcPr>
            <w:tcW w:w="567" w:type="dxa"/>
            <w:tcBorders>
              <w:top w:val="nil"/>
              <w:left w:val="nil"/>
              <w:right w:val="nil"/>
            </w:tcBorders>
            <w:shd w:val="clear" w:color="000000" w:fill="FFFFFF"/>
            <w:noWrap/>
            <w:hideMark/>
          </w:tcPr>
          <w:p w14:paraId="2377D05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0.435 </w:t>
            </w:r>
          </w:p>
        </w:tc>
        <w:tc>
          <w:tcPr>
            <w:tcW w:w="619" w:type="dxa"/>
            <w:tcBorders>
              <w:top w:val="nil"/>
              <w:left w:val="nil"/>
              <w:right w:val="nil"/>
            </w:tcBorders>
            <w:shd w:val="clear" w:color="000000" w:fill="FFFFFF"/>
            <w:noWrap/>
            <w:hideMark/>
          </w:tcPr>
          <w:p w14:paraId="46819EC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0.992 </w:t>
            </w:r>
          </w:p>
        </w:tc>
      </w:tr>
      <w:tr w:rsidR="00136423" w:rsidRPr="00C76E19" w14:paraId="1588AECF" w14:textId="77777777" w:rsidTr="005368E5">
        <w:trPr>
          <w:trHeight w:val="320"/>
        </w:trPr>
        <w:tc>
          <w:tcPr>
            <w:tcW w:w="1942" w:type="dxa"/>
            <w:tcBorders>
              <w:top w:val="nil"/>
              <w:left w:val="nil"/>
              <w:bottom w:val="nil"/>
              <w:right w:val="nil"/>
            </w:tcBorders>
            <w:shd w:val="clear" w:color="000000" w:fill="FFFFFF"/>
            <w:noWrap/>
            <w:hideMark/>
          </w:tcPr>
          <w:p w14:paraId="46CED49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Lifestyles </w:t>
            </w:r>
          </w:p>
        </w:tc>
        <w:tc>
          <w:tcPr>
            <w:tcW w:w="849" w:type="dxa"/>
            <w:tcBorders>
              <w:top w:val="nil"/>
              <w:left w:val="nil"/>
              <w:bottom w:val="nil"/>
              <w:right w:val="nil"/>
            </w:tcBorders>
            <w:shd w:val="clear" w:color="000000" w:fill="FFFFFF"/>
            <w:noWrap/>
            <w:hideMark/>
          </w:tcPr>
          <w:p w14:paraId="3460A8C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7B37976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1EB95F8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4893A98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63DB3279"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1BA0E78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06DE9BC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250AFF8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31FAB16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79743C1D"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75A7A64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3BA3B6E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12ACC18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0888B9A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0045EC58"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136423" w:rsidRPr="00C76E19" w14:paraId="4C3F0F4A" w14:textId="77777777" w:rsidTr="005368E5">
        <w:trPr>
          <w:trHeight w:val="320"/>
        </w:trPr>
        <w:tc>
          <w:tcPr>
            <w:tcW w:w="1942" w:type="dxa"/>
            <w:tcBorders>
              <w:top w:val="nil"/>
              <w:left w:val="nil"/>
              <w:bottom w:val="nil"/>
              <w:right w:val="nil"/>
            </w:tcBorders>
            <w:shd w:val="clear" w:color="000000" w:fill="FFFFFF"/>
            <w:noWrap/>
            <w:hideMark/>
          </w:tcPr>
          <w:p w14:paraId="37A6EF94" w14:textId="77777777" w:rsidR="00136423" w:rsidRPr="00AE2A93" w:rsidRDefault="00136423"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 xml:space="preserve">Smoker </w:t>
            </w:r>
          </w:p>
        </w:tc>
        <w:tc>
          <w:tcPr>
            <w:tcW w:w="849" w:type="dxa"/>
            <w:tcBorders>
              <w:top w:val="nil"/>
              <w:left w:val="nil"/>
              <w:bottom w:val="nil"/>
              <w:right w:val="nil"/>
            </w:tcBorders>
            <w:shd w:val="clear" w:color="000000" w:fill="FFFFFF"/>
            <w:noWrap/>
            <w:hideMark/>
          </w:tcPr>
          <w:p w14:paraId="6C5057E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237</w:t>
            </w:r>
          </w:p>
        </w:tc>
        <w:tc>
          <w:tcPr>
            <w:tcW w:w="801" w:type="dxa"/>
            <w:tcBorders>
              <w:top w:val="nil"/>
              <w:left w:val="nil"/>
              <w:bottom w:val="nil"/>
              <w:right w:val="nil"/>
            </w:tcBorders>
            <w:shd w:val="clear" w:color="000000" w:fill="FFFFFF"/>
            <w:noWrap/>
            <w:hideMark/>
          </w:tcPr>
          <w:p w14:paraId="61498AB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0.563 </w:t>
            </w:r>
          </w:p>
        </w:tc>
        <w:tc>
          <w:tcPr>
            <w:tcW w:w="568" w:type="dxa"/>
            <w:tcBorders>
              <w:top w:val="nil"/>
              <w:left w:val="nil"/>
              <w:bottom w:val="nil"/>
              <w:right w:val="nil"/>
            </w:tcBorders>
            <w:shd w:val="clear" w:color="000000" w:fill="FFFFFF"/>
            <w:noWrap/>
            <w:hideMark/>
          </w:tcPr>
          <w:p w14:paraId="5D5B7F19"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-0.529 </w:t>
            </w:r>
          </w:p>
        </w:tc>
        <w:tc>
          <w:tcPr>
            <w:tcW w:w="567" w:type="dxa"/>
            <w:tcBorders>
              <w:top w:val="nil"/>
              <w:left w:val="nil"/>
              <w:bottom w:val="nil"/>
              <w:right w:val="nil"/>
            </w:tcBorders>
            <w:shd w:val="clear" w:color="000000" w:fill="FFFFFF"/>
            <w:noWrap/>
            <w:hideMark/>
          </w:tcPr>
          <w:p w14:paraId="1A27BC2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1.824 </w:t>
            </w:r>
          </w:p>
        </w:tc>
        <w:tc>
          <w:tcPr>
            <w:tcW w:w="619" w:type="dxa"/>
            <w:tcBorders>
              <w:top w:val="nil"/>
              <w:left w:val="nil"/>
              <w:bottom w:val="nil"/>
              <w:right w:val="nil"/>
            </w:tcBorders>
            <w:shd w:val="clear" w:color="000000" w:fill="FFFFFF"/>
            <w:noWrap/>
            <w:hideMark/>
          </w:tcPr>
          <w:p w14:paraId="0169BE0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0.263 </w:t>
            </w:r>
          </w:p>
        </w:tc>
        <w:tc>
          <w:tcPr>
            <w:tcW w:w="849" w:type="dxa"/>
            <w:tcBorders>
              <w:top w:val="nil"/>
              <w:left w:val="nil"/>
              <w:bottom w:val="nil"/>
              <w:right w:val="nil"/>
            </w:tcBorders>
            <w:shd w:val="clear" w:color="000000" w:fill="FFFFFF"/>
            <w:noWrap/>
            <w:hideMark/>
          </w:tcPr>
          <w:p w14:paraId="612D37D1"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1EC33FF1"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4378D36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0D53AC0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5DFB618E"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4BEE990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1B714549"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637BCDA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1F8D21C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0455021F"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136423" w:rsidRPr="00C76E19" w14:paraId="3671CDD3" w14:textId="77777777" w:rsidTr="005368E5">
        <w:trPr>
          <w:trHeight w:val="320"/>
        </w:trPr>
        <w:tc>
          <w:tcPr>
            <w:tcW w:w="1942" w:type="dxa"/>
            <w:tcBorders>
              <w:top w:val="nil"/>
              <w:left w:val="nil"/>
              <w:right w:val="nil"/>
            </w:tcBorders>
            <w:shd w:val="clear" w:color="000000" w:fill="FFFFFF"/>
            <w:noWrap/>
            <w:hideMark/>
          </w:tcPr>
          <w:p w14:paraId="2A3A7448" w14:textId="77777777" w:rsidR="00136423" w:rsidRPr="00AE2A93" w:rsidRDefault="00136423"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 xml:space="preserve">Heavy drinker </w:t>
            </w:r>
          </w:p>
        </w:tc>
        <w:tc>
          <w:tcPr>
            <w:tcW w:w="849" w:type="dxa"/>
            <w:tcBorders>
              <w:top w:val="nil"/>
              <w:left w:val="nil"/>
              <w:right w:val="nil"/>
            </w:tcBorders>
            <w:shd w:val="clear" w:color="000000" w:fill="FFFFFF"/>
            <w:noWrap/>
            <w:hideMark/>
          </w:tcPr>
          <w:p w14:paraId="7D95F30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right w:val="nil"/>
            </w:tcBorders>
            <w:shd w:val="clear" w:color="000000" w:fill="FFFFFF"/>
            <w:noWrap/>
            <w:hideMark/>
          </w:tcPr>
          <w:p w14:paraId="7C99144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right w:val="nil"/>
            </w:tcBorders>
            <w:shd w:val="clear" w:color="000000" w:fill="FFFFFF"/>
            <w:noWrap/>
            <w:hideMark/>
          </w:tcPr>
          <w:p w14:paraId="17ABE59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right w:val="nil"/>
            </w:tcBorders>
            <w:shd w:val="clear" w:color="000000" w:fill="FFFFFF"/>
            <w:noWrap/>
            <w:hideMark/>
          </w:tcPr>
          <w:p w14:paraId="3893F78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right w:val="nil"/>
            </w:tcBorders>
            <w:shd w:val="clear" w:color="000000" w:fill="FFFFFF"/>
            <w:noWrap/>
            <w:hideMark/>
          </w:tcPr>
          <w:p w14:paraId="1F8B9A76"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right w:val="nil"/>
            </w:tcBorders>
            <w:shd w:val="clear" w:color="000000" w:fill="FFFFFF"/>
            <w:noWrap/>
            <w:hideMark/>
          </w:tcPr>
          <w:p w14:paraId="3495B34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293</w:t>
            </w:r>
          </w:p>
        </w:tc>
        <w:tc>
          <w:tcPr>
            <w:tcW w:w="801" w:type="dxa"/>
            <w:tcBorders>
              <w:top w:val="nil"/>
              <w:left w:val="nil"/>
              <w:right w:val="nil"/>
            </w:tcBorders>
            <w:shd w:val="clear" w:color="000000" w:fill="FFFFFF"/>
            <w:noWrap/>
            <w:hideMark/>
          </w:tcPr>
          <w:p w14:paraId="6E0B7A7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-1.519 </w:t>
            </w:r>
          </w:p>
        </w:tc>
        <w:tc>
          <w:tcPr>
            <w:tcW w:w="568" w:type="dxa"/>
            <w:tcBorders>
              <w:top w:val="nil"/>
              <w:left w:val="nil"/>
              <w:right w:val="nil"/>
            </w:tcBorders>
            <w:shd w:val="clear" w:color="000000" w:fill="FFFFFF"/>
            <w:noWrap/>
            <w:hideMark/>
          </w:tcPr>
          <w:p w14:paraId="49651E1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-2.805 </w:t>
            </w:r>
          </w:p>
        </w:tc>
        <w:tc>
          <w:tcPr>
            <w:tcW w:w="567" w:type="dxa"/>
            <w:tcBorders>
              <w:top w:val="nil"/>
              <w:left w:val="nil"/>
              <w:right w:val="nil"/>
            </w:tcBorders>
            <w:shd w:val="clear" w:color="000000" w:fill="FFFFFF"/>
            <w:noWrap/>
            <w:hideMark/>
          </w:tcPr>
          <w:p w14:paraId="4741091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0.515 </w:t>
            </w:r>
          </w:p>
        </w:tc>
        <w:tc>
          <w:tcPr>
            <w:tcW w:w="619" w:type="dxa"/>
            <w:tcBorders>
              <w:top w:val="nil"/>
              <w:left w:val="nil"/>
              <w:right w:val="nil"/>
            </w:tcBorders>
            <w:shd w:val="clear" w:color="000000" w:fill="FFFFFF"/>
            <w:noWrap/>
            <w:hideMark/>
          </w:tcPr>
          <w:p w14:paraId="250686E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0.057 </w:t>
            </w:r>
          </w:p>
        </w:tc>
        <w:tc>
          <w:tcPr>
            <w:tcW w:w="849" w:type="dxa"/>
            <w:tcBorders>
              <w:top w:val="nil"/>
              <w:left w:val="nil"/>
              <w:right w:val="nil"/>
            </w:tcBorders>
            <w:shd w:val="clear" w:color="000000" w:fill="FFFFFF"/>
            <w:noWrap/>
            <w:hideMark/>
          </w:tcPr>
          <w:p w14:paraId="0BCDCC1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342</w:t>
            </w:r>
          </w:p>
        </w:tc>
        <w:tc>
          <w:tcPr>
            <w:tcW w:w="801" w:type="dxa"/>
            <w:tcBorders>
              <w:top w:val="nil"/>
              <w:left w:val="nil"/>
              <w:right w:val="nil"/>
            </w:tcBorders>
            <w:shd w:val="clear" w:color="000000" w:fill="FFFFFF"/>
            <w:noWrap/>
            <w:hideMark/>
          </w:tcPr>
          <w:p w14:paraId="711C35C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-1.714 </w:t>
            </w:r>
          </w:p>
        </w:tc>
        <w:tc>
          <w:tcPr>
            <w:tcW w:w="568" w:type="dxa"/>
            <w:tcBorders>
              <w:top w:val="nil"/>
              <w:left w:val="nil"/>
              <w:right w:val="nil"/>
            </w:tcBorders>
            <w:shd w:val="clear" w:color="000000" w:fill="FFFFFF"/>
            <w:noWrap/>
            <w:hideMark/>
          </w:tcPr>
          <w:p w14:paraId="6248B4F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-2.835 </w:t>
            </w:r>
          </w:p>
        </w:tc>
        <w:tc>
          <w:tcPr>
            <w:tcW w:w="567" w:type="dxa"/>
            <w:tcBorders>
              <w:top w:val="nil"/>
              <w:left w:val="nil"/>
              <w:right w:val="nil"/>
            </w:tcBorders>
            <w:shd w:val="clear" w:color="000000" w:fill="FFFFFF"/>
            <w:noWrap/>
            <w:hideMark/>
          </w:tcPr>
          <w:p w14:paraId="1A534A4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0.009 </w:t>
            </w:r>
          </w:p>
        </w:tc>
        <w:tc>
          <w:tcPr>
            <w:tcW w:w="619" w:type="dxa"/>
            <w:tcBorders>
              <w:top w:val="nil"/>
              <w:left w:val="nil"/>
              <w:right w:val="nil"/>
            </w:tcBorders>
            <w:shd w:val="clear" w:color="000000" w:fill="FFFFFF"/>
            <w:noWrap/>
            <w:hideMark/>
          </w:tcPr>
          <w:p w14:paraId="0854C0B6" w14:textId="03725A55"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0.013</w:t>
            </w:r>
            <w:r w:rsidR="005368E5" w:rsidRPr="00AE2A93">
              <w:rPr>
                <w:rFonts w:ascii="Book Antiqua" w:hAnsi="Book Antiqua"/>
                <w:color w:val="000000"/>
                <w:vertAlign w:val="superscript"/>
              </w:rPr>
              <w:t>a</w:t>
            </w:r>
            <w:r w:rsidRPr="00AE2A93">
              <w:rPr>
                <w:rFonts w:ascii="Book Antiqua" w:hAnsi="Book Antiqua"/>
                <w:color w:val="000000"/>
              </w:rPr>
              <w:t xml:space="preserve"> </w:t>
            </w:r>
          </w:p>
        </w:tc>
      </w:tr>
      <w:tr w:rsidR="00136423" w:rsidRPr="00C76E19" w14:paraId="64942C08" w14:textId="77777777" w:rsidTr="005368E5">
        <w:trPr>
          <w:trHeight w:val="320"/>
        </w:trPr>
        <w:tc>
          <w:tcPr>
            <w:tcW w:w="1942" w:type="dxa"/>
            <w:tcBorders>
              <w:top w:val="nil"/>
              <w:left w:val="nil"/>
              <w:bottom w:val="nil"/>
              <w:right w:val="nil"/>
            </w:tcBorders>
            <w:shd w:val="clear" w:color="000000" w:fill="FFFFFF"/>
            <w:noWrap/>
            <w:hideMark/>
          </w:tcPr>
          <w:p w14:paraId="46F1EAF9"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Residence area </w:t>
            </w:r>
          </w:p>
        </w:tc>
        <w:tc>
          <w:tcPr>
            <w:tcW w:w="849" w:type="dxa"/>
            <w:tcBorders>
              <w:top w:val="nil"/>
              <w:left w:val="nil"/>
              <w:bottom w:val="nil"/>
              <w:right w:val="nil"/>
            </w:tcBorders>
            <w:shd w:val="clear" w:color="000000" w:fill="FFFFFF"/>
            <w:noWrap/>
            <w:hideMark/>
          </w:tcPr>
          <w:p w14:paraId="117C216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621AF77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3F9451CB"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3812B01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3FFB1A6F"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56DB91D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4076B1FB"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2496D1F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490193C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5C8FD33F"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0CE53C3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5144732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4A02A98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632FBF9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39D61298"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136423" w:rsidRPr="00C76E19" w14:paraId="2BFD5299" w14:textId="77777777" w:rsidTr="005368E5">
        <w:trPr>
          <w:trHeight w:val="320"/>
        </w:trPr>
        <w:tc>
          <w:tcPr>
            <w:tcW w:w="1942" w:type="dxa"/>
            <w:tcBorders>
              <w:top w:val="nil"/>
              <w:left w:val="nil"/>
              <w:right w:val="nil"/>
            </w:tcBorders>
            <w:shd w:val="clear" w:color="000000" w:fill="FFFFFF"/>
            <w:noWrap/>
            <w:hideMark/>
          </w:tcPr>
          <w:p w14:paraId="236A0E71" w14:textId="172E6A07" w:rsidR="00136423" w:rsidRPr="00AE2A93" w:rsidRDefault="00136423"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 xml:space="preserve">Urban city </w:t>
            </w:r>
          </w:p>
        </w:tc>
        <w:tc>
          <w:tcPr>
            <w:tcW w:w="849" w:type="dxa"/>
            <w:tcBorders>
              <w:top w:val="nil"/>
              <w:left w:val="nil"/>
              <w:right w:val="nil"/>
            </w:tcBorders>
            <w:shd w:val="clear" w:color="000000" w:fill="FFFFFF"/>
            <w:noWrap/>
            <w:hideMark/>
          </w:tcPr>
          <w:p w14:paraId="02296EB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237</w:t>
            </w:r>
          </w:p>
        </w:tc>
        <w:tc>
          <w:tcPr>
            <w:tcW w:w="801" w:type="dxa"/>
            <w:tcBorders>
              <w:top w:val="nil"/>
              <w:left w:val="nil"/>
              <w:right w:val="nil"/>
            </w:tcBorders>
            <w:shd w:val="clear" w:color="000000" w:fill="FFFFFF"/>
            <w:noWrap/>
            <w:hideMark/>
          </w:tcPr>
          <w:p w14:paraId="0A8A3BA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0.741 </w:t>
            </w:r>
          </w:p>
        </w:tc>
        <w:tc>
          <w:tcPr>
            <w:tcW w:w="568" w:type="dxa"/>
            <w:tcBorders>
              <w:top w:val="nil"/>
              <w:left w:val="nil"/>
              <w:right w:val="nil"/>
            </w:tcBorders>
            <w:shd w:val="clear" w:color="000000" w:fill="FFFFFF"/>
            <w:noWrap/>
            <w:hideMark/>
          </w:tcPr>
          <w:p w14:paraId="74202EB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0.365 </w:t>
            </w:r>
          </w:p>
        </w:tc>
        <w:tc>
          <w:tcPr>
            <w:tcW w:w="567" w:type="dxa"/>
            <w:tcBorders>
              <w:top w:val="nil"/>
              <w:left w:val="nil"/>
              <w:right w:val="nil"/>
            </w:tcBorders>
            <w:shd w:val="clear" w:color="000000" w:fill="FFFFFF"/>
            <w:noWrap/>
            <w:hideMark/>
          </w:tcPr>
          <w:p w14:paraId="11AD35A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1.127 </w:t>
            </w:r>
          </w:p>
        </w:tc>
        <w:tc>
          <w:tcPr>
            <w:tcW w:w="619" w:type="dxa"/>
            <w:tcBorders>
              <w:top w:val="nil"/>
              <w:left w:val="nil"/>
              <w:right w:val="nil"/>
            </w:tcBorders>
            <w:shd w:val="clear" w:color="000000" w:fill="FFFFFF"/>
            <w:noWrap/>
            <w:hideMark/>
          </w:tcPr>
          <w:p w14:paraId="3CEF48AA" w14:textId="6450D563"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&lt;</w:t>
            </w:r>
            <w:r w:rsidR="005368E5" w:rsidRPr="00AE2A93">
              <w:rPr>
                <w:rFonts w:ascii="Book Antiqua" w:hAnsi="Book Antiqua"/>
                <w:color w:val="000000"/>
              </w:rPr>
              <w:t xml:space="preserve"> </w:t>
            </w:r>
            <w:r w:rsidRPr="00AE2A93">
              <w:rPr>
                <w:rFonts w:ascii="Book Antiqua" w:hAnsi="Book Antiqua"/>
                <w:color w:val="000000"/>
              </w:rPr>
              <w:t xml:space="preserve">0.001 </w:t>
            </w:r>
          </w:p>
        </w:tc>
        <w:tc>
          <w:tcPr>
            <w:tcW w:w="849" w:type="dxa"/>
            <w:tcBorders>
              <w:top w:val="nil"/>
              <w:left w:val="nil"/>
              <w:right w:val="nil"/>
            </w:tcBorders>
            <w:shd w:val="clear" w:color="000000" w:fill="FFFFFF"/>
            <w:noWrap/>
            <w:hideMark/>
          </w:tcPr>
          <w:p w14:paraId="6118C65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right w:val="nil"/>
            </w:tcBorders>
            <w:shd w:val="clear" w:color="000000" w:fill="FFFFFF"/>
            <w:noWrap/>
            <w:hideMark/>
          </w:tcPr>
          <w:p w14:paraId="0E7EC85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right w:val="nil"/>
            </w:tcBorders>
            <w:shd w:val="clear" w:color="000000" w:fill="FFFFFF"/>
            <w:noWrap/>
            <w:hideMark/>
          </w:tcPr>
          <w:p w14:paraId="30D849F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right w:val="nil"/>
            </w:tcBorders>
            <w:shd w:val="clear" w:color="000000" w:fill="FFFFFF"/>
            <w:noWrap/>
            <w:hideMark/>
          </w:tcPr>
          <w:p w14:paraId="749A171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right w:val="nil"/>
            </w:tcBorders>
            <w:shd w:val="clear" w:color="000000" w:fill="FFFFFF"/>
            <w:noWrap/>
            <w:hideMark/>
          </w:tcPr>
          <w:p w14:paraId="5675AEF1"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right w:val="nil"/>
            </w:tcBorders>
            <w:shd w:val="clear" w:color="000000" w:fill="FFFFFF"/>
            <w:noWrap/>
            <w:hideMark/>
          </w:tcPr>
          <w:p w14:paraId="575C9C2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right w:val="nil"/>
            </w:tcBorders>
            <w:shd w:val="clear" w:color="000000" w:fill="FFFFFF"/>
            <w:noWrap/>
            <w:hideMark/>
          </w:tcPr>
          <w:p w14:paraId="16DEC35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right w:val="nil"/>
            </w:tcBorders>
            <w:shd w:val="clear" w:color="000000" w:fill="FFFFFF"/>
            <w:noWrap/>
            <w:hideMark/>
          </w:tcPr>
          <w:p w14:paraId="7AF94F5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right w:val="nil"/>
            </w:tcBorders>
            <w:shd w:val="clear" w:color="000000" w:fill="FFFFFF"/>
            <w:noWrap/>
            <w:hideMark/>
          </w:tcPr>
          <w:p w14:paraId="4965181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right w:val="nil"/>
            </w:tcBorders>
            <w:shd w:val="clear" w:color="000000" w:fill="FFFFFF"/>
            <w:noWrap/>
            <w:hideMark/>
          </w:tcPr>
          <w:p w14:paraId="465AFF34"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136423" w:rsidRPr="00C76E19" w14:paraId="2C60F99D" w14:textId="77777777" w:rsidTr="005368E5">
        <w:trPr>
          <w:trHeight w:val="320"/>
        </w:trPr>
        <w:tc>
          <w:tcPr>
            <w:tcW w:w="1942" w:type="dxa"/>
            <w:tcBorders>
              <w:top w:val="nil"/>
              <w:left w:val="nil"/>
              <w:bottom w:val="nil"/>
              <w:right w:val="nil"/>
            </w:tcBorders>
            <w:shd w:val="clear" w:color="000000" w:fill="FFFFFF"/>
            <w:noWrap/>
            <w:hideMark/>
          </w:tcPr>
          <w:p w14:paraId="30566FDB"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Insurance plan </w:t>
            </w:r>
          </w:p>
        </w:tc>
        <w:tc>
          <w:tcPr>
            <w:tcW w:w="849" w:type="dxa"/>
            <w:tcBorders>
              <w:top w:val="nil"/>
              <w:left w:val="nil"/>
              <w:bottom w:val="nil"/>
              <w:right w:val="nil"/>
            </w:tcBorders>
            <w:shd w:val="clear" w:color="000000" w:fill="FFFFFF"/>
            <w:noWrap/>
            <w:hideMark/>
          </w:tcPr>
          <w:p w14:paraId="0FF217F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558D766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2F0539C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768706C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351CA916"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45D1417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07C8C83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3CB503D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07609171"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1EB86316"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6DC49E5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2AFB0629"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7B28204B"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4D6BCF7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3C01CEA2"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136423" w:rsidRPr="00C76E19" w14:paraId="1318495D" w14:textId="77777777" w:rsidTr="005368E5">
        <w:trPr>
          <w:trHeight w:val="320"/>
        </w:trPr>
        <w:tc>
          <w:tcPr>
            <w:tcW w:w="1942" w:type="dxa"/>
            <w:tcBorders>
              <w:top w:val="nil"/>
              <w:left w:val="nil"/>
              <w:bottom w:val="nil"/>
              <w:right w:val="nil"/>
            </w:tcBorders>
            <w:shd w:val="clear" w:color="000000" w:fill="FFFFFF"/>
            <w:noWrap/>
            <w:hideMark/>
          </w:tcPr>
          <w:p w14:paraId="1F54D0EE" w14:textId="77777777" w:rsidR="00136423" w:rsidRPr="00AE2A93" w:rsidRDefault="00136423"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 xml:space="preserve">Urban residents </w:t>
            </w:r>
          </w:p>
        </w:tc>
        <w:tc>
          <w:tcPr>
            <w:tcW w:w="849" w:type="dxa"/>
            <w:tcBorders>
              <w:top w:val="nil"/>
              <w:left w:val="nil"/>
              <w:bottom w:val="nil"/>
              <w:right w:val="nil"/>
            </w:tcBorders>
            <w:shd w:val="clear" w:color="000000" w:fill="FFFFFF"/>
            <w:noWrap/>
            <w:hideMark/>
          </w:tcPr>
          <w:p w14:paraId="27DFBB9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237</w:t>
            </w:r>
          </w:p>
        </w:tc>
        <w:tc>
          <w:tcPr>
            <w:tcW w:w="801" w:type="dxa"/>
            <w:tcBorders>
              <w:top w:val="nil"/>
              <w:left w:val="nil"/>
              <w:bottom w:val="nil"/>
              <w:right w:val="nil"/>
            </w:tcBorders>
            <w:shd w:val="clear" w:color="000000" w:fill="FFFFFF"/>
            <w:noWrap/>
            <w:hideMark/>
          </w:tcPr>
          <w:p w14:paraId="4D2C843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-0.562 </w:t>
            </w:r>
          </w:p>
        </w:tc>
        <w:tc>
          <w:tcPr>
            <w:tcW w:w="568" w:type="dxa"/>
            <w:tcBorders>
              <w:top w:val="nil"/>
              <w:left w:val="nil"/>
              <w:bottom w:val="nil"/>
              <w:right w:val="nil"/>
            </w:tcBorders>
            <w:shd w:val="clear" w:color="000000" w:fill="FFFFFF"/>
            <w:noWrap/>
            <w:hideMark/>
          </w:tcPr>
          <w:p w14:paraId="3FD9358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-1.038 </w:t>
            </w:r>
          </w:p>
        </w:tc>
        <w:tc>
          <w:tcPr>
            <w:tcW w:w="567" w:type="dxa"/>
            <w:tcBorders>
              <w:top w:val="nil"/>
              <w:left w:val="nil"/>
              <w:bottom w:val="nil"/>
              <w:right w:val="nil"/>
            </w:tcBorders>
            <w:shd w:val="clear" w:color="000000" w:fill="FFFFFF"/>
            <w:noWrap/>
            <w:hideMark/>
          </w:tcPr>
          <w:p w14:paraId="0AE860E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-0.030 </w:t>
            </w:r>
          </w:p>
        </w:tc>
        <w:tc>
          <w:tcPr>
            <w:tcW w:w="619" w:type="dxa"/>
            <w:tcBorders>
              <w:top w:val="nil"/>
              <w:left w:val="nil"/>
              <w:bottom w:val="nil"/>
              <w:right w:val="nil"/>
            </w:tcBorders>
            <w:shd w:val="clear" w:color="000000" w:fill="FFFFFF"/>
            <w:noWrap/>
            <w:hideMark/>
          </w:tcPr>
          <w:p w14:paraId="0FDB43DC" w14:textId="2C4A8A8F"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0.028</w:t>
            </w:r>
            <w:r w:rsidR="005368E5" w:rsidRPr="00AE2A93">
              <w:rPr>
                <w:rFonts w:ascii="Book Antiqua" w:hAnsi="Book Antiqua"/>
                <w:color w:val="000000"/>
                <w:vertAlign w:val="superscript"/>
              </w:rPr>
              <w:t>a</w:t>
            </w:r>
            <w:r w:rsidRPr="00AE2A93">
              <w:rPr>
                <w:rFonts w:ascii="Book Antiqua" w:hAnsi="Book Antiqua"/>
                <w:color w:val="000000"/>
              </w:rPr>
              <w:t xml:space="preserve"> </w:t>
            </w:r>
          </w:p>
        </w:tc>
        <w:tc>
          <w:tcPr>
            <w:tcW w:w="849" w:type="dxa"/>
            <w:tcBorders>
              <w:top w:val="nil"/>
              <w:left w:val="nil"/>
              <w:bottom w:val="nil"/>
              <w:right w:val="nil"/>
            </w:tcBorders>
            <w:shd w:val="clear" w:color="000000" w:fill="FFFFFF"/>
            <w:noWrap/>
            <w:hideMark/>
          </w:tcPr>
          <w:p w14:paraId="137D0BA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3F35B14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09DFE5C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6D7F31C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43A660E3"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004A226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37162C6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68B2F9C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35247D7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53EF0178"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136423" w:rsidRPr="00C76E19" w14:paraId="4F1D5C6B" w14:textId="77777777" w:rsidTr="005368E5">
        <w:trPr>
          <w:trHeight w:val="320"/>
        </w:trPr>
        <w:tc>
          <w:tcPr>
            <w:tcW w:w="1942" w:type="dxa"/>
            <w:tcBorders>
              <w:top w:val="nil"/>
              <w:left w:val="nil"/>
              <w:right w:val="nil"/>
            </w:tcBorders>
            <w:shd w:val="clear" w:color="000000" w:fill="FFFFFF"/>
            <w:noWrap/>
            <w:hideMark/>
          </w:tcPr>
          <w:p w14:paraId="25C3366D" w14:textId="77777777" w:rsidR="00136423" w:rsidRPr="00AE2A93" w:rsidRDefault="00136423"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 xml:space="preserve">Other plans </w:t>
            </w:r>
          </w:p>
        </w:tc>
        <w:tc>
          <w:tcPr>
            <w:tcW w:w="849" w:type="dxa"/>
            <w:tcBorders>
              <w:top w:val="nil"/>
              <w:left w:val="nil"/>
              <w:right w:val="nil"/>
            </w:tcBorders>
            <w:shd w:val="clear" w:color="000000" w:fill="FFFFFF"/>
            <w:noWrap/>
            <w:hideMark/>
          </w:tcPr>
          <w:p w14:paraId="4D01933B"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right w:val="nil"/>
            </w:tcBorders>
            <w:shd w:val="clear" w:color="000000" w:fill="FFFFFF"/>
            <w:noWrap/>
            <w:hideMark/>
          </w:tcPr>
          <w:p w14:paraId="507A232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right w:val="nil"/>
            </w:tcBorders>
            <w:shd w:val="clear" w:color="000000" w:fill="FFFFFF"/>
            <w:noWrap/>
            <w:hideMark/>
          </w:tcPr>
          <w:p w14:paraId="78A2D459"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right w:val="nil"/>
            </w:tcBorders>
            <w:shd w:val="clear" w:color="000000" w:fill="FFFFFF"/>
            <w:noWrap/>
            <w:hideMark/>
          </w:tcPr>
          <w:p w14:paraId="19B943F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right w:val="nil"/>
            </w:tcBorders>
            <w:shd w:val="clear" w:color="000000" w:fill="FFFFFF"/>
            <w:noWrap/>
            <w:hideMark/>
          </w:tcPr>
          <w:p w14:paraId="7371D284"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right w:val="nil"/>
            </w:tcBorders>
            <w:shd w:val="clear" w:color="000000" w:fill="FFFFFF"/>
            <w:noWrap/>
            <w:hideMark/>
          </w:tcPr>
          <w:p w14:paraId="2C448F2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293</w:t>
            </w:r>
          </w:p>
        </w:tc>
        <w:tc>
          <w:tcPr>
            <w:tcW w:w="801" w:type="dxa"/>
            <w:tcBorders>
              <w:top w:val="nil"/>
              <w:left w:val="nil"/>
              <w:right w:val="nil"/>
            </w:tcBorders>
            <w:shd w:val="clear" w:color="000000" w:fill="FFFFFF"/>
            <w:noWrap/>
            <w:hideMark/>
          </w:tcPr>
          <w:p w14:paraId="5D357DB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0.395 </w:t>
            </w:r>
          </w:p>
        </w:tc>
        <w:tc>
          <w:tcPr>
            <w:tcW w:w="568" w:type="dxa"/>
            <w:tcBorders>
              <w:top w:val="nil"/>
              <w:left w:val="nil"/>
              <w:right w:val="nil"/>
            </w:tcBorders>
            <w:shd w:val="clear" w:color="000000" w:fill="FFFFFF"/>
            <w:noWrap/>
            <w:hideMark/>
          </w:tcPr>
          <w:p w14:paraId="6824196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-0.071 </w:t>
            </w:r>
          </w:p>
        </w:tc>
        <w:tc>
          <w:tcPr>
            <w:tcW w:w="567" w:type="dxa"/>
            <w:tcBorders>
              <w:top w:val="nil"/>
              <w:left w:val="nil"/>
              <w:right w:val="nil"/>
            </w:tcBorders>
            <w:shd w:val="clear" w:color="000000" w:fill="FFFFFF"/>
            <w:noWrap/>
            <w:hideMark/>
          </w:tcPr>
          <w:p w14:paraId="4BEED13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0.915 </w:t>
            </w:r>
          </w:p>
        </w:tc>
        <w:tc>
          <w:tcPr>
            <w:tcW w:w="619" w:type="dxa"/>
            <w:tcBorders>
              <w:top w:val="nil"/>
              <w:left w:val="nil"/>
              <w:right w:val="nil"/>
            </w:tcBorders>
            <w:shd w:val="clear" w:color="000000" w:fill="FFFFFF"/>
            <w:noWrap/>
            <w:hideMark/>
          </w:tcPr>
          <w:p w14:paraId="23DE0F0B"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0.111 </w:t>
            </w:r>
          </w:p>
        </w:tc>
        <w:tc>
          <w:tcPr>
            <w:tcW w:w="849" w:type="dxa"/>
            <w:tcBorders>
              <w:top w:val="nil"/>
              <w:left w:val="nil"/>
              <w:right w:val="nil"/>
            </w:tcBorders>
            <w:shd w:val="clear" w:color="000000" w:fill="FFFFFF"/>
            <w:noWrap/>
            <w:hideMark/>
          </w:tcPr>
          <w:p w14:paraId="5CDE054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342</w:t>
            </w:r>
          </w:p>
        </w:tc>
        <w:tc>
          <w:tcPr>
            <w:tcW w:w="801" w:type="dxa"/>
            <w:tcBorders>
              <w:top w:val="nil"/>
              <w:left w:val="nil"/>
              <w:right w:val="nil"/>
            </w:tcBorders>
            <w:shd w:val="clear" w:color="000000" w:fill="FFFFFF"/>
            <w:noWrap/>
            <w:hideMark/>
          </w:tcPr>
          <w:p w14:paraId="4C7D8421"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0.248 </w:t>
            </w:r>
          </w:p>
        </w:tc>
        <w:tc>
          <w:tcPr>
            <w:tcW w:w="568" w:type="dxa"/>
            <w:tcBorders>
              <w:top w:val="nil"/>
              <w:left w:val="nil"/>
              <w:right w:val="nil"/>
            </w:tcBorders>
            <w:shd w:val="clear" w:color="000000" w:fill="FFFFFF"/>
            <w:noWrap/>
            <w:hideMark/>
          </w:tcPr>
          <w:p w14:paraId="0642D23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-0.235 </w:t>
            </w:r>
          </w:p>
        </w:tc>
        <w:tc>
          <w:tcPr>
            <w:tcW w:w="567" w:type="dxa"/>
            <w:tcBorders>
              <w:top w:val="nil"/>
              <w:left w:val="nil"/>
              <w:right w:val="nil"/>
            </w:tcBorders>
            <w:shd w:val="clear" w:color="000000" w:fill="FFFFFF"/>
            <w:noWrap/>
            <w:hideMark/>
          </w:tcPr>
          <w:p w14:paraId="4C863A01"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0.784 </w:t>
            </w:r>
          </w:p>
        </w:tc>
        <w:tc>
          <w:tcPr>
            <w:tcW w:w="619" w:type="dxa"/>
            <w:tcBorders>
              <w:top w:val="nil"/>
              <w:left w:val="nil"/>
              <w:right w:val="nil"/>
            </w:tcBorders>
            <w:shd w:val="clear" w:color="000000" w:fill="FFFFFF"/>
            <w:noWrap/>
            <w:hideMark/>
          </w:tcPr>
          <w:p w14:paraId="546C058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0.325 </w:t>
            </w:r>
          </w:p>
        </w:tc>
      </w:tr>
      <w:tr w:rsidR="00136423" w:rsidRPr="00C76E19" w14:paraId="746D2592" w14:textId="77777777" w:rsidTr="005368E5">
        <w:trPr>
          <w:trHeight w:val="320"/>
        </w:trPr>
        <w:tc>
          <w:tcPr>
            <w:tcW w:w="1942" w:type="dxa"/>
            <w:tcBorders>
              <w:top w:val="nil"/>
              <w:left w:val="nil"/>
              <w:bottom w:val="nil"/>
              <w:right w:val="nil"/>
            </w:tcBorders>
            <w:shd w:val="clear" w:color="000000" w:fill="FFFFFF"/>
            <w:noWrap/>
            <w:hideMark/>
          </w:tcPr>
          <w:p w14:paraId="346F542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Disease site at diagnosis </w:t>
            </w:r>
          </w:p>
        </w:tc>
        <w:tc>
          <w:tcPr>
            <w:tcW w:w="849" w:type="dxa"/>
            <w:tcBorders>
              <w:top w:val="nil"/>
              <w:left w:val="nil"/>
              <w:bottom w:val="nil"/>
              <w:right w:val="nil"/>
            </w:tcBorders>
            <w:shd w:val="clear" w:color="000000" w:fill="FFFFFF"/>
            <w:noWrap/>
            <w:hideMark/>
          </w:tcPr>
          <w:p w14:paraId="2A9CD3F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5D7C353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01128FA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401E634B"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68D41BB9"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0AEAEE7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71CB003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13D3B4D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3BCD6FF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534CA0EE"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0BF2891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7282A9B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19B6F58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1AF620A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6F503E26"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136423" w:rsidRPr="00C76E19" w14:paraId="3366AA22" w14:textId="77777777" w:rsidTr="005368E5">
        <w:trPr>
          <w:trHeight w:val="320"/>
        </w:trPr>
        <w:tc>
          <w:tcPr>
            <w:tcW w:w="1942" w:type="dxa"/>
            <w:tcBorders>
              <w:top w:val="nil"/>
              <w:left w:val="nil"/>
              <w:bottom w:val="nil"/>
              <w:right w:val="nil"/>
            </w:tcBorders>
            <w:shd w:val="clear" w:color="000000" w:fill="FFFFFF"/>
            <w:noWrap/>
            <w:hideMark/>
          </w:tcPr>
          <w:p w14:paraId="1A47564A" w14:textId="77777777" w:rsidR="00136423" w:rsidRPr="00AE2A93" w:rsidRDefault="00136423"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Terminal ileum</w:t>
            </w:r>
          </w:p>
        </w:tc>
        <w:tc>
          <w:tcPr>
            <w:tcW w:w="849" w:type="dxa"/>
            <w:tcBorders>
              <w:top w:val="nil"/>
              <w:left w:val="nil"/>
              <w:bottom w:val="nil"/>
              <w:right w:val="nil"/>
            </w:tcBorders>
            <w:shd w:val="clear" w:color="000000" w:fill="FFFFFF"/>
            <w:noWrap/>
            <w:hideMark/>
          </w:tcPr>
          <w:p w14:paraId="634B9BA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669F238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0222749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7EDFA56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64DA98B2"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5585EF7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0E41998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05AC9BD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49E2D32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1DCC6A46"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4AD070B1"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342</w:t>
            </w:r>
          </w:p>
        </w:tc>
        <w:tc>
          <w:tcPr>
            <w:tcW w:w="801" w:type="dxa"/>
            <w:tcBorders>
              <w:top w:val="nil"/>
              <w:left w:val="nil"/>
              <w:bottom w:val="nil"/>
              <w:right w:val="nil"/>
            </w:tcBorders>
            <w:shd w:val="clear" w:color="000000" w:fill="FFFFFF"/>
            <w:noWrap/>
            <w:hideMark/>
          </w:tcPr>
          <w:p w14:paraId="39801C21"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0.183 </w:t>
            </w:r>
          </w:p>
        </w:tc>
        <w:tc>
          <w:tcPr>
            <w:tcW w:w="568" w:type="dxa"/>
            <w:tcBorders>
              <w:top w:val="nil"/>
              <w:left w:val="nil"/>
              <w:bottom w:val="nil"/>
              <w:right w:val="nil"/>
            </w:tcBorders>
            <w:shd w:val="clear" w:color="000000" w:fill="FFFFFF"/>
            <w:noWrap/>
            <w:hideMark/>
          </w:tcPr>
          <w:p w14:paraId="02C3F21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-0.204 </w:t>
            </w:r>
          </w:p>
        </w:tc>
        <w:tc>
          <w:tcPr>
            <w:tcW w:w="567" w:type="dxa"/>
            <w:tcBorders>
              <w:top w:val="nil"/>
              <w:left w:val="nil"/>
              <w:bottom w:val="nil"/>
              <w:right w:val="nil"/>
            </w:tcBorders>
            <w:shd w:val="clear" w:color="000000" w:fill="FFFFFF"/>
            <w:noWrap/>
            <w:hideMark/>
          </w:tcPr>
          <w:p w14:paraId="3229FBA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0.564 </w:t>
            </w:r>
          </w:p>
        </w:tc>
        <w:tc>
          <w:tcPr>
            <w:tcW w:w="619" w:type="dxa"/>
            <w:tcBorders>
              <w:top w:val="nil"/>
              <w:left w:val="nil"/>
              <w:bottom w:val="nil"/>
              <w:right w:val="nil"/>
            </w:tcBorders>
            <w:shd w:val="clear" w:color="000000" w:fill="FFFFFF"/>
            <w:noWrap/>
            <w:hideMark/>
          </w:tcPr>
          <w:p w14:paraId="0FA7CCC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0.343 </w:t>
            </w:r>
          </w:p>
        </w:tc>
      </w:tr>
      <w:tr w:rsidR="00136423" w:rsidRPr="00C76E19" w14:paraId="37120453" w14:textId="77777777" w:rsidTr="005368E5">
        <w:trPr>
          <w:trHeight w:val="320"/>
        </w:trPr>
        <w:tc>
          <w:tcPr>
            <w:tcW w:w="1942" w:type="dxa"/>
            <w:tcBorders>
              <w:top w:val="nil"/>
              <w:left w:val="nil"/>
              <w:bottom w:val="nil"/>
              <w:right w:val="nil"/>
            </w:tcBorders>
            <w:shd w:val="clear" w:color="000000" w:fill="FFFFFF"/>
            <w:noWrap/>
            <w:hideMark/>
          </w:tcPr>
          <w:p w14:paraId="04999FAA" w14:textId="77777777" w:rsidR="00136423" w:rsidRPr="00AE2A93" w:rsidRDefault="00136423"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Colon</w:t>
            </w:r>
          </w:p>
        </w:tc>
        <w:tc>
          <w:tcPr>
            <w:tcW w:w="849" w:type="dxa"/>
            <w:tcBorders>
              <w:top w:val="nil"/>
              <w:left w:val="nil"/>
              <w:bottom w:val="nil"/>
              <w:right w:val="nil"/>
            </w:tcBorders>
            <w:shd w:val="clear" w:color="000000" w:fill="FFFFFF"/>
            <w:noWrap/>
            <w:hideMark/>
          </w:tcPr>
          <w:p w14:paraId="4AA9310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237</w:t>
            </w:r>
          </w:p>
        </w:tc>
        <w:tc>
          <w:tcPr>
            <w:tcW w:w="801" w:type="dxa"/>
            <w:tcBorders>
              <w:top w:val="nil"/>
              <w:left w:val="nil"/>
              <w:bottom w:val="nil"/>
              <w:right w:val="nil"/>
            </w:tcBorders>
            <w:shd w:val="clear" w:color="000000" w:fill="FFFFFF"/>
            <w:noWrap/>
            <w:hideMark/>
          </w:tcPr>
          <w:p w14:paraId="57C99E99"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-0.116 </w:t>
            </w:r>
          </w:p>
        </w:tc>
        <w:tc>
          <w:tcPr>
            <w:tcW w:w="568" w:type="dxa"/>
            <w:tcBorders>
              <w:top w:val="nil"/>
              <w:left w:val="nil"/>
              <w:bottom w:val="nil"/>
              <w:right w:val="nil"/>
            </w:tcBorders>
            <w:shd w:val="clear" w:color="000000" w:fill="FFFFFF"/>
            <w:noWrap/>
            <w:hideMark/>
          </w:tcPr>
          <w:p w14:paraId="6CD6260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-0.728 </w:t>
            </w:r>
          </w:p>
        </w:tc>
        <w:tc>
          <w:tcPr>
            <w:tcW w:w="567" w:type="dxa"/>
            <w:tcBorders>
              <w:top w:val="nil"/>
              <w:left w:val="nil"/>
              <w:bottom w:val="nil"/>
              <w:right w:val="nil"/>
            </w:tcBorders>
            <w:shd w:val="clear" w:color="000000" w:fill="FFFFFF"/>
            <w:noWrap/>
            <w:hideMark/>
          </w:tcPr>
          <w:p w14:paraId="6E7CC6B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0.569 </w:t>
            </w:r>
          </w:p>
        </w:tc>
        <w:tc>
          <w:tcPr>
            <w:tcW w:w="619" w:type="dxa"/>
            <w:tcBorders>
              <w:top w:val="nil"/>
              <w:left w:val="nil"/>
              <w:bottom w:val="nil"/>
              <w:right w:val="nil"/>
            </w:tcBorders>
            <w:shd w:val="clear" w:color="000000" w:fill="FFFFFF"/>
            <w:noWrap/>
            <w:hideMark/>
          </w:tcPr>
          <w:p w14:paraId="43DFFF9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0.707 </w:t>
            </w:r>
          </w:p>
        </w:tc>
        <w:tc>
          <w:tcPr>
            <w:tcW w:w="849" w:type="dxa"/>
            <w:tcBorders>
              <w:top w:val="nil"/>
              <w:left w:val="nil"/>
              <w:bottom w:val="nil"/>
              <w:right w:val="nil"/>
            </w:tcBorders>
            <w:shd w:val="clear" w:color="000000" w:fill="FFFFFF"/>
            <w:noWrap/>
            <w:hideMark/>
          </w:tcPr>
          <w:p w14:paraId="090BD81B"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266E2C59"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6BA8101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297D762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4D2A9A7F"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2291012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2FE5781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113D55D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7913BFA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05AC1E46"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136423" w:rsidRPr="00C76E19" w14:paraId="7F1EDBEF" w14:textId="77777777" w:rsidTr="005368E5">
        <w:trPr>
          <w:trHeight w:val="320"/>
        </w:trPr>
        <w:tc>
          <w:tcPr>
            <w:tcW w:w="1942" w:type="dxa"/>
            <w:tcBorders>
              <w:top w:val="nil"/>
              <w:left w:val="nil"/>
              <w:bottom w:val="nil"/>
              <w:right w:val="nil"/>
            </w:tcBorders>
            <w:shd w:val="clear" w:color="000000" w:fill="FFFFFF"/>
            <w:noWrap/>
            <w:hideMark/>
          </w:tcPr>
          <w:p w14:paraId="493CB407" w14:textId="77777777" w:rsidR="00136423" w:rsidRPr="00AE2A93" w:rsidRDefault="00136423"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Ileocolon</w:t>
            </w:r>
          </w:p>
        </w:tc>
        <w:tc>
          <w:tcPr>
            <w:tcW w:w="849" w:type="dxa"/>
            <w:tcBorders>
              <w:top w:val="nil"/>
              <w:left w:val="nil"/>
              <w:bottom w:val="nil"/>
              <w:right w:val="nil"/>
            </w:tcBorders>
            <w:shd w:val="clear" w:color="000000" w:fill="FFFFFF"/>
            <w:noWrap/>
            <w:hideMark/>
          </w:tcPr>
          <w:p w14:paraId="027FB699"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237</w:t>
            </w:r>
          </w:p>
        </w:tc>
        <w:tc>
          <w:tcPr>
            <w:tcW w:w="801" w:type="dxa"/>
            <w:tcBorders>
              <w:top w:val="nil"/>
              <w:left w:val="nil"/>
              <w:bottom w:val="nil"/>
              <w:right w:val="nil"/>
            </w:tcBorders>
            <w:shd w:val="clear" w:color="000000" w:fill="FFFFFF"/>
            <w:noWrap/>
            <w:hideMark/>
          </w:tcPr>
          <w:p w14:paraId="788CB8F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-0.279 </w:t>
            </w:r>
          </w:p>
        </w:tc>
        <w:tc>
          <w:tcPr>
            <w:tcW w:w="568" w:type="dxa"/>
            <w:tcBorders>
              <w:top w:val="nil"/>
              <w:left w:val="nil"/>
              <w:bottom w:val="nil"/>
              <w:right w:val="nil"/>
            </w:tcBorders>
            <w:shd w:val="clear" w:color="000000" w:fill="FFFFFF"/>
            <w:noWrap/>
            <w:hideMark/>
          </w:tcPr>
          <w:p w14:paraId="49A19E99"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-0.662 </w:t>
            </w:r>
          </w:p>
        </w:tc>
        <w:tc>
          <w:tcPr>
            <w:tcW w:w="567" w:type="dxa"/>
            <w:tcBorders>
              <w:top w:val="nil"/>
              <w:left w:val="nil"/>
              <w:bottom w:val="nil"/>
              <w:right w:val="nil"/>
            </w:tcBorders>
            <w:shd w:val="clear" w:color="000000" w:fill="FFFFFF"/>
            <w:noWrap/>
            <w:hideMark/>
          </w:tcPr>
          <w:p w14:paraId="584E388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0.102 </w:t>
            </w:r>
          </w:p>
        </w:tc>
        <w:tc>
          <w:tcPr>
            <w:tcW w:w="619" w:type="dxa"/>
            <w:tcBorders>
              <w:top w:val="nil"/>
              <w:left w:val="nil"/>
              <w:bottom w:val="nil"/>
              <w:right w:val="nil"/>
            </w:tcBorders>
            <w:shd w:val="clear" w:color="000000" w:fill="FFFFFF"/>
            <w:noWrap/>
            <w:hideMark/>
          </w:tcPr>
          <w:p w14:paraId="4BDAC6C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0.158 </w:t>
            </w:r>
          </w:p>
        </w:tc>
        <w:tc>
          <w:tcPr>
            <w:tcW w:w="849" w:type="dxa"/>
            <w:tcBorders>
              <w:top w:val="nil"/>
              <w:left w:val="nil"/>
              <w:bottom w:val="nil"/>
              <w:right w:val="nil"/>
            </w:tcBorders>
            <w:shd w:val="clear" w:color="000000" w:fill="FFFFFF"/>
            <w:noWrap/>
            <w:hideMark/>
          </w:tcPr>
          <w:p w14:paraId="0B52DCB9"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293</w:t>
            </w:r>
          </w:p>
        </w:tc>
        <w:tc>
          <w:tcPr>
            <w:tcW w:w="801" w:type="dxa"/>
            <w:tcBorders>
              <w:top w:val="nil"/>
              <w:left w:val="nil"/>
              <w:bottom w:val="nil"/>
              <w:right w:val="nil"/>
            </w:tcBorders>
            <w:shd w:val="clear" w:color="000000" w:fill="FFFFFF"/>
            <w:noWrap/>
            <w:hideMark/>
          </w:tcPr>
          <w:p w14:paraId="04EA5A7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-0.252 </w:t>
            </w:r>
          </w:p>
        </w:tc>
        <w:tc>
          <w:tcPr>
            <w:tcW w:w="568" w:type="dxa"/>
            <w:tcBorders>
              <w:top w:val="nil"/>
              <w:left w:val="nil"/>
              <w:bottom w:val="nil"/>
              <w:right w:val="nil"/>
            </w:tcBorders>
            <w:shd w:val="clear" w:color="000000" w:fill="FFFFFF"/>
            <w:noWrap/>
            <w:hideMark/>
          </w:tcPr>
          <w:p w14:paraId="2D9E002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-0.513 </w:t>
            </w:r>
          </w:p>
        </w:tc>
        <w:tc>
          <w:tcPr>
            <w:tcW w:w="567" w:type="dxa"/>
            <w:tcBorders>
              <w:top w:val="nil"/>
              <w:left w:val="nil"/>
              <w:bottom w:val="nil"/>
              <w:right w:val="nil"/>
            </w:tcBorders>
            <w:shd w:val="clear" w:color="000000" w:fill="FFFFFF"/>
            <w:noWrap/>
            <w:hideMark/>
          </w:tcPr>
          <w:p w14:paraId="21784EA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0.010 </w:t>
            </w:r>
          </w:p>
        </w:tc>
        <w:tc>
          <w:tcPr>
            <w:tcW w:w="619" w:type="dxa"/>
            <w:tcBorders>
              <w:top w:val="nil"/>
              <w:left w:val="nil"/>
              <w:bottom w:val="nil"/>
              <w:right w:val="nil"/>
            </w:tcBorders>
            <w:shd w:val="clear" w:color="000000" w:fill="FFFFFF"/>
            <w:noWrap/>
            <w:hideMark/>
          </w:tcPr>
          <w:p w14:paraId="1F6E33E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0.060 </w:t>
            </w:r>
          </w:p>
        </w:tc>
        <w:tc>
          <w:tcPr>
            <w:tcW w:w="849" w:type="dxa"/>
            <w:tcBorders>
              <w:top w:val="nil"/>
              <w:left w:val="nil"/>
              <w:bottom w:val="nil"/>
              <w:right w:val="nil"/>
            </w:tcBorders>
            <w:shd w:val="clear" w:color="000000" w:fill="FFFFFF"/>
            <w:noWrap/>
            <w:hideMark/>
          </w:tcPr>
          <w:p w14:paraId="02F8D8C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342</w:t>
            </w:r>
          </w:p>
        </w:tc>
        <w:tc>
          <w:tcPr>
            <w:tcW w:w="801" w:type="dxa"/>
            <w:tcBorders>
              <w:top w:val="nil"/>
              <w:left w:val="nil"/>
              <w:bottom w:val="nil"/>
              <w:right w:val="nil"/>
            </w:tcBorders>
            <w:shd w:val="clear" w:color="000000" w:fill="FFFFFF"/>
            <w:noWrap/>
            <w:hideMark/>
          </w:tcPr>
          <w:p w14:paraId="1FA0E50B"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-0.163 </w:t>
            </w:r>
          </w:p>
        </w:tc>
        <w:tc>
          <w:tcPr>
            <w:tcW w:w="568" w:type="dxa"/>
            <w:tcBorders>
              <w:top w:val="nil"/>
              <w:left w:val="nil"/>
              <w:bottom w:val="nil"/>
              <w:right w:val="nil"/>
            </w:tcBorders>
            <w:shd w:val="clear" w:color="000000" w:fill="FFFFFF"/>
            <w:noWrap/>
            <w:hideMark/>
          </w:tcPr>
          <w:p w14:paraId="7A7FAAE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-0.517 </w:t>
            </w:r>
          </w:p>
        </w:tc>
        <w:tc>
          <w:tcPr>
            <w:tcW w:w="567" w:type="dxa"/>
            <w:tcBorders>
              <w:top w:val="nil"/>
              <w:left w:val="nil"/>
              <w:bottom w:val="nil"/>
              <w:right w:val="nil"/>
            </w:tcBorders>
            <w:shd w:val="clear" w:color="000000" w:fill="FFFFFF"/>
            <w:noWrap/>
            <w:hideMark/>
          </w:tcPr>
          <w:p w14:paraId="0ECCD4A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0.178 </w:t>
            </w:r>
          </w:p>
        </w:tc>
        <w:tc>
          <w:tcPr>
            <w:tcW w:w="619" w:type="dxa"/>
            <w:tcBorders>
              <w:top w:val="nil"/>
              <w:left w:val="nil"/>
              <w:bottom w:val="nil"/>
              <w:right w:val="nil"/>
            </w:tcBorders>
            <w:shd w:val="clear" w:color="000000" w:fill="FFFFFF"/>
            <w:noWrap/>
            <w:hideMark/>
          </w:tcPr>
          <w:p w14:paraId="63062DFB"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0.347 </w:t>
            </w:r>
          </w:p>
        </w:tc>
      </w:tr>
      <w:tr w:rsidR="00136423" w:rsidRPr="00C76E19" w14:paraId="1F465DAC" w14:textId="77777777" w:rsidTr="005368E5">
        <w:trPr>
          <w:trHeight w:val="320"/>
        </w:trPr>
        <w:tc>
          <w:tcPr>
            <w:tcW w:w="1942" w:type="dxa"/>
            <w:tcBorders>
              <w:top w:val="nil"/>
              <w:left w:val="nil"/>
              <w:right w:val="nil"/>
            </w:tcBorders>
            <w:shd w:val="clear" w:color="000000" w:fill="FFFFFF"/>
            <w:noWrap/>
            <w:hideMark/>
          </w:tcPr>
          <w:p w14:paraId="5DE8534A" w14:textId="77777777" w:rsidR="00136423" w:rsidRPr="00AE2A93" w:rsidRDefault="00136423" w:rsidP="00AE2A93">
            <w:pPr>
              <w:snapToGrid w:val="0"/>
              <w:spacing w:line="360" w:lineRule="auto"/>
              <w:ind w:firstLineChars="100" w:firstLine="240"/>
              <w:jc w:val="both"/>
              <w:rPr>
                <w:rFonts w:ascii="Book Antiqua" w:hAnsi="Book Antiqua"/>
                <w:color w:val="000000"/>
              </w:rPr>
            </w:pPr>
            <w:r w:rsidRPr="00AE2A93">
              <w:rPr>
                <w:rFonts w:ascii="Book Antiqua" w:hAnsi="Book Antiqua"/>
                <w:color w:val="000000"/>
              </w:rPr>
              <w:t>Ileocolon + upper digestive tract</w:t>
            </w:r>
          </w:p>
        </w:tc>
        <w:tc>
          <w:tcPr>
            <w:tcW w:w="849" w:type="dxa"/>
            <w:tcBorders>
              <w:top w:val="nil"/>
              <w:left w:val="nil"/>
              <w:right w:val="nil"/>
            </w:tcBorders>
            <w:shd w:val="clear" w:color="000000" w:fill="FFFFFF"/>
            <w:noWrap/>
            <w:hideMark/>
          </w:tcPr>
          <w:p w14:paraId="6E1ABB2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right w:val="nil"/>
            </w:tcBorders>
            <w:shd w:val="clear" w:color="000000" w:fill="FFFFFF"/>
            <w:noWrap/>
            <w:hideMark/>
          </w:tcPr>
          <w:p w14:paraId="128AD0E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right w:val="nil"/>
            </w:tcBorders>
            <w:shd w:val="clear" w:color="000000" w:fill="FFFFFF"/>
            <w:noWrap/>
            <w:hideMark/>
          </w:tcPr>
          <w:p w14:paraId="727C68E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right w:val="nil"/>
            </w:tcBorders>
            <w:shd w:val="clear" w:color="000000" w:fill="FFFFFF"/>
            <w:noWrap/>
            <w:hideMark/>
          </w:tcPr>
          <w:p w14:paraId="29D1815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right w:val="nil"/>
            </w:tcBorders>
            <w:shd w:val="clear" w:color="000000" w:fill="FFFFFF"/>
            <w:noWrap/>
            <w:hideMark/>
          </w:tcPr>
          <w:p w14:paraId="655AF623"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right w:val="nil"/>
            </w:tcBorders>
            <w:shd w:val="clear" w:color="000000" w:fill="FFFFFF"/>
            <w:noWrap/>
            <w:hideMark/>
          </w:tcPr>
          <w:p w14:paraId="685BFF9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right w:val="nil"/>
            </w:tcBorders>
            <w:shd w:val="clear" w:color="000000" w:fill="FFFFFF"/>
            <w:noWrap/>
            <w:hideMark/>
          </w:tcPr>
          <w:p w14:paraId="2C692A6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right w:val="nil"/>
            </w:tcBorders>
            <w:shd w:val="clear" w:color="000000" w:fill="FFFFFF"/>
            <w:noWrap/>
            <w:hideMark/>
          </w:tcPr>
          <w:p w14:paraId="598DB159"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right w:val="nil"/>
            </w:tcBorders>
            <w:shd w:val="clear" w:color="000000" w:fill="FFFFFF"/>
            <w:noWrap/>
            <w:hideMark/>
          </w:tcPr>
          <w:p w14:paraId="2BD9990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right w:val="nil"/>
            </w:tcBorders>
            <w:shd w:val="clear" w:color="000000" w:fill="FFFFFF"/>
            <w:noWrap/>
            <w:hideMark/>
          </w:tcPr>
          <w:p w14:paraId="55D1228C"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right w:val="nil"/>
            </w:tcBorders>
            <w:shd w:val="clear" w:color="000000" w:fill="FFFFFF"/>
            <w:noWrap/>
            <w:hideMark/>
          </w:tcPr>
          <w:p w14:paraId="215F98E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342</w:t>
            </w:r>
          </w:p>
        </w:tc>
        <w:tc>
          <w:tcPr>
            <w:tcW w:w="801" w:type="dxa"/>
            <w:tcBorders>
              <w:top w:val="nil"/>
              <w:left w:val="nil"/>
              <w:right w:val="nil"/>
            </w:tcBorders>
            <w:shd w:val="clear" w:color="000000" w:fill="FFFFFF"/>
            <w:noWrap/>
            <w:hideMark/>
          </w:tcPr>
          <w:p w14:paraId="6B7928E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0.600 </w:t>
            </w:r>
          </w:p>
        </w:tc>
        <w:tc>
          <w:tcPr>
            <w:tcW w:w="568" w:type="dxa"/>
            <w:tcBorders>
              <w:top w:val="nil"/>
              <w:left w:val="nil"/>
              <w:right w:val="nil"/>
            </w:tcBorders>
            <w:shd w:val="clear" w:color="000000" w:fill="FFFFFF"/>
            <w:noWrap/>
            <w:hideMark/>
          </w:tcPr>
          <w:p w14:paraId="22225FF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-0.073 </w:t>
            </w:r>
          </w:p>
        </w:tc>
        <w:tc>
          <w:tcPr>
            <w:tcW w:w="567" w:type="dxa"/>
            <w:tcBorders>
              <w:top w:val="nil"/>
              <w:left w:val="nil"/>
              <w:right w:val="nil"/>
            </w:tcBorders>
            <w:shd w:val="clear" w:color="000000" w:fill="FFFFFF"/>
            <w:noWrap/>
            <w:hideMark/>
          </w:tcPr>
          <w:p w14:paraId="1BC73B2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1.397 </w:t>
            </w:r>
          </w:p>
        </w:tc>
        <w:tc>
          <w:tcPr>
            <w:tcW w:w="619" w:type="dxa"/>
            <w:tcBorders>
              <w:top w:val="nil"/>
              <w:left w:val="nil"/>
              <w:right w:val="nil"/>
            </w:tcBorders>
            <w:shd w:val="clear" w:color="000000" w:fill="FFFFFF"/>
            <w:noWrap/>
            <w:hideMark/>
          </w:tcPr>
          <w:p w14:paraId="45350D2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0.106 </w:t>
            </w:r>
          </w:p>
        </w:tc>
      </w:tr>
      <w:tr w:rsidR="00136423" w:rsidRPr="00C76E19" w14:paraId="685952E6" w14:textId="77777777" w:rsidTr="005368E5">
        <w:trPr>
          <w:trHeight w:val="320"/>
        </w:trPr>
        <w:tc>
          <w:tcPr>
            <w:tcW w:w="1942" w:type="dxa"/>
            <w:tcBorders>
              <w:top w:val="nil"/>
              <w:left w:val="nil"/>
              <w:bottom w:val="nil"/>
              <w:right w:val="nil"/>
            </w:tcBorders>
            <w:shd w:val="clear" w:color="000000" w:fill="FFFFFF"/>
            <w:noWrap/>
            <w:hideMark/>
          </w:tcPr>
          <w:p w14:paraId="6984546B"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CD-related complications </w:t>
            </w:r>
          </w:p>
        </w:tc>
        <w:tc>
          <w:tcPr>
            <w:tcW w:w="849" w:type="dxa"/>
            <w:tcBorders>
              <w:top w:val="nil"/>
              <w:left w:val="nil"/>
              <w:bottom w:val="nil"/>
              <w:right w:val="nil"/>
            </w:tcBorders>
            <w:shd w:val="clear" w:color="000000" w:fill="FFFFFF"/>
            <w:noWrap/>
            <w:hideMark/>
          </w:tcPr>
          <w:p w14:paraId="7349B9A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6E63F89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0C445FE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361FA01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764D92A1"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0FE79C1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435D007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61E7BFB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12B23A81"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5A7B1FBC"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20A53E5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7E5445E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020A634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63900CE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284B35BD"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136423" w:rsidRPr="00C76E19" w14:paraId="7981C7C9" w14:textId="77777777" w:rsidTr="005368E5">
        <w:trPr>
          <w:trHeight w:val="320"/>
        </w:trPr>
        <w:tc>
          <w:tcPr>
            <w:tcW w:w="1942" w:type="dxa"/>
            <w:tcBorders>
              <w:top w:val="nil"/>
              <w:left w:val="nil"/>
              <w:bottom w:val="nil"/>
              <w:right w:val="nil"/>
            </w:tcBorders>
            <w:shd w:val="clear" w:color="000000" w:fill="FFFFFF"/>
            <w:noWrap/>
            <w:hideMark/>
          </w:tcPr>
          <w:p w14:paraId="45CE2715" w14:textId="752BE057" w:rsidR="00136423" w:rsidRPr="00AE2A93" w:rsidRDefault="005368E5"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I</w:t>
            </w:r>
            <w:r w:rsidR="00136423" w:rsidRPr="00AE2A93">
              <w:rPr>
                <w:rFonts w:ascii="Book Antiqua" w:hAnsi="Book Antiqua"/>
                <w:color w:val="222222"/>
              </w:rPr>
              <w:t>ntestinal obstruction</w:t>
            </w:r>
          </w:p>
        </w:tc>
        <w:tc>
          <w:tcPr>
            <w:tcW w:w="849" w:type="dxa"/>
            <w:tcBorders>
              <w:top w:val="nil"/>
              <w:left w:val="nil"/>
              <w:bottom w:val="nil"/>
              <w:right w:val="nil"/>
            </w:tcBorders>
            <w:shd w:val="clear" w:color="000000" w:fill="FFFFFF"/>
            <w:noWrap/>
            <w:hideMark/>
          </w:tcPr>
          <w:p w14:paraId="0B5A8C3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237</w:t>
            </w:r>
          </w:p>
        </w:tc>
        <w:tc>
          <w:tcPr>
            <w:tcW w:w="801" w:type="dxa"/>
            <w:tcBorders>
              <w:top w:val="nil"/>
              <w:left w:val="nil"/>
              <w:bottom w:val="nil"/>
              <w:right w:val="nil"/>
            </w:tcBorders>
            <w:shd w:val="clear" w:color="000000" w:fill="FFFFFF"/>
            <w:noWrap/>
            <w:hideMark/>
          </w:tcPr>
          <w:p w14:paraId="2BC18CB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1.270 </w:t>
            </w:r>
          </w:p>
        </w:tc>
        <w:tc>
          <w:tcPr>
            <w:tcW w:w="568" w:type="dxa"/>
            <w:tcBorders>
              <w:top w:val="nil"/>
              <w:left w:val="nil"/>
              <w:bottom w:val="nil"/>
              <w:right w:val="nil"/>
            </w:tcBorders>
            <w:shd w:val="clear" w:color="000000" w:fill="FFFFFF"/>
            <w:noWrap/>
            <w:hideMark/>
          </w:tcPr>
          <w:p w14:paraId="3B4042E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0.680 </w:t>
            </w:r>
          </w:p>
        </w:tc>
        <w:tc>
          <w:tcPr>
            <w:tcW w:w="567" w:type="dxa"/>
            <w:tcBorders>
              <w:top w:val="nil"/>
              <w:left w:val="nil"/>
              <w:bottom w:val="nil"/>
              <w:right w:val="nil"/>
            </w:tcBorders>
            <w:shd w:val="clear" w:color="000000" w:fill="FFFFFF"/>
            <w:noWrap/>
            <w:hideMark/>
          </w:tcPr>
          <w:p w14:paraId="2B53DD3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1.901 </w:t>
            </w:r>
          </w:p>
        </w:tc>
        <w:tc>
          <w:tcPr>
            <w:tcW w:w="619" w:type="dxa"/>
            <w:tcBorders>
              <w:top w:val="nil"/>
              <w:left w:val="nil"/>
              <w:bottom w:val="nil"/>
              <w:right w:val="nil"/>
            </w:tcBorders>
            <w:shd w:val="clear" w:color="000000" w:fill="FFFFFF"/>
            <w:noWrap/>
            <w:hideMark/>
          </w:tcPr>
          <w:p w14:paraId="4B59F7B2" w14:textId="2F4A6F21"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&lt;</w:t>
            </w:r>
            <w:r w:rsidR="005368E5" w:rsidRPr="00AE2A93">
              <w:rPr>
                <w:rFonts w:ascii="Book Antiqua" w:hAnsi="Book Antiqua"/>
                <w:color w:val="000000"/>
              </w:rPr>
              <w:t xml:space="preserve"> </w:t>
            </w:r>
            <w:r w:rsidRPr="00AE2A93">
              <w:rPr>
                <w:rFonts w:ascii="Book Antiqua" w:hAnsi="Book Antiqua"/>
                <w:color w:val="000000"/>
              </w:rPr>
              <w:t xml:space="preserve">0.001 </w:t>
            </w:r>
          </w:p>
        </w:tc>
        <w:tc>
          <w:tcPr>
            <w:tcW w:w="849" w:type="dxa"/>
            <w:tcBorders>
              <w:top w:val="nil"/>
              <w:left w:val="nil"/>
              <w:bottom w:val="nil"/>
              <w:right w:val="nil"/>
            </w:tcBorders>
            <w:shd w:val="clear" w:color="000000" w:fill="FFFFFF"/>
            <w:noWrap/>
            <w:hideMark/>
          </w:tcPr>
          <w:p w14:paraId="340D472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7C6FA33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61D58571"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576D21A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10B2040E"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2575722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25A8AC3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52E38B5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7E65DF9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253EE91D"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136423" w:rsidRPr="00C76E19" w14:paraId="7409CB1C" w14:textId="77777777" w:rsidTr="005368E5">
        <w:trPr>
          <w:trHeight w:val="320"/>
        </w:trPr>
        <w:tc>
          <w:tcPr>
            <w:tcW w:w="1942" w:type="dxa"/>
            <w:tcBorders>
              <w:top w:val="nil"/>
              <w:left w:val="nil"/>
              <w:bottom w:val="nil"/>
              <w:right w:val="nil"/>
            </w:tcBorders>
            <w:shd w:val="clear" w:color="000000" w:fill="FFFFFF"/>
            <w:noWrap/>
            <w:hideMark/>
          </w:tcPr>
          <w:p w14:paraId="02DA6A73" w14:textId="77777777" w:rsidR="00136423" w:rsidRPr="00AE2A93" w:rsidRDefault="00136423"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Gastric fistula</w:t>
            </w:r>
          </w:p>
        </w:tc>
        <w:tc>
          <w:tcPr>
            <w:tcW w:w="849" w:type="dxa"/>
            <w:tcBorders>
              <w:top w:val="nil"/>
              <w:left w:val="nil"/>
              <w:bottom w:val="nil"/>
              <w:right w:val="nil"/>
            </w:tcBorders>
            <w:shd w:val="clear" w:color="000000" w:fill="FFFFFF"/>
            <w:noWrap/>
            <w:hideMark/>
          </w:tcPr>
          <w:p w14:paraId="26DAB21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2EEF950B"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38359BA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7BA1AC5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045D4872"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6438AAF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6D02FA9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2653D27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78BECD4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4AD58AF6"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3A8C26E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342</w:t>
            </w:r>
          </w:p>
        </w:tc>
        <w:tc>
          <w:tcPr>
            <w:tcW w:w="801" w:type="dxa"/>
            <w:tcBorders>
              <w:top w:val="nil"/>
              <w:left w:val="nil"/>
              <w:bottom w:val="nil"/>
              <w:right w:val="nil"/>
            </w:tcBorders>
            <w:shd w:val="clear" w:color="000000" w:fill="FFFFFF"/>
            <w:noWrap/>
            <w:hideMark/>
          </w:tcPr>
          <w:p w14:paraId="2DBE3D5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-2.351 </w:t>
            </w:r>
          </w:p>
        </w:tc>
        <w:tc>
          <w:tcPr>
            <w:tcW w:w="568" w:type="dxa"/>
            <w:tcBorders>
              <w:top w:val="nil"/>
              <w:left w:val="nil"/>
              <w:bottom w:val="nil"/>
              <w:right w:val="nil"/>
            </w:tcBorders>
            <w:shd w:val="clear" w:color="000000" w:fill="FFFFFF"/>
            <w:noWrap/>
            <w:hideMark/>
          </w:tcPr>
          <w:p w14:paraId="764349D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-4.061 </w:t>
            </w:r>
          </w:p>
        </w:tc>
        <w:tc>
          <w:tcPr>
            <w:tcW w:w="567" w:type="dxa"/>
            <w:tcBorders>
              <w:top w:val="nil"/>
              <w:left w:val="nil"/>
              <w:bottom w:val="nil"/>
              <w:right w:val="nil"/>
            </w:tcBorders>
            <w:shd w:val="clear" w:color="000000" w:fill="FFFFFF"/>
            <w:noWrap/>
            <w:hideMark/>
          </w:tcPr>
          <w:p w14:paraId="0E7532F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1.308 </w:t>
            </w:r>
          </w:p>
        </w:tc>
        <w:tc>
          <w:tcPr>
            <w:tcW w:w="619" w:type="dxa"/>
            <w:tcBorders>
              <w:top w:val="nil"/>
              <w:left w:val="nil"/>
              <w:bottom w:val="nil"/>
              <w:right w:val="nil"/>
            </w:tcBorders>
            <w:shd w:val="clear" w:color="000000" w:fill="FFFFFF"/>
            <w:noWrap/>
            <w:hideMark/>
          </w:tcPr>
          <w:p w14:paraId="41304668" w14:textId="09AD0F5F"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0.049</w:t>
            </w:r>
            <w:r w:rsidR="005368E5" w:rsidRPr="00AE2A93">
              <w:rPr>
                <w:rFonts w:ascii="Book Antiqua" w:hAnsi="Book Antiqua"/>
                <w:color w:val="000000"/>
                <w:vertAlign w:val="superscript"/>
              </w:rPr>
              <w:t>a</w:t>
            </w:r>
            <w:r w:rsidRPr="00AE2A93">
              <w:rPr>
                <w:rFonts w:ascii="Book Antiqua" w:hAnsi="Book Antiqua"/>
                <w:color w:val="000000"/>
                <w:vertAlign w:val="superscript"/>
              </w:rPr>
              <w:t xml:space="preserve"> </w:t>
            </w:r>
          </w:p>
        </w:tc>
      </w:tr>
      <w:tr w:rsidR="00136423" w:rsidRPr="00C76E19" w14:paraId="630B6486" w14:textId="77777777" w:rsidTr="005368E5">
        <w:trPr>
          <w:trHeight w:val="320"/>
        </w:trPr>
        <w:tc>
          <w:tcPr>
            <w:tcW w:w="1942" w:type="dxa"/>
            <w:tcBorders>
              <w:top w:val="nil"/>
              <w:left w:val="nil"/>
              <w:bottom w:val="nil"/>
              <w:right w:val="nil"/>
            </w:tcBorders>
            <w:shd w:val="clear" w:color="000000" w:fill="FFFFFF"/>
            <w:noWrap/>
            <w:hideMark/>
          </w:tcPr>
          <w:p w14:paraId="36C1EE61" w14:textId="77777777" w:rsidR="00136423" w:rsidRPr="00AE2A93" w:rsidRDefault="00136423"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Intestinal abscess</w:t>
            </w:r>
          </w:p>
        </w:tc>
        <w:tc>
          <w:tcPr>
            <w:tcW w:w="849" w:type="dxa"/>
            <w:tcBorders>
              <w:top w:val="nil"/>
              <w:left w:val="nil"/>
              <w:bottom w:val="nil"/>
              <w:right w:val="nil"/>
            </w:tcBorders>
            <w:shd w:val="clear" w:color="000000" w:fill="FFFFFF"/>
            <w:noWrap/>
            <w:hideMark/>
          </w:tcPr>
          <w:p w14:paraId="4903D441"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32F2A78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22114DF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0CE9D75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01F75584"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5747235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293</w:t>
            </w:r>
          </w:p>
        </w:tc>
        <w:tc>
          <w:tcPr>
            <w:tcW w:w="801" w:type="dxa"/>
            <w:tcBorders>
              <w:top w:val="nil"/>
              <w:left w:val="nil"/>
              <w:bottom w:val="nil"/>
              <w:right w:val="nil"/>
            </w:tcBorders>
            <w:shd w:val="clear" w:color="000000" w:fill="FFFFFF"/>
            <w:noWrap/>
            <w:hideMark/>
          </w:tcPr>
          <w:p w14:paraId="5F23666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-1.183 </w:t>
            </w:r>
          </w:p>
        </w:tc>
        <w:tc>
          <w:tcPr>
            <w:tcW w:w="568" w:type="dxa"/>
            <w:tcBorders>
              <w:top w:val="nil"/>
              <w:left w:val="nil"/>
              <w:bottom w:val="nil"/>
              <w:right w:val="nil"/>
            </w:tcBorders>
            <w:shd w:val="clear" w:color="000000" w:fill="FFFFFF"/>
            <w:noWrap/>
            <w:hideMark/>
          </w:tcPr>
          <w:p w14:paraId="6C1D96D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-2.224 </w:t>
            </w:r>
          </w:p>
        </w:tc>
        <w:tc>
          <w:tcPr>
            <w:tcW w:w="567" w:type="dxa"/>
            <w:tcBorders>
              <w:top w:val="nil"/>
              <w:left w:val="nil"/>
              <w:bottom w:val="nil"/>
              <w:right w:val="nil"/>
            </w:tcBorders>
            <w:shd w:val="clear" w:color="000000" w:fill="FFFFFF"/>
            <w:noWrap/>
            <w:hideMark/>
          </w:tcPr>
          <w:p w14:paraId="4630091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0.372 </w:t>
            </w:r>
          </w:p>
        </w:tc>
        <w:tc>
          <w:tcPr>
            <w:tcW w:w="619" w:type="dxa"/>
            <w:tcBorders>
              <w:top w:val="nil"/>
              <w:left w:val="nil"/>
              <w:bottom w:val="nil"/>
              <w:right w:val="nil"/>
            </w:tcBorders>
            <w:shd w:val="clear" w:color="000000" w:fill="FFFFFF"/>
            <w:noWrap/>
            <w:hideMark/>
          </w:tcPr>
          <w:p w14:paraId="3BD8F17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0.064 </w:t>
            </w:r>
          </w:p>
        </w:tc>
        <w:tc>
          <w:tcPr>
            <w:tcW w:w="849" w:type="dxa"/>
            <w:tcBorders>
              <w:top w:val="nil"/>
              <w:left w:val="nil"/>
              <w:bottom w:val="nil"/>
              <w:right w:val="nil"/>
            </w:tcBorders>
            <w:shd w:val="clear" w:color="000000" w:fill="FFFFFF"/>
            <w:noWrap/>
            <w:hideMark/>
          </w:tcPr>
          <w:p w14:paraId="5FBD983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342</w:t>
            </w:r>
          </w:p>
        </w:tc>
        <w:tc>
          <w:tcPr>
            <w:tcW w:w="801" w:type="dxa"/>
            <w:tcBorders>
              <w:top w:val="nil"/>
              <w:left w:val="nil"/>
              <w:bottom w:val="nil"/>
              <w:right w:val="nil"/>
            </w:tcBorders>
            <w:shd w:val="clear" w:color="000000" w:fill="FFFFFF"/>
            <w:noWrap/>
            <w:hideMark/>
          </w:tcPr>
          <w:p w14:paraId="0786314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-1.180 </w:t>
            </w:r>
          </w:p>
        </w:tc>
        <w:tc>
          <w:tcPr>
            <w:tcW w:w="568" w:type="dxa"/>
            <w:tcBorders>
              <w:top w:val="nil"/>
              <w:left w:val="nil"/>
              <w:bottom w:val="nil"/>
              <w:right w:val="nil"/>
            </w:tcBorders>
            <w:shd w:val="clear" w:color="000000" w:fill="FFFFFF"/>
            <w:noWrap/>
            <w:hideMark/>
          </w:tcPr>
          <w:p w14:paraId="421D57D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-2.174 </w:t>
            </w:r>
          </w:p>
        </w:tc>
        <w:tc>
          <w:tcPr>
            <w:tcW w:w="567" w:type="dxa"/>
            <w:tcBorders>
              <w:top w:val="nil"/>
              <w:left w:val="nil"/>
              <w:bottom w:val="nil"/>
              <w:right w:val="nil"/>
            </w:tcBorders>
            <w:shd w:val="clear" w:color="000000" w:fill="FFFFFF"/>
            <w:noWrap/>
            <w:hideMark/>
          </w:tcPr>
          <w:p w14:paraId="7ABEE3C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0.261 </w:t>
            </w:r>
          </w:p>
        </w:tc>
        <w:tc>
          <w:tcPr>
            <w:tcW w:w="619" w:type="dxa"/>
            <w:tcBorders>
              <w:top w:val="nil"/>
              <w:left w:val="nil"/>
              <w:bottom w:val="nil"/>
              <w:right w:val="nil"/>
            </w:tcBorders>
            <w:shd w:val="clear" w:color="000000" w:fill="FFFFFF"/>
            <w:noWrap/>
            <w:hideMark/>
          </w:tcPr>
          <w:p w14:paraId="08348CD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0.050 </w:t>
            </w:r>
          </w:p>
        </w:tc>
      </w:tr>
      <w:tr w:rsidR="00136423" w:rsidRPr="00C76E19" w14:paraId="395922EA" w14:textId="77777777" w:rsidTr="005368E5">
        <w:trPr>
          <w:trHeight w:val="320"/>
        </w:trPr>
        <w:tc>
          <w:tcPr>
            <w:tcW w:w="1942" w:type="dxa"/>
            <w:tcBorders>
              <w:top w:val="nil"/>
              <w:left w:val="nil"/>
              <w:bottom w:val="nil"/>
              <w:right w:val="nil"/>
            </w:tcBorders>
            <w:shd w:val="clear" w:color="000000" w:fill="FFFFFF"/>
            <w:noWrap/>
            <w:hideMark/>
          </w:tcPr>
          <w:p w14:paraId="471C5BC5" w14:textId="77777777" w:rsidR="00136423" w:rsidRPr="00AE2A93" w:rsidRDefault="00136423"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Bowel perforation</w:t>
            </w:r>
          </w:p>
        </w:tc>
        <w:tc>
          <w:tcPr>
            <w:tcW w:w="849" w:type="dxa"/>
            <w:tcBorders>
              <w:top w:val="nil"/>
              <w:left w:val="nil"/>
              <w:bottom w:val="nil"/>
              <w:right w:val="nil"/>
            </w:tcBorders>
            <w:shd w:val="clear" w:color="000000" w:fill="FFFFFF"/>
            <w:noWrap/>
            <w:hideMark/>
          </w:tcPr>
          <w:p w14:paraId="34C7048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5205A3B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3D66297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1351F52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4A37A09B"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079F36B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0203BD9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648DF86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357FE62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06AE643B"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4050760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342</w:t>
            </w:r>
          </w:p>
        </w:tc>
        <w:tc>
          <w:tcPr>
            <w:tcW w:w="801" w:type="dxa"/>
            <w:tcBorders>
              <w:top w:val="nil"/>
              <w:left w:val="nil"/>
              <w:bottom w:val="nil"/>
              <w:right w:val="nil"/>
            </w:tcBorders>
            <w:shd w:val="clear" w:color="000000" w:fill="FFFFFF"/>
            <w:noWrap/>
            <w:hideMark/>
          </w:tcPr>
          <w:p w14:paraId="69CCE28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0.570 </w:t>
            </w:r>
          </w:p>
        </w:tc>
        <w:tc>
          <w:tcPr>
            <w:tcW w:w="568" w:type="dxa"/>
            <w:tcBorders>
              <w:top w:val="nil"/>
              <w:left w:val="nil"/>
              <w:bottom w:val="nil"/>
              <w:right w:val="nil"/>
            </w:tcBorders>
            <w:shd w:val="clear" w:color="000000" w:fill="FFFFFF"/>
            <w:noWrap/>
            <w:hideMark/>
          </w:tcPr>
          <w:p w14:paraId="741A414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-0.048 </w:t>
            </w:r>
          </w:p>
        </w:tc>
        <w:tc>
          <w:tcPr>
            <w:tcW w:w="567" w:type="dxa"/>
            <w:tcBorders>
              <w:top w:val="nil"/>
              <w:left w:val="nil"/>
              <w:bottom w:val="nil"/>
              <w:right w:val="nil"/>
            </w:tcBorders>
            <w:shd w:val="clear" w:color="000000" w:fill="FFFFFF"/>
            <w:noWrap/>
            <w:hideMark/>
          </w:tcPr>
          <w:p w14:paraId="2E475FD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1.314 </w:t>
            </w:r>
          </w:p>
        </w:tc>
        <w:tc>
          <w:tcPr>
            <w:tcW w:w="619" w:type="dxa"/>
            <w:tcBorders>
              <w:top w:val="nil"/>
              <w:left w:val="nil"/>
              <w:bottom w:val="nil"/>
              <w:right w:val="nil"/>
            </w:tcBorders>
            <w:shd w:val="clear" w:color="000000" w:fill="FFFFFF"/>
            <w:noWrap/>
            <w:hideMark/>
          </w:tcPr>
          <w:p w14:paraId="0335931B"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0.094 </w:t>
            </w:r>
          </w:p>
        </w:tc>
      </w:tr>
      <w:tr w:rsidR="00136423" w:rsidRPr="00C76E19" w14:paraId="2925C32C" w14:textId="77777777" w:rsidTr="005368E5">
        <w:trPr>
          <w:trHeight w:val="320"/>
        </w:trPr>
        <w:tc>
          <w:tcPr>
            <w:tcW w:w="1942" w:type="dxa"/>
            <w:tcBorders>
              <w:top w:val="nil"/>
              <w:left w:val="nil"/>
              <w:bottom w:val="nil"/>
              <w:right w:val="nil"/>
            </w:tcBorders>
            <w:shd w:val="clear" w:color="000000" w:fill="FFFFFF"/>
            <w:noWrap/>
            <w:hideMark/>
          </w:tcPr>
          <w:p w14:paraId="2B9D3604" w14:textId="77777777" w:rsidR="00136423" w:rsidRPr="00AE2A93" w:rsidRDefault="00136423"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Perianal abscess</w:t>
            </w:r>
          </w:p>
        </w:tc>
        <w:tc>
          <w:tcPr>
            <w:tcW w:w="849" w:type="dxa"/>
            <w:tcBorders>
              <w:top w:val="nil"/>
              <w:left w:val="nil"/>
              <w:bottom w:val="nil"/>
              <w:right w:val="nil"/>
            </w:tcBorders>
            <w:shd w:val="clear" w:color="000000" w:fill="FFFFFF"/>
            <w:noWrap/>
            <w:hideMark/>
          </w:tcPr>
          <w:p w14:paraId="2A4F102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237</w:t>
            </w:r>
          </w:p>
        </w:tc>
        <w:tc>
          <w:tcPr>
            <w:tcW w:w="801" w:type="dxa"/>
            <w:tcBorders>
              <w:top w:val="nil"/>
              <w:left w:val="nil"/>
              <w:bottom w:val="nil"/>
              <w:right w:val="nil"/>
            </w:tcBorders>
            <w:shd w:val="clear" w:color="000000" w:fill="FFFFFF"/>
            <w:noWrap/>
            <w:hideMark/>
          </w:tcPr>
          <w:p w14:paraId="362A6E0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-0.058 </w:t>
            </w:r>
          </w:p>
        </w:tc>
        <w:tc>
          <w:tcPr>
            <w:tcW w:w="568" w:type="dxa"/>
            <w:tcBorders>
              <w:top w:val="nil"/>
              <w:left w:val="nil"/>
              <w:bottom w:val="nil"/>
              <w:right w:val="nil"/>
            </w:tcBorders>
            <w:shd w:val="clear" w:color="000000" w:fill="FFFFFF"/>
            <w:noWrap/>
            <w:hideMark/>
          </w:tcPr>
          <w:p w14:paraId="14CC94B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-0.495 </w:t>
            </w:r>
          </w:p>
        </w:tc>
        <w:tc>
          <w:tcPr>
            <w:tcW w:w="567" w:type="dxa"/>
            <w:tcBorders>
              <w:top w:val="nil"/>
              <w:left w:val="nil"/>
              <w:bottom w:val="nil"/>
              <w:right w:val="nil"/>
            </w:tcBorders>
            <w:shd w:val="clear" w:color="000000" w:fill="FFFFFF"/>
            <w:noWrap/>
            <w:hideMark/>
          </w:tcPr>
          <w:p w14:paraId="0771AF2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0.409 </w:t>
            </w:r>
          </w:p>
        </w:tc>
        <w:tc>
          <w:tcPr>
            <w:tcW w:w="619" w:type="dxa"/>
            <w:tcBorders>
              <w:top w:val="nil"/>
              <w:left w:val="nil"/>
              <w:bottom w:val="nil"/>
              <w:right w:val="nil"/>
            </w:tcBorders>
            <w:shd w:val="clear" w:color="000000" w:fill="FFFFFF"/>
            <w:noWrap/>
            <w:hideMark/>
          </w:tcPr>
          <w:p w14:paraId="2F587AD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0.795 </w:t>
            </w:r>
          </w:p>
        </w:tc>
        <w:tc>
          <w:tcPr>
            <w:tcW w:w="849" w:type="dxa"/>
            <w:tcBorders>
              <w:top w:val="nil"/>
              <w:left w:val="nil"/>
              <w:bottom w:val="nil"/>
              <w:right w:val="nil"/>
            </w:tcBorders>
            <w:shd w:val="clear" w:color="000000" w:fill="FFFFFF"/>
            <w:noWrap/>
            <w:hideMark/>
          </w:tcPr>
          <w:p w14:paraId="3F44386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3735E1A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291E89A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1393982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204194EC"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4873430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08DFFC2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13D9210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0BD4367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6739A2C1"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136423" w:rsidRPr="00C76E19" w14:paraId="74679FB0" w14:textId="77777777" w:rsidTr="005368E5">
        <w:trPr>
          <w:trHeight w:val="320"/>
        </w:trPr>
        <w:tc>
          <w:tcPr>
            <w:tcW w:w="1942" w:type="dxa"/>
            <w:tcBorders>
              <w:top w:val="nil"/>
              <w:left w:val="nil"/>
              <w:right w:val="nil"/>
            </w:tcBorders>
            <w:shd w:val="clear" w:color="000000" w:fill="FFFFFF"/>
            <w:noWrap/>
            <w:hideMark/>
          </w:tcPr>
          <w:p w14:paraId="28BD2888" w14:textId="77777777" w:rsidR="00136423" w:rsidRPr="00AE2A93" w:rsidRDefault="00136423"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Intestinal-cutaneous fistula</w:t>
            </w:r>
          </w:p>
        </w:tc>
        <w:tc>
          <w:tcPr>
            <w:tcW w:w="849" w:type="dxa"/>
            <w:tcBorders>
              <w:top w:val="nil"/>
              <w:left w:val="nil"/>
              <w:right w:val="nil"/>
            </w:tcBorders>
            <w:shd w:val="clear" w:color="000000" w:fill="FFFFFF"/>
            <w:noWrap/>
            <w:hideMark/>
          </w:tcPr>
          <w:p w14:paraId="5F32787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right w:val="nil"/>
            </w:tcBorders>
            <w:shd w:val="clear" w:color="000000" w:fill="FFFFFF"/>
            <w:noWrap/>
            <w:hideMark/>
          </w:tcPr>
          <w:p w14:paraId="2E44CFA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right w:val="nil"/>
            </w:tcBorders>
            <w:shd w:val="clear" w:color="000000" w:fill="FFFFFF"/>
            <w:noWrap/>
            <w:hideMark/>
          </w:tcPr>
          <w:p w14:paraId="20DF837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right w:val="nil"/>
            </w:tcBorders>
            <w:shd w:val="clear" w:color="000000" w:fill="FFFFFF"/>
            <w:noWrap/>
            <w:hideMark/>
          </w:tcPr>
          <w:p w14:paraId="39C2B2B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right w:val="nil"/>
            </w:tcBorders>
            <w:shd w:val="clear" w:color="000000" w:fill="FFFFFF"/>
            <w:noWrap/>
            <w:hideMark/>
          </w:tcPr>
          <w:p w14:paraId="7D4DD097"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right w:val="nil"/>
            </w:tcBorders>
            <w:shd w:val="clear" w:color="000000" w:fill="FFFFFF"/>
            <w:noWrap/>
            <w:hideMark/>
          </w:tcPr>
          <w:p w14:paraId="47356B4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293</w:t>
            </w:r>
          </w:p>
        </w:tc>
        <w:tc>
          <w:tcPr>
            <w:tcW w:w="801" w:type="dxa"/>
            <w:tcBorders>
              <w:top w:val="nil"/>
              <w:left w:val="nil"/>
              <w:right w:val="nil"/>
            </w:tcBorders>
            <w:shd w:val="clear" w:color="000000" w:fill="FFFFFF"/>
            <w:noWrap/>
            <w:hideMark/>
          </w:tcPr>
          <w:p w14:paraId="6760B251"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-2.539 </w:t>
            </w:r>
          </w:p>
        </w:tc>
        <w:tc>
          <w:tcPr>
            <w:tcW w:w="568" w:type="dxa"/>
            <w:tcBorders>
              <w:top w:val="nil"/>
              <w:left w:val="nil"/>
              <w:right w:val="nil"/>
            </w:tcBorders>
            <w:shd w:val="clear" w:color="000000" w:fill="FFFFFF"/>
            <w:noWrap/>
            <w:hideMark/>
          </w:tcPr>
          <w:p w14:paraId="03A5CA7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-4.153 </w:t>
            </w:r>
          </w:p>
        </w:tc>
        <w:tc>
          <w:tcPr>
            <w:tcW w:w="567" w:type="dxa"/>
            <w:tcBorders>
              <w:top w:val="nil"/>
              <w:left w:val="nil"/>
              <w:right w:val="nil"/>
            </w:tcBorders>
            <w:shd w:val="clear" w:color="000000" w:fill="FFFFFF"/>
            <w:noWrap/>
            <w:hideMark/>
          </w:tcPr>
          <w:p w14:paraId="0A55B09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0.711 </w:t>
            </w:r>
          </w:p>
        </w:tc>
        <w:tc>
          <w:tcPr>
            <w:tcW w:w="619" w:type="dxa"/>
            <w:tcBorders>
              <w:top w:val="nil"/>
              <w:left w:val="nil"/>
              <w:right w:val="nil"/>
            </w:tcBorders>
            <w:shd w:val="clear" w:color="000000" w:fill="FFFFFF"/>
            <w:noWrap/>
            <w:hideMark/>
          </w:tcPr>
          <w:p w14:paraId="14647DE1" w14:textId="27F4D22D"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0.022</w:t>
            </w:r>
            <w:r w:rsidR="005368E5" w:rsidRPr="00AE2A93">
              <w:rPr>
                <w:rFonts w:ascii="Book Antiqua" w:hAnsi="Book Antiqua"/>
                <w:color w:val="000000"/>
                <w:vertAlign w:val="superscript"/>
              </w:rPr>
              <w:t>a</w:t>
            </w:r>
            <w:r w:rsidRPr="00AE2A93">
              <w:rPr>
                <w:rFonts w:ascii="Book Antiqua" w:hAnsi="Book Antiqua"/>
                <w:color w:val="000000"/>
                <w:vertAlign w:val="superscript"/>
              </w:rPr>
              <w:t xml:space="preserve"> </w:t>
            </w:r>
          </w:p>
        </w:tc>
        <w:tc>
          <w:tcPr>
            <w:tcW w:w="849" w:type="dxa"/>
            <w:tcBorders>
              <w:top w:val="nil"/>
              <w:left w:val="nil"/>
              <w:right w:val="nil"/>
            </w:tcBorders>
            <w:shd w:val="clear" w:color="000000" w:fill="FFFFFF"/>
            <w:noWrap/>
            <w:hideMark/>
          </w:tcPr>
          <w:p w14:paraId="56A9A0A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right w:val="nil"/>
            </w:tcBorders>
            <w:shd w:val="clear" w:color="000000" w:fill="FFFFFF"/>
            <w:noWrap/>
            <w:hideMark/>
          </w:tcPr>
          <w:p w14:paraId="4484950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right w:val="nil"/>
            </w:tcBorders>
            <w:shd w:val="clear" w:color="000000" w:fill="FFFFFF"/>
            <w:noWrap/>
            <w:hideMark/>
          </w:tcPr>
          <w:p w14:paraId="2D57465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right w:val="nil"/>
            </w:tcBorders>
            <w:shd w:val="clear" w:color="000000" w:fill="FFFFFF"/>
            <w:noWrap/>
            <w:hideMark/>
          </w:tcPr>
          <w:p w14:paraId="0832C5B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right w:val="nil"/>
            </w:tcBorders>
            <w:shd w:val="clear" w:color="000000" w:fill="FFFFFF"/>
            <w:noWrap/>
            <w:hideMark/>
          </w:tcPr>
          <w:p w14:paraId="1ED88B60"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136423" w:rsidRPr="00C76E19" w14:paraId="4D8814E2" w14:textId="77777777" w:rsidTr="005368E5">
        <w:trPr>
          <w:trHeight w:val="320"/>
        </w:trPr>
        <w:tc>
          <w:tcPr>
            <w:tcW w:w="1942" w:type="dxa"/>
            <w:tcBorders>
              <w:top w:val="nil"/>
              <w:left w:val="nil"/>
              <w:bottom w:val="nil"/>
              <w:right w:val="nil"/>
            </w:tcBorders>
            <w:shd w:val="clear" w:color="000000" w:fill="FFFFFF"/>
            <w:noWrap/>
            <w:hideMark/>
          </w:tcPr>
          <w:p w14:paraId="46661D85" w14:textId="77777777" w:rsidR="00136423" w:rsidRPr="00AE2A93" w:rsidRDefault="00136423" w:rsidP="00AE2A93">
            <w:pPr>
              <w:snapToGrid w:val="0"/>
              <w:spacing w:line="360" w:lineRule="auto"/>
              <w:jc w:val="both"/>
              <w:rPr>
                <w:rFonts w:ascii="Book Antiqua" w:hAnsi="Book Antiqua"/>
                <w:color w:val="222222"/>
              </w:rPr>
            </w:pPr>
            <w:r w:rsidRPr="00AE2A93">
              <w:rPr>
                <w:rFonts w:ascii="Book Antiqua" w:hAnsi="Book Antiqua"/>
                <w:color w:val="222222"/>
              </w:rPr>
              <w:t>Extraintestinal manifestations</w:t>
            </w:r>
          </w:p>
        </w:tc>
        <w:tc>
          <w:tcPr>
            <w:tcW w:w="849" w:type="dxa"/>
            <w:tcBorders>
              <w:top w:val="nil"/>
              <w:left w:val="nil"/>
              <w:bottom w:val="nil"/>
              <w:right w:val="nil"/>
            </w:tcBorders>
            <w:shd w:val="clear" w:color="000000" w:fill="FFFFFF"/>
            <w:noWrap/>
            <w:hideMark/>
          </w:tcPr>
          <w:p w14:paraId="30F08C19"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173B626B"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5C3B5359"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6AF96B2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7D91821F"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1304D58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3B8116E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62587AD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776DDC5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4CAB5CC2"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0DE9950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5507A12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20BD82E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21537A7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1A8DD098"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136423" w:rsidRPr="00C76E19" w14:paraId="6232A4D4" w14:textId="77777777" w:rsidTr="005368E5">
        <w:trPr>
          <w:trHeight w:val="320"/>
        </w:trPr>
        <w:tc>
          <w:tcPr>
            <w:tcW w:w="1942" w:type="dxa"/>
            <w:tcBorders>
              <w:top w:val="nil"/>
              <w:left w:val="nil"/>
              <w:bottom w:val="nil"/>
              <w:right w:val="nil"/>
            </w:tcBorders>
            <w:shd w:val="clear" w:color="000000" w:fill="FFFFFF"/>
            <w:noWrap/>
            <w:hideMark/>
          </w:tcPr>
          <w:p w14:paraId="78960EBF" w14:textId="77777777" w:rsidR="00136423" w:rsidRPr="00AE2A93" w:rsidRDefault="00136423"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Psoriasis</w:t>
            </w:r>
          </w:p>
        </w:tc>
        <w:tc>
          <w:tcPr>
            <w:tcW w:w="849" w:type="dxa"/>
            <w:tcBorders>
              <w:top w:val="nil"/>
              <w:left w:val="nil"/>
              <w:bottom w:val="nil"/>
              <w:right w:val="nil"/>
            </w:tcBorders>
            <w:shd w:val="clear" w:color="000000" w:fill="FFFFFF"/>
            <w:noWrap/>
            <w:hideMark/>
          </w:tcPr>
          <w:p w14:paraId="0D67F21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67BE88F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139918D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735AB0E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794205C7"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019D99A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161D6DF9"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0210A10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52FF72E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2CE733AA"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26A9FB9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342</w:t>
            </w:r>
          </w:p>
        </w:tc>
        <w:tc>
          <w:tcPr>
            <w:tcW w:w="801" w:type="dxa"/>
            <w:tcBorders>
              <w:top w:val="nil"/>
              <w:left w:val="nil"/>
              <w:bottom w:val="nil"/>
              <w:right w:val="nil"/>
            </w:tcBorders>
            <w:shd w:val="clear" w:color="000000" w:fill="FFFFFF"/>
            <w:noWrap/>
            <w:hideMark/>
          </w:tcPr>
          <w:p w14:paraId="62260CB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NA</w:t>
            </w:r>
          </w:p>
        </w:tc>
        <w:tc>
          <w:tcPr>
            <w:tcW w:w="568" w:type="dxa"/>
            <w:tcBorders>
              <w:top w:val="nil"/>
              <w:left w:val="nil"/>
              <w:bottom w:val="nil"/>
              <w:right w:val="nil"/>
            </w:tcBorders>
            <w:shd w:val="clear" w:color="000000" w:fill="FFFFFF"/>
            <w:noWrap/>
            <w:hideMark/>
          </w:tcPr>
          <w:p w14:paraId="68C3F85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NA</w:t>
            </w:r>
          </w:p>
        </w:tc>
        <w:tc>
          <w:tcPr>
            <w:tcW w:w="567" w:type="dxa"/>
            <w:tcBorders>
              <w:top w:val="nil"/>
              <w:left w:val="nil"/>
              <w:bottom w:val="nil"/>
              <w:right w:val="nil"/>
            </w:tcBorders>
            <w:shd w:val="clear" w:color="000000" w:fill="FFFFFF"/>
            <w:noWrap/>
            <w:hideMark/>
          </w:tcPr>
          <w:p w14:paraId="411C071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NA</w:t>
            </w:r>
          </w:p>
        </w:tc>
        <w:tc>
          <w:tcPr>
            <w:tcW w:w="619" w:type="dxa"/>
            <w:tcBorders>
              <w:top w:val="nil"/>
              <w:left w:val="nil"/>
              <w:bottom w:val="nil"/>
              <w:right w:val="nil"/>
            </w:tcBorders>
            <w:shd w:val="clear" w:color="000000" w:fill="FFFFFF"/>
            <w:noWrap/>
            <w:hideMark/>
          </w:tcPr>
          <w:p w14:paraId="6B48C822" w14:textId="50531656"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N</w:t>
            </w:r>
            <w:r w:rsidR="005368E5" w:rsidRPr="00AE2A93">
              <w:rPr>
                <w:rFonts w:ascii="Book Antiqua" w:hAnsi="Book Antiqua"/>
                <w:color w:val="000000"/>
              </w:rPr>
              <w:t>S</w:t>
            </w:r>
          </w:p>
        </w:tc>
      </w:tr>
      <w:tr w:rsidR="00136423" w:rsidRPr="00C76E19" w14:paraId="0CE008D2" w14:textId="77777777" w:rsidTr="005368E5">
        <w:trPr>
          <w:trHeight w:val="320"/>
        </w:trPr>
        <w:tc>
          <w:tcPr>
            <w:tcW w:w="1942" w:type="dxa"/>
            <w:tcBorders>
              <w:top w:val="nil"/>
              <w:left w:val="nil"/>
              <w:right w:val="nil"/>
            </w:tcBorders>
            <w:shd w:val="clear" w:color="000000" w:fill="FFFFFF"/>
            <w:noWrap/>
            <w:hideMark/>
          </w:tcPr>
          <w:p w14:paraId="4BEA492F" w14:textId="77777777" w:rsidR="00136423" w:rsidRPr="00AE2A93" w:rsidRDefault="00136423"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Mouth ulcers</w:t>
            </w:r>
          </w:p>
        </w:tc>
        <w:tc>
          <w:tcPr>
            <w:tcW w:w="849" w:type="dxa"/>
            <w:tcBorders>
              <w:top w:val="nil"/>
              <w:left w:val="nil"/>
              <w:right w:val="nil"/>
            </w:tcBorders>
            <w:shd w:val="clear" w:color="000000" w:fill="FFFFFF"/>
            <w:noWrap/>
            <w:hideMark/>
          </w:tcPr>
          <w:p w14:paraId="4ED1AE6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237</w:t>
            </w:r>
          </w:p>
        </w:tc>
        <w:tc>
          <w:tcPr>
            <w:tcW w:w="801" w:type="dxa"/>
            <w:tcBorders>
              <w:top w:val="nil"/>
              <w:left w:val="nil"/>
              <w:right w:val="nil"/>
            </w:tcBorders>
            <w:shd w:val="clear" w:color="000000" w:fill="FFFFFF"/>
            <w:noWrap/>
            <w:hideMark/>
          </w:tcPr>
          <w:p w14:paraId="5D1B846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-0.089 </w:t>
            </w:r>
          </w:p>
        </w:tc>
        <w:tc>
          <w:tcPr>
            <w:tcW w:w="568" w:type="dxa"/>
            <w:tcBorders>
              <w:top w:val="nil"/>
              <w:left w:val="nil"/>
              <w:right w:val="nil"/>
            </w:tcBorders>
            <w:shd w:val="clear" w:color="000000" w:fill="FFFFFF"/>
            <w:noWrap/>
            <w:hideMark/>
          </w:tcPr>
          <w:p w14:paraId="03B309A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-0.933 </w:t>
            </w:r>
          </w:p>
        </w:tc>
        <w:tc>
          <w:tcPr>
            <w:tcW w:w="567" w:type="dxa"/>
            <w:tcBorders>
              <w:top w:val="nil"/>
              <w:left w:val="nil"/>
              <w:right w:val="nil"/>
            </w:tcBorders>
            <w:shd w:val="clear" w:color="000000" w:fill="FFFFFF"/>
            <w:noWrap/>
            <w:hideMark/>
          </w:tcPr>
          <w:p w14:paraId="068557C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1.004 </w:t>
            </w:r>
          </w:p>
        </w:tc>
        <w:tc>
          <w:tcPr>
            <w:tcW w:w="619" w:type="dxa"/>
            <w:tcBorders>
              <w:top w:val="nil"/>
              <w:left w:val="nil"/>
              <w:right w:val="nil"/>
            </w:tcBorders>
            <w:shd w:val="clear" w:color="000000" w:fill="FFFFFF"/>
            <w:noWrap/>
            <w:hideMark/>
          </w:tcPr>
          <w:p w14:paraId="4484610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0.852 </w:t>
            </w:r>
          </w:p>
        </w:tc>
        <w:tc>
          <w:tcPr>
            <w:tcW w:w="849" w:type="dxa"/>
            <w:tcBorders>
              <w:top w:val="nil"/>
              <w:left w:val="nil"/>
              <w:right w:val="nil"/>
            </w:tcBorders>
            <w:shd w:val="clear" w:color="000000" w:fill="FFFFFF"/>
            <w:noWrap/>
            <w:hideMark/>
          </w:tcPr>
          <w:p w14:paraId="65AB3A5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293</w:t>
            </w:r>
          </w:p>
        </w:tc>
        <w:tc>
          <w:tcPr>
            <w:tcW w:w="801" w:type="dxa"/>
            <w:tcBorders>
              <w:top w:val="nil"/>
              <w:left w:val="nil"/>
              <w:right w:val="nil"/>
            </w:tcBorders>
            <w:shd w:val="clear" w:color="000000" w:fill="FFFFFF"/>
            <w:noWrap/>
            <w:hideMark/>
          </w:tcPr>
          <w:p w14:paraId="74EA1091"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-0.781 </w:t>
            </w:r>
          </w:p>
        </w:tc>
        <w:tc>
          <w:tcPr>
            <w:tcW w:w="568" w:type="dxa"/>
            <w:tcBorders>
              <w:top w:val="nil"/>
              <w:left w:val="nil"/>
              <w:right w:val="nil"/>
            </w:tcBorders>
            <w:shd w:val="clear" w:color="000000" w:fill="FFFFFF"/>
            <w:noWrap/>
            <w:hideMark/>
          </w:tcPr>
          <w:p w14:paraId="528A794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-1.253 </w:t>
            </w:r>
          </w:p>
        </w:tc>
        <w:tc>
          <w:tcPr>
            <w:tcW w:w="567" w:type="dxa"/>
            <w:tcBorders>
              <w:top w:val="nil"/>
              <w:left w:val="nil"/>
              <w:right w:val="nil"/>
            </w:tcBorders>
            <w:shd w:val="clear" w:color="000000" w:fill="FFFFFF"/>
            <w:noWrap/>
            <w:hideMark/>
          </w:tcPr>
          <w:p w14:paraId="255B29C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-0.241 </w:t>
            </w:r>
          </w:p>
        </w:tc>
        <w:tc>
          <w:tcPr>
            <w:tcW w:w="619" w:type="dxa"/>
            <w:tcBorders>
              <w:top w:val="nil"/>
              <w:left w:val="nil"/>
              <w:right w:val="nil"/>
            </w:tcBorders>
            <w:shd w:val="clear" w:color="000000" w:fill="FFFFFF"/>
            <w:noWrap/>
            <w:hideMark/>
          </w:tcPr>
          <w:p w14:paraId="355F803B" w14:textId="1E8CBC95"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0.002</w:t>
            </w:r>
            <w:r w:rsidR="005368E5" w:rsidRPr="00AE2A93">
              <w:rPr>
                <w:rFonts w:ascii="Book Antiqua" w:hAnsi="Book Antiqua"/>
                <w:color w:val="000000"/>
                <w:vertAlign w:val="superscript"/>
              </w:rPr>
              <w:t>a</w:t>
            </w:r>
            <w:r w:rsidRPr="00AE2A93">
              <w:rPr>
                <w:rFonts w:ascii="Book Antiqua" w:hAnsi="Book Antiqua"/>
                <w:color w:val="000000"/>
              </w:rPr>
              <w:t xml:space="preserve"> </w:t>
            </w:r>
          </w:p>
        </w:tc>
        <w:tc>
          <w:tcPr>
            <w:tcW w:w="849" w:type="dxa"/>
            <w:tcBorders>
              <w:top w:val="nil"/>
              <w:left w:val="nil"/>
              <w:right w:val="nil"/>
            </w:tcBorders>
            <w:shd w:val="clear" w:color="000000" w:fill="FFFFFF"/>
            <w:noWrap/>
            <w:hideMark/>
          </w:tcPr>
          <w:p w14:paraId="104A83A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342</w:t>
            </w:r>
          </w:p>
        </w:tc>
        <w:tc>
          <w:tcPr>
            <w:tcW w:w="801" w:type="dxa"/>
            <w:tcBorders>
              <w:top w:val="nil"/>
              <w:left w:val="nil"/>
              <w:right w:val="nil"/>
            </w:tcBorders>
            <w:shd w:val="clear" w:color="000000" w:fill="FFFFFF"/>
            <w:noWrap/>
            <w:hideMark/>
          </w:tcPr>
          <w:p w14:paraId="15AA584B"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-0.680 </w:t>
            </w:r>
          </w:p>
        </w:tc>
        <w:tc>
          <w:tcPr>
            <w:tcW w:w="568" w:type="dxa"/>
            <w:tcBorders>
              <w:top w:val="nil"/>
              <w:left w:val="nil"/>
              <w:right w:val="nil"/>
            </w:tcBorders>
            <w:shd w:val="clear" w:color="000000" w:fill="FFFFFF"/>
            <w:noWrap/>
            <w:hideMark/>
          </w:tcPr>
          <w:p w14:paraId="430A03E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-1.166 </w:t>
            </w:r>
          </w:p>
        </w:tc>
        <w:tc>
          <w:tcPr>
            <w:tcW w:w="567" w:type="dxa"/>
            <w:tcBorders>
              <w:top w:val="nil"/>
              <w:left w:val="nil"/>
              <w:right w:val="nil"/>
            </w:tcBorders>
            <w:shd w:val="clear" w:color="000000" w:fill="FFFFFF"/>
            <w:noWrap/>
            <w:hideMark/>
          </w:tcPr>
          <w:p w14:paraId="724543E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-0.121 </w:t>
            </w:r>
          </w:p>
        </w:tc>
        <w:tc>
          <w:tcPr>
            <w:tcW w:w="619" w:type="dxa"/>
            <w:tcBorders>
              <w:top w:val="nil"/>
              <w:left w:val="nil"/>
              <w:right w:val="nil"/>
            </w:tcBorders>
            <w:shd w:val="clear" w:color="000000" w:fill="FFFFFF"/>
            <w:noWrap/>
            <w:hideMark/>
          </w:tcPr>
          <w:p w14:paraId="664C0170" w14:textId="182B63B8"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0.010</w:t>
            </w:r>
            <w:r w:rsidR="005368E5" w:rsidRPr="00AE2A93">
              <w:rPr>
                <w:rFonts w:ascii="Book Antiqua" w:hAnsi="Book Antiqua"/>
                <w:color w:val="000000"/>
                <w:vertAlign w:val="superscript"/>
              </w:rPr>
              <w:t>a</w:t>
            </w:r>
            <w:r w:rsidRPr="00AE2A93">
              <w:rPr>
                <w:rFonts w:ascii="Book Antiqua" w:hAnsi="Book Antiqua"/>
                <w:color w:val="000000"/>
              </w:rPr>
              <w:t xml:space="preserve"> </w:t>
            </w:r>
          </w:p>
        </w:tc>
      </w:tr>
      <w:tr w:rsidR="00136423" w:rsidRPr="00C76E19" w14:paraId="26677FC6" w14:textId="77777777" w:rsidTr="005368E5">
        <w:trPr>
          <w:trHeight w:val="320"/>
        </w:trPr>
        <w:tc>
          <w:tcPr>
            <w:tcW w:w="1942" w:type="dxa"/>
            <w:tcBorders>
              <w:left w:val="nil"/>
              <w:right w:val="nil"/>
            </w:tcBorders>
            <w:shd w:val="clear" w:color="000000" w:fill="FFFFFF"/>
            <w:noWrap/>
            <w:hideMark/>
          </w:tcPr>
          <w:p w14:paraId="09BF1FA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History of CD-related surgery </w:t>
            </w:r>
          </w:p>
        </w:tc>
        <w:tc>
          <w:tcPr>
            <w:tcW w:w="849" w:type="dxa"/>
            <w:tcBorders>
              <w:left w:val="nil"/>
              <w:right w:val="nil"/>
            </w:tcBorders>
            <w:shd w:val="clear" w:color="000000" w:fill="FFFFFF"/>
            <w:noWrap/>
            <w:hideMark/>
          </w:tcPr>
          <w:p w14:paraId="554B8EAB"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237</w:t>
            </w:r>
          </w:p>
        </w:tc>
        <w:tc>
          <w:tcPr>
            <w:tcW w:w="801" w:type="dxa"/>
            <w:tcBorders>
              <w:left w:val="nil"/>
              <w:right w:val="nil"/>
            </w:tcBorders>
            <w:shd w:val="clear" w:color="000000" w:fill="FFFFFF"/>
            <w:noWrap/>
            <w:hideMark/>
          </w:tcPr>
          <w:p w14:paraId="4EAD116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0.019 </w:t>
            </w:r>
          </w:p>
        </w:tc>
        <w:tc>
          <w:tcPr>
            <w:tcW w:w="568" w:type="dxa"/>
            <w:tcBorders>
              <w:left w:val="nil"/>
              <w:right w:val="nil"/>
            </w:tcBorders>
            <w:shd w:val="clear" w:color="000000" w:fill="FFFFFF"/>
            <w:noWrap/>
            <w:hideMark/>
          </w:tcPr>
          <w:p w14:paraId="6080BF9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-0.407 </w:t>
            </w:r>
          </w:p>
        </w:tc>
        <w:tc>
          <w:tcPr>
            <w:tcW w:w="567" w:type="dxa"/>
            <w:tcBorders>
              <w:left w:val="nil"/>
              <w:right w:val="nil"/>
            </w:tcBorders>
            <w:shd w:val="clear" w:color="000000" w:fill="FFFFFF"/>
            <w:noWrap/>
            <w:hideMark/>
          </w:tcPr>
          <w:p w14:paraId="46428EF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0.466 </w:t>
            </w:r>
          </w:p>
        </w:tc>
        <w:tc>
          <w:tcPr>
            <w:tcW w:w="619" w:type="dxa"/>
            <w:tcBorders>
              <w:left w:val="nil"/>
              <w:right w:val="nil"/>
            </w:tcBorders>
            <w:shd w:val="clear" w:color="000000" w:fill="FFFFFF"/>
            <w:noWrap/>
            <w:hideMark/>
          </w:tcPr>
          <w:p w14:paraId="0272AF4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0.929 </w:t>
            </w:r>
          </w:p>
        </w:tc>
        <w:tc>
          <w:tcPr>
            <w:tcW w:w="849" w:type="dxa"/>
            <w:tcBorders>
              <w:left w:val="nil"/>
              <w:right w:val="nil"/>
            </w:tcBorders>
            <w:shd w:val="clear" w:color="000000" w:fill="FFFFFF"/>
            <w:noWrap/>
            <w:hideMark/>
          </w:tcPr>
          <w:p w14:paraId="7A175AF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left w:val="nil"/>
              <w:right w:val="nil"/>
            </w:tcBorders>
            <w:shd w:val="clear" w:color="000000" w:fill="FFFFFF"/>
            <w:noWrap/>
            <w:hideMark/>
          </w:tcPr>
          <w:p w14:paraId="6D09D13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left w:val="nil"/>
              <w:right w:val="nil"/>
            </w:tcBorders>
            <w:shd w:val="clear" w:color="000000" w:fill="FFFFFF"/>
            <w:noWrap/>
            <w:hideMark/>
          </w:tcPr>
          <w:p w14:paraId="2CAB587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left w:val="nil"/>
              <w:right w:val="nil"/>
            </w:tcBorders>
            <w:shd w:val="clear" w:color="000000" w:fill="FFFFFF"/>
            <w:noWrap/>
            <w:hideMark/>
          </w:tcPr>
          <w:p w14:paraId="446E677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left w:val="nil"/>
              <w:right w:val="nil"/>
            </w:tcBorders>
            <w:shd w:val="clear" w:color="000000" w:fill="FFFFFF"/>
            <w:noWrap/>
            <w:hideMark/>
          </w:tcPr>
          <w:p w14:paraId="5A84E31A"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left w:val="nil"/>
              <w:right w:val="nil"/>
            </w:tcBorders>
            <w:shd w:val="clear" w:color="000000" w:fill="FFFFFF"/>
            <w:noWrap/>
            <w:hideMark/>
          </w:tcPr>
          <w:p w14:paraId="783217A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left w:val="nil"/>
              <w:right w:val="nil"/>
            </w:tcBorders>
            <w:shd w:val="clear" w:color="000000" w:fill="FFFFFF"/>
            <w:noWrap/>
            <w:hideMark/>
          </w:tcPr>
          <w:p w14:paraId="34C25DF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left w:val="nil"/>
              <w:right w:val="nil"/>
            </w:tcBorders>
            <w:shd w:val="clear" w:color="000000" w:fill="FFFFFF"/>
            <w:noWrap/>
            <w:hideMark/>
          </w:tcPr>
          <w:p w14:paraId="1F9C007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left w:val="nil"/>
              <w:right w:val="nil"/>
            </w:tcBorders>
            <w:shd w:val="clear" w:color="000000" w:fill="FFFFFF"/>
            <w:noWrap/>
            <w:hideMark/>
          </w:tcPr>
          <w:p w14:paraId="3ECB658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left w:val="nil"/>
              <w:right w:val="nil"/>
            </w:tcBorders>
            <w:shd w:val="clear" w:color="000000" w:fill="FFFFFF"/>
            <w:noWrap/>
            <w:hideMark/>
          </w:tcPr>
          <w:p w14:paraId="1C027C4E"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136423" w:rsidRPr="00C76E19" w14:paraId="3BCE6C74" w14:textId="77777777" w:rsidTr="005368E5">
        <w:trPr>
          <w:trHeight w:val="320"/>
        </w:trPr>
        <w:tc>
          <w:tcPr>
            <w:tcW w:w="1942" w:type="dxa"/>
            <w:tcBorders>
              <w:top w:val="nil"/>
              <w:left w:val="nil"/>
              <w:bottom w:val="nil"/>
              <w:right w:val="nil"/>
            </w:tcBorders>
            <w:shd w:val="clear" w:color="000000" w:fill="FFFFFF"/>
            <w:noWrap/>
            <w:hideMark/>
          </w:tcPr>
          <w:p w14:paraId="6B9D94B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Comorbidities </w:t>
            </w:r>
          </w:p>
        </w:tc>
        <w:tc>
          <w:tcPr>
            <w:tcW w:w="849" w:type="dxa"/>
            <w:tcBorders>
              <w:top w:val="nil"/>
              <w:left w:val="nil"/>
              <w:bottom w:val="nil"/>
              <w:right w:val="nil"/>
            </w:tcBorders>
            <w:shd w:val="clear" w:color="000000" w:fill="FFFFFF"/>
            <w:noWrap/>
            <w:hideMark/>
          </w:tcPr>
          <w:p w14:paraId="7E9C38D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4A3DB76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3CB274F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253CF8B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2F1DB8E1"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1A2BD6A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1ED7637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4810BEE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45786D7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380D8937"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46FD446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7D35791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077302C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623E78B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11A9D7F4"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136423" w:rsidRPr="00C76E19" w14:paraId="004857D6" w14:textId="77777777" w:rsidTr="005368E5">
        <w:trPr>
          <w:trHeight w:val="320"/>
        </w:trPr>
        <w:tc>
          <w:tcPr>
            <w:tcW w:w="1942" w:type="dxa"/>
            <w:tcBorders>
              <w:top w:val="nil"/>
              <w:left w:val="nil"/>
              <w:bottom w:val="nil"/>
              <w:right w:val="nil"/>
            </w:tcBorders>
            <w:shd w:val="clear" w:color="000000" w:fill="FFFFFF"/>
            <w:noWrap/>
            <w:hideMark/>
          </w:tcPr>
          <w:p w14:paraId="79237C8C" w14:textId="77777777" w:rsidR="00136423" w:rsidRPr="00AE2A93" w:rsidRDefault="00136423"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Intestinal ulcer</w:t>
            </w:r>
          </w:p>
        </w:tc>
        <w:tc>
          <w:tcPr>
            <w:tcW w:w="849" w:type="dxa"/>
            <w:tcBorders>
              <w:top w:val="nil"/>
              <w:left w:val="nil"/>
              <w:bottom w:val="nil"/>
              <w:right w:val="nil"/>
            </w:tcBorders>
            <w:shd w:val="clear" w:color="000000" w:fill="FFFFFF"/>
            <w:noWrap/>
            <w:hideMark/>
          </w:tcPr>
          <w:p w14:paraId="5AADA7B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237</w:t>
            </w:r>
          </w:p>
        </w:tc>
        <w:tc>
          <w:tcPr>
            <w:tcW w:w="801" w:type="dxa"/>
            <w:tcBorders>
              <w:top w:val="nil"/>
              <w:left w:val="nil"/>
              <w:bottom w:val="nil"/>
              <w:right w:val="nil"/>
            </w:tcBorders>
            <w:shd w:val="clear" w:color="000000" w:fill="FFFFFF"/>
            <w:noWrap/>
            <w:hideMark/>
          </w:tcPr>
          <w:p w14:paraId="5308FB0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-4.250 </w:t>
            </w:r>
          </w:p>
        </w:tc>
        <w:tc>
          <w:tcPr>
            <w:tcW w:w="568" w:type="dxa"/>
            <w:tcBorders>
              <w:top w:val="nil"/>
              <w:left w:val="nil"/>
              <w:bottom w:val="nil"/>
              <w:right w:val="nil"/>
            </w:tcBorders>
            <w:shd w:val="clear" w:color="000000" w:fill="FFFFFF"/>
            <w:noWrap/>
            <w:hideMark/>
          </w:tcPr>
          <w:p w14:paraId="1A929DE0"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-6.471 </w:t>
            </w:r>
          </w:p>
        </w:tc>
        <w:tc>
          <w:tcPr>
            <w:tcW w:w="567" w:type="dxa"/>
            <w:tcBorders>
              <w:top w:val="nil"/>
              <w:left w:val="nil"/>
              <w:bottom w:val="nil"/>
              <w:right w:val="nil"/>
            </w:tcBorders>
            <w:shd w:val="clear" w:color="000000" w:fill="FFFFFF"/>
            <w:noWrap/>
            <w:hideMark/>
          </w:tcPr>
          <w:p w14:paraId="05BF508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0.449 </w:t>
            </w:r>
          </w:p>
        </w:tc>
        <w:tc>
          <w:tcPr>
            <w:tcW w:w="619" w:type="dxa"/>
            <w:tcBorders>
              <w:top w:val="nil"/>
              <w:left w:val="nil"/>
              <w:bottom w:val="nil"/>
              <w:right w:val="nil"/>
            </w:tcBorders>
            <w:shd w:val="clear" w:color="000000" w:fill="FFFFFF"/>
            <w:noWrap/>
            <w:hideMark/>
          </w:tcPr>
          <w:p w14:paraId="1781F137" w14:textId="2BC9AD6B"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0.004</w:t>
            </w:r>
            <w:r w:rsidR="005368E5" w:rsidRPr="00AE2A93">
              <w:rPr>
                <w:rFonts w:ascii="Book Antiqua" w:hAnsi="Book Antiqua"/>
                <w:color w:val="000000"/>
                <w:vertAlign w:val="superscript"/>
              </w:rPr>
              <w:t>b</w:t>
            </w:r>
            <w:r w:rsidRPr="00AE2A93">
              <w:rPr>
                <w:rFonts w:ascii="Book Antiqua" w:hAnsi="Book Antiqua"/>
                <w:color w:val="000000"/>
              </w:rPr>
              <w:t xml:space="preserve"> </w:t>
            </w:r>
          </w:p>
        </w:tc>
        <w:tc>
          <w:tcPr>
            <w:tcW w:w="849" w:type="dxa"/>
            <w:tcBorders>
              <w:top w:val="nil"/>
              <w:left w:val="nil"/>
              <w:bottom w:val="nil"/>
              <w:right w:val="nil"/>
            </w:tcBorders>
            <w:shd w:val="clear" w:color="000000" w:fill="FFFFFF"/>
            <w:noWrap/>
            <w:hideMark/>
          </w:tcPr>
          <w:p w14:paraId="4125582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50B3DCF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1F30887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23EFC819"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40DC2785"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6387893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61A8AB7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1EC7114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55EEC63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4436AAEE"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136423" w:rsidRPr="00C76E19" w14:paraId="5FB3A30A" w14:textId="77777777" w:rsidTr="005368E5">
        <w:trPr>
          <w:trHeight w:val="320"/>
        </w:trPr>
        <w:tc>
          <w:tcPr>
            <w:tcW w:w="1942" w:type="dxa"/>
            <w:tcBorders>
              <w:top w:val="nil"/>
              <w:left w:val="nil"/>
              <w:bottom w:val="nil"/>
              <w:right w:val="nil"/>
            </w:tcBorders>
            <w:shd w:val="clear" w:color="000000" w:fill="FFFFFF"/>
            <w:noWrap/>
            <w:hideMark/>
          </w:tcPr>
          <w:p w14:paraId="725E6B61" w14:textId="77777777" w:rsidR="00136423" w:rsidRPr="00AE2A93" w:rsidRDefault="00136423"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Shingles</w:t>
            </w:r>
          </w:p>
        </w:tc>
        <w:tc>
          <w:tcPr>
            <w:tcW w:w="849" w:type="dxa"/>
            <w:tcBorders>
              <w:top w:val="nil"/>
              <w:left w:val="nil"/>
              <w:bottom w:val="nil"/>
              <w:right w:val="nil"/>
            </w:tcBorders>
            <w:shd w:val="clear" w:color="000000" w:fill="FFFFFF"/>
            <w:noWrap/>
            <w:hideMark/>
          </w:tcPr>
          <w:p w14:paraId="28EE51F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59CA934B"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4B81910B"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44A622F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3497707C"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497BF10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293</w:t>
            </w:r>
          </w:p>
        </w:tc>
        <w:tc>
          <w:tcPr>
            <w:tcW w:w="801" w:type="dxa"/>
            <w:tcBorders>
              <w:top w:val="nil"/>
              <w:left w:val="nil"/>
              <w:bottom w:val="nil"/>
              <w:right w:val="nil"/>
            </w:tcBorders>
            <w:shd w:val="clear" w:color="000000" w:fill="FFFFFF"/>
            <w:noWrap/>
            <w:hideMark/>
          </w:tcPr>
          <w:p w14:paraId="32D9F6B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-2.464 </w:t>
            </w:r>
          </w:p>
        </w:tc>
        <w:tc>
          <w:tcPr>
            <w:tcW w:w="568" w:type="dxa"/>
            <w:tcBorders>
              <w:top w:val="nil"/>
              <w:left w:val="nil"/>
              <w:bottom w:val="nil"/>
              <w:right w:val="nil"/>
            </w:tcBorders>
            <w:shd w:val="clear" w:color="000000" w:fill="FFFFFF"/>
            <w:noWrap/>
            <w:hideMark/>
          </w:tcPr>
          <w:p w14:paraId="6EDA1F7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-4.080 </w:t>
            </w:r>
          </w:p>
        </w:tc>
        <w:tc>
          <w:tcPr>
            <w:tcW w:w="567" w:type="dxa"/>
            <w:tcBorders>
              <w:top w:val="nil"/>
              <w:left w:val="nil"/>
              <w:bottom w:val="nil"/>
              <w:right w:val="nil"/>
            </w:tcBorders>
            <w:shd w:val="clear" w:color="000000" w:fill="FFFFFF"/>
            <w:noWrap/>
            <w:hideMark/>
          </w:tcPr>
          <w:p w14:paraId="40F634C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0.786 </w:t>
            </w:r>
          </w:p>
        </w:tc>
        <w:tc>
          <w:tcPr>
            <w:tcW w:w="619" w:type="dxa"/>
            <w:tcBorders>
              <w:top w:val="nil"/>
              <w:left w:val="nil"/>
              <w:bottom w:val="nil"/>
              <w:right w:val="nil"/>
            </w:tcBorders>
            <w:shd w:val="clear" w:color="000000" w:fill="FFFFFF"/>
            <w:noWrap/>
            <w:hideMark/>
          </w:tcPr>
          <w:p w14:paraId="4052BB30" w14:textId="7D5580B5"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0.026</w:t>
            </w:r>
            <w:r w:rsidR="005368E5" w:rsidRPr="00AE2A93">
              <w:rPr>
                <w:rFonts w:ascii="Book Antiqua" w:hAnsi="Book Antiqua"/>
                <w:color w:val="000000"/>
                <w:vertAlign w:val="superscript"/>
              </w:rPr>
              <w:t>a</w:t>
            </w:r>
            <w:r w:rsidRPr="00AE2A93">
              <w:rPr>
                <w:rFonts w:ascii="Book Antiqua" w:hAnsi="Book Antiqua"/>
                <w:color w:val="000000"/>
                <w:vertAlign w:val="superscript"/>
              </w:rPr>
              <w:t xml:space="preserve"> </w:t>
            </w:r>
          </w:p>
        </w:tc>
        <w:tc>
          <w:tcPr>
            <w:tcW w:w="849" w:type="dxa"/>
            <w:tcBorders>
              <w:top w:val="nil"/>
              <w:left w:val="nil"/>
              <w:bottom w:val="nil"/>
              <w:right w:val="nil"/>
            </w:tcBorders>
            <w:shd w:val="clear" w:color="000000" w:fill="FFFFFF"/>
            <w:noWrap/>
            <w:hideMark/>
          </w:tcPr>
          <w:p w14:paraId="0284444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273D3C01"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7333B9C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226AAF6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71D6FCF8"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r>
      <w:tr w:rsidR="00136423" w:rsidRPr="00C76E19" w14:paraId="092F5027" w14:textId="77777777" w:rsidTr="005368E5">
        <w:trPr>
          <w:trHeight w:val="320"/>
        </w:trPr>
        <w:tc>
          <w:tcPr>
            <w:tcW w:w="1942" w:type="dxa"/>
            <w:tcBorders>
              <w:top w:val="nil"/>
              <w:left w:val="nil"/>
              <w:bottom w:val="nil"/>
              <w:right w:val="nil"/>
            </w:tcBorders>
            <w:shd w:val="clear" w:color="000000" w:fill="FFFFFF"/>
            <w:noWrap/>
            <w:hideMark/>
          </w:tcPr>
          <w:p w14:paraId="098294AC" w14:textId="730382B7" w:rsidR="00136423" w:rsidRPr="00AE2A93" w:rsidRDefault="005368E5"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J</w:t>
            </w:r>
            <w:r w:rsidR="00136423" w:rsidRPr="00AE2A93">
              <w:rPr>
                <w:rFonts w:ascii="Book Antiqua" w:hAnsi="Book Antiqua"/>
                <w:color w:val="222222"/>
              </w:rPr>
              <w:t>oint pain</w:t>
            </w:r>
          </w:p>
        </w:tc>
        <w:tc>
          <w:tcPr>
            <w:tcW w:w="849" w:type="dxa"/>
            <w:tcBorders>
              <w:top w:val="nil"/>
              <w:left w:val="nil"/>
              <w:bottom w:val="nil"/>
              <w:right w:val="nil"/>
            </w:tcBorders>
            <w:shd w:val="clear" w:color="000000" w:fill="FFFFFF"/>
            <w:noWrap/>
            <w:hideMark/>
          </w:tcPr>
          <w:p w14:paraId="7F05216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02DEED19"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3D3A7D9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07F216A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6D5CDA7D"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3A3B495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0F789DEB"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214EECA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6BD9A9EB"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185881C0"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5937CE4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342</w:t>
            </w:r>
          </w:p>
        </w:tc>
        <w:tc>
          <w:tcPr>
            <w:tcW w:w="801" w:type="dxa"/>
            <w:tcBorders>
              <w:top w:val="nil"/>
              <w:left w:val="nil"/>
              <w:bottom w:val="nil"/>
              <w:right w:val="nil"/>
            </w:tcBorders>
            <w:shd w:val="clear" w:color="000000" w:fill="FFFFFF"/>
            <w:noWrap/>
            <w:hideMark/>
          </w:tcPr>
          <w:p w14:paraId="4CF263C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-3.952 </w:t>
            </w:r>
          </w:p>
        </w:tc>
        <w:tc>
          <w:tcPr>
            <w:tcW w:w="568" w:type="dxa"/>
            <w:tcBorders>
              <w:top w:val="nil"/>
              <w:left w:val="nil"/>
              <w:bottom w:val="nil"/>
              <w:right w:val="nil"/>
            </w:tcBorders>
            <w:shd w:val="clear" w:color="000000" w:fill="FFFFFF"/>
            <w:noWrap/>
            <w:hideMark/>
          </w:tcPr>
          <w:p w14:paraId="09EA69D1"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-5.675 </w:t>
            </w:r>
          </w:p>
        </w:tc>
        <w:tc>
          <w:tcPr>
            <w:tcW w:w="567" w:type="dxa"/>
            <w:tcBorders>
              <w:top w:val="nil"/>
              <w:left w:val="nil"/>
              <w:bottom w:val="nil"/>
              <w:right w:val="nil"/>
            </w:tcBorders>
            <w:shd w:val="clear" w:color="000000" w:fill="FFFFFF"/>
            <w:noWrap/>
            <w:hideMark/>
          </w:tcPr>
          <w:p w14:paraId="00EA23F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-0.291 </w:t>
            </w:r>
          </w:p>
        </w:tc>
        <w:tc>
          <w:tcPr>
            <w:tcW w:w="619" w:type="dxa"/>
            <w:tcBorders>
              <w:top w:val="nil"/>
              <w:left w:val="nil"/>
              <w:bottom w:val="nil"/>
              <w:right w:val="nil"/>
            </w:tcBorders>
            <w:shd w:val="clear" w:color="000000" w:fill="FFFFFF"/>
            <w:noWrap/>
            <w:hideMark/>
          </w:tcPr>
          <w:p w14:paraId="31724E37" w14:textId="232FE0AD"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0.001</w:t>
            </w:r>
            <w:r w:rsidR="005368E5" w:rsidRPr="00AE2A93">
              <w:rPr>
                <w:rFonts w:ascii="Book Antiqua" w:hAnsi="Book Antiqua"/>
                <w:color w:val="000000"/>
                <w:vertAlign w:val="superscript"/>
              </w:rPr>
              <w:t>a</w:t>
            </w:r>
            <w:r w:rsidRPr="00AE2A93">
              <w:rPr>
                <w:rFonts w:ascii="Book Antiqua" w:hAnsi="Book Antiqua"/>
                <w:color w:val="000000"/>
              </w:rPr>
              <w:t xml:space="preserve"> </w:t>
            </w:r>
          </w:p>
        </w:tc>
      </w:tr>
      <w:tr w:rsidR="00136423" w:rsidRPr="00C76E19" w14:paraId="6C905A93" w14:textId="77777777" w:rsidTr="005368E5">
        <w:trPr>
          <w:trHeight w:val="320"/>
        </w:trPr>
        <w:tc>
          <w:tcPr>
            <w:tcW w:w="1942" w:type="dxa"/>
            <w:tcBorders>
              <w:top w:val="nil"/>
              <w:left w:val="nil"/>
              <w:bottom w:val="nil"/>
              <w:right w:val="nil"/>
            </w:tcBorders>
            <w:shd w:val="clear" w:color="000000" w:fill="FFFFFF"/>
            <w:noWrap/>
            <w:hideMark/>
          </w:tcPr>
          <w:p w14:paraId="7722A1AC" w14:textId="77777777" w:rsidR="00136423" w:rsidRPr="00AE2A93" w:rsidRDefault="00136423"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Esophageal disease</w:t>
            </w:r>
          </w:p>
        </w:tc>
        <w:tc>
          <w:tcPr>
            <w:tcW w:w="849" w:type="dxa"/>
            <w:tcBorders>
              <w:top w:val="nil"/>
              <w:left w:val="nil"/>
              <w:bottom w:val="nil"/>
              <w:right w:val="nil"/>
            </w:tcBorders>
            <w:shd w:val="clear" w:color="000000" w:fill="FFFFFF"/>
            <w:noWrap/>
            <w:hideMark/>
          </w:tcPr>
          <w:p w14:paraId="01F5B5F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4A521B9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4AF97AC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5FE7E5A1"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5E613A50"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4BCB4FF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51C75CCB"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683FBC1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701F070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715EA256"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0A804BC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342</w:t>
            </w:r>
          </w:p>
        </w:tc>
        <w:tc>
          <w:tcPr>
            <w:tcW w:w="801" w:type="dxa"/>
            <w:tcBorders>
              <w:top w:val="nil"/>
              <w:left w:val="nil"/>
              <w:bottom w:val="nil"/>
              <w:right w:val="nil"/>
            </w:tcBorders>
            <w:shd w:val="clear" w:color="000000" w:fill="FFFFFF"/>
            <w:noWrap/>
            <w:hideMark/>
          </w:tcPr>
          <w:p w14:paraId="76E7658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-2.696 </w:t>
            </w:r>
          </w:p>
        </w:tc>
        <w:tc>
          <w:tcPr>
            <w:tcW w:w="568" w:type="dxa"/>
            <w:tcBorders>
              <w:top w:val="nil"/>
              <w:left w:val="nil"/>
              <w:bottom w:val="nil"/>
              <w:right w:val="nil"/>
            </w:tcBorders>
            <w:shd w:val="clear" w:color="000000" w:fill="FFFFFF"/>
            <w:noWrap/>
            <w:hideMark/>
          </w:tcPr>
          <w:p w14:paraId="262F0F9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-4.467 </w:t>
            </w:r>
          </w:p>
        </w:tc>
        <w:tc>
          <w:tcPr>
            <w:tcW w:w="567" w:type="dxa"/>
            <w:tcBorders>
              <w:top w:val="nil"/>
              <w:left w:val="nil"/>
              <w:bottom w:val="nil"/>
              <w:right w:val="nil"/>
            </w:tcBorders>
            <w:shd w:val="clear" w:color="000000" w:fill="FFFFFF"/>
            <w:noWrap/>
            <w:hideMark/>
          </w:tcPr>
          <w:p w14:paraId="7676C19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0.976 </w:t>
            </w:r>
          </w:p>
        </w:tc>
        <w:tc>
          <w:tcPr>
            <w:tcW w:w="619" w:type="dxa"/>
            <w:tcBorders>
              <w:top w:val="nil"/>
              <w:left w:val="nil"/>
              <w:bottom w:val="nil"/>
              <w:right w:val="nil"/>
            </w:tcBorders>
            <w:shd w:val="clear" w:color="000000" w:fill="FFFFFF"/>
            <w:noWrap/>
            <w:hideMark/>
          </w:tcPr>
          <w:p w14:paraId="44EDA99A" w14:textId="2C976E38"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0.026</w:t>
            </w:r>
            <w:r w:rsidR="005368E5" w:rsidRPr="00AE2A93">
              <w:rPr>
                <w:rFonts w:ascii="Book Antiqua" w:hAnsi="Book Antiqua"/>
                <w:color w:val="000000"/>
                <w:vertAlign w:val="superscript"/>
              </w:rPr>
              <w:t>a</w:t>
            </w:r>
            <w:r w:rsidRPr="00AE2A93">
              <w:rPr>
                <w:rFonts w:ascii="Book Antiqua" w:hAnsi="Book Antiqua"/>
                <w:color w:val="000000"/>
              </w:rPr>
              <w:t xml:space="preserve"> </w:t>
            </w:r>
          </w:p>
        </w:tc>
      </w:tr>
      <w:tr w:rsidR="00136423" w:rsidRPr="00C76E19" w14:paraId="2CC86A7C" w14:textId="77777777" w:rsidTr="005368E5">
        <w:trPr>
          <w:trHeight w:val="320"/>
        </w:trPr>
        <w:tc>
          <w:tcPr>
            <w:tcW w:w="1942" w:type="dxa"/>
            <w:tcBorders>
              <w:top w:val="nil"/>
              <w:left w:val="nil"/>
              <w:bottom w:val="nil"/>
              <w:right w:val="nil"/>
            </w:tcBorders>
            <w:shd w:val="clear" w:color="000000" w:fill="FFFFFF"/>
            <w:noWrap/>
            <w:hideMark/>
          </w:tcPr>
          <w:p w14:paraId="78EFAD3D" w14:textId="767D2A63" w:rsidR="00136423" w:rsidRPr="00AE2A93" w:rsidRDefault="005368E5"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D</w:t>
            </w:r>
            <w:r w:rsidR="00136423" w:rsidRPr="00AE2A93">
              <w:rPr>
                <w:rFonts w:ascii="Book Antiqua" w:hAnsi="Book Antiqua"/>
                <w:color w:val="222222"/>
              </w:rPr>
              <w:t>iabetes</w:t>
            </w:r>
          </w:p>
        </w:tc>
        <w:tc>
          <w:tcPr>
            <w:tcW w:w="849" w:type="dxa"/>
            <w:tcBorders>
              <w:top w:val="nil"/>
              <w:left w:val="nil"/>
              <w:bottom w:val="nil"/>
              <w:right w:val="nil"/>
            </w:tcBorders>
            <w:shd w:val="clear" w:color="000000" w:fill="FFFFFF"/>
            <w:noWrap/>
            <w:hideMark/>
          </w:tcPr>
          <w:p w14:paraId="76FDF5D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07CC6DA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48977CF4"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76A17BF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2C1CF4EB"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280B62A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nil"/>
              <w:right w:val="nil"/>
            </w:tcBorders>
            <w:shd w:val="clear" w:color="000000" w:fill="FFFFFF"/>
            <w:noWrap/>
            <w:hideMark/>
          </w:tcPr>
          <w:p w14:paraId="57D55A18"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nil"/>
              <w:right w:val="nil"/>
            </w:tcBorders>
            <w:shd w:val="clear" w:color="000000" w:fill="FFFFFF"/>
            <w:noWrap/>
            <w:hideMark/>
          </w:tcPr>
          <w:p w14:paraId="2EEE1CF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nil"/>
              <w:right w:val="nil"/>
            </w:tcBorders>
            <w:shd w:val="clear" w:color="000000" w:fill="FFFFFF"/>
            <w:noWrap/>
            <w:hideMark/>
          </w:tcPr>
          <w:p w14:paraId="7FDB00A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nil"/>
              <w:right w:val="nil"/>
            </w:tcBorders>
            <w:shd w:val="clear" w:color="000000" w:fill="FFFFFF"/>
            <w:noWrap/>
            <w:hideMark/>
          </w:tcPr>
          <w:p w14:paraId="0FB60D33"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6560B82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342</w:t>
            </w:r>
          </w:p>
        </w:tc>
        <w:tc>
          <w:tcPr>
            <w:tcW w:w="801" w:type="dxa"/>
            <w:tcBorders>
              <w:top w:val="nil"/>
              <w:left w:val="nil"/>
              <w:bottom w:val="nil"/>
              <w:right w:val="nil"/>
            </w:tcBorders>
            <w:shd w:val="clear" w:color="000000" w:fill="FFFFFF"/>
            <w:noWrap/>
            <w:hideMark/>
          </w:tcPr>
          <w:p w14:paraId="4A866BD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-2.147 </w:t>
            </w:r>
          </w:p>
        </w:tc>
        <w:tc>
          <w:tcPr>
            <w:tcW w:w="568" w:type="dxa"/>
            <w:tcBorders>
              <w:top w:val="nil"/>
              <w:left w:val="nil"/>
              <w:bottom w:val="nil"/>
              <w:right w:val="nil"/>
            </w:tcBorders>
            <w:shd w:val="clear" w:color="000000" w:fill="FFFFFF"/>
            <w:noWrap/>
            <w:hideMark/>
          </w:tcPr>
          <w:p w14:paraId="21E3FA9D"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-3.910 </w:t>
            </w:r>
          </w:p>
        </w:tc>
        <w:tc>
          <w:tcPr>
            <w:tcW w:w="567" w:type="dxa"/>
            <w:tcBorders>
              <w:top w:val="nil"/>
              <w:left w:val="nil"/>
              <w:bottom w:val="nil"/>
              <w:right w:val="nil"/>
            </w:tcBorders>
            <w:shd w:val="clear" w:color="000000" w:fill="FFFFFF"/>
            <w:noWrap/>
            <w:hideMark/>
          </w:tcPr>
          <w:p w14:paraId="421214E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1.523 </w:t>
            </w:r>
          </w:p>
        </w:tc>
        <w:tc>
          <w:tcPr>
            <w:tcW w:w="619" w:type="dxa"/>
            <w:tcBorders>
              <w:top w:val="nil"/>
              <w:left w:val="nil"/>
              <w:bottom w:val="nil"/>
              <w:right w:val="nil"/>
            </w:tcBorders>
            <w:shd w:val="clear" w:color="000000" w:fill="FFFFFF"/>
            <w:noWrap/>
            <w:hideMark/>
          </w:tcPr>
          <w:p w14:paraId="4AB8C0C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0.076 </w:t>
            </w:r>
          </w:p>
        </w:tc>
      </w:tr>
      <w:tr w:rsidR="00136423" w:rsidRPr="00C76E19" w14:paraId="6B998952" w14:textId="77777777" w:rsidTr="005368E5">
        <w:trPr>
          <w:trHeight w:val="320"/>
        </w:trPr>
        <w:tc>
          <w:tcPr>
            <w:tcW w:w="1942" w:type="dxa"/>
            <w:tcBorders>
              <w:top w:val="nil"/>
              <w:left w:val="nil"/>
              <w:bottom w:val="single" w:sz="4" w:space="0" w:color="auto"/>
              <w:right w:val="nil"/>
            </w:tcBorders>
            <w:shd w:val="clear" w:color="000000" w:fill="FFFFFF"/>
            <w:noWrap/>
            <w:hideMark/>
          </w:tcPr>
          <w:p w14:paraId="1FA9E8DF" w14:textId="006EB75D" w:rsidR="00136423" w:rsidRPr="00AE2A93" w:rsidRDefault="005368E5" w:rsidP="00AE2A93">
            <w:pPr>
              <w:snapToGrid w:val="0"/>
              <w:spacing w:line="360" w:lineRule="auto"/>
              <w:ind w:firstLineChars="100" w:firstLine="240"/>
              <w:jc w:val="both"/>
              <w:rPr>
                <w:rFonts w:ascii="Book Antiqua" w:hAnsi="Book Antiqua"/>
                <w:color w:val="222222"/>
              </w:rPr>
            </w:pPr>
            <w:r w:rsidRPr="00AE2A93">
              <w:rPr>
                <w:rFonts w:ascii="Book Antiqua" w:hAnsi="Book Antiqua"/>
                <w:color w:val="222222"/>
              </w:rPr>
              <w:t>A</w:t>
            </w:r>
            <w:r w:rsidR="00136423" w:rsidRPr="00AE2A93">
              <w:rPr>
                <w:rFonts w:ascii="Book Antiqua" w:hAnsi="Book Antiqua"/>
                <w:color w:val="222222"/>
              </w:rPr>
              <w:t>sthma</w:t>
            </w:r>
          </w:p>
        </w:tc>
        <w:tc>
          <w:tcPr>
            <w:tcW w:w="849" w:type="dxa"/>
            <w:tcBorders>
              <w:top w:val="nil"/>
              <w:left w:val="nil"/>
              <w:bottom w:val="single" w:sz="4" w:space="0" w:color="auto"/>
              <w:right w:val="nil"/>
            </w:tcBorders>
            <w:shd w:val="clear" w:color="000000" w:fill="FFFFFF"/>
            <w:noWrap/>
            <w:hideMark/>
          </w:tcPr>
          <w:p w14:paraId="06E3C257"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single" w:sz="4" w:space="0" w:color="auto"/>
              <w:right w:val="nil"/>
            </w:tcBorders>
            <w:shd w:val="clear" w:color="000000" w:fill="FFFFFF"/>
            <w:noWrap/>
            <w:hideMark/>
          </w:tcPr>
          <w:p w14:paraId="6AA3488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single" w:sz="4" w:space="0" w:color="auto"/>
              <w:right w:val="nil"/>
            </w:tcBorders>
            <w:shd w:val="clear" w:color="000000" w:fill="FFFFFF"/>
            <w:noWrap/>
            <w:hideMark/>
          </w:tcPr>
          <w:p w14:paraId="1522B42C"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single" w:sz="4" w:space="0" w:color="auto"/>
              <w:right w:val="nil"/>
            </w:tcBorders>
            <w:shd w:val="clear" w:color="000000" w:fill="FFFFFF"/>
            <w:noWrap/>
            <w:hideMark/>
          </w:tcPr>
          <w:p w14:paraId="6F66ADE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single" w:sz="4" w:space="0" w:color="auto"/>
              <w:right w:val="nil"/>
            </w:tcBorders>
            <w:shd w:val="clear" w:color="000000" w:fill="FFFFFF"/>
            <w:noWrap/>
            <w:hideMark/>
          </w:tcPr>
          <w:p w14:paraId="5129B641"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single" w:sz="4" w:space="0" w:color="auto"/>
              <w:right w:val="nil"/>
            </w:tcBorders>
            <w:shd w:val="clear" w:color="000000" w:fill="FFFFFF"/>
            <w:noWrap/>
            <w:hideMark/>
          </w:tcPr>
          <w:p w14:paraId="1D452485"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801" w:type="dxa"/>
            <w:tcBorders>
              <w:top w:val="nil"/>
              <w:left w:val="nil"/>
              <w:bottom w:val="single" w:sz="4" w:space="0" w:color="auto"/>
              <w:right w:val="nil"/>
            </w:tcBorders>
            <w:shd w:val="clear" w:color="000000" w:fill="FFFFFF"/>
            <w:noWrap/>
            <w:hideMark/>
          </w:tcPr>
          <w:p w14:paraId="0096C72E"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8" w:type="dxa"/>
            <w:tcBorders>
              <w:top w:val="nil"/>
              <w:left w:val="nil"/>
              <w:bottom w:val="single" w:sz="4" w:space="0" w:color="auto"/>
              <w:right w:val="nil"/>
            </w:tcBorders>
            <w:shd w:val="clear" w:color="000000" w:fill="FFFFFF"/>
            <w:noWrap/>
            <w:hideMark/>
          </w:tcPr>
          <w:p w14:paraId="3363E06A"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567" w:type="dxa"/>
            <w:tcBorders>
              <w:top w:val="nil"/>
              <w:left w:val="nil"/>
              <w:bottom w:val="single" w:sz="4" w:space="0" w:color="auto"/>
              <w:right w:val="nil"/>
            </w:tcBorders>
            <w:shd w:val="clear" w:color="000000" w:fill="FFFFFF"/>
            <w:noWrap/>
            <w:hideMark/>
          </w:tcPr>
          <w:p w14:paraId="19A51EE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w:t>
            </w:r>
          </w:p>
        </w:tc>
        <w:tc>
          <w:tcPr>
            <w:tcW w:w="619" w:type="dxa"/>
            <w:tcBorders>
              <w:top w:val="nil"/>
              <w:left w:val="nil"/>
              <w:bottom w:val="single" w:sz="4" w:space="0" w:color="auto"/>
              <w:right w:val="nil"/>
            </w:tcBorders>
            <w:shd w:val="clear" w:color="000000" w:fill="FFFFFF"/>
            <w:noWrap/>
            <w:hideMark/>
          </w:tcPr>
          <w:p w14:paraId="6E9F1B1B" w14:textId="77777777" w:rsidR="00136423" w:rsidRPr="00AE2A93" w:rsidRDefault="00136423" w:rsidP="00AE2A93">
            <w:pPr>
              <w:snapToGrid w:val="0"/>
              <w:spacing w:line="360" w:lineRule="auto"/>
              <w:jc w:val="both"/>
              <w:rPr>
                <w:rFonts w:ascii="Book Antiqua" w:hAnsi="Book Antiqua"/>
                <w:b/>
                <w:bCs/>
                <w:i/>
                <w:iCs/>
                <w:color w:val="000000"/>
              </w:rPr>
            </w:pPr>
            <w:r w:rsidRPr="00AE2A93">
              <w:rPr>
                <w:rFonts w:ascii="Book Antiqua" w:hAnsi="Book Antiqua"/>
                <w:b/>
                <w:bCs/>
                <w:i/>
                <w:iCs/>
                <w:color w:val="000000"/>
              </w:rPr>
              <w:t> </w:t>
            </w:r>
          </w:p>
        </w:tc>
        <w:tc>
          <w:tcPr>
            <w:tcW w:w="849" w:type="dxa"/>
            <w:tcBorders>
              <w:top w:val="nil"/>
              <w:left w:val="nil"/>
              <w:bottom w:val="single" w:sz="4" w:space="0" w:color="auto"/>
              <w:right w:val="nil"/>
            </w:tcBorders>
            <w:shd w:val="clear" w:color="000000" w:fill="FFFFFF"/>
            <w:noWrap/>
            <w:hideMark/>
          </w:tcPr>
          <w:p w14:paraId="6D42768F"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342</w:t>
            </w:r>
          </w:p>
        </w:tc>
        <w:tc>
          <w:tcPr>
            <w:tcW w:w="801" w:type="dxa"/>
            <w:tcBorders>
              <w:top w:val="nil"/>
              <w:left w:val="nil"/>
              <w:bottom w:val="single" w:sz="4" w:space="0" w:color="auto"/>
              <w:right w:val="nil"/>
            </w:tcBorders>
            <w:shd w:val="clear" w:color="000000" w:fill="FFFFFF"/>
            <w:noWrap/>
            <w:hideMark/>
          </w:tcPr>
          <w:p w14:paraId="29CB43D6"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-3.391 </w:t>
            </w:r>
          </w:p>
        </w:tc>
        <w:tc>
          <w:tcPr>
            <w:tcW w:w="568" w:type="dxa"/>
            <w:tcBorders>
              <w:top w:val="nil"/>
              <w:left w:val="nil"/>
              <w:bottom w:val="single" w:sz="4" w:space="0" w:color="auto"/>
              <w:right w:val="nil"/>
            </w:tcBorders>
            <w:shd w:val="clear" w:color="000000" w:fill="FFFFFF"/>
            <w:noWrap/>
            <w:hideMark/>
          </w:tcPr>
          <w:p w14:paraId="75F63431"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-5.092 </w:t>
            </w:r>
          </w:p>
        </w:tc>
        <w:tc>
          <w:tcPr>
            <w:tcW w:w="567" w:type="dxa"/>
            <w:tcBorders>
              <w:top w:val="nil"/>
              <w:left w:val="nil"/>
              <w:bottom w:val="single" w:sz="4" w:space="0" w:color="auto"/>
              <w:right w:val="nil"/>
            </w:tcBorders>
            <w:shd w:val="clear" w:color="000000" w:fill="FFFFFF"/>
            <w:noWrap/>
            <w:hideMark/>
          </w:tcPr>
          <w:p w14:paraId="013D38A3"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0.265 </w:t>
            </w:r>
          </w:p>
        </w:tc>
        <w:tc>
          <w:tcPr>
            <w:tcW w:w="619" w:type="dxa"/>
            <w:tcBorders>
              <w:top w:val="nil"/>
              <w:left w:val="nil"/>
              <w:bottom w:val="single" w:sz="4" w:space="0" w:color="auto"/>
              <w:right w:val="nil"/>
            </w:tcBorders>
            <w:shd w:val="clear" w:color="000000" w:fill="FFFFFF"/>
            <w:noWrap/>
            <w:hideMark/>
          </w:tcPr>
          <w:p w14:paraId="24B26A02" w14:textId="77777777" w:rsidR="00136423" w:rsidRPr="00AE2A93" w:rsidRDefault="00136423" w:rsidP="00AE2A93">
            <w:pPr>
              <w:snapToGrid w:val="0"/>
              <w:spacing w:line="360" w:lineRule="auto"/>
              <w:jc w:val="both"/>
              <w:rPr>
                <w:rFonts w:ascii="Book Antiqua" w:hAnsi="Book Antiqua"/>
                <w:color w:val="000000"/>
              </w:rPr>
            </w:pPr>
            <w:r w:rsidRPr="00AE2A93">
              <w:rPr>
                <w:rFonts w:ascii="Book Antiqua" w:hAnsi="Book Antiqua"/>
                <w:color w:val="000000"/>
              </w:rPr>
              <w:t xml:space="preserve">0.005 </w:t>
            </w:r>
          </w:p>
        </w:tc>
      </w:tr>
    </w:tbl>
    <w:p w14:paraId="02C25CC2" w14:textId="09AA55A2" w:rsidR="005368E5" w:rsidRPr="00C76E19" w:rsidRDefault="005368E5" w:rsidP="00AE2A93">
      <w:pPr>
        <w:snapToGrid w:val="0"/>
        <w:spacing w:line="360" w:lineRule="auto"/>
        <w:jc w:val="both"/>
        <w:rPr>
          <w:rFonts w:ascii="Book Antiqua" w:eastAsia="Book Antiqua" w:hAnsi="Book Antiqua" w:cs="Book Antiqua"/>
          <w:color w:val="000000"/>
        </w:rPr>
      </w:pPr>
      <w:r w:rsidRPr="00C76E19">
        <w:rPr>
          <w:rFonts w:ascii="Book Antiqua" w:hAnsi="Book Antiqua"/>
          <w:vertAlign w:val="superscript"/>
          <w:lang w:eastAsia="zh-CN"/>
        </w:rPr>
        <w:t>a</w:t>
      </w:r>
      <w:r w:rsidRPr="00C76E19">
        <w:rPr>
          <w:rFonts w:ascii="Book Antiqua" w:hAnsi="Book Antiqua"/>
          <w:i/>
          <w:iCs/>
          <w:lang w:eastAsia="zh-CN"/>
        </w:rPr>
        <w:t>P</w:t>
      </w:r>
      <w:r w:rsidRPr="002B5BCF">
        <w:rPr>
          <w:rFonts w:ascii="Book Antiqua" w:hAnsi="Book Antiqua"/>
          <w:lang w:eastAsia="zh-CN"/>
        </w:rPr>
        <w:t xml:space="preserve"> &lt; 0.05, </w:t>
      </w:r>
      <w:r w:rsidRPr="002B5BCF">
        <w:rPr>
          <w:rFonts w:ascii="Book Antiqua" w:hAnsi="Book Antiqua"/>
          <w:vertAlign w:val="superscript"/>
          <w:lang w:eastAsia="zh-CN"/>
        </w:rPr>
        <w:t>b</w:t>
      </w:r>
      <w:r w:rsidRPr="002B5BCF">
        <w:rPr>
          <w:rFonts w:ascii="Book Antiqua" w:hAnsi="Book Antiqua"/>
          <w:i/>
          <w:iCs/>
          <w:lang w:eastAsia="zh-CN"/>
        </w:rPr>
        <w:t>P</w:t>
      </w:r>
      <w:r w:rsidRPr="00A23AA9">
        <w:rPr>
          <w:rFonts w:ascii="Book Antiqua" w:hAnsi="Book Antiqua"/>
          <w:lang w:eastAsia="zh-CN"/>
        </w:rPr>
        <w:t xml:space="preserve"> &lt; 0.01. </w:t>
      </w:r>
      <w:r w:rsidR="002B5BCF" w:rsidRPr="0002398A">
        <w:rPr>
          <w:rFonts w:ascii="Book Antiqua" w:eastAsia="Book Antiqua" w:hAnsi="Book Antiqua" w:cs="Book Antiqua"/>
          <w:color w:val="000000"/>
        </w:rPr>
        <w:t xml:space="preserve">BMI: Body mass index; </w:t>
      </w:r>
      <w:r w:rsidRPr="002B5BCF">
        <w:rPr>
          <w:rFonts w:ascii="Book Antiqua" w:hAnsi="Book Antiqua"/>
          <w:lang w:eastAsia="zh-CN"/>
        </w:rPr>
        <w:t>CD: Crohn’s disease</w:t>
      </w:r>
      <w:r w:rsidRPr="00A23AA9">
        <w:rPr>
          <w:rFonts w:ascii="Book Antiqua" w:hAnsi="Book Antiqua"/>
          <w:lang w:eastAsia="zh-CN"/>
        </w:rPr>
        <w:t>;</w:t>
      </w:r>
      <w:r w:rsidRPr="00C76E19">
        <w:rPr>
          <w:rFonts w:ascii="Book Antiqua" w:eastAsia="Book Antiqua" w:hAnsi="Book Antiqua" w:cs="Book Antiqua"/>
          <w:color w:val="000000"/>
        </w:rPr>
        <w:t xml:space="preserve"> CI: Confidence interval; </w:t>
      </w:r>
      <w:r w:rsidR="002B5BCF" w:rsidRPr="00C968C1">
        <w:rPr>
          <w:rFonts w:ascii="Book Antiqua" w:eastAsia="Book Antiqua" w:hAnsi="Book Antiqua" w:cs="Book Antiqua"/>
          <w:color w:val="000000"/>
        </w:rPr>
        <w:t xml:space="preserve">CMT: Conventional maintenance therapy; </w:t>
      </w:r>
      <w:r w:rsidRPr="002B5BCF">
        <w:rPr>
          <w:rFonts w:ascii="Book Antiqua" w:eastAsia="Book Antiqua" w:hAnsi="Book Antiqua" w:cs="Book Antiqua"/>
          <w:color w:val="000000"/>
        </w:rPr>
        <w:t xml:space="preserve">IMT: </w:t>
      </w:r>
      <w:bookmarkStart w:id="6" w:name="_Hlk50967582"/>
      <w:r w:rsidRPr="002B5BCF">
        <w:rPr>
          <w:rFonts w:ascii="Book Antiqua" w:eastAsia="Book Antiqua" w:hAnsi="Book Antiqua" w:cs="Book Antiqua"/>
          <w:color w:val="000000"/>
        </w:rPr>
        <w:t>Infliximab maintenance therapy</w:t>
      </w:r>
      <w:bookmarkEnd w:id="6"/>
      <w:r w:rsidRPr="002B5BCF">
        <w:rPr>
          <w:rFonts w:ascii="Book Antiqua" w:eastAsia="Book Antiqua" w:hAnsi="Book Antiqua" w:cs="Book Antiqua"/>
          <w:color w:val="000000"/>
        </w:rPr>
        <w:t xml:space="preserve">; </w:t>
      </w:r>
      <w:r w:rsidRPr="00C76E19">
        <w:rPr>
          <w:rFonts w:ascii="Book Antiqua" w:eastAsia="宋体" w:hAnsi="Book Antiqua"/>
        </w:rPr>
        <w:t>NA: Not available; NS: Not significant.</w:t>
      </w:r>
    </w:p>
    <w:p w14:paraId="78806395" w14:textId="36F940E5" w:rsidR="00383B79" w:rsidRPr="00C76E19" w:rsidRDefault="00A45960" w:rsidP="00AE2A93">
      <w:pPr>
        <w:snapToGrid w:val="0"/>
        <w:spacing w:line="360" w:lineRule="auto"/>
        <w:jc w:val="both"/>
        <w:rPr>
          <w:rFonts w:ascii="Book Antiqua" w:hAnsi="Book Antiqua"/>
          <w:b/>
          <w:bCs/>
          <w:lang w:eastAsia="zh-CN"/>
        </w:rPr>
      </w:pPr>
      <w:r w:rsidRPr="00C76E19">
        <w:rPr>
          <w:rFonts w:ascii="Book Antiqua" w:hAnsi="Book Antiqua"/>
          <w:b/>
          <w:bCs/>
          <w:lang w:eastAsia="zh-CN"/>
        </w:rPr>
        <w:br w:type="page"/>
      </w:r>
      <w:r w:rsidR="00EF6F6C" w:rsidRPr="00C76E19">
        <w:rPr>
          <w:rFonts w:ascii="Book Antiqua" w:hAnsi="Book Antiqua"/>
          <w:b/>
          <w:bCs/>
          <w:lang w:eastAsia="zh-CN"/>
        </w:rPr>
        <w:t>Table 6 The summary of the main model variables in the decision analytic model assessing the cost-effectiveness of infliximab maintenance therapy relative to conventional maintenance therapy for moderate to severe Crohn’s disease in China</w:t>
      </w:r>
    </w:p>
    <w:tbl>
      <w:tblPr>
        <w:tblW w:w="5000" w:type="pct"/>
        <w:tblLayout w:type="fixed"/>
        <w:tblLook w:val="04A0" w:firstRow="1" w:lastRow="0" w:firstColumn="1" w:lastColumn="0" w:noHBand="0" w:noVBand="1"/>
      </w:tblPr>
      <w:tblGrid>
        <w:gridCol w:w="9138"/>
        <w:gridCol w:w="1418"/>
        <w:gridCol w:w="1165"/>
        <w:gridCol w:w="1239"/>
      </w:tblGrid>
      <w:tr w:rsidR="00EF6F6C" w:rsidRPr="00C76E19" w14:paraId="38D01C02" w14:textId="77777777" w:rsidTr="00EF6F6C">
        <w:trPr>
          <w:trHeight w:val="320"/>
        </w:trPr>
        <w:tc>
          <w:tcPr>
            <w:tcW w:w="12009" w:type="dxa"/>
            <w:vMerge w:val="restart"/>
            <w:tcBorders>
              <w:top w:val="single" w:sz="4" w:space="0" w:color="auto"/>
              <w:left w:val="nil"/>
              <w:bottom w:val="single" w:sz="4" w:space="0" w:color="000000"/>
              <w:right w:val="nil"/>
            </w:tcBorders>
            <w:shd w:val="clear" w:color="000000" w:fill="FFFFFF"/>
            <w:noWrap/>
            <w:hideMark/>
          </w:tcPr>
          <w:p w14:paraId="5B5E50CA" w14:textId="77777777" w:rsidR="00EF6F6C" w:rsidRPr="00C76E19" w:rsidRDefault="00EF6F6C" w:rsidP="00AE2A93">
            <w:pPr>
              <w:snapToGrid w:val="0"/>
              <w:spacing w:line="360" w:lineRule="auto"/>
              <w:jc w:val="both"/>
              <w:rPr>
                <w:rFonts w:ascii="Book Antiqua" w:hAnsi="Book Antiqua"/>
                <w:b/>
                <w:bCs/>
                <w:color w:val="000000"/>
              </w:rPr>
            </w:pPr>
            <w:r w:rsidRPr="00C76E19">
              <w:rPr>
                <w:rFonts w:ascii="Book Antiqua" w:hAnsi="Book Antiqua"/>
                <w:b/>
                <w:bCs/>
                <w:color w:val="000000"/>
              </w:rPr>
              <w:t xml:space="preserve">Model variable </w:t>
            </w:r>
          </w:p>
        </w:tc>
        <w:tc>
          <w:tcPr>
            <w:tcW w:w="1799" w:type="dxa"/>
            <w:vMerge w:val="restart"/>
            <w:tcBorders>
              <w:top w:val="single" w:sz="4" w:space="0" w:color="auto"/>
              <w:left w:val="nil"/>
              <w:bottom w:val="single" w:sz="4" w:space="0" w:color="000000"/>
              <w:right w:val="nil"/>
            </w:tcBorders>
            <w:shd w:val="clear" w:color="000000" w:fill="FFFFFF"/>
            <w:noWrap/>
            <w:hideMark/>
          </w:tcPr>
          <w:p w14:paraId="4C4E35D1" w14:textId="77777777" w:rsidR="00EF6F6C" w:rsidRPr="00C76E19" w:rsidRDefault="00EF6F6C" w:rsidP="00AE2A93">
            <w:pPr>
              <w:snapToGrid w:val="0"/>
              <w:spacing w:line="360" w:lineRule="auto"/>
              <w:jc w:val="both"/>
              <w:rPr>
                <w:rFonts w:ascii="Book Antiqua" w:hAnsi="Book Antiqua"/>
                <w:b/>
                <w:bCs/>
                <w:color w:val="000000"/>
              </w:rPr>
            </w:pPr>
            <w:r w:rsidRPr="00C76E19">
              <w:rPr>
                <w:rFonts w:ascii="Book Antiqua" w:hAnsi="Book Antiqua"/>
                <w:b/>
                <w:bCs/>
                <w:color w:val="000000"/>
              </w:rPr>
              <w:t xml:space="preserve">Base line value </w:t>
            </w:r>
          </w:p>
        </w:tc>
        <w:tc>
          <w:tcPr>
            <w:tcW w:w="3027" w:type="dxa"/>
            <w:gridSpan w:val="2"/>
            <w:tcBorders>
              <w:top w:val="single" w:sz="4" w:space="0" w:color="auto"/>
              <w:left w:val="nil"/>
              <w:bottom w:val="single" w:sz="4" w:space="0" w:color="auto"/>
              <w:right w:val="nil"/>
            </w:tcBorders>
            <w:shd w:val="clear" w:color="000000" w:fill="FFFFFF"/>
            <w:noWrap/>
            <w:hideMark/>
          </w:tcPr>
          <w:p w14:paraId="6F7363FF" w14:textId="66A3CC90" w:rsidR="00EF6F6C" w:rsidRPr="00C76E19" w:rsidRDefault="00EF6F6C" w:rsidP="00AE2A93">
            <w:pPr>
              <w:snapToGrid w:val="0"/>
              <w:spacing w:line="360" w:lineRule="auto"/>
              <w:jc w:val="both"/>
              <w:rPr>
                <w:rFonts w:ascii="Book Antiqua" w:hAnsi="Book Antiqua"/>
                <w:b/>
                <w:bCs/>
                <w:color w:val="000000"/>
              </w:rPr>
            </w:pPr>
            <w:r w:rsidRPr="00C76E19">
              <w:rPr>
                <w:rFonts w:ascii="Book Antiqua" w:hAnsi="Book Antiqua"/>
                <w:b/>
                <w:bCs/>
                <w:color w:val="000000"/>
              </w:rPr>
              <w:t>95%</w:t>
            </w:r>
            <w:r w:rsidR="002B5BCF">
              <w:rPr>
                <w:rFonts w:ascii="Book Antiqua" w:hAnsi="Book Antiqua"/>
                <w:b/>
                <w:bCs/>
                <w:color w:val="000000"/>
              </w:rPr>
              <w:t>CI</w:t>
            </w:r>
          </w:p>
        </w:tc>
      </w:tr>
      <w:tr w:rsidR="00EF6F6C" w:rsidRPr="00C76E19" w14:paraId="4E70ECAF" w14:textId="77777777" w:rsidTr="00EF6F6C">
        <w:trPr>
          <w:trHeight w:val="320"/>
        </w:trPr>
        <w:tc>
          <w:tcPr>
            <w:tcW w:w="12009" w:type="dxa"/>
            <w:vMerge/>
            <w:tcBorders>
              <w:top w:val="single" w:sz="4" w:space="0" w:color="auto"/>
              <w:left w:val="nil"/>
              <w:bottom w:val="single" w:sz="4" w:space="0" w:color="000000"/>
              <w:right w:val="nil"/>
            </w:tcBorders>
            <w:hideMark/>
          </w:tcPr>
          <w:p w14:paraId="22CF41A2" w14:textId="77777777" w:rsidR="00EF6F6C" w:rsidRPr="00C76E19" w:rsidRDefault="00EF6F6C" w:rsidP="00AE2A93">
            <w:pPr>
              <w:snapToGrid w:val="0"/>
              <w:spacing w:line="360" w:lineRule="auto"/>
              <w:jc w:val="both"/>
              <w:rPr>
                <w:rFonts w:ascii="Book Antiqua" w:hAnsi="Book Antiqua"/>
                <w:b/>
                <w:bCs/>
                <w:color w:val="000000"/>
              </w:rPr>
            </w:pPr>
          </w:p>
        </w:tc>
        <w:tc>
          <w:tcPr>
            <w:tcW w:w="1799" w:type="dxa"/>
            <w:vMerge/>
            <w:tcBorders>
              <w:top w:val="single" w:sz="4" w:space="0" w:color="auto"/>
              <w:left w:val="nil"/>
              <w:bottom w:val="single" w:sz="4" w:space="0" w:color="000000"/>
              <w:right w:val="nil"/>
            </w:tcBorders>
            <w:hideMark/>
          </w:tcPr>
          <w:p w14:paraId="0415B394" w14:textId="77777777" w:rsidR="00EF6F6C" w:rsidRPr="00C76E19" w:rsidRDefault="00EF6F6C" w:rsidP="00AE2A93">
            <w:pPr>
              <w:snapToGrid w:val="0"/>
              <w:spacing w:line="360" w:lineRule="auto"/>
              <w:jc w:val="both"/>
              <w:rPr>
                <w:rFonts w:ascii="Book Antiqua" w:hAnsi="Book Antiqua"/>
                <w:b/>
                <w:bCs/>
                <w:color w:val="000000"/>
              </w:rPr>
            </w:pPr>
          </w:p>
        </w:tc>
        <w:tc>
          <w:tcPr>
            <w:tcW w:w="1464" w:type="dxa"/>
            <w:tcBorders>
              <w:top w:val="nil"/>
              <w:left w:val="nil"/>
              <w:bottom w:val="single" w:sz="4" w:space="0" w:color="auto"/>
              <w:right w:val="nil"/>
            </w:tcBorders>
            <w:shd w:val="clear" w:color="000000" w:fill="FFFFFF"/>
            <w:noWrap/>
            <w:hideMark/>
          </w:tcPr>
          <w:p w14:paraId="4F96F26E" w14:textId="77777777" w:rsidR="00EF6F6C" w:rsidRPr="00C76E19" w:rsidRDefault="00EF6F6C" w:rsidP="00AE2A93">
            <w:pPr>
              <w:snapToGrid w:val="0"/>
              <w:spacing w:line="360" w:lineRule="auto"/>
              <w:jc w:val="both"/>
              <w:rPr>
                <w:rFonts w:ascii="Book Antiqua" w:hAnsi="Book Antiqua"/>
                <w:b/>
                <w:bCs/>
                <w:color w:val="000000"/>
              </w:rPr>
            </w:pPr>
            <w:r w:rsidRPr="00C76E19">
              <w:rPr>
                <w:rFonts w:ascii="Book Antiqua" w:hAnsi="Book Antiqua"/>
                <w:b/>
                <w:bCs/>
                <w:color w:val="000000"/>
              </w:rPr>
              <w:t xml:space="preserve">Lower limit </w:t>
            </w:r>
          </w:p>
        </w:tc>
        <w:tc>
          <w:tcPr>
            <w:tcW w:w="1563" w:type="dxa"/>
            <w:tcBorders>
              <w:top w:val="nil"/>
              <w:left w:val="nil"/>
              <w:bottom w:val="single" w:sz="4" w:space="0" w:color="auto"/>
              <w:right w:val="nil"/>
            </w:tcBorders>
            <w:shd w:val="clear" w:color="000000" w:fill="FFFFFF"/>
            <w:noWrap/>
            <w:hideMark/>
          </w:tcPr>
          <w:p w14:paraId="6CDF529B" w14:textId="77777777" w:rsidR="00EF6F6C" w:rsidRPr="00C76E19" w:rsidRDefault="00EF6F6C" w:rsidP="00AE2A93">
            <w:pPr>
              <w:snapToGrid w:val="0"/>
              <w:spacing w:line="360" w:lineRule="auto"/>
              <w:jc w:val="both"/>
              <w:rPr>
                <w:rFonts w:ascii="Book Antiqua" w:hAnsi="Book Antiqua"/>
                <w:b/>
                <w:bCs/>
                <w:color w:val="000000"/>
              </w:rPr>
            </w:pPr>
            <w:r w:rsidRPr="00C76E19">
              <w:rPr>
                <w:rFonts w:ascii="Book Antiqua" w:hAnsi="Book Antiqua"/>
                <w:b/>
                <w:bCs/>
                <w:color w:val="000000"/>
              </w:rPr>
              <w:t xml:space="preserve">Upper limits </w:t>
            </w:r>
          </w:p>
        </w:tc>
      </w:tr>
      <w:tr w:rsidR="00EF6F6C" w:rsidRPr="00C76E19" w14:paraId="66F11167" w14:textId="77777777" w:rsidTr="00EF6F6C">
        <w:trPr>
          <w:trHeight w:val="320"/>
        </w:trPr>
        <w:tc>
          <w:tcPr>
            <w:tcW w:w="12009" w:type="dxa"/>
            <w:tcBorders>
              <w:top w:val="nil"/>
              <w:left w:val="nil"/>
              <w:bottom w:val="nil"/>
              <w:right w:val="nil"/>
            </w:tcBorders>
            <w:shd w:val="clear" w:color="000000" w:fill="FFFFFF"/>
            <w:noWrap/>
            <w:hideMark/>
          </w:tcPr>
          <w:p w14:paraId="5D34D076"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xml:space="preserve">Treatment efficacies of induction therapy </w:t>
            </w:r>
          </w:p>
        </w:tc>
        <w:tc>
          <w:tcPr>
            <w:tcW w:w="1799" w:type="dxa"/>
            <w:tcBorders>
              <w:top w:val="nil"/>
              <w:left w:val="nil"/>
              <w:bottom w:val="nil"/>
              <w:right w:val="nil"/>
            </w:tcBorders>
            <w:shd w:val="clear" w:color="000000" w:fill="FFFFFF"/>
            <w:noWrap/>
            <w:hideMark/>
          </w:tcPr>
          <w:p w14:paraId="4E2E255E"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4" w:type="dxa"/>
            <w:tcBorders>
              <w:top w:val="nil"/>
              <w:left w:val="nil"/>
              <w:bottom w:val="nil"/>
              <w:right w:val="nil"/>
            </w:tcBorders>
            <w:shd w:val="clear" w:color="000000" w:fill="FFFFFF"/>
            <w:noWrap/>
            <w:hideMark/>
          </w:tcPr>
          <w:p w14:paraId="5B5C7391"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563" w:type="dxa"/>
            <w:tcBorders>
              <w:top w:val="nil"/>
              <w:left w:val="nil"/>
              <w:bottom w:val="nil"/>
              <w:right w:val="nil"/>
            </w:tcBorders>
            <w:shd w:val="clear" w:color="000000" w:fill="FFFFFF"/>
            <w:noWrap/>
            <w:hideMark/>
          </w:tcPr>
          <w:p w14:paraId="04CA7B83"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r>
      <w:tr w:rsidR="00EF6F6C" w:rsidRPr="00C76E19" w14:paraId="1521BA18" w14:textId="77777777" w:rsidTr="00EF6F6C">
        <w:trPr>
          <w:trHeight w:val="320"/>
        </w:trPr>
        <w:tc>
          <w:tcPr>
            <w:tcW w:w="12009" w:type="dxa"/>
            <w:tcBorders>
              <w:top w:val="nil"/>
              <w:left w:val="nil"/>
              <w:bottom w:val="nil"/>
              <w:right w:val="nil"/>
            </w:tcBorders>
            <w:shd w:val="clear" w:color="000000" w:fill="FFFFFF"/>
            <w:noWrap/>
            <w:hideMark/>
          </w:tcPr>
          <w:p w14:paraId="49357AD4" w14:textId="77777777" w:rsidR="00EF6F6C" w:rsidRPr="00C76E19" w:rsidRDefault="00EF6F6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Disease remission rate of steroids (reference)</w:t>
            </w:r>
          </w:p>
        </w:tc>
        <w:tc>
          <w:tcPr>
            <w:tcW w:w="1799" w:type="dxa"/>
            <w:tcBorders>
              <w:top w:val="nil"/>
              <w:left w:val="nil"/>
              <w:bottom w:val="nil"/>
              <w:right w:val="nil"/>
            </w:tcBorders>
            <w:shd w:val="clear" w:color="000000" w:fill="FFFFFF"/>
            <w:noWrap/>
            <w:hideMark/>
          </w:tcPr>
          <w:p w14:paraId="23B5EBC3"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0.347</w:t>
            </w:r>
          </w:p>
        </w:tc>
        <w:tc>
          <w:tcPr>
            <w:tcW w:w="1464" w:type="dxa"/>
            <w:tcBorders>
              <w:top w:val="nil"/>
              <w:left w:val="nil"/>
              <w:bottom w:val="nil"/>
              <w:right w:val="nil"/>
            </w:tcBorders>
            <w:shd w:val="clear" w:color="000000" w:fill="FFFFFF"/>
            <w:noWrap/>
            <w:hideMark/>
          </w:tcPr>
          <w:p w14:paraId="15225C07"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0.247</w:t>
            </w:r>
          </w:p>
        </w:tc>
        <w:tc>
          <w:tcPr>
            <w:tcW w:w="1563" w:type="dxa"/>
            <w:tcBorders>
              <w:top w:val="nil"/>
              <w:left w:val="nil"/>
              <w:bottom w:val="nil"/>
              <w:right w:val="nil"/>
            </w:tcBorders>
            <w:shd w:val="clear" w:color="000000" w:fill="FFFFFF"/>
            <w:noWrap/>
            <w:hideMark/>
          </w:tcPr>
          <w:p w14:paraId="62313742"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0.447</w:t>
            </w:r>
          </w:p>
        </w:tc>
      </w:tr>
      <w:tr w:rsidR="00EF6F6C" w:rsidRPr="00C76E19" w14:paraId="2F25FBE7" w14:textId="77777777" w:rsidTr="00EF6F6C">
        <w:trPr>
          <w:trHeight w:val="320"/>
        </w:trPr>
        <w:tc>
          <w:tcPr>
            <w:tcW w:w="12009" w:type="dxa"/>
            <w:tcBorders>
              <w:top w:val="nil"/>
              <w:left w:val="nil"/>
              <w:right w:val="nil"/>
            </w:tcBorders>
            <w:shd w:val="clear" w:color="000000" w:fill="FFFFFF"/>
            <w:noWrap/>
            <w:hideMark/>
          </w:tcPr>
          <w:p w14:paraId="49ECD966" w14:textId="77777777" w:rsidR="00EF6F6C" w:rsidRPr="00C76E19" w:rsidRDefault="00EF6F6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Disease remission rate ratio for infliximab relative to reference </w:t>
            </w:r>
          </w:p>
        </w:tc>
        <w:tc>
          <w:tcPr>
            <w:tcW w:w="1799" w:type="dxa"/>
            <w:tcBorders>
              <w:top w:val="nil"/>
              <w:left w:val="nil"/>
              <w:right w:val="nil"/>
            </w:tcBorders>
            <w:shd w:val="clear" w:color="000000" w:fill="FFFFFF"/>
            <w:noWrap/>
            <w:hideMark/>
          </w:tcPr>
          <w:p w14:paraId="1E5CFE1D"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1.476</w:t>
            </w:r>
          </w:p>
        </w:tc>
        <w:tc>
          <w:tcPr>
            <w:tcW w:w="1464" w:type="dxa"/>
            <w:tcBorders>
              <w:top w:val="nil"/>
              <w:left w:val="nil"/>
              <w:right w:val="nil"/>
            </w:tcBorders>
            <w:shd w:val="clear" w:color="000000" w:fill="FFFFFF"/>
            <w:noWrap/>
            <w:hideMark/>
          </w:tcPr>
          <w:p w14:paraId="708D7320"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0.620</w:t>
            </w:r>
          </w:p>
        </w:tc>
        <w:tc>
          <w:tcPr>
            <w:tcW w:w="1563" w:type="dxa"/>
            <w:tcBorders>
              <w:top w:val="nil"/>
              <w:left w:val="nil"/>
              <w:right w:val="nil"/>
            </w:tcBorders>
            <w:shd w:val="clear" w:color="000000" w:fill="FFFFFF"/>
            <w:noWrap/>
            <w:hideMark/>
          </w:tcPr>
          <w:p w14:paraId="7D869599"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2.090</w:t>
            </w:r>
          </w:p>
        </w:tc>
      </w:tr>
      <w:tr w:rsidR="00EF6F6C" w:rsidRPr="00C76E19" w14:paraId="4E083C08" w14:textId="77777777" w:rsidTr="00EF6F6C">
        <w:trPr>
          <w:trHeight w:val="320"/>
        </w:trPr>
        <w:tc>
          <w:tcPr>
            <w:tcW w:w="12009" w:type="dxa"/>
            <w:tcBorders>
              <w:top w:val="nil"/>
              <w:left w:val="nil"/>
              <w:bottom w:val="nil"/>
              <w:right w:val="nil"/>
            </w:tcBorders>
            <w:shd w:val="clear" w:color="000000" w:fill="FFFFFF"/>
            <w:noWrap/>
            <w:hideMark/>
          </w:tcPr>
          <w:p w14:paraId="5F3DA75B" w14:textId="77777777" w:rsidR="00EF6F6C" w:rsidRPr="00C76E19" w:rsidRDefault="00EF6F6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Disease remission rate ratio for infliximab plus immunosuppressant relative to reference </w:t>
            </w:r>
          </w:p>
        </w:tc>
        <w:tc>
          <w:tcPr>
            <w:tcW w:w="1799" w:type="dxa"/>
            <w:tcBorders>
              <w:top w:val="nil"/>
              <w:left w:val="nil"/>
              <w:bottom w:val="nil"/>
              <w:right w:val="nil"/>
            </w:tcBorders>
            <w:shd w:val="clear" w:color="000000" w:fill="FFFFFF"/>
            <w:noWrap/>
            <w:hideMark/>
          </w:tcPr>
          <w:p w14:paraId="5B4A311D"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2.331</w:t>
            </w:r>
          </w:p>
        </w:tc>
        <w:tc>
          <w:tcPr>
            <w:tcW w:w="1464" w:type="dxa"/>
            <w:tcBorders>
              <w:top w:val="nil"/>
              <w:left w:val="nil"/>
              <w:bottom w:val="nil"/>
              <w:right w:val="nil"/>
            </w:tcBorders>
            <w:shd w:val="clear" w:color="000000" w:fill="FFFFFF"/>
            <w:noWrap/>
            <w:hideMark/>
          </w:tcPr>
          <w:p w14:paraId="484B0452"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1.639</w:t>
            </w:r>
          </w:p>
        </w:tc>
        <w:tc>
          <w:tcPr>
            <w:tcW w:w="1563" w:type="dxa"/>
            <w:tcBorders>
              <w:top w:val="nil"/>
              <w:left w:val="nil"/>
              <w:bottom w:val="nil"/>
              <w:right w:val="nil"/>
            </w:tcBorders>
            <w:shd w:val="clear" w:color="000000" w:fill="FFFFFF"/>
            <w:noWrap/>
            <w:hideMark/>
          </w:tcPr>
          <w:p w14:paraId="00F18F04"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3.315</w:t>
            </w:r>
          </w:p>
        </w:tc>
      </w:tr>
      <w:tr w:rsidR="00EF6F6C" w:rsidRPr="00C76E19" w14:paraId="4F8C443A" w14:textId="77777777" w:rsidTr="00EF6F6C">
        <w:trPr>
          <w:trHeight w:val="320"/>
        </w:trPr>
        <w:tc>
          <w:tcPr>
            <w:tcW w:w="12009" w:type="dxa"/>
            <w:tcBorders>
              <w:top w:val="nil"/>
              <w:left w:val="nil"/>
              <w:right w:val="nil"/>
            </w:tcBorders>
            <w:shd w:val="clear" w:color="000000" w:fill="FFFFFF"/>
            <w:noWrap/>
            <w:hideMark/>
          </w:tcPr>
          <w:p w14:paraId="2CF3E5DC" w14:textId="77777777" w:rsidR="00EF6F6C" w:rsidRPr="00C76E19" w:rsidRDefault="00EF6F6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Disease remission rate ratio for infliximab plus enteral nutrition relative to reference </w:t>
            </w:r>
          </w:p>
        </w:tc>
        <w:tc>
          <w:tcPr>
            <w:tcW w:w="1799" w:type="dxa"/>
            <w:tcBorders>
              <w:top w:val="nil"/>
              <w:left w:val="nil"/>
              <w:right w:val="nil"/>
            </w:tcBorders>
            <w:shd w:val="clear" w:color="000000" w:fill="FFFFFF"/>
            <w:noWrap/>
            <w:hideMark/>
          </w:tcPr>
          <w:p w14:paraId="23C5FDE5"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1.743</w:t>
            </w:r>
          </w:p>
        </w:tc>
        <w:tc>
          <w:tcPr>
            <w:tcW w:w="1464" w:type="dxa"/>
            <w:tcBorders>
              <w:top w:val="nil"/>
              <w:left w:val="nil"/>
              <w:right w:val="nil"/>
            </w:tcBorders>
            <w:shd w:val="clear" w:color="000000" w:fill="FFFFFF"/>
            <w:noWrap/>
            <w:hideMark/>
          </w:tcPr>
          <w:p w14:paraId="7DA9ECEA"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1.523</w:t>
            </w:r>
          </w:p>
        </w:tc>
        <w:tc>
          <w:tcPr>
            <w:tcW w:w="1563" w:type="dxa"/>
            <w:tcBorders>
              <w:top w:val="nil"/>
              <w:left w:val="nil"/>
              <w:right w:val="nil"/>
            </w:tcBorders>
            <w:shd w:val="clear" w:color="000000" w:fill="FFFFFF"/>
            <w:noWrap/>
            <w:hideMark/>
          </w:tcPr>
          <w:p w14:paraId="7AF2CC15"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2.986</w:t>
            </w:r>
          </w:p>
        </w:tc>
      </w:tr>
      <w:tr w:rsidR="00EF6F6C" w:rsidRPr="00C76E19" w14:paraId="69BC8792" w14:textId="77777777" w:rsidTr="00EF6F6C">
        <w:trPr>
          <w:trHeight w:val="320"/>
        </w:trPr>
        <w:tc>
          <w:tcPr>
            <w:tcW w:w="12009" w:type="dxa"/>
            <w:tcBorders>
              <w:top w:val="nil"/>
              <w:left w:val="nil"/>
              <w:bottom w:val="nil"/>
              <w:right w:val="nil"/>
            </w:tcBorders>
            <w:shd w:val="clear" w:color="000000" w:fill="FFFFFF"/>
            <w:noWrap/>
            <w:hideMark/>
          </w:tcPr>
          <w:p w14:paraId="532255FD"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xml:space="preserve">Treatment efficacies of maintenance therapy </w:t>
            </w:r>
          </w:p>
        </w:tc>
        <w:tc>
          <w:tcPr>
            <w:tcW w:w="1799" w:type="dxa"/>
            <w:tcBorders>
              <w:top w:val="nil"/>
              <w:left w:val="nil"/>
              <w:bottom w:val="nil"/>
              <w:right w:val="nil"/>
            </w:tcBorders>
            <w:shd w:val="clear" w:color="000000" w:fill="FFFFFF"/>
            <w:noWrap/>
            <w:hideMark/>
          </w:tcPr>
          <w:p w14:paraId="67499A7B"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4" w:type="dxa"/>
            <w:tcBorders>
              <w:top w:val="nil"/>
              <w:left w:val="nil"/>
              <w:bottom w:val="nil"/>
              <w:right w:val="nil"/>
            </w:tcBorders>
            <w:shd w:val="clear" w:color="000000" w:fill="FFFFFF"/>
            <w:noWrap/>
            <w:hideMark/>
          </w:tcPr>
          <w:p w14:paraId="0DB85D25"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563" w:type="dxa"/>
            <w:tcBorders>
              <w:top w:val="nil"/>
              <w:left w:val="nil"/>
              <w:bottom w:val="nil"/>
              <w:right w:val="nil"/>
            </w:tcBorders>
            <w:shd w:val="clear" w:color="000000" w:fill="FFFFFF"/>
            <w:noWrap/>
            <w:hideMark/>
          </w:tcPr>
          <w:p w14:paraId="74D9FC9A"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r>
      <w:tr w:rsidR="00EF6F6C" w:rsidRPr="00C76E19" w14:paraId="0BC07A5B" w14:textId="77777777" w:rsidTr="00EF6F6C">
        <w:trPr>
          <w:trHeight w:val="320"/>
        </w:trPr>
        <w:tc>
          <w:tcPr>
            <w:tcW w:w="12009" w:type="dxa"/>
            <w:tcBorders>
              <w:top w:val="nil"/>
              <w:left w:val="nil"/>
              <w:bottom w:val="nil"/>
              <w:right w:val="nil"/>
            </w:tcBorders>
            <w:shd w:val="clear" w:color="000000" w:fill="FFFFFF"/>
            <w:noWrap/>
            <w:hideMark/>
          </w:tcPr>
          <w:p w14:paraId="00A9CDF9" w14:textId="77777777" w:rsidR="00EF6F6C" w:rsidRPr="00C76E19" w:rsidRDefault="00EF6F6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Quarterly risk of disease relapse associated with no treatment </w:t>
            </w:r>
          </w:p>
        </w:tc>
        <w:tc>
          <w:tcPr>
            <w:tcW w:w="1799" w:type="dxa"/>
            <w:tcBorders>
              <w:top w:val="nil"/>
              <w:left w:val="nil"/>
              <w:bottom w:val="nil"/>
              <w:right w:val="nil"/>
            </w:tcBorders>
            <w:shd w:val="clear" w:color="000000" w:fill="FFFFFF"/>
            <w:noWrap/>
            <w:hideMark/>
          </w:tcPr>
          <w:p w14:paraId="0D4F8C72"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0.207</w:t>
            </w:r>
          </w:p>
        </w:tc>
        <w:tc>
          <w:tcPr>
            <w:tcW w:w="1464" w:type="dxa"/>
            <w:tcBorders>
              <w:top w:val="nil"/>
              <w:left w:val="nil"/>
              <w:bottom w:val="nil"/>
              <w:right w:val="nil"/>
            </w:tcBorders>
            <w:shd w:val="clear" w:color="000000" w:fill="FFFFFF"/>
            <w:noWrap/>
            <w:hideMark/>
          </w:tcPr>
          <w:p w14:paraId="3FCBB3BA"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0.146</w:t>
            </w:r>
          </w:p>
        </w:tc>
        <w:tc>
          <w:tcPr>
            <w:tcW w:w="1563" w:type="dxa"/>
            <w:tcBorders>
              <w:top w:val="nil"/>
              <w:left w:val="nil"/>
              <w:bottom w:val="nil"/>
              <w:right w:val="nil"/>
            </w:tcBorders>
            <w:shd w:val="clear" w:color="000000" w:fill="FFFFFF"/>
            <w:noWrap/>
            <w:hideMark/>
          </w:tcPr>
          <w:p w14:paraId="04BAC266"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0.284</w:t>
            </w:r>
          </w:p>
        </w:tc>
      </w:tr>
      <w:tr w:rsidR="00EF6F6C" w:rsidRPr="00C76E19" w14:paraId="1A64E524" w14:textId="77777777" w:rsidTr="00EF6F6C">
        <w:trPr>
          <w:trHeight w:val="320"/>
        </w:trPr>
        <w:tc>
          <w:tcPr>
            <w:tcW w:w="12009" w:type="dxa"/>
            <w:tcBorders>
              <w:top w:val="nil"/>
              <w:left w:val="nil"/>
              <w:bottom w:val="nil"/>
              <w:right w:val="nil"/>
            </w:tcBorders>
            <w:shd w:val="clear" w:color="000000" w:fill="FFFFFF"/>
            <w:noWrap/>
            <w:hideMark/>
          </w:tcPr>
          <w:p w14:paraId="7222AA7B" w14:textId="77777777" w:rsidR="00EF6F6C" w:rsidRPr="00C76E19" w:rsidRDefault="00EF6F6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Relative risk of disease relapse associated with infliximab relative to no treatment </w:t>
            </w:r>
          </w:p>
        </w:tc>
        <w:tc>
          <w:tcPr>
            <w:tcW w:w="1799" w:type="dxa"/>
            <w:tcBorders>
              <w:top w:val="nil"/>
              <w:left w:val="nil"/>
              <w:bottom w:val="nil"/>
              <w:right w:val="nil"/>
            </w:tcBorders>
            <w:shd w:val="clear" w:color="000000" w:fill="FFFFFF"/>
            <w:noWrap/>
            <w:hideMark/>
          </w:tcPr>
          <w:p w14:paraId="36F31E14"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0.040</w:t>
            </w:r>
          </w:p>
        </w:tc>
        <w:tc>
          <w:tcPr>
            <w:tcW w:w="1464" w:type="dxa"/>
            <w:tcBorders>
              <w:top w:val="nil"/>
              <w:left w:val="nil"/>
              <w:bottom w:val="nil"/>
              <w:right w:val="nil"/>
            </w:tcBorders>
            <w:shd w:val="clear" w:color="000000" w:fill="FFFFFF"/>
            <w:noWrap/>
            <w:hideMark/>
          </w:tcPr>
          <w:p w14:paraId="27D5C699"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0.000</w:t>
            </w:r>
          </w:p>
        </w:tc>
        <w:tc>
          <w:tcPr>
            <w:tcW w:w="1563" w:type="dxa"/>
            <w:tcBorders>
              <w:top w:val="nil"/>
              <w:left w:val="nil"/>
              <w:bottom w:val="nil"/>
              <w:right w:val="nil"/>
            </w:tcBorders>
            <w:shd w:val="clear" w:color="000000" w:fill="FFFFFF"/>
            <w:noWrap/>
            <w:hideMark/>
          </w:tcPr>
          <w:p w14:paraId="4F30B38C"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0.140</w:t>
            </w:r>
          </w:p>
        </w:tc>
      </w:tr>
      <w:tr w:rsidR="00EF6F6C" w:rsidRPr="00C76E19" w14:paraId="4711BBEE" w14:textId="77777777" w:rsidTr="00EF6F6C">
        <w:trPr>
          <w:trHeight w:val="320"/>
        </w:trPr>
        <w:tc>
          <w:tcPr>
            <w:tcW w:w="12009" w:type="dxa"/>
            <w:tcBorders>
              <w:top w:val="nil"/>
              <w:left w:val="nil"/>
              <w:right w:val="nil"/>
            </w:tcBorders>
            <w:shd w:val="clear" w:color="000000" w:fill="FFFFFF"/>
            <w:noWrap/>
            <w:hideMark/>
          </w:tcPr>
          <w:p w14:paraId="2BB76368" w14:textId="77777777" w:rsidR="00EF6F6C" w:rsidRPr="00C76E19" w:rsidRDefault="00EF6F6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Relative risk of disease relapse associated with immunosuppressant relative to no treatment </w:t>
            </w:r>
          </w:p>
        </w:tc>
        <w:tc>
          <w:tcPr>
            <w:tcW w:w="1799" w:type="dxa"/>
            <w:tcBorders>
              <w:top w:val="nil"/>
              <w:left w:val="nil"/>
              <w:right w:val="nil"/>
            </w:tcBorders>
            <w:shd w:val="clear" w:color="000000" w:fill="FFFFFF"/>
            <w:noWrap/>
            <w:hideMark/>
          </w:tcPr>
          <w:p w14:paraId="356D51A4"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0.360</w:t>
            </w:r>
          </w:p>
        </w:tc>
        <w:tc>
          <w:tcPr>
            <w:tcW w:w="1464" w:type="dxa"/>
            <w:tcBorders>
              <w:top w:val="nil"/>
              <w:left w:val="nil"/>
              <w:right w:val="nil"/>
            </w:tcBorders>
            <w:shd w:val="clear" w:color="000000" w:fill="FFFFFF"/>
            <w:noWrap/>
            <w:hideMark/>
          </w:tcPr>
          <w:p w14:paraId="3DE1D7A5"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0.170</w:t>
            </w:r>
          </w:p>
        </w:tc>
        <w:tc>
          <w:tcPr>
            <w:tcW w:w="1563" w:type="dxa"/>
            <w:tcBorders>
              <w:top w:val="nil"/>
              <w:left w:val="nil"/>
              <w:right w:val="nil"/>
            </w:tcBorders>
            <w:shd w:val="clear" w:color="000000" w:fill="FFFFFF"/>
            <w:noWrap/>
            <w:hideMark/>
          </w:tcPr>
          <w:p w14:paraId="1C1AB155"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0.630</w:t>
            </w:r>
          </w:p>
        </w:tc>
      </w:tr>
      <w:tr w:rsidR="00EF6F6C" w:rsidRPr="00C76E19" w14:paraId="1F1A1F08" w14:textId="77777777" w:rsidTr="00EF6F6C">
        <w:trPr>
          <w:trHeight w:val="320"/>
        </w:trPr>
        <w:tc>
          <w:tcPr>
            <w:tcW w:w="12009" w:type="dxa"/>
            <w:tcBorders>
              <w:top w:val="nil"/>
              <w:left w:val="nil"/>
              <w:bottom w:val="nil"/>
              <w:right w:val="nil"/>
            </w:tcBorders>
            <w:shd w:val="clear" w:color="000000" w:fill="FFFFFF"/>
            <w:noWrap/>
            <w:hideMark/>
          </w:tcPr>
          <w:p w14:paraId="0E638031"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xml:space="preserve">Mortality </w:t>
            </w:r>
          </w:p>
        </w:tc>
        <w:tc>
          <w:tcPr>
            <w:tcW w:w="1799" w:type="dxa"/>
            <w:tcBorders>
              <w:top w:val="nil"/>
              <w:left w:val="nil"/>
              <w:bottom w:val="nil"/>
              <w:right w:val="nil"/>
            </w:tcBorders>
            <w:shd w:val="clear" w:color="000000" w:fill="FFFFFF"/>
            <w:noWrap/>
            <w:hideMark/>
          </w:tcPr>
          <w:p w14:paraId="1A398C67"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4" w:type="dxa"/>
            <w:tcBorders>
              <w:top w:val="nil"/>
              <w:left w:val="nil"/>
              <w:bottom w:val="nil"/>
              <w:right w:val="nil"/>
            </w:tcBorders>
            <w:shd w:val="clear" w:color="000000" w:fill="FFFFFF"/>
            <w:noWrap/>
            <w:hideMark/>
          </w:tcPr>
          <w:p w14:paraId="2CCC1287"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563" w:type="dxa"/>
            <w:tcBorders>
              <w:top w:val="nil"/>
              <w:left w:val="nil"/>
              <w:bottom w:val="nil"/>
              <w:right w:val="nil"/>
            </w:tcBorders>
            <w:shd w:val="clear" w:color="000000" w:fill="FFFFFF"/>
            <w:noWrap/>
            <w:hideMark/>
          </w:tcPr>
          <w:p w14:paraId="2BEF86FB"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r>
      <w:tr w:rsidR="00EF6F6C" w:rsidRPr="00C76E19" w14:paraId="6BDFBB0B" w14:textId="77777777" w:rsidTr="00EF6F6C">
        <w:trPr>
          <w:trHeight w:val="320"/>
        </w:trPr>
        <w:tc>
          <w:tcPr>
            <w:tcW w:w="12009" w:type="dxa"/>
            <w:tcBorders>
              <w:top w:val="nil"/>
              <w:left w:val="nil"/>
              <w:bottom w:val="nil"/>
              <w:right w:val="nil"/>
            </w:tcBorders>
            <w:shd w:val="clear" w:color="000000" w:fill="FFFFFF"/>
            <w:noWrap/>
            <w:hideMark/>
          </w:tcPr>
          <w:p w14:paraId="48253333" w14:textId="77777777" w:rsidR="00EF6F6C" w:rsidRPr="00C76E19" w:rsidRDefault="00EF6F6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Perioperative mortality rate associated with surgery </w:t>
            </w:r>
          </w:p>
        </w:tc>
        <w:tc>
          <w:tcPr>
            <w:tcW w:w="1799" w:type="dxa"/>
            <w:tcBorders>
              <w:top w:val="nil"/>
              <w:left w:val="nil"/>
              <w:bottom w:val="nil"/>
              <w:right w:val="nil"/>
            </w:tcBorders>
            <w:shd w:val="clear" w:color="000000" w:fill="FFFFFF"/>
            <w:noWrap/>
            <w:hideMark/>
          </w:tcPr>
          <w:p w14:paraId="5629F555"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0.014</w:t>
            </w:r>
          </w:p>
        </w:tc>
        <w:tc>
          <w:tcPr>
            <w:tcW w:w="1464" w:type="dxa"/>
            <w:tcBorders>
              <w:top w:val="nil"/>
              <w:left w:val="nil"/>
              <w:bottom w:val="nil"/>
              <w:right w:val="nil"/>
            </w:tcBorders>
            <w:shd w:val="clear" w:color="000000" w:fill="FFFFFF"/>
            <w:noWrap/>
            <w:hideMark/>
          </w:tcPr>
          <w:p w14:paraId="22B59480"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0.007</w:t>
            </w:r>
          </w:p>
        </w:tc>
        <w:tc>
          <w:tcPr>
            <w:tcW w:w="1563" w:type="dxa"/>
            <w:tcBorders>
              <w:top w:val="nil"/>
              <w:left w:val="nil"/>
              <w:bottom w:val="nil"/>
              <w:right w:val="nil"/>
            </w:tcBorders>
            <w:shd w:val="clear" w:color="000000" w:fill="FFFFFF"/>
            <w:noWrap/>
            <w:hideMark/>
          </w:tcPr>
          <w:p w14:paraId="2B0EA514"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0.030</w:t>
            </w:r>
          </w:p>
        </w:tc>
      </w:tr>
      <w:tr w:rsidR="00EF6F6C" w:rsidRPr="00C76E19" w14:paraId="7A0C5817" w14:textId="77777777" w:rsidTr="00EF6F6C">
        <w:trPr>
          <w:trHeight w:val="320"/>
        </w:trPr>
        <w:tc>
          <w:tcPr>
            <w:tcW w:w="12009" w:type="dxa"/>
            <w:tcBorders>
              <w:top w:val="nil"/>
              <w:left w:val="nil"/>
              <w:right w:val="nil"/>
            </w:tcBorders>
            <w:shd w:val="clear" w:color="000000" w:fill="FFFFFF"/>
            <w:noWrap/>
            <w:hideMark/>
          </w:tcPr>
          <w:p w14:paraId="0117797B" w14:textId="77777777" w:rsidR="00EF6F6C" w:rsidRPr="00C76E19" w:rsidRDefault="00EF6F6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Hazard ratio of mortality associated with active disease relative to age and gender-matched general population </w:t>
            </w:r>
          </w:p>
        </w:tc>
        <w:tc>
          <w:tcPr>
            <w:tcW w:w="1799" w:type="dxa"/>
            <w:tcBorders>
              <w:top w:val="nil"/>
              <w:left w:val="nil"/>
              <w:right w:val="nil"/>
            </w:tcBorders>
            <w:shd w:val="clear" w:color="000000" w:fill="FFFFFF"/>
            <w:noWrap/>
            <w:hideMark/>
          </w:tcPr>
          <w:p w14:paraId="7C9C071F"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3.047</w:t>
            </w:r>
          </w:p>
        </w:tc>
        <w:tc>
          <w:tcPr>
            <w:tcW w:w="1464" w:type="dxa"/>
            <w:tcBorders>
              <w:top w:val="nil"/>
              <w:left w:val="nil"/>
              <w:right w:val="nil"/>
            </w:tcBorders>
            <w:shd w:val="clear" w:color="000000" w:fill="FFFFFF"/>
            <w:noWrap/>
            <w:hideMark/>
          </w:tcPr>
          <w:p w14:paraId="08CA2D3F"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2.195</w:t>
            </w:r>
          </w:p>
        </w:tc>
        <w:tc>
          <w:tcPr>
            <w:tcW w:w="1563" w:type="dxa"/>
            <w:tcBorders>
              <w:top w:val="nil"/>
              <w:left w:val="nil"/>
              <w:right w:val="nil"/>
            </w:tcBorders>
            <w:shd w:val="clear" w:color="000000" w:fill="FFFFFF"/>
            <w:noWrap/>
            <w:hideMark/>
          </w:tcPr>
          <w:p w14:paraId="4F368800"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4.230</w:t>
            </w:r>
          </w:p>
        </w:tc>
      </w:tr>
      <w:tr w:rsidR="00EF6F6C" w:rsidRPr="00C76E19" w14:paraId="34267C48" w14:textId="77777777" w:rsidTr="00EF6F6C">
        <w:trPr>
          <w:trHeight w:val="320"/>
        </w:trPr>
        <w:tc>
          <w:tcPr>
            <w:tcW w:w="12009" w:type="dxa"/>
            <w:tcBorders>
              <w:top w:val="nil"/>
              <w:left w:val="nil"/>
              <w:bottom w:val="nil"/>
              <w:right w:val="nil"/>
            </w:tcBorders>
            <w:shd w:val="clear" w:color="000000" w:fill="FFFFFF"/>
            <w:noWrap/>
            <w:hideMark/>
          </w:tcPr>
          <w:p w14:paraId="469C605E"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xml:space="preserve">Utility ratio between CD patients and general population </w:t>
            </w:r>
          </w:p>
        </w:tc>
        <w:tc>
          <w:tcPr>
            <w:tcW w:w="1799" w:type="dxa"/>
            <w:tcBorders>
              <w:top w:val="nil"/>
              <w:left w:val="nil"/>
              <w:bottom w:val="nil"/>
              <w:right w:val="nil"/>
            </w:tcBorders>
            <w:shd w:val="clear" w:color="000000" w:fill="FFFFFF"/>
            <w:noWrap/>
            <w:hideMark/>
          </w:tcPr>
          <w:p w14:paraId="7829D348"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4" w:type="dxa"/>
            <w:tcBorders>
              <w:top w:val="nil"/>
              <w:left w:val="nil"/>
              <w:bottom w:val="nil"/>
              <w:right w:val="nil"/>
            </w:tcBorders>
            <w:shd w:val="clear" w:color="000000" w:fill="FFFFFF"/>
            <w:noWrap/>
            <w:hideMark/>
          </w:tcPr>
          <w:p w14:paraId="779B68E3"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563" w:type="dxa"/>
            <w:tcBorders>
              <w:top w:val="nil"/>
              <w:left w:val="nil"/>
              <w:bottom w:val="nil"/>
              <w:right w:val="nil"/>
            </w:tcBorders>
            <w:shd w:val="clear" w:color="000000" w:fill="FFFFFF"/>
            <w:noWrap/>
            <w:hideMark/>
          </w:tcPr>
          <w:p w14:paraId="2013D6DC"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r>
      <w:tr w:rsidR="00EF6F6C" w:rsidRPr="00C76E19" w14:paraId="28504CDC" w14:textId="77777777" w:rsidTr="00EF6F6C">
        <w:trPr>
          <w:trHeight w:val="320"/>
        </w:trPr>
        <w:tc>
          <w:tcPr>
            <w:tcW w:w="12009" w:type="dxa"/>
            <w:tcBorders>
              <w:top w:val="nil"/>
              <w:left w:val="nil"/>
              <w:bottom w:val="nil"/>
              <w:right w:val="nil"/>
            </w:tcBorders>
            <w:shd w:val="clear" w:color="000000" w:fill="FFFFFF"/>
            <w:noWrap/>
            <w:hideMark/>
          </w:tcPr>
          <w:p w14:paraId="437A9F23" w14:textId="77777777" w:rsidR="00EF6F6C" w:rsidRPr="00C76E19" w:rsidRDefault="00EF6F6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Disease remission </w:t>
            </w:r>
          </w:p>
        </w:tc>
        <w:tc>
          <w:tcPr>
            <w:tcW w:w="1799" w:type="dxa"/>
            <w:tcBorders>
              <w:top w:val="nil"/>
              <w:left w:val="nil"/>
              <w:bottom w:val="nil"/>
              <w:right w:val="nil"/>
            </w:tcBorders>
            <w:shd w:val="clear" w:color="000000" w:fill="FFFFFF"/>
            <w:noWrap/>
            <w:hideMark/>
          </w:tcPr>
          <w:p w14:paraId="5237D868"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0.829</w:t>
            </w:r>
          </w:p>
        </w:tc>
        <w:tc>
          <w:tcPr>
            <w:tcW w:w="1464" w:type="dxa"/>
            <w:tcBorders>
              <w:top w:val="nil"/>
              <w:left w:val="nil"/>
              <w:bottom w:val="nil"/>
              <w:right w:val="nil"/>
            </w:tcBorders>
            <w:shd w:val="clear" w:color="000000" w:fill="FFFFFF"/>
            <w:noWrap/>
            <w:hideMark/>
          </w:tcPr>
          <w:p w14:paraId="4375EDB1"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0.622</w:t>
            </w:r>
          </w:p>
        </w:tc>
        <w:tc>
          <w:tcPr>
            <w:tcW w:w="1563" w:type="dxa"/>
            <w:tcBorders>
              <w:top w:val="nil"/>
              <w:left w:val="nil"/>
              <w:bottom w:val="nil"/>
              <w:right w:val="nil"/>
            </w:tcBorders>
            <w:shd w:val="clear" w:color="000000" w:fill="FFFFFF"/>
            <w:noWrap/>
            <w:hideMark/>
          </w:tcPr>
          <w:p w14:paraId="1E2C65F6"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0.994</w:t>
            </w:r>
          </w:p>
        </w:tc>
      </w:tr>
      <w:tr w:rsidR="00EF6F6C" w:rsidRPr="00C76E19" w14:paraId="4B8BF538" w14:textId="77777777" w:rsidTr="00EF6F6C">
        <w:trPr>
          <w:trHeight w:val="320"/>
        </w:trPr>
        <w:tc>
          <w:tcPr>
            <w:tcW w:w="12009" w:type="dxa"/>
            <w:tcBorders>
              <w:top w:val="nil"/>
              <w:left w:val="nil"/>
              <w:right w:val="nil"/>
            </w:tcBorders>
            <w:shd w:val="clear" w:color="000000" w:fill="FFFFFF"/>
            <w:noWrap/>
            <w:hideMark/>
          </w:tcPr>
          <w:p w14:paraId="2BA15A22" w14:textId="77777777" w:rsidR="00EF6F6C" w:rsidRPr="00C76E19" w:rsidRDefault="00EF6F6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Active disease </w:t>
            </w:r>
          </w:p>
        </w:tc>
        <w:tc>
          <w:tcPr>
            <w:tcW w:w="1799" w:type="dxa"/>
            <w:tcBorders>
              <w:top w:val="nil"/>
              <w:left w:val="nil"/>
              <w:right w:val="nil"/>
            </w:tcBorders>
            <w:shd w:val="clear" w:color="000000" w:fill="FFFFFF"/>
            <w:noWrap/>
            <w:hideMark/>
          </w:tcPr>
          <w:p w14:paraId="680B8565"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0.743</w:t>
            </w:r>
          </w:p>
        </w:tc>
        <w:tc>
          <w:tcPr>
            <w:tcW w:w="1464" w:type="dxa"/>
            <w:tcBorders>
              <w:top w:val="nil"/>
              <w:left w:val="nil"/>
              <w:right w:val="nil"/>
            </w:tcBorders>
            <w:shd w:val="clear" w:color="000000" w:fill="FFFFFF"/>
            <w:noWrap/>
            <w:hideMark/>
          </w:tcPr>
          <w:p w14:paraId="1D0952A1"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0.565</w:t>
            </w:r>
          </w:p>
        </w:tc>
        <w:tc>
          <w:tcPr>
            <w:tcW w:w="1563" w:type="dxa"/>
            <w:tcBorders>
              <w:top w:val="nil"/>
              <w:left w:val="nil"/>
              <w:right w:val="nil"/>
            </w:tcBorders>
            <w:shd w:val="clear" w:color="000000" w:fill="FFFFFF"/>
            <w:noWrap/>
            <w:hideMark/>
          </w:tcPr>
          <w:p w14:paraId="09B3A34A"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0.926</w:t>
            </w:r>
          </w:p>
        </w:tc>
      </w:tr>
      <w:tr w:rsidR="00EF6F6C" w:rsidRPr="00C76E19" w14:paraId="16CA7056" w14:textId="77777777" w:rsidTr="00EF6F6C">
        <w:trPr>
          <w:trHeight w:val="320"/>
        </w:trPr>
        <w:tc>
          <w:tcPr>
            <w:tcW w:w="12009" w:type="dxa"/>
            <w:tcBorders>
              <w:top w:val="nil"/>
              <w:left w:val="nil"/>
              <w:bottom w:val="nil"/>
              <w:right w:val="nil"/>
            </w:tcBorders>
            <w:shd w:val="clear" w:color="000000" w:fill="FFFFFF"/>
            <w:noWrap/>
            <w:hideMark/>
          </w:tcPr>
          <w:p w14:paraId="534B4D0B"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xml:space="preserve"> Direct medical costs </w:t>
            </w:r>
          </w:p>
        </w:tc>
        <w:tc>
          <w:tcPr>
            <w:tcW w:w="1799" w:type="dxa"/>
            <w:tcBorders>
              <w:top w:val="nil"/>
              <w:left w:val="nil"/>
              <w:bottom w:val="nil"/>
              <w:right w:val="nil"/>
            </w:tcBorders>
            <w:shd w:val="clear" w:color="000000" w:fill="FFFFFF"/>
            <w:noWrap/>
            <w:hideMark/>
          </w:tcPr>
          <w:p w14:paraId="0AD787D3"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464" w:type="dxa"/>
            <w:tcBorders>
              <w:top w:val="nil"/>
              <w:left w:val="nil"/>
              <w:bottom w:val="nil"/>
              <w:right w:val="nil"/>
            </w:tcBorders>
            <w:shd w:val="clear" w:color="000000" w:fill="FFFFFF"/>
            <w:noWrap/>
            <w:hideMark/>
          </w:tcPr>
          <w:p w14:paraId="0982618D"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563" w:type="dxa"/>
            <w:tcBorders>
              <w:top w:val="nil"/>
              <w:left w:val="nil"/>
              <w:bottom w:val="nil"/>
              <w:right w:val="nil"/>
            </w:tcBorders>
            <w:shd w:val="clear" w:color="000000" w:fill="FFFFFF"/>
            <w:noWrap/>
            <w:hideMark/>
          </w:tcPr>
          <w:p w14:paraId="69E52507"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r>
      <w:tr w:rsidR="00EF6F6C" w:rsidRPr="00C76E19" w14:paraId="5F08AE5B" w14:textId="77777777" w:rsidTr="00EF6F6C">
        <w:trPr>
          <w:trHeight w:val="320"/>
        </w:trPr>
        <w:tc>
          <w:tcPr>
            <w:tcW w:w="12009" w:type="dxa"/>
            <w:tcBorders>
              <w:top w:val="nil"/>
              <w:left w:val="nil"/>
              <w:bottom w:val="nil"/>
              <w:right w:val="nil"/>
            </w:tcBorders>
            <w:shd w:val="clear" w:color="000000" w:fill="FFFFFF"/>
            <w:noWrap/>
            <w:hideMark/>
          </w:tcPr>
          <w:p w14:paraId="6F445135" w14:textId="77777777" w:rsidR="00EF6F6C" w:rsidRPr="00C76E19" w:rsidRDefault="00EF6F6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Annual medical costs related to disease reemission management </w:t>
            </w:r>
          </w:p>
        </w:tc>
        <w:tc>
          <w:tcPr>
            <w:tcW w:w="1799" w:type="dxa"/>
            <w:tcBorders>
              <w:top w:val="nil"/>
              <w:left w:val="nil"/>
              <w:bottom w:val="nil"/>
              <w:right w:val="nil"/>
            </w:tcBorders>
            <w:shd w:val="clear" w:color="000000" w:fill="FFFFFF"/>
            <w:noWrap/>
            <w:hideMark/>
          </w:tcPr>
          <w:p w14:paraId="2AEC4069" w14:textId="23C880AD"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¥9512</w:t>
            </w:r>
          </w:p>
        </w:tc>
        <w:tc>
          <w:tcPr>
            <w:tcW w:w="1464" w:type="dxa"/>
            <w:tcBorders>
              <w:top w:val="nil"/>
              <w:left w:val="nil"/>
              <w:bottom w:val="nil"/>
              <w:right w:val="nil"/>
            </w:tcBorders>
            <w:shd w:val="clear" w:color="000000" w:fill="FFFFFF"/>
            <w:noWrap/>
            <w:hideMark/>
          </w:tcPr>
          <w:p w14:paraId="446FD42F"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563" w:type="dxa"/>
            <w:tcBorders>
              <w:top w:val="nil"/>
              <w:left w:val="nil"/>
              <w:bottom w:val="nil"/>
              <w:right w:val="nil"/>
            </w:tcBorders>
            <w:shd w:val="clear" w:color="000000" w:fill="FFFFFF"/>
            <w:noWrap/>
            <w:hideMark/>
          </w:tcPr>
          <w:p w14:paraId="112BF953"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r>
      <w:tr w:rsidR="00EF6F6C" w:rsidRPr="00C76E19" w14:paraId="38F3B2F7" w14:textId="77777777" w:rsidTr="00EF6F6C">
        <w:trPr>
          <w:trHeight w:val="320"/>
        </w:trPr>
        <w:tc>
          <w:tcPr>
            <w:tcW w:w="12009" w:type="dxa"/>
            <w:tcBorders>
              <w:top w:val="nil"/>
              <w:left w:val="nil"/>
              <w:bottom w:val="nil"/>
              <w:right w:val="nil"/>
            </w:tcBorders>
            <w:shd w:val="clear" w:color="000000" w:fill="FFFFFF"/>
            <w:noWrap/>
            <w:hideMark/>
          </w:tcPr>
          <w:p w14:paraId="6B15C4A7" w14:textId="77777777" w:rsidR="00EF6F6C" w:rsidRPr="00C76E19" w:rsidRDefault="00EF6F6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Annual medical costs related to active disease management </w:t>
            </w:r>
          </w:p>
        </w:tc>
        <w:tc>
          <w:tcPr>
            <w:tcW w:w="1799" w:type="dxa"/>
            <w:tcBorders>
              <w:top w:val="nil"/>
              <w:left w:val="nil"/>
              <w:bottom w:val="nil"/>
              <w:right w:val="nil"/>
            </w:tcBorders>
            <w:shd w:val="clear" w:color="000000" w:fill="FFFFFF"/>
            <w:noWrap/>
            <w:hideMark/>
          </w:tcPr>
          <w:p w14:paraId="3D263494" w14:textId="5DFD4410"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¥14436</w:t>
            </w:r>
          </w:p>
        </w:tc>
        <w:tc>
          <w:tcPr>
            <w:tcW w:w="1464" w:type="dxa"/>
            <w:tcBorders>
              <w:top w:val="nil"/>
              <w:left w:val="nil"/>
              <w:bottom w:val="nil"/>
              <w:right w:val="nil"/>
            </w:tcBorders>
            <w:shd w:val="clear" w:color="000000" w:fill="FFFFFF"/>
            <w:noWrap/>
            <w:hideMark/>
          </w:tcPr>
          <w:p w14:paraId="7DBBD99E"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563" w:type="dxa"/>
            <w:tcBorders>
              <w:top w:val="nil"/>
              <w:left w:val="nil"/>
              <w:bottom w:val="nil"/>
              <w:right w:val="nil"/>
            </w:tcBorders>
            <w:shd w:val="clear" w:color="000000" w:fill="FFFFFF"/>
            <w:noWrap/>
            <w:hideMark/>
          </w:tcPr>
          <w:p w14:paraId="2A988A05"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r>
      <w:tr w:rsidR="00EF6F6C" w:rsidRPr="00C76E19" w14:paraId="68F02847" w14:textId="77777777" w:rsidTr="00EF6F6C">
        <w:trPr>
          <w:trHeight w:val="320"/>
        </w:trPr>
        <w:tc>
          <w:tcPr>
            <w:tcW w:w="12009" w:type="dxa"/>
            <w:tcBorders>
              <w:top w:val="nil"/>
              <w:left w:val="nil"/>
              <w:bottom w:val="nil"/>
              <w:right w:val="nil"/>
            </w:tcBorders>
            <w:shd w:val="clear" w:color="000000" w:fill="FFFFFF"/>
            <w:noWrap/>
            <w:hideMark/>
          </w:tcPr>
          <w:p w14:paraId="78257CB4" w14:textId="77777777" w:rsidR="00EF6F6C" w:rsidRPr="00C76E19" w:rsidRDefault="00EF6F6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Surgery costs per episode </w:t>
            </w:r>
          </w:p>
        </w:tc>
        <w:tc>
          <w:tcPr>
            <w:tcW w:w="1799" w:type="dxa"/>
            <w:tcBorders>
              <w:top w:val="nil"/>
              <w:left w:val="nil"/>
              <w:bottom w:val="nil"/>
              <w:right w:val="nil"/>
            </w:tcBorders>
            <w:shd w:val="clear" w:color="000000" w:fill="FFFFFF"/>
            <w:noWrap/>
            <w:hideMark/>
          </w:tcPr>
          <w:p w14:paraId="512DF076" w14:textId="58290422"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¥16781</w:t>
            </w:r>
          </w:p>
        </w:tc>
        <w:tc>
          <w:tcPr>
            <w:tcW w:w="1464" w:type="dxa"/>
            <w:tcBorders>
              <w:top w:val="nil"/>
              <w:left w:val="nil"/>
              <w:bottom w:val="nil"/>
              <w:right w:val="nil"/>
            </w:tcBorders>
            <w:shd w:val="clear" w:color="000000" w:fill="FFFFFF"/>
            <w:noWrap/>
            <w:hideMark/>
          </w:tcPr>
          <w:p w14:paraId="6A6ECE6F"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563" w:type="dxa"/>
            <w:tcBorders>
              <w:top w:val="nil"/>
              <w:left w:val="nil"/>
              <w:bottom w:val="nil"/>
              <w:right w:val="nil"/>
            </w:tcBorders>
            <w:shd w:val="clear" w:color="000000" w:fill="FFFFFF"/>
            <w:noWrap/>
            <w:hideMark/>
          </w:tcPr>
          <w:p w14:paraId="37F263EC"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r>
      <w:tr w:rsidR="00EF6F6C" w:rsidRPr="00C76E19" w14:paraId="1F4712F5" w14:textId="77777777" w:rsidTr="00EF6F6C">
        <w:trPr>
          <w:trHeight w:val="320"/>
        </w:trPr>
        <w:tc>
          <w:tcPr>
            <w:tcW w:w="12009" w:type="dxa"/>
            <w:tcBorders>
              <w:top w:val="nil"/>
              <w:left w:val="nil"/>
              <w:bottom w:val="nil"/>
              <w:right w:val="nil"/>
            </w:tcBorders>
            <w:shd w:val="clear" w:color="000000" w:fill="FFFFFF"/>
            <w:noWrap/>
            <w:hideMark/>
          </w:tcPr>
          <w:p w14:paraId="604619F0" w14:textId="77777777" w:rsidR="00EF6F6C" w:rsidRPr="00C76E19" w:rsidRDefault="00EF6F6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Annual drug acquisition costs of infliximab used as induction therapy </w:t>
            </w:r>
          </w:p>
        </w:tc>
        <w:tc>
          <w:tcPr>
            <w:tcW w:w="1799" w:type="dxa"/>
            <w:tcBorders>
              <w:top w:val="nil"/>
              <w:left w:val="nil"/>
              <w:bottom w:val="nil"/>
              <w:right w:val="nil"/>
            </w:tcBorders>
            <w:shd w:val="clear" w:color="000000" w:fill="FFFFFF"/>
            <w:noWrap/>
            <w:hideMark/>
          </w:tcPr>
          <w:p w14:paraId="7C5DE679" w14:textId="389082E4"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¥49000</w:t>
            </w:r>
          </w:p>
        </w:tc>
        <w:tc>
          <w:tcPr>
            <w:tcW w:w="1464" w:type="dxa"/>
            <w:tcBorders>
              <w:top w:val="nil"/>
              <w:left w:val="nil"/>
              <w:bottom w:val="nil"/>
              <w:right w:val="nil"/>
            </w:tcBorders>
            <w:shd w:val="clear" w:color="000000" w:fill="FFFFFF"/>
            <w:noWrap/>
            <w:hideMark/>
          </w:tcPr>
          <w:p w14:paraId="395FAB71"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563" w:type="dxa"/>
            <w:tcBorders>
              <w:top w:val="nil"/>
              <w:left w:val="nil"/>
              <w:bottom w:val="nil"/>
              <w:right w:val="nil"/>
            </w:tcBorders>
            <w:shd w:val="clear" w:color="000000" w:fill="FFFFFF"/>
            <w:noWrap/>
            <w:hideMark/>
          </w:tcPr>
          <w:p w14:paraId="2640CEB7"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r>
      <w:tr w:rsidR="00EF6F6C" w:rsidRPr="00C76E19" w14:paraId="42CAB99D" w14:textId="77777777" w:rsidTr="00EF6F6C">
        <w:trPr>
          <w:trHeight w:val="320"/>
        </w:trPr>
        <w:tc>
          <w:tcPr>
            <w:tcW w:w="12009" w:type="dxa"/>
            <w:tcBorders>
              <w:top w:val="nil"/>
              <w:left w:val="nil"/>
              <w:bottom w:val="nil"/>
              <w:right w:val="nil"/>
            </w:tcBorders>
            <w:shd w:val="clear" w:color="000000" w:fill="FFFFFF"/>
            <w:noWrap/>
            <w:hideMark/>
          </w:tcPr>
          <w:p w14:paraId="04AEF7A1" w14:textId="77777777" w:rsidR="00EF6F6C" w:rsidRPr="00C76E19" w:rsidRDefault="00EF6F6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 xml:space="preserve">Drug acquisition costs of infliximab used as MT in the first year </w:t>
            </w:r>
          </w:p>
        </w:tc>
        <w:tc>
          <w:tcPr>
            <w:tcW w:w="1799" w:type="dxa"/>
            <w:tcBorders>
              <w:top w:val="nil"/>
              <w:left w:val="nil"/>
              <w:bottom w:val="nil"/>
              <w:right w:val="nil"/>
            </w:tcBorders>
            <w:shd w:val="clear" w:color="000000" w:fill="FFFFFF"/>
            <w:noWrap/>
            <w:hideMark/>
          </w:tcPr>
          <w:p w14:paraId="475E9EEC" w14:textId="1AFA25F2"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¥39200</w:t>
            </w:r>
          </w:p>
        </w:tc>
        <w:tc>
          <w:tcPr>
            <w:tcW w:w="1464" w:type="dxa"/>
            <w:tcBorders>
              <w:top w:val="nil"/>
              <w:left w:val="nil"/>
              <w:bottom w:val="nil"/>
              <w:right w:val="nil"/>
            </w:tcBorders>
            <w:shd w:val="clear" w:color="000000" w:fill="FFFFFF"/>
            <w:noWrap/>
            <w:hideMark/>
          </w:tcPr>
          <w:p w14:paraId="1403AFDC"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563" w:type="dxa"/>
            <w:tcBorders>
              <w:top w:val="nil"/>
              <w:left w:val="nil"/>
              <w:bottom w:val="nil"/>
              <w:right w:val="nil"/>
            </w:tcBorders>
            <w:shd w:val="clear" w:color="000000" w:fill="FFFFFF"/>
            <w:noWrap/>
            <w:hideMark/>
          </w:tcPr>
          <w:p w14:paraId="6C7E4284"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r>
      <w:tr w:rsidR="00EF6F6C" w:rsidRPr="00C76E19" w14:paraId="01EE2B8A" w14:textId="77777777" w:rsidTr="00EF6F6C">
        <w:trPr>
          <w:trHeight w:val="320"/>
        </w:trPr>
        <w:tc>
          <w:tcPr>
            <w:tcW w:w="12009" w:type="dxa"/>
            <w:tcBorders>
              <w:top w:val="nil"/>
              <w:left w:val="nil"/>
              <w:bottom w:val="single" w:sz="4" w:space="0" w:color="auto"/>
              <w:right w:val="nil"/>
            </w:tcBorders>
            <w:shd w:val="clear" w:color="000000" w:fill="FFFFFF"/>
            <w:noWrap/>
            <w:hideMark/>
          </w:tcPr>
          <w:p w14:paraId="763F9905" w14:textId="77777777" w:rsidR="00EF6F6C" w:rsidRPr="00C76E19" w:rsidRDefault="00EF6F6C" w:rsidP="00AE2A93">
            <w:pPr>
              <w:snapToGrid w:val="0"/>
              <w:spacing w:line="360" w:lineRule="auto"/>
              <w:ind w:firstLineChars="100" w:firstLine="240"/>
              <w:jc w:val="both"/>
              <w:rPr>
                <w:rFonts w:ascii="Book Antiqua" w:hAnsi="Book Antiqua"/>
                <w:color w:val="000000"/>
              </w:rPr>
            </w:pPr>
            <w:r w:rsidRPr="00C76E19">
              <w:rPr>
                <w:rFonts w:ascii="Book Antiqua" w:hAnsi="Book Antiqua"/>
                <w:color w:val="000000"/>
              </w:rPr>
              <w:t>Drug acquisition costs of infliximab used as MT beyond the first year</w:t>
            </w:r>
          </w:p>
        </w:tc>
        <w:tc>
          <w:tcPr>
            <w:tcW w:w="1799" w:type="dxa"/>
            <w:tcBorders>
              <w:top w:val="nil"/>
              <w:left w:val="nil"/>
              <w:bottom w:val="single" w:sz="4" w:space="0" w:color="auto"/>
              <w:right w:val="nil"/>
            </w:tcBorders>
            <w:shd w:val="clear" w:color="000000" w:fill="FFFFFF"/>
            <w:noWrap/>
            <w:hideMark/>
          </w:tcPr>
          <w:p w14:paraId="00DE3E9F" w14:textId="098E6279"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¥29400</w:t>
            </w:r>
          </w:p>
        </w:tc>
        <w:tc>
          <w:tcPr>
            <w:tcW w:w="1464" w:type="dxa"/>
            <w:tcBorders>
              <w:top w:val="nil"/>
              <w:left w:val="nil"/>
              <w:bottom w:val="single" w:sz="4" w:space="0" w:color="auto"/>
              <w:right w:val="nil"/>
            </w:tcBorders>
            <w:shd w:val="clear" w:color="000000" w:fill="FFFFFF"/>
            <w:noWrap/>
            <w:hideMark/>
          </w:tcPr>
          <w:p w14:paraId="6914F928"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c>
          <w:tcPr>
            <w:tcW w:w="1563" w:type="dxa"/>
            <w:tcBorders>
              <w:top w:val="nil"/>
              <w:left w:val="nil"/>
              <w:bottom w:val="single" w:sz="4" w:space="0" w:color="auto"/>
              <w:right w:val="nil"/>
            </w:tcBorders>
            <w:shd w:val="clear" w:color="000000" w:fill="FFFFFF"/>
            <w:noWrap/>
            <w:hideMark/>
          </w:tcPr>
          <w:p w14:paraId="64A7517E" w14:textId="77777777" w:rsidR="00EF6F6C" w:rsidRPr="00C76E19" w:rsidRDefault="00EF6F6C" w:rsidP="00AE2A93">
            <w:pPr>
              <w:snapToGrid w:val="0"/>
              <w:spacing w:line="360" w:lineRule="auto"/>
              <w:jc w:val="both"/>
              <w:rPr>
                <w:rFonts w:ascii="Book Antiqua" w:hAnsi="Book Antiqua"/>
                <w:color w:val="000000"/>
              </w:rPr>
            </w:pPr>
            <w:r w:rsidRPr="00C76E19">
              <w:rPr>
                <w:rFonts w:ascii="Book Antiqua" w:hAnsi="Book Antiqua"/>
                <w:color w:val="000000"/>
              </w:rPr>
              <w:t> </w:t>
            </w:r>
          </w:p>
        </w:tc>
      </w:tr>
    </w:tbl>
    <w:p w14:paraId="133B633E" w14:textId="48E7CD9A" w:rsidR="00085544" w:rsidRPr="002B5BCF" w:rsidRDefault="00CC2497" w:rsidP="00AE2A93">
      <w:pPr>
        <w:snapToGrid w:val="0"/>
        <w:spacing w:line="360" w:lineRule="auto"/>
        <w:jc w:val="both"/>
        <w:rPr>
          <w:rFonts w:ascii="Book Antiqua" w:eastAsia="Book Antiqua" w:hAnsi="Book Antiqua" w:cs="Book Antiqua"/>
          <w:color w:val="000000"/>
        </w:rPr>
      </w:pPr>
      <w:r w:rsidRPr="00C76E19">
        <w:rPr>
          <w:rFonts w:ascii="Book Antiqua" w:hAnsi="Book Antiqua"/>
          <w:lang w:eastAsia="zh-CN"/>
        </w:rPr>
        <w:t xml:space="preserve">CD: Crohn’s disease; </w:t>
      </w:r>
      <w:r w:rsidR="002B5BCF">
        <w:rPr>
          <w:rFonts w:ascii="Book Antiqua" w:hAnsi="Book Antiqua"/>
          <w:lang w:eastAsia="zh-CN"/>
        </w:rPr>
        <w:t xml:space="preserve">CI: Confidence interval; </w:t>
      </w:r>
      <w:r w:rsidRPr="00C76E19">
        <w:rPr>
          <w:rFonts w:ascii="Book Antiqua" w:hAnsi="Book Antiqua"/>
          <w:lang w:eastAsia="zh-CN"/>
        </w:rPr>
        <w:t xml:space="preserve">MT: </w:t>
      </w:r>
      <w:r w:rsidRPr="002B5BCF">
        <w:rPr>
          <w:rFonts w:ascii="Book Antiqua" w:eastAsia="Book Antiqua" w:hAnsi="Book Antiqua" w:cs="Book Antiqua"/>
          <w:color w:val="000000"/>
        </w:rPr>
        <w:t>Maintenance therapy.</w:t>
      </w:r>
    </w:p>
    <w:p w14:paraId="0B810E71" w14:textId="23F65AC0" w:rsidR="00EF6F6C" w:rsidRPr="00C76E19" w:rsidRDefault="00085544" w:rsidP="00AE2A93">
      <w:pPr>
        <w:snapToGrid w:val="0"/>
        <w:spacing w:line="360" w:lineRule="auto"/>
        <w:jc w:val="both"/>
        <w:rPr>
          <w:rFonts w:ascii="Book Antiqua" w:eastAsia="Book Antiqua" w:hAnsi="Book Antiqua" w:cs="Book Antiqua"/>
          <w:b/>
          <w:bCs/>
          <w:color w:val="000000"/>
        </w:rPr>
      </w:pPr>
      <w:r w:rsidRPr="00C76E19">
        <w:rPr>
          <w:rFonts w:ascii="Book Antiqua" w:eastAsia="Book Antiqua" w:hAnsi="Book Antiqua" w:cs="Book Antiqua"/>
          <w:color w:val="000000"/>
        </w:rPr>
        <w:br w:type="page"/>
      </w:r>
      <w:r w:rsidRPr="00C76E19">
        <w:rPr>
          <w:rFonts w:ascii="Book Antiqua" w:eastAsia="Book Antiqua" w:hAnsi="Book Antiqua" w:cs="Book Antiqua"/>
          <w:b/>
          <w:bCs/>
          <w:color w:val="000000"/>
        </w:rPr>
        <w:t xml:space="preserve">Table 7 Summary of the results of undiscounted and discounted point estimations of measured outcomes in base case analysis comparing infliximab maintenance therapy </w:t>
      </w:r>
      <w:r w:rsidRPr="00C76E19">
        <w:rPr>
          <w:rFonts w:ascii="Book Antiqua" w:eastAsia="Book Antiqua" w:hAnsi="Book Antiqua" w:cs="Book Antiqua"/>
          <w:b/>
          <w:bCs/>
          <w:i/>
          <w:iCs/>
          <w:color w:val="000000"/>
        </w:rPr>
        <w:t>vs</w:t>
      </w:r>
      <w:r w:rsidRPr="00C76E19">
        <w:rPr>
          <w:rFonts w:ascii="Book Antiqua" w:eastAsia="Book Antiqua" w:hAnsi="Book Antiqua" w:cs="Book Antiqua"/>
          <w:b/>
          <w:bCs/>
          <w:color w:val="000000"/>
        </w:rPr>
        <w:t xml:space="preserve"> conventional maintenance therapy in the constructed decision analytic model</w:t>
      </w:r>
    </w:p>
    <w:tbl>
      <w:tblPr>
        <w:tblW w:w="4897" w:type="pct"/>
        <w:tblLayout w:type="fixed"/>
        <w:tblLook w:val="04A0" w:firstRow="1" w:lastRow="0" w:firstColumn="1" w:lastColumn="0" w:noHBand="0" w:noVBand="1"/>
      </w:tblPr>
      <w:tblGrid>
        <w:gridCol w:w="3289"/>
        <w:gridCol w:w="1686"/>
        <w:gridCol w:w="1457"/>
        <w:gridCol w:w="1714"/>
        <w:gridCol w:w="1431"/>
        <w:gridCol w:w="1431"/>
        <w:gridCol w:w="1685"/>
      </w:tblGrid>
      <w:tr w:rsidR="00085544" w:rsidRPr="00C76E19" w14:paraId="7FA73200" w14:textId="77777777" w:rsidTr="00085544">
        <w:trPr>
          <w:trHeight w:val="300"/>
        </w:trPr>
        <w:tc>
          <w:tcPr>
            <w:tcW w:w="3347" w:type="dxa"/>
            <w:vMerge w:val="restart"/>
            <w:tcBorders>
              <w:top w:val="single" w:sz="4" w:space="0" w:color="auto"/>
              <w:left w:val="nil"/>
              <w:bottom w:val="single" w:sz="4" w:space="0" w:color="000000"/>
              <w:right w:val="nil"/>
            </w:tcBorders>
            <w:shd w:val="clear" w:color="000000" w:fill="FFFFFF"/>
            <w:noWrap/>
            <w:hideMark/>
          </w:tcPr>
          <w:p w14:paraId="5B2EC49F" w14:textId="77777777" w:rsidR="00085544" w:rsidRPr="00C76E19" w:rsidRDefault="00085544" w:rsidP="00AE2A93">
            <w:pPr>
              <w:snapToGrid w:val="0"/>
              <w:spacing w:line="360" w:lineRule="auto"/>
              <w:jc w:val="both"/>
              <w:rPr>
                <w:rFonts w:ascii="Book Antiqua" w:hAnsi="Book Antiqua"/>
                <w:b/>
                <w:bCs/>
                <w:color w:val="000000"/>
              </w:rPr>
            </w:pPr>
            <w:r w:rsidRPr="00C76E19">
              <w:rPr>
                <w:rFonts w:ascii="Book Antiqua" w:hAnsi="Book Antiqua"/>
                <w:b/>
                <w:bCs/>
                <w:color w:val="000000"/>
              </w:rPr>
              <w:t xml:space="preserve">Model outputs </w:t>
            </w:r>
          </w:p>
        </w:tc>
        <w:tc>
          <w:tcPr>
            <w:tcW w:w="4936" w:type="dxa"/>
            <w:gridSpan w:val="3"/>
            <w:tcBorders>
              <w:top w:val="single" w:sz="4" w:space="0" w:color="auto"/>
              <w:left w:val="nil"/>
              <w:bottom w:val="single" w:sz="4" w:space="0" w:color="auto"/>
              <w:right w:val="nil"/>
            </w:tcBorders>
            <w:shd w:val="clear" w:color="000000" w:fill="FFFFFF"/>
            <w:noWrap/>
            <w:hideMark/>
          </w:tcPr>
          <w:p w14:paraId="2C39E6EC" w14:textId="77777777" w:rsidR="00085544" w:rsidRPr="00C76E19" w:rsidRDefault="00085544" w:rsidP="00AE2A93">
            <w:pPr>
              <w:snapToGrid w:val="0"/>
              <w:spacing w:line="360" w:lineRule="auto"/>
              <w:jc w:val="both"/>
              <w:rPr>
                <w:rFonts w:ascii="Book Antiqua" w:hAnsi="Book Antiqua"/>
                <w:b/>
                <w:bCs/>
                <w:color w:val="000000"/>
              </w:rPr>
            </w:pPr>
            <w:r w:rsidRPr="00C76E19">
              <w:rPr>
                <w:rFonts w:ascii="Book Antiqua" w:hAnsi="Book Antiqua"/>
                <w:b/>
                <w:bCs/>
                <w:color w:val="000000"/>
              </w:rPr>
              <w:t xml:space="preserve">Results of base-case analysis without discounting </w:t>
            </w:r>
          </w:p>
        </w:tc>
        <w:tc>
          <w:tcPr>
            <w:tcW w:w="4621" w:type="dxa"/>
            <w:gridSpan w:val="3"/>
            <w:tcBorders>
              <w:top w:val="single" w:sz="4" w:space="0" w:color="auto"/>
              <w:left w:val="nil"/>
              <w:bottom w:val="single" w:sz="4" w:space="0" w:color="auto"/>
              <w:right w:val="nil"/>
            </w:tcBorders>
            <w:shd w:val="clear" w:color="000000" w:fill="FFFFFF"/>
            <w:noWrap/>
            <w:hideMark/>
          </w:tcPr>
          <w:p w14:paraId="3442BF07" w14:textId="77777777" w:rsidR="00085544" w:rsidRPr="00C76E19" w:rsidRDefault="00085544" w:rsidP="00AE2A93">
            <w:pPr>
              <w:snapToGrid w:val="0"/>
              <w:spacing w:line="360" w:lineRule="auto"/>
              <w:jc w:val="both"/>
              <w:rPr>
                <w:rFonts w:ascii="Book Antiqua" w:hAnsi="Book Antiqua"/>
                <w:b/>
                <w:bCs/>
                <w:color w:val="000000"/>
              </w:rPr>
            </w:pPr>
            <w:r w:rsidRPr="00C76E19">
              <w:rPr>
                <w:rFonts w:ascii="Book Antiqua" w:hAnsi="Book Antiqua"/>
                <w:b/>
                <w:bCs/>
                <w:color w:val="000000"/>
              </w:rPr>
              <w:t xml:space="preserve">Results of base-case analysis with discounting </w:t>
            </w:r>
          </w:p>
        </w:tc>
      </w:tr>
      <w:tr w:rsidR="00085544" w:rsidRPr="00C76E19" w14:paraId="2999E916" w14:textId="77777777" w:rsidTr="00085544">
        <w:trPr>
          <w:trHeight w:val="300"/>
        </w:trPr>
        <w:tc>
          <w:tcPr>
            <w:tcW w:w="3347" w:type="dxa"/>
            <w:vMerge/>
            <w:tcBorders>
              <w:top w:val="single" w:sz="4" w:space="0" w:color="auto"/>
              <w:left w:val="nil"/>
              <w:bottom w:val="single" w:sz="4" w:space="0" w:color="000000"/>
              <w:right w:val="nil"/>
            </w:tcBorders>
            <w:hideMark/>
          </w:tcPr>
          <w:p w14:paraId="4C362E9F" w14:textId="77777777" w:rsidR="00085544" w:rsidRPr="00C76E19" w:rsidRDefault="00085544" w:rsidP="00AE2A93">
            <w:pPr>
              <w:snapToGrid w:val="0"/>
              <w:spacing w:line="360" w:lineRule="auto"/>
              <w:jc w:val="both"/>
              <w:rPr>
                <w:rFonts w:ascii="Book Antiqua" w:hAnsi="Book Antiqua"/>
                <w:b/>
                <w:bCs/>
                <w:color w:val="000000"/>
              </w:rPr>
            </w:pPr>
          </w:p>
        </w:tc>
        <w:tc>
          <w:tcPr>
            <w:tcW w:w="1714" w:type="dxa"/>
            <w:tcBorders>
              <w:top w:val="nil"/>
              <w:left w:val="nil"/>
              <w:bottom w:val="single" w:sz="4" w:space="0" w:color="auto"/>
              <w:right w:val="nil"/>
            </w:tcBorders>
            <w:shd w:val="clear" w:color="000000" w:fill="FFFFFF"/>
            <w:noWrap/>
            <w:hideMark/>
          </w:tcPr>
          <w:p w14:paraId="55A77715" w14:textId="77777777" w:rsidR="00085544" w:rsidRPr="00C76E19" w:rsidRDefault="00085544" w:rsidP="00AE2A93">
            <w:pPr>
              <w:snapToGrid w:val="0"/>
              <w:spacing w:line="360" w:lineRule="auto"/>
              <w:jc w:val="both"/>
              <w:rPr>
                <w:rFonts w:ascii="Book Antiqua" w:hAnsi="Book Antiqua"/>
                <w:b/>
                <w:bCs/>
                <w:color w:val="000000"/>
              </w:rPr>
            </w:pPr>
            <w:r w:rsidRPr="00C76E19">
              <w:rPr>
                <w:rFonts w:ascii="Book Antiqua" w:hAnsi="Book Antiqua"/>
                <w:b/>
                <w:bCs/>
                <w:color w:val="000000"/>
              </w:rPr>
              <w:t>IMT</w:t>
            </w:r>
          </w:p>
        </w:tc>
        <w:tc>
          <w:tcPr>
            <w:tcW w:w="1480" w:type="dxa"/>
            <w:tcBorders>
              <w:top w:val="nil"/>
              <w:left w:val="nil"/>
              <w:bottom w:val="single" w:sz="4" w:space="0" w:color="auto"/>
              <w:right w:val="nil"/>
            </w:tcBorders>
            <w:shd w:val="clear" w:color="000000" w:fill="FFFFFF"/>
            <w:noWrap/>
            <w:hideMark/>
          </w:tcPr>
          <w:p w14:paraId="14903AFF" w14:textId="77777777" w:rsidR="00085544" w:rsidRPr="00C76E19" w:rsidRDefault="00085544" w:rsidP="00AE2A93">
            <w:pPr>
              <w:snapToGrid w:val="0"/>
              <w:spacing w:line="360" w:lineRule="auto"/>
              <w:jc w:val="both"/>
              <w:rPr>
                <w:rFonts w:ascii="Book Antiqua" w:hAnsi="Book Antiqua"/>
                <w:b/>
                <w:bCs/>
                <w:color w:val="000000"/>
              </w:rPr>
            </w:pPr>
            <w:r w:rsidRPr="00C76E19">
              <w:rPr>
                <w:rFonts w:ascii="Book Antiqua" w:hAnsi="Book Antiqua"/>
                <w:b/>
                <w:bCs/>
                <w:color w:val="000000"/>
              </w:rPr>
              <w:t>CMT</w:t>
            </w:r>
          </w:p>
        </w:tc>
        <w:tc>
          <w:tcPr>
            <w:tcW w:w="1742" w:type="dxa"/>
            <w:tcBorders>
              <w:top w:val="nil"/>
              <w:left w:val="nil"/>
              <w:bottom w:val="single" w:sz="4" w:space="0" w:color="auto"/>
              <w:right w:val="nil"/>
            </w:tcBorders>
            <w:shd w:val="clear" w:color="000000" w:fill="FFFFFF"/>
            <w:noWrap/>
            <w:hideMark/>
          </w:tcPr>
          <w:p w14:paraId="7C33FE5B" w14:textId="77777777" w:rsidR="00085544" w:rsidRPr="00C76E19" w:rsidRDefault="00085544" w:rsidP="00AE2A93">
            <w:pPr>
              <w:snapToGrid w:val="0"/>
              <w:spacing w:line="360" w:lineRule="auto"/>
              <w:jc w:val="both"/>
              <w:rPr>
                <w:rFonts w:ascii="Book Antiqua" w:hAnsi="Book Antiqua"/>
                <w:b/>
                <w:bCs/>
                <w:color w:val="000000"/>
              </w:rPr>
            </w:pPr>
            <w:r w:rsidRPr="00C76E19">
              <w:rPr>
                <w:rFonts w:ascii="Book Antiqua" w:hAnsi="Book Antiqua"/>
                <w:b/>
                <w:bCs/>
                <w:color w:val="000000"/>
              </w:rPr>
              <w:t xml:space="preserve">Difference </w:t>
            </w:r>
          </w:p>
        </w:tc>
        <w:tc>
          <w:tcPr>
            <w:tcW w:w="1454" w:type="dxa"/>
            <w:tcBorders>
              <w:top w:val="nil"/>
              <w:left w:val="nil"/>
              <w:bottom w:val="single" w:sz="4" w:space="0" w:color="auto"/>
              <w:right w:val="nil"/>
            </w:tcBorders>
            <w:shd w:val="clear" w:color="000000" w:fill="FFFFFF"/>
            <w:noWrap/>
            <w:hideMark/>
          </w:tcPr>
          <w:p w14:paraId="52AA515D" w14:textId="77777777" w:rsidR="00085544" w:rsidRPr="00C76E19" w:rsidRDefault="00085544" w:rsidP="00AE2A93">
            <w:pPr>
              <w:snapToGrid w:val="0"/>
              <w:spacing w:line="360" w:lineRule="auto"/>
              <w:jc w:val="both"/>
              <w:rPr>
                <w:rFonts w:ascii="Book Antiqua" w:hAnsi="Book Antiqua"/>
                <w:b/>
                <w:bCs/>
                <w:color w:val="000000"/>
              </w:rPr>
            </w:pPr>
            <w:r w:rsidRPr="00C76E19">
              <w:rPr>
                <w:rFonts w:ascii="Book Antiqua" w:hAnsi="Book Antiqua"/>
                <w:b/>
                <w:bCs/>
                <w:color w:val="000000"/>
              </w:rPr>
              <w:t>IMT</w:t>
            </w:r>
          </w:p>
        </w:tc>
        <w:tc>
          <w:tcPr>
            <w:tcW w:w="1454" w:type="dxa"/>
            <w:tcBorders>
              <w:top w:val="nil"/>
              <w:left w:val="nil"/>
              <w:bottom w:val="single" w:sz="4" w:space="0" w:color="auto"/>
              <w:right w:val="nil"/>
            </w:tcBorders>
            <w:shd w:val="clear" w:color="000000" w:fill="FFFFFF"/>
            <w:noWrap/>
            <w:hideMark/>
          </w:tcPr>
          <w:p w14:paraId="6B003652" w14:textId="77777777" w:rsidR="00085544" w:rsidRPr="00C76E19" w:rsidRDefault="00085544" w:rsidP="00AE2A93">
            <w:pPr>
              <w:snapToGrid w:val="0"/>
              <w:spacing w:line="360" w:lineRule="auto"/>
              <w:jc w:val="both"/>
              <w:rPr>
                <w:rFonts w:ascii="Book Antiqua" w:hAnsi="Book Antiqua"/>
                <w:b/>
                <w:bCs/>
                <w:color w:val="000000"/>
              </w:rPr>
            </w:pPr>
            <w:r w:rsidRPr="00C76E19">
              <w:rPr>
                <w:rFonts w:ascii="Book Antiqua" w:hAnsi="Book Antiqua"/>
                <w:b/>
                <w:bCs/>
                <w:color w:val="000000"/>
              </w:rPr>
              <w:t>CMT</w:t>
            </w:r>
          </w:p>
        </w:tc>
        <w:tc>
          <w:tcPr>
            <w:tcW w:w="1713" w:type="dxa"/>
            <w:tcBorders>
              <w:top w:val="nil"/>
              <w:left w:val="nil"/>
              <w:bottom w:val="single" w:sz="4" w:space="0" w:color="auto"/>
              <w:right w:val="nil"/>
            </w:tcBorders>
            <w:shd w:val="clear" w:color="000000" w:fill="FFFFFF"/>
            <w:noWrap/>
            <w:hideMark/>
          </w:tcPr>
          <w:p w14:paraId="0230EA51" w14:textId="77777777" w:rsidR="00085544" w:rsidRPr="00C76E19" w:rsidRDefault="00085544" w:rsidP="00AE2A93">
            <w:pPr>
              <w:snapToGrid w:val="0"/>
              <w:spacing w:line="360" w:lineRule="auto"/>
              <w:jc w:val="both"/>
              <w:rPr>
                <w:rFonts w:ascii="Book Antiqua" w:hAnsi="Book Antiqua"/>
                <w:b/>
                <w:bCs/>
                <w:color w:val="000000"/>
              </w:rPr>
            </w:pPr>
            <w:r w:rsidRPr="00C76E19">
              <w:rPr>
                <w:rFonts w:ascii="Book Antiqua" w:hAnsi="Book Antiqua"/>
                <w:b/>
                <w:bCs/>
                <w:color w:val="000000"/>
              </w:rPr>
              <w:t xml:space="preserve">Difference </w:t>
            </w:r>
          </w:p>
        </w:tc>
      </w:tr>
      <w:tr w:rsidR="00085544" w:rsidRPr="00C76E19" w14:paraId="4120F859" w14:textId="77777777" w:rsidTr="00085544">
        <w:trPr>
          <w:trHeight w:val="300"/>
        </w:trPr>
        <w:tc>
          <w:tcPr>
            <w:tcW w:w="3347" w:type="dxa"/>
            <w:tcBorders>
              <w:top w:val="nil"/>
              <w:left w:val="nil"/>
              <w:bottom w:val="nil"/>
              <w:right w:val="nil"/>
            </w:tcBorders>
            <w:shd w:val="clear" w:color="000000" w:fill="FFFFFF"/>
            <w:noWrap/>
            <w:hideMark/>
          </w:tcPr>
          <w:p w14:paraId="108FCBA9" w14:textId="50E5495E"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 xml:space="preserve">Overall survival </w:t>
            </w:r>
            <w:r w:rsidR="002B5BCF">
              <w:rPr>
                <w:rFonts w:ascii="Book Antiqua" w:hAnsi="Book Antiqua"/>
                <w:color w:val="000000"/>
              </w:rPr>
              <w:t xml:space="preserve">in </w:t>
            </w:r>
            <w:proofErr w:type="spellStart"/>
            <w:r w:rsidRPr="00C76E19">
              <w:rPr>
                <w:rFonts w:ascii="Book Antiqua" w:hAnsi="Book Antiqua"/>
                <w:color w:val="000000"/>
              </w:rPr>
              <w:t>yr</w:t>
            </w:r>
            <w:proofErr w:type="spellEnd"/>
          </w:p>
        </w:tc>
        <w:tc>
          <w:tcPr>
            <w:tcW w:w="1714" w:type="dxa"/>
            <w:tcBorders>
              <w:top w:val="nil"/>
              <w:left w:val="nil"/>
              <w:bottom w:val="nil"/>
              <w:right w:val="nil"/>
            </w:tcBorders>
            <w:shd w:val="clear" w:color="000000" w:fill="FFFFFF"/>
            <w:noWrap/>
            <w:hideMark/>
          </w:tcPr>
          <w:p w14:paraId="7784D4A1"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43.815</w:t>
            </w:r>
          </w:p>
        </w:tc>
        <w:tc>
          <w:tcPr>
            <w:tcW w:w="1480" w:type="dxa"/>
            <w:tcBorders>
              <w:top w:val="nil"/>
              <w:left w:val="nil"/>
              <w:bottom w:val="nil"/>
              <w:right w:val="nil"/>
            </w:tcBorders>
            <w:shd w:val="clear" w:color="000000" w:fill="FFFFFF"/>
            <w:noWrap/>
            <w:hideMark/>
          </w:tcPr>
          <w:p w14:paraId="3DDE1435"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40.944</w:t>
            </w:r>
          </w:p>
        </w:tc>
        <w:tc>
          <w:tcPr>
            <w:tcW w:w="1742" w:type="dxa"/>
            <w:tcBorders>
              <w:top w:val="nil"/>
              <w:left w:val="nil"/>
              <w:bottom w:val="nil"/>
              <w:right w:val="nil"/>
            </w:tcBorders>
            <w:shd w:val="clear" w:color="000000" w:fill="FFFFFF"/>
            <w:noWrap/>
            <w:hideMark/>
          </w:tcPr>
          <w:p w14:paraId="0BBA0881"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2.871</w:t>
            </w:r>
          </w:p>
        </w:tc>
        <w:tc>
          <w:tcPr>
            <w:tcW w:w="1454" w:type="dxa"/>
            <w:tcBorders>
              <w:top w:val="nil"/>
              <w:left w:val="nil"/>
              <w:bottom w:val="nil"/>
              <w:right w:val="nil"/>
            </w:tcBorders>
            <w:shd w:val="clear" w:color="000000" w:fill="FFFFFF"/>
            <w:noWrap/>
            <w:hideMark/>
          </w:tcPr>
          <w:p w14:paraId="3AC2B857"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23.858</w:t>
            </w:r>
          </w:p>
        </w:tc>
        <w:tc>
          <w:tcPr>
            <w:tcW w:w="1454" w:type="dxa"/>
            <w:tcBorders>
              <w:top w:val="nil"/>
              <w:left w:val="nil"/>
              <w:bottom w:val="nil"/>
              <w:right w:val="nil"/>
            </w:tcBorders>
            <w:shd w:val="clear" w:color="000000" w:fill="FFFFFF"/>
            <w:noWrap/>
            <w:hideMark/>
          </w:tcPr>
          <w:p w14:paraId="5B26B54D"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22.947</w:t>
            </w:r>
          </w:p>
        </w:tc>
        <w:tc>
          <w:tcPr>
            <w:tcW w:w="1713" w:type="dxa"/>
            <w:tcBorders>
              <w:top w:val="nil"/>
              <w:left w:val="nil"/>
              <w:bottom w:val="nil"/>
              <w:right w:val="nil"/>
            </w:tcBorders>
            <w:shd w:val="clear" w:color="000000" w:fill="FFFFFF"/>
            <w:noWrap/>
            <w:hideMark/>
          </w:tcPr>
          <w:p w14:paraId="770620B0"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0.911</w:t>
            </w:r>
          </w:p>
        </w:tc>
      </w:tr>
      <w:tr w:rsidR="00085544" w:rsidRPr="00C76E19" w14:paraId="3AEE9A9C" w14:textId="77777777" w:rsidTr="00085544">
        <w:trPr>
          <w:trHeight w:val="300"/>
        </w:trPr>
        <w:tc>
          <w:tcPr>
            <w:tcW w:w="3347" w:type="dxa"/>
            <w:tcBorders>
              <w:top w:val="nil"/>
              <w:left w:val="nil"/>
              <w:bottom w:val="nil"/>
              <w:right w:val="nil"/>
            </w:tcBorders>
            <w:shd w:val="clear" w:color="000000" w:fill="FFFFFF"/>
            <w:noWrap/>
            <w:hideMark/>
          </w:tcPr>
          <w:p w14:paraId="28E44447"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 xml:space="preserve">Disease remission before surgery </w:t>
            </w:r>
          </w:p>
        </w:tc>
        <w:tc>
          <w:tcPr>
            <w:tcW w:w="1714" w:type="dxa"/>
            <w:tcBorders>
              <w:top w:val="nil"/>
              <w:left w:val="nil"/>
              <w:bottom w:val="nil"/>
              <w:right w:val="nil"/>
            </w:tcBorders>
            <w:shd w:val="clear" w:color="000000" w:fill="FFFFFF"/>
            <w:noWrap/>
            <w:hideMark/>
          </w:tcPr>
          <w:p w14:paraId="581C1861"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30.433</w:t>
            </w:r>
          </w:p>
        </w:tc>
        <w:tc>
          <w:tcPr>
            <w:tcW w:w="1480" w:type="dxa"/>
            <w:tcBorders>
              <w:top w:val="nil"/>
              <w:left w:val="nil"/>
              <w:bottom w:val="nil"/>
              <w:right w:val="nil"/>
            </w:tcBorders>
            <w:shd w:val="clear" w:color="000000" w:fill="FFFFFF"/>
            <w:noWrap/>
            <w:hideMark/>
          </w:tcPr>
          <w:p w14:paraId="48E0311B"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13.157</w:t>
            </w:r>
          </w:p>
        </w:tc>
        <w:tc>
          <w:tcPr>
            <w:tcW w:w="1742" w:type="dxa"/>
            <w:tcBorders>
              <w:top w:val="nil"/>
              <w:left w:val="nil"/>
              <w:bottom w:val="nil"/>
              <w:right w:val="nil"/>
            </w:tcBorders>
            <w:shd w:val="clear" w:color="000000" w:fill="FFFFFF"/>
            <w:noWrap/>
            <w:hideMark/>
          </w:tcPr>
          <w:p w14:paraId="5BC8B9EA"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17.276</w:t>
            </w:r>
          </w:p>
        </w:tc>
        <w:tc>
          <w:tcPr>
            <w:tcW w:w="1454" w:type="dxa"/>
            <w:tcBorders>
              <w:top w:val="nil"/>
              <w:left w:val="nil"/>
              <w:bottom w:val="nil"/>
              <w:right w:val="nil"/>
            </w:tcBorders>
            <w:shd w:val="clear" w:color="000000" w:fill="FFFFFF"/>
            <w:noWrap/>
            <w:hideMark/>
          </w:tcPr>
          <w:p w14:paraId="62D57E9A"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18.102</w:t>
            </w:r>
          </w:p>
        </w:tc>
        <w:tc>
          <w:tcPr>
            <w:tcW w:w="1454" w:type="dxa"/>
            <w:tcBorders>
              <w:top w:val="nil"/>
              <w:left w:val="nil"/>
              <w:bottom w:val="nil"/>
              <w:right w:val="nil"/>
            </w:tcBorders>
            <w:shd w:val="clear" w:color="000000" w:fill="FFFFFF"/>
            <w:noWrap/>
            <w:hideMark/>
          </w:tcPr>
          <w:p w14:paraId="3366CC83"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9.392</w:t>
            </w:r>
          </w:p>
        </w:tc>
        <w:tc>
          <w:tcPr>
            <w:tcW w:w="1713" w:type="dxa"/>
            <w:tcBorders>
              <w:top w:val="nil"/>
              <w:left w:val="nil"/>
              <w:bottom w:val="nil"/>
              <w:right w:val="nil"/>
            </w:tcBorders>
            <w:shd w:val="clear" w:color="000000" w:fill="FFFFFF"/>
            <w:noWrap/>
            <w:hideMark/>
          </w:tcPr>
          <w:p w14:paraId="09C08D04"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8.710</w:t>
            </w:r>
          </w:p>
        </w:tc>
      </w:tr>
      <w:tr w:rsidR="00085544" w:rsidRPr="00C76E19" w14:paraId="69E23D41" w14:textId="77777777" w:rsidTr="00085544">
        <w:trPr>
          <w:trHeight w:val="300"/>
        </w:trPr>
        <w:tc>
          <w:tcPr>
            <w:tcW w:w="3347" w:type="dxa"/>
            <w:tcBorders>
              <w:top w:val="nil"/>
              <w:left w:val="nil"/>
              <w:bottom w:val="nil"/>
              <w:right w:val="nil"/>
            </w:tcBorders>
            <w:shd w:val="clear" w:color="000000" w:fill="FFFFFF"/>
            <w:noWrap/>
            <w:hideMark/>
          </w:tcPr>
          <w:p w14:paraId="6EAE2970"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 xml:space="preserve">Active disease before surgery </w:t>
            </w:r>
          </w:p>
        </w:tc>
        <w:tc>
          <w:tcPr>
            <w:tcW w:w="1714" w:type="dxa"/>
            <w:tcBorders>
              <w:top w:val="nil"/>
              <w:left w:val="nil"/>
              <w:bottom w:val="nil"/>
              <w:right w:val="nil"/>
            </w:tcBorders>
            <w:shd w:val="clear" w:color="000000" w:fill="FFFFFF"/>
            <w:noWrap/>
            <w:hideMark/>
          </w:tcPr>
          <w:p w14:paraId="2A789491"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1.398</w:t>
            </w:r>
          </w:p>
        </w:tc>
        <w:tc>
          <w:tcPr>
            <w:tcW w:w="1480" w:type="dxa"/>
            <w:tcBorders>
              <w:top w:val="nil"/>
              <w:left w:val="nil"/>
              <w:bottom w:val="nil"/>
              <w:right w:val="nil"/>
            </w:tcBorders>
            <w:shd w:val="clear" w:color="000000" w:fill="FFFFFF"/>
            <w:noWrap/>
            <w:hideMark/>
          </w:tcPr>
          <w:p w14:paraId="6EE84149"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2.540</w:t>
            </w:r>
          </w:p>
        </w:tc>
        <w:tc>
          <w:tcPr>
            <w:tcW w:w="1742" w:type="dxa"/>
            <w:tcBorders>
              <w:top w:val="nil"/>
              <w:left w:val="nil"/>
              <w:bottom w:val="nil"/>
              <w:right w:val="nil"/>
            </w:tcBorders>
            <w:shd w:val="clear" w:color="000000" w:fill="FFFFFF"/>
            <w:noWrap/>
            <w:hideMark/>
          </w:tcPr>
          <w:p w14:paraId="5F1D79B7"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-1.142</w:t>
            </w:r>
          </w:p>
        </w:tc>
        <w:tc>
          <w:tcPr>
            <w:tcW w:w="1454" w:type="dxa"/>
            <w:tcBorders>
              <w:top w:val="nil"/>
              <w:left w:val="nil"/>
              <w:bottom w:val="nil"/>
              <w:right w:val="nil"/>
            </w:tcBorders>
            <w:shd w:val="clear" w:color="000000" w:fill="FFFFFF"/>
            <w:noWrap/>
            <w:hideMark/>
          </w:tcPr>
          <w:p w14:paraId="2C40F752"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0.803</w:t>
            </w:r>
          </w:p>
        </w:tc>
        <w:tc>
          <w:tcPr>
            <w:tcW w:w="1454" w:type="dxa"/>
            <w:tcBorders>
              <w:top w:val="nil"/>
              <w:left w:val="nil"/>
              <w:bottom w:val="nil"/>
              <w:right w:val="nil"/>
            </w:tcBorders>
            <w:shd w:val="clear" w:color="000000" w:fill="FFFFFF"/>
            <w:noWrap/>
            <w:hideMark/>
          </w:tcPr>
          <w:p w14:paraId="535CE213"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1.788</w:t>
            </w:r>
          </w:p>
        </w:tc>
        <w:tc>
          <w:tcPr>
            <w:tcW w:w="1713" w:type="dxa"/>
            <w:tcBorders>
              <w:top w:val="nil"/>
              <w:left w:val="nil"/>
              <w:bottom w:val="nil"/>
              <w:right w:val="nil"/>
            </w:tcBorders>
            <w:shd w:val="clear" w:color="000000" w:fill="FFFFFF"/>
            <w:noWrap/>
            <w:hideMark/>
          </w:tcPr>
          <w:p w14:paraId="2D59D236"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-0.985</w:t>
            </w:r>
          </w:p>
        </w:tc>
      </w:tr>
      <w:tr w:rsidR="00085544" w:rsidRPr="00C76E19" w14:paraId="27758B3D" w14:textId="77777777" w:rsidTr="00085544">
        <w:trPr>
          <w:trHeight w:val="300"/>
        </w:trPr>
        <w:tc>
          <w:tcPr>
            <w:tcW w:w="3347" w:type="dxa"/>
            <w:tcBorders>
              <w:top w:val="nil"/>
              <w:left w:val="nil"/>
              <w:bottom w:val="nil"/>
              <w:right w:val="nil"/>
            </w:tcBorders>
            <w:shd w:val="clear" w:color="000000" w:fill="FFFFFF"/>
            <w:noWrap/>
            <w:hideMark/>
          </w:tcPr>
          <w:p w14:paraId="2754C613"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 xml:space="preserve">Disease remission after surgery </w:t>
            </w:r>
          </w:p>
        </w:tc>
        <w:tc>
          <w:tcPr>
            <w:tcW w:w="1714" w:type="dxa"/>
            <w:tcBorders>
              <w:top w:val="nil"/>
              <w:left w:val="nil"/>
              <w:bottom w:val="nil"/>
              <w:right w:val="nil"/>
            </w:tcBorders>
            <w:shd w:val="clear" w:color="000000" w:fill="FFFFFF"/>
            <w:noWrap/>
            <w:hideMark/>
          </w:tcPr>
          <w:p w14:paraId="7A3F8A1C"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11.407</w:t>
            </w:r>
          </w:p>
        </w:tc>
        <w:tc>
          <w:tcPr>
            <w:tcW w:w="1480" w:type="dxa"/>
            <w:tcBorders>
              <w:top w:val="nil"/>
              <w:left w:val="nil"/>
              <w:bottom w:val="nil"/>
              <w:right w:val="nil"/>
            </w:tcBorders>
            <w:shd w:val="clear" w:color="000000" w:fill="FFFFFF"/>
            <w:noWrap/>
            <w:hideMark/>
          </w:tcPr>
          <w:p w14:paraId="72A251C0"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20.893</w:t>
            </w:r>
          </w:p>
        </w:tc>
        <w:tc>
          <w:tcPr>
            <w:tcW w:w="1742" w:type="dxa"/>
            <w:tcBorders>
              <w:top w:val="nil"/>
              <w:left w:val="nil"/>
              <w:bottom w:val="nil"/>
              <w:right w:val="nil"/>
            </w:tcBorders>
            <w:shd w:val="clear" w:color="000000" w:fill="FFFFFF"/>
            <w:noWrap/>
            <w:hideMark/>
          </w:tcPr>
          <w:p w14:paraId="58271D12"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-9.486</w:t>
            </w:r>
          </w:p>
        </w:tc>
        <w:tc>
          <w:tcPr>
            <w:tcW w:w="1454" w:type="dxa"/>
            <w:tcBorders>
              <w:top w:val="nil"/>
              <w:left w:val="nil"/>
              <w:bottom w:val="nil"/>
              <w:right w:val="nil"/>
            </w:tcBorders>
            <w:shd w:val="clear" w:color="000000" w:fill="FFFFFF"/>
            <w:noWrap/>
            <w:hideMark/>
          </w:tcPr>
          <w:p w14:paraId="7CF7CA3F"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4.709</w:t>
            </w:r>
          </w:p>
        </w:tc>
        <w:tc>
          <w:tcPr>
            <w:tcW w:w="1454" w:type="dxa"/>
            <w:tcBorders>
              <w:top w:val="nil"/>
              <w:left w:val="nil"/>
              <w:bottom w:val="nil"/>
              <w:right w:val="nil"/>
            </w:tcBorders>
            <w:shd w:val="clear" w:color="000000" w:fill="FFFFFF"/>
            <w:noWrap/>
            <w:hideMark/>
          </w:tcPr>
          <w:p w14:paraId="4916C933"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9.701</w:t>
            </w:r>
          </w:p>
        </w:tc>
        <w:tc>
          <w:tcPr>
            <w:tcW w:w="1713" w:type="dxa"/>
            <w:tcBorders>
              <w:top w:val="nil"/>
              <w:left w:val="nil"/>
              <w:bottom w:val="nil"/>
              <w:right w:val="nil"/>
            </w:tcBorders>
            <w:shd w:val="clear" w:color="000000" w:fill="FFFFFF"/>
            <w:noWrap/>
            <w:hideMark/>
          </w:tcPr>
          <w:p w14:paraId="0A317C2D"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-4.993</w:t>
            </w:r>
          </w:p>
        </w:tc>
      </w:tr>
      <w:tr w:rsidR="00085544" w:rsidRPr="00C76E19" w14:paraId="093305CE" w14:textId="77777777" w:rsidTr="00085544">
        <w:trPr>
          <w:trHeight w:val="300"/>
        </w:trPr>
        <w:tc>
          <w:tcPr>
            <w:tcW w:w="3347" w:type="dxa"/>
            <w:tcBorders>
              <w:top w:val="nil"/>
              <w:left w:val="nil"/>
              <w:bottom w:val="single" w:sz="4" w:space="0" w:color="auto"/>
              <w:right w:val="nil"/>
            </w:tcBorders>
            <w:shd w:val="clear" w:color="000000" w:fill="FFFFFF"/>
            <w:noWrap/>
            <w:hideMark/>
          </w:tcPr>
          <w:p w14:paraId="636B622C"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 xml:space="preserve">Active disease after surgery </w:t>
            </w:r>
          </w:p>
        </w:tc>
        <w:tc>
          <w:tcPr>
            <w:tcW w:w="1714" w:type="dxa"/>
            <w:tcBorders>
              <w:top w:val="nil"/>
              <w:left w:val="nil"/>
              <w:bottom w:val="single" w:sz="4" w:space="0" w:color="auto"/>
              <w:right w:val="nil"/>
            </w:tcBorders>
            <w:shd w:val="clear" w:color="000000" w:fill="FFFFFF"/>
            <w:noWrap/>
            <w:hideMark/>
          </w:tcPr>
          <w:p w14:paraId="29A228F9"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0.576</w:t>
            </w:r>
          </w:p>
        </w:tc>
        <w:tc>
          <w:tcPr>
            <w:tcW w:w="1480" w:type="dxa"/>
            <w:tcBorders>
              <w:top w:val="nil"/>
              <w:left w:val="nil"/>
              <w:bottom w:val="single" w:sz="4" w:space="0" w:color="auto"/>
              <w:right w:val="nil"/>
            </w:tcBorders>
            <w:shd w:val="clear" w:color="000000" w:fill="FFFFFF"/>
            <w:noWrap/>
            <w:hideMark/>
          </w:tcPr>
          <w:p w14:paraId="4D0A9D04"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4.354</w:t>
            </w:r>
          </w:p>
        </w:tc>
        <w:tc>
          <w:tcPr>
            <w:tcW w:w="1742" w:type="dxa"/>
            <w:tcBorders>
              <w:top w:val="nil"/>
              <w:left w:val="nil"/>
              <w:bottom w:val="single" w:sz="4" w:space="0" w:color="auto"/>
              <w:right w:val="nil"/>
            </w:tcBorders>
            <w:shd w:val="clear" w:color="000000" w:fill="FFFFFF"/>
            <w:noWrap/>
            <w:hideMark/>
          </w:tcPr>
          <w:p w14:paraId="2B368403"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-3.777</w:t>
            </w:r>
          </w:p>
        </w:tc>
        <w:tc>
          <w:tcPr>
            <w:tcW w:w="1454" w:type="dxa"/>
            <w:tcBorders>
              <w:top w:val="nil"/>
              <w:left w:val="nil"/>
              <w:bottom w:val="single" w:sz="4" w:space="0" w:color="auto"/>
              <w:right w:val="nil"/>
            </w:tcBorders>
            <w:shd w:val="clear" w:color="000000" w:fill="FFFFFF"/>
            <w:noWrap/>
            <w:hideMark/>
          </w:tcPr>
          <w:p w14:paraId="0EA91D81"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0.244</w:t>
            </w:r>
          </w:p>
        </w:tc>
        <w:tc>
          <w:tcPr>
            <w:tcW w:w="1454" w:type="dxa"/>
            <w:tcBorders>
              <w:top w:val="nil"/>
              <w:left w:val="nil"/>
              <w:bottom w:val="single" w:sz="4" w:space="0" w:color="auto"/>
              <w:right w:val="nil"/>
            </w:tcBorders>
            <w:shd w:val="clear" w:color="000000" w:fill="FFFFFF"/>
            <w:noWrap/>
            <w:hideMark/>
          </w:tcPr>
          <w:p w14:paraId="08DD85F4"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2.066</w:t>
            </w:r>
          </w:p>
        </w:tc>
        <w:tc>
          <w:tcPr>
            <w:tcW w:w="1713" w:type="dxa"/>
            <w:tcBorders>
              <w:top w:val="nil"/>
              <w:left w:val="nil"/>
              <w:bottom w:val="single" w:sz="4" w:space="0" w:color="auto"/>
              <w:right w:val="nil"/>
            </w:tcBorders>
            <w:shd w:val="clear" w:color="000000" w:fill="FFFFFF"/>
            <w:noWrap/>
            <w:hideMark/>
          </w:tcPr>
          <w:p w14:paraId="35689BF0"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-1.821</w:t>
            </w:r>
          </w:p>
        </w:tc>
      </w:tr>
      <w:tr w:rsidR="00085544" w:rsidRPr="00C76E19" w14:paraId="636AFB97" w14:textId="77777777" w:rsidTr="00085544">
        <w:trPr>
          <w:trHeight w:val="300"/>
        </w:trPr>
        <w:tc>
          <w:tcPr>
            <w:tcW w:w="3347" w:type="dxa"/>
            <w:tcBorders>
              <w:top w:val="nil"/>
              <w:left w:val="nil"/>
              <w:bottom w:val="nil"/>
              <w:right w:val="nil"/>
            </w:tcBorders>
            <w:shd w:val="clear" w:color="000000" w:fill="FFFFFF"/>
            <w:noWrap/>
            <w:hideMark/>
          </w:tcPr>
          <w:p w14:paraId="05726B7C"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 xml:space="preserve">Total QALY </w:t>
            </w:r>
          </w:p>
        </w:tc>
        <w:tc>
          <w:tcPr>
            <w:tcW w:w="1714" w:type="dxa"/>
            <w:tcBorders>
              <w:top w:val="nil"/>
              <w:left w:val="nil"/>
              <w:bottom w:val="nil"/>
              <w:right w:val="nil"/>
            </w:tcBorders>
            <w:shd w:val="clear" w:color="000000" w:fill="FFFFFF"/>
            <w:noWrap/>
            <w:hideMark/>
          </w:tcPr>
          <w:p w14:paraId="119217A4"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33.365</w:t>
            </w:r>
          </w:p>
        </w:tc>
        <w:tc>
          <w:tcPr>
            <w:tcW w:w="1480" w:type="dxa"/>
            <w:tcBorders>
              <w:top w:val="nil"/>
              <w:left w:val="nil"/>
              <w:bottom w:val="nil"/>
              <w:right w:val="nil"/>
            </w:tcBorders>
            <w:shd w:val="clear" w:color="000000" w:fill="FFFFFF"/>
            <w:noWrap/>
            <w:hideMark/>
          </w:tcPr>
          <w:p w14:paraId="2CA1ACC5"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30.889</w:t>
            </w:r>
          </w:p>
        </w:tc>
        <w:tc>
          <w:tcPr>
            <w:tcW w:w="1742" w:type="dxa"/>
            <w:tcBorders>
              <w:top w:val="nil"/>
              <w:left w:val="nil"/>
              <w:bottom w:val="nil"/>
              <w:right w:val="nil"/>
            </w:tcBorders>
            <w:shd w:val="clear" w:color="000000" w:fill="FFFFFF"/>
            <w:noWrap/>
            <w:hideMark/>
          </w:tcPr>
          <w:p w14:paraId="516DD243"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2.476</w:t>
            </w:r>
          </w:p>
        </w:tc>
        <w:tc>
          <w:tcPr>
            <w:tcW w:w="1454" w:type="dxa"/>
            <w:tcBorders>
              <w:top w:val="nil"/>
              <w:left w:val="nil"/>
              <w:bottom w:val="nil"/>
              <w:right w:val="nil"/>
            </w:tcBorders>
            <w:shd w:val="clear" w:color="000000" w:fill="FFFFFF"/>
            <w:noWrap/>
            <w:hideMark/>
          </w:tcPr>
          <w:p w14:paraId="0D1B22DF"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18.392</w:t>
            </w:r>
          </w:p>
        </w:tc>
        <w:tc>
          <w:tcPr>
            <w:tcW w:w="1454" w:type="dxa"/>
            <w:tcBorders>
              <w:top w:val="nil"/>
              <w:left w:val="nil"/>
              <w:bottom w:val="nil"/>
              <w:right w:val="nil"/>
            </w:tcBorders>
            <w:shd w:val="clear" w:color="000000" w:fill="FFFFFF"/>
            <w:noWrap/>
            <w:hideMark/>
          </w:tcPr>
          <w:p w14:paraId="65158BF8"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17.491</w:t>
            </w:r>
          </w:p>
        </w:tc>
        <w:tc>
          <w:tcPr>
            <w:tcW w:w="1713" w:type="dxa"/>
            <w:tcBorders>
              <w:top w:val="nil"/>
              <w:left w:val="nil"/>
              <w:bottom w:val="nil"/>
              <w:right w:val="nil"/>
            </w:tcBorders>
            <w:shd w:val="clear" w:color="000000" w:fill="FFFFFF"/>
            <w:noWrap/>
            <w:hideMark/>
          </w:tcPr>
          <w:p w14:paraId="06A78376"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0.901</w:t>
            </w:r>
          </w:p>
        </w:tc>
      </w:tr>
      <w:tr w:rsidR="00085544" w:rsidRPr="00C76E19" w14:paraId="41F04AE8" w14:textId="77777777" w:rsidTr="00085544">
        <w:trPr>
          <w:trHeight w:val="300"/>
        </w:trPr>
        <w:tc>
          <w:tcPr>
            <w:tcW w:w="3347" w:type="dxa"/>
            <w:tcBorders>
              <w:top w:val="nil"/>
              <w:left w:val="nil"/>
              <w:bottom w:val="nil"/>
              <w:right w:val="nil"/>
            </w:tcBorders>
            <w:shd w:val="clear" w:color="000000" w:fill="FFFFFF"/>
            <w:noWrap/>
            <w:hideMark/>
          </w:tcPr>
          <w:p w14:paraId="1A42B2C3"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 xml:space="preserve">Disease remission before surgery </w:t>
            </w:r>
          </w:p>
        </w:tc>
        <w:tc>
          <w:tcPr>
            <w:tcW w:w="1714" w:type="dxa"/>
            <w:tcBorders>
              <w:top w:val="nil"/>
              <w:left w:val="nil"/>
              <w:bottom w:val="nil"/>
              <w:right w:val="nil"/>
            </w:tcBorders>
            <w:shd w:val="clear" w:color="000000" w:fill="FFFFFF"/>
            <w:noWrap/>
            <w:hideMark/>
          </w:tcPr>
          <w:p w14:paraId="0BD0B3B1"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23.450</w:t>
            </w:r>
          </w:p>
        </w:tc>
        <w:tc>
          <w:tcPr>
            <w:tcW w:w="1480" w:type="dxa"/>
            <w:tcBorders>
              <w:top w:val="nil"/>
              <w:left w:val="nil"/>
              <w:bottom w:val="nil"/>
              <w:right w:val="nil"/>
            </w:tcBorders>
            <w:shd w:val="clear" w:color="000000" w:fill="FFFFFF"/>
            <w:noWrap/>
            <w:hideMark/>
          </w:tcPr>
          <w:p w14:paraId="608A4066"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10.220</w:t>
            </w:r>
          </w:p>
        </w:tc>
        <w:tc>
          <w:tcPr>
            <w:tcW w:w="1742" w:type="dxa"/>
            <w:tcBorders>
              <w:top w:val="nil"/>
              <w:left w:val="nil"/>
              <w:bottom w:val="nil"/>
              <w:right w:val="nil"/>
            </w:tcBorders>
            <w:shd w:val="clear" w:color="000000" w:fill="FFFFFF"/>
            <w:noWrap/>
            <w:hideMark/>
          </w:tcPr>
          <w:p w14:paraId="32D5849D"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13.230</w:t>
            </w:r>
          </w:p>
        </w:tc>
        <w:tc>
          <w:tcPr>
            <w:tcW w:w="1454" w:type="dxa"/>
            <w:tcBorders>
              <w:top w:val="nil"/>
              <w:left w:val="nil"/>
              <w:bottom w:val="nil"/>
              <w:right w:val="nil"/>
            </w:tcBorders>
            <w:shd w:val="clear" w:color="000000" w:fill="FFFFFF"/>
            <w:noWrap/>
            <w:hideMark/>
          </w:tcPr>
          <w:p w14:paraId="63036679"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14.066</w:t>
            </w:r>
          </w:p>
        </w:tc>
        <w:tc>
          <w:tcPr>
            <w:tcW w:w="1454" w:type="dxa"/>
            <w:tcBorders>
              <w:top w:val="nil"/>
              <w:left w:val="nil"/>
              <w:bottom w:val="nil"/>
              <w:right w:val="nil"/>
            </w:tcBorders>
            <w:shd w:val="clear" w:color="000000" w:fill="FFFFFF"/>
            <w:noWrap/>
            <w:hideMark/>
          </w:tcPr>
          <w:p w14:paraId="147F0D52"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7.288</w:t>
            </w:r>
          </w:p>
        </w:tc>
        <w:tc>
          <w:tcPr>
            <w:tcW w:w="1713" w:type="dxa"/>
            <w:tcBorders>
              <w:top w:val="nil"/>
              <w:left w:val="nil"/>
              <w:bottom w:val="nil"/>
              <w:right w:val="nil"/>
            </w:tcBorders>
            <w:shd w:val="clear" w:color="000000" w:fill="FFFFFF"/>
            <w:noWrap/>
            <w:hideMark/>
          </w:tcPr>
          <w:p w14:paraId="692EC2B3"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6.778</w:t>
            </w:r>
          </w:p>
        </w:tc>
      </w:tr>
      <w:tr w:rsidR="00085544" w:rsidRPr="00C76E19" w14:paraId="5FE092A7" w14:textId="77777777" w:rsidTr="00085544">
        <w:trPr>
          <w:trHeight w:val="300"/>
        </w:trPr>
        <w:tc>
          <w:tcPr>
            <w:tcW w:w="3347" w:type="dxa"/>
            <w:tcBorders>
              <w:top w:val="nil"/>
              <w:left w:val="nil"/>
              <w:bottom w:val="nil"/>
              <w:right w:val="nil"/>
            </w:tcBorders>
            <w:shd w:val="clear" w:color="000000" w:fill="FFFFFF"/>
            <w:noWrap/>
            <w:hideMark/>
          </w:tcPr>
          <w:p w14:paraId="3A76861D"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 xml:space="preserve">Active disease before surgery </w:t>
            </w:r>
          </w:p>
        </w:tc>
        <w:tc>
          <w:tcPr>
            <w:tcW w:w="1714" w:type="dxa"/>
            <w:tcBorders>
              <w:top w:val="nil"/>
              <w:left w:val="nil"/>
              <w:bottom w:val="nil"/>
              <w:right w:val="nil"/>
            </w:tcBorders>
            <w:shd w:val="clear" w:color="000000" w:fill="FFFFFF"/>
            <w:noWrap/>
            <w:hideMark/>
          </w:tcPr>
          <w:p w14:paraId="7003EC96"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0.973</w:t>
            </w:r>
          </w:p>
        </w:tc>
        <w:tc>
          <w:tcPr>
            <w:tcW w:w="1480" w:type="dxa"/>
            <w:tcBorders>
              <w:top w:val="nil"/>
              <w:left w:val="nil"/>
              <w:bottom w:val="nil"/>
              <w:right w:val="nil"/>
            </w:tcBorders>
            <w:shd w:val="clear" w:color="000000" w:fill="FFFFFF"/>
            <w:noWrap/>
            <w:hideMark/>
          </w:tcPr>
          <w:p w14:paraId="61981F77"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1.803</w:t>
            </w:r>
          </w:p>
        </w:tc>
        <w:tc>
          <w:tcPr>
            <w:tcW w:w="1742" w:type="dxa"/>
            <w:tcBorders>
              <w:top w:val="nil"/>
              <w:left w:val="nil"/>
              <w:bottom w:val="nil"/>
              <w:right w:val="nil"/>
            </w:tcBorders>
            <w:shd w:val="clear" w:color="000000" w:fill="FFFFFF"/>
            <w:noWrap/>
            <w:hideMark/>
          </w:tcPr>
          <w:p w14:paraId="23FC0481"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-0.831</w:t>
            </w:r>
          </w:p>
        </w:tc>
        <w:tc>
          <w:tcPr>
            <w:tcW w:w="1454" w:type="dxa"/>
            <w:tcBorders>
              <w:top w:val="nil"/>
              <w:left w:val="nil"/>
              <w:bottom w:val="nil"/>
              <w:right w:val="nil"/>
            </w:tcBorders>
            <w:shd w:val="clear" w:color="000000" w:fill="FFFFFF"/>
            <w:noWrap/>
            <w:hideMark/>
          </w:tcPr>
          <w:p w14:paraId="0574A81D"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0.566</w:t>
            </w:r>
          </w:p>
        </w:tc>
        <w:tc>
          <w:tcPr>
            <w:tcW w:w="1454" w:type="dxa"/>
            <w:tcBorders>
              <w:top w:val="nil"/>
              <w:left w:val="nil"/>
              <w:bottom w:val="nil"/>
              <w:right w:val="nil"/>
            </w:tcBorders>
            <w:shd w:val="clear" w:color="000000" w:fill="FFFFFF"/>
            <w:noWrap/>
            <w:hideMark/>
          </w:tcPr>
          <w:p w14:paraId="676217D5"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1.278</w:t>
            </w:r>
          </w:p>
        </w:tc>
        <w:tc>
          <w:tcPr>
            <w:tcW w:w="1713" w:type="dxa"/>
            <w:tcBorders>
              <w:top w:val="nil"/>
              <w:left w:val="nil"/>
              <w:bottom w:val="nil"/>
              <w:right w:val="nil"/>
            </w:tcBorders>
            <w:shd w:val="clear" w:color="000000" w:fill="FFFFFF"/>
            <w:noWrap/>
            <w:hideMark/>
          </w:tcPr>
          <w:p w14:paraId="3939222B"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-0.711</w:t>
            </w:r>
          </w:p>
        </w:tc>
      </w:tr>
      <w:tr w:rsidR="00085544" w:rsidRPr="00C76E19" w14:paraId="331DB3F7" w14:textId="77777777" w:rsidTr="00085544">
        <w:trPr>
          <w:trHeight w:val="300"/>
        </w:trPr>
        <w:tc>
          <w:tcPr>
            <w:tcW w:w="3347" w:type="dxa"/>
            <w:tcBorders>
              <w:top w:val="nil"/>
              <w:left w:val="nil"/>
              <w:bottom w:val="nil"/>
              <w:right w:val="nil"/>
            </w:tcBorders>
            <w:shd w:val="clear" w:color="000000" w:fill="FFFFFF"/>
            <w:noWrap/>
            <w:hideMark/>
          </w:tcPr>
          <w:p w14:paraId="4566F200"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 xml:space="preserve">Disease remission after surgery </w:t>
            </w:r>
          </w:p>
        </w:tc>
        <w:tc>
          <w:tcPr>
            <w:tcW w:w="1714" w:type="dxa"/>
            <w:tcBorders>
              <w:top w:val="nil"/>
              <w:left w:val="nil"/>
              <w:bottom w:val="nil"/>
              <w:right w:val="nil"/>
            </w:tcBorders>
            <w:shd w:val="clear" w:color="000000" w:fill="FFFFFF"/>
            <w:noWrap/>
            <w:hideMark/>
          </w:tcPr>
          <w:p w14:paraId="195EC1F8"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8.553</w:t>
            </w:r>
          </w:p>
        </w:tc>
        <w:tc>
          <w:tcPr>
            <w:tcW w:w="1480" w:type="dxa"/>
            <w:tcBorders>
              <w:top w:val="nil"/>
              <w:left w:val="nil"/>
              <w:bottom w:val="nil"/>
              <w:right w:val="nil"/>
            </w:tcBorders>
            <w:shd w:val="clear" w:color="000000" w:fill="FFFFFF"/>
            <w:noWrap/>
            <w:hideMark/>
          </w:tcPr>
          <w:p w14:paraId="63440402"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15.889</w:t>
            </w:r>
          </w:p>
        </w:tc>
        <w:tc>
          <w:tcPr>
            <w:tcW w:w="1742" w:type="dxa"/>
            <w:tcBorders>
              <w:top w:val="nil"/>
              <w:left w:val="nil"/>
              <w:bottom w:val="nil"/>
              <w:right w:val="nil"/>
            </w:tcBorders>
            <w:shd w:val="clear" w:color="000000" w:fill="FFFFFF"/>
            <w:noWrap/>
            <w:hideMark/>
          </w:tcPr>
          <w:p w14:paraId="435AB46A"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-7.335</w:t>
            </w:r>
          </w:p>
        </w:tc>
        <w:tc>
          <w:tcPr>
            <w:tcW w:w="1454" w:type="dxa"/>
            <w:tcBorders>
              <w:top w:val="nil"/>
              <w:left w:val="nil"/>
              <w:bottom w:val="nil"/>
              <w:right w:val="nil"/>
            </w:tcBorders>
            <w:shd w:val="clear" w:color="000000" w:fill="FFFFFF"/>
            <w:noWrap/>
            <w:hideMark/>
          </w:tcPr>
          <w:p w14:paraId="6028AA00"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3.592</w:t>
            </w:r>
          </w:p>
        </w:tc>
        <w:tc>
          <w:tcPr>
            <w:tcW w:w="1454" w:type="dxa"/>
            <w:tcBorders>
              <w:top w:val="nil"/>
              <w:left w:val="nil"/>
              <w:bottom w:val="nil"/>
              <w:right w:val="nil"/>
            </w:tcBorders>
            <w:shd w:val="clear" w:color="000000" w:fill="FFFFFF"/>
            <w:noWrap/>
            <w:hideMark/>
          </w:tcPr>
          <w:p w14:paraId="130E9E64"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7.492</w:t>
            </w:r>
          </w:p>
        </w:tc>
        <w:tc>
          <w:tcPr>
            <w:tcW w:w="1713" w:type="dxa"/>
            <w:tcBorders>
              <w:top w:val="nil"/>
              <w:left w:val="nil"/>
              <w:bottom w:val="nil"/>
              <w:right w:val="nil"/>
            </w:tcBorders>
            <w:shd w:val="clear" w:color="000000" w:fill="FFFFFF"/>
            <w:noWrap/>
            <w:hideMark/>
          </w:tcPr>
          <w:p w14:paraId="32DF1462"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-3.900</w:t>
            </w:r>
          </w:p>
        </w:tc>
      </w:tr>
      <w:tr w:rsidR="00085544" w:rsidRPr="00C76E19" w14:paraId="47562B36" w14:textId="77777777" w:rsidTr="00085544">
        <w:trPr>
          <w:trHeight w:val="300"/>
        </w:trPr>
        <w:tc>
          <w:tcPr>
            <w:tcW w:w="3347" w:type="dxa"/>
            <w:tcBorders>
              <w:top w:val="nil"/>
              <w:left w:val="nil"/>
              <w:bottom w:val="single" w:sz="4" w:space="0" w:color="auto"/>
              <w:right w:val="nil"/>
            </w:tcBorders>
            <w:shd w:val="clear" w:color="000000" w:fill="FFFFFF"/>
            <w:noWrap/>
            <w:hideMark/>
          </w:tcPr>
          <w:p w14:paraId="158DE5B2"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 xml:space="preserve">Active disease after surgery </w:t>
            </w:r>
          </w:p>
        </w:tc>
        <w:tc>
          <w:tcPr>
            <w:tcW w:w="1714" w:type="dxa"/>
            <w:tcBorders>
              <w:top w:val="nil"/>
              <w:left w:val="nil"/>
              <w:bottom w:val="single" w:sz="4" w:space="0" w:color="auto"/>
              <w:right w:val="nil"/>
            </w:tcBorders>
            <w:shd w:val="clear" w:color="000000" w:fill="FFFFFF"/>
            <w:noWrap/>
            <w:hideMark/>
          </w:tcPr>
          <w:p w14:paraId="7FB1A4C4"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0.389</w:t>
            </w:r>
          </w:p>
        </w:tc>
        <w:tc>
          <w:tcPr>
            <w:tcW w:w="1480" w:type="dxa"/>
            <w:tcBorders>
              <w:top w:val="nil"/>
              <w:left w:val="nil"/>
              <w:bottom w:val="single" w:sz="4" w:space="0" w:color="auto"/>
              <w:right w:val="nil"/>
            </w:tcBorders>
            <w:shd w:val="clear" w:color="000000" w:fill="FFFFFF"/>
            <w:noWrap/>
            <w:hideMark/>
          </w:tcPr>
          <w:p w14:paraId="5D0B01DD"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2.977</w:t>
            </w:r>
          </w:p>
        </w:tc>
        <w:tc>
          <w:tcPr>
            <w:tcW w:w="1742" w:type="dxa"/>
            <w:tcBorders>
              <w:top w:val="nil"/>
              <w:left w:val="nil"/>
              <w:bottom w:val="single" w:sz="4" w:space="0" w:color="auto"/>
              <w:right w:val="nil"/>
            </w:tcBorders>
            <w:shd w:val="clear" w:color="000000" w:fill="FFFFFF"/>
            <w:noWrap/>
            <w:hideMark/>
          </w:tcPr>
          <w:p w14:paraId="0A53757F"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-2.588</w:t>
            </w:r>
          </w:p>
        </w:tc>
        <w:tc>
          <w:tcPr>
            <w:tcW w:w="1454" w:type="dxa"/>
            <w:tcBorders>
              <w:top w:val="nil"/>
              <w:left w:val="nil"/>
              <w:bottom w:val="single" w:sz="4" w:space="0" w:color="auto"/>
              <w:right w:val="nil"/>
            </w:tcBorders>
            <w:shd w:val="clear" w:color="000000" w:fill="FFFFFF"/>
            <w:noWrap/>
            <w:hideMark/>
          </w:tcPr>
          <w:p w14:paraId="30CDB3C4"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0.168</w:t>
            </w:r>
          </w:p>
        </w:tc>
        <w:tc>
          <w:tcPr>
            <w:tcW w:w="1454" w:type="dxa"/>
            <w:tcBorders>
              <w:top w:val="nil"/>
              <w:left w:val="nil"/>
              <w:bottom w:val="single" w:sz="4" w:space="0" w:color="auto"/>
              <w:right w:val="nil"/>
            </w:tcBorders>
            <w:shd w:val="clear" w:color="000000" w:fill="FFFFFF"/>
            <w:noWrap/>
            <w:hideMark/>
          </w:tcPr>
          <w:p w14:paraId="5E763CD2"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1.433</w:t>
            </w:r>
          </w:p>
        </w:tc>
        <w:tc>
          <w:tcPr>
            <w:tcW w:w="1713" w:type="dxa"/>
            <w:tcBorders>
              <w:top w:val="nil"/>
              <w:left w:val="nil"/>
              <w:bottom w:val="single" w:sz="4" w:space="0" w:color="auto"/>
              <w:right w:val="nil"/>
            </w:tcBorders>
            <w:shd w:val="clear" w:color="000000" w:fill="FFFFFF"/>
            <w:noWrap/>
            <w:hideMark/>
          </w:tcPr>
          <w:p w14:paraId="79081D3A"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-1.266</w:t>
            </w:r>
          </w:p>
        </w:tc>
      </w:tr>
      <w:tr w:rsidR="00085544" w:rsidRPr="00C76E19" w14:paraId="0A7A98E6" w14:textId="77777777" w:rsidTr="00085544">
        <w:trPr>
          <w:trHeight w:val="300"/>
        </w:trPr>
        <w:tc>
          <w:tcPr>
            <w:tcW w:w="3347" w:type="dxa"/>
            <w:tcBorders>
              <w:top w:val="nil"/>
              <w:left w:val="nil"/>
              <w:bottom w:val="nil"/>
              <w:right w:val="nil"/>
            </w:tcBorders>
            <w:shd w:val="clear" w:color="000000" w:fill="FFFFFF"/>
            <w:noWrap/>
            <w:hideMark/>
          </w:tcPr>
          <w:p w14:paraId="4FC49B3F"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 xml:space="preserve">Total reimbursed medical costs </w:t>
            </w:r>
          </w:p>
        </w:tc>
        <w:tc>
          <w:tcPr>
            <w:tcW w:w="1714" w:type="dxa"/>
            <w:tcBorders>
              <w:top w:val="nil"/>
              <w:left w:val="nil"/>
              <w:bottom w:val="nil"/>
              <w:right w:val="nil"/>
            </w:tcBorders>
            <w:shd w:val="clear" w:color="000000" w:fill="FFFFFF"/>
            <w:noWrap/>
            <w:hideMark/>
          </w:tcPr>
          <w:p w14:paraId="4484978E" w14:textId="37557BB4"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¥469958</w:t>
            </w:r>
          </w:p>
        </w:tc>
        <w:tc>
          <w:tcPr>
            <w:tcW w:w="1480" w:type="dxa"/>
            <w:tcBorders>
              <w:top w:val="nil"/>
              <w:left w:val="nil"/>
              <w:bottom w:val="nil"/>
              <w:right w:val="nil"/>
            </w:tcBorders>
            <w:shd w:val="clear" w:color="000000" w:fill="FFFFFF"/>
            <w:noWrap/>
            <w:hideMark/>
          </w:tcPr>
          <w:p w14:paraId="2DB6E9FE" w14:textId="65776AA0"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¥373757</w:t>
            </w:r>
          </w:p>
        </w:tc>
        <w:tc>
          <w:tcPr>
            <w:tcW w:w="1742" w:type="dxa"/>
            <w:tcBorders>
              <w:top w:val="nil"/>
              <w:left w:val="nil"/>
              <w:bottom w:val="nil"/>
              <w:right w:val="nil"/>
            </w:tcBorders>
            <w:shd w:val="clear" w:color="000000" w:fill="FFFFFF"/>
            <w:noWrap/>
            <w:hideMark/>
          </w:tcPr>
          <w:p w14:paraId="5D3B9315" w14:textId="31426BD8"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¥96201</w:t>
            </w:r>
          </w:p>
        </w:tc>
        <w:tc>
          <w:tcPr>
            <w:tcW w:w="1454" w:type="dxa"/>
            <w:tcBorders>
              <w:top w:val="nil"/>
              <w:left w:val="nil"/>
              <w:bottom w:val="nil"/>
              <w:right w:val="nil"/>
            </w:tcBorders>
            <w:shd w:val="clear" w:color="000000" w:fill="FFFFFF"/>
            <w:noWrap/>
            <w:hideMark/>
          </w:tcPr>
          <w:p w14:paraId="2E773FDA" w14:textId="5C3010A3"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¥242107</w:t>
            </w:r>
          </w:p>
        </w:tc>
        <w:tc>
          <w:tcPr>
            <w:tcW w:w="1454" w:type="dxa"/>
            <w:tcBorders>
              <w:top w:val="nil"/>
              <w:left w:val="nil"/>
              <w:bottom w:val="nil"/>
              <w:right w:val="nil"/>
            </w:tcBorders>
            <w:shd w:val="clear" w:color="000000" w:fill="FFFFFF"/>
            <w:noWrap/>
            <w:hideMark/>
          </w:tcPr>
          <w:p w14:paraId="2FD949EA" w14:textId="3AFB2EE2"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¥192336</w:t>
            </w:r>
          </w:p>
        </w:tc>
        <w:tc>
          <w:tcPr>
            <w:tcW w:w="1713" w:type="dxa"/>
            <w:tcBorders>
              <w:top w:val="nil"/>
              <w:left w:val="nil"/>
              <w:bottom w:val="nil"/>
              <w:right w:val="nil"/>
            </w:tcBorders>
            <w:shd w:val="clear" w:color="000000" w:fill="FFFFFF"/>
            <w:noWrap/>
            <w:hideMark/>
          </w:tcPr>
          <w:p w14:paraId="3DF566EE" w14:textId="51425CA2"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¥49771</w:t>
            </w:r>
          </w:p>
        </w:tc>
      </w:tr>
      <w:tr w:rsidR="00085544" w:rsidRPr="00C76E19" w14:paraId="0354B048" w14:textId="77777777" w:rsidTr="00085544">
        <w:trPr>
          <w:trHeight w:val="300"/>
        </w:trPr>
        <w:tc>
          <w:tcPr>
            <w:tcW w:w="3347" w:type="dxa"/>
            <w:tcBorders>
              <w:top w:val="nil"/>
              <w:left w:val="nil"/>
              <w:bottom w:val="nil"/>
              <w:right w:val="nil"/>
            </w:tcBorders>
            <w:shd w:val="clear" w:color="000000" w:fill="FFFFFF"/>
            <w:noWrap/>
            <w:hideMark/>
          </w:tcPr>
          <w:p w14:paraId="1C485A44"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 xml:space="preserve">Drug costs </w:t>
            </w:r>
          </w:p>
        </w:tc>
        <w:tc>
          <w:tcPr>
            <w:tcW w:w="1714" w:type="dxa"/>
            <w:tcBorders>
              <w:top w:val="nil"/>
              <w:left w:val="nil"/>
              <w:bottom w:val="nil"/>
              <w:right w:val="nil"/>
            </w:tcBorders>
            <w:shd w:val="clear" w:color="000000" w:fill="FFFFFF"/>
            <w:noWrap/>
            <w:hideMark/>
          </w:tcPr>
          <w:p w14:paraId="1EBBAAB6" w14:textId="79E88618"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¥156606</w:t>
            </w:r>
          </w:p>
        </w:tc>
        <w:tc>
          <w:tcPr>
            <w:tcW w:w="1480" w:type="dxa"/>
            <w:tcBorders>
              <w:top w:val="nil"/>
              <w:left w:val="nil"/>
              <w:bottom w:val="nil"/>
              <w:right w:val="nil"/>
            </w:tcBorders>
            <w:shd w:val="clear" w:color="000000" w:fill="FFFFFF"/>
            <w:noWrap/>
            <w:hideMark/>
          </w:tcPr>
          <w:p w14:paraId="2090D0F3" w14:textId="686D3F5A"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¥48359</w:t>
            </w:r>
          </w:p>
        </w:tc>
        <w:tc>
          <w:tcPr>
            <w:tcW w:w="1742" w:type="dxa"/>
            <w:tcBorders>
              <w:top w:val="nil"/>
              <w:left w:val="nil"/>
              <w:bottom w:val="nil"/>
              <w:right w:val="nil"/>
            </w:tcBorders>
            <w:shd w:val="clear" w:color="000000" w:fill="FFFFFF"/>
            <w:noWrap/>
            <w:hideMark/>
          </w:tcPr>
          <w:p w14:paraId="6EACC308" w14:textId="42244A9E"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¥108246</w:t>
            </w:r>
          </w:p>
        </w:tc>
        <w:tc>
          <w:tcPr>
            <w:tcW w:w="1454" w:type="dxa"/>
            <w:tcBorders>
              <w:top w:val="nil"/>
              <w:left w:val="nil"/>
              <w:bottom w:val="nil"/>
              <w:right w:val="nil"/>
            </w:tcBorders>
            <w:shd w:val="clear" w:color="000000" w:fill="FFFFFF"/>
            <w:noWrap/>
            <w:hideMark/>
          </w:tcPr>
          <w:p w14:paraId="75CCEF81" w14:textId="054F70F5"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¥84553</w:t>
            </w:r>
          </w:p>
        </w:tc>
        <w:tc>
          <w:tcPr>
            <w:tcW w:w="1454" w:type="dxa"/>
            <w:tcBorders>
              <w:top w:val="nil"/>
              <w:left w:val="nil"/>
              <w:bottom w:val="nil"/>
              <w:right w:val="nil"/>
            </w:tcBorders>
            <w:shd w:val="clear" w:color="000000" w:fill="FFFFFF"/>
            <w:noWrap/>
            <w:hideMark/>
          </w:tcPr>
          <w:p w14:paraId="520D21C5" w14:textId="53AD2D83"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¥25062</w:t>
            </w:r>
          </w:p>
        </w:tc>
        <w:tc>
          <w:tcPr>
            <w:tcW w:w="1713" w:type="dxa"/>
            <w:tcBorders>
              <w:top w:val="nil"/>
              <w:left w:val="nil"/>
              <w:bottom w:val="nil"/>
              <w:right w:val="nil"/>
            </w:tcBorders>
            <w:shd w:val="clear" w:color="000000" w:fill="FFFFFF"/>
            <w:noWrap/>
            <w:hideMark/>
          </w:tcPr>
          <w:p w14:paraId="5CD570C9" w14:textId="35B7D182"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¥59491</w:t>
            </w:r>
          </w:p>
        </w:tc>
      </w:tr>
      <w:tr w:rsidR="00085544" w:rsidRPr="00C76E19" w14:paraId="5B545479" w14:textId="77777777" w:rsidTr="00085544">
        <w:trPr>
          <w:trHeight w:val="300"/>
        </w:trPr>
        <w:tc>
          <w:tcPr>
            <w:tcW w:w="3347" w:type="dxa"/>
            <w:tcBorders>
              <w:top w:val="nil"/>
              <w:left w:val="nil"/>
              <w:bottom w:val="nil"/>
              <w:right w:val="nil"/>
            </w:tcBorders>
            <w:shd w:val="clear" w:color="000000" w:fill="FFFFFF"/>
            <w:noWrap/>
            <w:hideMark/>
          </w:tcPr>
          <w:p w14:paraId="62FB64CA"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 xml:space="preserve">Surgery costs </w:t>
            </w:r>
          </w:p>
        </w:tc>
        <w:tc>
          <w:tcPr>
            <w:tcW w:w="1714" w:type="dxa"/>
            <w:tcBorders>
              <w:top w:val="nil"/>
              <w:left w:val="nil"/>
              <w:bottom w:val="nil"/>
              <w:right w:val="nil"/>
            </w:tcBorders>
            <w:shd w:val="clear" w:color="000000" w:fill="FFFFFF"/>
            <w:noWrap/>
            <w:hideMark/>
          </w:tcPr>
          <w:p w14:paraId="615680C9" w14:textId="67ED36AD"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¥8261</w:t>
            </w:r>
          </w:p>
        </w:tc>
        <w:tc>
          <w:tcPr>
            <w:tcW w:w="1480" w:type="dxa"/>
            <w:tcBorders>
              <w:top w:val="nil"/>
              <w:left w:val="nil"/>
              <w:bottom w:val="nil"/>
              <w:right w:val="nil"/>
            </w:tcBorders>
            <w:shd w:val="clear" w:color="000000" w:fill="FFFFFF"/>
            <w:noWrap/>
            <w:hideMark/>
          </w:tcPr>
          <w:p w14:paraId="4E9782F9" w14:textId="12576B82"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¥28346</w:t>
            </w:r>
          </w:p>
        </w:tc>
        <w:tc>
          <w:tcPr>
            <w:tcW w:w="1742" w:type="dxa"/>
            <w:tcBorders>
              <w:top w:val="nil"/>
              <w:left w:val="nil"/>
              <w:bottom w:val="nil"/>
              <w:right w:val="nil"/>
            </w:tcBorders>
            <w:shd w:val="clear" w:color="000000" w:fill="FFFFFF"/>
            <w:noWrap/>
            <w:hideMark/>
          </w:tcPr>
          <w:p w14:paraId="25887023" w14:textId="3EC419D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-¥20085</w:t>
            </w:r>
          </w:p>
        </w:tc>
        <w:tc>
          <w:tcPr>
            <w:tcW w:w="1454" w:type="dxa"/>
            <w:tcBorders>
              <w:top w:val="nil"/>
              <w:left w:val="nil"/>
              <w:bottom w:val="nil"/>
              <w:right w:val="nil"/>
            </w:tcBorders>
            <w:shd w:val="clear" w:color="000000" w:fill="FFFFFF"/>
            <w:noWrap/>
            <w:hideMark/>
          </w:tcPr>
          <w:p w14:paraId="6020C345" w14:textId="04202F1E"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¥4019</w:t>
            </w:r>
          </w:p>
        </w:tc>
        <w:tc>
          <w:tcPr>
            <w:tcW w:w="1454" w:type="dxa"/>
            <w:tcBorders>
              <w:top w:val="nil"/>
              <w:left w:val="nil"/>
              <w:bottom w:val="nil"/>
              <w:right w:val="nil"/>
            </w:tcBorders>
            <w:shd w:val="clear" w:color="000000" w:fill="FFFFFF"/>
            <w:noWrap/>
            <w:hideMark/>
          </w:tcPr>
          <w:p w14:paraId="63F01132" w14:textId="61BC357D"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¥14511</w:t>
            </w:r>
          </w:p>
        </w:tc>
        <w:tc>
          <w:tcPr>
            <w:tcW w:w="1713" w:type="dxa"/>
            <w:tcBorders>
              <w:top w:val="nil"/>
              <w:left w:val="nil"/>
              <w:bottom w:val="nil"/>
              <w:right w:val="nil"/>
            </w:tcBorders>
            <w:shd w:val="clear" w:color="000000" w:fill="FFFFFF"/>
            <w:noWrap/>
            <w:hideMark/>
          </w:tcPr>
          <w:p w14:paraId="0BD090EC" w14:textId="0C5CE0F8"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-¥10492</w:t>
            </w:r>
          </w:p>
        </w:tc>
      </w:tr>
      <w:tr w:rsidR="00085544" w:rsidRPr="00C76E19" w14:paraId="66299A48" w14:textId="77777777" w:rsidTr="00085544">
        <w:trPr>
          <w:trHeight w:val="300"/>
        </w:trPr>
        <w:tc>
          <w:tcPr>
            <w:tcW w:w="3347" w:type="dxa"/>
            <w:tcBorders>
              <w:top w:val="nil"/>
              <w:left w:val="nil"/>
              <w:bottom w:val="nil"/>
              <w:right w:val="nil"/>
            </w:tcBorders>
            <w:shd w:val="clear" w:color="000000" w:fill="FFFFFF"/>
            <w:noWrap/>
            <w:hideMark/>
          </w:tcPr>
          <w:p w14:paraId="4D397C46"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 xml:space="preserve">Disease remission management </w:t>
            </w:r>
          </w:p>
        </w:tc>
        <w:tc>
          <w:tcPr>
            <w:tcW w:w="1714" w:type="dxa"/>
            <w:tcBorders>
              <w:top w:val="nil"/>
              <w:left w:val="nil"/>
              <w:bottom w:val="nil"/>
              <w:right w:val="nil"/>
            </w:tcBorders>
            <w:shd w:val="clear" w:color="000000" w:fill="FFFFFF"/>
            <w:noWrap/>
            <w:hideMark/>
          </w:tcPr>
          <w:p w14:paraId="31616CDC" w14:textId="622F346D"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¥284675</w:t>
            </w:r>
          </w:p>
        </w:tc>
        <w:tc>
          <w:tcPr>
            <w:tcW w:w="1480" w:type="dxa"/>
            <w:tcBorders>
              <w:top w:val="nil"/>
              <w:left w:val="nil"/>
              <w:bottom w:val="nil"/>
              <w:right w:val="nil"/>
            </w:tcBorders>
            <w:shd w:val="clear" w:color="000000" w:fill="FFFFFF"/>
            <w:noWrap/>
            <w:hideMark/>
          </w:tcPr>
          <w:p w14:paraId="019A0F30" w14:textId="47FB2B7D"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¥226987</w:t>
            </w:r>
          </w:p>
        </w:tc>
        <w:tc>
          <w:tcPr>
            <w:tcW w:w="1742" w:type="dxa"/>
            <w:tcBorders>
              <w:top w:val="nil"/>
              <w:left w:val="nil"/>
              <w:bottom w:val="nil"/>
              <w:right w:val="nil"/>
            </w:tcBorders>
            <w:shd w:val="clear" w:color="000000" w:fill="FFFFFF"/>
            <w:noWrap/>
            <w:hideMark/>
          </w:tcPr>
          <w:p w14:paraId="0E45610F" w14:textId="09C037D9"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¥57687</w:t>
            </w:r>
          </w:p>
        </w:tc>
        <w:tc>
          <w:tcPr>
            <w:tcW w:w="1454" w:type="dxa"/>
            <w:tcBorders>
              <w:top w:val="nil"/>
              <w:left w:val="nil"/>
              <w:bottom w:val="nil"/>
              <w:right w:val="nil"/>
            </w:tcBorders>
            <w:shd w:val="clear" w:color="000000" w:fill="FFFFFF"/>
            <w:noWrap/>
            <w:hideMark/>
          </w:tcPr>
          <w:p w14:paraId="7352D7C3" w14:textId="2E2B46B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¥143601</w:t>
            </w:r>
          </w:p>
        </w:tc>
        <w:tc>
          <w:tcPr>
            <w:tcW w:w="1454" w:type="dxa"/>
            <w:tcBorders>
              <w:top w:val="nil"/>
              <w:left w:val="nil"/>
              <w:bottom w:val="nil"/>
              <w:right w:val="nil"/>
            </w:tcBorders>
            <w:shd w:val="clear" w:color="000000" w:fill="FFFFFF"/>
            <w:noWrap/>
            <w:hideMark/>
          </w:tcPr>
          <w:p w14:paraId="4C2C380E" w14:textId="4D44ADE0"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¥116897</w:t>
            </w:r>
          </w:p>
        </w:tc>
        <w:tc>
          <w:tcPr>
            <w:tcW w:w="1713" w:type="dxa"/>
            <w:tcBorders>
              <w:top w:val="nil"/>
              <w:left w:val="nil"/>
              <w:bottom w:val="nil"/>
              <w:right w:val="nil"/>
            </w:tcBorders>
            <w:shd w:val="clear" w:color="000000" w:fill="FFFFFF"/>
            <w:noWrap/>
            <w:hideMark/>
          </w:tcPr>
          <w:p w14:paraId="576F5C02" w14:textId="5ECF4A95"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¥26704</w:t>
            </w:r>
          </w:p>
        </w:tc>
      </w:tr>
      <w:tr w:rsidR="00085544" w:rsidRPr="00C76E19" w14:paraId="2EDB4272" w14:textId="77777777" w:rsidTr="00085544">
        <w:trPr>
          <w:trHeight w:val="300"/>
        </w:trPr>
        <w:tc>
          <w:tcPr>
            <w:tcW w:w="3347" w:type="dxa"/>
            <w:tcBorders>
              <w:top w:val="nil"/>
              <w:left w:val="nil"/>
              <w:bottom w:val="single" w:sz="4" w:space="0" w:color="auto"/>
              <w:right w:val="nil"/>
            </w:tcBorders>
            <w:shd w:val="clear" w:color="000000" w:fill="FFFFFF"/>
            <w:noWrap/>
            <w:hideMark/>
          </w:tcPr>
          <w:p w14:paraId="6510A906"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 xml:space="preserve">Active disease management </w:t>
            </w:r>
          </w:p>
        </w:tc>
        <w:tc>
          <w:tcPr>
            <w:tcW w:w="1714" w:type="dxa"/>
            <w:tcBorders>
              <w:top w:val="nil"/>
              <w:left w:val="nil"/>
              <w:bottom w:val="single" w:sz="4" w:space="0" w:color="auto"/>
              <w:right w:val="nil"/>
            </w:tcBorders>
            <w:shd w:val="clear" w:color="000000" w:fill="FFFFFF"/>
            <w:noWrap/>
            <w:hideMark/>
          </w:tcPr>
          <w:p w14:paraId="4B314876" w14:textId="516D18A9"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¥20417</w:t>
            </w:r>
          </w:p>
        </w:tc>
        <w:tc>
          <w:tcPr>
            <w:tcW w:w="1480" w:type="dxa"/>
            <w:tcBorders>
              <w:top w:val="nil"/>
              <w:left w:val="nil"/>
              <w:bottom w:val="single" w:sz="4" w:space="0" w:color="auto"/>
              <w:right w:val="nil"/>
            </w:tcBorders>
            <w:shd w:val="clear" w:color="000000" w:fill="FFFFFF"/>
            <w:noWrap/>
            <w:hideMark/>
          </w:tcPr>
          <w:p w14:paraId="3CB5A551" w14:textId="77F445BF"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¥70065</w:t>
            </w:r>
          </w:p>
        </w:tc>
        <w:tc>
          <w:tcPr>
            <w:tcW w:w="1742" w:type="dxa"/>
            <w:tcBorders>
              <w:top w:val="nil"/>
              <w:left w:val="nil"/>
              <w:bottom w:val="single" w:sz="4" w:space="0" w:color="auto"/>
              <w:right w:val="nil"/>
            </w:tcBorders>
            <w:shd w:val="clear" w:color="000000" w:fill="FFFFFF"/>
            <w:noWrap/>
            <w:hideMark/>
          </w:tcPr>
          <w:p w14:paraId="1F93F516" w14:textId="7124A1AD"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-¥49648</w:t>
            </w:r>
          </w:p>
        </w:tc>
        <w:tc>
          <w:tcPr>
            <w:tcW w:w="1454" w:type="dxa"/>
            <w:tcBorders>
              <w:top w:val="nil"/>
              <w:left w:val="nil"/>
              <w:bottom w:val="single" w:sz="4" w:space="0" w:color="auto"/>
              <w:right w:val="nil"/>
            </w:tcBorders>
            <w:shd w:val="clear" w:color="000000" w:fill="FFFFFF"/>
            <w:noWrap/>
            <w:hideMark/>
          </w:tcPr>
          <w:p w14:paraId="23A67851" w14:textId="255B5C44"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¥9934</w:t>
            </w:r>
          </w:p>
        </w:tc>
        <w:tc>
          <w:tcPr>
            <w:tcW w:w="1454" w:type="dxa"/>
            <w:tcBorders>
              <w:top w:val="nil"/>
              <w:left w:val="nil"/>
              <w:bottom w:val="single" w:sz="4" w:space="0" w:color="auto"/>
              <w:right w:val="nil"/>
            </w:tcBorders>
            <w:shd w:val="clear" w:color="000000" w:fill="FFFFFF"/>
            <w:noWrap/>
            <w:hideMark/>
          </w:tcPr>
          <w:p w14:paraId="44628561" w14:textId="3CEF5E44"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¥35866</w:t>
            </w:r>
          </w:p>
        </w:tc>
        <w:tc>
          <w:tcPr>
            <w:tcW w:w="1713" w:type="dxa"/>
            <w:tcBorders>
              <w:top w:val="nil"/>
              <w:left w:val="nil"/>
              <w:bottom w:val="single" w:sz="4" w:space="0" w:color="auto"/>
              <w:right w:val="nil"/>
            </w:tcBorders>
            <w:shd w:val="clear" w:color="000000" w:fill="FFFFFF"/>
            <w:noWrap/>
            <w:hideMark/>
          </w:tcPr>
          <w:p w14:paraId="12A3BECC" w14:textId="46002E12"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-¥25932</w:t>
            </w:r>
          </w:p>
        </w:tc>
      </w:tr>
      <w:tr w:rsidR="00085544" w:rsidRPr="00C76E19" w14:paraId="0345DAEC" w14:textId="77777777" w:rsidTr="00085544">
        <w:trPr>
          <w:trHeight w:val="300"/>
        </w:trPr>
        <w:tc>
          <w:tcPr>
            <w:tcW w:w="3347" w:type="dxa"/>
            <w:tcBorders>
              <w:top w:val="nil"/>
              <w:left w:val="nil"/>
              <w:bottom w:val="nil"/>
              <w:right w:val="nil"/>
            </w:tcBorders>
            <w:shd w:val="clear" w:color="000000" w:fill="FFFFFF"/>
            <w:noWrap/>
            <w:hideMark/>
          </w:tcPr>
          <w:p w14:paraId="2C90DAF1"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 xml:space="preserve">Total patient out-of-pocket costs </w:t>
            </w:r>
          </w:p>
        </w:tc>
        <w:tc>
          <w:tcPr>
            <w:tcW w:w="1714" w:type="dxa"/>
            <w:tcBorders>
              <w:top w:val="nil"/>
              <w:left w:val="nil"/>
              <w:bottom w:val="nil"/>
              <w:right w:val="nil"/>
            </w:tcBorders>
            <w:shd w:val="clear" w:color="000000" w:fill="FFFFFF"/>
            <w:noWrap/>
            <w:hideMark/>
          </w:tcPr>
          <w:p w14:paraId="4C2C2CFC" w14:textId="0FF43A70"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¥726433</w:t>
            </w:r>
          </w:p>
        </w:tc>
        <w:tc>
          <w:tcPr>
            <w:tcW w:w="1480" w:type="dxa"/>
            <w:tcBorders>
              <w:top w:val="nil"/>
              <w:left w:val="nil"/>
              <w:bottom w:val="nil"/>
              <w:right w:val="nil"/>
            </w:tcBorders>
            <w:shd w:val="clear" w:color="000000" w:fill="FFFFFF"/>
            <w:noWrap/>
            <w:hideMark/>
          </w:tcPr>
          <w:p w14:paraId="55C6ACCB" w14:textId="2772A29F"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¥163918</w:t>
            </w:r>
          </w:p>
        </w:tc>
        <w:tc>
          <w:tcPr>
            <w:tcW w:w="1742" w:type="dxa"/>
            <w:tcBorders>
              <w:top w:val="nil"/>
              <w:left w:val="nil"/>
              <w:bottom w:val="nil"/>
              <w:right w:val="nil"/>
            </w:tcBorders>
            <w:shd w:val="clear" w:color="000000" w:fill="FFFFFF"/>
            <w:noWrap/>
            <w:hideMark/>
          </w:tcPr>
          <w:p w14:paraId="41DFBB24" w14:textId="73D56F9F"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¥562515</w:t>
            </w:r>
          </w:p>
        </w:tc>
        <w:tc>
          <w:tcPr>
            <w:tcW w:w="1454" w:type="dxa"/>
            <w:tcBorders>
              <w:top w:val="nil"/>
              <w:left w:val="nil"/>
              <w:bottom w:val="nil"/>
              <w:right w:val="nil"/>
            </w:tcBorders>
            <w:shd w:val="clear" w:color="000000" w:fill="FFFFFF"/>
            <w:noWrap/>
            <w:hideMark/>
          </w:tcPr>
          <w:p w14:paraId="11B1B70E" w14:textId="5E281A00"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¥431392</w:t>
            </w:r>
          </w:p>
        </w:tc>
        <w:tc>
          <w:tcPr>
            <w:tcW w:w="1454" w:type="dxa"/>
            <w:tcBorders>
              <w:top w:val="nil"/>
              <w:left w:val="nil"/>
              <w:bottom w:val="nil"/>
              <w:right w:val="nil"/>
            </w:tcBorders>
            <w:shd w:val="clear" w:color="000000" w:fill="FFFFFF"/>
            <w:noWrap/>
            <w:hideMark/>
          </w:tcPr>
          <w:p w14:paraId="69C84217" w14:textId="437A59ED"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¥109111</w:t>
            </w:r>
          </w:p>
        </w:tc>
        <w:tc>
          <w:tcPr>
            <w:tcW w:w="1713" w:type="dxa"/>
            <w:tcBorders>
              <w:top w:val="nil"/>
              <w:left w:val="nil"/>
              <w:bottom w:val="nil"/>
              <w:right w:val="nil"/>
            </w:tcBorders>
            <w:shd w:val="clear" w:color="000000" w:fill="FFFFFF"/>
            <w:noWrap/>
            <w:hideMark/>
          </w:tcPr>
          <w:p w14:paraId="429C5A6D" w14:textId="47D8B0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¥322281</w:t>
            </w:r>
          </w:p>
        </w:tc>
      </w:tr>
      <w:tr w:rsidR="00085544" w:rsidRPr="00C76E19" w14:paraId="69B8B1CA" w14:textId="77777777" w:rsidTr="00085544">
        <w:trPr>
          <w:trHeight w:val="300"/>
        </w:trPr>
        <w:tc>
          <w:tcPr>
            <w:tcW w:w="3347" w:type="dxa"/>
            <w:tcBorders>
              <w:top w:val="nil"/>
              <w:left w:val="nil"/>
              <w:bottom w:val="nil"/>
              <w:right w:val="nil"/>
            </w:tcBorders>
            <w:shd w:val="clear" w:color="000000" w:fill="FFFFFF"/>
            <w:noWrap/>
            <w:hideMark/>
          </w:tcPr>
          <w:p w14:paraId="29EC429D"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 xml:space="preserve">Drug costs </w:t>
            </w:r>
          </w:p>
        </w:tc>
        <w:tc>
          <w:tcPr>
            <w:tcW w:w="1714" w:type="dxa"/>
            <w:tcBorders>
              <w:top w:val="nil"/>
              <w:left w:val="nil"/>
              <w:bottom w:val="nil"/>
              <w:right w:val="nil"/>
            </w:tcBorders>
            <w:shd w:val="clear" w:color="000000" w:fill="FFFFFF"/>
            <w:noWrap/>
            <w:hideMark/>
          </w:tcPr>
          <w:p w14:paraId="67C44153" w14:textId="5EF69720"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¥629970</w:t>
            </w:r>
          </w:p>
        </w:tc>
        <w:tc>
          <w:tcPr>
            <w:tcW w:w="1480" w:type="dxa"/>
            <w:tcBorders>
              <w:top w:val="nil"/>
              <w:left w:val="nil"/>
              <w:bottom w:val="nil"/>
              <w:right w:val="nil"/>
            </w:tcBorders>
            <w:shd w:val="clear" w:color="000000" w:fill="FFFFFF"/>
            <w:noWrap/>
            <w:hideMark/>
          </w:tcPr>
          <w:p w14:paraId="6F0AF826" w14:textId="351094EC"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¥27629</w:t>
            </w:r>
          </w:p>
        </w:tc>
        <w:tc>
          <w:tcPr>
            <w:tcW w:w="1742" w:type="dxa"/>
            <w:tcBorders>
              <w:top w:val="nil"/>
              <w:left w:val="nil"/>
              <w:bottom w:val="nil"/>
              <w:right w:val="nil"/>
            </w:tcBorders>
            <w:shd w:val="clear" w:color="000000" w:fill="FFFFFF"/>
            <w:noWrap/>
            <w:hideMark/>
          </w:tcPr>
          <w:p w14:paraId="12DEB255" w14:textId="582DE398"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¥602340</w:t>
            </w:r>
          </w:p>
        </w:tc>
        <w:tc>
          <w:tcPr>
            <w:tcW w:w="1454" w:type="dxa"/>
            <w:tcBorders>
              <w:top w:val="nil"/>
              <w:left w:val="nil"/>
              <w:bottom w:val="nil"/>
              <w:right w:val="nil"/>
            </w:tcBorders>
            <w:shd w:val="clear" w:color="000000" w:fill="FFFFFF"/>
            <w:noWrap/>
            <w:hideMark/>
          </w:tcPr>
          <w:p w14:paraId="447ACCDE" w14:textId="73813175"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¥374967</w:t>
            </w:r>
          </w:p>
        </w:tc>
        <w:tc>
          <w:tcPr>
            <w:tcW w:w="1454" w:type="dxa"/>
            <w:tcBorders>
              <w:top w:val="nil"/>
              <w:left w:val="nil"/>
              <w:bottom w:val="nil"/>
              <w:right w:val="nil"/>
            </w:tcBorders>
            <w:shd w:val="clear" w:color="000000" w:fill="FFFFFF"/>
            <w:noWrap/>
            <w:hideMark/>
          </w:tcPr>
          <w:p w14:paraId="36122775" w14:textId="3E533D48"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¥18346</w:t>
            </w:r>
          </w:p>
        </w:tc>
        <w:tc>
          <w:tcPr>
            <w:tcW w:w="1713" w:type="dxa"/>
            <w:tcBorders>
              <w:top w:val="nil"/>
              <w:left w:val="nil"/>
              <w:bottom w:val="nil"/>
              <w:right w:val="nil"/>
            </w:tcBorders>
            <w:shd w:val="clear" w:color="000000" w:fill="FFFFFF"/>
            <w:noWrap/>
            <w:hideMark/>
          </w:tcPr>
          <w:p w14:paraId="71807FEE" w14:textId="1A62BCAA"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¥356622</w:t>
            </w:r>
          </w:p>
        </w:tc>
      </w:tr>
      <w:tr w:rsidR="00085544" w:rsidRPr="00C76E19" w14:paraId="6A69D5CE" w14:textId="77777777" w:rsidTr="00085544">
        <w:trPr>
          <w:trHeight w:val="300"/>
        </w:trPr>
        <w:tc>
          <w:tcPr>
            <w:tcW w:w="3347" w:type="dxa"/>
            <w:tcBorders>
              <w:top w:val="nil"/>
              <w:left w:val="nil"/>
              <w:bottom w:val="nil"/>
              <w:right w:val="nil"/>
            </w:tcBorders>
            <w:shd w:val="clear" w:color="000000" w:fill="FFFFFF"/>
            <w:noWrap/>
            <w:hideMark/>
          </w:tcPr>
          <w:p w14:paraId="6D89749D"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 xml:space="preserve">Surgery costs </w:t>
            </w:r>
          </w:p>
        </w:tc>
        <w:tc>
          <w:tcPr>
            <w:tcW w:w="1714" w:type="dxa"/>
            <w:tcBorders>
              <w:top w:val="nil"/>
              <w:left w:val="nil"/>
              <w:bottom w:val="nil"/>
              <w:right w:val="nil"/>
            </w:tcBorders>
            <w:shd w:val="clear" w:color="000000" w:fill="FFFFFF"/>
            <w:noWrap/>
            <w:hideMark/>
          </w:tcPr>
          <w:p w14:paraId="4D4B89E5" w14:textId="58EC8080"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¥2526</w:t>
            </w:r>
          </w:p>
        </w:tc>
        <w:tc>
          <w:tcPr>
            <w:tcW w:w="1480" w:type="dxa"/>
            <w:tcBorders>
              <w:top w:val="nil"/>
              <w:left w:val="nil"/>
              <w:bottom w:val="nil"/>
              <w:right w:val="nil"/>
            </w:tcBorders>
            <w:shd w:val="clear" w:color="000000" w:fill="FFFFFF"/>
            <w:noWrap/>
            <w:hideMark/>
          </w:tcPr>
          <w:p w14:paraId="65F5EE88" w14:textId="040A97EE"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¥11736</w:t>
            </w:r>
          </w:p>
        </w:tc>
        <w:tc>
          <w:tcPr>
            <w:tcW w:w="1742" w:type="dxa"/>
            <w:tcBorders>
              <w:top w:val="nil"/>
              <w:left w:val="nil"/>
              <w:bottom w:val="nil"/>
              <w:right w:val="nil"/>
            </w:tcBorders>
            <w:shd w:val="clear" w:color="000000" w:fill="FFFFFF"/>
            <w:noWrap/>
            <w:hideMark/>
          </w:tcPr>
          <w:p w14:paraId="26CCB72B" w14:textId="25732861"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-¥9210</w:t>
            </w:r>
          </w:p>
        </w:tc>
        <w:tc>
          <w:tcPr>
            <w:tcW w:w="1454" w:type="dxa"/>
            <w:tcBorders>
              <w:top w:val="nil"/>
              <w:left w:val="nil"/>
              <w:bottom w:val="nil"/>
              <w:right w:val="nil"/>
            </w:tcBorders>
            <w:shd w:val="clear" w:color="000000" w:fill="FFFFFF"/>
            <w:noWrap/>
            <w:hideMark/>
          </w:tcPr>
          <w:p w14:paraId="6C22E7B3" w14:textId="4DE0DD71"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¥1452</w:t>
            </w:r>
          </w:p>
        </w:tc>
        <w:tc>
          <w:tcPr>
            <w:tcW w:w="1454" w:type="dxa"/>
            <w:tcBorders>
              <w:top w:val="nil"/>
              <w:left w:val="nil"/>
              <w:bottom w:val="nil"/>
              <w:right w:val="nil"/>
            </w:tcBorders>
            <w:shd w:val="clear" w:color="000000" w:fill="FFFFFF"/>
            <w:noWrap/>
            <w:hideMark/>
          </w:tcPr>
          <w:p w14:paraId="121FA9DA" w14:textId="469C077A"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¥7840</w:t>
            </w:r>
          </w:p>
        </w:tc>
        <w:tc>
          <w:tcPr>
            <w:tcW w:w="1713" w:type="dxa"/>
            <w:tcBorders>
              <w:top w:val="nil"/>
              <w:left w:val="nil"/>
              <w:bottom w:val="nil"/>
              <w:right w:val="nil"/>
            </w:tcBorders>
            <w:shd w:val="clear" w:color="000000" w:fill="FFFFFF"/>
            <w:noWrap/>
            <w:hideMark/>
          </w:tcPr>
          <w:p w14:paraId="63C3D25B" w14:textId="6AD79B79"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-¥6387</w:t>
            </w:r>
          </w:p>
        </w:tc>
      </w:tr>
      <w:tr w:rsidR="00085544" w:rsidRPr="00C76E19" w14:paraId="401AF596" w14:textId="77777777" w:rsidTr="00085544">
        <w:trPr>
          <w:trHeight w:val="300"/>
        </w:trPr>
        <w:tc>
          <w:tcPr>
            <w:tcW w:w="3347" w:type="dxa"/>
            <w:tcBorders>
              <w:top w:val="nil"/>
              <w:left w:val="nil"/>
              <w:bottom w:val="nil"/>
              <w:right w:val="nil"/>
            </w:tcBorders>
            <w:shd w:val="clear" w:color="000000" w:fill="FFFFFF"/>
            <w:noWrap/>
            <w:hideMark/>
          </w:tcPr>
          <w:p w14:paraId="793C3D7D"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 xml:space="preserve">Disease remission management </w:t>
            </w:r>
          </w:p>
        </w:tc>
        <w:tc>
          <w:tcPr>
            <w:tcW w:w="1714" w:type="dxa"/>
            <w:tcBorders>
              <w:top w:val="nil"/>
              <w:left w:val="nil"/>
              <w:bottom w:val="nil"/>
              <w:right w:val="nil"/>
            </w:tcBorders>
            <w:shd w:val="clear" w:color="000000" w:fill="FFFFFF"/>
            <w:noWrap/>
            <w:hideMark/>
          </w:tcPr>
          <w:p w14:paraId="170FD5B4" w14:textId="6C746E16"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¥87695</w:t>
            </w:r>
          </w:p>
        </w:tc>
        <w:tc>
          <w:tcPr>
            <w:tcW w:w="1480" w:type="dxa"/>
            <w:tcBorders>
              <w:top w:val="nil"/>
              <w:left w:val="nil"/>
              <w:bottom w:val="nil"/>
              <w:right w:val="nil"/>
            </w:tcBorders>
            <w:shd w:val="clear" w:color="000000" w:fill="FFFFFF"/>
            <w:noWrap/>
            <w:hideMark/>
          </w:tcPr>
          <w:p w14:paraId="55862671" w14:textId="49B02905"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¥95541</w:t>
            </w:r>
          </w:p>
        </w:tc>
        <w:tc>
          <w:tcPr>
            <w:tcW w:w="1742" w:type="dxa"/>
            <w:tcBorders>
              <w:top w:val="nil"/>
              <w:left w:val="nil"/>
              <w:bottom w:val="nil"/>
              <w:right w:val="nil"/>
            </w:tcBorders>
            <w:shd w:val="clear" w:color="000000" w:fill="FFFFFF"/>
            <w:noWrap/>
            <w:hideMark/>
          </w:tcPr>
          <w:p w14:paraId="167DA4E7" w14:textId="0622755E"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-¥7846</w:t>
            </w:r>
          </w:p>
        </w:tc>
        <w:tc>
          <w:tcPr>
            <w:tcW w:w="1454" w:type="dxa"/>
            <w:tcBorders>
              <w:top w:val="nil"/>
              <w:left w:val="nil"/>
              <w:bottom w:val="nil"/>
              <w:right w:val="nil"/>
            </w:tcBorders>
            <w:shd w:val="clear" w:color="000000" w:fill="FFFFFF"/>
            <w:noWrap/>
            <w:hideMark/>
          </w:tcPr>
          <w:p w14:paraId="4C61B371" w14:textId="72FD54BD"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¥51383</w:t>
            </w:r>
          </w:p>
        </w:tc>
        <w:tc>
          <w:tcPr>
            <w:tcW w:w="1454" w:type="dxa"/>
            <w:tcBorders>
              <w:top w:val="nil"/>
              <w:left w:val="nil"/>
              <w:bottom w:val="nil"/>
              <w:right w:val="nil"/>
            </w:tcBorders>
            <w:shd w:val="clear" w:color="000000" w:fill="FFFFFF"/>
            <w:noWrap/>
            <w:hideMark/>
          </w:tcPr>
          <w:p w14:paraId="5B2DE3F8" w14:textId="7BA8BC56"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¥63547</w:t>
            </w:r>
          </w:p>
        </w:tc>
        <w:tc>
          <w:tcPr>
            <w:tcW w:w="1713" w:type="dxa"/>
            <w:tcBorders>
              <w:top w:val="nil"/>
              <w:left w:val="nil"/>
              <w:bottom w:val="nil"/>
              <w:right w:val="nil"/>
            </w:tcBorders>
            <w:shd w:val="clear" w:color="000000" w:fill="FFFFFF"/>
            <w:noWrap/>
            <w:hideMark/>
          </w:tcPr>
          <w:p w14:paraId="0A8F8CD8" w14:textId="134E1BD1"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-¥12165</w:t>
            </w:r>
          </w:p>
        </w:tc>
      </w:tr>
      <w:tr w:rsidR="00085544" w:rsidRPr="00C76E19" w14:paraId="567824A1" w14:textId="77777777" w:rsidTr="00085544">
        <w:trPr>
          <w:trHeight w:val="300"/>
        </w:trPr>
        <w:tc>
          <w:tcPr>
            <w:tcW w:w="3347" w:type="dxa"/>
            <w:tcBorders>
              <w:top w:val="nil"/>
              <w:left w:val="nil"/>
              <w:bottom w:val="single" w:sz="4" w:space="0" w:color="auto"/>
              <w:right w:val="nil"/>
            </w:tcBorders>
            <w:shd w:val="clear" w:color="000000" w:fill="FFFFFF"/>
            <w:noWrap/>
            <w:hideMark/>
          </w:tcPr>
          <w:p w14:paraId="654C6165"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 xml:space="preserve">Active disease management </w:t>
            </w:r>
          </w:p>
        </w:tc>
        <w:tc>
          <w:tcPr>
            <w:tcW w:w="1714" w:type="dxa"/>
            <w:tcBorders>
              <w:top w:val="nil"/>
              <w:left w:val="nil"/>
              <w:bottom w:val="single" w:sz="4" w:space="0" w:color="auto"/>
              <w:right w:val="nil"/>
            </w:tcBorders>
            <w:shd w:val="clear" w:color="000000" w:fill="FFFFFF"/>
            <w:noWrap/>
            <w:hideMark/>
          </w:tcPr>
          <w:p w14:paraId="3E413ABB" w14:textId="368DDC0C"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¥6243</w:t>
            </w:r>
          </w:p>
        </w:tc>
        <w:tc>
          <w:tcPr>
            <w:tcW w:w="1480" w:type="dxa"/>
            <w:tcBorders>
              <w:top w:val="nil"/>
              <w:left w:val="nil"/>
              <w:bottom w:val="single" w:sz="4" w:space="0" w:color="auto"/>
              <w:right w:val="nil"/>
            </w:tcBorders>
            <w:shd w:val="clear" w:color="000000" w:fill="FFFFFF"/>
            <w:noWrap/>
            <w:hideMark/>
          </w:tcPr>
          <w:p w14:paraId="6776E602" w14:textId="7B3F77E5"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¥29012</w:t>
            </w:r>
          </w:p>
        </w:tc>
        <w:tc>
          <w:tcPr>
            <w:tcW w:w="1742" w:type="dxa"/>
            <w:tcBorders>
              <w:top w:val="nil"/>
              <w:left w:val="nil"/>
              <w:bottom w:val="single" w:sz="4" w:space="0" w:color="auto"/>
              <w:right w:val="nil"/>
            </w:tcBorders>
            <w:shd w:val="clear" w:color="000000" w:fill="FFFFFF"/>
            <w:noWrap/>
            <w:hideMark/>
          </w:tcPr>
          <w:p w14:paraId="5762BEE8" w14:textId="4CE78D98"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-¥22769</w:t>
            </w:r>
          </w:p>
        </w:tc>
        <w:tc>
          <w:tcPr>
            <w:tcW w:w="1454" w:type="dxa"/>
            <w:tcBorders>
              <w:top w:val="nil"/>
              <w:left w:val="nil"/>
              <w:bottom w:val="single" w:sz="4" w:space="0" w:color="auto"/>
              <w:right w:val="nil"/>
            </w:tcBorders>
            <w:shd w:val="clear" w:color="000000" w:fill="FFFFFF"/>
            <w:noWrap/>
            <w:hideMark/>
          </w:tcPr>
          <w:p w14:paraId="50C774A2" w14:textId="6A2FCE5E"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¥3590</w:t>
            </w:r>
          </w:p>
        </w:tc>
        <w:tc>
          <w:tcPr>
            <w:tcW w:w="1454" w:type="dxa"/>
            <w:tcBorders>
              <w:top w:val="nil"/>
              <w:left w:val="nil"/>
              <w:bottom w:val="single" w:sz="4" w:space="0" w:color="auto"/>
              <w:right w:val="nil"/>
            </w:tcBorders>
            <w:shd w:val="clear" w:color="000000" w:fill="FFFFFF"/>
            <w:noWrap/>
            <w:hideMark/>
          </w:tcPr>
          <w:p w14:paraId="0ED2466B" w14:textId="470CD74C"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¥19378</w:t>
            </w:r>
          </w:p>
        </w:tc>
        <w:tc>
          <w:tcPr>
            <w:tcW w:w="1713" w:type="dxa"/>
            <w:tcBorders>
              <w:top w:val="nil"/>
              <w:left w:val="nil"/>
              <w:bottom w:val="single" w:sz="4" w:space="0" w:color="auto"/>
              <w:right w:val="nil"/>
            </w:tcBorders>
            <w:shd w:val="clear" w:color="000000" w:fill="FFFFFF"/>
            <w:noWrap/>
            <w:hideMark/>
          </w:tcPr>
          <w:p w14:paraId="33E44001" w14:textId="52AC4EB5"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-¥15789</w:t>
            </w:r>
          </w:p>
        </w:tc>
      </w:tr>
      <w:tr w:rsidR="00085544" w:rsidRPr="00C76E19" w14:paraId="2C810902" w14:textId="77777777" w:rsidTr="00085544">
        <w:trPr>
          <w:trHeight w:val="300"/>
        </w:trPr>
        <w:tc>
          <w:tcPr>
            <w:tcW w:w="3347" w:type="dxa"/>
            <w:tcBorders>
              <w:top w:val="nil"/>
              <w:left w:val="nil"/>
              <w:bottom w:val="single" w:sz="4" w:space="0" w:color="auto"/>
              <w:right w:val="nil"/>
            </w:tcBorders>
            <w:shd w:val="clear" w:color="000000" w:fill="FFFFFF"/>
            <w:noWrap/>
            <w:hideMark/>
          </w:tcPr>
          <w:p w14:paraId="5A220C27" w14:textId="7777777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 xml:space="preserve">Total medical costs </w:t>
            </w:r>
          </w:p>
        </w:tc>
        <w:tc>
          <w:tcPr>
            <w:tcW w:w="1714" w:type="dxa"/>
            <w:tcBorders>
              <w:top w:val="nil"/>
              <w:left w:val="nil"/>
              <w:bottom w:val="single" w:sz="4" w:space="0" w:color="auto"/>
              <w:right w:val="nil"/>
            </w:tcBorders>
            <w:shd w:val="clear" w:color="000000" w:fill="FFFFFF"/>
            <w:noWrap/>
            <w:hideMark/>
          </w:tcPr>
          <w:p w14:paraId="673921F0" w14:textId="71B57F3B"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¥1196392</w:t>
            </w:r>
          </w:p>
        </w:tc>
        <w:tc>
          <w:tcPr>
            <w:tcW w:w="1480" w:type="dxa"/>
            <w:tcBorders>
              <w:top w:val="nil"/>
              <w:left w:val="nil"/>
              <w:bottom w:val="single" w:sz="4" w:space="0" w:color="auto"/>
              <w:right w:val="nil"/>
            </w:tcBorders>
            <w:shd w:val="clear" w:color="000000" w:fill="FFFFFF"/>
            <w:noWrap/>
            <w:hideMark/>
          </w:tcPr>
          <w:p w14:paraId="15D7D200" w14:textId="5ADEE7E7"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¥537676</w:t>
            </w:r>
          </w:p>
        </w:tc>
        <w:tc>
          <w:tcPr>
            <w:tcW w:w="1742" w:type="dxa"/>
            <w:tcBorders>
              <w:top w:val="nil"/>
              <w:left w:val="nil"/>
              <w:bottom w:val="single" w:sz="4" w:space="0" w:color="auto"/>
              <w:right w:val="nil"/>
            </w:tcBorders>
            <w:shd w:val="clear" w:color="000000" w:fill="FFFFFF"/>
            <w:noWrap/>
            <w:hideMark/>
          </w:tcPr>
          <w:p w14:paraId="13A00D5D" w14:textId="3473714B"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¥658716</w:t>
            </w:r>
          </w:p>
        </w:tc>
        <w:tc>
          <w:tcPr>
            <w:tcW w:w="1454" w:type="dxa"/>
            <w:tcBorders>
              <w:top w:val="nil"/>
              <w:left w:val="nil"/>
              <w:bottom w:val="single" w:sz="4" w:space="0" w:color="auto"/>
              <w:right w:val="nil"/>
            </w:tcBorders>
            <w:shd w:val="clear" w:color="000000" w:fill="FFFFFF"/>
            <w:noWrap/>
            <w:hideMark/>
          </w:tcPr>
          <w:p w14:paraId="2EEB547C" w14:textId="4BCE250F"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¥673499</w:t>
            </w:r>
          </w:p>
        </w:tc>
        <w:tc>
          <w:tcPr>
            <w:tcW w:w="1454" w:type="dxa"/>
            <w:tcBorders>
              <w:top w:val="nil"/>
              <w:left w:val="nil"/>
              <w:bottom w:val="single" w:sz="4" w:space="0" w:color="auto"/>
              <w:right w:val="nil"/>
            </w:tcBorders>
            <w:shd w:val="clear" w:color="000000" w:fill="FFFFFF"/>
            <w:noWrap/>
            <w:hideMark/>
          </w:tcPr>
          <w:p w14:paraId="1514EA0C" w14:textId="3E708FFC"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¥301447</w:t>
            </w:r>
          </w:p>
        </w:tc>
        <w:tc>
          <w:tcPr>
            <w:tcW w:w="1713" w:type="dxa"/>
            <w:tcBorders>
              <w:top w:val="nil"/>
              <w:left w:val="nil"/>
              <w:bottom w:val="single" w:sz="4" w:space="0" w:color="auto"/>
              <w:right w:val="nil"/>
            </w:tcBorders>
            <w:shd w:val="clear" w:color="000000" w:fill="FFFFFF"/>
            <w:noWrap/>
            <w:hideMark/>
          </w:tcPr>
          <w:p w14:paraId="5E638F65" w14:textId="7F5080B9" w:rsidR="00085544" w:rsidRPr="00C76E19" w:rsidRDefault="00085544" w:rsidP="00AE2A93">
            <w:pPr>
              <w:snapToGrid w:val="0"/>
              <w:spacing w:line="360" w:lineRule="auto"/>
              <w:jc w:val="both"/>
              <w:rPr>
                <w:rFonts w:ascii="Book Antiqua" w:hAnsi="Book Antiqua"/>
                <w:color w:val="000000"/>
              </w:rPr>
            </w:pPr>
            <w:r w:rsidRPr="00C76E19">
              <w:rPr>
                <w:rFonts w:ascii="Book Antiqua" w:hAnsi="Book Antiqua"/>
                <w:color w:val="000000"/>
              </w:rPr>
              <w:t>¥372052</w:t>
            </w:r>
          </w:p>
        </w:tc>
      </w:tr>
    </w:tbl>
    <w:p w14:paraId="3D042C20" w14:textId="156B27E3" w:rsidR="00085544" w:rsidRPr="00C76E19" w:rsidRDefault="00085544" w:rsidP="00AE2A93">
      <w:pPr>
        <w:snapToGrid w:val="0"/>
        <w:spacing w:line="360" w:lineRule="auto"/>
        <w:jc w:val="both"/>
        <w:rPr>
          <w:rFonts w:ascii="Book Antiqua" w:hAnsi="Book Antiqua"/>
          <w:lang w:eastAsia="zh-CN"/>
        </w:rPr>
      </w:pPr>
      <w:r w:rsidRPr="00C76E19">
        <w:rPr>
          <w:rFonts w:ascii="Book Antiqua" w:eastAsia="Book Antiqua" w:hAnsi="Book Antiqua" w:cs="Book Antiqua"/>
          <w:color w:val="000000"/>
        </w:rPr>
        <w:t>IMT: Infliximab maintenance therapy; CMT: Conventional maintenance therapy</w:t>
      </w:r>
      <w:r w:rsidR="00C53EFC" w:rsidRPr="00C76E19">
        <w:rPr>
          <w:rFonts w:ascii="Book Antiqua" w:eastAsia="Book Antiqua" w:hAnsi="Book Antiqua" w:cs="Book Antiqua"/>
          <w:color w:val="000000"/>
        </w:rPr>
        <w:t>; QALY: Quality-adjusted life years</w:t>
      </w:r>
      <w:r w:rsidRPr="00C76E19">
        <w:rPr>
          <w:rFonts w:ascii="Book Antiqua" w:eastAsia="Book Antiqua" w:hAnsi="Book Antiqua" w:cs="Book Antiqua"/>
          <w:color w:val="000000"/>
        </w:rPr>
        <w:t>.</w:t>
      </w:r>
    </w:p>
    <w:sectPr w:rsidR="00085544" w:rsidRPr="00C76E19" w:rsidSect="00CA11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5F247" w14:textId="77777777" w:rsidR="00F624EB" w:rsidRDefault="00F624EB" w:rsidP="00C15333">
      <w:r>
        <w:separator/>
      </w:r>
    </w:p>
  </w:endnote>
  <w:endnote w:type="continuationSeparator" w:id="0">
    <w:p w14:paraId="68BA0B56" w14:textId="77777777" w:rsidR="00F624EB" w:rsidRDefault="00F624EB" w:rsidP="00C1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929896022"/>
      <w:docPartObj>
        <w:docPartGallery w:val="Page Numbers (Bottom of Page)"/>
        <w:docPartUnique/>
      </w:docPartObj>
    </w:sdtPr>
    <w:sdtEndPr>
      <w:rPr>
        <w:noProof/>
      </w:rPr>
    </w:sdtEndPr>
    <w:sdtContent>
      <w:p w14:paraId="03C6F37D" w14:textId="3E6156A7" w:rsidR="002025A2" w:rsidRPr="00AE2A93" w:rsidRDefault="002025A2">
        <w:pPr>
          <w:pStyle w:val="ab"/>
          <w:jc w:val="right"/>
          <w:rPr>
            <w:rFonts w:ascii="Book Antiqua" w:hAnsi="Book Antiqua"/>
            <w:sz w:val="24"/>
            <w:szCs w:val="24"/>
          </w:rPr>
        </w:pPr>
        <w:r w:rsidRPr="00AE2A93">
          <w:rPr>
            <w:rFonts w:ascii="Book Antiqua" w:hAnsi="Book Antiqua"/>
            <w:sz w:val="24"/>
            <w:szCs w:val="24"/>
          </w:rPr>
          <w:fldChar w:fldCharType="begin"/>
        </w:r>
        <w:r w:rsidRPr="00AE2A93">
          <w:rPr>
            <w:rFonts w:ascii="Book Antiqua" w:hAnsi="Book Antiqua"/>
            <w:sz w:val="24"/>
            <w:szCs w:val="24"/>
          </w:rPr>
          <w:instrText xml:space="preserve"> PAGE   \* MERGEFORMAT </w:instrText>
        </w:r>
        <w:r w:rsidRPr="00AE2A93">
          <w:rPr>
            <w:rFonts w:ascii="Book Antiqua" w:hAnsi="Book Antiqua"/>
            <w:sz w:val="24"/>
            <w:szCs w:val="24"/>
          </w:rPr>
          <w:fldChar w:fldCharType="separate"/>
        </w:r>
        <w:r w:rsidRPr="00AE2A93">
          <w:rPr>
            <w:rFonts w:ascii="Book Antiqua" w:hAnsi="Book Antiqua"/>
            <w:noProof/>
            <w:sz w:val="24"/>
            <w:szCs w:val="24"/>
          </w:rPr>
          <w:t>2</w:t>
        </w:r>
        <w:r w:rsidRPr="00AE2A93">
          <w:rPr>
            <w:rFonts w:ascii="Book Antiqua" w:hAnsi="Book Antiqua"/>
            <w:noProof/>
            <w:sz w:val="24"/>
            <w:szCs w:val="24"/>
          </w:rPr>
          <w:fldChar w:fldCharType="end"/>
        </w:r>
        <w:r w:rsidR="00C76E19">
          <w:rPr>
            <w:rFonts w:ascii="Book Antiqua" w:hAnsi="Book Antiqua"/>
            <w:noProof/>
            <w:sz w:val="24"/>
            <w:szCs w:val="24"/>
          </w:rPr>
          <w:t xml:space="preserve"> </w:t>
        </w:r>
        <w:r w:rsidRPr="00AE2A93">
          <w:rPr>
            <w:rFonts w:ascii="Book Antiqua" w:hAnsi="Book Antiqua"/>
            <w:noProof/>
            <w:sz w:val="24"/>
            <w:szCs w:val="24"/>
          </w:rPr>
          <w:t>/</w:t>
        </w:r>
        <w:r w:rsidR="00C76E19">
          <w:rPr>
            <w:rFonts w:ascii="Book Antiqua" w:hAnsi="Book Antiqua"/>
            <w:noProof/>
            <w:sz w:val="24"/>
            <w:szCs w:val="24"/>
          </w:rPr>
          <w:t xml:space="preserve"> </w:t>
        </w:r>
        <w:r w:rsidRPr="00AE2A93">
          <w:rPr>
            <w:rFonts w:ascii="Book Antiqua" w:hAnsi="Book Antiqua"/>
            <w:noProof/>
            <w:sz w:val="24"/>
            <w:szCs w:val="24"/>
          </w:rPr>
          <w:t>53</w:t>
        </w:r>
      </w:p>
    </w:sdtContent>
  </w:sdt>
  <w:p w14:paraId="59296208" w14:textId="77777777" w:rsidR="002025A2" w:rsidRDefault="002025A2" w:rsidP="00AE2A93">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09B62" w14:textId="77777777" w:rsidR="00F624EB" w:rsidRDefault="00F624EB" w:rsidP="00C15333">
      <w:r>
        <w:separator/>
      </w:r>
    </w:p>
  </w:footnote>
  <w:footnote w:type="continuationSeparator" w:id="0">
    <w:p w14:paraId="3158DDA4" w14:textId="77777777" w:rsidR="00F624EB" w:rsidRDefault="00F624EB" w:rsidP="00C15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7660"/>
    <w:multiLevelType w:val="hybridMultilevel"/>
    <w:tmpl w:val="3384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5544"/>
    <w:rsid w:val="00092A83"/>
    <w:rsid w:val="000C7DB4"/>
    <w:rsid w:val="000D145B"/>
    <w:rsid w:val="0011453C"/>
    <w:rsid w:val="00136423"/>
    <w:rsid w:val="002025A2"/>
    <w:rsid w:val="0028092B"/>
    <w:rsid w:val="002875EB"/>
    <w:rsid w:val="002B5BCF"/>
    <w:rsid w:val="002C5045"/>
    <w:rsid w:val="002F43F7"/>
    <w:rsid w:val="003640D6"/>
    <w:rsid w:val="00383B79"/>
    <w:rsid w:val="003F43A8"/>
    <w:rsid w:val="004322C0"/>
    <w:rsid w:val="0048272D"/>
    <w:rsid w:val="004B323C"/>
    <w:rsid w:val="00501715"/>
    <w:rsid w:val="0051080B"/>
    <w:rsid w:val="005368E5"/>
    <w:rsid w:val="00567C2F"/>
    <w:rsid w:val="00573D81"/>
    <w:rsid w:val="005D6606"/>
    <w:rsid w:val="006D4EB8"/>
    <w:rsid w:val="007A464A"/>
    <w:rsid w:val="007F3CD5"/>
    <w:rsid w:val="008110CE"/>
    <w:rsid w:val="008120CF"/>
    <w:rsid w:val="0082302F"/>
    <w:rsid w:val="00875E65"/>
    <w:rsid w:val="008A667F"/>
    <w:rsid w:val="008F1595"/>
    <w:rsid w:val="00922BA9"/>
    <w:rsid w:val="0092590F"/>
    <w:rsid w:val="00943979"/>
    <w:rsid w:val="00992B57"/>
    <w:rsid w:val="009C1DB7"/>
    <w:rsid w:val="00A23AA9"/>
    <w:rsid w:val="00A45960"/>
    <w:rsid w:val="00A5089C"/>
    <w:rsid w:val="00A77B3E"/>
    <w:rsid w:val="00A857A5"/>
    <w:rsid w:val="00AC2BAC"/>
    <w:rsid w:val="00AE2A93"/>
    <w:rsid w:val="00B53923"/>
    <w:rsid w:val="00BA7233"/>
    <w:rsid w:val="00BD7541"/>
    <w:rsid w:val="00BE2966"/>
    <w:rsid w:val="00BE7B6C"/>
    <w:rsid w:val="00BF310C"/>
    <w:rsid w:val="00C15333"/>
    <w:rsid w:val="00C53EFC"/>
    <w:rsid w:val="00C61E72"/>
    <w:rsid w:val="00C76E19"/>
    <w:rsid w:val="00CA1127"/>
    <w:rsid w:val="00CA2A55"/>
    <w:rsid w:val="00CA6ECB"/>
    <w:rsid w:val="00CC2497"/>
    <w:rsid w:val="00CF795E"/>
    <w:rsid w:val="00D0291F"/>
    <w:rsid w:val="00D05FFF"/>
    <w:rsid w:val="00D15C59"/>
    <w:rsid w:val="00E1402F"/>
    <w:rsid w:val="00E36B76"/>
    <w:rsid w:val="00E8047E"/>
    <w:rsid w:val="00E8129F"/>
    <w:rsid w:val="00EA16DB"/>
    <w:rsid w:val="00EF6F6C"/>
    <w:rsid w:val="00F624EB"/>
    <w:rsid w:val="00F708F6"/>
    <w:rsid w:val="00FC7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BAE74"/>
  <w15:docId w15:val="{3EB031B1-6816-41BA-A3D2-F352CC96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A5089C"/>
    <w:rPr>
      <w:sz w:val="18"/>
      <w:szCs w:val="18"/>
    </w:rPr>
  </w:style>
  <w:style w:type="character" w:customStyle="1" w:styleId="a4">
    <w:name w:val="批注框文本 字符"/>
    <w:basedOn w:val="a0"/>
    <w:link w:val="a3"/>
    <w:uiPriority w:val="99"/>
    <w:rsid w:val="00A5089C"/>
    <w:rPr>
      <w:sz w:val="18"/>
      <w:szCs w:val="18"/>
    </w:rPr>
  </w:style>
  <w:style w:type="character" w:customStyle="1" w:styleId="a5">
    <w:name w:val="批注文字 字符"/>
    <w:basedOn w:val="a0"/>
    <w:link w:val="a6"/>
    <w:uiPriority w:val="99"/>
    <w:semiHidden/>
    <w:rsid w:val="00501715"/>
    <w:rPr>
      <w:rFonts w:asciiTheme="minorHAnsi" w:hAnsiTheme="minorHAnsi" w:cstheme="minorBidi"/>
      <w:lang w:val="en-AU" w:eastAsia="zh-CN"/>
    </w:rPr>
  </w:style>
  <w:style w:type="paragraph" w:styleId="a6">
    <w:name w:val="annotation text"/>
    <w:basedOn w:val="a"/>
    <w:link w:val="a5"/>
    <w:uiPriority w:val="99"/>
    <w:semiHidden/>
    <w:unhideWhenUsed/>
    <w:rsid w:val="00501715"/>
    <w:rPr>
      <w:rFonts w:asciiTheme="minorHAnsi" w:hAnsiTheme="minorHAnsi" w:cstheme="minorBidi"/>
      <w:sz w:val="20"/>
      <w:szCs w:val="20"/>
      <w:lang w:val="en-AU" w:eastAsia="zh-CN"/>
    </w:rPr>
  </w:style>
  <w:style w:type="character" w:customStyle="1" w:styleId="a7">
    <w:name w:val="批注主题 字符"/>
    <w:basedOn w:val="a5"/>
    <w:link w:val="a8"/>
    <w:uiPriority w:val="99"/>
    <w:semiHidden/>
    <w:rsid w:val="00501715"/>
    <w:rPr>
      <w:rFonts w:asciiTheme="minorHAnsi" w:hAnsiTheme="minorHAnsi" w:cstheme="minorBidi"/>
      <w:b/>
      <w:bCs/>
      <w:lang w:val="en-AU" w:eastAsia="zh-CN"/>
    </w:rPr>
  </w:style>
  <w:style w:type="paragraph" w:styleId="a8">
    <w:name w:val="annotation subject"/>
    <w:basedOn w:val="a6"/>
    <w:next w:val="a6"/>
    <w:link w:val="a7"/>
    <w:uiPriority w:val="99"/>
    <w:semiHidden/>
    <w:unhideWhenUsed/>
    <w:rsid w:val="00501715"/>
    <w:rPr>
      <w:b/>
      <w:bCs/>
    </w:rPr>
  </w:style>
  <w:style w:type="paragraph" w:styleId="a9">
    <w:name w:val="header"/>
    <w:basedOn w:val="a"/>
    <w:link w:val="aa"/>
    <w:uiPriority w:val="99"/>
    <w:unhideWhenUsed/>
    <w:rsid w:val="00501715"/>
    <w:pPr>
      <w:pBdr>
        <w:bottom w:val="single" w:sz="6" w:space="1" w:color="auto"/>
      </w:pBdr>
      <w:tabs>
        <w:tab w:val="center" w:pos="4153"/>
        <w:tab w:val="right" w:pos="8306"/>
      </w:tabs>
      <w:snapToGrid w:val="0"/>
      <w:jc w:val="center"/>
    </w:pPr>
    <w:rPr>
      <w:rFonts w:asciiTheme="minorHAnsi" w:hAnsiTheme="minorHAnsi" w:cstheme="minorBidi"/>
      <w:sz w:val="18"/>
      <w:szCs w:val="18"/>
      <w:lang w:val="en-AU" w:eastAsia="zh-CN"/>
    </w:rPr>
  </w:style>
  <w:style w:type="character" w:customStyle="1" w:styleId="aa">
    <w:name w:val="页眉 字符"/>
    <w:basedOn w:val="a0"/>
    <w:link w:val="a9"/>
    <w:uiPriority w:val="99"/>
    <w:rsid w:val="00501715"/>
    <w:rPr>
      <w:rFonts w:asciiTheme="minorHAnsi" w:hAnsiTheme="minorHAnsi" w:cstheme="minorBidi"/>
      <w:sz w:val="18"/>
      <w:szCs w:val="18"/>
      <w:lang w:val="en-AU" w:eastAsia="zh-CN"/>
    </w:rPr>
  </w:style>
  <w:style w:type="paragraph" w:styleId="ab">
    <w:name w:val="footer"/>
    <w:basedOn w:val="a"/>
    <w:link w:val="ac"/>
    <w:uiPriority w:val="99"/>
    <w:unhideWhenUsed/>
    <w:rsid w:val="00501715"/>
    <w:pPr>
      <w:tabs>
        <w:tab w:val="center" w:pos="4153"/>
        <w:tab w:val="right" w:pos="8306"/>
      </w:tabs>
      <w:snapToGrid w:val="0"/>
    </w:pPr>
    <w:rPr>
      <w:rFonts w:asciiTheme="minorHAnsi" w:hAnsiTheme="minorHAnsi" w:cstheme="minorBidi"/>
      <w:sz w:val="18"/>
      <w:szCs w:val="18"/>
      <w:lang w:val="en-AU" w:eastAsia="zh-CN"/>
    </w:rPr>
  </w:style>
  <w:style w:type="character" w:customStyle="1" w:styleId="ac">
    <w:name w:val="页脚 字符"/>
    <w:basedOn w:val="a0"/>
    <w:link w:val="ab"/>
    <w:uiPriority w:val="99"/>
    <w:rsid w:val="00501715"/>
    <w:rPr>
      <w:rFonts w:asciiTheme="minorHAnsi" w:hAnsiTheme="minorHAnsi" w:cstheme="minorBidi"/>
      <w:sz w:val="18"/>
      <w:szCs w:val="18"/>
      <w:lang w:val="en-AU" w:eastAsia="zh-CN"/>
    </w:rPr>
  </w:style>
  <w:style w:type="paragraph" w:styleId="ad">
    <w:name w:val="List Paragraph"/>
    <w:basedOn w:val="a"/>
    <w:uiPriority w:val="34"/>
    <w:qFormat/>
    <w:rsid w:val="00501715"/>
    <w:pPr>
      <w:ind w:left="720"/>
      <w:contextualSpacing/>
    </w:pPr>
    <w:rPr>
      <w:rFonts w:eastAsia="Times New Roman"/>
      <w:lang w:val="en-AU" w:eastAsia="zh-CN"/>
    </w:rPr>
  </w:style>
  <w:style w:type="character" w:styleId="ae">
    <w:name w:val="Hyperlink"/>
    <w:basedOn w:val="a0"/>
    <w:uiPriority w:val="99"/>
    <w:unhideWhenUsed/>
    <w:rsid w:val="00501715"/>
    <w:rPr>
      <w:color w:val="0000FF" w:themeColor="hyperlink"/>
      <w:u w:val="single"/>
    </w:rPr>
  </w:style>
  <w:style w:type="character" w:customStyle="1" w:styleId="1">
    <w:name w:val="未处理的提及1"/>
    <w:basedOn w:val="a0"/>
    <w:uiPriority w:val="99"/>
    <w:rsid w:val="00501715"/>
    <w:rPr>
      <w:color w:val="605E5C"/>
      <w:shd w:val="clear" w:color="auto" w:fill="E1DFDD"/>
    </w:rPr>
  </w:style>
  <w:style w:type="paragraph" w:customStyle="1" w:styleId="label">
    <w:name w:val="label"/>
    <w:basedOn w:val="a"/>
    <w:rsid w:val="00501715"/>
    <w:pPr>
      <w:spacing w:before="100" w:beforeAutospacing="1" w:after="100" w:afterAutospacing="1"/>
    </w:pPr>
    <w:rPr>
      <w:rFonts w:ascii="宋体" w:eastAsia="宋体" w:hAnsi="宋体" w:cs="宋体"/>
      <w:lang w:eastAsia="zh-CN"/>
    </w:rPr>
  </w:style>
  <w:style w:type="paragraph" w:customStyle="1" w:styleId="kwmain">
    <w:name w:val="kw_main"/>
    <w:basedOn w:val="a"/>
    <w:rsid w:val="00501715"/>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377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ts.gov.cn/tjsj/zxfb/201902/t20190228_1651265.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9862</Words>
  <Characters>56218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6</cp:revision>
  <dcterms:created xsi:type="dcterms:W3CDTF">2020-09-18T15:40:00Z</dcterms:created>
  <dcterms:modified xsi:type="dcterms:W3CDTF">2020-09-28T08:43:00Z</dcterms:modified>
</cp:coreProperties>
</file>